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042AA" w14:textId="485BD016" w:rsidR="0048728F" w:rsidRPr="0048728F" w:rsidRDefault="0048728F" w:rsidP="00BF20DE">
      <w:pPr>
        <w:pStyle w:val="Subtitle"/>
        <w:rPr>
          <w:lang w:val="en-GB"/>
        </w:rPr>
      </w:pPr>
      <w:r w:rsidRPr="0048728F">
        <w:rPr>
          <w:lang w:val="en-GB"/>
        </w:rPr>
        <w:t>Section:</w:t>
      </w:r>
      <w:r w:rsidR="00A03629">
        <w:rPr>
          <w:lang w:val="en-GB"/>
        </w:rPr>
        <w:t xml:space="preserve"> </w:t>
      </w:r>
      <w:r>
        <w:rPr>
          <w:lang w:val="en-GB"/>
        </w:rPr>
        <w:t>02</w:t>
      </w:r>
    </w:p>
    <w:p w14:paraId="18DA637B" w14:textId="1E7EFA6F" w:rsidR="0048728F" w:rsidRPr="0048728F" w:rsidRDefault="0048728F" w:rsidP="00DE38B5">
      <w:pPr>
        <w:pStyle w:val="Title"/>
        <w:spacing w:after="480"/>
      </w:pPr>
      <w:r w:rsidRPr="0048728F">
        <w:t>Financial</w:t>
      </w:r>
      <w:r w:rsidR="00A03629">
        <w:t xml:space="preserve"> </w:t>
      </w:r>
      <w:r w:rsidRPr="0048728F">
        <w:t>performance</w:t>
      </w:r>
    </w:p>
    <w:p w14:paraId="33C29050" w14:textId="02D6958B" w:rsidR="0048728F" w:rsidRDefault="006D7B49" w:rsidP="006D7B49">
      <w:pPr>
        <w:pStyle w:val="TOCHeading"/>
      </w:pPr>
      <w:r>
        <w:t>Contents</w:t>
      </w:r>
    </w:p>
    <w:p w14:paraId="7D33A286" w14:textId="1CF69428" w:rsidR="006D7B49" w:rsidRDefault="006D7B49" w:rsidP="006D7B49">
      <w:r w:rsidRPr="006D7B49">
        <w:t>The Department of Jobs, Skills, Industry and Regions (DJSIR) has presented its audited general-purpose financial statements for the financial year ended 30 June 2023 in the following structure to provide users with information about the Department’s stewardship of resources entrusted to it.</w:t>
      </w:r>
    </w:p>
    <w:p w14:paraId="3A9E7782" w14:textId="2FE6FC78" w:rsidR="006D7B49" w:rsidRPr="006D7B49" w:rsidRDefault="006D7B49" w:rsidP="006D7B49">
      <w:pPr>
        <w:pStyle w:val="Normalbeforebullets"/>
        <w:rPr>
          <w:b/>
          <w:bCs/>
        </w:rPr>
      </w:pPr>
      <w:r w:rsidRPr="006D7B49">
        <w:rPr>
          <w:b/>
          <w:bCs/>
        </w:rPr>
        <w:t>Financial statements</w:t>
      </w:r>
    </w:p>
    <w:p w14:paraId="42551C9A" w14:textId="50E23B72" w:rsidR="00DE38B5" w:rsidRDefault="006D7B49">
      <w:pPr>
        <w:pStyle w:val="TOC2"/>
        <w:tabs>
          <w:tab w:val="right" w:leader="dot" w:pos="10194"/>
        </w:tabs>
        <w:rPr>
          <w:rFonts w:asciiTheme="minorHAnsi" w:eastAsiaTheme="minorEastAsia" w:hAnsiTheme="minorHAnsi" w:cstheme="minorBidi"/>
          <w:noProof/>
          <w:sz w:val="22"/>
          <w:lang w:eastAsia="en-AU"/>
        </w:rPr>
      </w:pPr>
      <w:r>
        <w:fldChar w:fldCharType="begin"/>
      </w:r>
      <w:r>
        <w:instrText xml:space="preserve"> TOC \o "1-1" \h \z \t "Heading 2,2,Heading 2 numbered,2" </w:instrText>
      </w:r>
      <w:r>
        <w:fldChar w:fldCharType="separate"/>
      </w:r>
      <w:hyperlink w:anchor="_Toc149911787" w:history="1">
        <w:r w:rsidR="00DE38B5" w:rsidRPr="00467F2D">
          <w:rPr>
            <w:rStyle w:val="Hyperlink"/>
            <w:noProof/>
          </w:rPr>
          <w:t>Comprehensive operating statement</w:t>
        </w:r>
        <w:r w:rsidR="00DE38B5" w:rsidRPr="00467F2D">
          <w:rPr>
            <w:rStyle w:val="Hyperlink"/>
            <w:rFonts w:ascii="Times New Roman" w:hAnsi="Times New Roman"/>
            <w:noProof/>
          </w:rPr>
          <w:t> </w:t>
        </w:r>
        <w:r w:rsidR="00DE38B5" w:rsidRPr="00467F2D">
          <w:rPr>
            <w:rStyle w:val="Hyperlink"/>
            <w:rFonts w:ascii="VIC Light" w:hAnsi="VIC Light" w:cs="VIC Light"/>
            <w:noProof/>
            <w:vertAlign w:val="superscript"/>
          </w:rPr>
          <w:t xml:space="preserve">(i) </w:t>
        </w:r>
        <w:r w:rsidR="00DE38B5" w:rsidRPr="00467F2D">
          <w:rPr>
            <w:rStyle w:val="Hyperlink"/>
            <w:noProof/>
          </w:rPr>
          <w:t>for the financial year ended 30 June 2023</w:t>
        </w:r>
        <w:r w:rsidR="00DE38B5">
          <w:rPr>
            <w:noProof/>
            <w:webHidden/>
          </w:rPr>
          <w:tab/>
        </w:r>
        <w:r w:rsidR="00DE38B5">
          <w:rPr>
            <w:noProof/>
            <w:webHidden/>
          </w:rPr>
          <w:fldChar w:fldCharType="begin"/>
        </w:r>
        <w:r w:rsidR="00DE38B5">
          <w:rPr>
            <w:noProof/>
            <w:webHidden/>
          </w:rPr>
          <w:instrText xml:space="preserve"> PAGEREF _Toc149911787 \h </w:instrText>
        </w:r>
        <w:r w:rsidR="00DE38B5">
          <w:rPr>
            <w:noProof/>
            <w:webHidden/>
          </w:rPr>
        </w:r>
        <w:r w:rsidR="00DE38B5">
          <w:rPr>
            <w:noProof/>
            <w:webHidden/>
          </w:rPr>
          <w:fldChar w:fldCharType="separate"/>
        </w:r>
        <w:r w:rsidR="008A66EE">
          <w:rPr>
            <w:noProof/>
            <w:webHidden/>
          </w:rPr>
          <w:t>8</w:t>
        </w:r>
        <w:r w:rsidR="00DE38B5">
          <w:rPr>
            <w:noProof/>
            <w:webHidden/>
          </w:rPr>
          <w:fldChar w:fldCharType="end"/>
        </w:r>
      </w:hyperlink>
    </w:p>
    <w:p w14:paraId="563710A4" w14:textId="72189B5C" w:rsidR="00DE38B5" w:rsidRDefault="00B5500D">
      <w:pPr>
        <w:pStyle w:val="TOC2"/>
        <w:tabs>
          <w:tab w:val="right" w:leader="dot" w:pos="10194"/>
        </w:tabs>
        <w:rPr>
          <w:rFonts w:asciiTheme="minorHAnsi" w:eastAsiaTheme="minorEastAsia" w:hAnsiTheme="minorHAnsi" w:cstheme="minorBidi"/>
          <w:noProof/>
          <w:sz w:val="22"/>
          <w:lang w:eastAsia="en-AU"/>
        </w:rPr>
      </w:pPr>
      <w:hyperlink w:anchor="_Toc149911788" w:history="1">
        <w:r w:rsidR="00DE38B5" w:rsidRPr="00467F2D">
          <w:rPr>
            <w:rStyle w:val="Hyperlink"/>
            <w:noProof/>
          </w:rPr>
          <w:t>Balance sheet as at 30 June 2023</w:t>
        </w:r>
        <w:r w:rsidR="00DE38B5" w:rsidRPr="00467F2D">
          <w:rPr>
            <w:rStyle w:val="Hyperlink"/>
            <w:rFonts w:ascii="Times New Roman" w:hAnsi="Times New Roman"/>
            <w:noProof/>
          </w:rPr>
          <w:t> </w:t>
        </w:r>
        <w:r w:rsidR="00DE38B5" w:rsidRPr="00467F2D">
          <w:rPr>
            <w:rStyle w:val="Hyperlink"/>
            <w:noProof/>
            <w:vertAlign w:val="superscript"/>
          </w:rPr>
          <w:t>(i)</w:t>
        </w:r>
        <w:r w:rsidR="00DE38B5">
          <w:rPr>
            <w:noProof/>
            <w:webHidden/>
          </w:rPr>
          <w:tab/>
        </w:r>
        <w:r w:rsidR="00DE38B5">
          <w:rPr>
            <w:noProof/>
            <w:webHidden/>
          </w:rPr>
          <w:fldChar w:fldCharType="begin"/>
        </w:r>
        <w:r w:rsidR="00DE38B5">
          <w:rPr>
            <w:noProof/>
            <w:webHidden/>
          </w:rPr>
          <w:instrText xml:space="preserve"> PAGEREF _Toc149911788 \h </w:instrText>
        </w:r>
        <w:r w:rsidR="00DE38B5">
          <w:rPr>
            <w:noProof/>
            <w:webHidden/>
          </w:rPr>
        </w:r>
        <w:r w:rsidR="00DE38B5">
          <w:rPr>
            <w:noProof/>
            <w:webHidden/>
          </w:rPr>
          <w:fldChar w:fldCharType="separate"/>
        </w:r>
        <w:r w:rsidR="008A66EE">
          <w:rPr>
            <w:noProof/>
            <w:webHidden/>
          </w:rPr>
          <w:t>9</w:t>
        </w:r>
        <w:r w:rsidR="00DE38B5">
          <w:rPr>
            <w:noProof/>
            <w:webHidden/>
          </w:rPr>
          <w:fldChar w:fldCharType="end"/>
        </w:r>
      </w:hyperlink>
    </w:p>
    <w:p w14:paraId="19865579" w14:textId="52AD217D" w:rsidR="00DE38B5" w:rsidRDefault="00B5500D">
      <w:pPr>
        <w:pStyle w:val="TOC2"/>
        <w:tabs>
          <w:tab w:val="right" w:leader="dot" w:pos="10194"/>
        </w:tabs>
        <w:rPr>
          <w:rFonts w:asciiTheme="minorHAnsi" w:eastAsiaTheme="minorEastAsia" w:hAnsiTheme="minorHAnsi" w:cstheme="minorBidi"/>
          <w:noProof/>
          <w:sz w:val="22"/>
          <w:lang w:eastAsia="en-AU"/>
        </w:rPr>
      </w:pPr>
      <w:hyperlink w:anchor="_Toc149911789" w:history="1">
        <w:r w:rsidR="00DE38B5" w:rsidRPr="00467F2D">
          <w:rPr>
            <w:rStyle w:val="Hyperlink"/>
            <w:noProof/>
          </w:rPr>
          <w:t>Cash flow statement</w:t>
        </w:r>
        <w:r w:rsidR="00DE38B5" w:rsidRPr="00467F2D">
          <w:rPr>
            <w:rStyle w:val="Hyperlink"/>
            <w:rFonts w:ascii="Times New Roman" w:hAnsi="Times New Roman"/>
            <w:noProof/>
          </w:rPr>
          <w:t>  </w:t>
        </w:r>
        <w:r w:rsidR="00DE38B5" w:rsidRPr="00467F2D">
          <w:rPr>
            <w:rStyle w:val="Hyperlink"/>
            <w:rFonts w:ascii="VIC Light" w:hAnsi="VIC Light" w:cs="VIC Light"/>
            <w:noProof/>
            <w:vertAlign w:val="superscript"/>
          </w:rPr>
          <w:t>(i)</w:t>
        </w:r>
        <w:r w:rsidR="00DE38B5" w:rsidRPr="00467F2D">
          <w:rPr>
            <w:rStyle w:val="Hyperlink"/>
            <w:noProof/>
          </w:rPr>
          <w:t xml:space="preserve"> For the financial year ended 30 June 2023</w:t>
        </w:r>
        <w:r w:rsidR="00DE38B5">
          <w:rPr>
            <w:noProof/>
            <w:webHidden/>
          </w:rPr>
          <w:tab/>
        </w:r>
        <w:r w:rsidR="00DE38B5">
          <w:rPr>
            <w:noProof/>
            <w:webHidden/>
          </w:rPr>
          <w:fldChar w:fldCharType="begin"/>
        </w:r>
        <w:r w:rsidR="00DE38B5">
          <w:rPr>
            <w:noProof/>
            <w:webHidden/>
          </w:rPr>
          <w:instrText xml:space="preserve"> PAGEREF _Toc149911789 \h </w:instrText>
        </w:r>
        <w:r w:rsidR="00DE38B5">
          <w:rPr>
            <w:noProof/>
            <w:webHidden/>
          </w:rPr>
        </w:r>
        <w:r w:rsidR="00DE38B5">
          <w:rPr>
            <w:noProof/>
            <w:webHidden/>
          </w:rPr>
          <w:fldChar w:fldCharType="separate"/>
        </w:r>
        <w:r w:rsidR="008A66EE">
          <w:rPr>
            <w:noProof/>
            <w:webHidden/>
          </w:rPr>
          <w:t>10</w:t>
        </w:r>
        <w:r w:rsidR="00DE38B5">
          <w:rPr>
            <w:noProof/>
            <w:webHidden/>
          </w:rPr>
          <w:fldChar w:fldCharType="end"/>
        </w:r>
      </w:hyperlink>
    </w:p>
    <w:p w14:paraId="5189BA07" w14:textId="01C27E5D" w:rsidR="00DE38B5" w:rsidRDefault="00B5500D">
      <w:pPr>
        <w:pStyle w:val="TOC2"/>
        <w:tabs>
          <w:tab w:val="right" w:leader="dot" w:pos="10194"/>
        </w:tabs>
        <w:rPr>
          <w:rStyle w:val="Hyperlink"/>
          <w:noProof/>
        </w:rPr>
      </w:pPr>
      <w:hyperlink w:anchor="_Toc149911790" w:history="1">
        <w:r w:rsidR="00DE38B5" w:rsidRPr="00467F2D">
          <w:rPr>
            <w:rStyle w:val="Hyperlink"/>
            <w:noProof/>
          </w:rPr>
          <w:t>Statement of changes in equity</w:t>
        </w:r>
        <w:r w:rsidR="00DE38B5" w:rsidRPr="00467F2D">
          <w:rPr>
            <w:rStyle w:val="Hyperlink"/>
            <w:rFonts w:ascii="Times New Roman" w:hAnsi="Times New Roman"/>
            <w:noProof/>
          </w:rPr>
          <w:t> </w:t>
        </w:r>
        <w:r w:rsidR="00DE38B5" w:rsidRPr="00467F2D">
          <w:rPr>
            <w:rStyle w:val="Hyperlink"/>
            <w:noProof/>
            <w:vertAlign w:val="superscript"/>
          </w:rPr>
          <w:t xml:space="preserve">(i) </w:t>
        </w:r>
        <w:r w:rsidR="00DE38B5" w:rsidRPr="00467F2D">
          <w:rPr>
            <w:rStyle w:val="Hyperlink"/>
            <w:noProof/>
          </w:rPr>
          <w:t>For the financial year ended 30 June 2023</w:t>
        </w:r>
        <w:r w:rsidR="00DE38B5">
          <w:rPr>
            <w:noProof/>
            <w:webHidden/>
          </w:rPr>
          <w:tab/>
        </w:r>
        <w:r w:rsidR="00DE38B5">
          <w:rPr>
            <w:noProof/>
            <w:webHidden/>
          </w:rPr>
          <w:fldChar w:fldCharType="begin"/>
        </w:r>
        <w:r w:rsidR="00DE38B5">
          <w:rPr>
            <w:noProof/>
            <w:webHidden/>
          </w:rPr>
          <w:instrText xml:space="preserve"> PAGEREF _Toc149911790 \h </w:instrText>
        </w:r>
        <w:r w:rsidR="00DE38B5">
          <w:rPr>
            <w:noProof/>
            <w:webHidden/>
          </w:rPr>
        </w:r>
        <w:r w:rsidR="00DE38B5">
          <w:rPr>
            <w:noProof/>
            <w:webHidden/>
          </w:rPr>
          <w:fldChar w:fldCharType="separate"/>
        </w:r>
        <w:r w:rsidR="008A66EE">
          <w:rPr>
            <w:noProof/>
            <w:webHidden/>
          </w:rPr>
          <w:t>12</w:t>
        </w:r>
        <w:r w:rsidR="00DE38B5">
          <w:rPr>
            <w:noProof/>
            <w:webHidden/>
          </w:rPr>
          <w:fldChar w:fldCharType="end"/>
        </w:r>
      </w:hyperlink>
    </w:p>
    <w:p w14:paraId="4E505C9F" w14:textId="04C5225B" w:rsidR="00DE38B5" w:rsidRPr="00DE38B5" w:rsidRDefault="00DE38B5" w:rsidP="00DE38B5">
      <w:pPr>
        <w:pStyle w:val="Normalbeforebullets"/>
        <w:spacing w:before="240"/>
        <w:rPr>
          <w:b/>
          <w:bCs/>
          <w:noProof/>
        </w:rPr>
      </w:pPr>
      <w:r w:rsidRPr="00DE38B5">
        <w:rPr>
          <w:b/>
          <w:bCs/>
          <w:noProof/>
        </w:rPr>
        <w:t>Notes to the financial statements</w:t>
      </w:r>
    </w:p>
    <w:p w14:paraId="2BB28BCA" w14:textId="6229E717" w:rsidR="00DE38B5" w:rsidRDefault="00B5500D">
      <w:pPr>
        <w:pStyle w:val="TOC1"/>
        <w:tabs>
          <w:tab w:val="right" w:leader="dot" w:pos="10194"/>
        </w:tabs>
        <w:rPr>
          <w:rFonts w:asciiTheme="minorHAnsi" w:eastAsiaTheme="minorEastAsia" w:hAnsiTheme="minorHAnsi" w:cstheme="minorBidi"/>
          <w:b w:val="0"/>
          <w:noProof/>
          <w:sz w:val="22"/>
          <w:szCs w:val="22"/>
          <w:lang w:eastAsia="en-AU"/>
        </w:rPr>
      </w:pPr>
      <w:hyperlink w:anchor="_Toc149911791" w:history="1">
        <w:r w:rsidR="00DE38B5" w:rsidRPr="00467F2D">
          <w:rPr>
            <w:rStyle w:val="Hyperlink"/>
            <w:noProof/>
          </w:rPr>
          <w:t>1. About This Report</w:t>
        </w:r>
        <w:r w:rsidR="00DE38B5">
          <w:rPr>
            <w:noProof/>
            <w:webHidden/>
          </w:rPr>
          <w:tab/>
        </w:r>
        <w:r w:rsidR="00DE38B5">
          <w:rPr>
            <w:noProof/>
            <w:webHidden/>
          </w:rPr>
          <w:fldChar w:fldCharType="begin"/>
        </w:r>
        <w:r w:rsidR="00DE38B5">
          <w:rPr>
            <w:noProof/>
            <w:webHidden/>
          </w:rPr>
          <w:instrText xml:space="preserve"> PAGEREF _Toc149911791 \h </w:instrText>
        </w:r>
        <w:r w:rsidR="00DE38B5">
          <w:rPr>
            <w:noProof/>
            <w:webHidden/>
          </w:rPr>
        </w:r>
        <w:r w:rsidR="00DE38B5">
          <w:rPr>
            <w:noProof/>
            <w:webHidden/>
          </w:rPr>
          <w:fldChar w:fldCharType="separate"/>
        </w:r>
        <w:r w:rsidR="008A66EE">
          <w:rPr>
            <w:noProof/>
            <w:webHidden/>
          </w:rPr>
          <w:t>14</w:t>
        </w:r>
        <w:r w:rsidR="00DE38B5">
          <w:rPr>
            <w:noProof/>
            <w:webHidden/>
          </w:rPr>
          <w:fldChar w:fldCharType="end"/>
        </w:r>
      </w:hyperlink>
    </w:p>
    <w:p w14:paraId="7BA997C6" w14:textId="3A6260AD" w:rsidR="00DE38B5" w:rsidRDefault="00B5500D">
      <w:pPr>
        <w:pStyle w:val="TOC2"/>
        <w:tabs>
          <w:tab w:val="right" w:leader="dot" w:pos="10194"/>
        </w:tabs>
        <w:rPr>
          <w:rFonts w:asciiTheme="minorHAnsi" w:eastAsiaTheme="minorEastAsia" w:hAnsiTheme="minorHAnsi" w:cstheme="minorBidi"/>
          <w:noProof/>
          <w:sz w:val="22"/>
          <w:lang w:eastAsia="en-AU"/>
        </w:rPr>
      </w:pPr>
      <w:hyperlink w:anchor="_Toc149911792" w:history="1">
        <w:r w:rsidR="00DE38B5" w:rsidRPr="00467F2D">
          <w:rPr>
            <w:rStyle w:val="Hyperlink"/>
            <w:noProof/>
          </w:rPr>
          <w:t>Basis of accounting preparation and measurement</w:t>
        </w:r>
        <w:r w:rsidR="00DE38B5">
          <w:rPr>
            <w:noProof/>
            <w:webHidden/>
          </w:rPr>
          <w:tab/>
        </w:r>
        <w:r w:rsidR="00DE38B5">
          <w:rPr>
            <w:noProof/>
            <w:webHidden/>
          </w:rPr>
          <w:fldChar w:fldCharType="begin"/>
        </w:r>
        <w:r w:rsidR="00DE38B5">
          <w:rPr>
            <w:noProof/>
            <w:webHidden/>
          </w:rPr>
          <w:instrText xml:space="preserve"> PAGEREF _Toc149911792 \h </w:instrText>
        </w:r>
        <w:r w:rsidR="00DE38B5">
          <w:rPr>
            <w:noProof/>
            <w:webHidden/>
          </w:rPr>
        </w:r>
        <w:r w:rsidR="00DE38B5">
          <w:rPr>
            <w:noProof/>
            <w:webHidden/>
          </w:rPr>
          <w:fldChar w:fldCharType="separate"/>
        </w:r>
        <w:r w:rsidR="008A66EE">
          <w:rPr>
            <w:noProof/>
            <w:webHidden/>
          </w:rPr>
          <w:t>14</w:t>
        </w:r>
        <w:r w:rsidR="00DE38B5">
          <w:rPr>
            <w:noProof/>
            <w:webHidden/>
          </w:rPr>
          <w:fldChar w:fldCharType="end"/>
        </w:r>
      </w:hyperlink>
    </w:p>
    <w:p w14:paraId="34308D80" w14:textId="519081AE" w:rsidR="00DE38B5" w:rsidRDefault="00B5500D">
      <w:pPr>
        <w:pStyle w:val="TOC2"/>
        <w:tabs>
          <w:tab w:val="right" w:leader="dot" w:pos="10194"/>
        </w:tabs>
        <w:rPr>
          <w:rFonts w:asciiTheme="minorHAnsi" w:eastAsiaTheme="minorEastAsia" w:hAnsiTheme="minorHAnsi" w:cstheme="minorBidi"/>
          <w:noProof/>
          <w:sz w:val="22"/>
          <w:lang w:eastAsia="en-AU"/>
        </w:rPr>
      </w:pPr>
      <w:hyperlink w:anchor="_Toc149911793" w:history="1">
        <w:r w:rsidR="00DE38B5" w:rsidRPr="00467F2D">
          <w:rPr>
            <w:rStyle w:val="Hyperlink"/>
            <w:noProof/>
          </w:rPr>
          <w:t>Compliance information</w:t>
        </w:r>
        <w:r w:rsidR="00DE38B5">
          <w:rPr>
            <w:noProof/>
            <w:webHidden/>
          </w:rPr>
          <w:tab/>
        </w:r>
        <w:r w:rsidR="00DE38B5">
          <w:rPr>
            <w:noProof/>
            <w:webHidden/>
          </w:rPr>
          <w:fldChar w:fldCharType="begin"/>
        </w:r>
        <w:r w:rsidR="00DE38B5">
          <w:rPr>
            <w:noProof/>
            <w:webHidden/>
          </w:rPr>
          <w:instrText xml:space="preserve"> PAGEREF _Toc149911793 \h </w:instrText>
        </w:r>
        <w:r w:rsidR="00DE38B5">
          <w:rPr>
            <w:noProof/>
            <w:webHidden/>
          </w:rPr>
        </w:r>
        <w:r w:rsidR="00DE38B5">
          <w:rPr>
            <w:noProof/>
            <w:webHidden/>
          </w:rPr>
          <w:fldChar w:fldCharType="separate"/>
        </w:r>
        <w:r w:rsidR="008A66EE">
          <w:rPr>
            <w:noProof/>
            <w:webHidden/>
          </w:rPr>
          <w:t>15</w:t>
        </w:r>
        <w:r w:rsidR="00DE38B5">
          <w:rPr>
            <w:noProof/>
            <w:webHidden/>
          </w:rPr>
          <w:fldChar w:fldCharType="end"/>
        </w:r>
      </w:hyperlink>
    </w:p>
    <w:p w14:paraId="45B14A08" w14:textId="3669B989" w:rsidR="00DE38B5" w:rsidRDefault="00B5500D">
      <w:pPr>
        <w:pStyle w:val="TOC2"/>
        <w:tabs>
          <w:tab w:val="right" w:leader="dot" w:pos="10194"/>
        </w:tabs>
        <w:rPr>
          <w:rFonts w:asciiTheme="minorHAnsi" w:eastAsiaTheme="minorEastAsia" w:hAnsiTheme="minorHAnsi" w:cstheme="minorBidi"/>
          <w:noProof/>
          <w:sz w:val="22"/>
          <w:lang w:eastAsia="en-AU"/>
        </w:rPr>
      </w:pPr>
      <w:hyperlink w:anchor="_Toc149911794" w:history="1">
        <w:r w:rsidR="00DE38B5" w:rsidRPr="00467F2D">
          <w:rPr>
            <w:rStyle w:val="Hyperlink"/>
            <w:noProof/>
          </w:rPr>
          <w:t>Rounding of amounts</w:t>
        </w:r>
        <w:r w:rsidR="00DE38B5">
          <w:rPr>
            <w:noProof/>
            <w:webHidden/>
          </w:rPr>
          <w:tab/>
        </w:r>
        <w:r w:rsidR="00DE38B5">
          <w:rPr>
            <w:noProof/>
            <w:webHidden/>
          </w:rPr>
          <w:fldChar w:fldCharType="begin"/>
        </w:r>
        <w:r w:rsidR="00DE38B5">
          <w:rPr>
            <w:noProof/>
            <w:webHidden/>
          </w:rPr>
          <w:instrText xml:space="preserve"> PAGEREF _Toc149911794 \h </w:instrText>
        </w:r>
        <w:r w:rsidR="00DE38B5">
          <w:rPr>
            <w:noProof/>
            <w:webHidden/>
          </w:rPr>
        </w:r>
        <w:r w:rsidR="00DE38B5">
          <w:rPr>
            <w:noProof/>
            <w:webHidden/>
          </w:rPr>
          <w:fldChar w:fldCharType="separate"/>
        </w:r>
        <w:r w:rsidR="008A66EE">
          <w:rPr>
            <w:noProof/>
            <w:webHidden/>
          </w:rPr>
          <w:t>16</w:t>
        </w:r>
        <w:r w:rsidR="00DE38B5">
          <w:rPr>
            <w:noProof/>
            <w:webHidden/>
          </w:rPr>
          <w:fldChar w:fldCharType="end"/>
        </w:r>
      </w:hyperlink>
    </w:p>
    <w:p w14:paraId="3D71E947" w14:textId="379AF7D8" w:rsidR="00DE38B5" w:rsidRDefault="00B5500D">
      <w:pPr>
        <w:pStyle w:val="TOC1"/>
        <w:tabs>
          <w:tab w:val="right" w:leader="dot" w:pos="10194"/>
        </w:tabs>
        <w:rPr>
          <w:rFonts w:asciiTheme="minorHAnsi" w:eastAsiaTheme="minorEastAsia" w:hAnsiTheme="minorHAnsi" w:cstheme="minorBidi"/>
          <w:b w:val="0"/>
          <w:noProof/>
          <w:sz w:val="22"/>
          <w:szCs w:val="22"/>
          <w:lang w:eastAsia="en-AU"/>
        </w:rPr>
      </w:pPr>
      <w:hyperlink w:anchor="_Toc149911795" w:history="1">
        <w:r w:rsidR="00DE38B5" w:rsidRPr="00467F2D">
          <w:rPr>
            <w:rStyle w:val="Hyperlink"/>
            <w:noProof/>
          </w:rPr>
          <w:t>2. Funding Delivery of Our Services</w:t>
        </w:r>
        <w:r w:rsidR="00DE38B5">
          <w:rPr>
            <w:noProof/>
            <w:webHidden/>
          </w:rPr>
          <w:tab/>
        </w:r>
        <w:r w:rsidR="00DE38B5">
          <w:rPr>
            <w:noProof/>
            <w:webHidden/>
          </w:rPr>
          <w:fldChar w:fldCharType="begin"/>
        </w:r>
        <w:r w:rsidR="00DE38B5">
          <w:rPr>
            <w:noProof/>
            <w:webHidden/>
          </w:rPr>
          <w:instrText xml:space="preserve"> PAGEREF _Toc149911795 \h </w:instrText>
        </w:r>
        <w:r w:rsidR="00DE38B5">
          <w:rPr>
            <w:noProof/>
            <w:webHidden/>
          </w:rPr>
        </w:r>
        <w:r w:rsidR="00DE38B5">
          <w:rPr>
            <w:noProof/>
            <w:webHidden/>
          </w:rPr>
          <w:fldChar w:fldCharType="separate"/>
        </w:r>
        <w:r w:rsidR="008A66EE">
          <w:rPr>
            <w:noProof/>
            <w:webHidden/>
          </w:rPr>
          <w:t>17</w:t>
        </w:r>
        <w:r w:rsidR="00DE38B5">
          <w:rPr>
            <w:noProof/>
            <w:webHidden/>
          </w:rPr>
          <w:fldChar w:fldCharType="end"/>
        </w:r>
      </w:hyperlink>
    </w:p>
    <w:p w14:paraId="560F1080" w14:textId="0C1EE0E4" w:rsidR="00DE38B5" w:rsidRDefault="00B5500D">
      <w:pPr>
        <w:pStyle w:val="TOC2"/>
        <w:tabs>
          <w:tab w:val="right" w:leader="dot" w:pos="10194"/>
        </w:tabs>
        <w:rPr>
          <w:rFonts w:asciiTheme="minorHAnsi" w:eastAsiaTheme="minorEastAsia" w:hAnsiTheme="minorHAnsi" w:cstheme="minorBidi"/>
          <w:noProof/>
          <w:sz w:val="22"/>
          <w:lang w:eastAsia="en-AU"/>
        </w:rPr>
      </w:pPr>
      <w:hyperlink w:anchor="_Toc149911796" w:history="1">
        <w:r w:rsidR="00DE38B5" w:rsidRPr="00467F2D">
          <w:rPr>
            <w:rStyle w:val="Hyperlink"/>
            <w:noProof/>
          </w:rPr>
          <w:t>Introduction</w:t>
        </w:r>
        <w:r w:rsidR="00DE38B5">
          <w:rPr>
            <w:noProof/>
            <w:webHidden/>
          </w:rPr>
          <w:tab/>
        </w:r>
        <w:r w:rsidR="00DE38B5">
          <w:rPr>
            <w:noProof/>
            <w:webHidden/>
          </w:rPr>
          <w:fldChar w:fldCharType="begin"/>
        </w:r>
        <w:r w:rsidR="00DE38B5">
          <w:rPr>
            <w:noProof/>
            <w:webHidden/>
          </w:rPr>
          <w:instrText xml:space="preserve"> PAGEREF _Toc149911796 \h </w:instrText>
        </w:r>
        <w:r w:rsidR="00DE38B5">
          <w:rPr>
            <w:noProof/>
            <w:webHidden/>
          </w:rPr>
        </w:r>
        <w:r w:rsidR="00DE38B5">
          <w:rPr>
            <w:noProof/>
            <w:webHidden/>
          </w:rPr>
          <w:fldChar w:fldCharType="separate"/>
        </w:r>
        <w:r w:rsidR="008A66EE">
          <w:rPr>
            <w:noProof/>
            <w:webHidden/>
          </w:rPr>
          <w:t>17</w:t>
        </w:r>
        <w:r w:rsidR="00DE38B5">
          <w:rPr>
            <w:noProof/>
            <w:webHidden/>
          </w:rPr>
          <w:fldChar w:fldCharType="end"/>
        </w:r>
      </w:hyperlink>
    </w:p>
    <w:p w14:paraId="1AF8D1D3" w14:textId="5F71CADA" w:rsidR="00DE38B5" w:rsidRDefault="00B5500D">
      <w:pPr>
        <w:pStyle w:val="TOC2"/>
        <w:tabs>
          <w:tab w:val="right" w:leader="dot" w:pos="10194"/>
        </w:tabs>
        <w:rPr>
          <w:rFonts w:asciiTheme="minorHAnsi" w:eastAsiaTheme="minorEastAsia" w:hAnsiTheme="minorHAnsi" w:cstheme="minorBidi"/>
          <w:noProof/>
          <w:sz w:val="22"/>
          <w:lang w:eastAsia="en-AU"/>
        </w:rPr>
      </w:pPr>
      <w:hyperlink w:anchor="_Toc149911797" w:history="1">
        <w:r w:rsidR="00DE38B5" w:rsidRPr="00467F2D">
          <w:rPr>
            <w:rStyle w:val="Hyperlink"/>
            <w:noProof/>
          </w:rPr>
          <w:t>2.1 Summary of revenue and income that funds the delivery of our services</w:t>
        </w:r>
        <w:r w:rsidR="00DE38B5">
          <w:rPr>
            <w:noProof/>
            <w:webHidden/>
          </w:rPr>
          <w:tab/>
        </w:r>
        <w:r w:rsidR="00DE38B5">
          <w:rPr>
            <w:noProof/>
            <w:webHidden/>
          </w:rPr>
          <w:fldChar w:fldCharType="begin"/>
        </w:r>
        <w:r w:rsidR="00DE38B5">
          <w:rPr>
            <w:noProof/>
            <w:webHidden/>
          </w:rPr>
          <w:instrText xml:space="preserve"> PAGEREF _Toc149911797 \h </w:instrText>
        </w:r>
        <w:r w:rsidR="00DE38B5">
          <w:rPr>
            <w:noProof/>
            <w:webHidden/>
          </w:rPr>
        </w:r>
        <w:r w:rsidR="00DE38B5">
          <w:rPr>
            <w:noProof/>
            <w:webHidden/>
          </w:rPr>
          <w:fldChar w:fldCharType="separate"/>
        </w:r>
        <w:r w:rsidR="008A66EE">
          <w:rPr>
            <w:noProof/>
            <w:webHidden/>
          </w:rPr>
          <w:t>17</w:t>
        </w:r>
        <w:r w:rsidR="00DE38B5">
          <w:rPr>
            <w:noProof/>
            <w:webHidden/>
          </w:rPr>
          <w:fldChar w:fldCharType="end"/>
        </w:r>
      </w:hyperlink>
    </w:p>
    <w:p w14:paraId="56963E87" w14:textId="66D47EA9" w:rsidR="00DE38B5" w:rsidRDefault="00B5500D">
      <w:pPr>
        <w:pStyle w:val="TOC2"/>
        <w:tabs>
          <w:tab w:val="right" w:leader="dot" w:pos="10194"/>
        </w:tabs>
        <w:rPr>
          <w:rFonts w:asciiTheme="minorHAnsi" w:eastAsiaTheme="minorEastAsia" w:hAnsiTheme="minorHAnsi" w:cstheme="minorBidi"/>
          <w:noProof/>
          <w:sz w:val="22"/>
          <w:lang w:eastAsia="en-AU"/>
        </w:rPr>
      </w:pPr>
      <w:hyperlink w:anchor="_Toc149911798" w:history="1">
        <w:r w:rsidR="00DE38B5" w:rsidRPr="00467F2D">
          <w:rPr>
            <w:rStyle w:val="Hyperlink"/>
            <w:noProof/>
          </w:rPr>
          <w:t>2.2 Appropriations</w:t>
        </w:r>
        <w:r w:rsidR="00DE38B5">
          <w:rPr>
            <w:noProof/>
            <w:webHidden/>
          </w:rPr>
          <w:tab/>
        </w:r>
        <w:r w:rsidR="00DE38B5">
          <w:rPr>
            <w:noProof/>
            <w:webHidden/>
          </w:rPr>
          <w:fldChar w:fldCharType="begin"/>
        </w:r>
        <w:r w:rsidR="00DE38B5">
          <w:rPr>
            <w:noProof/>
            <w:webHidden/>
          </w:rPr>
          <w:instrText xml:space="preserve"> PAGEREF _Toc149911798 \h </w:instrText>
        </w:r>
        <w:r w:rsidR="00DE38B5">
          <w:rPr>
            <w:noProof/>
            <w:webHidden/>
          </w:rPr>
        </w:r>
        <w:r w:rsidR="00DE38B5">
          <w:rPr>
            <w:noProof/>
            <w:webHidden/>
          </w:rPr>
          <w:fldChar w:fldCharType="separate"/>
        </w:r>
        <w:r w:rsidR="008A66EE">
          <w:rPr>
            <w:noProof/>
            <w:webHidden/>
          </w:rPr>
          <w:t>18</w:t>
        </w:r>
        <w:r w:rsidR="00DE38B5">
          <w:rPr>
            <w:noProof/>
            <w:webHidden/>
          </w:rPr>
          <w:fldChar w:fldCharType="end"/>
        </w:r>
      </w:hyperlink>
    </w:p>
    <w:p w14:paraId="5CE9A7B1" w14:textId="463F2B46" w:rsidR="00DE38B5" w:rsidRDefault="00B5500D">
      <w:pPr>
        <w:pStyle w:val="TOC2"/>
        <w:tabs>
          <w:tab w:val="right" w:leader="dot" w:pos="10194"/>
        </w:tabs>
        <w:rPr>
          <w:rFonts w:asciiTheme="minorHAnsi" w:eastAsiaTheme="minorEastAsia" w:hAnsiTheme="minorHAnsi" w:cstheme="minorBidi"/>
          <w:noProof/>
          <w:sz w:val="22"/>
          <w:lang w:eastAsia="en-AU"/>
        </w:rPr>
      </w:pPr>
      <w:hyperlink w:anchor="_Toc149911799" w:history="1">
        <w:r w:rsidR="00DE38B5" w:rsidRPr="00467F2D">
          <w:rPr>
            <w:rStyle w:val="Hyperlink"/>
            <w:noProof/>
          </w:rPr>
          <w:t>2.3 Summary of compliance with annual Parliamentary appropriations</w:t>
        </w:r>
        <w:r w:rsidR="00DE38B5">
          <w:rPr>
            <w:noProof/>
            <w:webHidden/>
          </w:rPr>
          <w:tab/>
        </w:r>
        <w:r w:rsidR="00DE38B5">
          <w:rPr>
            <w:noProof/>
            <w:webHidden/>
          </w:rPr>
          <w:fldChar w:fldCharType="begin"/>
        </w:r>
        <w:r w:rsidR="00DE38B5">
          <w:rPr>
            <w:noProof/>
            <w:webHidden/>
          </w:rPr>
          <w:instrText xml:space="preserve"> PAGEREF _Toc149911799 \h </w:instrText>
        </w:r>
        <w:r w:rsidR="00DE38B5">
          <w:rPr>
            <w:noProof/>
            <w:webHidden/>
          </w:rPr>
        </w:r>
        <w:r w:rsidR="00DE38B5">
          <w:rPr>
            <w:noProof/>
            <w:webHidden/>
          </w:rPr>
          <w:fldChar w:fldCharType="separate"/>
        </w:r>
        <w:r w:rsidR="008A66EE">
          <w:rPr>
            <w:noProof/>
            <w:webHidden/>
          </w:rPr>
          <w:t>18</w:t>
        </w:r>
        <w:r w:rsidR="00DE38B5">
          <w:rPr>
            <w:noProof/>
            <w:webHidden/>
          </w:rPr>
          <w:fldChar w:fldCharType="end"/>
        </w:r>
      </w:hyperlink>
    </w:p>
    <w:p w14:paraId="0AD32BAA" w14:textId="49748AF6" w:rsidR="00DE38B5" w:rsidRDefault="00B5500D">
      <w:pPr>
        <w:pStyle w:val="TOC2"/>
        <w:tabs>
          <w:tab w:val="right" w:leader="dot" w:pos="10194"/>
        </w:tabs>
        <w:rPr>
          <w:rFonts w:asciiTheme="minorHAnsi" w:eastAsiaTheme="minorEastAsia" w:hAnsiTheme="minorHAnsi" w:cstheme="minorBidi"/>
          <w:noProof/>
          <w:sz w:val="22"/>
          <w:lang w:eastAsia="en-AU"/>
        </w:rPr>
      </w:pPr>
      <w:hyperlink w:anchor="_Toc149911800" w:history="1">
        <w:r w:rsidR="00DE38B5" w:rsidRPr="00467F2D">
          <w:rPr>
            <w:rStyle w:val="Hyperlink"/>
            <w:noProof/>
          </w:rPr>
          <w:t>2.4 Revenue and income from</w:t>
        </w:r>
        <w:r w:rsidR="00DE38B5" w:rsidRPr="00467F2D">
          <w:rPr>
            <w:rStyle w:val="Hyperlink"/>
            <w:rFonts w:ascii="Cambria" w:hAnsi="Cambria" w:cs="Cambria"/>
            <w:noProof/>
          </w:rPr>
          <w:t xml:space="preserve"> </w:t>
        </w:r>
        <w:r w:rsidR="00DE38B5" w:rsidRPr="00467F2D">
          <w:rPr>
            <w:rStyle w:val="Hyperlink"/>
            <w:noProof/>
          </w:rPr>
          <w:t>transactions</w:t>
        </w:r>
        <w:r w:rsidR="00DE38B5">
          <w:rPr>
            <w:noProof/>
            <w:webHidden/>
          </w:rPr>
          <w:tab/>
        </w:r>
        <w:r w:rsidR="00DE38B5">
          <w:rPr>
            <w:noProof/>
            <w:webHidden/>
          </w:rPr>
          <w:fldChar w:fldCharType="begin"/>
        </w:r>
        <w:r w:rsidR="00DE38B5">
          <w:rPr>
            <w:noProof/>
            <w:webHidden/>
          </w:rPr>
          <w:instrText xml:space="preserve"> PAGEREF _Toc149911800 \h </w:instrText>
        </w:r>
        <w:r w:rsidR="00DE38B5">
          <w:rPr>
            <w:noProof/>
            <w:webHidden/>
          </w:rPr>
        </w:r>
        <w:r w:rsidR="00DE38B5">
          <w:rPr>
            <w:noProof/>
            <w:webHidden/>
          </w:rPr>
          <w:fldChar w:fldCharType="separate"/>
        </w:r>
        <w:r w:rsidR="008A66EE">
          <w:rPr>
            <w:noProof/>
            <w:webHidden/>
          </w:rPr>
          <w:t>21</w:t>
        </w:r>
        <w:r w:rsidR="00DE38B5">
          <w:rPr>
            <w:noProof/>
            <w:webHidden/>
          </w:rPr>
          <w:fldChar w:fldCharType="end"/>
        </w:r>
      </w:hyperlink>
    </w:p>
    <w:p w14:paraId="623EBD9F" w14:textId="0854D30B" w:rsidR="00DE38B5" w:rsidRDefault="00B5500D">
      <w:pPr>
        <w:pStyle w:val="TOC2"/>
        <w:tabs>
          <w:tab w:val="right" w:leader="dot" w:pos="10194"/>
        </w:tabs>
        <w:rPr>
          <w:rFonts w:asciiTheme="minorHAnsi" w:eastAsiaTheme="minorEastAsia" w:hAnsiTheme="minorHAnsi" w:cstheme="minorBidi"/>
          <w:noProof/>
          <w:sz w:val="22"/>
          <w:lang w:eastAsia="en-AU"/>
        </w:rPr>
      </w:pPr>
      <w:hyperlink w:anchor="_Toc149911801" w:history="1">
        <w:r w:rsidR="00DE38B5" w:rsidRPr="00467F2D">
          <w:rPr>
            <w:rStyle w:val="Hyperlink"/>
            <w:noProof/>
          </w:rPr>
          <w:t>2.5 Annotated income</w:t>
        </w:r>
        <w:r w:rsidR="00DE38B5">
          <w:rPr>
            <w:noProof/>
            <w:webHidden/>
          </w:rPr>
          <w:tab/>
        </w:r>
        <w:r w:rsidR="00DE38B5">
          <w:rPr>
            <w:noProof/>
            <w:webHidden/>
          </w:rPr>
          <w:fldChar w:fldCharType="begin"/>
        </w:r>
        <w:r w:rsidR="00DE38B5">
          <w:rPr>
            <w:noProof/>
            <w:webHidden/>
          </w:rPr>
          <w:instrText xml:space="preserve"> PAGEREF _Toc149911801 \h </w:instrText>
        </w:r>
        <w:r w:rsidR="00DE38B5">
          <w:rPr>
            <w:noProof/>
            <w:webHidden/>
          </w:rPr>
        </w:r>
        <w:r w:rsidR="00DE38B5">
          <w:rPr>
            <w:noProof/>
            <w:webHidden/>
          </w:rPr>
          <w:fldChar w:fldCharType="separate"/>
        </w:r>
        <w:r w:rsidR="008A66EE">
          <w:rPr>
            <w:noProof/>
            <w:webHidden/>
          </w:rPr>
          <w:t>23</w:t>
        </w:r>
        <w:r w:rsidR="00DE38B5">
          <w:rPr>
            <w:noProof/>
            <w:webHidden/>
          </w:rPr>
          <w:fldChar w:fldCharType="end"/>
        </w:r>
      </w:hyperlink>
    </w:p>
    <w:p w14:paraId="1BFD64B1" w14:textId="26A44260" w:rsidR="00DE38B5" w:rsidRDefault="00B5500D">
      <w:pPr>
        <w:pStyle w:val="TOC1"/>
        <w:tabs>
          <w:tab w:val="right" w:leader="dot" w:pos="10194"/>
        </w:tabs>
        <w:rPr>
          <w:rFonts w:asciiTheme="minorHAnsi" w:eastAsiaTheme="minorEastAsia" w:hAnsiTheme="minorHAnsi" w:cstheme="minorBidi"/>
          <w:b w:val="0"/>
          <w:noProof/>
          <w:sz w:val="22"/>
          <w:szCs w:val="22"/>
          <w:lang w:eastAsia="en-AU"/>
        </w:rPr>
      </w:pPr>
      <w:hyperlink w:anchor="_Toc149911802" w:history="1">
        <w:r w:rsidR="00DE38B5" w:rsidRPr="00467F2D">
          <w:rPr>
            <w:rStyle w:val="Hyperlink"/>
            <w:noProof/>
          </w:rPr>
          <w:t>3. The Cost of Delivering Services</w:t>
        </w:r>
        <w:r w:rsidR="00DE38B5">
          <w:rPr>
            <w:noProof/>
            <w:webHidden/>
          </w:rPr>
          <w:tab/>
        </w:r>
        <w:r w:rsidR="00DE38B5">
          <w:rPr>
            <w:noProof/>
            <w:webHidden/>
          </w:rPr>
          <w:fldChar w:fldCharType="begin"/>
        </w:r>
        <w:r w:rsidR="00DE38B5">
          <w:rPr>
            <w:noProof/>
            <w:webHidden/>
          </w:rPr>
          <w:instrText xml:space="preserve"> PAGEREF _Toc149911802 \h </w:instrText>
        </w:r>
        <w:r w:rsidR="00DE38B5">
          <w:rPr>
            <w:noProof/>
            <w:webHidden/>
          </w:rPr>
        </w:r>
        <w:r w:rsidR="00DE38B5">
          <w:rPr>
            <w:noProof/>
            <w:webHidden/>
          </w:rPr>
          <w:fldChar w:fldCharType="separate"/>
        </w:r>
        <w:r w:rsidR="008A66EE">
          <w:rPr>
            <w:noProof/>
            <w:webHidden/>
          </w:rPr>
          <w:t>26</w:t>
        </w:r>
        <w:r w:rsidR="00DE38B5">
          <w:rPr>
            <w:noProof/>
            <w:webHidden/>
          </w:rPr>
          <w:fldChar w:fldCharType="end"/>
        </w:r>
      </w:hyperlink>
    </w:p>
    <w:p w14:paraId="630C8B4D" w14:textId="54400ED9" w:rsidR="00DE38B5" w:rsidRDefault="00B5500D">
      <w:pPr>
        <w:pStyle w:val="TOC2"/>
        <w:tabs>
          <w:tab w:val="right" w:leader="dot" w:pos="10194"/>
        </w:tabs>
        <w:rPr>
          <w:rFonts w:asciiTheme="minorHAnsi" w:eastAsiaTheme="minorEastAsia" w:hAnsiTheme="minorHAnsi" w:cstheme="minorBidi"/>
          <w:noProof/>
          <w:sz w:val="22"/>
          <w:lang w:eastAsia="en-AU"/>
        </w:rPr>
      </w:pPr>
      <w:hyperlink w:anchor="_Toc149911803" w:history="1">
        <w:r w:rsidR="00DE38B5" w:rsidRPr="00467F2D">
          <w:rPr>
            <w:rStyle w:val="Hyperlink"/>
            <w:noProof/>
          </w:rPr>
          <w:t>Introduction</w:t>
        </w:r>
        <w:r w:rsidR="00DE38B5">
          <w:rPr>
            <w:noProof/>
            <w:webHidden/>
          </w:rPr>
          <w:tab/>
        </w:r>
        <w:r w:rsidR="00DE38B5">
          <w:rPr>
            <w:noProof/>
            <w:webHidden/>
          </w:rPr>
          <w:fldChar w:fldCharType="begin"/>
        </w:r>
        <w:r w:rsidR="00DE38B5">
          <w:rPr>
            <w:noProof/>
            <w:webHidden/>
          </w:rPr>
          <w:instrText xml:space="preserve"> PAGEREF _Toc149911803 \h </w:instrText>
        </w:r>
        <w:r w:rsidR="00DE38B5">
          <w:rPr>
            <w:noProof/>
            <w:webHidden/>
          </w:rPr>
        </w:r>
        <w:r w:rsidR="00DE38B5">
          <w:rPr>
            <w:noProof/>
            <w:webHidden/>
          </w:rPr>
          <w:fldChar w:fldCharType="separate"/>
        </w:r>
        <w:r w:rsidR="008A66EE">
          <w:rPr>
            <w:noProof/>
            <w:webHidden/>
          </w:rPr>
          <w:t>26</w:t>
        </w:r>
        <w:r w:rsidR="00DE38B5">
          <w:rPr>
            <w:noProof/>
            <w:webHidden/>
          </w:rPr>
          <w:fldChar w:fldCharType="end"/>
        </w:r>
      </w:hyperlink>
    </w:p>
    <w:p w14:paraId="7349013B" w14:textId="19C675B1" w:rsidR="00DE38B5" w:rsidRDefault="00B5500D">
      <w:pPr>
        <w:pStyle w:val="TOC2"/>
        <w:tabs>
          <w:tab w:val="right" w:leader="dot" w:pos="10194"/>
        </w:tabs>
        <w:rPr>
          <w:rFonts w:asciiTheme="minorHAnsi" w:eastAsiaTheme="minorEastAsia" w:hAnsiTheme="minorHAnsi" w:cstheme="minorBidi"/>
          <w:noProof/>
          <w:sz w:val="22"/>
          <w:lang w:eastAsia="en-AU"/>
        </w:rPr>
      </w:pPr>
      <w:hyperlink w:anchor="_Toc149911804" w:history="1">
        <w:r w:rsidR="00DE38B5" w:rsidRPr="00467F2D">
          <w:rPr>
            <w:rStyle w:val="Hyperlink"/>
            <w:noProof/>
          </w:rPr>
          <w:t>3.1 Expenses incurred in delivery of services</w:t>
        </w:r>
        <w:r w:rsidR="00DE38B5">
          <w:rPr>
            <w:noProof/>
            <w:webHidden/>
          </w:rPr>
          <w:tab/>
        </w:r>
        <w:r w:rsidR="00DE38B5">
          <w:rPr>
            <w:noProof/>
            <w:webHidden/>
          </w:rPr>
          <w:fldChar w:fldCharType="begin"/>
        </w:r>
        <w:r w:rsidR="00DE38B5">
          <w:rPr>
            <w:noProof/>
            <w:webHidden/>
          </w:rPr>
          <w:instrText xml:space="preserve"> PAGEREF _Toc149911804 \h </w:instrText>
        </w:r>
        <w:r w:rsidR="00DE38B5">
          <w:rPr>
            <w:noProof/>
            <w:webHidden/>
          </w:rPr>
        </w:r>
        <w:r w:rsidR="00DE38B5">
          <w:rPr>
            <w:noProof/>
            <w:webHidden/>
          </w:rPr>
          <w:fldChar w:fldCharType="separate"/>
        </w:r>
        <w:r w:rsidR="008A66EE">
          <w:rPr>
            <w:noProof/>
            <w:webHidden/>
          </w:rPr>
          <w:t>26</w:t>
        </w:r>
        <w:r w:rsidR="00DE38B5">
          <w:rPr>
            <w:noProof/>
            <w:webHidden/>
          </w:rPr>
          <w:fldChar w:fldCharType="end"/>
        </w:r>
      </w:hyperlink>
    </w:p>
    <w:p w14:paraId="52C122BA" w14:textId="5A9F8D19" w:rsidR="00DE38B5" w:rsidRDefault="00B5500D">
      <w:pPr>
        <w:pStyle w:val="TOC2"/>
        <w:tabs>
          <w:tab w:val="right" w:leader="dot" w:pos="10194"/>
        </w:tabs>
        <w:rPr>
          <w:rFonts w:asciiTheme="minorHAnsi" w:eastAsiaTheme="minorEastAsia" w:hAnsiTheme="minorHAnsi" w:cstheme="minorBidi"/>
          <w:noProof/>
          <w:sz w:val="22"/>
          <w:lang w:eastAsia="en-AU"/>
        </w:rPr>
      </w:pPr>
      <w:hyperlink w:anchor="_Toc149911805" w:history="1">
        <w:r w:rsidR="00DE38B5" w:rsidRPr="00467F2D">
          <w:rPr>
            <w:rStyle w:val="Hyperlink"/>
            <w:noProof/>
          </w:rPr>
          <w:t>3.2 Grant expenses</w:t>
        </w:r>
        <w:r w:rsidR="00DE38B5">
          <w:rPr>
            <w:noProof/>
            <w:webHidden/>
          </w:rPr>
          <w:tab/>
        </w:r>
        <w:r w:rsidR="00DE38B5">
          <w:rPr>
            <w:noProof/>
            <w:webHidden/>
          </w:rPr>
          <w:fldChar w:fldCharType="begin"/>
        </w:r>
        <w:r w:rsidR="00DE38B5">
          <w:rPr>
            <w:noProof/>
            <w:webHidden/>
          </w:rPr>
          <w:instrText xml:space="preserve"> PAGEREF _Toc149911805 \h </w:instrText>
        </w:r>
        <w:r w:rsidR="00DE38B5">
          <w:rPr>
            <w:noProof/>
            <w:webHidden/>
          </w:rPr>
        </w:r>
        <w:r w:rsidR="00DE38B5">
          <w:rPr>
            <w:noProof/>
            <w:webHidden/>
          </w:rPr>
          <w:fldChar w:fldCharType="separate"/>
        </w:r>
        <w:r w:rsidR="008A66EE">
          <w:rPr>
            <w:noProof/>
            <w:webHidden/>
          </w:rPr>
          <w:t>27</w:t>
        </w:r>
        <w:r w:rsidR="00DE38B5">
          <w:rPr>
            <w:noProof/>
            <w:webHidden/>
          </w:rPr>
          <w:fldChar w:fldCharType="end"/>
        </w:r>
      </w:hyperlink>
    </w:p>
    <w:p w14:paraId="565E21CB" w14:textId="0C6B194E" w:rsidR="00DE38B5" w:rsidRDefault="00B5500D">
      <w:pPr>
        <w:pStyle w:val="TOC2"/>
        <w:tabs>
          <w:tab w:val="right" w:leader="dot" w:pos="10194"/>
        </w:tabs>
        <w:rPr>
          <w:rFonts w:asciiTheme="minorHAnsi" w:eastAsiaTheme="minorEastAsia" w:hAnsiTheme="minorHAnsi" w:cstheme="minorBidi"/>
          <w:noProof/>
          <w:sz w:val="22"/>
          <w:lang w:eastAsia="en-AU"/>
        </w:rPr>
      </w:pPr>
      <w:hyperlink w:anchor="_Toc149911806" w:history="1">
        <w:r w:rsidR="00DE38B5" w:rsidRPr="00467F2D">
          <w:rPr>
            <w:rStyle w:val="Hyperlink"/>
            <w:noProof/>
          </w:rPr>
          <w:t>3.3 Employee benefits</w:t>
        </w:r>
        <w:r w:rsidR="00DE38B5">
          <w:rPr>
            <w:noProof/>
            <w:webHidden/>
          </w:rPr>
          <w:tab/>
        </w:r>
        <w:r w:rsidR="00DE38B5">
          <w:rPr>
            <w:noProof/>
            <w:webHidden/>
          </w:rPr>
          <w:fldChar w:fldCharType="begin"/>
        </w:r>
        <w:r w:rsidR="00DE38B5">
          <w:rPr>
            <w:noProof/>
            <w:webHidden/>
          </w:rPr>
          <w:instrText xml:space="preserve"> PAGEREF _Toc149911806 \h </w:instrText>
        </w:r>
        <w:r w:rsidR="00DE38B5">
          <w:rPr>
            <w:noProof/>
            <w:webHidden/>
          </w:rPr>
        </w:r>
        <w:r w:rsidR="00DE38B5">
          <w:rPr>
            <w:noProof/>
            <w:webHidden/>
          </w:rPr>
          <w:fldChar w:fldCharType="separate"/>
        </w:r>
        <w:r w:rsidR="008A66EE">
          <w:rPr>
            <w:noProof/>
            <w:webHidden/>
          </w:rPr>
          <w:t>28</w:t>
        </w:r>
        <w:r w:rsidR="00DE38B5">
          <w:rPr>
            <w:noProof/>
            <w:webHidden/>
          </w:rPr>
          <w:fldChar w:fldCharType="end"/>
        </w:r>
      </w:hyperlink>
    </w:p>
    <w:p w14:paraId="74435BFC" w14:textId="0CA13A14" w:rsidR="00DE38B5" w:rsidRDefault="00B5500D">
      <w:pPr>
        <w:pStyle w:val="TOC2"/>
        <w:tabs>
          <w:tab w:val="right" w:leader="dot" w:pos="10194"/>
        </w:tabs>
        <w:rPr>
          <w:rFonts w:asciiTheme="minorHAnsi" w:eastAsiaTheme="minorEastAsia" w:hAnsiTheme="minorHAnsi" w:cstheme="minorBidi"/>
          <w:noProof/>
          <w:sz w:val="22"/>
          <w:lang w:eastAsia="en-AU"/>
        </w:rPr>
      </w:pPr>
      <w:hyperlink w:anchor="_Toc149911807" w:history="1">
        <w:r w:rsidR="00DE38B5" w:rsidRPr="00467F2D">
          <w:rPr>
            <w:rStyle w:val="Hyperlink"/>
            <w:noProof/>
          </w:rPr>
          <w:t>3.4 Other operating expenses</w:t>
        </w:r>
        <w:r w:rsidR="00DE38B5">
          <w:rPr>
            <w:noProof/>
            <w:webHidden/>
          </w:rPr>
          <w:tab/>
        </w:r>
        <w:r w:rsidR="00DE38B5">
          <w:rPr>
            <w:noProof/>
            <w:webHidden/>
          </w:rPr>
          <w:fldChar w:fldCharType="begin"/>
        </w:r>
        <w:r w:rsidR="00DE38B5">
          <w:rPr>
            <w:noProof/>
            <w:webHidden/>
          </w:rPr>
          <w:instrText xml:space="preserve"> PAGEREF _Toc149911807 \h </w:instrText>
        </w:r>
        <w:r w:rsidR="00DE38B5">
          <w:rPr>
            <w:noProof/>
            <w:webHidden/>
          </w:rPr>
        </w:r>
        <w:r w:rsidR="00DE38B5">
          <w:rPr>
            <w:noProof/>
            <w:webHidden/>
          </w:rPr>
          <w:fldChar w:fldCharType="separate"/>
        </w:r>
        <w:r w:rsidR="008A66EE">
          <w:rPr>
            <w:noProof/>
            <w:webHidden/>
          </w:rPr>
          <w:t>32</w:t>
        </w:r>
        <w:r w:rsidR="00DE38B5">
          <w:rPr>
            <w:noProof/>
            <w:webHidden/>
          </w:rPr>
          <w:fldChar w:fldCharType="end"/>
        </w:r>
      </w:hyperlink>
    </w:p>
    <w:p w14:paraId="572CBA52" w14:textId="7F29E23D" w:rsidR="00DE38B5" w:rsidRDefault="00B5500D">
      <w:pPr>
        <w:pStyle w:val="TOC1"/>
        <w:tabs>
          <w:tab w:val="right" w:leader="dot" w:pos="10194"/>
        </w:tabs>
        <w:rPr>
          <w:rFonts w:asciiTheme="minorHAnsi" w:eastAsiaTheme="minorEastAsia" w:hAnsiTheme="minorHAnsi" w:cstheme="minorBidi"/>
          <w:b w:val="0"/>
          <w:noProof/>
          <w:sz w:val="22"/>
          <w:szCs w:val="22"/>
          <w:lang w:eastAsia="en-AU"/>
        </w:rPr>
      </w:pPr>
      <w:hyperlink w:anchor="_Toc149911808" w:history="1">
        <w:r w:rsidR="00DE38B5" w:rsidRPr="00467F2D">
          <w:rPr>
            <w:rStyle w:val="Hyperlink"/>
            <w:noProof/>
          </w:rPr>
          <w:t>4. Disaggregated Financial Information</w:t>
        </w:r>
        <w:r w:rsidR="00DE38B5" w:rsidRPr="00467F2D">
          <w:rPr>
            <w:rStyle w:val="Hyperlink"/>
            <w:rFonts w:ascii="Cambria" w:hAnsi="Cambria" w:cs="Cambria"/>
            <w:noProof/>
          </w:rPr>
          <w:t xml:space="preserve"> </w:t>
        </w:r>
        <w:r w:rsidR="00DE38B5" w:rsidRPr="00467F2D">
          <w:rPr>
            <w:rStyle w:val="Hyperlink"/>
            <w:noProof/>
          </w:rPr>
          <w:t>by</w:t>
        </w:r>
        <w:r w:rsidR="00DE38B5" w:rsidRPr="00467F2D">
          <w:rPr>
            <w:rStyle w:val="Hyperlink"/>
            <w:rFonts w:ascii="Cambria" w:hAnsi="Cambria" w:cs="Cambria"/>
            <w:noProof/>
          </w:rPr>
          <w:t xml:space="preserve"> </w:t>
        </w:r>
        <w:r w:rsidR="00DE38B5" w:rsidRPr="00467F2D">
          <w:rPr>
            <w:rStyle w:val="Hyperlink"/>
            <w:noProof/>
          </w:rPr>
          <w:t>Output</w:t>
        </w:r>
        <w:r w:rsidR="00DE38B5">
          <w:rPr>
            <w:noProof/>
            <w:webHidden/>
          </w:rPr>
          <w:tab/>
        </w:r>
        <w:r w:rsidR="00DE38B5">
          <w:rPr>
            <w:noProof/>
            <w:webHidden/>
          </w:rPr>
          <w:fldChar w:fldCharType="begin"/>
        </w:r>
        <w:r w:rsidR="00DE38B5">
          <w:rPr>
            <w:noProof/>
            <w:webHidden/>
          </w:rPr>
          <w:instrText xml:space="preserve"> PAGEREF _Toc149911808 \h </w:instrText>
        </w:r>
        <w:r w:rsidR="00DE38B5">
          <w:rPr>
            <w:noProof/>
            <w:webHidden/>
          </w:rPr>
        </w:r>
        <w:r w:rsidR="00DE38B5">
          <w:rPr>
            <w:noProof/>
            <w:webHidden/>
          </w:rPr>
          <w:fldChar w:fldCharType="separate"/>
        </w:r>
        <w:r w:rsidR="008A66EE">
          <w:rPr>
            <w:noProof/>
            <w:webHidden/>
          </w:rPr>
          <w:t>34</w:t>
        </w:r>
        <w:r w:rsidR="00DE38B5">
          <w:rPr>
            <w:noProof/>
            <w:webHidden/>
          </w:rPr>
          <w:fldChar w:fldCharType="end"/>
        </w:r>
      </w:hyperlink>
    </w:p>
    <w:p w14:paraId="69F4CBA8" w14:textId="1F456FFF" w:rsidR="00DE38B5" w:rsidRDefault="00B5500D">
      <w:pPr>
        <w:pStyle w:val="TOC2"/>
        <w:tabs>
          <w:tab w:val="right" w:leader="dot" w:pos="10194"/>
        </w:tabs>
        <w:rPr>
          <w:rFonts w:asciiTheme="minorHAnsi" w:eastAsiaTheme="minorEastAsia" w:hAnsiTheme="minorHAnsi" w:cstheme="minorBidi"/>
          <w:noProof/>
          <w:sz w:val="22"/>
          <w:lang w:eastAsia="en-AU"/>
        </w:rPr>
      </w:pPr>
      <w:hyperlink w:anchor="_Toc149911809" w:history="1">
        <w:r w:rsidR="00DE38B5" w:rsidRPr="00467F2D">
          <w:rPr>
            <w:rStyle w:val="Hyperlink"/>
            <w:noProof/>
          </w:rPr>
          <w:t>Introduction</w:t>
        </w:r>
        <w:r w:rsidR="00DE38B5">
          <w:rPr>
            <w:noProof/>
            <w:webHidden/>
          </w:rPr>
          <w:tab/>
        </w:r>
        <w:r w:rsidR="00DE38B5">
          <w:rPr>
            <w:noProof/>
            <w:webHidden/>
          </w:rPr>
          <w:fldChar w:fldCharType="begin"/>
        </w:r>
        <w:r w:rsidR="00DE38B5">
          <w:rPr>
            <w:noProof/>
            <w:webHidden/>
          </w:rPr>
          <w:instrText xml:space="preserve"> PAGEREF _Toc149911809 \h </w:instrText>
        </w:r>
        <w:r w:rsidR="00DE38B5">
          <w:rPr>
            <w:noProof/>
            <w:webHidden/>
          </w:rPr>
        </w:r>
        <w:r w:rsidR="00DE38B5">
          <w:rPr>
            <w:noProof/>
            <w:webHidden/>
          </w:rPr>
          <w:fldChar w:fldCharType="separate"/>
        </w:r>
        <w:r w:rsidR="008A66EE">
          <w:rPr>
            <w:noProof/>
            <w:webHidden/>
          </w:rPr>
          <w:t>34</w:t>
        </w:r>
        <w:r w:rsidR="00DE38B5">
          <w:rPr>
            <w:noProof/>
            <w:webHidden/>
          </w:rPr>
          <w:fldChar w:fldCharType="end"/>
        </w:r>
      </w:hyperlink>
    </w:p>
    <w:p w14:paraId="6F35CD23" w14:textId="30528A36" w:rsidR="00DE38B5" w:rsidRDefault="00B5500D">
      <w:pPr>
        <w:pStyle w:val="TOC2"/>
        <w:tabs>
          <w:tab w:val="right" w:leader="dot" w:pos="10194"/>
        </w:tabs>
        <w:rPr>
          <w:rFonts w:asciiTheme="minorHAnsi" w:eastAsiaTheme="minorEastAsia" w:hAnsiTheme="minorHAnsi" w:cstheme="minorBidi"/>
          <w:noProof/>
          <w:sz w:val="22"/>
          <w:lang w:eastAsia="en-AU"/>
        </w:rPr>
      </w:pPr>
      <w:hyperlink w:anchor="_Toc149911810" w:history="1">
        <w:r w:rsidR="00DE38B5" w:rsidRPr="00467F2D">
          <w:rPr>
            <w:rStyle w:val="Hyperlink"/>
            <w:noProof/>
          </w:rPr>
          <w:t>4.1 Departmental outputs</w:t>
        </w:r>
        <w:r w:rsidR="00DE38B5">
          <w:rPr>
            <w:noProof/>
            <w:webHidden/>
          </w:rPr>
          <w:tab/>
        </w:r>
        <w:r w:rsidR="00DE38B5">
          <w:rPr>
            <w:noProof/>
            <w:webHidden/>
          </w:rPr>
          <w:fldChar w:fldCharType="begin"/>
        </w:r>
        <w:r w:rsidR="00DE38B5">
          <w:rPr>
            <w:noProof/>
            <w:webHidden/>
          </w:rPr>
          <w:instrText xml:space="preserve"> PAGEREF _Toc149911810 \h </w:instrText>
        </w:r>
        <w:r w:rsidR="00DE38B5">
          <w:rPr>
            <w:noProof/>
            <w:webHidden/>
          </w:rPr>
        </w:r>
        <w:r w:rsidR="00DE38B5">
          <w:rPr>
            <w:noProof/>
            <w:webHidden/>
          </w:rPr>
          <w:fldChar w:fldCharType="separate"/>
        </w:r>
        <w:r w:rsidR="008A66EE">
          <w:rPr>
            <w:noProof/>
            <w:webHidden/>
          </w:rPr>
          <w:t>34</w:t>
        </w:r>
        <w:r w:rsidR="00DE38B5">
          <w:rPr>
            <w:noProof/>
            <w:webHidden/>
          </w:rPr>
          <w:fldChar w:fldCharType="end"/>
        </w:r>
      </w:hyperlink>
    </w:p>
    <w:p w14:paraId="7E0BA123" w14:textId="63D16571" w:rsidR="00DE38B5" w:rsidRDefault="00B5500D">
      <w:pPr>
        <w:pStyle w:val="TOC2"/>
        <w:tabs>
          <w:tab w:val="right" w:leader="dot" w:pos="10194"/>
        </w:tabs>
        <w:rPr>
          <w:rFonts w:asciiTheme="minorHAnsi" w:eastAsiaTheme="minorEastAsia" w:hAnsiTheme="minorHAnsi" w:cstheme="minorBidi"/>
          <w:noProof/>
          <w:sz w:val="22"/>
          <w:lang w:eastAsia="en-AU"/>
        </w:rPr>
      </w:pPr>
      <w:hyperlink w:anchor="_Toc149911811" w:history="1">
        <w:r w:rsidR="00DE38B5" w:rsidRPr="00467F2D">
          <w:rPr>
            <w:rStyle w:val="Hyperlink"/>
            <w:noProof/>
          </w:rPr>
          <w:t>4.2 Administered items</w:t>
        </w:r>
        <w:r w:rsidR="00DE38B5">
          <w:rPr>
            <w:noProof/>
            <w:webHidden/>
          </w:rPr>
          <w:tab/>
        </w:r>
        <w:r w:rsidR="00DE38B5">
          <w:rPr>
            <w:noProof/>
            <w:webHidden/>
          </w:rPr>
          <w:fldChar w:fldCharType="begin"/>
        </w:r>
        <w:r w:rsidR="00DE38B5">
          <w:rPr>
            <w:noProof/>
            <w:webHidden/>
          </w:rPr>
          <w:instrText xml:space="preserve"> PAGEREF _Toc149911811 \h </w:instrText>
        </w:r>
        <w:r w:rsidR="00DE38B5">
          <w:rPr>
            <w:noProof/>
            <w:webHidden/>
          </w:rPr>
        </w:r>
        <w:r w:rsidR="00DE38B5">
          <w:rPr>
            <w:noProof/>
            <w:webHidden/>
          </w:rPr>
          <w:fldChar w:fldCharType="separate"/>
        </w:r>
        <w:r w:rsidR="008A66EE">
          <w:rPr>
            <w:noProof/>
            <w:webHidden/>
          </w:rPr>
          <w:t>55</w:t>
        </w:r>
        <w:r w:rsidR="00DE38B5">
          <w:rPr>
            <w:noProof/>
            <w:webHidden/>
          </w:rPr>
          <w:fldChar w:fldCharType="end"/>
        </w:r>
      </w:hyperlink>
    </w:p>
    <w:p w14:paraId="1F31AB6F" w14:textId="35BAAE32" w:rsidR="00DE38B5" w:rsidRDefault="00B5500D">
      <w:pPr>
        <w:pStyle w:val="TOC2"/>
        <w:tabs>
          <w:tab w:val="right" w:leader="dot" w:pos="10194"/>
        </w:tabs>
        <w:rPr>
          <w:rFonts w:asciiTheme="minorHAnsi" w:eastAsiaTheme="minorEastAsia" w:hAnsiTheme="minorHAnsi" w:cstheme="minorBidi"/>
          <w:noProof/>
          <w:sz w:val="22"/>
          <w:lang w:eastAsia="en-AU"/>
        </w:rPr>
      </w:pPr>
      <w:hyperlink w:anchor="_Toc149911812" w:history="1">
        <w:r w:rsidR="00DE38B5" w:rsidRPr="00467F2D">
          <w:rPr>
            <w:rStyle w:val="Hyperlink"/>
            <w:noProof/>
          </w:rPr>
          <w:t>4.3 Restructuring of administrative arrangements</w:t>
        </w:r>
        <w:r w:rsidR="00DE38B5">
          <w:rPr>
            <w:noProof/>
            <w:webHidden/>
          </w:rPr>
          <w:tab/>
        </w:r>
        <w:r w:rsidR="00DE38B5">
          <w:rPr>
            <w:noProof/>
            <w:webHidden/>
          </w:rPr>
          <w:fldChar w:fldCharType="begin"/>
        </w:r>
        <w:r w:rsidR="00DE38B5">
          <w:rPr>
            <w:noProof/>
            <w:webHidden/>
          </w:rPr>
          <w:instrText xml:space="preserve"> PAGEREF _Toc149911812 \h </w:instrText>
        </w:r>
        <w:r w:rsidR="00DE38B5">
          <w:rPr>
            <w:noProof/>
            <w:webHidden/>
          </w:rPr>
        </w:r>
        <w:r w:rsidR="00DE38B5">
          <w:rPr>
            <w:noProof/>
            <w:webHidden/>
          </w:rPr>
          <w:fldChar w:fldCharType="separate"/>
        </w:r>
        <w:r w:rsidR="008A66EE">
          <w:rPr>
            <w:noProof/>
            <w:webHidden/>
          </w:rPr>
          <w:t>73</w:t>
        </w:r>
        <w:r w:rsidR="00DE38B5">
          <w:rPr>
            <w:noProof/>
            <w:webHidden/>
          </w:rPr>
          <w:fldChar w:fldCharType="end"/>
        </w:r>
      </w:hyperlink>
    </w:p>
    <w:p w14:paraId="4F8A9492" w14:textId="489B2447" w:rsidR="00DE38B5" w:rsidRDefault="00B5500D">
      <w:pPr>
        <w:pStyle w:val="TOC1"/>
        <w:tabs>
          <w:tab w:val="right" w:leader="dot" w:pos="10194"/>
        </w:tabs>
        <w:rPr>
          <w:rFonts w:asciiTheme="minorHAnsi" w:eastAsiaTheme="minorEastAsia" w:hAnsiTheme="minorHAnsi" w:cstheme="minorBidi"/>
          <w:b w:val="0"/>
          <w:noProof/>
          <w:sz w:val="22"/>
          <w:szCs w:val="22"/>
          <w:lang w:eastAsia="en-AU"/>
        </w:rPr>
      </w:pPr>
      <w:hyperlink w:anchor="_Toc149911813" w:history="1">
        <w:r w:rsidR="00DE38B5" w:rsidRPr="00467F2D">
          <w:rPr>
            <w:rStyle w:val="Hyperlink"/>
            <w:noProof/>
          </w:rPr>
          <w:t>5. Key Assets Available to Support Output</w:t>
        </w:r>
        <w:r w:rsidR="00DE38B5" w:rsidRPr="00467F2D">
          <w:rPr>
            <w:rStyle w:val="Hyperlink"/>
            <w:rFonts w:ascii="Cambria" w:hAnsi="Cambria" w:cs="Cambria"/>
            <w:noProof/>
          </w:rPr>
          <w:t xml:space="preserve"> </w:t>
        </w:r>
        <w:r w:rsidR="00DE38B5" w:rsidRPr="00467F2D">
          <w:rPr>
            <w:rStyle w:val="Hyperlink"/>
            <w:noProof/>
          </w:rPr>
          <w:t>Delivery</w:t>
        </w:r>
        <w:r w:rsidR="00DE38B5">
          <w:rPr>
            <w:noProof/>
            <w:webHidden/>
          </w:rPr>
          <w:tab/>
        </w:r>
        <w:r w:rsidR="00DE38B5">
          <w:rPr>
            <w:noProof/>
            <w:webHidden/>
          </w:rPr>
          <w:fldChar w:fldCharType="begin"/>
        </w:r>
        <w:r w:rsidR="00DE38B5">
          <w:rPr>
            <w:noProof/>
            <w:webHidden/>
          </w:rPr>
          <w:instrText xml:space="preserve"> PAGEREF _Toc149911813 \h </w:instrText>
        </w:r>
        <w:r w:rsidR="00DE38B5">
          <w:rPr>
            <w:noProof/>
            <w:webHidden/>
          </w:rPr>
        </w:r>
        <w:r w:rsidR="00DE38B5">
          <w:rPr>
            <w:noProof/>
            <w:webHidden/>
          </w:rPr>
          <w:fldChar w:fldCharType="separate"/>
        </w:r>
        <w:r w:rsidR="008A66EE">
          <w:rPr>
            <w:noProof/>
            <w:webHidden/>
          </w:rPr>
          <w:t>76</w:t>
        </w:r>
        <w:r w:rsidR="00DE38B5">
          <w:rPr>
            <w:noProof/>
            <w:webHidden/>
          </w:rPr>
          <w:fldChar w:fldCharType="end"/>
        </w:r>
      </w:hyperlink>
    </w:p>
    <w:p w14:paraId="12727750" w14:textId="594AE6BE" w:rsidR="00DE38B5" w:rsidRDefault="00B5500D">
      <w:pPr>
        <w:pStyle w:val="TOC2"/>
        <w:tabs>
          <w:tab w:val="right" w:leader="dot" w:pos="10194"/>
        </w:tabs>
        <w:rPr>
          <w:rFonts w:asciiTheme="minorHAnsi" w:eastAsiaTheme="minorEastAsia" w:hAnsiTheme="minorHAnsi" w:cstheme="minorBidi"/>
          <w:noProof/>
          <w:sz w:val="22"/>
          <w:lang w:eastAsia="en-AU"/>
        </w:rPr>
      </w:pPr>
      <w:hyperlink w:anchor="_Toc149911814" w:history="1">
        <w:r w:rsidR="00DE38B5" w:rsidRPr="00467F2D">
          <w:rPr>
            <w:rStyle w:val="Hyperlink"/>
            <w:noProof/>
          </w:rPr>
          <w:t>Introduction</w:t>
        </w:r>
        <w:r w:rsidR="00DE38B5">
          <w:rPr>
            <w:noProof/>
            <w:webHidden/>
          </w:rPr>
          <w:tab/>
        </w:r>
        <w:r w:rsidR="00DE38B5">
          <w:rPr>
            <w:noProof/>
            <w:webHidden/>
          </w:rPr>
          <w:fldChar w:fldCharType="begin"/>
        </w:r>
        <w:r w:rsidR="00DE38B5">
          <w:rPr>
            <w:noProof/>
            <w:webHidden/>
          </w:rPr>
          <w:instrText xml:space="preserve"> PAGEREF _Toc149911814 \h </w:instrText>
        </w:r>
        <w:r w:rsidR="00DE38B5">
          <w:rPr>
            <w:noProof/>
            <w:webHidden/>
          </w:rPr>
        </w:r>
        <w:r w:rsidR="00DE38B5">
          <w:rPr>
            <w:noProof/>
            <w:webHidden/>
          </w:rPr>
          <w:fldChar w:fldCharType="separate"/>
        </w:r>
        <w:r w:rsidR="008A66EE">
          <w:rPr>
            <w:noProof/>
            <w:webHidden/>
          </w:rPr>
          <w:t>76</w:t>
        </w:r>
        <w:r w:rsidR="00DE38B5">
          <w:rPr>
            <w:noProof/>
            <w:webHidden/>
          </w:rPr>
          <w:fldChar w:fldCharType="end"/>
        </w:r>
      </w:hyperlink>
    </w:p>
    <w:p w14:paraId="4C57FC79" w14:textId="1F664B07" w:rsidR="00DE38B5" w:rsidRDefault="00B5500D">
      <w:pPr>
        <w:pStyle w:val="TOC2"/>
        <w:tabs>
          <w:tab w:val="right" w:leader="dot" w:pos="10194"/>
        </w:tabs>
        <w:rPr>
          <w:rFonts w:asciiTheme="minorHAnsi" w:eastAsiaTheme="minorEastAsia" w:hAnsiTheme="minorHAnsi" w:cstheme="minorBidi"/>
          <w:noProof/>
          <w:sz w:val="22"/>
          <w:lang w:eastAsia="en-AU"/>
        </w:rPr>
      </w:pPr>
      <w:hyperlink w:anchor="_Toc149911815" w:history="1">
        <w:r w:rsidR="00DE38B5" w:rsidRPr="00467F2D">
          <w:rPr>
            <w:rStyle w:val="Hyperlink"/>
            <w:noProof/>
          </w:rPr>
          <w:t>5.1 Total property, plant and equipment</w:t>
        </w:r>
        <w:r w:rsidR="00DE38B5">
          <w:rPr>
            <w:noProof/>
            <w:webHidden/>
          </w:rPr>
          <w:tab/>
        </w:r>
        <w:r w:rsidR="00DE38B5">
          <w:rPr>
            <w:noProof/>
            <w:webHidden/>
          </w:rPr>
          <w:fldChar w:fldCharType="begin"/>
        </w:r>
        <w:r w:rsidR="00DE38B5">
          <w:rPr>
            <w:noProof/>
            <w:webHidden/>
          </w:rPr>
          <w:instrText xml:space="preserve"> PAGEREF _Toc149911815 \h </w:instrText>
        </w:r>
        <w:r w:rsidR="00DE38B5">
          <w:rPr>
            <w:noProof/>
            <w:webHidden/>
          </w:rPr>
        </w:r>
        <w:r w:rsidR="00DE38B5">
          <w:rPr>
            <w:noProof/>
            <w:webHidden/>
          </w:rPr>
          <w:fldChar w:fldCharType="separate"/>
        </w:r>
        <w:r w:rsidR="008A66EE">
          <w:rPr>
            <w:noProof/>
            <w:webHidden/>
          </w:rPr>
          <w:t>76</w:t>
        </w:r>
        <w:r w:rsidR="00DE38B5">
          <w:rPr>
            <w:noProof/>
            <w:webHidden/>
          </w:rPr>
          <w:fldChar w:fldCharType="end"/>
        </w:r>
      </w:hyperlink>
    </w:p>
    <w:p w14:paraId="667D8193" w14:textId="1E63F026" w:rsidR="00DE38B5" w:rsidRDefault="00B5500D">
      <w:pPr>
        <w:pStyle w:val="TOC2"/>
        <w:tabs>
          <w:tab w:val="right" w:leader="dot" w:pos="10194"/>
        </w:tabs>
        <w:rPr>
          <w:rFonts w:asciiTheme="minorHAnsi" w:eastAsiaTheme="minorEastAsia" w:hAnsiTheme="minorHAnsi" w:cstheme="minorBidi"/>
          <w:noProof/>
          <w:sz w:val="22"/>
          <w:lang w:eastAsia="en-AU"/>
        </w:rPr>
      </w:pPr>
      <w:hyperlink w:anchor="_Toc149911816" w:history="1">
        <w:r w:rsidR="00DE38B5" w:rsidRPr="00467F2D">
          <w:rPr>
            <w:rStyle w:val="Hyperlink"/>
            <w:noProof/>
          </w:rPr>
          <w:t>5.2 Joint operations</w:t>
        </w:r>
        <w:r w:rsidR="00DE38B5">
          <w:rPr>
            <w:noProof/>
            <w:webHidden/>
          </w:rPr>
          <w:tab/>
        </w:r>
        <w:r w:rsidR="00DE38B5">
          <w:rPr>
            <w:noProof/>
            <w:webHidden/>
          </w:rPr>
          <w:fldChar w:fldCharType="begin"/>
        </w:r>
        <w:r w:rsidR="00DE38B5">
          <w:rPr>
            <w:noProof/>
            <w:webHidden/>
          </w:rPr>
          <w:instrText xml:space="preserve"> PAGEREF _Toc149911816 \h </w:instrText>
        </w:r>
        <w:r w:rsidR="00DE38B5">
          <w:rPr>
            <w:noProof/>
            <w:webHidden/>
          </w:rPr>
        </w:r>
        <w:r w:rsidR="00DE38B5">
          <w:rPr>
            <w:noProof/>
            <w:webHidden/>
          </w:rPr>
          <w:fldChar w:fldCharType="separate"/>
        </w:r>
        <w:r w:rsidR="008A66EE">
          <w:rPr>
            <w:noProof/>
            <w:webHidden/>
          </w:rPr>
          <w:t>86</w:t>
        </w:r>
        <w:r w:rsidR="00DE38B5">
          <w:rPr>
            <w:noProof/>
            <w:webHidden/>
          </w:rPr>
          <w:fldChar w:fldCharType="end"/>
        </w:r>
      </w:hyperlink>
    </w:p>
    <w:p w14:paraId="77E0D983" w14:textId="650927AC" w:rsidR="00DE38B5" w:rsidRDefault="00B5500D">
      <w:pPr>
        <w:pStyle w:val="TOC1"/>
        <w:tabs>
          <w:tab w:val="right" w:leader="dot" w:pos="10194"/>
        </w:tabs>
        <w:rPr>
          <w:rFonts w:asciiTheme="minorHAnsi" w:eastAsiaTheme="minorEastAsia" w:hAnsiTheme="minorHAnsi" w:cstheme="minorBidi"/>
          <w:b w:val="0"/>
          <w:noProof/>
          <w:sz w:val="22"/>
          <w:szCs w:val="22"/>
          <w:lang w:eastAsia="en-AU"/>
        </w:rPr>
      </w:pPr>
      <w:hyperlink w:anchor="_Toc149911817" w:history="1">
        <w:r w:rsidR="00DE38B5" w:rsidRPr="00467F2D">
          <w:rPr>
            <w:rStyle w:val="Hyperlink"/>
            <w:noProof/>
          </w:rPr>
          <w:t>6. Other Assets and Liabilities</w:t>
        </w:r>
        <w:r w:rsidR="00DE38B5">
          <w:rPr>
            <w:noProof/>
            <w:webHidden/>
          </w:rPr>
          <w:tab/>
        </w:r>
        <w:r w:rsidR="00DE38B5">
          <w:rPr>
            <w:noProof/>
            <w:webHidden/>
          </w:rPr>
          <w:fldChar w:fldCharType="begin"/>
        </w:r>
        <w:r w:rsidR="00DE38B5">
          <w:rPr>
            <w:noProof/>
            <w:webHidden/>
          </w:rPr>
          <w:instrText xml:space="preserve"> PAGEREF _Toc149911817 \h </w:instrText>
        </w:r>
        <w:r w:rsidR="00DE38B5">
          <w:rPr>
            <w:noProof/>
            <w:webHidden/>
          </w:rPr>
        </w:r>
        <w:r w:rsidR="00DE38B5">
          <w:rPr>
            <w:noProof/>
            <w:webHidden/>
          </w:rPr>
          <w:fldChar w:fldCharType="separate"/>
        </w:r>
        <w:r w:rsidR="008A66EE">
          <w:rPr>
            <w:noProof/>
            <w:webHidden/>
          </w:rPr>
          <w:t>90</w:t>
        </w:r>
        <w:r w:rsidR="00DE38B5">
          <w:rPr>
            <w:noProof/>
            <w:webHidden/>
          </w:rPr>
          <w:fldChar w:fldCharType="end"/>
        </w:r>
      </w:hyperlink>
    </w:p>
    <w:p w14:paraId="08057320" w14:textId="67B00936" w:rsidR="00DE38B5" w:rsidRDefault="00B5500D">
      <w:pPr>
        <w:pStyle w:val="TOC2"/>
        <w:tabs>
          <w:tab w:val="right" w:leader="dot" w:pos="10194"/>
        </w:tabs>
        <w:rPr>
          <w:rFonts w:asciiTheme="minorHAnsi" w:eastAsiaTheme="minorEastAsia" w:hAnsiTheme="minorHAnsi" w:cstheme="minorBidi"/>
          <w:noProof/>
          <w:sz w:val="22"/>
          <w:lang w:eastAsia="en-AU"/>
        </w:rPr>
      </w:pPr>
      <w:hyperlink w:anchor="_Toc149911818" w:history="1">
        <w:r w:rsidR="00DE38B5" w:rsidRPr="00467F2D">
          <w:rPr>
            <w:rStyle w:val="Hyperlink"/>
            <w:noProof/>
          </w:rPr>
          <w:t>Introduction</w:t>
        </w:r>
        <w:r w:rsidR="00DE38B5">
          <w:rPr>
            <w:noProof/>
            <w:webHidden/>
          </w:rPr>
          <w:tab/>
        </w:r>
        <w:r w:rsidR="00DE38B5">
          <w:rPr>
            <w:noProof/>
            <w:webHidden/>
          </w:rPr>
          <w:fldChar w:fldCharType="begin"/>
        </w:r>
        <w:r w:rsidR="00DE38B5">
          <w:rPr>
            <w:noProof/>
            <w:webHidden/>
          </w:rPr>
          <w:instrText xml:space="preserve"> PAGEREF _Toc149911818 \h </w:instrText>
        </w:r>
        <w:r w:rsidR="00DE38B5">
          <w:rPr>
            <w:noProof/>
            <w:webHidden/>
          </w:rPr>
        </w:r>
        <w:r w:rsidR="00DE38B5">
          <w:rPr>
            <w:noProof/>
            <w:webHidden/>
          </w:rPr>
          <w:fldChar w:fldCharType="separate"/>
        </w:r>
        <w:r w:rsidR="008A66EE">
          <w:rPr>
            <w:noProof/>
            <w:webHidden/>
          </w:rPr>
          <w:t>90</w:t>
        </w:r>
        <w:r w:rsidR="00DE38B5">
          <w:rPr>
            <w:noProof/>
            <w:webHidden/>
          </w:rPr>
          <w:fldChar w:fldCharType="end"/>
        </w:r>
      </w:hyperlink>
    </w:p>
    <w:p w14:paraId="541E41E7" w14:textId="28F0C36A" w:rsidR="00DE38B5" w:rsidRDefault="00B5500D">
      <w:pPr>
        <w:pStyle w:val="TOC2"/>
        <w:tabs>
          <w:tab w:val="right" w:leader="dot" w:pos="10194"/>
        </w:tabs>
        <w:rPr>
          <w:rFonts w:asciiTheme="minorHAnsi" w:eastAsiaTheme="minorEastAsia" w:hAnsiTheme="minorHAnsi" w:cstheme="minorBidi"/>
          <w:noProof/>
          <w:sz w:val="22"/>
          <w:lang w:eastAsia="en-AU"/>
        </w:rPr>
      </w:pPr>
      <w:hyperlink w:anchor="_Toc149911819" w:history="1">
        <w:r w:rsidR="00DE38B5" w:rsidRPr="00467F2D">
          <w:rPr>
            <w:rStyle w:val="Hyperlink"/>
            <w:noProof/>
          </w:rPr>
          <w:t>6.1 Receivables</w:t>
        </w:r>
        <w:r w:rsidR="00DE38B5">
          <w:rPr>
            <w:noProof/>
            <w:webHidden/>
          </w:rPr>
          <w:tab/>
        </w:r>
        <w:r w:rsidR="00DE38B5">
          <w:rPr>
            <w:noProof/>
            <w:webHidden/>
          </w:rPr>
          <w:fldChar w:fldCharType="begin"/>
        </w:r>
        <w:r w:rsidR="00DE38B5">
          <w:rPr>
            <w:noProof/>
            <w:webHidden/>
          </w:rPr>
          <w:instrText xml:space="preserve"> PAGEREF _Toc149911819 \h </w:instrText>
        </w:r>
        <w:r w:rsidR="00DE38B5">
          <w:rPr>
            <w:noProof/>
            <w:webHidden/>
          </w:rPr>
        </w:r>
        <w:r w:rsidR="00DE38B5">
          <w:rPr>
            <w:noProof/>
            <w:webHidden/>
          </w:rPr>
          <w:fldChar w:fldCharType="separate"/>
        </w:r>
        <w:r w:rsidR="008A66EE">
          <w:rPr>
            <w:noProof/>
            <w:webHidden/>
          </w:rPr>
          <w:t>90</w:t>
        </w:r>
        <w:r w:rsidR="00DE38B5">
          <w:rPr>
            <w:noProof/>
            <w:webHidden/>
          </w:rPr>
          <w:fldChar w:fldCharType="end"/>
        </w:r>
      </w:hyperlink>
    </w:p>
    <w:p w14:paraId="27D32C5C" w14:textId="159E869E" w:rsidR="00DE38B5" w:rsidRDefault="00B5500D">
      <w:pPr>
        <w:pStyle w:val="TOC2"/>
        <w:tabs>
          <w:tab w:val="right" w:leader="dot" w:pos="10194"/>
        </w:tabs>
        <w:rPr>
          <w:rFonts w:asciiTheme="minorHAnsi" w:eastAsiaTheme="minorEastAsia" w:hAnsiTheme="minorHAnsi" w:cstheme="minorBidi"/>
          <w:noProof/>
          <w:sz w:val="22"/>
          <w:lang w:eastAsia="en-AU"/>
        </w:rPr>
      </w:pPr>
      <w:hyperlink w:anchor="_Toc149911820" w:history="1">
        <w:r w:rsidR="00DE38B5" w:rsidRPr="00467F2D">
          <w:rPr>
            <w:rStyle w:val="Hyperlink"/>
            <w:noProof/>
          </w:rPr>
          <w:t>6.2 Payables</w:t>
        </w:r>
        <w:r w:rsidR="00DE38B5">
          <w:rPr>
            <w:noProof/>
            <w:webHidden/>
          </w:rPr>
          <w:tab/>
        </w:r>
        <w:r w:rsidR="00DE38B5">
          <w:rPr>
            <w:noProof/>
            <w:webHidden/>
          </w:rPr>
          <w:fldChar w:fldCharType="begin"/>
        </w:r>
        <w:r w:rsidR="00DE38B5">
          <w:rPr>
            <w:noProof/>
            <w:webHidden/>
          </w:rPr>
          <w:instrText xml:space="preserve"> PAGEREF _Toc149911820 \h </w:instrText>
        </w:r>
        <w:r w:rsidR="00DE38B5">
          <w:rPr>
            <w:noProof/>
            <w:webHidden/>
          </w:rPr>
        </w:r>
        <w:r w:rsidR="00DE38B5">
          <w:rPr>
            <w:noProof/>
            <w:webHidden/>
          </w:rPr>
          <w:fldChar w:fldCharType="separate"/>
        </w:r>
        <w:r w:rsidR="008A66EE">
          <w:rPr>
            <w:noProof/>
            <w:webHidden/>
          </w:rPr>
          <w:t>92</w:t>
        </w:r>
        <w:r w:rsidR="00DE38B5">
          <w:rPr>
            <w:noProof/>
            <w:webHidden/>
          </w:rPr>
          <w:fldChar w:fldCharType="end"/>
        </w:r>
      </w:hyperlink>
    </w:p>
    <w:p w14:paraId="6B599F69" w14:textId="5B12ED26" w:rsidR="00DE38B5" w:rsidRDefault="00B5500D">
      <w:pPr>
        <w:pStyle w:val="TOC2"/>
        <w:tabs>
          <w:tab w:val="right" w:leader="dot" w:pos="10194"/>
        </w:tabs>
        <w:rPr>
          <w:rFonts w:asciiTheme="minorHAnsi" w:eastAsiaTheme="minorEastAsia" w:hAnsiTheme="minorHAnsi" w:cstheme="minorBidi"/>
          <w:noProof/>
          <w:sz w:val="22"/>
          <w:lang w:eastAsia="en-AU"/>
        </w:rPr>
      </w:pPr>
      <w:hyperlink w:anchor="_Toc149911821" w:history="1">
        <w:r w:rsidR="00DE38B5" w:rsidRPr="00467F2D">
          <w:rPr>
            <w:rStyle w:val="Hyperlink"/>
            <w:noProof/>
          </w:rPr>
          <w:t>6.3 Other non-financial assets</w:t>
        </w:r>
        <w:r w:rsidR="00DE38B5">
          <w:rPr>
            <w:noProof/>
            <w:webHidden/>
          </w:rPr>
          <w:tab/>
        </w:r>
        <w:r w:rsidR="00DE38B5">
          <w:rPr>
            <w:noProof/>
            <w:webHidden/>
          </w:rPr>
          <w:fldChar w:fldCharType="begin"/>
        </w:r>
        <w:r w:rsidR="00DE38B5">
          <w:rPr>
            <w:noProof/>
            <w:webHidden/>
          </w:rPr>
          <w:instrText xml:space="preserve"> PAGEREF _Toc149911821 \h </w:instrText>
        </w:r>
        <w:r w:rsidR="00DE38B5">
          <w:rPr>
            <w:noProof/>
            <w:webHidden/>
          </w:rPr>
        </w:r>
        <w:r w:rsidR="00DE38B5">
          <w:rPr>
            <w:noProof/>
            <w:webHidden/>
          </w:rPr>
          <w:fldChar w:fldCharType="separate"/>
        </w:r>
        <w:r w:rsidR="008A66EE">
          <w:rPr>
            <w:noProof/>
            <w:webHidden/>
          </w:rPr>
          <w:t>94</w:t>
        </w:r>
        <w:r w:rsidR="00DE38B5">
          <w:rPr>
            <w:noProof/>
            <w:webHidden/>
          </w:rPr>
          <w:fldChar w:fldCharType="end"/>
        </w:r>
      </w:hyperlink>
    </w:p>
    <w:p w14:paraId="68455EC0" w14:textId="7FFA185E" w:rsidR="00DE38B5" w:rsidRDefault="00B5500D">
      <w:pPr>
        <w:pStyle w:val="TOC2"/>
        <w:tabs>
          <w:tab w:val="right" w:leader="dot" w:pos="10194"/>
        </w:tabs>
        <w:rPr>
          <w:rFonts w:asciiTheme="minorHAnsi" w:eastAsiaTheme="minorEastAsia" w:hAnsiTheme="minorHAnsi" w:cstheme="minorBidi"/>
          <w:noProof/>
          <w:sz w:val="22"/>
          <w:lang w:eastAsia="en-AU"/>
        </w:rPr>
      </w:pPr>
      <w:hyperlink w:anchor="_Toc149911822" w:history="1">
        <w:r w:rsidR="00DE38B5" w:rsidRPr="00467F2D">
          <w:rPr>
            <w:rStyle w:val="Hyperlink"/>
            <w:noProof/>
          </w:rPr>
          <w:t>6.4 Other provisions</w:t>
        </w:r>
        <w:r w:rsidR="00DE38B5">
          <w:rPr>
            <w:noProof/>
            <w:webHidden/>
          </w:rPr>
          <w:tab/>
        </w:r>
        <w:r w:rsidR="00DE38B5">
          <w:rPr>
            <w:noProof/>
            <w:webHidden/>
          </w:rPr>
          <w:fldChar w:fldCharType="begin"/>
        </w:r>
        <w:r w:rsidR="00DE38B5">
          <w:rPr>
            <w:noProof/>
            <w:webHidden/>
          </w:rPr>
          <w:instrText xml:space="preserve"> PAGEREF _Toc149911822 \h </w:instrText>
        </w:r>
        <w:r w:rsidR="00DE38B5">
          <w:rPr>
            <w:noProof/>
            <w:webHidden/>
          </w:rPr>
        </w:r>
        <w:r w:rsidR="00DE38B5">
          <w:rPr>
            <w:noProof/>
            <w:webHidden/>
          </w:rPr>
          <w:fldChar w:fldCharType="separate"/>
        </w:r>
        <w:r w:rsidR="008A66EE">
          <w:rPr>
            <w:noProof/>
            <w:webHidden/>
          </w:rPr>
          <w:t>95</w:t>
        </w:r>
        <w:r w:rsidR="00DE38B5">
          <w:rPr>
            <w:noProof/>
            <w:webHidden/>
          </w:rPr>
          <w:fldChar w:fldCharType="end"/>
        </w:r>
      </w:hyperlink>
    </w:p>
    <w:p w14:paraId="4850E343" w14:textId="0021F4A5" w:rsidR="00DE38B5" w:rsidRDefault="00B5500D">
      <w:pPr>
        <w:pStyle w:val="TOC1"/>
        <w:tabs>
          <w:tab w:val="right" w:leader="dot" w:pos="10194"/>
        </w:tabs>
        <w:rPr>
          <w:rFonts w:asciiTheme="minorHAnsi" w:eastAsiaTheme="minorEastAsia" w:hAnsiTheme="minorHAnsi" w:cstheme="minorBidi"/>
          <w:b w:val="0"/>
          <w:noProof/>
          <w:sz w:val="22"/>
          <w:szCs w:val="22"/>
          <w:lang w:eastAsia="en-AU"/>
        </w:rPr>
      </w:pPr>
      <w:hyperlink w:anchor="_Toc149911823" w:history="1">
        <w:r w:rsidR="00DE38B5" w:rsidRPr="00467F2D">
          <w:rPr>
            <w:rStyle w:val="Hyperlink"/>
            <w:noProof/>
          </w:rPr>
          <w:t>7. How We Financed Our Operations</w:t>
        </w:r>
        <w:r w:rsidR="00DE38B5">
          <w:rPr>
            <w:noProof/>
            <w:webHidden/>
          </w:rPr>
          <w:tab/>
        </w:r>
        <w:r w:rsidR="00DE38B5">
          <w:rPr>
            <w:noProof/>
            <w:webHidden/>
          </w:rPr>
          <w:fldChar w:fldCharType="begin"/>
        </w:r>
        <w:r w:rsidR="00DE38B5">
          <w:rPr>
            <w:noProof/>
            <w:webHidden/>
          </w:rPr>
          <w:instrText xml:space="preserve"> PAGEREF _Toc149911823 \h </w:instrText>
        </w:r>
        <w:r w:rsidR="00DE38B5">
          <w:rPr>
            <w:noProof/>
            <w:webHidden/>
          </w:rPr>
        </w:r>
        <w:r w:rsidR="00DE38B5">
          <w:rPr>
            <w:noProof/>
            <w:webHidden/>
          </w:rPr>
          <w:fldChar w:fldCharType="separate"/>
        </w:r>
        <w:r w:rsidR="008A66EE">
          <w:rPr>
            <w:noProof/>
            <w:webHidden/>
          </w:rPr>
          <w:t>97</w:t>
        </w:r>
        <w:r w:rsidR="00DE38B5">
          <w:rPr>
            <w:noProof/>
            <w:webHidden/>
          </w:rPr>
          <w:fldChar w:fldCharType="end"/>
        </w:r>
      </w:hyperlink>
    </w:p>
    <w:p w14:paraId="622B5050" w14:textId="3B18056B" w:rsidR="00DE38B5" w:rsidRDefault="00B5500D">
      <w:pPr>
        <w:pStyle w:val="TOC2"/>
        <w:tabs>
          <w:tab w:val="right" w:leader="dot" w:pos="10194"/>
        </w:tabs>
        <w:rPr>
          <w:rFonts w:asciiTheme="minorHAnsi" w:eastAsiaTheme="minorEastAsia" w:hAnsiTheme="minorHAnsi" w:cstheme="minorBidi"/>
          <w:noProof/>
          <w:sz w:val="22"/>
          <w:lang w:eastAsia="en-AU"/>
        </w:rPr>
      </w:pPr>
      <w:hyperlink w:anchor="_Toc149911824" w:history="1">
        <w:r w:rsidR="00DE38B5" w:rsidRPr="00467F2D">
          <w:rPr>
            <w:rStyle w:val="Hyperlink"/>
            <w:noProof/>
          </w:rPr>
          <w:t>Introduction</w:t>
        </w:r>
        <w:r w:rsidR="00DE38B5">
          <w:rPr>
            <w:noProof/>
            <w:webHidden/>
          </w:rPr>
          <w:tab/>
        </w:r>
        <w:r w:rsidR="00DE38B5">
          <w:rPr>
            <w:noProof/>
            <w:webHidden/>
          </w:rPr>
          <w:fldChar w:fldCharType="begin"/>
        </w:r>
        <w:r w:rsidR="00DE38B5">
          <w:rPr>
            <w:noProof/>
            <w:webHidden/>
          </w:rPr>
          <w:instrText xml:space="preserve"> PAGEREF _Toc149911824 \h </w:instrText>
        </w:r>
        <w:r w:rsidR="00DE38B5">
          <w:rPr>
            <w:noProof/>
            <w:webHidden/>
          </w:rPr>
        </w:r>
        <w:r w:rsidR="00DE38B5">
          <w:rPr>
            <w:noProof/>
            <w:webHidden/>
          </w:rPr>
          <w:fldChar w:fldCharType="separate"/>
        </w:r>
        <w:r w:rsidR="008A66EE">
          <w:rPr>
            <w:noProof/>
            <w:webHidden/>
          </w:rPr>
          <w:t>97</w:t>
        </w:r>
        <w:r w:rsidR="00DE38B5">
          <w:rPr>
            <w:noProof/>
            <w:webHidden/>
          </w:rPr>
          <w:fldChar w:fldCharType="end"/>
        </w:r>
      </w:hyperlink>
    </w:p>
    <w:p w14:paraId="32B4F823" w14:textId="1BC4B306" w:rsidR="00DE38B5" w:rsidRDefault="00B5500D">
      <w:pPr>
        <w:pStyle w:val="TOC2"/>
        <w:tabs>
          <w:tab w:val="right" w:leader="dot" w:pos="10194"/>
        </w:tabs>
        <w:rPr>
          <w:rFonts w:asciiTheme="minorHAnsi" w:eastAsiaTheme="minorEastAsia" w:hAnsiTheme="minorHAnsi" w:cstheme="minorBidi"/>
          <w:noProof/>
          <w:sz w:val="22"/>
          <w:lang w:eastAsia="en-AU"/>
        </w:rPr>
      </w:pPr>
      <w:hyperlink w:anchor="_Toc149911825" w:history="1">
        <w:r w:rsidR="00DE38B5" w:rsidRPr="00467F2D">
          <w:rPr>
            <w:rStyle w:val="Hyperlink"/>
            <w:noProof/>
          </w:rPr>
          <w:t>7.1 Borrowings</w:t>
        </w:r>
        <w:r w:rsidR="00DE38B5">
          <w:rPr>
            <w:noProof/>
            <w:webHidden/>
          </w:rPr>
          <w:tab/>
        </w:r>
        <w:r w:rsidR="00DE38B5">
          <w:rPr>
            <w:noProof/>
            <w:webHidden/>
          </w:rPr>
          <w:fldChar w:fldCharType="begin"/>
        </w:r>
        <w:r w:rsidR="00DE38B5">
          <w:rPr>
            <w:noProof/>
            <w:webHidden/>
          </w:rPr>
          <w:instrText xml:space="preserve"> PAGEREF _Toc149911825 \h </w:instrText>
        </w:r>
        <w:r w:rsidR="00DE38B5">
          <w:rPr>
            <w:noProof/>
            <w:webHidden/>
          </w:rPr>
        </w:r>
        <w:r w:rsidR="00DE38B5">
          <w:rPr>
            <w:noProof/>
            <w:webHidden/>
          </w:rPr>
          <w:fldChar w:fldCharType="separate"/>
        </w:r>
        <w:r w:rsidR="008A66EE">
          <w:rPr>
            <w:noProof/>
            <w:webHidden/>
          </w:rPr>
          <w:t>98</w:t>
        </w:r>
        <w:r w:rsidR="00DE38B5">
          <w:rPr>
            <w:noProof/>
            <w:webHidden/>
          </w:rPr>
          <w:fldChar w:fldCharType="end"/>
        </w:r>
      </w:hyperlink>
    </w:p>
    <w:p w14:paraId="63A01FD8" w14:textId="079D709C" w:rsidR="00DE38B5" w:rsidRDefault="00B5500D">
      <w:pPr>
        <w:pStyle w:val="TOC2"/>
        <w:tabs>
          <w:tab w:val="right" w:leader="dot" w:pos="10194"/>
        </w:tabs>
        <w:rPr>
          <w:rFonts w:asciiTheme="minorHAnsi" w:eastAsiaTheme="minorEastAsia" w:hAnsiTheme="minorHAnsi" w:cstheme="minorBidi"/>
          <w:noProof/>
          <w:sz w:val="22"/>
          <w:lang w:eastAsia="en-AU"/>
        </w:rPr>
      </w:pPr>
      <w:hyperlink w:anchor="_Toc149911826" w:history="1">
        <w:r w:rsidR="00DE38B5" w:rsidRPr="00467F2D">
          <w:rPr>
            <w:rStyle w:val="Hyperlink"/>
            <w:noProof/>
          </w:rPr>
          <w:t>7.2 Leases</w:t>
        </w:r>
        <w:r w:rsidR="00DE38B5">
          <w:rPr>
            <w:noProof/>
            <w:webHidden/>
          </w:rPr>
          <w:tab/>
        </w:r>
        <w:r w:rsidR="00DE38B5">
          <w:rPr>
            <w:noProof/>
            <w:webHidden/>
          </w:rPr>
          <w:fldChar w:fldCharType="begin"/>
        </w:r>
        <w:r w:rsidR="00DE38B5">
          <w:rPr>
            <w:noProof/>
            <w:webHidden/>
          </w:rPr>
          <w:instrText xml:space="preserve"> PAGEREF _Toc149911826 \h </w:instrText>
        </w:r>
        <w:r w:rsidR="00DE38B5">
          <w:rPr>
            <w:noProof/>
            <w:webHidden/>
          </w:rPr>
        </w:r>
        <w:r w:rsidR="00DE38B5">
          <w:rPr>
            <w:noProof/>
            <w:webHidden/>
          </w:rPr>
          <w:fldChar w:fldCharType="separate"/>
        </w:r>
        <w:r w:rsidR="008A66EE">
          <w:rPr>
            <w:noProof/>
            <w:webHidden/>
          </w:rPr>
          <w:t>100</w:t>
        </w:r>
        <w:r w:rsidR="00DE38B5">
          <w:rPr>
            <w:noProof/>
            <w:webHidden/>
          </w:rPr>
          <w:fldChar w:fldCharType="end"/>
        </w:r>
      </w:hyperlink>
    </w:p>
    <w:p w14:paraId="10F2861A" w14:textId="1A0DC4FC" w:rsidR="00DE38B5" w:rsidRDefault="00B5500D">
      <w:pPr>
        <w:pStyle w:val="TOC2"/>
        <w:tabs>
          <w:tab w:val="right" w:leader="dot" w:pos="10194"/>
        </w:tabs>
        <w:rPr>
          <w:rFonts w:asciiTheme="minorHAnsi" w:eastAsiaTheme="minorEastAsia" w:hAnsiTheme="minorHAnsi" w:cstheme="minorBidi"/>
          <w:noProof/>
          <w:sz w:val="22"/>
          <w:lang w:eastAsia="en-AU"/>
        </w:rPr>
      </w:pPr>
      <w:hyperlink w:anchor="_Toc149911827" w:history="1">
        <w:r w:rsidR="00DE38B5" w:rsidRPr="00467F2D">
          <w:rPr>
            <w:rStyle w:val="Hyperlink"/>
            <w:noProof/>
          </w:rPr>
          <w:t>7.3 Cash flow information and balances</w:t>
        </w:r>
        <w:r w:rsidR="00DE38B5">
          <w:rPr>
            <w:noProof/>
            <w:webHidden/>
          </w:rPr>
          <w:tab/>
        </w:r>
        <w:r w:rsidR="00DE38B5">
          <w:rPr>
            <w:noProof/>
            <w:webHidden/>
          </w:rPr>
          <w:fldChar w:fldCharType="begin"/>
        </w:r>
        <w:r w:rsidR="00DE38B5">
          <w:rPr>
            <w:noProof/>
            <w:webHidden/>
          </w:rPr>
          <w:instrText xml:space="preserve"> PAGEREF _Toc149911827 \h </w:instrText>
        </w:r>
        <w:r w:rsidR="00DE38B5">
          <w:rPr>
            <w:noProof/>
            <w:webHidden/>
          </w:rPr>
        </w:r>
        <w:r w:rsidR="00DE38B5">
          <w:rPr>
            <w:noProof/>
            <w:webHidden/>
          </w:rPr>
          <w:fldChar w:fldCharType="separate"/>
        </w:r>
        <w:r w:rsidR="008A66EE">
          <w:rPr>
            <w:noProof/>
            <w:webHidden/>
          </w:rPr>
          <w:t>104</w:t>
        </w:r>
        <w:r w:rsidR="00DE38B5">
          <w:rPr>
            <w:noProof/>
            <w:webHidden/>
          </w:rPr>
          <w:fldChar w:fldCharType="end"/>
        </w:r>
      </w:hyperlink>
    </w:p>
    <w:p w14:paraId="430F44C0" w14:textId="582A8D56" w:rsidR="00DE38B5" w:rsidRDefault="00B5500D">
      <w:pPr>
        <w:pStyle w:val="TOC2"/>
        <w:tabs>
          <w:tab w:val="right" w:leader="dot" w:pos="10194"/>
        </w:tabs>
        <w:rPr>
          <w:rFonts w:asciiTheme="minorHAnsi" w:eastAsiaTheme="minorEastAsia" w:hAnsiTheme="minorHAnsi" w:cstheme="minorBidi"/>
          <w:noProof/>
          <w:sz w:val="22"/>
          <w:lang w:eastAsia="en-AU"/>
        </w:rPr>
      </w:pPr>
      <w:hyperlink w:anchor="_Toc149911828" w:history="1">
        <w:r w:rsidR="00DE38B5" w:rsidRPr="00467F2D">
          <w:rPr>
            <w:rStyle w:val="Hyperlink"/>
            <w:noProof/>
          </w:rPr>
          <w:t>7.4 Trust account balances</w:t>
        </w:r>
        <w:r w:rsidR="00DE38B5">
          <w:rPr>
            <w:noProof/>
            <w:webHidden/>
          </w:rPr>
          <w:tab/>
        </w:r>
        <w:r w:rsidR="00DE38B5">
          <w:rPr>
            <w:noProof/>
            <w:webHidden/>
          </w:rPr>
          <w:fldChar w:fldCharType="begin"/>
        </w:r>
        <w:r w:rsidR="00DE38B5">
          <w:rPr>
            <w:noProof/>
            <w:webHidden/>
          </w:rPr>
          <w:instrText xml:space="preserve"> PAGEREF _Toc149911828 \h </w:instrText>
        </w:r>
        <w:r w:rsidR="00DE38B5">
          <w:rPr>
            <w:noProof/>
            <w:webHidden/>
          </w:rPr>
        </w:r>
        <w:r w:rsidR="00DE38B5">
          <w:rPr>
            <w:noProof/>
            <w:webHidden/>
          </w:rPr>
          <w:fldChar w:fldCharType="separate"/>
        </w:r>
        <w:r w:rsidR="008A66EE">
          <w:rPr>
            <w:noProof/>
            <w:webHidden/>
          </w:rPr>
          <w:t>107</w:t>
        </w:r>
        <w:r w:rsidR="00DE38B5">
          <w:rPr>
            <w:noProof/>
            <w:webHidden/>
          </w:rPr>
          <w:fldChar w:fldCharType="end"/>
        </w:r>
      </w:hyperlink>
    </w:p>
    <w:p w14:paraId="3BCD4128" w14:textId="1EE1D3CF" w:rsidR="00DE38B5" w:rsidRDefault="00B5500D">
      <w:pPr>
        <w:pStyle w:val="TOC2"/>
        <w:tabs>
          <w:tab w:val="right" w:leader="dot" w:pos="10194"/>
        </w:tabs>
        <w:rPr>
          <w:rFonts w:asciiTheme="minorHAnsi" w:eastAsiaTheme="minorEastAsia" w:hAnsiTheme="minorHAnsi" w:cstheme="minorBidi"/>
          <w:noProof/>
          <w:sz w:val="22"/>
          <w:lang w:eastAsia="en-AU"/>
        </w:rPr>
      </w:pPr>
      <w:hyperlink w:anchor="_Toc149911829" w:history="1">
        <w:r w:rsidR="00DE38B5" w:rsidRPr="00467F2D">
          <w:rPr>
            <w:rStyle w:val="Hyperlink"/>
            <w:noProof/>
          </w:rPr>
          <w:t>7.5 Commitments for expenditure</w:t>
        </w:r>
        <w:r w:rsidR="00DE38B5">
          <w:rPr>
            <w:noProof/>
            <w:webHidden/>
          </w:rPr>
          <w:tab/>
        </w:r>
        <w:r w:rsidR="00DE38B5">
          <w:rPr>
            <w:noProof/>
            <w:webHidden/>
          </w:rPr>
          <w:fldChar w:fldCharType="begin"/>
        </w:r>
        <w:r w:rsidR="00DE38B5">
          <w:rPr>
            <w:noProof/>
            <w:webHidden/>
          </w:rPr>
          <w:instrText xml:space="preserve"> PAGEREF _Toc149911829 \h </w:instrText>
        </w:r>
        <w:r w:rsidR="00DE38B5">
          <w:rPr>
            <w:noProof/>
            <w:webHidden/>
          </w:rPr>
        </w:r>
        <w:r w:rsidR="00DE38B5">
          <w:rPr>
            <w:noProof/>
            <w:webHidden/>
          </w:rPr>
          <w:fldChar w:fldCharType="separate"/>
        </w:r>
        <w:r w:rsidR="008A66EE">
          <w:rPr>
            <w:noProof/>
            <w:webHidden/>
          </w:rPr>
          <w:t>114</w:t>
        </w:r>
        <w:r w:rsidR="00DE38B5">
          <w:rPr>
            <w:noProof/>
            <w:webHidden/>
          </w:rPr>
          <w:fldChar w:fldCharType="end"/>
        </w:r>
      </w:hyperlink>
    </w:p>
    <w:p w14:paraId="4C497957" w14:textId="5D657665" w:rsidR="00DE38B5" w:rsidRDefault="00B5500D">
      <w:pPr>
        <w:pStyle w:val="TOC1"/>
        <w:tabs>
          <w:tab w:val="right" w:leader="dot" w:pos="10194"/>
        </w:tabs>
        <w:rPr>
          <w:rFonts w:asciiTheme="minorHAnsi" w:eastAsiaTheme="minorEastAsia" w:hAnsiTheme="minorHAnsi" w:cstheme="minorBidi"/>
          <w:b w:val="0"/>
          <w:noProof/>
          <w:sz w:val="22"/>
          <w:szCs w:val="22"/>
          <w:lang w:eastAsia="en-AU"/>
        </w:rPr>
      </w:pPr>
      <w:hyperlink w:anchor="_Toc149911830" w:history="1">
        <w:r w:rsidR="00DE38B5" w:rsidRPr="00467F2D">
          <w:rPr>
            <w:rStyle w:val="Hyperlink"/>
            <w:noProof/>
          </w:rPr>
          <w:t>8. Risks, Contingencies and Valuation Judgements</w:t>
        </w:r>
        <w:r w:rsidR="00DE38B5">
          <w:rPr>
            <w:noProof/>
            <w:webHidden/>
          </w:rPr>
          <w:tab/>
        </w:r>
        <w:r w:rsidR="00DE38B5">
          <w:rPr>
            <w:noProof/>
            <w:webHidden/>
          </w:rPr>
          <w:fldChar w:fldCharType="begin"/>
        </w:r>
        <w:r w:rsidR="00DE38B5">
          <w:rPr>
            <w:noProof/>
            <w:webHidden/>
          </w:rPr>
          <w:instrText xml:space="preserve"> PAGEREF _Toc149911830 \h </w:instrText>
        </w:r>
        <w:r w:rsidR="00DE38B5">
          <w:rPr>
            <w:noProof/>
            <w:webHidden/>
          </w:rPr>
        </w:r>
        <w:r w:rsidR="00DE38B5">
          <w:rPr>
            <w:noProof/>
            <w:webHidden/>
          </w:rPr>
          <w:fldChar w:fldCharType="separate"/>
        </w:r>
        <w:r w:rsidR="008A66EE">
          <w:rPr>
            <w:noProof/>
            <w:webHidden/>
          </w:rPr>
          <w:t>122</w:t>
        </w:r>
        <w:r w:rsidR="00DE38B5">
          <w:rPr>
            <w:noProof/>
            <w:webHidden/>
          </w:rPr>
          <w:fldChar w:fldCharType="end"/>
        </w:r>
      </w:hyperlink>
    </w:p>
    <w:p w14:paraId="39C0E854" w14:textId="66CB336A" w:rsidR="00DE38B5" w:rsidRDefault="00B5500D">
      <w:pPr>
        <w:pStyle w:val="TOC2"/>
        <w:tabs>
          <w:tab w:val="right" w:leader="dot" w:pos="10194"/>
        </w:tabs>
        <w:rPr>
          <w:rFonts w:asciiTheme="minorHAnsi" w:eastAsiaTheme="minorEastAsia" w:hAnsiTheme="minorHAnsi" w:cstheme="minorBidi"/>
          <w:noProof/>
          <w:sz w:val="22"/>
          <w:lang w:eastAsia="en-AU"/>
        </w:rPr>
      </w:pPr>
      <w:hyperlink w:anchor="_Toc149911831" w:history="1">
        <w:r w:rsidR="00DE38B5" w:rsidRPr="00467F2D">
          <w:rPr>
            <w:rStyle w:val="Hyperlink"/>
            <w:noProof/>
          </w:rPr>
          <w:t>Introduction</w:t>
        </w:r>
        <w:r w:rsidR="00DE38B5">
          <w:rPr>
            <w:noProof/>
            <w:webHidden/>
          </w:rPr>
          <w:tab/>
        </w:r>
        <w:r w:rsidR="00DE38B5">
          <w:rPr>
            <w:noProof/>
            <w:webHidden/>
          </w:rPr>
          <w:fldChar w:fldCharType="begin"/>
        </w:r>
        <w:r w:rsidR="00DE38B5">
          <w:rPr>
            <w:noProof/>
            <w:webHidden/>
          </w:rPr>
          <w:instrText xml:space="preserve"> PAGEREF _Toc149911831 \h </w:instrText>
        </w:r>
        <w:r w:rsidR="00DE38B5">
          <w:rPr>
            <w:noProof/>
            <w:webHidden/>
          </w:rPr>
        </w:r>
        <w:r w:rsidR="00DE38B5">
          <w:rPr>
            <w:noProof/>
            <w:webHidden/>
          </w:rPr>
          <w:fldChar w:fldCharType="separate"/>
        </w:r>
        <w:r w:rsidR="008A66EE">
          <w:rPr>
            <w:noProof/>
            <w:webHidden/>
          </w:rPr>
          <w:t>122</w:t>
        </w:r>
        <w:r w:rsidR="00DE38B5">
          <w:rPr>
            <w:noProof/>
            <w:webHidden/>
          </w:rPr>
          <w:fldChar w:fldCharType="end"/>
        </w:r>
      </w:hyperlink>
    </w:p>
    <w:p w14:paraId="389DC3AB" w14:textId="03E30E1F" w:rsidR="00DE38B5" w:rsidRDefault="00B5500D">
      <w:pPr>
        <w:pStyle w:val="TOC2"/>
        <w:tabs>
          <w:tab w:val="right" w:leader="dot" w:pos="10194"/>
        </w:tabs>
        <w:rPr>
          <w:rFonts w:asciiTheme="minorHAnsi" w:eastAsiaTheme="minorEastAsia" w:hAnsiTheme="minorHAnsi" w:cstheme="minorBidi"/>
          <w:noProof/>
          <w:sz w:val="22"/>
          <w:lang w:eastAsia="en-AU"/>
        </w:rPr>
      </w:pPr>
      <w:hyperlink w:anchor="_Toc149911832" w:history="1">
        <w:r w:rsidR="00DE38B5" w:rsidRPr="00467F2D">
          <w:rPr>
            <w:rStyle w:val="Hyperlink"/>
            <w:noProof/>
          </w:rPr>
          <w:t>Significant judgement: Asset valuation impact</w:t>
        </w:r>
        <w:r w:rsidR="00DE38B5">
          <w:rPr>
            <w:noProof/>
            <w:webHidden/>
          </w:rPr>
          <w:tab/>
        </w:r>
        <w:r w:rsidR="00DE38B5">
          <w:rPr>
            <w:noProof/>
            <w:webHidden/>
          </w:rPr>
          <w:fldChar w:fldCharType="begin"/>
        </w:r>
        <w:r w:rsidR="00DE38B5">
          <w:rPr>
            <w:noProof/>
            <w:webHidden/>
          </w:rPr>
          <w:instrText xml:space="preserve"> PAGEREF _Toc149911832 \h </w:instrText>
        </w:r>
        <w:r w:rsidR="00DE38B5">
          <w:rPr>
            <w:noProof/>
            <w:webHidden/>
          </w:rPr>
        </w:r>
        <w:r w:rsidR="00DE38B5">
          <w:rPr>
            <w:noProof/>
            <w:webHidden/>
          </w:rPr>
          <w:fldChar w:fldCharType="separate"/>
        </w:r>
        <w:r w:rsidR="008A66EE">
          <w:rPr>
            <w:noProof/>
            <w:webHidden/>
          </w:rPr>
          <w:t>122</w:t>
        </w:r>
        <w:r w:rsidR="00DE38B5">
          <w:rPr>
            <w:noProof/>
            <w:webHidden/>
          </w:rPr>
          <w:fldChar w:fldCharType="end"/>
        </w:r>
      </w:hyperlink>
    </w:p>
    <w:p w14:paraId="17685934" w14:textId="265580FC" w:rsidR="00DE38B5" w:rsidRDefault="00B5500D">
      <w:pPr>
        <w:pStyle w:val="TOC2"/>
        <w:tabs>
          <w:tab w:val="right" w:leader="dot" w:pos="10194"/>
        </w:tabs>
        <w:rPr>
          <w:rFonts w:asciiTheme="minorHAnsi" w:eastAsiaTheme="minorEastAsia" w:hAnsiTheme="minorHAnsi" w:cstheme="minorBidi"/>
          <w:noProof/>
          <w:sz w:val="22"/>
          <w:lang w:eastAsia="en-AU"/>
        </w:rPr>
      </w:pPr>
      <w:hyperlink w:anchor="_Toc149911833" w:history="1">
        <w:r w:rsidR="00DE38B5" w:rsidRPr="00467F2D">
          <w:rPr>
            <w:rStyle w:val="Hyperlink"/>
            <w:noProof/>
          </w:rPr>
          <w:t>8.1 Financial instruments specific disclosures</w:t>
        </w:r>
        <w:r w:rsidR="00DE38B5">
          <w:rPr>
            <w:noProof/>
            <w:webHidden/>
          </w:rPr>
          <w:tab/>
        </w:r>
        <w:r w:rsidR="00DE38B5">
          <w:rPr>
            <w:noProof/>
            <w:webHidden/>
          </w:rPr>
          <w:fldChar w:fldCharType="begin"/>
        </w:r>
        <w:r w:rsidR="00DE38B5">
          <w:rPr>
            <w:noProof/>
            <w:webHidden/>
          </w:rPr>
          <w:instrText xml:space="preserve"> PAGEREF _Toc149911833 \h </w:instrText>
        </w:r>
        <w:r w:rsidR="00DE38B5">
          <w:rPr>
            <w:noProof/>
            <w:webHidden/>
          </w:rPr>
        </w:r>
        <w:r w:rsidR="00DE38B5">
          <w:rPr>
            <w:noProof/>
            <w:webHidden/>
          </w:rPr>
          <w:fldChar w:fldCharType="separate"/>
        </w:r>
        <w:r w:rsidR="008A66EE">
          <w:rPr>
            <w:noProof/>
            <w:webHidden/>
          </w:rPr>
          <w:t>122</w:t>
        </w:r>
        <w:r w:rsidR="00DE38B5">
          <w:rPr>
            <w:noProof/>
            <w:webHidden/>
          </w:rPr>
          <w:fldChar w:fldCharType="end"/>
        </w:r>
      </w:hyperlink>
    </w:p>
    <w:p w14:paraId="1932F0D1" w14:textId="380C7509" w:rsidR="00DE38B5" w:rsidRDefault="00B5500D">
      <w:pPr>
        <w:pStyle w:val="TOC2"/>
        <w:tabs>
          <w:tab w:val="right" w:leader="dot" w:pos="10194"/>
        </w:tabs>
        <w:rPr>
          <w:rFonts w:asciiTheme="minorHAnsi" w:eastAsiaTheme="minorEastAsia" w:hAnsiTheme="minorHAnsi" w:cstheme="minorBidi"/>
          <w:noProof/>
          <w:sz w:val="22"/>
          <w:lang w:eastAsia="en-AU"/>
        </w:rPr>
      </w:pPr>
      <w:hyperlink w:anchor="_Toc149911834" w:history="1">
        <w:r w:rsidR="00DE38B5" w:rsidRPr="00467F2D">
          <w:rPr>
            <w:rStyle w:val="Hyperlink"/>
            <w:noProof/>
          </w:rPr>
          <w:t>8.2 Contingent assets and</w:t>
        </w:r>
        <w:r w:rsidR="00DE38B5" w:rsidRPr="00467F2D">
          <w:rPr>
            <w:rStyle w:val="Hyperlink"/>
            <w:rFonts w:ascii="Cambria" w:hAnsi="Cambria" w:cs="Cambria"/>
            <w:noProof/>
          </w:rPr>
          <w:t xml:space="preserve"> </w:t>
        </w:r>
        <w:r w:rsidR="00DE38B5" w:rsidRPr="00467F2D">
          <w:rPr>
            <w:rStyle w:val="Hyperlink"/>
            <w:noProof/>
          </w:rPr>
          <w:t>contingent liabilities</w:t>
        </w:r>
        <w:r w:rsidR="00DE38B5">
          <w:rPr>
            <w:noProof/>
            <w:webHidden/>
          </w:rPr>
          <w:tab/>
        </w:r>
        <w:r w:rsidR="00DE38B5">
          <w:rPr>
            <w:noProof/>
            <w:webHidden/>
          </w:rPr>
          <w:fldChar w:fldCharType="begin"/>
        </w:r>
        <w:r w:rsidR="00DE38B5">
          <w:rPr>
            <w:noProof/>
            <w:webHidden/>
          </w:rPr>
          <w:instrText xml:space="preserve"> PAGEREF _Toc149911834 \h </w:instrText>
        </w:r>
        <w:r w:rsidR="00DE38B5">
          <w:rPr>
            <w:noProof/>
            <w:webHidden/>
          </w:rPr>
        </w:r>
        <w:r w:rsidR="00DE38B5">
          <w:rPr>
            <w:noProof/>
            <w:webHidden/>
          </w:rPr>
          <w:fldChar w:fldCharType="separate"/>
        </w:r>
        <w:r w:rsidR="008A66EE">
          <w:rPr>
            <w:noProof/>
            <w:webHidden/>
          </w:rPr>
          <w:t>136</w:t>
        </w:r>
        <w:r w:rsidR="00DE38B5">
          <w:rPr>
            <w:noProof/>
            <w:webHidden/>
          </w:rPr>
          <w:fldChar w:fldCharType="end"/>
        </w:r>
      </w:hyperlink>
    </w:p>
    <w:p w14:paraId="524D3BFF" w14:textId="07E37FA5" w:rsidR="00DE38B5" w:rsidRDefault="00B5500D">
      <w:pPr>
        <w:pStyle w:val="TOC2"/>
        <w:tabs>
          <w:tab w:val="right" w:leader="dot" w:pos="10194"/>
        </w:tabs>
        <w:rPr>
          <w:rFonts w:asciiTheme="minorHAnsi" w:eastAsiaTheme="minorEastAsia" w:hAnsiTheme="minorHAnsi" w:cstheme="minorBidi"/>
          <w:noProof/>
          <w:sz w:val="22"/>
          <w:lang w:eastAsia="en-AU"/>
        </w:rPr>
      </w:pPr>
      <w:hyperlink w:anchor="_Toc149911835" w:history="1">
        <w:r w:rsidR="00DE38B5" w:rsidRPr="00467F2D">
          <w:rPr>
            <w:rStyle w:val="Hyperlink"/>
            <w:noProof/>
          </w:rPr>
          <w:t>8.3 Fair value determination</w:t>
        </w:r>
        <w:r w:rsidR="00DE38B5">
          <w:rPr>
            <w:noProof/>
            <w:webHidden/>
          </w:rPr>
          <w:tab/>
        </w:r>
        <w:r w:rsidR="00DE38B5">
          <w:rPr>
            <w:noProof/>
            <w:webHidden/>
          </w:rPr>
          <w:fldChar w:fldCharType="begin"/>
        </w:r>
        <w:r w:rsidR="00DE38B5">
          <w:rPr>
            <w:noProof/>
            <w:webHidden/>
          </w:rPr>
          <w:instrText xml:space="preserve"> PAGEREF _Toc149911835 \h </w:instrText>
        </w:r>
        <w:r w:rsidR="00DE38B5">
          <w:rPr>
            <w:noProof/>
            <w:webHidden/>
          </w:rPr>
        </w:r>
        <w:r w:rsidR="00DE38B5">
          <w:rPr>
            <w:noProof/>
            <w:webHidden/>
          </w:rPr>
          <w:fldChar w:fldCharType="separate"/>
        </w:r>
        <w:r w:rsidR="008A66EE">
          <w:rPr>
            <w:noProof/>
            <w:webHidden/>
          </w:rPr>
          <w:t>137</w:t>
        </w:r>
        <w:r w:rsidR="00DE38B5">
          <w:rPr>
            <w:noProof/>
            <w:webHidden/>
          </w:rPr>
          <w:fldChar w:fldCharType="end"/>
        </w:r>
      </w:hyperlink>
    </w:p>
    <w:p w14:paraId="780376B5" w14:textId="6BDAFAD6" w:rsidR="00DE38B5" w:rsidRDefault="00B5500D">
      <w:pPr>
        <w:pStyle w:val="TOC1"/>
        <w:tabs>
          <w:tab w:val="right" w:leader="dot" w:pos="10194"/>
        </w:tabs>
        <w:rPr>
          <w:rFonts w:asciiTheme="minorHAnsi" w:eastAsiaTheme="minorEastAsia" w:hAnsiTheme="minorHAnsi" w:cstheme="minorBidi"/>
          <w:b w:val="0"/>
          <w:noProof/>
          <w:sz w:val="22"/>
          <w:szCs w:val="22"/>
          <w:lang w:eastAsia="en-AU"/>
        </w:rPr>
      </w:pPr>
      <w:hyperlink w:anchor="_Toc149911836" w:history="1">
        <w:r w:rsidR="00DE38B5" w:rsidRPr="00467F2D">
          <w:rPr>
            <w:rStyle w:val="Hyperlink"/>
            <w:noProof/>
          </w:rPr>
          <w:t>9. Other disclosures</w:t>
        </w:r>
        <w:r w:rsidR="00DE38B5">
          <w:rPr>
            <w:noProof/>
            <w:webHidden/>
          </w:rPr>
          <w:tab/>
        </w:r>
        <w:r w:rsidR="00DE38B5">
          <w:rPr>
            <w:noProof/>
            <w:webHidden/>
          </w:rPr>
          <w:fldChar w:fldCharType="begin"/>
        </w:r>
        <w:r w:rsidR="00DE38B5">
          <w:rPr>
            <w:noProof/>
            <w:webHidden/>
          </w:rPr>
          <w:instrText xml:space="preserve"> PAGEREF _Toc149911836 \h </w:instrText>
        </w:r>
        <w:r w:rsidR="00DE38B5">
          <w:rPr>
            <w:noProof/>
            <w:webHidden/>
          </w:rPr>
        </w:r>
        <w:r w:rsidR="00DE38B5">
          <w:rPr>
            <w:noProof/>
            <w:webHidden/>
          </w:rPr>
          <w:fldChar w:fldCharType="separate"/>
        </w:r>
        <w:r w:rsidR="008A66EE">
          <w:rPr>
            <w:noProof/>
            <w:webHidden/>
          </w:rPr>
          <w:t>149</w:t>
        </w:r>
        <w:r w:rsidR="00DE38B5">
          <w:rPr>
            <w:noProof/>
            <w:webHidden/>
          </w:rPr>
          <w:fldChar w:fldCharType="end"/>
        </w:r>
      </w:hyperlink>
    </w:p>
    <w:p w14:paraId="37EDEC20" w14:textId="07D92C38" w:rsidR="00DE38B5" w:rsidRDefault="00B5500D">
      <w:pPr>
        <w:pStyle w:val="TOC2"/>
        <w:tabs>
          <w:tab w:val="right" w:leader="dot" w:pos="10194"/>
        </w:tabs>
        <w:rPr>
          <w:rFonts w:asciiTheme="minorHAnsi" w:eastAsiaTheme="minorEastAsia" w:hAnsiTheme="minorHAnsi" w:cstheme="minorBidi"/>
          <w:noProof/>
          <w:sz w:val="22"/>
          <w:lang w:eastAsia="en-AU"/>
        </w:rPr>
      </w:pPr>
      <w:hyperlink w:anchor="_Toc149911837" w:history="1">
        <w:r w:rsidR="00DE38B5" w:rsidRPr="00467F2D">
          <w:rPr>
            <w:rStyle w:val="Hyperlink"/>
            <w:noProof/>
          </w:rPr>
          <w:t>Introduction</w:t>
        </w:r>
        <w:r w:rsidR="00DE38B5">
          <w:rPr>
            <w:noProof/>
            <w:webHidden/>
          </w:rPr>
          <w:tab/>
        </w:r>
        <w:r w:rsidR="00DE38B5">
          <w:rPr>
            <w:noProof/>
            <w:webHidden/>
          </w:rPr>
          <w:fldChar w:fldCharType="begin"/>
        </w:r>
        <w:r w:rsidR="00DE38B5">
          <w:rPr>
            <w:noProof/>
            <w:webHidden/>
          </w:rPr>
          <w:instrText xml:space="preserve"> PAGEREF _Toc149911837 \h </w:instrText>
        </w:r>
        <w:r w:rsidR="00DE38B5">
          <w:rPr>
            <w:noProof/>
            <w:webHidden/>
          </w:rPr>
        </w:r>
        <w:r w:rsidR="00DE38B5">
          <w:rPr>
            <w:noProof/>
            <w:webHidden/>
          </w:rPr>
          <w:fldChar w:fldCharType="separate"/>
        </w:r>
        <w:r w:rsidR="008A66EE">
          <w:rPr>
            <w:noProof/>
            <w:webHidden/>
          </w:rPr>
          <w:t>149</w:t>
        </w:r>
        <w:r w:rsidR="00DE38B5">
          <w:rPr>
            <w:noProof/>
            <w:webHidden/>
          </w:rPr>
          <w:fldChar w:fldCharType="end"/>
        </w:r>
      </w:hyperlink>
    </w:p>
    <w:p w14:paraId="3D885088" w14:textId="686FB7BD" w:rsidR="00DE38B5" w:rsidRDefault="00B5500D">
      <w:pPr>
        <w:pStyle w:val="TOC2"/>
        <w:tabs>
          <w:tab w:val="right" w:leader="dot" w:pos="10194"/>
        </w:tabs>
        <w:rPr>
          <w:rFonts w:asciiTheme="minorHAnsi" w:eastAsiaTheme="minorEastAsia" w:hAnsiTheme="minorHAnsi" w:cstheme="minorBidi"/>
          <w:noProof/>
          <w:sz w:val="22"/>
          <w:lang w:eastAsia="en-AU"/>
        </w:rPr>
      </w:pPr>
      <w:hyperlink w:anchor="_Toc149911838" w:history="1">
        <w:r w:rsidR="00DE38B5" w:rsidRPr="00467F2D">
          <w:rPr>
            <w:rStyle w:val="Hyperlink"/>
            <w:noProof/>
          </w:rPr>
          <w:t>9.1 Ex-gratia expenses</w:t>
        </w:r>
        <w:r w:rsidR="00DE38B5">
          <w:rPr>
            <w:noProof/>
            <w:webHidden/>
          </w:rPr>
          <w:tab/>
        </w:r>
        <w:r w:rsidR="00DE38B5">
          <w:rPr>
            <w:noProof/>
            <w:webHidden/>
          </w:rPr>
          <w:fldChar w:fldCharType="begin"/>
        </w:r>
        <w:r w:rsidR="00DE38B5">
          <w:rPr>
            <w:noProof/>
            <w:webHidden/>
          </w:rPr>
          <w:instrText xml:space="preserve"> PAGEREF _Toc149911838 \h </w:instrText>
        </w:r>
        <w:r w:rsidR="00DE38B5">
          <w:rPr>
            <w:noProof/>
            <w:webHidden/>
          </w:rPr>
        </w:r>
        <w:r w:rsidR="00DE38B5">
          <w:rPr>
            <w:noProof/>
            <w:webHidden/>
          </w:rPr>
          <w:fldChar w:fldCharType="separate"/>
        </w:r>
        <w:r w:rsidR="008A66EE">
          <w:rPr>
            <w:noProof/>
            <w:webHidden/>
          </w:rPr>
          <w:t>150</w:t>
        </w:r>
        <w:r w:rsidR="00DE38B5">
          <w:rPr>
            <w:noProof/>
            <w:webHidden/>
          </w:rPr>
          <w:fldChar w:fldCharType="end"/>
        </w:r>
      </w:hyperlink>
    </w:p>
    <w:p w14:paraId="31864122" w14:textId="1E6AC63E" w:rsidR="00DE38B5" w:rsidRDefault="00B5500D">
      <w:pPr>
        <w:pStyle w:val="TOC2"/>
        <w:tabs>
          <w:tab w:val="right" w:leader="dot" w:pos="10194"/>
        </w:tabs>
        <w:rPr>
          <w:rFonts w:asciiTheme="minorHAnsi" w:eastAsiaTheme="minorEastAsia" w:hAnsiTheme="minorHAnsi" w:cstheme="minorBidi"/>
          <w:noProof/>
          <w:sz w:val="22"/>
          <w:lang w:eastAsia="en-AU"/>
        </w:rPr>
      </w:pPr>
      <w:hyperlink w:anchor="_Toc149911839" w:history="1">
        <w:r w:rsidR="00DE38B5" w:rsidRPr="00467F2D">
          <w:rPr>
            <w:rStyle w:val="Hyperlink"/>
            <w:noProof/>
          </w:rPr>
          <w:t>9.2 Other economic flows included in net result</w:t>
        </w:r>
        <w:r w:rsidR="00DE38B5">
          <w:rPr>
            <w:noProof/>
            <w:webHidden/>
          </w:rPr>
          <w:tab/>
        </w:r>
        <w:r w:rsidR="00DE38B5">
          <w:rPr>
            <w:noProof/>
            <w:webHidden/>
          </w:rPr>
          <w:fldChar w:fldCharType="begin"/>
        </w:r>
        <w:r w:rsidR="00DE38B5">
          <w:rPr>
            <w:noProof/>
            <w:webHidden/>
          </w:rPr>
          <w:instrText xml:space="preserve"> PAGEREF _Toc149911839 \h </w:instrText>
        </w:r>
        <w:r w:rsidR="00DE38B5">
          <w:rPr>
            <w:noProof/>
            <w:webHidden/>
          </w:rPr>
        </w:r>
        <w:r w:rsidR="00DE38B5">
          <w:rPr>
            <w:noProof/>
            <w:webHidden/>
          </w:rPr>
          <w:fldChar w:fldCharType="separate"/>
        </w:r>
        <w:r w:rsidR="008A66EE">
          <w:rPr>
            <w:noProof/>
            <w:webHidden/>
          </w:rPr>
          <w:t>150</w:t>
        </w:r>
        <w:r w:rsidR="00DE38B5">
          <w:rPr>
            <w:noProof/>
            <w:webHidden/>
          </w:rPr>
          <w:fldChar w:fldCharType="end"/>
        </w:r>
      </w:hyperlink>
    </w:p>
    <w:p w14:paraId="067D7305" w14:textId="29F77D2D" w:rsidR="00DE38B5" w:rsidRDefault="00B5500D">
      <w:pPr>
        <w:pStyle w:val="TOC2"/>
        <w:tabs>
          <w:tab w:val="right" w:leader="dot" w:pos="10194"/>
        </w:tabs>
        <w:rPr>
          <w:rFonts w:asciiTheme="minorHAnsi" w:eastAsiaTheme="minorEastAsia" w:hAnsiTheme="minorHAnsi" w:cstheme="minorBidi"/>
          <w:noProof/>
          <w:sz w:val="22"/>
          <w:lang w:eastAsia="en-AU"/>
        </w:rPr>
      </w:pPr>
      <w:hyperlink w:anchor="_Toc149911840" w:history="1">
        <w:r w:rsidR="00DE38B5" w:rsidRPr="00467F2D">
          <w:rPr>
            <w:rStyle w:val="Hyperlink"/>
            <w:noProof/>
          </w:rPr>
          <w:t>9.3 Non-financial assets held for sale</w:t>
        </w:r>
        <w:r w:rsidR="00DE38B5">
          <w:rPr>
            <w:noProof/>
            <w:webHidden/>
          </w:rPr>
          <w:tab/>
        </w:r>
        <w:r w:rsidR="00DE38B5">
          <w:rPr>
            <w:noProof/>
            <w:webHidden/>
          </w:rPr>
          <w:fldChar w:fldCharType="begin"/>
        </w:r>
        <w:r w:rsidR="00DE38B5">
          <w:rPr>
            <w:noProof/>
            <w:webHidden/>
          </w:rPr>
          <w:instrText xml:space="preserve"> PAGEREF _Toc149911840 \h </w:instrText>
        </w:r>
        <w:r w:rsidR="00DE38B5">
          <w:rPr>
            <w:noProof/>
            <w:webHidden/>
          </w:rPr>
        </w:r>
        <w:r w:rsidR="00DE38B5">
          <w:rPr>
            <w:noProof/>
            <w:webHidden/>
          </w:rPr>
          <w:fldChar w:fldCharType="separate"/>
        </w:r>
        <w:r w:rsidR="008A66EE">
          <w:rPr>
            <w:noProof/>
            <w:webHidden/>
          </w:rPr>
          <w:t>151</w:t>
        </w:r>
        <w:r w:rsidR="00DE38B5">
          <w:rPr>
            <w:noProof/>
            <w:webHidden/>
          </w:rPr>
          <w:fldChar w:fldCharType="end"/>
        </w:r>
      </w:hyperlink>
    </w:p>
    <w:p w14:paraId="15B24D1A" w14:textId="45AA5F24" w:rsidR="00DE38B5" w:rsidRDefault="00B5500D">
      <w:pPr>
        <w:pStyle w:val="TOC2"/>
        <w:tabs>
          <w:tab w:val="right" w:leader="dot" w:pos="10194"/>
        </w:tabs>
        <w:rPr>
          <w:rFonts w:asciiTheme="minorHAnsi" w:eastAsiaTheme="minorEastAsia" w:hAnsiTheme="minorHAnsi" w:cstheme="minorBidi"/>
          <w:noProof/>
          <w:sz w:val="22"/>
          <w:lang w:eastAsia="en-AU"/>
        </w:rPr>
      </w:pPr>
      <w:hyperlink w:anchor="_Toc149911841" w:history="1">
        <w:r w:rsidR="00DE38B5" w:rsidRPr="00467F2D">
          <w:rPr>
            <w:rStyle w:val="Hyperlink"/>
            <w:noProof/>
          </w:rPr>
          <w:t>9.4 Equity disclosure</w:t>
        </w:r>
        <w:r w:rsidR="00DE38B5">
          <w:rPr>
            <w:noProof/>
            <w:webHidden/>
          </w:rPr>
          <w:tab/>
        </w:r>
        <w:r w:rsidR="00DE38B5">
          <w:rPr>
            <w:noProof/>
            <w:webHidden/>
          </w:rPr>
          <w:fldChar w:fldCharType="begin"/>
        </w:r>
        <w:r w:rsidR="00DE38B5">
          <w:rPr>
            <w:noProof/>
            <w:webHidden/>
          </w:rPr>
          <w:instrText xml:space="preserve"> PAGEREF _Toc149911841 \h </w:instrText>
        </w:r>
        <w:r w:rsidR="00DE38B5">
          <w:rPr>
            <w:noProof/>
            <w:webHidden/>
          </w:rPr>
        </w:r>
        <w:r w:rsidR="00DE38B5">
          <w:rPr>
            <w:noProof/>
            <w:webHidden/>
          </w:rPr>
          <w:fldChar w:fldCharType="separate"/>
        </w:r>
        <w:r w:rsidR="008A66EE">
          <w:rPr>
            <w:noProof/>
            <w:webHidden/>
          </w:rPr>
          <w:t>152</w:t>
        </w:r>
        <w:r w:rsidR="00DE38B5">
          <w:rPr>
            <w:noProof/>
            <w:webHidden/>
          </w:rPr>
          <w:fldChar w:fldCharType="end"/>
        </w:r>
      </w:hyperlink>
    </w:p>
    <w:p w14:paraId="7444A074" w14:textId="7F91F118" w:rsidR="00DE38B5" w:rsidRDefault="00B5500D">
      <w:pPr>
        <w:pStyle w:val="TOC2"/>
        <w:tabs>
          <w:tab w:val="right" w:leader="dot" w:pos="10194"/>
        </w:tabs>
        <w:rPr>
          <w:rFonts w:asciiTheme="minorHAnsi" w:eastAsiaTheme="minorEastAsia" w:hAnsiTheme="minorHAnsi" w:cstheme="minorBidi"/>
          <w:noProof/>
          <w:sz w:val="22"/>
          <w:lang w:eastAsia="en-AU"/>
        </w:rPr>
      </w:pPr>
      <w:hyperlink w:anchor="_Toc149911842" w:history="1">
        <w:r w:rsidR="00DE38B5" w:rsidRPr="00467F2D">
          <w:rPr>
            <w:rStyle w:val="Hyperlink"/>
            <w:noProof/>
          </w:rPr>
          <w:t>9.5 Entities consolidated pursuant to section 53(1)(b) of the FMA</w:t>
        </w:r>
        <w:r w:rsidR="00DE38B5">
          <w:rPr>
            <w:noProof/>
            <w:webHidden/>
          </w:rPr>
          <w:tab/>
        </w:r>
        <w:r w:rsidR="00DE38B5">
          <w:rPr>
            <w:noProof/>
            <w:webHidden/>
          </w:rPr>
          <w:fldChar w:fldCharType="begin"/>
        </w:r>
        <w:r w:rsidR="00DE38B5">
          <w:rPr>
            <w:noProof/>
            <w:webHidden/>
          </w:rPr>
          <w:instrText xml:space="preserve"> PAGEREF _Toc149911842 \h </w:instrText>
        </w:r>
        <w:r w:rsidR="00DE38B5">
          <w:rPr>
            <w:noProof/>
            <w:webHidden/>
          </w:rPr>
        </w:r>
        <w:r w:rsidR="00DE38B5">
          <w:rPr>
            <w:noProof/>
            <w:webHidden/>
          </w:rPr>
          <w:fldChar w:fldCharType="separate"/>
        </w:r>
        <w:r w:rsidR="008A66EE">
          <w:rPr>
            <w:noProof/>
            <w:webHidden/>
          </w:rPr>
          <w:t>153</w:t>
        </w:r>
        <w:r w:rsidR="00DE38B5">
          <w:rPr>
            <w:noProof/>
            <w:webHidden/>
          </w:rPr>
          <w:fldChar w:fldCharType="end"/>
        </w:r>
      </w:hyperlink>
    </w:p>
    <w:p w14:paraId="07CC8352" w14:textId="209AC5D8" w:rsidR="00DE38B5" w:rsidRDefault="00B5500D">
      <w:pPr>
        <w:pStyle w:val="TOC2"/>
        <w:tabs>
          <w:tab w:val="right" w:leader="dot" w:pos="10194"/>
        </w:tabs>
        <w:rPr>
          <w:rFonts w:asciiTheme="minorHAnsi" w:eastAsiaTheme="minorEastAsia" w:hAnsiTheme="minorHAnsi" w:cstheme="minorBidi"/>
          <w:noProof/>
          <w:sz w:val="22"/>
          <w:lang w:eastAsia="en-AU"/>
        </w:rPr>
      </w:pPr>
      <w:hyperlink w:anchor="_Toc149911843" w:history="1">
        <w:r w:rsidR="00DE38B5" w:rsidRPr="00467F2D">
          <w:rPr>
            <w:rStyle w:val="Hyperlink"/>
            <w:noProof/>
          </w:rPr>
          <w:t>9.6 Responsible persons</w:t>
        </w:r>
        <w:r w:rsidR="00DE38B5">
          <w:rPr>
            <w:noProof/>
            <w:webHidden/>
          </w:rPr>
          <w:tab/>
        </w:r>
        <w:r w:rsidR="00DE38B5">
          <w:rPr>
            <w:noProof/>
            <w:webHidden/>
          </w:rPr>
          <w:fldChar w:fldCharType="begin"/>
        </w:r>
        <w:r w:rsidR="00DE38B5">
          <w:rPr>
            <w:noProof/>
            <w:webHidden/>
          </w:rPr>
          <w:instrText xml:space="preserve"> PAGEREF _Toc149911843 \h </w:instrText>
        </w:r>
        <w:r w:rsidR="00DE38B5">
          <w:rPr>
            <w:noProof/>
            <w:webHidden/>
          </w:rPr>
        </w:r>
        <w:r w:rsidR="00DE38B5">
          <w:rPr>
            <w:noProof/>
            <w:webHidden/>
          </w:rPr>
          <w:fldChar w:fldCharType="separate"/>
        </w:r>
        <w:r w:rsidR="008A66EE">
          <w:rPr>
            <w:noProof/>
            <w:webHidden/>
          </w:rPr>
          <w:t>155</w:t>
        </w:r>
        <w:r w:rsidR="00DE38B5">
          <w:rPr>
            <w:noProof/>
            <w:webHidden/>
          </w:rPr>
          <w:fldChar w:fldCharType="end"/>
        </w:r>
      </w:hyperlink>
    </w:p>
    <w:p w14:paraId="4BD699F5" w14:textId="03484CE0" w:rsidR="00DE38B5" w:rsidRDefault="00B5500D">
      <w:pPr>
        <w:pStyle w:val="TOC2"/>
        <w:tabs>
          <w:tab w:val="right" w:leader="dot" w:pos="10194"/>
        </w:tabs>
        <w:rPr>
          <w:rFonts w:asciiTheme="minorHAnsi" w:eastAsiaTheme="minorEastAsia" w:hAnsiTheme="minorHAnsi" w:cstheme="minorBidi"/>
          <w:noProof/>
          <w:sz w:val="22"/>
          <w:lang w:eastAsia="en-AU"/>
        </w:rPr>
      </w:pPr>
      <w:hyperlink w:anchor="_Toc149911844" w:history="1">
        <w:r w:rsidR="00DE38B5" w:rsidRPr="00467F2D">
          <w:rPr>
            <w:rStyle w:val="Hyperlink"/>
            <w:noProof/>
          </w:rPr>
          <w:t>9.7 Remuneration of executives</w:t>
        </w:r>
        <w:r w:rsidR="00DE38B5">
          <w:rPr>
            <w:noProof/>
            <w:webHidden/>
          </w:rPr>
          <w:tab/>
        </w:r>
        <w:r w:rsidR="00DE38B5">
          <w:rPr>
            <w:noProof/>
            <w:webHidden/>
          </w:rPr>
          <w:fldChar w:fldCharType="begin"/>
        </w:r>
        <w:r w:rsidR="00DE38B5">
          <w:rPr>
            <w:noProof/>
            <w:webHidden/>
          </w:rPr>
          <w:instrText xml:space="preserve"> PAGEREF _Toc149911844 \h </w:instrText>
        </w:r>
        <w:r w:rsidR="00DE38B5">
          <w:rPr>
            <w:noProof/>
            <w:webHidden/>
          </w:rPr>
        </w:r>
        <w:r w:rsidR="00DE38B5">
          <w:rPr>
            <w:noProof/>
            <w:webHidden/>
          </w:rPr>
          <w:fldChar w:fldCharType="separate"/>
        </w:r>
        <w:r w:rsidR="008A66EE">
          <w:rPr>
            <w:noProof/>
            <w:webHidden/>
          </w:rPr>
          <w:t>159</w:t>
        </w:r>
        <w:r w:rsidR="00DE38B5">
          <w:rPr>
            <w:noProof/>
            <w:webHidden/>
          </w:rPr>
          <w:fldChar w:fldCharType="end"/>
        </w:r>
      </w:hyperlink>
    </w:p>
    <w:p w14:paraId="02DD3C8D" w14:textId="7F6CEE74" w:rsidR="00DE38B5" w:rsidRDefault="00B5500D">
      <w:pPr>
        <w:pStyle w:val="TOC2"/>
        <w:tabs>
          <w:tab w:val="right" w:leader="dot" w:pos="10194"/>
        </w:tabs>
        <w:rPr>
          <w:rFonts w:asciiTheme="minorHAnsi" w:eastAsiaTheme="minorEastAsia" w:hAnsiTheme="minorHAnsi" w:cstheme="minorBidi"/>
          <w:noProof/>
          <w:sz w:val="22"/>
          <w:lang w:eastAsia="en-AU"/>
        </w:rPr>
      </w:pPr>
      <w:hyperlink w:anchor="_Toc149911845" w:history="1">
        <w:r w:rsidR="00DE38B5" w:rsidRPr="00467F2D">
          <w:rPr>
            <w:rStyle w:val="Hyperlink"/>
            <w:noProof/>
          </w:rPr>
          <w:t>9.8 Related parties</w:t>
        </w:r>
        <w:r w:rsidR="00DE38B5">
          <w:rPr>
            <w:noProof/>
            <w:webHidden/>
          </w:rPr>
          <w:tab/>
        </w:r>
        <w:r w:rsidR="00DE38B5">
          <w:rPr>
            <w:noProof/>
            <w:webHidden/>
          </w:rPr>
          <w:fldChar w:fldCharType="begin"/>
        </w:r>
        <w:r w:rsidR="00DE38B5">
          <w:rPr>
            <w:noProof/>
            <w:webHidden/>
          </w:rPr>
          <w:instrText xml:space="preserve"> PAGEREF _Toc149911845 \h </w:instrText>
        </w:r>
        <w:r w:rsidR="00DE38B5">
          <w:rPr>
            <w:noProof/>
            <w:webHidden/>
          </w:rPr>
        </w:r>
        <w:r w:rsidR="00DE38B5">
          <w:rPr>
            <w:noProof/>
            <w:webHidden/>
          </w:rPr>
          <w:fldChar w:fldCharType="separate"/>
        </w:r>
        <w:r w:rsidR="008A66EE">
          <w:rPr>
            <w:noProof/>
            <w:webHidden/>
          </w:rPr>
          <w:t>160</w:t>
        </w:r>
        <w:r w:rsidR="00DE38B5">
          <w:rPr>
            <w:noProof/>
            <w:webHidden/>
          </w:rPr>
          <w:fldChar w:fldCharType="end"/>
        </w:r>
      </w:hyperlink>
    </w:p>
    <w:p w14:paraId="7C6899F4" w14:textId="030E70B8" w:rsidR="00DE38B5" w:rsidRDefault="00B5500D">
      <w:pPr>
        <w:pStyle w:val="TOC2"/>
        <w:tabs>
          <w:tab w:val="right" w:leader="dot" w:pos="10194"/>
        </w:tabs>
        <w:rPr>
          <w:rFonts w:asciiTheme="minorHAnsi" w:eastAsiaTheme="minorEastAsia" w:hAnsiTheme="minorHAnsi" w:cstheme="minorBidi"/>
          <w:noProof/>
          <w:sz w:val="22"/>
          <w:lang w:eastAsia="en-AU"/>
        </w:rPr>
      </w:pPr>
      <w:hyperlink w:anchor="_Toc149911846" w:history="1">
        <w:r w:rsidR="00DE38B5" w:rsidRPr="00467F2D">
          <w:rPr>
            <w:rStyle w:val="Hyperlink"/>
            <w:noProof/>
          </w:rPr>
          <w:t>9.9 Remuneration of auditors</w:t>
        </w:r>
        <w:r w:rsidR="00DE38B5">
          <w:rPr>
            <w:noProof/>
            <w:webHidden/>
          </w:rPr>
          <w:tab/>
        </w:r>
        <w:r w:rsidR="00DE38B5">
          <w:rPr>
            <w:noProof/>
            <w:webHidden/>
          </w:rPr>
          <w:fldChar w:fldCharType="begin"/>
        </w:r>
        <w:r w:rsidR="00DE38B5">
          <w:rPr>
            <w:noProof/>
            <w:webHidden/>
          </w:rPr>
          <w:instrText xml:space="preserve"> PAGEREF _Toc149911846 \h </w:instrText>
        </w:r>
        <w:r w:rsidR="00DE38B5">
          <w:rPr>
            <w:noProof/>
            <w:webHidden/>
          </w:rPr>
        </w:r>
        <w:r w:rsidR="00DE38B5">
          <w:rPr>
            <w:noProof/>
            <w:webHidden/>
          </w:rPr>
          <w:fldChar w:fldCharType="separate"/>
        </w:r>
        <w:r w:rsidR="008A66EE">
          <w:rPr>
            <w:noProof/>
            <w:webHidden/>
          </w:rPr>
          <w:t>165</w:t>
        </w:r>
        <w:r w:rsidR="00DE38B5">
          <w:rPr>
            <w:noProof/>
            <w:webHidden/>
          </w:rPr>
          <w:fldChar w:fldCharType="end"/>
        </w:r>
      </w:hyperlink>
    </w:p>
    <w:p w14:paraId="53E71057" w14:textId="14B6BBDA" w:rsidR="00DE38B5" w:rsidRDefault="00B5500D">
      <w:pPr>
        <w:pStyle w:val="TOC2"/>
        <w:tabs>
          <w:tab w:val="right" w:leader="dot" w:pos="10194"/>
        </w:tabs>
        <w:rPr>
          <w:rFonts w:asciiTheme="minorHAnsi" w:eastAsiaTheme="minorEastAsia" w:hAnsiTheme="minorHAnsi" w:cstheme="minorBidi"/>
          <w:noProof/>
          <w:sz w:val="22"/>
          <w:lang w:eastAsia="en-AU"/>
        </w:rPr>
      </w:pPr>
      <w:hyperlink w:anchor="_Toc149911847" w:history="1">
        <w:r w:rsidR="00DE38B5" w:rsidRPr="00467F2D">
          <w:rPr>
            <w:rStyle w:val="Hyperlink"/>
            <w:noProof/>
          </w:rPr>
          <w:t>9.10 Subsequent events</w:t>
        </w:r>
        <w:r w:rsidR="00DE38B5">
          <w:rPr>
            <w:noProof/>
            <w:webHidden/>
          </w:rPr>
          <w:tab/>
        </w:r>
        <w:r w:rsidR="00DE38B5">
          <w:rPr>
            <w:noProof/>
            <w:webHidden/>
          </w:rPr>
          <w:fldChar w:fldCharType="begin"/>
        </w:r>
        <w:r w:rsidR="00DE38B5">
          <w:rPr>
            <w:noProof/>
            <w:webHidden/>
          </w:rPr>
          <w:instrText xml:space="preserve"> PAGEREF _Toc149911847 \h </w:instrText>
        </w:r>
        <w:r w:rsidR="00DE38B5">
          <w:rPr>
            <w:noProof/>
            <w:webHidden/>
          </w:rPr>
        </w:r>
        <w:r w:rsidR="00DE38B5">
          <w:rPr>
            <w:noProof/>
            <w:webHidden/>
          </w:rPr>
          <w:fldChar w:fldCharType="separate"/>
        </w:r>
        <w:r w:rsidR="008A66EE">
          <w:rPr>
            <w:noProof/>
            <w:webHidden/>
          </w:rPr>
          <w:t>165</w:t>
        </w:r>
        <w:r w:rsidR="00DE38B5">
          <w:rPr>
            <w:noProof/>
            <w:webHidden/>
          </w:rPr>
          <w:fldChar w:fldCharType="end"/>
        </w:r>
      </w:hyperlink>
    </w:p>
    <w:p w14:paraId="626ABD55" w14:textId="670C51EE" w:rsidR="00DE38B5" w:rsidRDefault="00B5500D">
      <w:pPr>
        <w:pStyle w:val="TOC2"/>
        <w:tabs>
          <w:tab w:val="right" w:leader="dot" w:pos="10194"/>
        </w:tabs>
        <w:rPr>
          <w:rFonts w:asciiTheme="minorHAnsi" w:eastAsiaTheme="minorEastAsia" w:hAnsiTheme="minorHAnsi" w:cstheme="minorBidi"/>
          <w:noProof/>
          <w:sz w:val="22"/>
          <w:lang w:eastAsia="en-AU"/>
        </w:rPr>
      </w:pPr>
      <w:hyperlink w:anchor="_Toc149911848" w:history="1">
        <w:r w:rsidR="00DE38B5" w:rsidRPr="00467F2D">
          <w:rPr>
            <w:rStyle w:val="Hyperlink"/>
            <w:noProof/>
          </w:rPr>
          <w:t>9.11 Other accounting policies</w:t>
        </w:r>
        <w:r w:rsidR="00DE38B5">
          <w:rPr>
            <w:noProof/>
            <w:webHidden/>
          </w:rPr>
          <w:tab/>
        </w:r>
        <w:r w:rsidR="00DE38B5">
          <w:rPr>
            <w:noProof/>
            <w:webHidden/>
          </w:rPr>
          <w:fldChar w:fldCharType="begin"/>
        </w:r>
        <w:r w:rsidR="00DE38B5">
          <w:rPr>
            <w:noProof/>
            <w:webHidden/>
          </w:rPr>
          <w:instrText xml:space="preserve"> PAGEREF _Toc149911848 \h </w:instrText>
        </w:r>
        <w:r w:rsidR="00DE38B5">
          <w:rPr>
            <w:noProof/>
            <w:webHidden/>
          </w:rPr>
        </w:r>
        <w:r w:rsidR="00DE38B5">
          <w:rPr>
            <w:noProof/>
            <w:webHidden/>
          </w:rPr>
          <w:fldChar w:fldCharType="separate"/>
        </w:r>
        <w:r w:rsidR="008A66EE">
          <w:rPr>
            <w:noProof/>
            <w:webHidden/>
          </w:rPr>
          <w:t>165</w:t>
        </w:r>
        <w:r w:rsidR="00DE38B5">
          <w:rPr>
            <w:noProof/>
            <w:webHidden/>
          </w:rPr>
          <w:fldChar w:fldCharType="end"/>
        </w:r>
      </w:hyperlink>
    </w:p>
    <w:p w14:paraId="33EE5D04" w14:textId="226C3EBF" w:rsidR="00DE38B5" w:rsidRDefault="00B5500D">
      <w:pPr>
        <w:pStyle w:val="TOC2"/>
        <w:tabs>
          <w:tab w:val="right" w:leader="dot" w:pos="10194"/>
        </w:tabs>
        <w:rPr>
          <w:rFonts w:asciiTheme="minorHAnsi" w:eastAsiaTheme="minorEastAsia" w:hAnsiTheme="minorHAnsi" w:cstheme="minorBidi"/>
          <w:noProof/>
          <w:sz w:val="22"/>
          <w:lang w:eastAsia="en-AU"/>
        </w:rPr>
      </w:pPr>
      <w:hyperlink w:anchor="_Toc149911849" w:history="1">
        <w:r w:rsidR="00DE38B5" w:rsidRPr="00467F2D">
          <w:rPr>
            <w:rStyle w:val="Hyperlink"/>
            <w:noProof/>
          </w:rPr>
          <w:t>9.12 Australian Accounting Standards (AAS) issued that are</w:t>
        </w:r>
        <w:r w:rsidR="00DE38B5" w:rsidRPr="00467F2D">
          <w:rPr>
            <w:rStyle w:val="Hyperlink"/>
            <w:rFonts w:ascii="Cambria" w:hAnsi="Cambria" w:cs="Cambria"/>
            <w:noProof/>
          </w:rPr>
          <w:t xml:space="preserve"> </w:t>
        </w:r>
        <w:r w:rsidR="00DE38B5" w:rsidRPr="00467F2D">
          <w:rPr>
            <w:rStyle w:val="Hyperlink"/>
            <w:noProof/>
          </w:rPr>
          <w:t>not yet effective</w:t>
        </w:r>
        <w:r w:rsidR="00DE38B5">
          <w:rPr>
            <w:noProof/>
            <w:webHidden/>
          </w:rPr>
          <w:tab/>
        </w:r>
        <w:r w:rsidR="00DE38B5">
          <w:rPr>
            <w:noProof/>
            <w:webHidden/>
          </w:rPr>
          <w:fldChar w:fldCharType="begin"/>
        </w:r>
        <w:r w:rsidR="00DE38B5">
          <w:rPr>
            <w:noProof/>
            <w:webHidden/>
          </w:rPr>
          <w:instrText xml:space="preserve"> PAGEREF _Toc149911849 \h </w:instrText>
        </w:r>
        <w:r w:rsidR="00DE38B5">
          <w:rPr>
            <w:noProof/>
            <w:webHidden/>
          </w:rPr>
        </w:r>
        <w:r w:rsidR="00DE38B5">
          <w:rPr>
            <w:noProof/>
            <w:webHidden/>
          </w:rPr>
          <w:fldChar w:fldCharType="separate"/>
        </w:r>
        <w:r w:rsidR="008A66EE">
          <w:rPr>
            <w:noProof/>
            <w:webHidden/>
          </w:rPr>
          <w:t>166</w:t>
        </w:r>
        <w:r w:rsidR="00DE38B5">
          <w:rPr>
            <w:noProof/>
            <w:webHidden/>
          </w:rPr>
          <w:fldChar w:fldCharType="end"/>
        </w:r>
      </w:hyperlink>
    </w:p>
    <w:p w14:paraId="5A7334F3" w14:textId="4F2D9BCD" w:rsidR="00DE38B5" w:rsidRDefault="00B5500D">
      <w:pPr>
        <w:pStyle w:val="TOC2"/>
        <w:tabs>
          <w:tab w:val="right" w:leader="dot" w:pos="10194"/>
        </w:tabs>
        <w:rPr>
          <w:rFonts w:asciiTheme="minorHAnsi" w:eastAsiaTheme="minorEastAsia" w:hAnsiTheme="minorHAnsi" w:cstheme="minorBidi"/>
          <w:noProof/>
          <w:sz w:val="22"/>
          <w:lang w:eastAsia="en-AU"/>
        </w:rPr>
      </w:pPr>
      <w:hyperlink w:anchor="_Toc149911850" w:history="1">
        <w:r w:rsidR="00DE38B5" w:rsidRPr="00467F2D">
          <w:rPr>
            <w:rStyle w:val="Hyperlink"/>
            <w:noProof/>
          </w:rPr>
          <w:t>9.13 Departmental output objectives and descriptions</w:t>
        </w:r>
        <w:r w:rsidR="00DE38B5">
          <w:rPr>
            <w:noProof/>
            <w:webHidden/>
          </w:rPr>
          <w:tab/>
        </w:r>
        <w:r w:rsidR="00DE38B5">
          <w:rPr>
            <w:noProof/>
            <w:webHidden/>
          </w:rPr>
          <w:fldChar w:fldCharType="begin"/>
        </w:r>
        <w:r w:rsidR="00DE38B5">
          <w:rPr>
            <w:noProof/>
            <w:webHidden/>
          </w:rPr>
          <w:instrText xml:space="preserve"> PAGEREF _Toc149911850 \h </w:instrText>
        </w:r>
        <w:r w:rsidR="00DE38B5">
          <w:rPr>
            <w:noProof/>
            <w:webHidden/>
          </w:rPr>
        </w:r>
        <w:r w:rsidR="00DE38B5">
          <w:rPr>
            <w:noProof/>
            <w:webHidden/>
          </w:rPr>
          <w:fldChar w:fldCharType="separate"/>
        </w:r>
        <w:r w:rsidR="008A66EE">
          <w:rPr>
            <w:noProof/>
            <w:webHidden/>
          </w:rPr>
          <w:t>167</w:t>
        </w:r>
        <w:r w:rsidR="00DE38B5">
          <w:rPr>
            <w:noProof/>
            <w:webHidden/>
          </w:rPr>
          <w:fldChar w:fldCharType="end"/>
        </w:r>
      </w:hyperlink>
    </w:p>
    <w:p w14:paraId="10C32798" w14:textId="6C3592F9" w:rsidR="00DE38B5" w:rsidRDefault="00B5500D">
      <w:pPr>
        <w:pStyle w:val="TOC2"/>
        <w:tabs>
          <w:tab w:val="right" w:leader="dot" w:pos="10194"/>
        </w:tabs>
        <w:rPr>
          <w:rFonts w:asciiTheme="minorHAnsi" w:eastAsiaTheme="minorEastAsia" w:hAnsiTheme="minorHAnsi" w:cstheme="minorBidi"/>
          <w:noProof/>
          <w:sz w:val="22"/>
          <w:lang w:eastAsia="en-AU"/>
        </w:rPr>
      </w:pPr>
      <w:hyperlink w:anchor="_Toc149911851" w:history="1">
        <w:r w:rsidR="00DE38B5" w:rsidRPr="00467F2D">
          <w:rPr>
            <w:rStyle w:val="Hyperlink"/>
            <w:noProof/>
          </w:rPr>
          <w:t>9.14 Glossary of technical terms</w:t>
        </w:r>
        <w:r w:rsidR="00DE38B5">
          <w:rPr>
            <w:noProof/>
            <w:webHidden/>
          </w:rPr>
          <w:tab/>
        </w:r>
        <w:r w:rsidR="00DE38B5">
          <w:rPr>
            <w:noProof/>
            <w:webHidden/>
          </w:rPr>
          <w:fldChar w:fldCharType="begin"/>
        </w:r>
        <w:r w:rsidR="00DE38B5">
          <w:rPr>
            <w:noProof/>
            <w:webHidden/>
          </w:rPr>
          <w:instrText xml:space="preserve"> PAGEREF _Toc149911851 \h </w:instrText>
        </w:r>
        <w:r w:rsidR="00DE38B5">
          <w:rPr>
            <w:noProof/>
            <w:webHidden/>
          </w:rPr>
        </w:r>
        <w:r w:rsidR="00DE38B5">
          <w:rPr>
            <w:noProof/>
            <w:webHidden/>
          </w:rPr>
          <w:fldChar w:fldCharType="separate"/>
        </w:r>
        <w:r w:rsidR="008A66EE">
          <w:rPr>
            <w:noProof/>
            <w:webHidden/>
          </w:rPr>
          <w:t>170</w:t>
        </w:r>
        <w:r w:rsidR="00DE38B5">
          <w:rPr>
            <w:noProof/>
            <w:webHidden/>
          </w:rPr>
          <w:fldChar w:fldCharType="end"/>
        </w:r>
      </w:hyperlink>
    </w:p>
    <w:p w14:paraId="29D2B97A" w14:textId="652C96E1" w:rsidR="00DE38B5" w:rsidRDefault="00B5500D">
      <w:pPr>
        <w:pStyle w:val="TOC2"/>
        <w:tabs>
          <w:tab w:val="right" w:leader="dot" w:pos="10194"/>
        </w:tabs>
        <w:rPr>
          <w:rFonts w:asciiTheme="minorHAnsi" w:eastAsiaTheme="minorEastAsia" w:hAnsiTheme="minorHAnsi" w:cstheme="minorBidi"/>
          <w:noProof/>
          <w:sz w:val="22"/>
          <w:lang w:eastAsia="en-AU"/>
        </w:rPr>
      </w:pPr>
      <w:hyperlink w:anchor="_Toc149911852" w:history="1">
        <w:r w:rsidR="00DE38B5" w:rsidRPr="00467F2D">
          <w:rPr>
            <w:rStyle w:val="Hyperlink"/>
            <w:noProof/>
          </w:rPr>
          <w:t>9.15 Style conventions</w:t>
        </w:r>
        <w:r w:rsidR="00DE38B5">
          <w:rPr>
            <w:noProof/>
            <w:webHidden/>
          </w:rPr>
          <w:tab/>
        </w:r>
        <w:r w:rsidR="00DE38B5">
          <w:rPr>
            <w:noProof/>
            <w:webHidden/>
          </w:rPr>
          <w:fldChar w:fldCharType="begin"/>
        </w:r>
        <w:r w:rsidR="00DE38B5">
          <w:rPr>
            <w:noProof/>
            <w:webHidden/>
          </w:rPr>
          <w:instrText xml:space="preserve"> PAGEREF _Toc149911852 \h </w:instrText>
        </w:r>
        <w:r w:rsidR="00DE38B5">
          <w:rPr>
            <w:noProof/>
            <w:webHidden/>
          </w:rPr>
        </w:r>
        <w:r w:rsidR="00DE38B5">
          <w:rPr>
            <w:noProof/>
            <w:webHidden/>
          </w:rPr>
          <w:fldChar w:fldCharType="separate"/>
        </w:r>
        <w:r w:rsidR="008A66EE">
          <w:rPr>
            <w:noProof/>
            <w:webHidden/>
          </w:rPr>
          <w:t>175</w:t>
        </w:r>
        <w:r w:rsidR="00DE38B5">
          <w:rPr>
            <w:noProof/>
            <w:webHidden/>
          </w:rPr>
          <w:fldChar w:fldCharType="end"/>
        </w:r>
      </w:hyperlink>
    </w:p>
    <w:p w14:paraId="69E8D7EB" w14:textId="14224D32" w:rsidR="006D7B49" w:rsidRDefault="006D7B49" w:rsidP="00BF20DE">
      <w:r>
        <w:fldChar w:fldCharType="end"/>
      </w:r>
    </w:p>
    <w:p w14:paraId="5714FA1B" w14:textId="202D68E5" w:rsidR="005653DB" w:rsidRDefault="005653DB" w:rsidP="00BF20DE">
      <w:r>
        <w:rPr>
          <w:noProof/>
        </w:rPr>
        <w:lastRenderedPageBreak/>
        <w:drawing>
          <wp:inline distT="0" distB="0" distL="0" distR="0" wp14:anchorId="101DA4A6" wp14:editId="1CD076E9">
            <wp:extent cx="3257191" cy="4606637"/>
            <wp:effectExtent l="0" t="0" r="635" b="3810"/>
            <wp:docPr id="1" name="Picture 1" descr="Independent Auditor's Report page 1. Text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ndependent Auditor's Report page 1. Text below."/>
                    <pic:cNvPicPr/>
                  </pic:nvPicPr>
                  <pic:blipFill>
                    <a:blip r:embed="rId11"/>
                    <a:stretch>
                      <a:fillRect/>
                    </a:stretch>
                  </pic:blipFill>
                  <pic:spPr>
                    <a:xfrm>
                      <a:off x="0" y="0"/>
                      <a:ext cx="3257191" cy="4606637"/>
                    </a:xfrm>
                    <a:prstGeom prst="rect">
                      <a:avLst/>
                    </a:prstGeom>
                  </pic:spPr>
                </pic:pic>
              </a:graphicData>
            </a:graphic>
          </wp:inline>
        </w:drawing>
      </w:r>
    </w:p>
    <w:p w14:paraId="481064CD" w14:textId="77777777" w:rsidR="001248FD" w:rsidRPr="001248FD" w:rsidRDefault="001248FD" w:rsidP="001248FD">
      <w:pPr>
        <w:suppressAutoHyphens w:val="0"/>
        <w:autoSpaceDE w:val="0"/>
        <w:autoSpaceDN w:val="0"/>
        <w:adjustRightInd w:val="0"/>
        <w:spacing w:after="0" w:line="240" w:lineRule="auto"/>
        <w:rPr>
          <w:rFonts w:ascii="Calibri" w:eastAsiaTheme="minorEastAsia" w:hAnsi="Calibri" w:cs="Calibri"/>
          <w:color w:val="000000"/>
          <w:szCs w:val="24"/>
          <w:lang w:eastAsia="en-AU"/>
        </w:rPr>
      </w:pPr>
    </w:p>
    <w:p w14:paraId="37F7F0CD" w14:textId="383C3ABA" w:rsidR="001248FD" w:rsidRPr="001248FD" w:rsidRDefault="001248FD" w:rsidP="001248FD">
      <w:pPr>
        <w:rPr>
          <w:b/>
          <w:bCs/>
          <w:sz w:val="28"/>
          <w:szCs w:val="36"/>
          <w:lang w:eastAsia="en-AU"/>
        </w:rPr>
      </w:pPr>
      <w:r w:rsidRPr="001248FD">
        <w:rPr>
          <w:b/>
          <w:bCs/>
          <w:sz w:val="28"/>
          <w:szCs w:val="36"/>
          <w:lang w:eastAsia="en-AU"/>
        </w:rPr>
        <w:t xml:space="preserve">Independent Auditor’s Report </w:t>
      </w:r>
    </w:p>
    <w:p w14:paraId="79A5B899" w14:textId="6247ACBA" w:rsidR="001248FD" w:rsidRPr="001248FD" w:rsidRDefault="001248FD" w:rsidP="001248FD">
      <w:r w:rsidRPr="001248FD">
        <w:rPr>
          <w:b/>
          <w:bCs/>
          <w:i/>
          <w:iCs/>
          <w:lang w:eastAsia="en-AU"/>
        </w:rPr>
        <w:t>To the Secretary of the Department of Jobs, Skills, Industry and Regions</w:t>
      </w:r>
    </w:p>
    <w:tbl>
      <w:tblPr>
        <w:tblStyle w:val="TableGrid"/>
        <w:tblW w:w="10314" w:type="dxa"/>
        <w:tblLayout w:type="fixed"/>
        <w:tblLook w:val="04A0" w:firstRow="1" w:lastRow="0" w:firstColumn="1" w:lastColumn="0" w:noHBand="0" w:noVBand="1"/>
      </w:tblPr>
      <w:tblGrid>
        <w:gridCol w:w="1980"/>
        <w:gridCol w:w="8334"/>
      </w:tblGrid>
      <w:tr w:rsidR="001248FD" w:rsidRPr="001248FD" w14:paraId="505DDD45" w14:textId="77777777" w:rsidTr="008A66EE">
        <w:tc>
          <w:tcPr>
            <w:tcW w:w="1980" w:type="dxa"/>
          </w:tcPr>
          <w:p w14:paraId="3DDDCAA1" w14:textId="77932036" w:rsidR="001248FD" w:rsidRPr="001248FD" w:rsidRDefault="001248FD" w:rsidP="001248FD">
            <w:pPr>
              <w:pStyle w:val="TableCopy"/>
              <w:rPr>
                <w:b/>
                <w:bCs/>
                <w:lang w:eastAsia="en-AU"/>
              </w:rPr>
            </w:pPr>
            <w:r w:rsidRPr="001248FD">
              <w:rPr>
                <w:b/>
                <w:bCs/>
                <w:lang w:eastAsia="en-AU"/>
              </w:rPr>
              <w:t xml:space="preserve">Opinion </w:t>
            </w:r>
          </w:p>
        </w:tc>
        <w:tc>
          <w:tcPr>
            <w:tcW w:w="8334" w:type="dxa"/>
          </w:tcPr>
          <w:p w14:paraId="00B35A62" w14:textId="77777777" w:rsidR="001248FD" w:rsidRPr="001248FD" w:rsidRDefault="001248FD" w:rsidP="001248FD">
            <w:pPr>
              <w:pStyle w:val="TableCopy"/>
              <w:spacing w:after="80"/>
              <w:rPr>
                <w:lang w:eastAsia="en-AU"/>
              </w:rPr>
            </w:pPr>
            <w:r w:rsidRPr="001248FD">
              <w:rPr>
                <w:lang w:eastAsia="en-AU"/>
              </w:rPr>
              <w:t xml:space="preserve">I have audited the financial report of the Department of Jobs, Skills, Industry and Regions (the department) which comprises the: </w:t>
            </w:r>
          </w:p>
          <w:p w14:paraId="7B9F178C" w14:textId="77777777" w:rsidR="001248FD" w:rsidRPr="001248FD" w:rsidRDefault="001248FD" w:rsidP="001248FD">
            <w:pPr>
              <w:pStyle w:val="TableBullet"/>
              <w:rPr>
                <w:lang w:eastAsia="en-AU"/>
              </w:rPr>
            </w:pPr>
            <w:r w:rsidRPr="001248FD">
              <w:rPr>
                <w:lang w:eastAsia="en-AU"/>
              </w:rPr>
              <w:t xml:space="preserve">balance sheet as </w:t>
            </w:r>
            <w:proofErr w:type="gramStart"/>
            <w:r w:rsidRPr="001248FD">
              <w:rPr>
                <w:lang w:eastAsia="en-AU"/>
              </w:rPr>
              <w:t>at</w:t>
            </w:r>
            <w:proofErr w:type="gramEnd"/>
            <w:r w:rsidRPr="001248FD">
              <w:rPr>
                <w:lang w:eastAsia="en-AU"/>
              </w:rPr>
              <w:t xml:space="preserve"> 30 June 2023 </w:t>
            </w:r>
          </w:p>
          <w:p w14:paraId="21574DAC" w14:textId="77777777" w:rsidR="001248FD" w:rsidRPr="001248FD" w:rsidRDefault="001248FD" w:rsidP="001248FD">
            <w:pPr>
              <w:pStyle w:val="TableBullet"/>
              <w:rPr>
                <w:lang w:eastAsia="en-AU"/>
              </w:rPr>
            </w:pPr>
            <w:r w:rsidRPr="001248FD">
              <w:rPr>
                <w:lang w:eastAsia="en-AU"/>
              </w:rPr>
              <w:t xml:space="preserve">comprehensive operating statement for the year then ended </w:t>
            </w:r>
          </w:p>
          <w:p w14:paraId="2D4B8F96" w14:textId="77777777" w:rsidR="001248FD" w:rsidRPr="001248FD" w:rsidRDefault="001248FD" w:rsidP="001248FD">
            <w:pPr>
              <w:pStyle w:val="TableBullet"/>
              <w:rPr>
                <w:lang w:eastAsia="en-AU"/>
              </w:rPr>
            </w:pPr>
            <w:r w:rsidRPr="001248FD">
              <w:rPr>
                <w:lang w:eastAsia="en-AU"/>
              </w:rPr>
              <w:t xml:space="preserve">statement of changes in equity for the year then ended </w:t>
            </w:r>
          </w:p>
          <w:p w14:paraId="46D027A3" w14:textId="77777777" w:rsidR="001248FD" w:rsidRPr="001248FD" w:rsidRDefault="001248FD" w:rsidP="001248FD">
            <w:pPr>
              <w:pStyle w:val="TableBullet"/>
              <w:rPr>
                <w:lang w:eastAsia="en-AU"/>
              </w:rPr>
            </w:pPr>
            <w:r w:rsidRPr="001248FD">
              <w:rPr>
                <w:lang w:eastAsia="en-AU"/>
              </w:rPr>
              <w:t xml:space="preserve">cash flow statement for the year then ended </w:t>
            </w:r>
          </w:p>
          <w:p w14:paraId="3A8D7042" w14:textId="77777777" w:rsidR="001248FD" w:rsidRPr="001248FD" w:rsidRDefault="001248FD" w:rsidP="001248FD">
            <w:pPr>
              <w:pStyle w:val="TableBullet"/>
              <w:rPr>
                <w:lang w:eastAsia="en-AU"/>
              </w:rPr>
            </w:pPr>
            <w:r w:rsidRPr="001248FD">
              <w:rPr>
                <w:lang w:eastAsia="en-AU"/>
              </w:rPr>
              <w:t xml:space="preserve">notes to the financial statements, including significant accounting policies </w:t>
            </w:r>
          </w:p>
          <w:p w14:paraId="5F1857DC" w14:textId="77777777" w:rsidR="001248FD" w:rsidRPr="001248FD" w:rsidRDefault="001248FD" w:rsidP="001248FD">
            <w:pPr>
              <w:pStyle w:val="TableBullet"/>
              <w:spacing w:after="140"/>
              <w:rPr>
                <w:lang w:eastAsia="en-AU"/>
              </w:rPr>
            </w:pPr>
            <w:r w:rsidRPr="001248FD">
              <w:rPr>
                <w:lang w:eastAsia="en-AU"/>
              </w:rPr>
              <w:t xml:space="preserve">accountable officer's and chief finance officer's declaration. </w:t>
            </w:r>
          </w:p>
          <w:p w14:paraId="566DE102" w14:textId="77777777" w:rsidR="001248FD" w:rsidRPr="001248FD" w:rsidRDefault="001248FD" w:rsidP="001248FD">
            <w:pPr>
              <w:pStyle w:val="TableCopy"/>
              <w:rPr>
                <w:lang w:eastAsia="en-AU"/>
              </w:rPr>
            </w:pPr>
            <w:r w:rsidRPr="001248FD">
              <w:rPr>
                <w:lang w:eastAsia="en-AU"/>
              </w:rPr>
              <w:t xml:space="preserve">In my opinion the financial report presents fairly, in all material respects, the financial position of the department as </w:t>
            </w:r>
            <w:proofErr w:type="gramStart"/>
            <w:r w:rsidRPr="001248FD">
              <w:rPr>
                <w:lang w:eastAsia="en-AU"/>
              </w:rPr>
              <w:t>at</w:t>
            </w:r>
            <w:proofErr w:type="gramEnd"/>
            <w:r w:rsidRPr="001248FD">
              <w:rPr>
                <w:lang w:eastAsia="en-AU"/>
              </w:rPr>
              <w:t xml:space="preserve"> 30 June 2023 and its financial performance and cash flows for the year then ended in accordance with the financial reporting requirements of Part 7 of the </w:t>
            </w:r>
            <w:r w:rsidRPr="001248FD">
              <w:rPr>
                <w:i/>
                <w:iCs/>
                <w:lang w:eastAsia="en-AU"/>
              </w:rPr>
              <w:t xml:space="preserve">Financial Management Act 1994 </w:t>
            </w:r>
            <w:r w:rsidRPr="001248FD">
              <w:rPr>
                <w:lang w:eastAsia="en-AU"/>
              </w:rPr>
              <w:t xml:space="preserve">and applicable Australian Accounting Standards. </w:t>
            </w:r>
          </w:p>
        </w:tc>
      </w:tr>
      <w:tr w:rsidR="001248FD" w:rsidRPr="001248FD" w14:paraId="73662A19" w14:textId="77777777" w:rsidTr="008A66EE">
        <w:tc>
          <w:tcPr>
            <w:tcW w:w="1980" w:type="dxa"/>
          </w:tcPr>
          <w:p w14:paraId="3BFE8E36" w14:textId="77777777" w:rsidR="001248FD" w:rsidRPr="001248FD" w:rsidRDefault="001248FD" w:rsidP="001248FD">
            <w:pPr>
              <w:pStyle w:val="TableCopy"/>
              <w:rPr>
                <w:b/>
                <w:bCs/>
                <w:lang w:eastAsia="en-AU"/>
              </w:rPr>
            </w:pPr>
            <w:r w:rsidRPr="001248FD">
              <w:rPr>
                <w:b/>
                <w:bCs/>
                <w:lang w:eastAsia="en-AU"/>
              </w:rPr>
              <w:lastRenderedPageBreak/>
              <w:t xml:space="preserve">Basis for opinion </w:t>
            </w:r>
          </w:p>
        </w:tc>
        <w:tc>
          <w:tcPr>
            <w:tcW w:w="8334" w:type="dxa"/>
          </w:tcPr>
          <w:p w14:paraId="2FA287E8" w14:textId="77777777" w:rsidR="001248FD" w:rsidRPr="001248FD" w:rsidRDefault="001248FD" w:rsidP="001248FD">
            <w:pPr>
              <w:pStyle w:val="TableCopy"/>
              <w:rPr>
                <w:lang w:eastAsia="en-AU"/>
              </w:rPr>
            </w:pPr>
            <w:r w:rsidRPr="001248FD">
              <w:rPr>
                <w:lang w:eastAsia="en-AU"/>
              </w:rPr>
              <w:t xml:space="preserve">I have conducted my audit in accordance with the </w:t>
            </w:r>
            <w:r w:rsidRPr="001248FD">
              <w:rPr>
                <w:i/>
                <w:iCs/>
                <w:lang w:eastAsia="en-AU"/>
              </w:rPr>
              <w:t xml:space="preserve">Audit Act 1994 </w:t>
            </w:r>
            <w:r w:rsidRPr="001248FD">
              <w:rPr>
                <w:lang w:eastAsia="en-AU"/>
              </w:rPr>
              <w:t xml:space="preserve">which incorporates the Australian Auditing Standards. I further describe my responsibilities under that Act and those standards in the </w:t>
            </w:r>
            <w:r w:rsidRPr="001248FD">
              <w:rPr>
                <w:i/>
                <w:iCs/>
                <w:lang w:eastAsia="en-AU"/>
              </w:rPr>
              <w:t xml:space="preserve">Auditor’s Responsibilities for the Audit of the Financial Report </w:t>
            </w:r>
            <w:r w:rsidRPr="001248FD">
              <w:rPr>
                <w:lang w:eastAsia="en-AU"/>
              </w:rPr>
              <w:t xml:space="preserve">section of my report. </w:t>
            </w:r>
          </w:p>
          <w:p w14:paraId="0944A467" w14:textId="77777777" w:rsidR="001248FD" w:rsidRPr="001248FD" w:rsidRDefault="001248FD" w:rsidP="001248FD">
            <w:pPr>
              <w:pStyle w:val="TableCopy"/>
              <w:rPr>
                <w:lang w:eastAsia="en-AU"/>
              </w:rPr>
            </w:pPr>
            <w:r w:rsidRPr="001248FD">
              <w:rPr>
                <w:lang w:eastAsia="en-AU"/>
              </w:rPr>
              <w:t xml:space="preserve">My independence is established by the </w:t>
            </w:r>
            <w:r w:rsidRPr="001248FD">
              <w:rPr>
                <w:i/>
                <w:iCs/>
                <w:lang w:eastAsia="en-AU"/>
              </w:rPr>
              <w:t>Constitution Act 1975</w:t>
            </w:r>
            <w:r w:rsidRPr="001248FD">
              <w:rPr>
                <w:lang w:eastAsia="en-AU"/>
              </w:rPr>
              <w:t xml:space="preserve">. My staff and I are independent of the department in accordance with the ethical requirements of the Accounting Professional and Ethical Standards Board’s APES 110 </w:t>
            </w:r>
            <w:r w:rsidRPr="001248FD">
              <w:rPr>
                <w:i/>
                <w:iCs/>
                <w:lang w:eastAsia="en-AU"/>
              </w:rPr>
              <w:t xml:space="preserve">Code of Ethics for Professional Accountants </w:t>
            </w:r>
            <w:r w:rsidRPr="001248FD">
              <w:rPr>
                <w:lang w:eastAsia="en-AU"/>
              </w:rPr>
              <w:t xml:space="preserve">(the Code) that are relevant to my audit of the financial report in Victoria. My staff and I have also fulfilled our other ethical responsibilities in accordance with the Code. </w:t>
            </w:r>
          </w:p>
          <w:p w14:paraId="2963C415" w14:textId="77777777" w:rsidR="001248FD" w:rsidRPr="001248FD" w:rsidRDefault="001248FD" w:rsidP="001248FD">
            <w:pPr>
              <w:pStyle w:val="TableCopy"/>
              <w:rPr>
                <w:lang w:eastAsia="en-AU"/>
              </w:rPr>
            </w:pPr>
            <w:r w:rsidRPr="001248FD">
              <w:rPr>
                <w:lang w:eastAsia="en-AU"/>
              </w:rPr>
              <w:t xml:space="preserve">I believe that the audit evidence I have obtained is sufficient and appropriate to provide a basis for my opinion. </w:t>
            </w:r>
          </w:p>
        </w:tc>
      </w:tr>
      <w:tr w:rsidR="001248FD" w:rsidRPr="001248FD" w14:paraId="1236DC70" w14:textId="77777777" w:rsidTr="008A66EE">
        <w:tc>
          <w:tcPr>
            <w:tcW w:w="1980" w:type="dxa"/>
          </w:tcPr>
          <w:p w14:paraId="316A046F" w14:textId="77777777" w:rsidR="001248FD" w:rsidRPr="008A66EE" w:rsidRDefault="001248FD" w:rsidP="008A66EE">
            <w:pPr>
              <w:pStyle w:val="TableCopy"/>
              <w:rPr>
                <w:b/>
                <w:bCs/>
                <w:lang w:eastAsia="en-AU"/>
              </w:rPr>
            </w:pPr>
            <w:r w:rsidRPr="008A66EE">
              <w:rPr>
                <w:b/>
                <w:bCs/>
                <w:lang w:eastAsia="en-AU"/>
              </w:rPr>
              <w:t xml:space="preserve">Secretary’s responsibilities for the financial report </w:t>
            </w:r>
          </w:p>
        </w:tc>
        <w:tc>
          <w:tcPr>
            <w:tcW w:w="8334" w:type="dxa"/>
          </w:tcPr>
          <w:p w14:paraId="4B38D9D6" w14:textId="77777777" w:rsidR="001248FD" w:rsidRPr="001248FD" w:rsidRDefault="001248FD" w:rsidP="008A66EE">
            <w:pPr>
              <w:pStyle w:val="TableCopy"/>
              <w:rPr>
                <w:lang w:eastAsia="en-AU"/>
              </w:rPr>
            </w:pPr>
            <w:r w:rsidRPr="001248FD">
              <w:rPr>
                <w:lang w:eastAsia="en-AU"/>
              </w:rPr>
              <w:t xml:space="preserve">The Secretary of the department is responsible for the preparation and fair presentation of the financial report in accordance with Australian Accounting Standards and the </w:t>
            </w:r>
            <w:r w:rsidRPr="001248FD">
              <w:rPr>
                <w:i/>
                <w:iCs/>
                <w:lang w:eastAsia="en-AU"/>
              </w:rPr>
              <w:t>Financial Management Act 1994</w:t>
            </w:r>
            <w:r w:rsidRPr="001248FD">
              <w:rPr>
                <w:lang w:eastAsia="en-AU"/>
              </w:rPr>
              <w:t xml:space="preserve">, and for such internal control as the Secretary determines is necessary to enable the preparation and fair presentation of a financial report that is free from material misstatement, whether due to fraud or error. </w:t>
            </w:r>
          </w:p>
          <w:p w14:paraId="5F09B378" w14:textId="77777777" w:rsidR="001248FD" w:rsidRPr="001248FD" w:rsidRDefault="001248FD" w:rsidP="008A66EE">
            <w:pPr>
              <w:pStyle w:val="TableCopy"/>
              <w:rPr>
                <w:lang w:eastAsia="en-AU"/>
              </w:rPr>
            </w:pPr>
            <w:r w:rsidRPr="001248FD">
              <w:rPr>
                <w:lang w:eastAsia="en-AU"/>
              </w:rPr>
              <w:t xml:space="preserve">In preparing the financial report, the Secretary is responsible for assessing the department’s ability to continue as a going concern, disclosing, as applicable, matters related to going concern and using the going concern basis of accounting unless it is inappropriate to do so. </w:t>
            </w:r>
          </w:p>
        </w:tc>
      </w:tr>
    </w:tbl>
    <w:p w14:paraId="091DDCDB" w14:textId="77777777" w:rsidR="001248FD" w:rsidRDefault="001248FD" w:rsidP="00BF20DE"/>
    <w:p w14:paraId="066CFF3D" w14:textId="0A9D036D" w:rsidR="005653DB" w:rsidRDefault="005653DB" w:rsidP="00BF20DE">
      <w:r>
        <w:rPr>
          <w:noProof/>
        </w:rPr>
        <w:lastRenderedPageBreak/>
        <w:drawing>
          <wp:inline distT="0" distB="0" distL="0" distR="0" wp14:anchorId="07D59BCD" wp14:editId="78056515">
            <wp:extent cx="3248891" cy="4717937"/>
            <wp:effectExtent l="0" t="0" r="8890" b="6985"/>
            <wp:docPr id="2" name="Picture 2" descr="Independent Auditor's Report page 2. Text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ndependent Auditor's Report page 2. Text below."/>
                    <pic:cNvPicPr/>
                  </pic:nvPicPr>
                  <pic:blipFill>
                    <a:blip r:embed="rId12"/>
                    <a:stretch>
                      <a:fillRect/>
                    </a:stretch>
                  </pic:blipFill>
                  <pic:spPr>
                    <a:xfrm>
                      <a:off x="0" y="0"/>
                      <a:ext cx="3257465" cy="4730388"/>
                    </a:xfrm>
                    <a:prstGeom prst="rect">
                      <a:avLst/>
                    </a:prstGeom>
                  </pic:spPr>
                </pic:pic>
              </a:graphicData>
            </a:graphic>
          </wp:inline>
        </w:drawing>
      </w:r>
    </w:p>
    <w:tbl>
      <w:tblPr>
        <w:tblStyle w:val="TableGrid"/>
        <w:tblW w:w="10201" w:type="dxa"/>
        <w:tblLayout w:type="fixed"/>
        <w:tblLook w:val="04A0" w:firstRow="1" w:lastRow="0" w:firstColumn="1" w:lastColumn="0" w:noHBand="0" w:noVBand="1"/>
      </w:tblPr>
      <w:tblGrid>
        <w:gridCol w:w="1980"/>
        <w:gridCol w:w="8221"/>
      </w:tblGrid>
      <w:tr w:rsidR="008A66EE" w:rsidRPr="008A66EE" w14:paraId="06DC9CE3" w14:textId="77777777" w:rsidTr="008A66EE">
        <w:trPr>
          <w:trHeight w:val="5620"/>
        </w:trPr>
        <w:tc>
          <w:tcPr>
            <w:tcW w:w="1980" w:type="dxa"/>
          </w:tcPr>
          <w:p w14:paraId="3F83D577" w14:textId="65425CD0" w:rsidR="008A66EE" w:rsidRPr="008A66EE" w:rsidRDefault="008A66EE" w:rsidP="008A66EE">
            <w:pPr>
              <w:pStyle w:val="TableCopy"/>
              <w:rPr>
                <w:b/>
                <w:bCs/>
                <w:lang w:eastAsia="en-AU"/>
              </w:rPr>
            </w:pPr>
            <w:r w:rsidRPr="008A66EE">
              <w:rPr>
                <w:b/>
                <w:bCs/>
                <w:lang w:eastAsia="en-AU"/>
              </w:rPr>
              <w:t>Auditor’s responsibilities for the audit of the financial report</w:t>
            </w:r>
          </w:p>
        </w:tc>
        <w:tc>
          <w:tcPr>
            <w:tcW w:w="8221" w:type="dxa"/>
          </w:tcPr>
          <w:p w14:paraId="3FA11A69" w14:textId="77777777" w:rsidR="008A66EE" w:rsidRPr="008A66EE" w:rsidRDefault="008A66EE" w:rsidP="008A66EE">
            <w:pPr>
              <w:pStyle w:val="TableCopy"/>
              <w:rPr>
                <w:lang w:eastAsia="en-AU"/>
              </w:rPr>
            </w:pPr>
            <w:r w:rsidRPr="008A66EE">
              <w:rPr>
                <w:lang w:eastAsia="en-AU"/>
              </w:rPr>
              <w:t xml:space="preserve">As required by the </w:t>
            </w:r>
            <w:r w:rsidRPr="008A66EE">
              <w:rPr>
                <w:i/>
                <w:iCs/>
                <w:lang w:eastAsia="en-AU"/>
              </w:rPr>
              <w:t>Audit Act 1994</w:t>
            </w:r>
            <w:r w:rsidRPr="008A66EE">
              <w:rPr>
                <w:lang w:eastAsia="en-AU"/>
              </w:rPr>
              <w:t xml:space="preserve">, my responsibility is to express an opinion on the financial report based on the audit. My objectives for the audit are to obtain reasonable assurance about whether the financial report </w:t>
            </w:r>
            <w:proofErr w:type="gramStart"/>
            <w:r w:rsidRPr="008A66EE">
              <w:rPr>
                <w:lang w:eastAsia="en-AU"/>
              </w:rPr>
              <w:t>as a whole is</w:t>
            </w:r>
            <w:proofErr w:type="gramEnd"/>
            <w:r w:rsidRPr="008A66EE">
              <w:rPr>
                <w:lang w:eastAsia="en-AU"/>
              </w:rPr>
              <w:t xml:space="preserve"> free from material misstatement, whether due to fraud or error, and to issue an auditor’s report that includes my opinion. Reasonable assurance is a high level of assurance but is not a guarantee that an audit conducted in accordance with the Australian Auditing Standards will always detect a material misstatement when it exists. Misstatements can arise from fraud or error and are considered material if, individually or in aggregate, they could reasonably be expected to influence the economic decisions of users taken </w:t>
            </w:r>
            <w:proofErr w:type="gramStart"/>
            <w:r w:rsidRPr="008A66EE">
              <w:rPr>
                <w:lang w:eastAsia="en-AU"/>
              </w:rPr>
              <w:t>on the basis of</w:t>
            </w:r>
            <w:proofErr w:type="gramEnd"/>
            <w:r w:rsidRPr="008A66EE">
              <w:rPr>
                <w:lang w:eastAsia="en-AU"/>
              </w:rPr>
              <w:t xml:space="preserve"> this financial report. </w:t>
            </w:r>
          </w:p>
          <w:p w14:paraId="227F025E" w14:textId="77777777" w:rsidR="008A66EE" w:rsidRPr="008A66EE" w:rsidRDefault="008A66EE" w:rsidP="008A66EE">
            <w:pPr>
              <w:pStyle w:val="TableCopy"/>
              <w:rPr>
                <w:lang w:eastAsia="en-AU"/>
              </w:rPr>
            </w:pPr>
            <w:r w:rsidRPr="008A66EE">
              <w:rPr>
                <w:lang w:eastAsia="en-AU"/>
              </w:rPr>
              <w:t xml:space="preserve">As part of an audit in accordance with the Australian Auditing Standards, I exercise professional judgement and maintain professional scepticism throughout the audit. I also: </w:t>
            </w:r>
          </w:p>
          <w:p w14:paraId="7D8A89EA" w14:textId="77777777" w:rsidR="008A66EE" w:rsidRPr="008A66EE" w:rsidRDefault="008A66EE" w:rsidP="008A66EE">
            <w:pPr>
              <w:pStyle w:val="TableBullet"/>
              <w:spacing w:before="0"/>
              <w:rPr>
                <w:lang w:eastAsia="en-AU"/>
              </w:rPr>
            </w:pPr>
            <w:r w:rsidRPr="008A66EE">
              <w:rPr>
                <w:lang w:eastAsia="en-AU"/>
              </w:rPr>
              <w:t xml:space="preserve">identify and assess the risks of material misstatement of the financial report, whether due to fraud or error, design and perform audit procedures responsive to those risks, and obtain audit evidence that is sufficient and appropriate to provide a basis for </w:t>
            </w:r>
            <w:r w:rsidRPr="008A66EE">
              <w:rPr>
                <w:sz w:val="20"/>
                <w:szCs w:val="20"/>
                <w:lang w:eastAsia="en-AU"/>
              </w:rPr>
              <w:t xml:space="preserve">my </w:t>
            </w:r>
            <w:r w:rsidRPr="008A66EE">
              <w:rPr>
                <w:lang w:eastAsia="en-AU"/>
              </w:rPr>
              <w:t xml:space="preserve">opinion. The risk of not detecting a material misstatement resulting from fraud is higher than for one resulting from error, as fraud may involve collusion, forgery, </w:t>
            </w:r>
            <w:r w:rsidRPr="008A66EE">
              <w:rPr>
                <w:lang w:eastAsia="en-AU"/>
              </w:rPr>
              <w:lastRenderedPageBreak/>
              <w:t xml:space="preserve">intentional omissions, misrepresentations, or the override of internal control. </w:t>
            </w:r>
          </w:p>
          <w:p w14:paraId="46D9D7EF" w14:textId="77777777" w:rsidR="008A66EE" w:rsidRPr="008A66EE" w:rsidRDefault="008A66EE" w:rsidP="008A66EE">
            <w:pPr>
              <w:pStyle w:val="TableBullet"/>
              <w:rPr>
                <w:lang w:eastAsia="en-AU"/>
              </w:rPr>
            </w:pPr>
            <w:r w:rsidRPr="008A66EE">
              <w:rPr>
                <w:lang w:eastAsia="en-AU"/>
              </w:rPr>
              <w:t xml:space="preserve">obtain an understanding of internal control relevant to the audit </w:t>
            </w:r>
            <w:proofErr w:type="gramStart"/>
            <w:r w:rsidRPr="008A66EE">
              <w:rPr>
                <w:lang w:eastAsia="en-AU"/>
              </w:rPr>
              <w:t>in order to</w:t>
            </w:r>
            <w:proofErr w:type="gramEnd"/>
            <w:r w:rsidRPr="008A66EE">
              <w:rPr>
                <w:lang w:eastAsia="en-AU"/>
              </w:rPr>
              <w:t xml:space="preserve"> design audit procedures that are appropriate in the circumstances, but not for the purpose of expressing an opinion on the effectiveness of the department’s internal control </w:t>
            </w:r>
          </w:p>
          <w:p w14:paraId="2E3DC477" w14:textId="77777777" w:rsidR="008A66EE" w:rsidRPr="008A66EE" w:rsidRDefault="008A66EE" w:rsidP="008A66EE">
            <w:pPr>
              <w:pStyle w:val="TableBullet"/>
              <w:rPr>
                <w:lang w:eastAsia="en-AU"/>
              </w:rPr>
            </w:pPr>
            <w:r w:rsidRPr="008A66EE">
              <w:rPr>
                <w:lang w:eastAsia="en-AU"/>
              </w:rPr>
              <w:t xml:space="preserve">evaluate the appropriateness of accounting policies used and the reasonableness of accounting estimates and related disclosures made by the Secretary </w:t>
            </w:r>
          </w:p>
          <w:p w14:paraId="12A6DE81" w14:textId="77777777" w:rsidR="008A66EE" w:rsidRPr="008A66EE" w:rsidRDefault="008A66EE" w:rsidP="008A66EE">
            <w:pPr>
              <w:pStyle w:val="TableBullet"/>
              <w:rPr>
                <w:lang w:eastAsia="en-AU"/>
              </w:rPr>
            </w:pPr>
            <w:r w:rsidRPr="008A66EE">
              <w:rPr>
                <w:lang w:eastAsia="en-AU"/>
              </w:rPr>
              <w:t xml:space="preserve">conclude on the appropriateness of the Secretary’s use of the going concern basis of accounting and, based on the audit evidence obtained, whether a material uncertainty exists related to events or conditions that may cast significant doubt on the department’s ability to continue as a going concern. If I conclude that a material uncertainty exists, I am required to draw attention in my auditor’s report to the related disclosures in the financial report or, if such disclosures are inadequate, to modify my opinion. My conclusions are based on the audit evidence obtained up to the date of my auditor’s report. However, future events or conditions may cause the department to cease to continue as a going concern. </w:t>
            </w:r>
          </w:p>
          <w:p w14:paraId="26B2A31A" w14:textId="77777777" w:rsidR="008A66EE" w:rsidRPr="008A66EE" w:rsidRDefault="008A66EE" w:rsidP="008A66EE">
            <w:pPr>
              <w:pStyle w:val="TableBullet"/>
              <w:spacing w:after="140"/>
              <w:rPr>
                <w:lang w:eastAsia="en-AU"/>
              </w:rPr>
            </w:pPr>
            <w:r w:rsidRPr="008A66EE">
              <w:rPr>
                <w:lang w:eastAsia="en-AU"/>
              </w:rPr>
              <w:t xml:space="preserve">evaluate the overall presentation, </w:t>
            </w:r>
            <w:proofErr w:type="gramStart"/>
            <w:r w:rsidRPr="008A66EE">
              <w:rPr>
                <w:lang w:eastAsia="en-AU"/>
              </w:rPr>
              <w:t>structure</w:t>
            </w:r>
            <w:proofErr w:type="gramEnd"/>
            <w:r w:rsidRPr="008A66EE">
              <w:rPr>
                <w:lang w:eastAsia="en-AU"/>
              </w:rPr>
              <w:t xml:space="preserve"> and content of the financial report, including the disclosures, and whether the financial report represents the underlying transactions and events in a manner that achieves fair presentation. </w:t>
            </w:r>
          </w:p>
          <w:p w14:paraId="4B7C9E95" w14:textId="77777777" w:rsidR="008A66EE" w:rsidRPr="008A66EE" w:rsidRDefault="008A66EE" w:rsidP="008A66EE">
            <w:pPr>
              <w:pStyle w:val="TableCopy"/>
              <w:rPr>
                <w:lang w:eastAsia="en-AU"/>
              </w:rPr>
            </w:pPr>
            <w:r w:rsidRPr="008A66EE">
              <w:rPr>
                <w:lang w:eastAsia="en-AU"/>
              </w:rPr>
              <w:t xml:space="preserve">I communicate with the Secretary regarding, among other matters, the planned scope and timing of the audit and significant audit findings, including any significant deficiencies in internal control that I identify during my audit. </w:t>
            </w:r>
          </w:p>
        </w:tc>
      </w:tr>
    </w:tbl>
    <w:p w14:paraId="44992458" w14:textId="0203D629" w:rsidR="008A66EE" w:rsidRDefault="008A66EE" w:rsidP="00BF20DE"/>
    <w:p w14:paraId="0717FE94" w14:textId="77777777" w:rsidR="008A66EE" w:rsidRDefault="008A66EE" w:rsidP="008A66EE">
      <w:pPr>
        <w:pStyle w:val="Normalbeforebullets"/>
      </w:pPr>
      <w:r>
        <w:t>MELBOURNE</w:t>
      </w:r>
    </w:p>
    <w:p w14:paraId="683B9C5D" w14:textId="6F3B234C" w:rsidR="008A66EE" w:rsidRDefault="008A66EE" w:rsidP="008A66EE">
      <w:r>
        <w:t>27 September 2023</w:t>
      </w:r>
    </w:p>
    <w:p w14:paraId="48D25CAA" w14:textId="77777777" w:rsidR="008A66EE" w:rsidRDefault="008A66EE" w:rsidP="008A66EE">
      <w:pPr>
        <w:pStyle w:val="Normalbeforebullets"/>
      </w:pPr>
      <w:r>
        <w:t xml:space="preserve">Roberta </w:t>
      </w:r>
      <w:proofErr w:type="spellStart"/>
      <w:r>
        <w:t>Skliros</w:t>
      </w:r>
      <w:proofErr w:type="spellEnd"/>
    </w:p>
    <w:p w14:paraId="4AC60D53" w14:textId="4939C8E3" w:rsidR="008A66EE" w:rsidRDefault="008A66EE" w:rsidP="008A66EE">
      <w:r>
        <w:t>as delegate for the Auditor-General of Victoria</w:t>
      </w:r>
    </w:p>
    <w:p w14:paraId="3F001C54" w14:textId="037AADF5" w:rsidR="000756EB" w:rsidRPr="006D7B49" w:rsidRDefault="004A4D88" w:rsidP="001248FD">
      <w:pPr>
        <w:pStyle w:val="Normalbeforebullets"/>
        <w:pageBreakBefore/>
        <w:rPr>
          <w:b/>
          <w:bCs/>
          <w:sz w:val="32"/>
          <w:szCs w:val="40"/>
        </w:rPr>
      </w:pPr>
      <w:r w:rsidRPr="006D7B49">
        <w:rPr>
          <w:b/>
          <w:bCs/>
          <w:sz w:val="32"/>
          <w:szCs w:val="40"/>
        </w:rPr>
        <w:lastRenderedPageBreak/>
        <w:t>Accountable</w:t>
      </w:r>
      <w:r w:rsidR="00A03629" w:rsidRPr="006D7B49">
        <w:rPr>
          <w:b/>
          <w:bCs/>
          <w:sz w:val="32"/>
          <w:szCs w:val="40"/>
        </w:rPr>
        <w:t xml:space="preserve"> </w:t>
      </w:r>
      <w:r w:rsidRPr="006D7B49">
        <w:rPr>
          <w:b/>
          <w:bCs/>
          <w:sz w:val="32"/>
          <w:szCs w:val="40"/>
        </w:rPr>
        <w:t>Officer’s</w:t>
      </w:r>
      <w:r w:rsidR="00A03629" w:rsidRPr="006D7B49">
        <w:rPr>
          <w:b/>
          <w:bCs/>
          <w:sz w:val="32"/>
          <w:szCs w:val="40"/>
        </w:rPr>
        <w:t xml:space="preserve"> </w:t>
      </w:r>
      <w:r w:rsidRPr="006D7B49">
        <w:rPr>
          <w:b/>
          <w:bCs/>
          <w:sz w:val="32"/>
          <w:szCs w:val="40"/>
        </w:rPr>
        <w:t>and</w:t>
      </w:r>
      <w:r w:rsidR="00A03629" w:rsidRPr="006D7B49">
        <w:rPr>
          <w:b/>
          <w:bCs/>
          <w:sz w:val="32"/>
          <w:szCs w:val="40"/>
        </w:rPr>
        <w:t xml:space="preserve"> </w:t>
      </w:r>
      <w:r w:rsidRPr="006D7B49">
        <w:rPr>
          <w:b/>
          <w:bCs/>
          <w:sz w:val="32"/>
          <w:szCs w:val="40"/>
        </w:rPr>
        <w:t>Chief</w:t>
      </w:r>
      <w:r w:rsidR="00A03629" w:rsidRPr="006D7B49">
        <w:rPr>
          <w:b/>
          <w:bCs/>
          <w:sz w:val="32"/>
          <w:szCs w:val="40"/>
        </w:rPr>
        <w:t xml:space="preserve"> </w:t>
      </w:r>
      <w:r w:rsidRPr="006D7B49">
        <w:rPr>
          <w:b/>
          <w:bCs/>
          <w:sz w:val="32"/>
          <w:szCs w:val="40"/>
        </w:rPr>
        <w:t>Financial</w:t>
      </w:r>
      <w:r w:rsidR="00A03629" w:rsidRPr="006D7B49">
        <w:rPr>
          <w:b/>
          <w:bCs/>
          <w:sz w:val="32"/>
          <w:szCs w:val="40"/>
        </w:rPr>
        <w:t xml:space="preserve"> </w:t>
      </w:r>
      <w:r w:rsidRPr="006D7B49">
        <w:rPr>
          <w:b/>
          <w:bCs/>
          <w:sz w:val="32"/>
          <w:szCs w:val="40"/>
        </w:rPr>
        <w:t>Officer’s</w:t>
      </w:r>
      <w:r w:rsidR="00A03629" w:rsidRPr="006D7B49">
        <w:rPr>
          <w:b/>
          <w:bCs/>
          <w:sz w:val="32"/>
          <w:szCs w:val="40"/>
        </w:rPr>
        <w:t xml:space="preserve"> </w:t>
      </w:r>
      <w:r w:rsidRPr="006D7B49">
        <w:rPr>
          <w:b/>
          <w:bCs/>
          <w:sz w:val="32"/>
          <w:szCs w:val="40"/>
        </w:rPr>
        <w:t>declaration</w:t>
      </w:r>
    </w:p>
    <w:p w14:paraId="024B8E33" w14:textId="523DC752" w:rsidR="000756EB" w:rsidRDefault="004A4D88" w:rsidP="00A03629">
      <w:r>
        <w:t>The</w:t>
      </w:r>
      <w:r w:rsidR="00A03629">
        <w:t xml:space="preserve"> </w:t>
      </w:r>
      <w:r>
        <w:t>attached</w:t>
      </w:r>
      <w:r w:rsidR="00A03629">
        <w:t xml:space="preserve"> </w:t>
      </w:r>
      <w:r>
        <w:t>financial</w:t>
      </w:r>
      <w:r w:rsidR="00A03629">
        <w:t xml:space="preserve"> </w:t>
      </w:r>
      <w:r>
        <w:t>statements</w:t>
      </w:r>
      <w:r w:rsidR="00A03629">
        <w:t xml:space="preserve"> </w:t>
      </w:r>
      <w:r>
        <w:t>for</w:t>
      </w:r>
      <w:r w:rsidR="00A03629">
        <w:t xml:space="preserve"> </w:t>
      </w:r>
      <w:r>
        <w:t>the</w:t>
      </w:r>
      <w:r w:rsidR="00A03629">
        <w:t xml:space="preserve"> </w:t>
      </w:r>
      <w:r>
        <w:t>Department</w:t>
      </w:r>
      <w:r w:rsidR="00A03629">
        <w:t xml:space="preserve"> </w:t>
      </w:r>
      <w:r>
        <w:t>of</w:t>
      </w:r>
      <w:r w:rsidR="00A03629">
        <w:t xml:space="preserve"> </w:t>
      </w:r>
      <w:r>
        <w:t>Jobs,</w:t>
      </w:r>
      <w:r w:rsidR="00A03629">
        <w:t xml:space="preserve"> </w:t>
      </w:r>
      <w:r>
        <w:t>Skills,</w:t>
      </w:r>
      <w:r w:rsidR="00A03629">
        <w:t xml:space="preserve"> </w:t>
      </w:r>
      <w:r>
        <w:t>Industry</w:t>
      </w:r>
      <w:r w:rsidR="00A03629">
        <w:t xml:space="preserve"> </w:t>
      </w:r>
      <w:r>
        <w:t>and</w:t>
      </w:r>
      <w:r w:rsidR="00A03629">
        <w:t xml:space="preserve"> </w:t>
      </w:r>
      <w:r>
        <w:t>Regions</w:t>
      </w:r>
      <w:r w:rsidR="00A03629">
        <w:t xml:space="preserve"> </w:t>
      </w:r>
      <w:r>
        <w:t>have</w:t>
      </w:r>
      <w:r w:rsidR="00A03629">
        <w:t xml:space="preserve"> </w:t>
      </w:r>
      <w:r>
        <w:t>been</w:t>
      </w:r>
      <w:r w:rsidR="00A03629">
        <w:t xml:space="preserve"> </w:t>
      </w:r>
      <w:r>
        <w:t>prepared</w:t>
      </w:r>
      <w:r w:rsidR="00A03629">
        <w:t xml:space="preserve"> </w:t>
      </w:r>
      <w:r>
        <w:t>in</w:t>
      </w:r>
      <w:r w:rsidR="00A03629">
        <w:t xml:space="preserve"> </w:t>
      </w:r>
      <w:r>
        <w:t>accordance</w:t>
      </w:r>
      <w:r w:rsidR="00A03629">
        <w:t xml:space="preserve"> </w:t>
      </w:r>
      <w:r>
        <w:t>with</w:t>
      </w:r>
      <w:r w:rsidR="00A03629">
        <w:t xml:space="preserve"> </w:t>
      </w:r>
      <w:r>
        <w:t>Direction</w:t>
      </w:r>
      <w:r w:rsidR="00A03629">
        <w:t xml:space="preserve"> </w:t>
      </w:r>
      <w:r>
        <w:t>5.2</w:t>
      </w:r>
      <w:r w:rsidR="00A03629">
        <w:t xml:space="preserve"> </w:t>
      </w:r>
      <w:r>
        <w:t>of</w:t>
      </w:r>
      <w:r w:rsidR="00A03629">
        <w:t xml:space="preserve"> </w:t>
      </w:r>
      <w:r>
        <w:t>the</w:t>
      </w:r>
      <w:r w:rsidR="00A03629">
        <w:t xml:space="preserve"> </w:t>
      </w:r>
      <w:r>
        <w:t>Standing</w:t>
      </w:r>
      <w:r w:rsidR="00A03629">
        <w:t xml:space="preserve"> </w:t>
      </w:r>
      <w:r>
        <w:t>Directions</w:t>
      </w:r>
      <w:r w:rsidR="00A03629">
        <w:t xml:space="preserve"> </w:t>
      </w:r>
      <w:r>
        <w:t>of</w:t>
      </w:r>
      <w:r w:rsidR="00A03629">
        <w:t xml:space="preserve"> </w:t>
      </w:r>
      <w:r>
        <w:t>the</w:t>
      </w:r>
      <w:r w:rsidR="00A03629">
        <w:t xml:space="preserve"> </w:t>
      </w:r>
      <w:r>
        <w:t>Assistant</w:t>
      </w:r>
      <w:r w:rsidR="00A03629">
        <w:t xml:space="preserve"> </w:t>
      </w:r>
      <w:r>
        <w:t>Treasurer</w:t>
      </w:r>
      <w:r w:rsidR="00A03629">
        <w:t xml:space="preserve"> </w:t>
      </w:r>
      <w:r>
        <w:t>under</w:t>
      </w:r>
      <w:r w:rsidR="00A03629">
        <w:t xml:space="preserve"> </w:t>
      </w:r>
      <w:r>
        <w:t>the</w:t>
      </w:r>
      <w:r w:rsidR="00A03629">
        <w:t xml:space="preserve"> </w:t>
      </w:r>
      <w:r>
        <w:t>Financial</w:t>
      </w:r>
      <w:r w:rsidR="00A03629">
        <w:t xml:space="preserve"> </w:t>
      </w:r>
      <w:r>
        <w:t>Management</w:t>
      </w:r>
      <w:r w:rsidR="00A03629">
        <w:t xml:space="preserve"> </w:t>
      </w:r>
      <w:r>
        <w:t>Act</w:t>
      </w:r>
      <w:r w:rsidR="00A03629">
        <w:t xml:space="preserve"> </w:t>
      </w:r>
      <w:r>
        <w:t>1994,</w:t>
      </w:r>
      <w:r w:rsidR="00A03629">
        <w:t xml:space="preserve"> </w:t>
      </w:r>
      <w:r>
        <w:t>applicable</w:t>
      </w:r>
      <w:r w:rsidR="00A03629">
        <w:t xml:space="preserve"> </w:t>
      </w:r>
      <w:r>
        <w:t>Financial</w:t>
      </w:r>
      <w:r w:rsidR="00A03629">
        <w:t xml:space="preserve"> </w:t>
      </w:r>
      <w:r>
        <w:t>Reporting</w:t>
      </w:r>
      <w:r w:rsidR="00A03629">
        <w:t xml:space="preserve"> </w:t>
      </w:r>
      <w:r>
        <w:t>Directions,</w:t>
      </w:r>
      <w:r w:rsidR="00A03629">
        <w:t xml:space="preserve"> </w:t>
      </w:r>
      <w:r>
        <w:t>Australian</w:t>
      </w:r>
      <w:r w:rsidR="00A03629">
        <w:t xml:space="preserve"> </w:t>
      </w:r>
      <w:r>
        <w:t>Accounting</w:t>
      </w:r>
      <w:r w:rsidR="00A03629">
        <w:t xml:space="preserve"> </w:t>
      </w:r>
      <w:r>
        <w:t>Standards</w:t>
      </w:r>
      <w:r w:rsidR="00A03629">
        <w:t xml:space="preserve"> </w:t>
      </w:r>
      <w:r>
        <w:t>including</w:t>
      </w:r>
      <w:r w:rsidR="00A03629">
        <w:t xml:space="preserve"> </w:t>
      </w:r>
      <w:r>
        <w:t>interpretations,</w:t>
      </w:r>
      <w:r w:rsidR="00A03629">
        <w:t xml:space="preserve"> </w:t>
      </w:r>
      <w:r>
        <w:t>and</w:t>
      </w:r>
      <w:r w:rsidR="00A03629">
        <w:t xml:space="preserve"> </w:t>
      </w:r>
      <w:r>
        <w:t>other</w:t>
      </w:r>
      <w:r w:rsidR="00A03629">
        <w:t xml:space="preserve"> </w:t>
      </w:r>
      <w:r>
        <w:t>mandatory</w:t>
      </w:r>
      <w:r w:rsidR="00A03629">
        <w:t xml:space="preserve"> </w:t>
      </w:r>
      <w:r>
        <w:t>professional</w:t>
      </w:r>
      <w:r w:rsidR="00A03629">
        <w:t xml:space="preserve"> </w:t>
      </w:r>
      <w:r>
        <w:t>reporting</w:t>
      </w:r>
      <w:r w:rsidR="00A03629">
        <w:t xml:space="preserve"> </w:t>
      </w:r>
      <w:r>
        <w:t>requirements.</w:t>
      </w:r>
    </w:p>
    <w:p w14:paraId="279AD92D" w14:textId="30023691" w:rsidR="000756EB" w:rsidRDefault="004A4D88" w:rsidP="00A03629">
      <w:r>
        <w:t>We</w:t>
      </w:r>
      <w:r w:rsidR="00A03629">
        <w:t xml:space="preserve"> </w:t>
      </w:r>
      <w:r>
        <w:t>further</w:t>
      </w:r>
      <w:r w:rsidR="00A03629">
        <w:t xml:space="preserve"> </w:t>
      </w:r>
      <w:r>
        <w:t>state</w:t>
      </w:r>
      <w:r w:rsidR="00A03629">
        <w:t xml:space="preserve"> </w:t>
      </w:r>
      <w:r>
        <w:t>that,</w:t>
      </w:r>
      <w:r w:rsidR="00A03629">
        <w:t xml:space="preserve"> </w:t>
      </w:r>
      <w:r>
        <w:t>in</w:t>
      </w:r>
      <w:r w:rsidR="00A03629">
        <w:t xml:space="preserve"> </w:t>
      </w:r>
      <w:r>
        <w:t>our</w:t>
      </w:r>
      <w:r w:rsidR="00A03629">
        <w:t xml:space="preserve"> </w:t>
      </w:r>
      <w:r>
        <w:t>opinion,</w:t>
      </w:r>
      <w:r w:rsidR="00A03629">
        <w:t xml:space="preserve"> </w:t>
      </w:r>
      <w:r>
        <w:t>the</w:t>
      </w:r>
      <w:r w:rsidR="00A03629">
        <w:t xml:space="preserve"> </w:t>
      </w:r>
      <w:r>
        <w:t>information</w:t>
      </w:r>
      <w:r w:rsidR="00A03629">
        <w:t xml:space="preserve"> </w:t>
      </w:r>
      <w:r>
        <w:t>set</w:t>
      </w:r>
      <w:r w:rsidR="00A03629">
        <w:t xml:space="preserve"> </w:t>
      </w:r>
      <w:r>
        <w:t>out</w:t>
      </w:r>
      <w:r w:rsidR="00A03629">
        <w:t xml:space="preserve"> </w:t>
      </w:r>
      <w:r>
        <w:t>in</w:t>
      </w:r>
      <w:r w:rsidR="00A03629">
        <w:t xml:space="preserve"> </w:t>
      </w:r>
      <w:r>
        <w:t>the</w:t>
      </w:r>
      <w:r w:rsidR="00A03629">
        <w:t xml:space="preserve"> </w:t>
      </w:r>
      <w:r>
        <w:t>comprehensive</w:t>
      </w:r>
      <w:r w:rsidR="00A03629">
        <w:t xml:space="preserve"> </w:t>
      </w:r>
      <w:r>
        <w:t>operating</w:t>
      </w:r>
      <w:r w:rsidR="00A03629">
        <w:t xml:space="preserve"> </w:t>
      </w:r>
      <w:r>
        <w:t>statement,</w:t>
      </w:r>
      <w:r w:rsidR="00A03629">
        <w:t xml:space="preserve"> </w:t>
      </w:r>
      <w:r>
        <w:t>balance</w:t>
      </w:r>
      <w:r w:rsidR="00A03629">
        <w:t xml:space="preserve"> </w:t>
      </w:r>
      <w:r>
        <w:t>sheet,</w:t>
      </w:r>
      <w:r w:rsidR="00A03629">
        <w:t xml:space="preserve"> </w:t>
      </w:r>
      <w:r>
        <w:t>statement</w:t>
      </w:r>
      <w:r w:rsidR="00A03629">
        <w:t xml:space="preserve"> </w:t>
      </w:r>
      <w:r>
        <w:t>of</w:t>
      </w:r>
      <w:r w:rsidR="00A03629">
        <w:t xml:space="preserve"> </w:t>
      </w:r>
      <w:r>
        <w:t>changes</w:t>
      </w:r>
      <w:r w:rsidR="00A03629">
        <w:t xml:space="preserve"> </w:t>
      </w:r>
      <w:r>
        <w:t>in</w:t>
      </w:r>
      <w:r w:rsidR="00A03629">
        <w:t xml:space="preserve"> </w:t>
      </w:r>
      <w:r>
        <w:t>equity,</w:t>
      </w:r>
      <w:r w:rsidR="00A03629">
        <w:t xml:space="preserve"> </w:t>
      </w:r>
      <w:r>
        <w:t>cash</w:t>
      </w:r>
      <w:r w:rsidR="00A03629">
        <w:t xml:space="preserve"> </w:t>
      </w:r>
      <w:r>
        <w:t>flow</w:t>
      </w:r>
      <w:r w:rsidR="00A03629">
        <w:t xml:space="preserve"> </w:t>
      </w:r>
      <w:r>
        <w:t>statement</w:t>
      </w:r>
      <w:r w:rsidR="00A03629">
        <w:t xml:space="preserve"> </w:t>
      </w:r>
      <w:r>
        <w:t>and</w:t>
      </w:r>
      <w:r w:rsidR="00A03629">
        <w:t xml:space="preserve"> </w:t>
      </w:r>
      <w:r>
        <w:t>accompanying</w:t>
      </w:r>
      <w:r w:rsidR="00A03629">
        <w:t xml:space="preserve"> </w:t>
      </w:r>
      <w:r>
        <w:t>notes,</w:t>
      </w:r>
      <w:r w:rsidR="00A03629">
        <w:t xml:space="preserve"> </w:t>
      </w:r>
      <w:r>
        <w:t>presents</w:t>
      </w:r>
      <w:r w:rsidR="00A03629">
        <w:t xml:space="preserve"> </w:t>
      </w:r>
      <w:r>
        <w:t>fairly</w:t>
      </w:r>
      <w:r w:rsidR="00A03629">
        <w:t xml:space="preserve"> </w:t>
      </w:r>
      <w:r>
        <w:t>the</w:t>
      </w:r>
      <w:r w:rsidR="00A03629">
        <w:t xml:space="preserve"> </w:t>
      </w:r>
      <w:r>
        <w:t>financial</w:t>
      </w:r>
      <w:r w:rsidR="00A03629">
        <w:t xml:space="preserve"> </w:t>
      </w:r>
      <w:r>
        <w:t>transactions</w:t>
      </w:r>
      <w:r w:rsidR="00A03629">
        <w:t xml:space="preserve"> </w:t>
      </w:r>
      <w:r>
        <w:t>during</w:t>
      </w:r>
      <w:r w:rsidR="00A03629">
        <w:t xml:space="preserve"> </w:t>
      </w:r>
      <w:r>
        <w:t>the</w:t>
      </w:r>
      <w:r w:rsidR="00A03629">
        <w:t xml:space="preserve"> </w:t>
      </w:r>
      <w:r>
        <w:t>year</w:t>
      </w:r>
      <w:r w:rsidR="00A03629">
        <w:t xml:space="preserve"> </w:t>
      </w:r>
      <w:r>
        <w:t>ended</w:t>
      </w:r>
      <w:r w:rsidR="00A03629">
        <w:t xml:space="preserve"> </w:t>
      </w:r>
      <w:r>
        <w:t>30</w:t>
      </w:r>
      <w:r w:rsidR="00A03629">
        <w:t xml:space="preserve"> </w:t>
      </w:r>
      <w:r>
        <w:t>June</w:t>
      </w:r>
      <w:r w:rsidR="00A03629">
        <w:t xml:space="preserve"> </w:t>
      </w:r>
      <w:r>
        <w:t>2023</w:t>
      </w:r>
      <w:r w:rsidR="00A03629">
        <w:t xml:space="preserve"> </w:t>
      </w:r>
      <w:r>
        <w:t>and</w:t>
      </w:r>
      <w:r w:rsidR="00A03629">
        <w:t xml:space="preserve"> </w:t>
      </w:r>
      <w:r>
        <w:t>the</w:t>
      </w:r>
      <w:r w:rsidR="00A03629">
        <w:t xml:space="preserve"> </w:t>
      </w:r>
      <w:r>
        <w:t>financial</w:t>
      </w:r>
      <w:r w:rsidR="00A03629">
        <w:t xml:space="preserve"> </w:t>
      </w:r>
      <w:r>
        <w:t>position</w:t>
      </w:r>
      <w:r w:rsidR="00A03629">
        <w:t xml:space="preserve"> </w:t>
      </w:r>
      <w:r>
        <w:t>of</w:t>
      </w:r>
      <w:r w:rsidR="00A03629">
        <w:t xml:space="preserve"> </w:t>
      </w:r>
      <w:r>
        <w:t>the</w:t>
      </w:r>
      <w:r w:rsidR="00A03629">
        <w:t xml:space="preserve"> </w:t>
      </w:r>
      <w:r>
        <w:t>Department</w:t>
      </w:r>
      <w:r w:rsidR="00A03629">
        <w:t xml:space="preserve"> </w:t>
      </w:r>
      <w:r>
        <w:t>of</w:t>
      </w:r>
      <w:r w:rsidR="00A03629">
        <w:t xml:space="preserve"> </w:t>
      </w:r>
      <w:r>
        <w:t>Jobs,</w:t>
      </w:r>
      <w:r w:rsidR="00A03629">
        <w:t xml:space="preserve"> </w:t>
      </w:r>
      <w:r>
        <w:t>Skills,</w:t>
      </w:r>
      <w:r w:rsidR="00A03629">
        <w:t xml:space="preserve"> </w:t>
      </w:r>
      <w:r>
        <w:t>Industry</w:t>
      </w:r>
      <w:r w:rsidR="00A03629">
        <w:t xml:space="preserve"> </w:t>
      </w:r>
      <w:r>
        <w:t>and</w:t>
      </w:r>
      <w:r w:rsidR="00A03629">
        <w:t xml:space="preserve"> </w:t>
      </w:r>
      <w:r>
        <w:t>Regions</w:t>
      </w:r>
      <w:r w:rsidR="00A03629">
        <w:t xml:space="preserve"> </w:t>
      </w:r>
      <w:r>
        <w:t>as</w:t>
      </w:r>
      <w:r w:rsidR="00A03629">
        <w:t xml:space="preserve"> </w:t>
      </w:r>
      <w:proofErr w:type="gramStart"/>
      <w:r>
        <w:t>at</w:t>
      </w:r>
      <w:proofErr w:type="gramEnd"/>
      <w:r w:rsidR="00A03629">
        <w:t xml:space="preserve"> </w:t>
      </w:r>
      <w:r>
        <w:t>30</w:t>
      </w:r>
      <w:r w:rsidR="00A03629">
        <w:t xml:space="preserve"> </w:t>
      </w:r>
      <w:r>
        <w:t>June</w:t>
      </w:r>
      <w:r w:rsidR="00A03629">
        <w:t xml:space="preserve"> </w:t>
      </w:r>
      <w:r>
        <w:t>2023.</w:t>
      </w:r>
    </w:p>
    <w:p w14:paraId="7A8A51FD" w14:textId="77FCCCC5" w:rsidR="000756EB" w:rsidRDefault="004A4D88" w:rsidP="00A03629">
      <w:r>
        <w:t>At</w:t>
      </w:r>
      <w:r w:rsidR="00A03629">
        <w:t xml:space="preserve"> </w:t>
      </w:r>
      <w:r>
        <w:t>the</w:t>
      </w:r>
      <w:r w:rsidR="00A03629">
        <w:t xml:space="preserve"> </w:t>
      </w:r>
      <w:r>
        <w:t>time</w:t>
      </w:r>
      <w:r w:rsidR="00A03629">
        <w:t xml:space="preserve"> </w:t>
      </w:r>
      <w:r>
        <w:t>of</w:t>
      </w:r>
      <w:r w:rsidR="00A03629">
        <w:t xml:space="preserve"> </w:t>
      </w:r>
      <w:r>
        <w:t>signing,</w:t>
      </w:r>
      <w:r w:rsidR="00A03629">
        <w:t xml:space="preserve"> </w:t>
      </w:r>
      <w:r>
        <w:t>we</w:t>
      </w:r>
      <w:r w:rsidR="00A03629">
        <w:t xml:space="preserve"> </w:t>
      </w:r>
      <w:r>
        <w:t>are</w:t>
      </w:r>
      <w:r w:rsidR="00A03629">
        <w:t xml:space="preserve"> </w:t>
      </w:r>
      <w:r>
        <w:t>not</w:t>
      </w:r>
      <w:r w:rsidR="00A03629">
        <w:t xml:space="preserve"> </w:t>
      </w:r>
      <w:r>
        <w:t>aware</w:t>
      </w:r>
      <w:r w:rsidR="00A03629">
        <w:t xml:space="preserve"> </w:t>
      </w:r>
      <w:r>
        <w:t>of</w:t>
      </w:r>
      <w:r w:rsidR="00A03629">
        <w:t xml:space="preserve"> </w:t>
      </w:r>
      <w:r>
        <w:t>any</w:t>
      </w:r>
      <w:r w:rsidR="00A03629">
        <w:t xml:space="preserve"> </w:t>
      </w:r>
      <w:r>
        <w:t>circumstance</w:t>
      </w:r>
      <w:r w:rsidR="00A03629">
        <w:t xml:space="preserve"> </w:t>
      </w:r>
      <w:r>
        <w:t>which</w:t>
      </w:r>
      <w:r w:rsidR="00A03629">
        <w:t xml:space="preserve"> </w:t>
      </w:r>
      <w:r>
        <w:t>would</w:t>
      </w:r>
      <w:r w:rsidR="00A03629">
        <w:t xml:space="preserve"> </w:t>
      </w:r>
      <w:r>
        <w:t>render</w:t>
      </w:r>
      <w:r w:rsidR="00A03629">
        <w:t xml:space="preserve"> </w:t>
      </w:r>
      <w:r>
        <w:t>any</w:t>
      </w:r>
      <w:r w:rsidR="00A03629">
        <w:t xml:space="preserve"> </w:t>
      </w:r>
      <w:r>
        <w:t>particulars</w:t>
      </w:r>
      <w:r w:rsidR="00A03629">
        <w:t xml:space="preserve"> </w:t>
      </w:r>
      <w:r>
        <w:t>included</w:t>
      </w:r>
      <w:r w:rsidR="00A03629">
        <w:t xml:space="preserve"> </w:t>
      </w:r>
      <w:r>
        <w:t>in</w:t>
      </w:r>
      <w:r w:rsidR="00A03629">
        <w:t xml:space="preserve"> </w:t>
      </w:r>
      <w:r>
        <w:t>the</w:t>
      </w:r>
      <w:r w:rsidR="00A03629">
        <w:t xml:space="preserve"> </w:t>
      </w:r>
      <w:r>
        <w:t>financial</w:t>
      </w:r>
      <w:r w:rsidR="00A03629">
        <w:t xml:space="preserve"> </w:t>
      </w:r>
      <w:r>
        <w:t>statements</w:t>
      </w:r>
      <w:r w:rsidR="00A03629">
        <w:t xml:space="preserve"> </w:t>
      </w:r>
      <w:r>
        <w:t>to</w:t>
      </w:r>
      <w:r w:rsidR="00A03629">
        <w:t xml:space="preserve"> </w:t>
      </w:r>
      <w:r>
        <w:t>be</w:t>
      </w:r>
      <w:r w:rsidR="00A03629">
        <w:t xml:space="preserve"> </w:t>
      </w:r>
      <w:r>
        <w:t>misleading</w:t>
      </w:r>
      <w:r w:rsidR="00A03629">
        <w:t xml:space="preserve"> </w:t>
      </w:r>
      <w:r>
        <w:t>or</w:t>
      </w:r>
      <w:r w:rsidR="00A03629">
        <w:t xml:space="preserve"> </w:t>
      </w:r>
      <w:r>
        <w:t>inaccurate.</w:t>
      </w:r>
    </w:p>
    <w:p w14:paraId="2778420F" w14:textId="1685250B" w:rsidR="000756EB" w:rsidRDefault="004A4D88" w:rsidP="00A03629">
      <w:r>
        <w:t>We</w:t>
      </w:r>
      <w:r w:rsidR="00A03629">
        <w:t xml:space="preserve"> </w:t>
      </w:r>
      <w:r>
        <w:t>authorise</w:t>
      </w:r>
      <w:r w:rsidR="00A03629">
        <w:t xml:space="preserve"> </w:t>
      </w:r>
      <w:r>
        <w:t>the</w:t>
      </w:r>
      <w:r w:rsidR="00A03629">
        <w:t xml:space="preserve"> </w:t>
      </w:r>
      <w:r>
        <w:t>attached</w:t>
      </w:r>
      <w:r w:rsidR="00A03629">
        <w:t xml:space="preserve"> </w:t>
      </w:r>
      <w:r>
        <w:t>financial</w:t>
      </w:r>
      <w:r w:rsidR="00A03629">
        <w:t xml:space="preserve"> </w:t>
      </w:r>
      <w:r>
        <w:t>statements</w:t>
      </w:r>
      <w:r w:rsidR="00A03629">
        <w:t xml:space="preserve"> </w:t>
      </w:r>
      <w:r>
        <w:t>for</w:t>
      </w:r>
      <w:r w:rsidR="00A03629">
        <w:t xml:space="preserve"> </w:t>
      </w:r>
      <w:r>
        <w:t>issue</w:t>
      </w:r>
      <w:r w:rsidR="00A03629">
        <w:t xml:space="preserve"> </w:t>
      </w:r>
      <w:r>
        <w:t>on</w:t>
      </w:r>
      <w:r w:rsidR="00A03629">
        <w:t xml:space="preserve"> </w:t>
      </w:r>
      <w:r>
        <w:t>25</w:t>
      </w:r>
      <w:r w:rsidR="00A03629">
        <w:t xml:space="preserve"> </w:t>
      </w:r>
      <w:r>
        <w:t>September</w:t>
      </w:r>
      <w:r w:rsidR="00A03629">
        <w:t xml:space="preserve"> </w:t>
      </w:r>
      <w:r>
        <w:t>2023.</w:t>
      </w:r>
    </w:p>
    <w:p w14:paraId="4AD47DB3" w14:textId="77777777" w:rsidR="009919DC" w:rsidRPr="009919DC" w:rsidRDefault="009919DC" w:rsidP="009919DC">
      <w:pPr>
        <w:pStyle w:val="Normalbeforebullets"/>
        <w:rPr>
          <w:b/>
          <w:bCs/>
        </w:rPr>
      </w:pPr>
      <w:r w:rsidRPr="009919DC">
        <w:rPr>
          <w:b/>
          <w:bCs/>
        </w:rPr>
        <w:t>Tim Ada</w:t>
      </w:r>
    </w:p>
    <w:p w14:paraId="54E71DF5" w14:textId="77777777" w:rsidR="009919DC" w:rsidRPr="009919DC" w:rsidRDefault="009919DC" w:rsidP="005C22C3">
      <w:pPr>
        <w:pStyle w:val="Normalbeforebullets"/>
      </w:pPr>
      <w:r w:rsidRPr="009919DC">
        <w:t>Secretary</w:t>
      </w:r>
    </w:p>
    <w:p w14:paraId="4175295A" w14:textId="77777777" w:rsidR="009919DC" w:rsidRPr="009919DC" w:rsidRDefault="009919DC" w:rsidP="009919DC">
      <w:r w:rsidRPr="009919DC">
        <w:t>Department of Jobs, Skills, Industry and Regions</w:t>
      </w:r>
    </w:p>
    <w:p w14:paraId="3992D0D3" w14:textId="46C04A5F" w:rsidR="009919DC" w:rsidRDefault="009919DC" w:rsidP="009919DC">
      <w:r w:rsidRPr="009919DC">
        <w:t>25 September 2023</w:t>
      </w:r>
      <w:r w:rsidRPr="009919DC">
        <w:br/>
        <w:t>Melbourne</w:t>
      </w:r>
    </w:p>
    <w:p w14:paraId="14D98BBB" w14:textId="77777777" w:rsidR="00401134" w:rsidRPr="00401134" w:rsidRDefault="00401134" w:rsidP="00401134">
      <w:pPr>
        <w:pStyle w:val="Normalbeforebullets"/>
        <w:rPr>
          <w:b/>
          <w:bCs/>
        </w:rPr>
      </w:pPr>
      <w:r w:rsidRPr="00401134">
        <w:rPr>
          <w:b/>
          <w:bCs/>
        </w:rPr>
        <w:t>Daniel Rodger</w:t>
      </w:r>
    </w:p>
    <w:p w14:paraId="78D230D7" w14:textId="77777777" w:rsidR="00401134" w:rsidRPr="009919DC" w:rsidRDefault="00401134" w:rsidP="005C22C3">
      <w:pPr>
        <w:pStyle w:val="Normalbeforebullets"/>
      </w:pPr>
      <w:r w:rsidRPr="009919DC">
        <w:t>Acting Chief Finance Officer</w:t>
      </w:r>
    </w:p>
    <w:p w14:paraId="32A892E1" w14:textId="77777777" w:rsidR="00401134" w:rsidRPr="009919DC" w:rsidRDefault="00401134" w:rsidP="00401134">
      <w:r w:rsidRPr="009919DC">
        <w:t>Department of Jobs, Skills, Industry and Regions</w:t>
      </w:r>
    </w:p>
    <w:p w14:paraId="43F2D9C2" w14:textId="08179570" w:rsidR="00401134" w:rsidRDefault="00401134" w:rsidP="00401134">
      <w:r w:rsidRPr="009919DC">
        <w:t>25 September 2023</w:t>
      </w:r>
      <w:r w:rsidRPr="009919DC">
        <w:br/>
        <w:t>Melbourne</w:t>
      </w:r>
    </w:p>
    <w:p w14:paraId="0825628D" w14:textId="5208F453" w:rsidR="000756EB" w:rsidRDefault="004A4D88" w:rsidP="00401134">
      <w:pPr>
        <w:pStyle w:val="Heading2"/>
      </w:pPr>
      <w:bookmarkStart w:id="0" w:name="_Toc149911787"/>
      <w:r>
        <w:lastRenderedPageBreak/>
        <w:t>Comprehensive</w:t>
      </w:r>
      <w:r w:rsidR="00A03629">
        <w:t xml:space="preserve"> </w:t>
      </w:r>
      <w:r>
        <w:t>operating</w:t>
      </w:r>
      <w:r w:rsidR="00A03629">
        <w:t xml:space="preserve"> </w:t>
      </w:r>
      <w:r>
        <w:t>statement</w:t>
      </w:r>
      <w:r>
        <w:rPr>
          <w:rFonts w:ascii="Times New Roman" w:hAnsi="Times New Roman"/>
        </w:rPr>
        <w:t> </w:t>
      </w:r>
      <w:r w:rsidRPr="00614829">
        <w:rPr>
          <w:rStyle w:val="FootnotereferencessuperscriptMisc"/>
          <w:rFonts w:cs="Arial"/>
        </w:rPr>
        <w:t>(</w:t>
      </w:r>
      <w:proofErr w:type="spellStart"/>
      <w:r w:rsidRPr="00614829">
        <w:rPr>
          <w:rStyle w:val="FootnotereferencessuperscriptMisc"/>
          <w:rFonts w:cs="Arial"/>
        </w:rPr>
        <w:t>i</w:t>
      </w:r>
      <w:proofErr w:type="spellEnd"/>
      <w:r w:rsidRPr="00614829">
        <w:rPr>
          <w:rStyle w:val="FootnotereferencessuperscriptMisc"/>
          <w:rFonts w:cs="Arial"/>
        </w:rPr>
        <w:t>)</w:t>
      </w:r>
      <w:r w:rsidR="00401134" w:rsidRPr="00614829">
        <w:rPr>
          <w:rStyle w:val="FootnotereferencessuperscriptMisc"/>
          <w:rFonts w:cs="Arial"/>
        </w:rPr>
        <w:t xml:space="preserve"> </w:t>
      </w:r>
      <w:r>
        <w:t>for</w:t>
      </w:r>
      <w:r w:rsidR="00A03629">
        <w:t xml:space="preserve"> </w:t>
      </w:r>
      <w:r>
        <w:t>the</w:t>
      </w:r>
      <w:r w:rsidR="00A03629">
        <w:t xml:space="preserve"> </w:t>
      </w:r>
      <w:r>
        <w:t>financial</w:t>
      </w:r>
      <w:r w:rsidR="00A03629">
        <w:t xml:space="preserve"> </w:t>
      </w:r>
      <w:r>
        <w:t>year</w:t>
      </w:r>
      <w:r w:rsidR="00A03629">
        <w:t xml:space="preserve"> </w:t>
      </w:r>
      <w:r>
        <w:t>ended</w:t>
      </w:r>
      <w:r w:rsidR="00A03629">
        <w:t xml:space="preserve"> </w:t>
      </w:r>
      <w:r>
        <w:t>30</w:t>
      </w:r>
      <w:r w:rsidR="00A03629">
        <w:t xml:space="preserve"> </w:t>
      </w:r>
      <w:r>
        <w:t>June</w:t>
      </w:r>
      <w:r w:rsidR="00A03629">
        <w:t xml:space="preserve"> </w:t>
      </w:r>
      <w:r>
        <w:t>2023</w:t>
      </w:r>
      <w:bookmarkEnd w:id="0"/>
    </w:p>
    <w:tbl>
      <w:tblPr>
        <w:tblStyle w:val="TableGrid"/>
        <w:tblW w:w="10253" w:type="dxa"/>
        <w:tblLayout w:type="fixed"/>
        <w:tblLook w:val="0020" w:firstRow="1" w:lastRow="0" w:firstColumn="0" w:lastColumn="0" w:noHBand="0" w:noVBand="0"/>
      </w:tblPr>
      <w:tblGrid>
        <w:gridCol w:w="5665"/>
        <w:gridCol w:w="1328"/>
        <w:gridCol w:w="1630"/>
        <w:gridCol w:w="1630"/>
      </w:tblGrid>
      <w:tr w:rsidR="000756EB" w:rsidRPr="0075291A" w14:paraId="0A8C0A26" w14:textId="77777777" w:rsidTr="005C22C3">
        <w:trPr>
          <w:cantSplit/>
          <w:tblHeader/>
        </w:trPr>
        <w:tc>
          <w:tcPr>
            <w:tcW w:w="5665" w:type="dxa"/>
          </w:tcPr>
          <w:p w14:paraId="02039702" w14:textId="77777777" w:rsidR="000756EB" w:rsidRPr="0075291A" w:rsidRDefault="000756EB" w:rsidP="0075291A">
            <w:pPr>
              <w:pStyle w:val="TableColumnHeading"/>
            </w:pPr>
            <w:bookmarkStart w:id="1" w:name="ColumnTitles"/>
            <w:bookmarkEnd w:id="1"/>
          </w:p>
        </w:tc>
        <w:tc>
          <w:tcPr>
            <w:tcW w:w="1328" w:type="dxa"/>
          </w:tcPr>
          <w:p w14:paraId="5EC4EC49" w14:textId="77777777" w:rsidR="000756EB" w:rsidRPr="0075291A" w:rsidRDefault="004A4D88" w:rsidP="00F16EF6">
            <w:pPr>
              <w:pStyle w:val="TableColumnHeading"/>
              <w:jc w:val="right"/>
            </w:pPr>
            <w:r w:rsidRPr="0075291A">
              <w:t>Note</w:t>
            </w:r>
          </w:p>
        </w:tc>
        <w:tc>
          <w:tcPr>
            <w:tcW w:w="1630" w:type="dxa"/>
          </w:tcPr>
          <w:p w14:paraId="43A98E14" w14:textId="4C538D76" w:rsidR="000756EB" w:rsidRPr="0075291A" w:rsidRDefault="004A4D88" w:rsidP="00F16EF6">
            <w:pPr>
              <w:pStyle w:val="TableColumnHeading"/>
              <w:jc w:val="right"/>
            </w:pPr>
            <w:r w:rsidRPr="0075291A">
              <w:t>2023</w:t>
            </w:r>
            <w:r w:rsidR="0075291A" w:rsidRPr="0075291A">
              <w:t xml:space="preserve"> ($ thousand)</w:t>
            </w:r>
            <w:r w:rsidR="00A03629" w:rsidRPr="0075291A">
              <w:t xml:space="preserve"> </w:t>
            </w:r>
          </w:p>
        </w:tc>
        <w:tc>
          <w:tcPr>
            <w:tcW w:w="1630" w:type="dxa"/>
          </w:tcPr>
          <w:p w14:paraId="5ABC72C6" w14:textId="4F809323" w:rsidR="000756EB" w:rsidRPr="0075291A" w:rsidRDefault="004A4D88" w:rsidP="00F16EF6">
            <w:pPr>
              <w:pStyle w:val="TableColumnHeading"/>
              <w:jc w:val="right"/>
            </w:pPr>
            <w:r w:rsidRPr="0075291A">
              <w:t>2022</w:t>
            </w:r>
            <w:r w:rsidR="0075291A" w:rsidRPr="0075291A">
              <w:t xml:space="preserve"> ($ thousand)</w:t>
            </w:r>
          </w:p>
        </w:tc>
      </w:tr>
      <w:tr w:rsidR="000756EB" w:rsidRPr="006C4507" w14:paraId="6E7F9973" w14:textId="77777777" w:rsidTr="005C22C3">
        <w:trPr>
          <w:cantSplit/>
        </w:trPr>
        <w:tc>
          <w:tcPr>
            <w:tcW w:w="5665" w:type="dxa"/>
          </w:tcPr>
          <w:p w14:paraId="396DFCB7" w14:textId="30D8D0E6" w:rsidR="000756EB" w:rsidRPr="006C4507" w:rsidRDefault="004A4D88" w:rsidP="00E71789">
            <w:pPr>
              <w:pStyle w:val="TableHeading"/>
            </w:pPr>
            <w:r w:rsidRPr="006C4507">
              <w:t>Continuing</w:t>
            </w:r>
            <w:r w:rsidR="00A03629" w:rsidRPr="006C4507">
              <w:t xml:space="preserve"> </w:t>
            </w:r>
            <w:r w:rsidRPr="006C4507">
              <w:t>operations</w:t>
            </w:r>
          </w:p>
        </w:tc>
        <w:tc>
          <w:tcPr>
            <w:tcW w:w="1328" w:type="dxa"/>
          </w:tcPr>
          <w:p w14:paraId="4B84D910" w14:textId="77777777" w:rsidR="000756EB" w:rsidRPr="006C4507" w:rsidRDefault="000756EB" w:rsidP="00F16EF6">
            <w:pPr>
              <w:pStyle w:val="TableCopy"/>
              <w:jc w:val="right"/>
            </w:pPr>
          </w:p>
        </w:tc>
        <w:tc>
          <w:tcPr>
            <w:tcW w:w="1630" w:type="dxa"/>
          </w:tcPr>
          <w:p w14:paraId="428819D2" w14:textId="77777777" w:rsidR="000756EB" w:rsidRPr="006C4507" w:rsidRDefault="000756EB" w:rsidP="00F16EF6">
            <w:pPr>
              <w:pStyle w:val="TableCopy"/>
              <w:jc w:val="right"/>
            </w:pPr>
          </w:p>
        </w:tc>
        <w:tc>
          <w:tcPr>
            <w:tcW w:w="1630" w:type="dxa"/>
          </w:tcPr>
          <w:p w14:paraId="7A53736A" w14:textId="77777777" w:rsidR="000756EB" w:rsidRPr="006C4507" w:rsidRDefault="000756EB" w:rsidP="00F16EF6">
            <w:pPr>
              <w:pStyle w:val="TableCopy"/>
              <w:jc w:val="right"/>
            </w:pPr>
          </w:p>
        </w:tc>
      </w:tr>
      <w:tr w:rsidR="000756EB" w:rsidRPr="006C4507" w14:paraId="2BC102BE" w14:textId="77777777" w:rsidTr="005C22C3">
        <w:trPr>
          <w:cantSplit/>
        </w:trPr>
        <w:tc>
          <w:tcPr>
            <w:tcW w:w="5665" w:type="dxa"/>
          </w:tcPr>
          <w:p w14:paraId="302EB901" w14:textId="00F148C3" w:rsidR="000756EB" w:rsidRPr="006C4507" w:rsidRDefault="004A4D88" w:rsidP="00E71789">
            <w:pPr>
              <w:pStyle w:val="TableHeading"/>
            </w:pPr>
            <w:r w:rsidRPr="006C4507">
              <w:t>Revenue</w:t>
            </w:r>
            <w:r w:rsidR="00A03629" w:rsidRPr="006C4507">
              <w:t xml:space="preserve"> </w:t>
            </w:r>
            <w:r w:rsidRPr="006C4507">
              <w:t>and</w:t>
            </w:r>
            <w:r w:rsidR="00A03629" w:rsidRPr="006C4507">
              <w:t xml:space="preserve"> </w:t>
            </w:r>
            <w:r w:rsidRPr="006C4507">
              <w:t>income</w:t>
            </w:r>
            <w:r w:rsidR="00A03629" w:rsidRPr="006C4507">
              <w:t xml:space="preserve"> </w:t>
            </w:r>
            <w:r w:rsidRPr="006C4507">
              <w:t>from</w:t>
            </w:r>
            <w:r w:rsidR="00A03629" w:rsidRPr="006C4507">
              <w:t xml:space="preserve"> </w:t>
            </w:r>
            <w:r w:rsidRPr="006C4507">
              <w:t>transactions</w:t>
            </w:r>
          </w:p>
        </w:tc>
        <w:tc>
          <w:tcPr>
            <w:tcW w:w="1328" w:type="dxa"/>
          </w:tcPr>
          <w:p w14:paraId="0B7C2851" w14:textId="77777777" w:rsidR="000756EB" w:rsidRPr="006C4507" w:rsidRDefault="000756EB" w:rsidP="00F16EF6">
            <w:pPr>
              <w:pStyle w:val="TableCopy"/>
              <w:jc w:val="right"/>
            </w:pPr>
          </w:p>
        </w:tc>
        <w:tc>
          <w:tcPr>
            <w:tcW w:w="1630" w:type="dxa"/>
          </w:tcPr>
          <w:p w14:paraId="352373CF" w14:textId="77777777" w:rsidR="000756EB" w:rsidRPr="006C4507" w:rsidRDefault="000756EB" w:rsidP="00F16EF6">
            <w:pPr>
              <w:pStyle w:val="TableCopy"/>
              <w:jc w:val="right"/>
            </w:pPr>
          </w:p>
        </w:tc>
        <w:tc>
          <w:tcPr>
            <w:tcW w:w="1630" w:type="dxa"/>
          </w:tcPr>
          <w:p w14:paraId="2C1E9182" w14:textId="77777777" w:rsidR="000756EB" w:rsidRPr="006C4507" w:rsidRDefault="000756EB" w:rsidP="00F16EF6">
            <w:pPr>
              <w:pStyle w:val="TableCopy"/>
              <w:jc w:val="right"/>
            </w:pPr>
          </w:p>
        </w:tc>
      </w:tr>
      <w:tr w:rsidR="000756EB" w:rsidRPr="006C4507" w14:paraId="60B894C5" w14:textId="77777777" w:rsidTr="005C22C3">
        <w:trPr>
          <w:cantSplit/>
        </w:trPr>
        <w:tc>
          <w:tcPr>
            <w:tcW w:w="5665" w:type="dxa"/>
          </w:tcPr>
          <w:p w14:paraId="2692F6B0" w14:textId="4AA1B157" w:rsidR="000756EB" w:rsidRPr="006C4507" w:rsidRDefault="004A4D88" w:rsidP="006C4507">
            <w:pPr>
              <w:pStyle w:val="TableCopy"/>
            </w:pPr>
            <w:r w:rsidRPr="006C4507">
              <w:t>Output</w:t>
            </w:r>
            <w:r w:rsidR="00A03629" w:rsidRPr="006C4507">
              <w:t xml:space="preserve"> </w:t>
            </w:r>
            <w:r w:rsidRPr="006C4507">
              <w:t>appropriations</w:t>
            </w:r>
          </w:p>
        </w:tc>
        <w:tc>
          <w:tcPr>
            <w:tcW w:w="1328" w:type="dxa"/>
          </w:tcPr>
          <w:p w14:paraId="6F0E723C" w14:textId="77777777" w:rsidR="000756EB" w:rsidRPr="006C4507" w:rsidRDefault="004A4D88" w:rsidP="00F16EF6">
            <w:pPr>
              <w:pStyle w:val="TableCopy"/>
              <w:jc w:val="right"/>
            </w:pPr>
            <w:r w:rsidRPr="006C4507">
              <w:t>2.3</w:t>
            </w:r>
          </w:p>
        </w:tc>
        <w:tc>
          <w:tcPr>
            <w:tcW w:w="1630" w:type="dxa"/>
          </w:tcPr>
          <w:p w14:paraId="18415FC3" w14:textId="5774C789" w:rsidR="000756EB" w:rsidRPr="006C4507" w:rsidRDefault="004A4D88" w:rsidP="00F16EF6">
            <w:pPr>
              <w:pStyle w:val="TableCopy"/>
              <w:jc w:val="right"/>
            </w:pPr>
            <w:r w:rsidRPr="006C4507">
              <w:t>3,825,952</w:t>
            </w:r>
          </w:p>
        </w:tc>
        <w:tc>
          <w:tcPr>
            <w:tcW w:w="1630" w:type="dxa"/>
          </w:tcPr>
          <w:p w14:paraId="1F0367FA" w14:textId="3617AD6F" w:rsidR="000756EB" w:rsidRPr="006C4507" w:rsidRDefault="004A4D88" w:rsidP="00F16EF6">
            <w:pPr>
              <w:pStyle w:val="TableCopy"/>
              <w:jc w:val="right"/>
            </w:pPr>
            <w:r w:rsidRPr="006C4507">
              <w:t>10,824,626</w:t>
            </w:r>
          </w:p>
        </w:tc>
      </w:tr>
      <w:tr w:rsidR="000756EB" w:rsidRPr="006C4507" w14:paraId="40BE2805" w14:textId="77777777" w:rsidTr="005C22C3">
        <w:trPr>
          <w:cantSplit/>
        </w:trPr>
        <w:tc>
          <w:tcPr>
            <w:tcW w:w="5665" w:type="dxa"/>
          </w:tcPr>
          <w:p w14:paraId="24303730" w14:textId="72919C34" w:rsidR="000756EB" w:rsidRPr="006C4507" w:rsidRDefault="004A4D88" w:rsidP="006C4507">
            <w:pPr>
              <w:pStyle w:val="TableCopy"/>
            </w:pPr>
            <w:r w:rsidRPr="006C4507">
              <w:t>Sale</w:t>
            </w:r>
            <w:r w:rsidR="00A03629" w:rsidRPr="006C4507">
              <w:t xml:space="preserve"> </w:t>
            </w:r>
            <w:r w:rsidRPr="006C4507">
              <w:t>of</w:t>
            </w:r>
            <w:r w:rsidR="00A03629" w:rsidRPr="006C4507">
              <w:t xml:space="preserve"> </w:t>
            </w:r>
            <w:r w:rsidRPr="006C4507">
              <w:t>goods</w:t>
            </w:r>
            <w:r w:rsidR="00A03629" w:rsidRPr="006C4507">
              <w:t xml:space="preserve"> </w:t>
            </w:r>
            <w:r w:rsidRPr="006C4507">
              <w:t>and</w:t>
            </w:r>
            <w:r w:rsidR="00A03629" w:rsidRPr="006C4507">
              <w:t xml:space="preserve"> </w:t>
            </w:r>
            <w:r w:rsidRPr="006C4507">
              <w:t>services</w:t>
            </w:r>
          </w:p>
        </w:tc>
        <w:tc>
          <w:tcPr>
            <w:tcW w:w="1328" w:type="dxa"/>
          </w:tcPr>
          <w:p w14:paraId="68C1FC4F" w14:textId="77777777" w:rsidR="000756EB" w:rsidRPr="006C4507" w:rsidRDefault="004A4D88" w:rsidP="00F16EF6">
            <w:pPr>
              <w:pStyle w:val="TableCopy"/>
              <w:jc w:val="right"/>
            </w:pPr>
            <w:r w:rsidRPr="006C4507">
              <w:t>2.4.2</w:t>
            </w:r>
          </w:p>
        </w:tc>
        <w:tc>
          <w:tcPr>
            <w:tcW w:w="1630" w:type="dxa"/>
          </w:tcPr>
          <w:p w14:paraId="74F954AA" w14:textId="45654CEC" w:rsidR="000756EB" w:rsidRPr="006C4507" w:rsidRDefault="004A4D88" w:rsidP="00F16EF6">
            <w:pPr>
              <w:pStyle w:val="TableCopy"/>
              <w:jc w:val="right"/>
            </w:pPr>
            <w:r w:rsidRPr="006C4507">
              <w:t>10,052</w:t>
            </w:r>
          </w:p>
        </w:tc>
        <w:tc>
          <w:tcPr>
            <w:tcW w:w="1630" w:type="dxa"/>
          </w:tcPr>
          <w:p w14:paraId="1C31E22A" w14:textId="5A44CC27" w:rsidR="000756EB" w:rsidRPr="006C4507" w:rsidRDefault="004A4D88" w:rsidP="00F16EF6">
            <w:pPr>
              <w:pStyle w:val="TableCopy"/>
              <w:jc w:val="right"/>
            </w:pPr>
            <w:r w:rsidRPr="006C4507">
              <w:t>29,756</w:t>
            </w:r>
          </w:p>
        </w:tc>
      </w:tr>
      <w:tr w:rsidR="000756EB" w:rsidRPr="006C4507" w14:paraId="24C83C0B" w14:textId="77777777" w:rsidTr="005C22C3">
        <w:trPr>
          <w:cantSplit/>
        </w:trPr>
        <w:tc>
          <w:tcPr>
            <w:tcW w:w="5665" w:type="dxa"/>
          </w:tcPr>
          <w:p w14:paraId="5A121B96" w14:textId="77777777" w:rsidR="000756EB" w:rsidRPr="006C4507" w:rsidRDefault="004A4D88" w:rsidP="006C4507">
            <w:pPr>
              <w:pStyle w:val="TableCopy"/>
            </w:pPr>
            <w:r w:rsidRPr="006C4507">
              <w:t>Grants</w:t>
            </w:r>
          </w:p>
        </w:tc>
        <w:tc>
          <w:tcPr>
            <w:tcW w:w="1328" w:type="dxa"/>
          </w:tcPr>
          <w:p w14:paraId="03B9262F" w14:textId="77777777" w:rsidR="000756EB" w:rsidRPr="006C4507" w:rsidRDefault="004A4D88" w:rsidP="00F16EF6">
            <w:pPr>
              <w:pStyle w:val="TableCopy"/>
              <w:jc w:val="right"/>
            </w:pPr>
            <w:r w:rsidRPr="006C4507">
              <w:t>2.4.1</w:t>
            </w:r>
          </w:p>
        </w:tc>
        <w:tc>
          <w:tcPr>
            <w:tcW w:w="1630" w:type="dxa"/>
          </w:tcPr>
          <w:p w14:paraId="70FA80A2" w14:textId="1C58ECE1" w:rsidR="000756EB" w:rsidRPr="006C4507" w:rsidRDefault="004A4D88" w:rsidP="00F16EF6">
            <w:pPr>
              <w:pStyle w:val="TableCopy"/>
              <w:jc w:val="right"/>
            </w:pPr>
            <w:r w:rsidRPr="006C4507">
              <w:t>280,147</w:t>
            </w:r>
          </w:p>
        </w:tc>
        <w:tc>
          <w:tcPr>
            <w:tcW w:w="1630" w:type="dxa"/>
          </w:tcPr>
          <w:p w14:paraId="5525C375" w14:textId="1A843F1E" w:rsidR="000756EB" w:rsidRPr="006C4507" w:rsidRDefault="004A4D88" w:rsidP="00F16EF6">
            <w:pPr>
              <w:pStyle w:val="TableCopy"/>
              <w:jc w:val="right"/>
            </w:pPr>
            <w:r w:rsidRPr="006C4507">
              <w:t>219,708</w:t>
            </w:r>
          </w:p>
        </w:tc>
      </w:tr>
      <w:tr w:rsidR="000756EB" w:rsidRPr="006C4507" w14:paraId="7507141A" w14:textId="77777777" w:rsidTr="005C22C3">
        <w:trPr>
          <w:cantSplit/>
        </w:trPr>
        <w:tc>
          <w:tcPr>
            <w:tcW w:w="5665" w:type="dxa"/>
          </w:tcPr>
          <w:p w14:paraId="30B431FC" w14:textId="0B331ECD" w:rsidR="000756EB" w:rsidRPr="006C4507" w:rsidRDefault="004A4D88" w:rsidP="006C4507">
            <w:pPr>
              <w:pStyle w:val="TableCopy"/>
            </w:pPr>
            <w:r w:rsidRPr="006C4507">
              <w:t>Other</w:t>
            </w:r>
            <w:r w:rsidR="00A03629" w:rsidRPr="006C4507">
              <w:t xml:space="preserve"> </w:t>
            </w:r>
            <w:r w:rsidRPr="006C4507">
              <w:t>income</w:t>
            </w:r>
          </w:p>
        </w:tc>
        <w:tc>
          <w:tcPr>
            <w:tcW w:w="1328" w:type="dxa"/>
          </w:tcPr>
          <w:p w14:paraId="0BEE6F09" w14:textId="77777777" w:rsidR="000756EB" w:rsidRPr="006C4507" w:rsidRDefault="004A4D88" w:rsidP="00F16EF6">
            <w:pPr>
              <w:pStyle w:val="TableCopy"/>
              <w:jc w:val="right"/>
            </w:pPr>
            <w:r w:rsidRPr="006C4507">
              <w:t>2.4.3</w:t>
            </w:r>
          </w:p>
        </w:tc>
        <w:tc>
          <w:tcPr>
            <w:tcW w:w="1630" w:type="dxa"/>
          </w:tcPr>
          <w:p w14:paraId="5526619E" w14:textId="5E763165" w:rsidR="000756EB" w:rsidRPr="006C4507" w:rsidRDefault="004A4D88" w:rsidP="00F16EF6">
            <w:pPr>
              <w:pStyle w:val="TableCopy"/>
              <w:jc w:val="right"/>
            </w:pPr>
            <w:r w:rsidRPr="006C4507">
              <w:t>19,910</w:t>
            </w:r>
          </w:p>
        </w:tc>
        <w:tc>
          <w:tcPr>
            <w:tcW w:w="1630" w:type="dxa"/>
          </w:tcPr>
          <w:p w14:paraId="3C7BD0D3" w14:textId="7751E52D" w:rsidR="000756EB" w:rsidRPr="006C4507" w:rsidRDefault="004A4D88" w:rsidP="00F16EF6">
            <w:pPr>
              <w:pStyle w:val="TableCopy"/>
              <w:jc w:val="right"/>
            </w:pPr>
            <w:r w:rsidRPr="006C4507">
              <w:t>20,725</w:t>
            </w:r>
          </w:p>
        </w:tc>
      </w:tr>
      <w:tr w:rsidR="000756EB" w:rsidRPr="00F16EF6" w14:paraId="7BF62C5A" w14:textId="77777777" w:rsidTr="005C22C3">
        <w:trPr>
          <w:cantSplit/>
        </w:trPr>
        <w:tc>
          <w:tcPr>
            <w:tcW w:w="5665" w:type="dxa"/>
          </w:tcPr>
          <w:p w14:paraId="2B9B2767" w14:textId="596A7173" w:rsidR="000756EB" w:rsidRPr="00F16EF6" w:rsidRDefault="004A4D88" w:rsidP="006C4507">
            <w:pPr>
              <w:pStyle w:val="TableCopy"/>
              <w:rPr>
                <w:b/>
                <w:bCs/>
              </w:rPr>
            </w:pPr>
            <w:r w:rsidRPr="00F16EF6">
              <w:rPr>
                <w:b/>
                <w:bCs/>
              </w:rPr>
              <w:t>Total</w:t>
            </w:r>
            <w:r w:rsidR="00A03629" w:rsidRPr="00F16EF6">
              <w:rPr>
                <w:b/>
                <w:bCs/>
              </w:rPr>
              <w:t xml:space="preserve"> </w:t>
            </w:r>
            <w:r w:rsidRPr="00F16EF6">
              <w:rPr>
                <w:b/>
                <w:bCs/>
              </w:rPr>
              <w:t>revenue</w:t>
            </w:r>
            <w:r w:rsidR="00A03629" w:rsidRPr="00F16EF6">
              <w:rPr>
                <w:b/>
                <w:bCs/>
              </w:rPr>
              <w:t xml:space="preserve"> </w:t>
            </w:r>
            <w:r w:rsidRPr="00F16EF6">
              <w:rPr>
                <w:b/>
                <w:bCs/>
              </w:rPr>
              <w:t>and</w:t>
            </w:r>
            <w:r w:rsidR="00A03629" w:rsidRPr="00F16EF6">
              <w:rPr>
                <w:b/>
                <w:bCs/>
              </w:rPr>
              <w:t xml:space="preserve"> </w:t>
            </w:r>
            <w:r w:rsidRPr="00F16EF6">
              <w:rPr>
                <w:b/>
                <w:bCs/>
              </w:rPr>
              <w:t>income</w:t>
            </w:r>
            <w:r w:rsidR="00A03629" w:rsidRPr="00F16EF6">
              <w:rPr>
                <w:b/>
                <w:bCs/>
              </w:rPr>
              <w:t xml:space="preserve"> </w:t>
            </w:r>
            <w:r w:rsidRPr="00F16EF6">
              <w:rPr>
                <w:b/>
                <w:bCs/>
              </w:rPr>
              <w:t>from</w:t>
            </w:r>
            <w:r w:rsidR="00A03629" w:rsidRPr="00F16EF6">
              <w:rPr>
                <w:b/>
                <w:bCs/>
              </w:rPr>
              <w:t xml:space="preserve"> </w:t>
            </w:r>
            <w:r w:rsidRPr="00F16EF6">
              <w:rPr>
                <w:b/>
                <w:bCs/>
              </w:rPr>
              <w:t>transactions</w:t>
            </w:r>
          </w:p>
        </w:tc>
        <w:tc>
          <w:tcPr>
            <w:tcW w:w="1328" w:type="dxa"/>
          </w:tcPr>
          <w:p w14:paraId="7A435AEE" w14:textId="77777777" w:rsidR="000756EB" w:rsidRPr="00F16EF6" w:rsidRDefault="000756EB" w:rsidP="00F16EF6">
            <w:pPr>
              <w:pStyle w:val="TableCopy"/>
              <w:jc w:val="right"/>
              <w:rPr>
                <w:b/>
                <w:bCs/>
              </w:rPr>
            </w:pPr>
          </w:p>
        </w:tc>
        <w:tc>
          <w:tcPr>
            <w:tcW w:w="1630" w:type="dxa"/>
          </w:tcPr>
          <w:p w14:paraId="0504455D" w14:textId="1BD1E85C" w:rsidR="000756EB" w:rsidRPr="00F16EF6" w:rsidRDefault="004A4D88" w:rsidP="00F16EF6">
            <w:pPr>
              <w:pStyle w:val="TableCopy"/>
              <w:jc w:val="right"/>
              <w:rPr>
                <w:b/>
                <w:bCs/>
              </w:rPr>
            </w:pPr>
            <w:r w:rsidRPr="00F16EF6">
              <w:rPr>
                <w:b/>
                <w:bCs/>
              </w:rPr>
              <w:t>4,136,061</w:t>
            </w:r>
          </w:p>
        </w:tc>
        <w:tc>
          <w:tcPr>
            <w:tcW w:w="1630" w:type="dxa"/>
          </w:tcPr>
          <w:p w14:paraId="0FE5BFA7" w14:textId="5ECBD262" w:rsidR="000756EB" w:rsidRPr="00F16EF6" w:rsidRDefault="004A4D88" w:rsidP="00F16EF6">
            <w:pPr>
              <w:pStyle w:val="TableCopy"/>
              <w:jc w:val="right"/>
              <w:rPr>
                <w:b/>
                <w:bCs/>
              </w:rPr>
            </w:pPr>
            <w:r w:rsidRPr="00F16EF6">
              <w:rPr>
                <w:b/>
                <w:bCs/>
              </w:rPr>
              <w:t>11,094,815</w:t>
            </w:r>
          </w:p>
        </w:tc>
      </w:tr>
      <w:tr w:rsidR="000756EB" w:rsidRPr="006C4507" w14:paraId="7E257A77" w14:textId="77777777" w:rsidTr="005C22C3">
        <w:trPr>
          <w:cantSplit/>
        </w:trPr>
        <w:tc>
          <w:tcPr>
            <w:tcW w:w="5665" w:type="dxa"/>
          </w:tcPr>
          <w:p w14:paraId="2E106BDD" w14:textId="509D5465" w:rsidR="000756EB" w:rsidRPr="006C4507" w:rsidRDefault="004A4D88" w:rsidP="00F16EF6">
            <w:pPr>
              <w:pStyle w:val="TableHeading"/>
            </w:pPr>
            <w:r w:rsidRPr="006C4507">
              <w:t>Expenses</w:t>
            </w:r>
            <w:r w:rsidR="00A03629" w:rsidRPr="006C4507">
              <w:t xml:space="preserve"> </w:t>
            </w:r>
            <w:r w:rsidRPr="006C4507">
              <w:t>from</w:t>
            </w:r>
            <w:r w:rsidR="00A03629" w:rsidRPr="006C4507">
              <w:t xml:space="preserve"> </w:t>
            </w:r>
            <w:r w:rsidRPr="006C4507">
              <w:t>transactions</w:t>
            </w:r>
          </w:p>
        </w:tc>
        <w:tc>
          <w:tcPr>
            <w:tcW w:w="1328" w:type="dxa"/>
          </w:tcPr>
          <w:p w14:paraId="4706B7CE" w14:textId="77777777" w:rsidR="000756EB" w:rsidRPr="006C4507" w:rsidRDefault="000756EB" w:rsidP="00F16EF6">
            <w:pPr>
              <w:pStyle w:val="TableCopy"/>
              <w:jc w:val="right"/>
            </w:pPr>
          </w:p>
        </w:tc>
        <w:tc>
          <w:tcPr>
            <w:tcW w:w="1630" w:type="dxa"/>
          </w:tcPr>
          <w:p w14:paraId="67C62E5A" w14:textId="77777777" w:rsidR="000756EB" w:rsidRPr="006C4507" w:rsidRDefault="000756EB" w:rsidP="00F16EF6">
            <w:pPr>
              <w:pStyle w:val="TableCopy"/>
              <w:jc w:val="right"/>
            </w:pPr>
          </w:p>
        </w:tc>
        <w:tc>
          <w:tcPr>
            <w:tcW w:w="1630" w:type="dxa"/>
          </w:tcPr>
          <w:p w14:paraId="38ED2EB4" w14:textId="77777777" w:rsidR="000756EB" w:rsidRPr="006C4507" w:rsidRDefault="000756EB" w:rsidP="00F16EF6">
            <w:pPr>
              <w:pStyle w:val="TableCopy"/>
              <w:jc w:val="right"/>
            </w:pPr>
          </w:p>
        </w:tc>
      </w:tr>
      <w:tr w:rsidR="000756EB" w:rsidRPr="006C4507" w14:paraId="32DE9227" w14:textId="77777777" w:rsidTr="005C22C3">
        <w:trPr>
          <w:cantSplit/>
        </w:trPr>
        <w:tc>
          <w:tcPr>
            <w:tcW w:w="5665" w:type="dxa"/>
          </w:tcPr>
          <w:p w14:paraId="7ED82794" w14:textId="3B9A836E" w:rsidR="000756EB" w:rsidRPr="006C4507" w:rsidRDefault="004A4D88" w:rsidP="006C4507">
            <w:pPr>
              <w:pStyle w:val="TableCopy"/>
            </w:pPr>
            <w:r w:rsidRPr="006C4507">
              <w:t>Grants</w:t>
            </w:r>
            <w:r w:rsidR="00A03629" w:rsidRPr="006C4507">
              <w:t xml:space="preserve"> </w:t>
            </w:r>
          </w:p>
        </w:tc>
        <w:tc>
          <w:tcPr>
            <w:tcW w:w="1328" w:type="dxa"/>
          </w:tcPr>
          <w:p w14:paraId="45735ED0" w14:textId="77777777" w:rsidR="000756EB" w:rsidRPr="006C4507" w:rsidRDefault="004A4D88" w:rsidP="00F16EF6">
            <w:pPr>
              <w:pStyle w:val="TableCopy"/>
              <w:jc w:val="right"/>
            </w:pPr>
            <w:r w:rsidRPr="006C4507">
              <w:t>3.2</w:t>
            </w:r>
          </w:p>
        </w:tc>
        <w:tc>
          <w:tcPr>
            <w:tcW w:w="1630" w:type="dxa"/>
          </w:tcPr>
          <w:p w14:paraId="760929C0" w14:textId="77777777" w:rsidR="000756EB" w:rsidRPr="006C4507" w:rsidRDefault="004A4D88" w:rsidP="00F16EF6">
            <w:pPr>
              <w:pStyle w:val="TableCopy"/>
              <w:jc w:val="right"/>
            </w:pPr>
            <w:r w:rsidRPr="006C4507">
              <w:t>(2,926,786)</w:t>
            </w:r>
          </w:p>
        </w:tc>
        <w:tc>
          <w:tcPr>
            <w:tcW w:w="1630" w:type="dxa"/>
          </w:tcPr>
          <w:p w14:paraId="5893A2EF" w14:textId="77777777" w:rsidR="000756EB" w:rsidRPr="006C4507" w:rsidRDefault="004A4D88" w:rsidP="00F16EF6">
            <w:pPr>
              <w:pStyle w:val="TableCopy"/>
              <w:jc w:val="right"/>
            </w:pPr>
            <w:r w:rsidRPr="006C4507">
              <w:t>(9,892,275)</w:t>
            </w:r>
          </w:p>
        </w:tc>
      </w:tr>
      <w:tr w:rsidR="000756EB" w:rsidRPr="006C4507" w14:paraId="1C3CA98D" w14:textId="77777777" w:rsidTr="005C22C3">
        <w:trPr>
          <w:cantSplit/>
        </w:trPr>
        <w:tc>
          <w:tcPr>
            <w:tcW w:w="5665" w:type="dxa"/>
          </w:tcPr>
          <w:p w14:paraId="1F99A827" w14:textId="6B6AE6CA" w:rsidR="000756EB" w:rsidRPr="006C4507" w:rsidRDefault="004A4D88" w:rsidP="006C4507">
            <w:pPr>
              <w:pStyle w:val="TableCopy"/>
            </w:pPr>
            <w:r w:rsidRPr="006C4507">
              <w:t>Employee</w:t>
            </w:r>
            <w:r w:rsidR="00A03629" w:rsidRPr="006C4507">
              <w:t xml:space="preserve"> </w:t>
            </w:r>
            <w:r w:rsidRPr="006C4507">
              <w:t>benefits</w:t>
            </w:r>
          </w:p>
        </w:tc>
        <w:tc>
          <w:tcPr>
            <w:tcW w:w="1328" w:type="dxa"/>
          </w:tcPr>
          <w:p w14:paraId="64D4ACAB" w14:textId="77777777" w:rsidR="000756EB" w:rsidRPr="006C4507" w:rsidRDefault="004A4D88" w:rsidP="00F16EF6">
            <w:pPr>
              <w:pStyle w:val="TableCopy"/>
              <w:jc w:val="right"/>
            </w:pPr>
            <w:r w:rsidRPr="006C4507">
              <w:t>3.3.1</w:t>
            </w:r>
          </w:p>
        </w:tc>
        <w:tc>
          <w:tcPr>
            <w:tcW w:w="1630" w:type="dxa"/>
          </w:tcPr>
          <w:p w14:paraId="4DF1076B" w14:textId="77777777" w:rsidR="000756EB" w:rsidRPr="006C4507" w:rsidRDefault="004A4D88" w:rsidP="00F16EF6">
            <w:pPr>
              <w:pStyle w:val="TableCopy"/>
              <w:jc w:val="right"/>
            </w:pPr>
            <w:r w:rsidRPr="006C4507">
              <w:t>(488,156)</w:t>
            </w:r>
          </w:p>
        </w:tc>
        <w:tc>
          <w:tcPr>
            <w:tcW w:w="1630" w:type="dxa"/>
          </w:tcPr>
          <w:p w14:paraId="32B671E8" w14:textId="77777777" w:rsidR="000756EB" w:rsidRPr="006C4507" w:rsidRDefault="004A4D88" w:rsidP="00F16EF6">
            <w:pPr>
              <w:pStyle w:val="TableCopy"/>
              <w:jc w:val="right"/>
            </w:pPr>
            <w:r w:rsidRPr="006C4507">
              <w:t>(577,228)</w:t>
            </w:r>
          </w:p>
        </w:tc>
      </w:tr>
      <w:tr w:rsidR="000756EB" w:rsidRPr="006C4507" w14:paraId="4CDFA7AC" w14:textId="77777777" w:rsidTr="005C22C3">
        <w:trPr>
          <w:cantSplit/>
        </w:trPr>
        <w:tc>
          <w:tcPr>
            <w:tcW w:w="5665" w:type="dxa"/>
          </w:tcPr>
          <w:p w14:paraId="5E4138A6" w14:textId="62674C20" w:rsidR="000756EB" w:rsidRPr="006C4507" w:rsidRDefault="004A4D88" w:rsidP="006C4507">
            <w:pPr>
              <w:pStyle w:val="TableCopy"/>
            </w:pPr>
            <w:r w:rsidRPr="006C4507">
              <w:t>Depreciation</w:t>
            </w:r>
            <w:r w:rsidR="00A03629" w:rsidRPr="006C4507">
              <w:t xml:space="preserve"> </w:t>
            </w:r>
            <w:r w:rsidRPr="006C4507">
              <w:t>and</w:t>
            </w:r>
            <w:r w:rsidR="00A03629" w:rsidRPr="006C4507">
              <w:t xml:space="preserve"> </w:t>
            </w:r>
            <w:r w:rsidRPr="006C4507">
              <w:t>amortisation</w:t>
            </w:r>
          </w:p>
        </w:tc>
        <w:tc>
          <w:tcPr>
            <w:tcW w:w="1328" w:type="dxa"/>
          </w:tcPr>
          <w:p w14:paraId="07271B83" w14:textId="77777777" w:rsidR="000756EB" w:rsidRPr="006C4507" w:rsidRDefault="004A4D88" w:rsidP="00F16EF6">
            <w:pPr>
              <w:pStyle w:val="TableCopy"/>
              <w:jc w:val="right"/>
            </w:pPr>
            <w:r w:rsidRPr="006C4507">
              <w:t>5.1.2</w:t>
            </w:r>
          </w:p>
        </w:tc>
        <w:tc>
          <w:tcPr>
            <w:tcW w:w="1630" w:type="dxa"/>
          </w:tcPr>
          <w:p w14:paraId="025736F4" w14:textId="77777777" w:rsidR="000756EB" w:rsidRPr="006C4507" w:rsidRDefault="004A4D88" w:rsidP="00F16EF6">
            <w:pPr>
              <w:pStyle w:val="TableCopy"/>
              <w:jc w:val="right"/>
            </w:pPr>
            <w:r w:rsidRPr="006C4507">
              <w:t>(32,410)</w:t>
            </w:r>
          </w:p>
        </w:tc>
        <w:tc>
          <w:tcPr>
            <w:tcW w:w="1630" w:type="dxa"/>
          </w:tcPr>
          <w:p w14:paraId="66E3D141" w14:textId="77777777" w:rsidR="000756EB" w:rsidRPr="006C4507" w:rsidRDefault="004A4D88" w:rsidP="00F16EF6">
            <w:pPr>
              <w:pStyle w:val="TableCopy"/>
              <w:jc w:val="right"/>
            </w:pPr>
            <w:r w:rsidRPr="006C4507">
              <w:t>(48,844)</w:t>
            </w:r>
          </w:p>
        </w:tc>
      </w:tr>
      <w:tr w:rsidR="000756EB" w:rsidRPr="006C4507" w14:paraId="0707E0B5" w14:textId="77777777" w:rsidTr="005C22C3">
        <w:trPr>
          <w:cantSplit/>
        </w:trPr>
        <w:tc>
          <w:tcPr>
            <w:tcW w:w="5665" w:type="dxa"/>
          </w:tcPr>
          <w:p w14:paraId="3B304208" w14:textId="055E91B6" w:rsidR="000756EB" w:rsidRPr="006C4507" w:rsidRDefault="004A4D88" w:rsidP="006C4507">
            <w:pPr>
              <w:pStyle w:val="TableCopy"/>
            </w:pPr>
            <w:r w:rsidRPr="006C4507">
              <w:t>Other</w:t>
            </w:r>
            <w:r w:rsidR="00A03629" w:rsidRPr="006C4507">
              <w:t xml:space="preserve"> </w:t>
            </w:r>
            <w:r w:rsidRPr="006C4507">
              <w:t>operating</w:t>
            </w:r>
            <w:r w:rsidR="00A03629" w:rsidRPr="006C4507">
              <w:t xml:space="preserve"> </w:t>
            </w:r>
            <w:r w:rsidRPr="006C4507">
              <w:t>expenses</w:t>
            </w:r>
          </w:p>
        </w:tc>
        <w:tc>
          <w:tcPr>
            <w:tcW w:w="1328" w:type="dxa"/>
          </w:tcPr>
          <w:p w14:paraId="456210DC" w14:textId="77777777" w:rsidR="000756EB" w:rsidRPr="006C4507" w:rsidRDefault="004A4D88" w:rsidP="00F16EF6">
            <w:pPr>
              <w:pStyle w:val="TableCopy"/>
              <w:jc w:val="right"/>
            </w:pPr>
            <w:r w:rsidRPr="006C4507">
              <w:t>3.4</w:t>
            </w:r>
          </w:p>
        </w:tc>
        <w:tc>
          <w:tcPr>
            <w:tcW w:w="1630" w:type="dxa"/>
          </w:tcPr>
          <w:p w14:paraId="5E2DAD99" w14:textId="77777777" w:rsidR="000756EB" w:rsidRPr="006C4507" w:rsidRDefault="004A4D88" w:rsidP="00F16EF6">
            <w:pPr>
              <w:pStyle w:val="TableCopy"/>
              <w:jc w:val="right"/>
            </w:pPr>
            <w:r w:rsidRPr="006C4507">
              <w:t>(555,602)</w:t>
            </w:r>
          </w:p>
        </w:tc>
        <w:tc>
          <w:tcPr>
            <w:tcW w:w="1630" w:type="dxa"/>
          </w:tcPr>
          <w:p w14:paraId="1969B315" w14:textId="77777777" w:rsidR="000756EB" w:rsidRPr="006C4507" w:rsidRDefault="004A4D88" w:rsidP="00F16EF6">
            <w:pPr>
              <w:pStyle w:val="TableCopy"/>
              <w:jc w:val="right"/>
            </w:pPr>
            <w:r w:rsidRPr="006C4507">
              <w:t>(454,254)</w:t>
            </w:r>
          </w:p>
        </w:tc>
      </w:tr>
      <w:tr w:rsidR="000756EB" w:rsidRPr="00F16EF6" w14:paraId="18C65941" w14:textId="77777777" w:rsidTr="005C22C3">
        <w:trPr>
          <w:cantSplit/>
        </w:trPr>
        <w:tc>
          <w:tcPr>
            <w:tcW w:w="5665" w:type="dxa"/>
          </w:tcPr>
          <w:p w14:paraId="54443C72" w14:textId="1153CF43" w:rsidR="000756EB" w:rsidRPr="00F16EF6" w:rsidRDefault="004A4D88" w:rsidP="006C4507">
            <w:pPr>
              <w:pStyle w:val="TableCopy"/>
              <w:rPr>
                <w:b/>
                <w:bCs/>
              </w:rPr>
            </w:pPr>
            <w:r w:rsidRPr="00F16EF6">
              <w:rPr>
                <w:b/>
                <w:bCs/>
              </w:rPr>
              <w:t>Total</w:t>
            </w:r>
            <w:r w:rsidR="00A03629" w:rsidRPr="00F16EF6">
              <w:rPr>
                <w:b/>
                <w:bCs/>
              </w:rPr>
              <w:t xml:space="preserve"> </w:t>
            </w:r>
            <w:r w:rsidRPr="00F16EF6">
              <w:rPr>
                <w:b/>
                <w:bCs/>
              </w:rPr>
              <w:t>expenses</w:t>
            </w:r>
            <w:r w:rsidR="00A03629" w:rsidRPr="00F16EF6">
              <w:rPr>
                <w:b/>
                <w:bCs/>
              </w:rPr>
              <w:t xml:space="preserve"> </w:t>
            </w:r>
            <w:r w:rsidRPr="00F16EF6">
              <w:rPr>
                <w:b/>
                <w:bCs/>
              </w:rPr>
              <w:t>from</w:t>
            </w:r>
            <w:r w:rsidR="00A03629" w:rsidRPr="00F16EF6">
              <w:rPr>
                <w:b/>
                <w:bCs/>
              </w:rPr>
              <w:t xml:space="preserve"> </w:t>
            </w:r>
            <w:r w:rsidRPr="00F16EF6">
              <w:rPr>
                <w:b/>
                <w:bCs/>
              </w:rPr>
              <w:t>transactions</w:t>
            </w:r>
          </w:p>
        </w:tc>
        <w:tc>
          <w:tcPr>
            <w:tcW w:w="1328" w:type="dxa"/>
          </w:tcPr>
          <w:p w14:paraId="58CFC032" w14:textId="77777777" w:rsidR="000756EB" w:rsidRPr="00F16EF6" w:rsidRDefault="000756EB" w:rsidP="00F16EF6">
            <w:pPr>
              <w:pStyle w:val="TableCopy"/>
              <w:jc w:val="right"/>
              <w:rPr>
                <w:b/>
                <w:bCs/>
              </w:rPr>
            </w:pPr>
          </w:p>
        </w:tc>
        <w:tc>
          <w:tcPr>
            <w:tcW w:w="1630" w:type="dxa"/>
          </w:tcPr>
          <w:p w14:paraId="350D35C0" w14:textId="77777777" w:rsidR="000756EB" w:rsidRPr="00F16EF6" w:rsidRDefault="004A4D88" w:rsidP="00F16EF6">
            <w:pPr>
              <w:pStyle w:val="TableCopy"/>
              <w:jc w:val="right"/>
              <w:rPr>
                <w:b/>
                <w:bCs/>
              </w:rPr>
            </w:pPr>
            <w:r w:rsidRPr="00F16EF6">
              <w:rPr>
                <w:b/>
                <w:bCs/>
              </w:rPr>
              <w:t>(4,002,954)</w:t>
            </w:r>
          </w:p>
        </w:tc>
        <w:tc>
          <w:tcPr>
            <w:tcW w:w="1630" w:type="dxa"/>
          </w:tcPr>
          <w:p w14:paraId="56D3DCB1" w14:textId="77777777" w:rsidR="000756EB" w:rsidRPr="00F16EF6" w:rsidRDefault="004A4D88" w:rsidP="00F16EF6">
            <w:pPr>
              <w:pStyle w:val="TableCopy"/>
              <w:jc w:val="right"/>
              <w:rPr>
                <w:b/>
                <w:bCs/>
              </w:rPr>
            </w:pPr>
            <w:r w:rsidRPr="00F16EF6">
              <w:rPr>
                <w:b/>
                <w:bCs/>
              </w:rPr>
              <w:t>(10,972,601)</w:t>
            </w:r>
          </w:p>
        </w:tc>
      </w:tr>
      <w:tr w:rsidR="000756EB" w:rsidRPr="00881D6C" w14:paraId="0E850F7E" w14:textId="77777777" w:rsidTr="005C22C3">
        <w:trPr>
          <w:cantSplit/>
        </w:trPr>
        <w:tc>
          <w:tcPr>
            <w:tcW w:w="5665" w:type="dxa"/>
          </w:tcPr>
          <w:p w14:paraId="16F6D289" w14:textId="50B29728" w:rsidR="000756EB" w:rsidRPr="00881D6C" w:rsidRDefault="004A4D88" w:rsidP="006C4507">
            <w:pPr>
              <w:pStyle w:val="TableCopy"/>
              <w:rPr>
                <w:b/>
                <w:bCs/>
              </w:rPr>
            </w:pPr>
            <w:r w:rsidRPr="00881D6C">
              <w:rPr>
                <w:b/>
                <w:bCs/>
              </w:rPr>
              <w:t>Net</w:t>
            </w:r>
            <w:r w:rsidR="00A03629" w:rsidRPr="00881D6C">
              <w:rPr>
                <w:b/>
                <w:bCs/>
              </w:rPr>
              <w:t xml:space="preserve"> </w:t>
            </w:r>
            <w:r w:rsidRPr="00881D6C">
              <w:rPr>
                <w:b/>
                <w:bCs/>
              </w:rPr>
              <w:t>result</w:t>
            </w:r>
            <w:r w:rsidR="00A03629" w:rsidRPr="00881D6C">
              <w:rPr>
                <w:b/>
                <w:bCs/>
              </w:rPr>
              <w:t xml:space="preserve"> </w:t>
            </w:r>
            <w:r w:rsidRPr="00881D6C">
              <w:rPr>
                <w:b/>
                <w:bCs/>
              </w:rPr>
              <w:t>from</w:t>
            </w:r>
            <w:r w:rsidR="00A03629" w:rsidRPr="00881D6C">
              <w:rPr>
                <w:b/>
                <w:bCs/>
              </w:rPr>
              <w:t xml:space="preserve"> </w:t>
            </w:r>
            <w:r w:rsidRPr="00881D6C">
              <w:rPr>
                <w:b/>
                <w:bCs/>
              </w:rPr>
              <w:t>transactions</w:t>
            </w:r>
          </w:p>
        </w:tc>
        <w:tc>
          <w:tcPr>
            <w:tcW w:w="1328" w:type="dxa"/>
          </w:tcPr>
          <w:p w14:paraId="15F791B0" w14:textId="77777777" w:rsidR="000756EB" w:rsidRPr="00881D6C" w:rsidRDefault="000756EB" w:rsidP="00F16EF6">
            <w:pPr>
              <w:pStyle w:val="TableCopy"/>
              <w:jc w:val="right"/>
              <w:rPr>
                <w:b/>
                <w:bCs/>
              </w:rPr>
            </w:pPr>
          </w:p>
        </w:tc>
        <w:tc>
          <w:tcPr>
            <w:tcW w:w="1630" w:type="dxa"/>
          </w:tcPr>
          <w:p w14:paraId="559CBE17" w14:textId="4C52E5F3" w:rsidR="000756EB" w:rsidRPr="00881D6C" w:rsidRDefault="004A4D88" w:rsidP="00F16EF6">
            <w:pPr>
              <w:pStyle w:val="TableCopy"/>
              <w:jc w:val="right"/>
              <w:rPr>
                <w:b/>
                <w:bCs/>
              </w:rPr>
            </w:pPr>
            <w:r w:rsidRPr="00881D6C">
              <w:rPr>
                <w:b/>
                <w:bCs/>
              </w:rPr>
              <w:t>133,107</w:t>
            </w:r>
          </w:p>
        </w:tc>
        <w:tc>
          <w:tcPr>
            <w:tcW w:w="1630" w:type="dxa"/>
          </w:tcPr>
          <w:p w14:paraId="79355830" w14:textId="234C67C8" w:rsidR="000756EB" w:rsidRPr="00881D6C" w:rsidRDefault="004A4D88" w:rsidP="00F16EF6">
            <w:pPr>
              <w:pStyle w:val="TableCopy"/>
              <w:jc w:val="right"/>
              <w:rPr>
                <w:b/>
                <w:bCs/>
              </w:rPr>
            </w:pPr>
            <w:r w:rsidRPr="00881D6C">
              <w:rPr>
                <w:b/>
                <w:bCs/>
              </w:rPr>
              <w:t>122,214</w:t>
            </w:r>
          </w:p>
        </w:tc>
      </w:tr>
      <w:tr w:rsidR="000756EB" w:rsidRPr="006C4507" w14:paraId="7EF40D0F" w14:textId="77777777" w:rsidTr="005C22C3">
        <w:trPr>
          <w:cantSplit/>
        </w:trPr>
        <w:tc>
          <w:tcPr>
            <w:tcW w:w="5665" w:type="dxa"/>
          </w:tcPr>
          <w:p w14:paraId="4EA6530F" w14:textId="00D3A11F" w:rsidR="000756EB" w:rsidRPr="006C4507" w:rsidRDefault="004A4D88" w:rsidP="00881D6C">
            <w:pPr>
              <w:pStyle w:val="TableHeading"/>
            </w:pPr>
            <w:r w:rsidRPr="006C4507">
              <w:t>Other</w:t>
            </w:r>
            <w:r w:rsidR="00A03629" w:rsidRPr="006C4507">
              <w:t xml:space="preserve"> </w:t>
            </w:r>
            <w:r w:rsidRPr="006C4507">
              <w:t>economic</w:t>
            </w:r>
            <w:r w:rsidR="00A03629" w:rsidRPr="006C4507">
              <w:t xml:space="preserve"> </w:t>
            </w:r>
            <w:r w:rsidRPr="006C4507">
              <w:t>flows</w:t>
            </w:r>
            <w:r w:rsidR="00A03629" w:rsidRPr="006C4507">
              <w:t xml:space="preserve"> </w:t>
            </w:r>
            <w:r w:rsidRPr="006C4507">
              <w:t>included</w:t>
            </w:r>
            <w:r w:rsidR="00A03629" w:rsidRPr="006C4507">
              <w:t xml:space="preserve"> </w:t>
            </w:r>
            <w:r w:rsidRPr="006C4507">
              <w:t>in</w:t>
            </w:r>
            <w:r w:rsidR="00A03629" w:rsidRPr="006C4507">
              <w:t xml:space="preserve"> </w:t>
            </w:r>
            <w:r w:rsidRPr="006C4507">
              <w:t>net</w:t>
            </w:r>
            <w:r w:rsidR="00A03629" w:rsidRPr="006C4507">
              <w:t xml:space="preserve"> </w:t>
            </w:r>
            <w:r w:rsidRPr="006C4507">
              <w:t>result</w:t>
            </w:r>
          </w:p>
        </w:tc>
        <w:tc>
          <w:tcPr>
            <w:tcW w:w="1328" w:type="dxa"/>
          </w:tcPr>
          <w:p w14:paraId="5DCD4635" w14:textId="77777777" w:rsidR="000756EB" w:rsidRPr="006C4507" w:rsidRDefault="000756EB" w:rsidP="00F16EF6">
            <w:pPr>
              <w:pStyle w:val="TableCopy"/>
              <w:jc w:val="right"/>
            </w:pPr>
          </w:p>
        </w:tc>
        <w:tc>
          <w:tcPr>
            <w:tcW w:w="1630" w:type="dxa"/>
          </w:tcPr>
          <w:p w14:paraId="270B3E57" w14:textId="77777777" w:rsidR="000756EB" w:rsidRPr="006C4507" w:rsidRDefault="000756EB" w:rsidP="00F16EF6">
            <w:pPr>
              <w:pStyle w:val="TableCopy"/>
              <w:jc w:val="right"/>
            </w:pPr>
          </w:p>
        </w:tc>
        <w:tc>
          <w:tcPr>
            <w:tcW w:w="1630" w:type="dxa"/>
          </w:tcPr>
          <w:p w14:paraId="75635656" w14:textId="77777777" w:rsidR="000756EB" w:rsidRPr="006C4507" w:rsidRDefault="000756EB" w:rsidP="00F16EF6">
            <w:pPr>
              <w:pStyle w:val="TableCopy"/>
              <w:jc w:val="right"/>
            </w:pPr>
          </w:p>
        </w:tc>
      </w:tr>
      <w:tr w:rsidR="000756EB" w:rsidRPr="006C4507" w14:paraId="66F71E74" w14:textId="77777777" w:rsidTr="005C22C3">
        <w:trPr>
          <w:cantSplit/>
        </w:trPr>
        <w:tc>
          <w:tcPr>
            <w:tcW w:w="5665" w:type="dxa"/>
          </w:tcPr>
          <w:p w14:paraId="73A60756" w14:textId="6355D5E0" w:rsidR="000756EB" w:rsidRPr="006C4507" w:rsidRDefault="004A4D88" w:rsidP="006C4507">
            <w:pPr>
              <w:pStyle w:val="TableCopy"/>
            </w:pPr>
            <w:r w:rsidRPr="006C4507">
              <w:t>Net</w:t>
            </w:r>
            <w:r w:rsidR="00A03629" w:rsidRPr="006C4507">
              <w:t xml:space="preserve"> </w:t>
            </w:r>
            <w:r w:rsidRPr="006C4507">
              <w:t>(loss)/gain</w:t>
            </w:r>
            <w:r w:rsidR="00A03629" w:rsidRPr="006C4507">
              <w:t xml:space="preserve"> </w:t>
            </w:r>
            <w:r w:rsidRPr="006C4507">
              <w:t>on</w:t>
            </w:r>
            <w:r w:rsidR="00A03629" w:rsidRPr="006C4507">
              <w:t xml:space="preserve"> </w:t>
            </w:r>
            <w:r w:rsidRPr="006C4507">
              <w:t>non-financial</w:t>
            </w:r>
            <w:r w:rsidR="00A03629" w:rsidRPr="006C4507">
              <w:t xml:space="preserve"> </w:t>
            </w:r>
            <w:r w:rsidRPr="006C4507">
              <w:t>assets</w:t>
            </w:r>
          </w:p>
        </w:tc>
        <w:tc>
          <w:tcPr>
            <w:tcW w:w="1328" w:type="dxa"/>
          </w:tcPr>
          <w:p w14:paraId="43745711" w14:textId="77777777" w:rsidR="000756EB" w:rsidRPr="006C4507" w:rsidRDefault="004A4D88" w:rsidP="00F16EF6">
            <w:pPr>
              <w:pStyle w:val="TableCopy"/>
              <w:jc w:val="right"/>
            </w:pPr>
            <w:r w:rsidRPr="006C4507">
              <w:t>9.2</w:t>
            </w:r>
          </w:p>
        </w:tc>
        <w:tc>
          <w:tcPr>
            <w:tcW w:w="1630" w:type="dxa"/>
          </w:tcPr>
          <w:p w14:paraId="613D0582" w14:textId="77777777" w:rsidR="000756EB" w:rsidRPr="006C4507" w:rsidRDefault="004A4D88" w:rsidP="00F16EF6">
            <w:pPr>
              <w:pStyle w:val="TableCopy"/>
              <w:jc w:val="right"/>
            </w:pPr>
            <w:r w:rsidRPr="006C4507">
              <w:t>(146)</w:t>
            </w:r>
          </w:p>
        </w:tc>
        <w:tc>
          <w:tcPr>
            <w:tcW w:w="1630" w:type="dxa"/>
          </w:tcPr>
          <w:p w14:paraId="7D09405D" w14:textId="45362897" w:rsidR="000756EB" w:rsidRPr="006C4507" w:rsidRDefault="004A4D88" w:rsidP="00F16EF6">
            <w:pPr>
              <w:pStyle w:val="TableCopy"/>
              <w:jc w:val="right"/>
            </w:pPr>
            <w:r w:rsidRPr="006C4507">
              <w:t>1,382</w:t>
            </w:r>
          </w:p>
        </w:tc>
      </w:tr>
      <w:tr w:rsidR="000756EB" w:rsidRPr="006C4507" w14:paraId="6B8EDD7D" w14:textId="77777777" w:rsidTr="005C22C3">
        <w:trPr>
          <w:cantSplit/>
        </w:trPr>
        <w:tc>
          <w:tcPr>
            <w:tcW w:w="5665" w:type="dxa"/>
          </w:tcPr>
          <w:p w14:paraId="31582CEC" w14:textId="460DDC87" w:rsidR="000756EB" w:rsidRPr="006C4507" w:rsidRDefault="004A4D88" w:rsidP="006C4507">
            <w:pPr>
              <w:pStyle w:val="TableCopy"/>
            </w:pPr>
            <w:r w:rsidRPr="006C4507">
              <w:t>Net</w:t>
            </w:r>
            <w:r w:rsidR="00A03629" w:rsidRPr="006C4507">
              <w:t xml:space="preserve"> </w:t>
            </w:r>
            <w:r w:rsidRPr="006C4507">
              <w:t>loss</w:t>
            </w:r>
            <w:r w:rsidR="00A03629" w:rsidRPr="006C4507">
              <w:t xml:space="preserve"> </w:t>
            </w:r>
            <w:r w:rsidRPr="006C4507">
              <w:t>on</w:t>
            </w:r>
            <w:r w:rsidR="00A03629" w:rsidRPr="006C4507">
              <w:t xml:space="preserve"> </w:t>
            </w:r>
            <w:r w:rsidRPr="006C4507">
              <w:t>financial</w:t>
            </w:r>
            <w:r w:rsidR="00A03629" w:rsidRPr="006C4507">
              <w:t xml:space="preserve"> </w:t>
            </w:r>
            <w:r w:rsidRPr="006C4507">
              <w:t>instruments</w:t>
            </w:r>
          </w:p>
        </w:tc>
        <w:tc>
          <w:tcPr>
            <w:tcW w:w="1328" w:type="dxa"/>
          </w:tcPr>
          <w:p w14:paraId="1EC018FA" w14:textId="77777777" w:rsidR="000756EB" w:rsidRPr="006C4507" w:rsidRDefault="004A4D88" w:rsidP="00F16EF6">
            <w:pPr>
              <w:pStyle w:val="TableCopy"/>
              <w:jc w:val="right"/>
            </w:pPr>
            <w:r w:rsidRPr="006C4507">
              <w:t>9.2</w:t>
            </w:r>
          </w:p>
        </w:tc>
        <w:tc>
          <w:tcPr>
            <w:tcW w:w="1630" w:type="dxa"/>
          </w:tcPr>
          <w:p w14:paraId="4A8AEDFC" w14:textId="77777777" w:rsidR="000756EB" w:rsidRPr="006C4507" w:rsidRDefault="004A4D88" w:rsidP="00F16EF6">
            <w:pPr>
              <w:pStyle w:val="TableCopy"/>
              <w:jc w:val="right"/>
            </w:pPr>
            <w:r w:rsidRPr="006C4507">
              <w:t>(815)</w:t>
            </w:r>
          </w:p>
        </w:tc>
        <w:tc>
          <w:tcPr>
            <w:tcW w:w="1630" w:type="dxa"/>
          </w:tcPr>
          <w:p w14:paraId="4ED8BB1B" w14:textId="77777777" w:rsidR="000756EB" w:rsidRPr="006C4507" w:rsidRDefault="004A4D88" w:rsidP="00F16EF6">
            <w:pPr>
              <w:pStyle w:val="TableCopy"/>
              <w:jc w:val="right"/>
            </w:pPr>
            <w:r w:rsidRPr="006C4507">
              <w:t>(27,537)</w:t>
            </w:r>
          </w:p>
        </w:tc>
      </w:tr>
      <w:tr w:rsidR="000756EB" w:rsidRPr="006C4507" w14:paraId="62BD5162" w14:textId="77777777" w:rsidTr="005C22C3">
        <w:trPr>
          <w:cantSplit/>
        </w:trPr>
        <w:tc>
          <w:tcPr>
            <w:tcW w:w="5665" w:type="dxa"/>
          </w:tcPr>
          <w:p w14:paraId="62D3E6B7" w14:textId="23FE3BE4" w:rsidR="000756EB" w:rsidRPr="006C4507" w:rsidRDefault="004A4D88" w:rsidP="006C4507">
            <w:pPr>
              <w:pStyle w:val="TableCopy"/>
            </w:pPr>
            <w:r w:rsidRPr="006C4507">
              <w:t>Other</w:t>
            </w:r>
            <w:r w:rsidR="00A03629" w:rsidRPr="006C4507">
              <w:t xml:space="preserve"> </w:t>
            </w:r>
            <w:r w:rsidRPr="006C4507">
              <w:t>gain</w:t>
            </w:r>
            <w:r w:rsidR="00A03629" w:rsidRPr="006C4507">
              <w:t xml:space="preserve"> </w:t>
            </w:r>
            <w:r w:rsidRPr="006C4507">
              <w:t>from</w:t>
            </w:r>
            <w:r w:rsidR="00A03629" w:rsidRPr="006C4507">
              <w:t xml:space="preserve"> </w:t>
            </w:r>
            <w:r w:rsidRPr="006C4507">
              <w:t>other</w:t>
            </w:r>
            <w:r w:rsidR="00A03629" w:rsidRPr="006C4507">
              <w:t xml:space="preserve"> </w:t>
            </w:r>
            <w:r w:rsidRPr="006C4507">
              <w:t>economic</w:t>
            </w:r>
            <w:r w:rsidR="00A03629" w:rsidRPr="006C4507">
              <w:t xml:space="preserve"> </w:t>
            </w:r>
            <w:r w:rsidRPr="006C4507">
              <w:t>flows</w:t>
            </w:r>
          </w:p>
        </w:tc>
        <w:tc>
          <w:tcPr>
            <w:tcW w:w="1328" w:type="dxa"/>
          </w:tcPr>
          <w:p w14:paraId="7646E04E" w14:textId="77777777" w:rsidR="000756EB" w:rsidRPr="006C4507" w:rsidRDefault="004A4D88" w:rsidP="00F16EF6">
            <w:pPr>
              <w:pStyle w:val="TableCopy"/>
              <w:jc w:val="right"/>
            </w:pPr>
            <w:r w:rsidRPr="006C4507">
              <w:t>9.2</w:t>
            </w:r>
          </w:p>
        </w:tc>
        <w:tc>
          <w:tcPr>
            <w:tcW w:w="1630" w:type="dxa"/>
          </w:tcPr>
          <w:p w14:paraId="18180AC6" w14:textId="49C006E4" w:rsidR="000756EB" w:rsidRPr="006C4507" w:rsidRDefault="004A4D88" w:rsidP="00F16EF6">
            <w:pPr>
              <w:pStyle w:val="TableCopy"/>
              <w:jc w:val="right"/>
            </w:pPr>
            <w:r w:rsidRPr="006C4507">
              <w:t>441</w:t>
            </w:r>
          </w:p>
        </w:tc>
        <w:tc>
          <w:tcPr>
            <w:tcW w:w="1630" w:type="dxa"/>
          </w:tcPr>
          <w:p w14:paraId="6D61F9E9" w14:textId="66D53117" w:rsidR="000756EB" w:rsidRPr="006C4507" w:rsidRDefault="004A4D88" w:rsidP="00F16EF6">
            <w:pPr>
              <w:pStyle w:val="TableCopy"/>
              <w:jc w:val="right"/>
            </w:pPr>
            <w:r w:rsidRPr="006C4507">
              <w:t>8,966</w:t>
            </w:r>
          </w:p>
        </w:tc>
      </w:tr>
      <w:tr w:rsidR="000756EB" w:rsidRPr="00881D6C" w14:paraId="0FB84AB3" w14:textId="77777777" w:rsidTr="005C22C3">
        <w:trPr>
          <w:cantSplit/>
        </w:trPr>
        <w:tc>
          <w:tcPr>
            <w:tcW w:w="5665" w:type="dxa"/>
          </w:tcPr>
          <w:p w14:paraId="13E8129E" w14:textId="239978CB" w:rsidR="000756EB" w:rsidRPr="00881D6C" w:rsidRDefault="004A4D88" w:rsidP="006C4507">
            <w:pPr>
              <w:pStyle w:val="TableCopy"/>
              <w:rPr>
                <w:b/>
                <w:bCs/>
              </w:rPr>
            </w:pPr>
            <w:r w:rsidRPr="00881D6C">
              <w:rPr>
                <w:b/>
                <w:bCs/>
              </w:rPr>
              <w:t>Total</w:t>
            </w:r>
            <w:r w:rsidR="00A03629" w:rsidRPr="00881D6C">
              <w:rPr>
                <w:b/>
                <w:bCs/>
              </w:rPr>
              <w:t xml:space="preserve"> </w:t>
            </w:r>
            <w:r w:rsidRPr="00881D6C">
              <w:rPr>
                <w:b/>
                <w:bCs/>
              </w:rPr>
              <w:t>other</w:t>
            </w:r>
            <w:r w:rsidR="00A03629" w:rsidRPr="00881D6C">
              <w:rPr>
                <w:b/>
                <w:bCs/>
              </w:rPr>
              <w:t xml:space="preserve"> </w:t>
            </w:r>
            <w:r w:rsidRPr="00881D6C">
              <w:rPr>
                <w:b/>
                <w:bCs/>
              </w:rPr>
              <w:t>economic</w:t>
            </w:r>
            <w:r w:rsidR="00A03629" w:rsidRPr="00881D6C">
              <w:rPr>
                <w:b/>
                <w:bCs/>
              </w:rPr>
              <w:t xml:space="preserve"> </w:t>
            </w:r>
            <w:r w:rsidRPr="00881D6C">
              <w:rPr>
                <w:b/>
                <w:bCs/>
              </w:rPr>
              <w:t>flows</w:t>
            </w:r>
            <w:r w:rsidR="00A03629" w:rsidRPr="00881D6C">
              <w:rPr>
                <w:b/>
                <w:bCs/>
              </w:rPr>
              <w:t xml:space="preserve"> </w:t>
            </w:r>
            <w:r w:rsidRPr="00881D6C">
              <w:rPr>
                <w:b/>
                <w:bCs/>
              </w:rPr>
              <w:t>included</w:t>
            </w:r>
            <w:r w:rsidR="00A03629" w:rsidRPr="00881D6C">
              <w:rPr>
                <w:b/>
                <w:bCs/>
              </w:rPr>
              <w:t xml:space="preserve"> </w:t>
            </w:r>
            <w:r w:rsidRPr="00881D6C">
              <w:rPr>
                <w:b/>
                <w:bCs/>
              </w:rPr>
              <w:t>in</w:t>
            </w:r>
            <w:r w:rsidR="00A03629" w:rsidRPr="00881D6C">
              <w:rPr>
                <w:b/>
                <w:bCs/>
              </w:rPr>
              <w:t xml:space="preserve"> </w:t>
            </w:r>
            <w:r w:rsidRPr="00881D6C">
              <w:rPr>
                <w:b/>
                <w:bCs/>
              </w:rPr>
              <w:t>net</w:t>
            </w:r>
            <w:r w:rsidR="00A03629" w:rsidRPr="00881D6C">
              <w:rPr>
                <w:b/>
                <w:bCs/>
              </w:rPr>
              <w:t xml:space="preserve"> </w:t>
            </w:r>
            <w:r w:rsidRPr="00881D6C">
              <w:rPr>
                <w:b/>
                <w:bCs/>
              </w:rPr>
              <w:t>result</w:t>
            </w:r>
          </w:p>
        </w:tc>
        <w:tc>
          <w:tcPr>
            <w:tcW w:w="1328" w:type="dxa"/>
          </w:tcPr>
          <w:p w14:paraId="491EEE19" w14:textId="77777777" w:rsidR="000756EB" w:rsidRPr="00881D6C" w:rsidRDefault="000756EB" w:rsidP="00F16EF6">
            <w:pPr>
              <w:pStyle w:val="TableCopy"/>
              <w:jc w:val="right"/>
              <w:rPr>
                <w:b/>
                <w:bCs/>
              </w:rPr>
            </w:pPr>
          </w:p>
        </w:tc>
        <w:tc>
          <w:tcPr>
            <w:tcW w:w="1630" w:type="dxa"/>
          </w:tcPr>
          <w:p w14:paraId="42A0FF7C" w14:textId="77777777" w:rsidR="000756EB" w:rsidRPr="00881D6C" w:rsidRDefault="004A4D88" w:rsidP="00F16EF6">
            <w:pPr>
              <w:pStyle w:val="TableCopy"/>
              <w:jc w:val="right"/>
              <w:rPr>
                <w:b/>
                <w:bCs/>
              </w:rPr>
            </w:pPr>
            <w:r w:rsidRPr="00881D6C">
              <w:rPr>
                <w:b/>
                <w:bCs/>
              </w:rPr>
              <w:t>(520)</w:t>
            </w:r>
          </w:p>
        </w:tc>
        <w:tc>
          <w:tcPr>
            <w:tcW w:w="1630" w:type="dxa"/>
          </w:tcPr>
          <w:p w14:paraId="3576200C" w14:textId="77777777" w:rsidR="000756EB" w:rsidRPr="00881D6C" w:rsidRDefault="004A4D88" w:rsidP="00F16EF6">
            <w:pPr>
              <w:pStyle w:val="TableCopy"/>
              <w:jc w:val="right"/>
              <w:rPr>
                <w:b/>
                <w:bCs/>
              </w:rPr>
            </w:pPr>
            <w:r w:rsidRPr="00881D6C">
              <w:rPr>
                <w:b/>
                <w:bCs/>
              </w:rPr>
              <w:t>(17,189)</w:t>
            </w:r>
          </w:p>
        </w:tc>
      </w:tr>
      <w:tr w:rsidR="000756EB" w:rsidRPr="00881D6C" w14:paraId="0D2B5B20" w14:textId="77777777" w:rsidTr="005C22C3">
        <w:trPr>
          <w:cantSplit/>
        </w:trPr>
        <w:tc>
          <w:tcPr>
            <w:tcW w:w="5665" w:type="dxa"/>
          </w:tcPr>
          <w:p w14:paraId="63375C7E" w14:textId="44952814" w:rsidR="000756EB" w:rsidRPr="00881D6C" w:rsidRDefault="004A4D88" w:rsidP="006C4507">
            <w:pPr>
              <w:pStyle w:val="TableCopy"/>
              <w:rPr>
                <w:b/>
                <w:bCs/>
              </w:rPr>
            </w:pPr>
            <w:r w:rsidRPr="00881D6C">
              <w:rPr>
                <w:b/>
                <w:bCs/>
              </w:rPr>
              <w:t>Net</w:t>
            </w:r>
            <w:r w:rsidR="00A03629" w:rsidRPr="00881D6C">
              <w:rPr>
                <w:b/>
                <w:bCs/>
              </w:rPr>
              <w:t xml:space="preserve"> </w:t>
            </w:r>
            <w:r w:rsidRPr="00881D6C">
              <w:rPr>
                <w:b/>
                <w:bCs/>
              </w:rPr>
              <w:t>result</w:t>
            </w:r>
            <w:r w:rsidR="00A03629" w:rsidRPr="00881D6C">
              <w:rPr>
                <w:b/>
                <w:bCs/>
              </w:rPr>
              <w:t xml:space="preserve"> </w:t>
            </w:r>
            <w:r w:rsidRPr="00881D6C">
              <w:rPr>
                <w:b/>
                <w:bCs/>
              </w:rPr>
              <w:t>from</w:t>
            </w:r>
            <w:r w:rsidR="00A03629" w:rsidRPr="00881D6C">
              <w:rPr>
                <w:b/>
                <w:bCs/>
              </w:rPr>
              <w:t xml:space="preserve"> </w:t>
            </w:r>
            <w:r w:rsidRPr="00881D6C">
              <w:rPr>
                <w:b/>
                <w:bCs/>
              </w:rPr>
              <w:t>continuing</w:t>
            </w:r>
            <w:r w:rsidR="00A03629" w:rsidRPr="00881D6C">
              <w:rPr>
                <w:b/>
                <w:bCs/>
              </w:rPr>
              <w:t xml:space="preserve"> </w:t>
            </w:r>
            <w:r w:rsidRPr="00881D6C">
              <w:rPr>
                <w:b/>
                <w:bCs/>
              </w:rPr>
              <w:t>operations</w:t>
            </w:r>
          </w:p>
        </w:tc>
        <w:tc>
          <w:tcPr>
            <w:tcW w:w="1328" w:type="dxa"/>
          </w:tcPr>
          <w:p w14:paraId="5DE433F9" w14:textId="77777777" w:rsidR="000756EB" w:rsidRPr="00881D6C" w:rsidRDefault="000756EB" w:rsidP="00F16EF6">
            <w:pPr>
              <w:pStyle w:val="TableCopy"/>
              <w:jc w:val="right"/>
              <w:rPr>
                <w:b/>
                <w:bCs/>
              </w:rPr>
            </w:pPr>
          </w:p>
        </w:tc>
        <w:tc>
          <w:tcPr>
            <w:tcW w:w="1630" w:type="dxa"/>
          </w:tcPr>
          <w:p w14:paraId="16AACE5F" w14:textId="1BC93E83" w:rsidR="000756EB" w:rsidRPr="00881D6C" w:rsidRDefault="004A4D88" w:rsidP="00F16EF6">
            <w:pPr>
              <w:pStyle w:val="TableCopy"/>
              <w:jc w:val="right"/>
              <w:rPr>
                <w:b/>
                <w:bCs/>
              </w:rPr>
            </w:pPr>
            <w:r w:rsidRPr="00881D6C">
              <w:rPr>
                <w:b/>
                <w:bCs/>
              </w:rPr>
              <w:t>132,587</w:t>
            </w:r>
          </w:p>
        </w:tc>
        <w:tc>
          <w:tcPr>
            <w:tcW w:w="1630" w:type="dxa"/>
          </w:tcPr>
          <w:p w14:paraId="31BBD01B" w14:textId="126FE46F" w:rsidR="000756EB" w:rsidRPr="00881D6C" w:rsidRDefault="004A4D88" w:rsidP="00F16EF6">
            <w:pPr>
              <w:pStyle w:val="TableCopy"/>
              <w:jc w:val="right"/>
              <w:rPr>
                <w:b/>
                <w:bCs/>
              </w:rPr>
            </w:pPr>
            <w:r w:rsidRPr="00881D6C">
              <w:rPr>
                <w:b/>
                <w:bCs/>
              </w:rPr>
              <w:t>105,025</w:t>
            </w:r>
          </w:p>
        </w:tc>
      </w:tr>
      <w:tr w:rsidR="000756EB" w:rsidRPr="006C4507" w14:paraId="4547A3B6" w14:textId="77777777" w:rsidTr="005C22C3">
        <w:trPr>
          <w:cantSplit/>
        </w:trPr>
        <w:tc>
          <w:tcPr>
            <w:tcW w:w="5665" w:type="dxa"/>
          </w:tcPr>
          <w:p w14:paraId="7934AEC7" w14:textId="44B1A088" w:rsidR="000756EB" w:rsidRPr="006C4507" w:rsidRDefault="004A4D88" w:rsidP="001C07E9">
            <w:pPr>
              <w:pStyle w:val="TableHeading"/>
            </w:pPr>
            <w:r w:rsidRPr="006C4507">
              <w:lastRenderedPageBreak/>
              <w:t>Other</w:t>
            </w:r>
            <w:r w:rsidR="00A03629" w:rsidRPr="006C4507">
              <w:t xml:space="preserve"> </w:t>
            </w:r>
            <w:r w:rsidRPr="006C4507">
              <w:t>economic</w:t>
            </w:r>
            <w:r w:rsidR="00A03629" w:rsidRPr="006C4507">
              <w:t xml:space="preserve"> </w:t>
            </w:r>
            <w:r w:rsidRPr="006C4507">
              <w:t>flows</w:t>
            </w:r>
            <w:r w:rsidR="00A03629" w:rsidRPr="006C4507">
              <w:t xml:space="preserve"> </w:t>
            </w:r>
            <w:r w:rsidRPr="006C4507">
              <w:t>–</w:t>
            </w:r>
            <w:r w:rsidR="00A03629" w:rsidRPr="006C4507">
              <w:t xml:space="preserve"> </w:t>
            </w:r>
            <w:r w:rsidRPr="006C4507">
              <w:t>other</w:t>
            </w:r>
            <w:r w:rsidR="00A03629" w:rsidRPr="006C4507">
              <w:t xml:space="preserve"> </w:t>
            </w:r>
            <w:r w:rsidRPr="006C4507">
              <w:t>comprehensive</w:t>
            </w:r>
            <w:r w:rsidR="00A03629" w:rsidRPr="006C4507">
              <w:t xml:space="preserve"> </w:t>
            </w:r>
            <w:r w:rsidRPr="006C4507">
              <w:t>income:</w:t>
            </w:r>
            <w:r w:rsidR="00A03629" w:rsidRPr="006C4507">
              <w:t xml:space="preserve"> </w:t>
            </w:r>
            <w:r w:rsidRPr="006C4507">
              <w:t>Items</w:t>
            </w:r>
            <w:r w:rsidR="00A03629" w:rsidRPr="006C4507">
              <w:t xml:space="preserve"> </w:t>
            </w:r>
            <w:r w:rsidRPr="006C4507">
              <w:t>that</w:t>
            </w:r>
            <w:r w:rsidR="00A03629" w:rsidRPr="006C4507">
              <w:t xml:space="preserve"> </w:t>
            </w:r>
            <w:r w:rsidRPr="006C4507">
              <w:t>will</w:t>
            </w:r>
            <w:r w:rsidR="00A03629" w:rsidRPr="006C4507">
              <w:t xml:space="preserve"> </w:t>
            </w:r>
            <w:r w:rsidRPr="006C4507">
              <w:t>not</w:t>
            </w:r>
            <w:r w:rsidR="00A03629" w:rsidRPr="006C4507">
              <w:t xml:space="preserve"> </w:t>
            </w:r>
            <w:r w:rsidRPr="006C4507">
              <w:t>be</w:t>
            </w:r>
            <w:r w:rsidR="00A03629" w:rsidRPr="006C4507">
              <w:t xml:space="preserve"> </w:t>
            </w:r>
            <w:r w:rsidRPr="006C4507">
              <w:t>reclassified</w:t>
            </w:r>
            <w:r w:rsidR="00A03629" w:rsidRPr="006C4507">
              <w:t xml:space="preserve"> </w:t>
            </w:r>
            <w:r w:rsidRPr="006C4507">
              <w:t>to</w:t>
            </w:r>
            <w:r w:rsidR="00A03629" w:rsidRPr="006C4507">
              <w:t xml:space="preserve"> </w:t>
            </w:r>
            <w:r w:rsidRPr="006C4507">
              <w:t>net</w:t>
            </w:r>
            <w:r w:rsidR="00A03629" w:rsidRPr="006C4507">
              <w:t xml:space="preserve"> </w:t>
            </w:r>
            <w:r w:rsidRPr="006C4507">
              <w:t>result</w:t>
            </w:r>
          </w:p>
        </w:tc>
        <w:tc>
          <w:tcPr>
            <w:tcW w:w="1328" w:type="dxa"/>
          </w:tcPr>
          <w:p w14:paraId="7521EF51" w14:textId="77777777" w:rsidR="000756EB" w:rsidRPr="006C4507" w:rsidRDefault="000756EB" w:rsidP="00F16EF6">
            <w:pPr>
              <w:pStyle w:val="TableCopy"/>
              <w:jc w:val="right"/>
            </w:pPr>
          </w:p>
        </w:tc>
        <w:tc>
          <w:tcPr>
            <w:tcW w:w="1630" w:type="dxa"/>
          </w:tcPr>
          <w:p w14:paraId="31E6ED57" w14:textId="77777777" w:rsidR="000756EB" w:rsidRPr="006C4507" w:rsidRDefault="000756EB" w:rsidP="00F16EF6">
            <w:pPr>
              <w:pStyle w:val="TableCopy"/>
              <w:jc w:val="right"/>
            </w:pPr>
          </w:p>
        </w:tc>
        <w:tc>
          <w:tcPr>
            <w:tcW w:w="1630" w:type="dxa"/>
          </w:tcPr>
          <w:p w14:paraId="032BE047" w14:textId="77777777" w:rsidR="000756EB" w:rsidRPr="006C4507" w:rsidRDefault="000756EB" w:rsidP="00F16EF6">
            <w:pPr>
              <w:pStyle w:val="TableCopy"/>
              <w:jc w:val="right"/>
            </w:pPr>
          </w:p>
        </w:tc>
      </w:tr>
      <w:tr w:rsidR="000756EB" w:rsidRPr="006C4507" w14:paraId="657F438D" w14:textId="77777777" w:rsidTr="005C22C3">
        <w:trPr>
          <w:cantSplit/>
        </w:trPr>
        <w:tc>
          <w:tcPr>
            <w:tcW w:w="5665" w:type="dxa"/>
          </w:tcPr>
          <w:p w14:paraId="6860657E" w14:textId="7447B4D1" w:rsidR="000756EB" w:rsidRPr="006C4507" w:rsidRDefault="004A4D88" w:rsidP="006C4507">
            <w:pPr>
              <w:pStyle w:val="TableCopy"/>
            </w:pPr>
            <w:r w:rsidRPr="006C4507">
              <w:t>Changes</w:t>
            </w:r>
            <w:r w:rsidR="00A03629" w:rsidRPr="006C4507">
              <w:t xml:space="preserve"> </w:t>
            </w:r>
            <w:r w:rsidRPr="006C4507">
              <w:t>in</w:t>
            </w:r>
            <w:r w:rsidR="00A03629" w:rsidRPr="006C4507">
              <w:t xml:space="preserve"> </w:t>
            </w:r>
            <w:r w:rsidRPr="006C4507">
              <w:t>physical</w:t>
            </w:r>
            <w:r w:rsidR="00A03629" w:rsidRPr="006C4507">
              <w:t xml:space="preserve"> </w:t>
            </w:r>
            <w:r w:rsidRPr="006C4507">
              <w:t>asset</w:t>
            </w:r>
            <w:r w:rsidR="00A03629" w:rsidRPr="006C4507">
              <w:t xml:space="preserve"> </w:t>
            </w:r>
            <w:r w:rsidRPr="006C4507">
              <w:t>revaluation</w:t>
            </w:r>
            <w:r w:rsidR="00A03629" w:rsidRPr="006C4507">
              <w:t xml:space="preserve"> </w:t>
            </w:r>
            <w:r w:rsidRPr="006C4507">
              <w:t>surplus</w:t>
            </w:r>
          </w:p>
        </w:tc>
        <w:tc>
          <w:tcPr>
            <w:tcW w:w="1328" w:type="dxa"/>
          </w:tcPr>
          <w:p w14:paraId="55228497" w14:textId="77777777" w:rsidR="000756EB" w:rsidRPr="006C4507" w:rsidRDefault="000756EB" w:rsidP="00F16EF6">
            <w:pPr>
              <w:pStyle w:val="TableCopy"/>
              <w:jc w:val="right"/>
            </w:pPr>
          </w:p>
        </w:tc>
        <w:tc>
          <w:tcPr>
            <w:tcW w:w="1630" w:type="dxa"/>
          </w:tcPr>
          <w:p w14:paraId="28456B53" w14:textId="699B3CAE" w:rsidR="000756EB" w:rsidRPr="006C4507" w:rsidRDefault="004A4D88" w:rsidP="00F16EF6">
            <w:pPr>
              <w:pStyle w:val="TableCopy"/>
              <w:jc w:val="right"/>
            </w:pPr>
            <w:r w:rsidRPr="006C4507">
              <w:t>1,054</w:t>
            </w:r>
          </w:p>
        </w:tc>
        <w:tc>
          <w:tcPr>
            <w:tcW w:w="1630" w:type="dxa"/>
          </w:tcPr>
          <w:p w14:paraId="0A331A29" w14:textId="0CC7F448" w:rsidR="000756EB" w:rsidRPr="006C4507" w:rsidRDefault="004A4D88" w:rsidP="00F16EF6">
            <w:pPr>
              <w:pStyle w:val="TableCopy"/>
              <w:jc w:val="right"/>
            </w:pPr>
            <w:r w:rsidRPr="006C4507">
              <w:t>–</w:t>
            </w:r>
          </w:p>
        </w:tc>
      </w:tr>
      <w:tr w:rsidR="000756EB" w:rsidRPr="001C07E9" w14:paraId="3E09CA78" w14:textId="77777777" w:rsidTr="005C22C3">
        <w:trPr>
          <w:cantSplit/>
        </w:trPr>
        <w:tc>
          <w:tcPr>
            <w:tcW w:w="5665" w:type="dxa"/>
          </w:tcPr>
          <w:p w14:paraId="5E4F5BF3" w14:textId="7AFCBCD5" w:rsidR="000756EB" w:rsidRPr="001C07E9" w:rsidRDefault="004A4D88" w:rsidP="006C4507">
            <w:pPr>
              <w:pStyle w:val="TableCopy"/>
              <w:rPr>
                <w:b/>
                <w:bCs/>
              </w:rPr>
            </w:pPr>
            <w:r w:rsidRPr="001C07E9">
              <w:rPr>
                <w:b/>
                <w:bCs/>
              </w:rPr>
              <w:t>Total</w:t>
            </w:r>
            <w:r w:rsidR="00A03629" w:rsidRPr="001C07E9">
              <w:rPr>
                <w:b/>
                <w:bCs/>
              </w:rPr>
              <w:t xml:space="preserve"> </w:t>
            </w:r>
            <w:r w:rsidRPr="001C07E9">
              <w:rPr>
                <w:b/>
                <w:bCs/>
              </w:rPr>
              <w:t>other</w:t>
            </w:r>
            <w:r w:rsidR="00A03629" w:rsidRPr="001C07E9">
              <w:rPr>
                <w:b/>
                <w:bCs/>
              </w:rPr>
              <w:t xml:space="preserve"> </w:t>
            </w:r>
            <w:r w:rsidRPr="001C07E9">
              <w:rPr>
                <w:b/>
                <w:bCs/>
              </w:rPr>
              <w:t>economic</w:t>
            </w:r>
            <w:r w:rsidR="00A03629" w:rsidRPr="001C07E9">
              <w:rPr>
                <w:b/>
                <w:bCs/>
              </w:rPr>
              <w:t xml:space="preserve"> </w:t>
            </w:r>
            <w:r w:rsidRPr="001C07E9">
              <w:rPr>
                <w:b/>
                <w:bCs/>
              </w:rPr>
              <w:t>flow</w:t>
            </w:r>
            <w:r w:rsidR="00A03629" w:rsidRPr="001C07E9">
              <w:rPr>
                <w:b/>
                <w:bCs/>
              </w:rPr>
              <w:t xml:space="preserve"> </w:t>
            </w:r>
            <w:r w:rsidRPr="001C07E9">
              <w:rPr>
                <w:b/>
                <w:bCs/>
              </w:rPr>
              <w:t>–</w:t>
            </w:r>
            <w:r w:rsidR="00A03629" w:rsidRPr="001C07E9">
              <w:rPr>
                <w:b/>
                <w:bCs/>
              </w:rPr>
              <w:t xml:space="preserve"> </w:t>
            </w:r>
            <w:r w:rsidRPr="001C07E9">
              <w:rPr>
                <w:b/>
                <w:bCs/>
              </w:rPr>
              <w:t>other</w:t>
            </w:r>
            <w:r w:rsidR="00A03629" w:rsidRPr="001C07E9">
              <w:rPr>
                <w:b/>
                <w:bCs/>
              </w:rPr>
              <w:t xml:space="preserve"> </w:t>
            </w:r>
            <w:r w:rsidRPr="001C07E9">
              <w:rPr>
                <w:b/>
                <w:bCs/>
              </w:rPr>
              <w:t>comprehensive</w:t>
            </w:r>
            <w:r w:rsidR="00A03629" w:rsidRPr="001C07E9">
              <w:rPr>
                <w:b/>
                <w:bCs/>
              </w:rPr>
              <w:t xml:space="preserve"> </w:t>
            </w:r>
            <w:r w:rsidRPr="001C07E9">
              <w:rPr>
                <w:b/>
                <w:bCs/>
              </w:rPr>
              <w:t>income</w:t>
            </w:r>
          </w:p>
        </w:tc>
        <w:tc>
          <w:tcPr>
            <w:tcW w:w="1328" w:type="dxa"/>
          </w:tcPr>
          <w:p w14:paraId="2587706A" w14:textId="77777777" w:rsidR="000756EB" w:rsidRPr="001C07E9" w:rsidRDefault="000756EB" w:rsidP="00F16EF6">
            <w:pPr>
              <w:pStyle w:val="TableCopy"/>
              <w:jc w:val="right"/>
              <w:rPr>
                <w:b/>
                <w:bCs/>
              </w:rPr>
            </w:pPr>
          </w:p>
        </w:tc>
        <w:tc>
          <w:tcPr>
            <w:tcW w:w="1630" w:type="dxa"/>
          </w:tcPr>
          <w:p w14:paraId="57F06501" w14:textId="6DF327B3" w:rsidR="000756EB" w:rsidRPr="001C07E9" w:rsidRDefault="004A4D88" w:rsidP="00F16EF6">
            <w:pPr>
              <w:pStyle w:val="TableCopy"/>
              <w:jc w:val="right"/>
              <w:rPr>
                <w:b/>
                <w:bCs/>
              </w:rPr>
            </w:pPr>
            <w:r w:rsidRPr="001C07E9">
              <w:rPr>
                <w:b/>
                <w:bCs/>
              </w:rPr>
              <w:t>1,054</w:t>
            </w:r>
          </w:p>
        </w:tc>
        <w:tc>
          <w:tcPr>
            <w:tcW w:w="1630" w:type="dxa"/>
          </w:tcPr>
          <w:p w14:paraId="3C5FB0AE" w14:textId="4FB4104A" w:rsidR="000756EB" w:rsidRPr="001C07E9" w:rsidRDefault="004A4D88" w:rsidP="00F16EF6">
            <w:pPr>
              <w:pStyle w:val="TableCopy"/>
              <w:jc w:val="right"/>
              <w:rPr>
                <w:b/>
                <w:bCs/>
              </w:rPr>
            </w:pPr>
            <w:r w:rsidRPr="001C07E9">
              <w:rPr>
                <w:b/>
                <w:bCs/>
              </w:rPr>
              <w:t>–</w:t>
            </w:r>
          </w:p>
        </w:tc>
      </w:tr>
      <w:tr w:rsidR="000756EB" w:rsidRPr="001C07E9" w14:paraId="7398553D" w14:textId="77777777" w:rsidTr="005C22C3">
        <w:trPr>
          <w:cantSplit/>
        </w:trPr>
        <w:tc>
          <w:tcPr>
            <w:tcW w:w="5665" w:type="dxa"/>
          </w:tcPr>
          <w:p w14:paraId="18A92D78" w14:textId="395A3255" w:rsidR="000756EB" w:rsidRPr="001C07E9" w:rsidRDefault="004A4D88" w:rsidP="006C4507">
            <w:pPr>
              <w:pStyle w:val="TableCopy"/>
              <w:rPr>
                <w:b/>
                <w:bCs/>
              </w:rPr>
            </w:pPr>
            <w:r w:rsidRPr="001C07E9">
              <w:rPr>
                <w:b/>
                <w:bCs/>
              </w:rPr>
              <w:t>Comprehensive</w:t>
            </w:r>
            <w:r w:rsidR="00A03629" w:rsidRPr="001C07E9">
              <w:rPr>
                <w:b/>
                <w:bCs/>
              </w:rPr>
              <w:t xml:space="preserve"> </w:t>
            </w:r>
            <w:r w:rsidRPr="001C07E9">
              <w:rPr>
                <w:b/>
                <w:bCs/>
              </w:rPr>
              <w:t>result</w:t>
            </w:r>
          </w:p>
        </w:tc>
        <w:tc>
          <w:tcPr>
            <w:tcW w:w="1328" w:type="dxa"/>
          </w:tcPr>
          <w:p w14:paraId="2D422033" w14:textId="77777777" w:rsidR="000756EB" w:rsidRPr="001C07E9" w:rsidRDefault="000756EB" w:rsidP="00F16EF6">
            <w:pPr>
              <w:pStyle w:val="TableCopy"/>
              <w:jc w:val="right"/>
              <w:rPr>
                <w:b/>
                <w:bCs/>
              </w:rPr>
            </w:pPr>
          </w:p>
        </w:tc>
        <w:tc>
          <w:tcPr>
            <w:tcW w:w="1630" w:type="dxa"/>
          </w:tcPr>
          <w:p w14:paraId="5CDA0291" w14:textId="49E1B40F" w:rsidR="000756EB" w:rsidRPr="001C07E9" w:rsidRDefault="004A4D88" w:rsidP="00F16EF6">
            <w:pPr>
              <w:pStyle w:val="TableCopy"/>
              <w:jc w:val="right"/>
              <w:rPr>
                <w:b/>
                <w:bCs/>
              </w:rPr>
            </w:pPr>
            <w:r w:rsidRPr="001C07E9">
              <w:rPr>
                <w:b/>
                <w:bCs/>
              </w:rPr>
              <w:t>133,641</w:t>
            </w:r>
          </w:p>
        </w:tc>
        <w:tc>
          <w:tcPr>
            <w:tcW w:w="1630" w:type="dxa"/>
          </w:tcPr>
          <w:p w14:paraId="32A15DCD" w14:textId="72C580BB" w:rsidR="000756EB" w:rsidRPr="001C07E9" w:rsidRDefault="004A4D88" w:rsidP="00F16EF6">
            <w:pPr>
              <w:pStyle w:val="TableCopy"/>
              <w:jc w:val="right"/>
              <w:rPr>
                <w:b/>
                <w:bCs/>
              </w:rPr>
            </w:pPr>
            <w:r w:rsidRPr="001C07E9">
              <w:rPr>
                <w:b/>
                <w:bCs/>
              </w:rPr>
              <w:t>105,025</w:t>
            </w:r>
          </w:p>
        </w:tc>
      </w:tr>
    </w:tbl>
    <w:p w14:paraId="45B57C0B" w14:textId="77777777" w:rsidR="001C07E9" w:rsidRDefault="001C07E9" w:rsidP="00855022">
      <w:pPr>
        <w:pStyle w:val="FootnoteText"/>
        <w:spacing w:before="120"/>
      </w:pPr>
      <w:r>
        <w:t>The accompanying notes form part of these financial statements.</w:t>
      </w:r>
    </w:p>
    <w:p w14:paraId="33D65003" w14:textId="183A8ABE" w:rsidR="000756EB" w:rsidRDefault="001C07E9" w:rsidP="00AC723B">
      <w:pPr>
        <w:pStyle w:val="FootnoteText"/>
        <w:spacing w:after="280"/>
        <w:rPr>
          <w:rFonts w:ascii="VIC Light" w:hAnsi="VIC Light" w:cs="VIC Light"/>
        </w:rPr>
      </w:pPr>
      <w:r>
        <w:t>(</w:t>
      </w:r>
      <w:proofErr w:type="spellStart"/>
      <w:r>
        <w:t>i</w:t>
      </w:r>
      <w:proofErr w:type="spellEnd"/>
      <w:r>
        <w:t>)</w:t>
      </w:r>
      <w:r w:rsidR="00AC723B">
        <w:t xml:space="preserve"> </w:t>
      </w:r>
      <w:r>
        <w:t>This format is aligned to AASB 1049 Whole of Government and General Government Sector Financial Reporting.</w:t>
      </w:r>
    </w:p>
    <w:p w14:paraId="3FC862D9" w14:textId="74086B96" w:rsidR="000756EB" w:rsidRDefault="004A4D88" w:rsidP="00AC723B">
      <w:pPr>
        <w:pStyle w:val="Heading2"/>
      </w:pPr>
      <w:bookmarkStart w:id="2" w:name="_Toc149911788"/>
      <w:r>
        <w:t>Balance</w:t>
      </w:r>
      <w:r w:rsidR="00A03629">
        <w:t xml:space="preserve"> </w:t>
      </w:r>
      <w:r>
        <w:t>sheet</w:t>
      </w:r>
      <w:r w:rsidR="00AC723B">
        <w:t xml:space="preserve"> </w:t>
      </w:r>
      <w:r>
        <w:t>as</w:t>
      </w:r>
      <w:r w:rsidR="00A03629">
        <w:t xml:space="preserve"> </w:t>
      </w:r>
      <w:proofErr w:type="gramStart"/>
      <w:r>
        <w:t>at</w:t>
      </w:r>
      <w:proofErr w:type="gramEnd"/>
      <w:r w:rsidR="00A03629">
        <w:t xml:space="preserve"> </w:t>
      </w:r>
      <w:r>
        <w:t>30</w:t>
      </w:r>
      <w:r w:rsidR="00A03629">
        <w:t xml:space="preserve"> </w:t>
      </w:r>
      <w:r>
        <w:t>June</w:t>
      </w:r>
      <w:r w:rsidR="00A03629">
        <w:t xml:space="preserve"> </w:t>
      </w:r>
      <w:r>
        <w:t>2023</w:t>
      </w:r>
      <w:r>
        <w:rPr>
          <w:rFonts w:ascii="Times New Roman" w:hAnsi="Times New Roman"/>
        </w:rPr>
        <w:t> </w:t>
      </w:r>
      <w:r>
        <w:rPr>
          <w:vertAlign w:val="superscript"/>
        </w:rPr>
        <w:t>(</w:t>
      </w:r>
      <w:proofErr w:type="spellStart"/>
      <w:r>
        <w:rPr>
          <w:vertAlign w:val="superscript"/>
        </w:rPr>
        <w:t>i</w:t>
      </w:r>
      <w:proofErr w:type="spellEnd"/>
      <w:r>
        <w:rPr>
          <w:vertAlign w:val="superscript"/>
        </w:rPr>
        <w:t>)</w:t>
      </w:r>
      <w:bookmarkEnd w:id="2"/>
    </w:p>
    <w:tbl>
      <w:tblPr>
        <w:tblStyle w:val="TableGrid"/>
        <w:tblW w:w="10257" w:type="dxa"/>
        <w:tblLayout w:type="fixed"/>
        <w:tblLook w:val="0020" w:firstRow="1" w:lastRow="0" w:firstColumn="0" w:lastColumn="0" w:noHBand="0" w:noVBand="0"/>
      </w:tblPr>
      <w:tblGrid>
        <w:gridCol w:w="5665"/>
        <w:gridCol w:w="1328"/>
        <w:gridCol w:w="1632"/>
        <w:gridCol w:w="1632"/>
      </w:tblGrid>
      <w:tr w:rsidR="004D7585" w:rsidRPr="0075291A" w14:paraId="4F4F312F" w14:textId="77777777" w:rsidTr="005C22C3">
        <w:trPr>
          <w:cantSplit/>
          <w:tblHeader/>
        </w:trPr>
        <w:tc>
          <w:tcPr>
            <w:tcW w:w="5665" w:type="dxa"/>
          </w:tcPr>
          <w:p w14:paraId="02B1066E" w14:textId="77777777" w:rsidR="004D7585" w:rsidRPr="0075291A" w:rsidRDefault="004D7585" w:rsidP="00437170">
            <w:pPr>
              <w:pStyle w:val="TableColumnHeading"/>
            </w:pPr>
            <w:bookmarkStart w:id="3" w:name="ColumnTitles_2"/>
            <w:bookmarkEnd w:id="3"/>
          </w:p>
        </w:tc>
        <w:tc>
          <w:tcPr>
            <w:tcW w:w="1328" w:type="dxa"/>
          </w:tcPr>
          <w:p w14:paraId="5C505558" w14:textId="77777777" w:rsidR="004D7585" w:rsidRPr="0075291A" w:rsidRDefault="004D7585" w:rsidP="0091371D">
            <w:pPr>
              <w:pStyle w:val="TableColumnHeading"/>
              <w:jc w:val="right"/>
            </w:pPr>
            <w:r w:rsidRPr="0075291A">
              <w:t>Note</w:t>
            </w:r>
          </w:p>
        </w:tc>
        <w:tc>
          <w:tcPr>
            <w:tcW w:w="1632" w:type="dxa"/>
          </w:tcPr>
          <w:p w14:paraId="10E6F155" w14:textId="77777777" w:rsidR="004D7585" w:rsidRPr="0075291A" w:rsidRDefault="004D7585" w:rsidP="0091371D">
            <w:pPr>
              <w:pStyle w:val="TableColumnHeading"/>
              <w:jc w:val="right"/>
            </w:pPr>
            <w:r w:rsidRPr="0075291A">
              <w:t xml:space="preserve">2023 ($ thousand) </w:t>
            </w:r>
          </w:p>
        </w:tc>
        <w:tc>
          <w:tcPr>
            <w:tcW w:w="1632" w:type="dxa"/>
          </w:tcPr>
          <w:p w14:paraId="06C504A0" w14:textId="77777777" w:rsidR="004D7585" w:rsidRPr="0075291A" w:rsidRDefault="004D7585" w:rsidP="0091371D">
            <w:pPr>
              <w:pStyle w:val="TableColumnHeading"/>
              <w:jc w:val="right"/>
            </w:pPr>
            <w:r w:rsidRPr="0075291A">
              <w:t>2022 ($ thousand)</w:t>
            </w:r>
          </w:p>
        </w:tc>
      </w:tr>
      <w:tr w:rsidR="000756EB" w14:paraId="7BEF870B" w14:textId="77777777" w:rsidTr="005C22C3">
        <w:trPr>
          <w:trHeight w:val="60"/>
        </w:trPr>
        <w:tc>
          <w:tcPr>
            <w:tcW w:w="5665" w:type="dxa"/>
          </w:tcPr>
          <w:p w14:paraId="1E2FC9F1" w14:textId="77777777" w:rsidR="000756EB" w:rsidRDefault="004A4D88" w:rsidP="004D7585">
            <w:pPr>
              <w:pStyle w:val="TableHeading"/>
            </w:pPr>
            <w:r>
              <w:t>Assets</w:t>
            </w:r>
          </w:p>
        </w:tc>
        <w:tc>
          <w:tcPr>
            <w:tcW w:w="1328" w:type="dxa"/>
          </w:tcPr>
          <w:p w14:paraId="2A62E3D1" w14:textId="77777777" w:rsidR="000756EB" w:rsidRDefault="000756EB" w:rsidP="0091371D">
            <w:pPr>
              <w:pStyle w:val="NoParagraphStyle"/>
              <w:spacing w:line="240" w:lineRule="auto"/>
              <w:jc w:val="right"/>
              <w:textAlignment w:val="auto"/>
              <w:rPr>
                <w:rFonts w:ascii="VIC Light" w:hAnsi="VIC Light" w:cstheme="minorBidi"/>
                <w:color w:val="auto"/>
                <w:lang w:val="en-AU"/>
              </w:rPr>
            </w:pPr>
          </w:p>
        </w:tc>
        <w:tc>
          <w:tcPr>
            <w:tcW w:w="1632" w:type="dxa"/>
          </w:tcPr>
          <w:p w14:paraId="2ECA846C" w14:textId="77777777" w:rsidR="000756EB" w:rsidRDefault="000756EB" w:rsidP="0091371D">
            <w:pPr>
              <w:pStyle w:val="NoParagraphStyle"/>
              <w:spacing w:line="240" w:lineRule="auto"/>
              <w:jc w:val="right"/>
              <w:textAlignment w:val="auto"/>
              <w:rPr>
                <w:rFonts w:ascii="VIC Light" w:hAnsi="VIC Light" w:cstheme="minorBidi"/>
                <w:color w:val="auto"/>
                <w:lang w:val="en-AU"/>
              </w:rPr>
            </w:pPr>
          </w:p>
        </w:tc>
        <w:tc>
          <w:tcPr>
            <w:tcW w:w="1632" w:type="dxa"/>
          </w:tcPr>
          <w:p w14:paraId="2A46DF41" w14:textId="77777777" w:rsidR="000756EB" w:rsidRDefault="000756EB" w:rsidP="0091371D">
            <w:pPr>
              <w:pStyle w:val="NoParagraphStyle"/>
              <w:spacing w:line="240" w:lineRule="auto"/>
              <w:jc w:val="right"/>
              <w:textAlignment w:val="auto"/>
              <w:rPr>
                <w:rFonts w:ascii="VIC Light" w:hAnsi="VIC Light" w:cstheme="minorBidi"/>
                <w:color w:val="auto"/>
                <w:lang w:val="en-AU"/>
              </w:rPr>
            </w:pPr>
          </w:p>
        </w:tc>
      </w:tr>
      <w:tr w:rsidR="000756EB" w14:paraId="424F8192" w14:textId="77777777" w:rsidTr="005C22C3">
        <w:trPr>
          <w:trHeight w:val="60"/>
        </w:trPr>
        <w:tc>
          <w:tcPr>
            <w:tcW w:w="5665" w:type="dxa"/>
          </w:tcPr>
          <w:p w14:paraId="2F1CA74F" w14:textId="5958A263" w:rsidR="000756EB" w:rsidRDefault="004A4D88" w:rsidP="004D7585">
            <w:pPr>
              <w:pStyle w:val="TableHeading"/>
            </w:pPr>
            <w:r>
              <w:t>Financial</w:t>
            </w:r>
            <w:r w:rsidR="00A03629">
              <w:t xml:space="preserve"> </w:t>
            </w:r>
            <w:r>
              <w:t>assets</w:t>
            </w:r>
          </w:p>
        </w:tc>
        <w:tc>
          <w:tcPr>
            <w:tcW w:w="1328" w:type="dxa"/>
          </w:tcPr>
          <w:p w14:paraId="794B5458" w14:textId="77777777" w:rsidR="000756EB" w:rsidRDefault="000756EB" w:rsidP="0091371D">
            <w:pPr>
              <w:pStyle w:val="NoParagraphStyle"/>
              <w:spacing w:line="240" w:lineRule="auto"/>
              <w:jc w:val="right"/>
              <w:textAlignment w:val="auto"/>
              <w:rPr>
                <w:rFonts w:ascii="VIC Light" w:hAnsi="VIC Light" w:cstheme="minorBidi"/>
                <w:color w:val="auto"/>
                <w:lang w:val="en-AU"/>
              </w:rPr>
            </w:pPr>
          </w:p>
        </w:tc>
        <w:tc>
          <w:tcPr>
            <w:tcW w:w="1632" w:type="dxa"/>
          </w:tcPr>
          <w:p w14:paraId="59EF9B38" w14:textId="77777777" w:rsidR="000756EB" w:rsidRDefault="000756EB" w:rsidP="0091371D">
            <w:pPr>
              <w:pStyle w:val="NoParagraphStyle"/>
              <w:spacing w:line="240" w:lineRule="auto"/>
              <w:jc w:val="right"/>
              <w:textAlignment w:val="auto"/>
              <w:rPr>
                <w:rFonts w:ascii="VIC Light" w:hAnsi="VIC Light" w:cstheme="minorBidi"/>
                <w:color w:val="auto"/>
                <w:lang w:val="en-AU"/>
              </w:rPr>
            </w:pPr>
          </w:p>
        </w:tc>
        <w:tc>
          <w:tcPr>
            <w:tcW w:w="1632" w:type="dxa"/>
          </w:tcPr>
          <w:p w14:paraId="582298DF" w14:textId="77777777" w:rsidR="000756EB" w:rsidRDefault="000756EB" w:rsidP="0091371D">
            <w:pPr>
              <w:pStyle w:val="NoParagraphStyle"/>
              <w:spacing w:line="240" w:lineRule="auto"/>
              <w:jc w:val="right"/>
              <w:textAlignment w:val="auto"/>
              <w:rPr>
                <w:rFonts w:ascii="VIC Light" w:hAnsi="VIC Light" w:cstheme="minorBidi"/>
                <w:color w:val="auto"/>
                <w:lang w:val="en-AU"/>
              </w:rPr>
            </w:pPr>
          </w:p>
        </w:tc>
      </w:tr>
      <w:tr w:rsidR="000756EB" w:rsidRPr="004D7585" w14:paraId="27F919EF" w14:textId="77777777" w:rsidTr="005C22C3">
        <w:trPr>
          <w:trHeight w:val="60"/>
        </w:trPr>
        <w:tc>
          <w:tcPr>
            <w:tcW w:w="5665" w:type="dxa"/>
          </w:tcPr>
          <w:p w14:paraId="7F2AA0B7" w14:textId="33722A2D" w:rsidR="000756EB" w:rsidRPr="004D7585" w:rsidRDefault="004A4D88" w:rsidP="004D7585">
            <w:pPr>
              <w:pStyle w:val="TableCopy"/>
            </w:pPr>
            <w:r w:rsidRPr="004D7585">
              <w:t>Cash</w:t>
            </w:r>
            <w:r w:rsidR="00A03629" w:rsidRPr="004D7585">
              <w:t xml:space="preserve"> </w:t>
            </w:r>
            <w:r w:rsidRPr="004D7585">
              <w:t>and</w:t>
            </w:r>
            <w:r w:rsidR="00A03629" w:rsidRPr="004D7585">
              <w:t xml:space="preserve"> </w:t>
            </w:r>
            <w:r w:rsidRPr="004D7585">
              <w:t>cash</w:t>
            </w:r>
            <w:r w:rsidR="00A03629" w:rsidRPr="004D7585">
              <w:t xml:space="preserve"> </w:t>
            </w:r>
            <w:r w:rsidRPr="004D7585">
              <w:t>equivalents</w:t>
            </w:r>
          </w:p>
        </w:tc>
        <w:tc>
          <w:tcPr>
            <w:tcW w:w="1328" w:type="dxa"/>
          </w:tcPr>
          <w:p w14:paraId="21649527" w14:textId="77777777" w:rsidR="000756EB" w:rsidRPr="004D7585" w:rsidRDefault="004A4D88" w:rsidP="0091371D">
            <w:pPr>
              <w:pStyle w:val="TableCopy"/>
              <w:jc w:val="right"/>
            </w:pPr>
            <w:r w:rsidRPr="004D7585">
              <w:t>7.3.1</w:t>
            </w:r>
          </w:p>
        </w:tc>
        <w:tc>
          <w:tcPr>
            <w:tcW w:w="1632" w:type="dxa"/>
          </w:tcPr>
          <w:p w14:paraId="2ABAB8A2" w14:textId="1DE88B9C" w:rsidR="000756EB" w:rsidRPr="004D7585" w:rsidRDefault="004A4D88" w:rsidP="0091371D">
            <w:pPr>
              <w:pStyle w:val="TableCopy"/>
              <w:jc w:val="right"/>
            </w:pPr>
            <w:r w:rsidRPr="004D7585">
              <w:t>322,133</w:t>
            </w:r>
          </w:p>
        </w:tc>
        <w:tc>
          <w:tcPr>
            <w:tcW w:w="1632" w:type="dxa"/>
          </w:tcPr>
          <w:p w14:paraId="5849F2EC" w14:textId="7D4094F1" w:rsidR="000756EB" w:rsidRPr="004D7585" w:rsidRDefault="004A4D88" w:rsidP="0091371D">
            <w:pPr>
              <w:pStyle w:val="TableCopy"/>
              <w:jc w:val="right"/>
            </w:pPr>
            <w:r w:rsidRPr="004D7585">
              <w:t>416,760</w:t>
            </w:r>
          </w:p>
        </w:tc>
      </w:tr>
      <w:tr w:rsidR="000756EB" w:rsidRPr="004D7585" w14:paraId="1FD355A4" w14:textId="77777777" w:rsidTr="005C22C3">
        <w:trPr>
          <w:trHeight w:val="60"/>
        </w:trPr>
        <w:tc>
          <w:tcPr>
            <w:tcW w:w="5665" w:type="dxa"/>
          </w:tcPr>
          <w:p w14:paraId="1A64A345" w14:textId="77777777" w:rsidR="000756EB" w:rsidRPr="004D7585" w:rsidRDefault="004A4D88" w:rsidP="004D7585">
            <w:pPr>
              <w:pStyle w:val="TableCopy"/>
            </w:pPr>
            <w:r w:rsidRPr="004D7585">
              <w:t>Receivables</w:t>
            </w:r>
          </w:p>
        </w:tc>
        <w:tc>
          <w:tcPr>
            <w:tcW w:w="1328" w:type="dxa"/>
          </w:tcPr>
          <w:p w14:paraId="21D83F72" w14:textId="77777777" w:rsidR="000756EB" w:rsidRPr="004D7585" w:rsidRDefault="004A4D88" w:rsidP="0091371D">
            <w:pPr>
              <w:pStyle w:val="TableCopy"/>
              <w:jc w:val="right"/>
            </w:pPr>
            <w:r w:rsidRPr="004D7585">
              <w:t>6.1</w:t>
            </w:r>
          </w:p>
        </w:tc>
        <w:tc>
          <w:tcPr>
            <w:tcW w:w="1632" w:type="dxa"/>
          </w:tcPr>
          <w:p w14:paraId="0006C6CB" w14:textId="319EE760" w:rsidR="000756EB" w:rsidRPr="004D7585" w:rsidRDefault="004A4D88" w:rsidP="0091371D">
            <w:pPr>
              <w:pStyle w:val="TableCopy"/>
              <w:jc w:val="right"/>
            </w:pPr>
            <w:r w:rsidRPr="004D7585">
              <w:t>582,675</w:t>
            </w:r>
          </w:p>
        </w:tc>
        <w:tc>
          <w:tcPr>
            <w:tcW w:w="1632" w:type="dxa"/>
          </w:tcPr>
          <w:p w14:paraId="1F050D13" w14:textId="381F113D" w:rsidR="000756EB" w:rsidRPr="004D7585" w:rsidRDefault="004A4D88" w:rsidP="0091371D">
            <w:pPr>
              <w:pStyle w:val="TableCopy"/>
              <w:jc w:val="right"/>
            </w:pPr>
            <w:r w:rsidRPr="004D7585">
              <w:t>856,808</w:t>
            </w:r>
          </w:p>
        </w:tc>
      </w:tr>
      <w:tr w:rsidR="000756EB" w:rsidRPr="004D7585" w14:paraId="58DF1F9B" w14:textId="77777777" w:rsidTr="005C22C3">
        <w:trPr>
          <w:trHeight w:val="60"/>
        </w:trPr>
        <w:tc>
          <w:tcPr>
            <w:tcW w:w="5665" w:type="dxa"/>
          </w:tcPr>
          <w:p w14:paraId="09893D7D" w14:textId="77777777" w:rsidR="000756EB" w:rsidRPr="004D7585" w:rsidRDefault="004A4D88" w:rsidP="004D7585">
            <w:pPr>
              <w:pStyle w:val="TableCopy"/>
            </w:pPr>
            <w:r w:rsidRPr="004D7585">
              <w:t>Investments</w:t>
            </w:r>
          </w:p>
        </w:tc>
        <w:tc>
          <w:tcPr>
            <w:tcW w:w="1328" w:type="dxa"/>
          </w:tcPr>
          <w:p w14:paraId="71088DC5" w14:textId="77777777" w:rsidR="000756EB" w:rsidRPr="004D7585" w:rsidRDefault="000756EB" w:rsidP="0091371D">
            <w:pPr>
              <w:pStyle w:val="TableCopy"/>
              <w:jc w:val="right"/>
            </w:pPr>
          </w:p>
        </w:tc>
        <w:tc>
          <w:tcPr>
            <w:tcW w:w="1632" w:type="dxa"/>
          </w:tcPr>
          <w:p w14:paraId="7033A298" w14:textId="1AE50FF4" w:rsidR="000756EB" w:rsidRPr="004D7585" w:rsidRDefault="004A4D88" w:rsidP="0091371D">
            <w:pPr>
              <w:pStyle w:val="TableCopy"/>
              <w:jc w:val="right"/>
            </w:pPr>
            <w:r w:rsidRPr="004D7585">
              <w:t>3,261</w:t>
            </w:r>
          </w:p>
        </w:tc>
        <w:tc>
          <w:tcPr>
            <w:tcW w:w="1632" w:type="dxa"/>
          </w:tcPr>
          <w:p w14:paraId="07F18DF2" w14:textId="60A1BF5B" w:rsidR="000756EB" w:rsidRPr="004D7585" w:rsidRDefault="004A4D88" w:rsidP="0091371D">
            <w:pPr>
              <w:pStyle w:val="TableCopy"/>
              <w:jc w:val="right"/>
            </w:pPr>
            <w:r w:rsidRPr="004D7585">
              <w:t>1,681</w:t>
            </w:r>
          </w:p>
        </w:tc>
      </w:tr>
      <w:tr w:rsidR="000756EB" w:rsidRPr="004D7585" w14:paraId="7D77FEB4" w14:textId="77777777" w:rsidTr="005C22C3">
        <w:trPr>
          <w:trHeight w:val="60"/>
        </w:trPr>
        <w:tc>
          <w:tcPr>
            <w:tcW w:w="5665" w:type="dxa"/>
          </w:tcPr>
          <w:p w14:paraId="02CC5AF9" w14:textId="4CCA285B" w:rsidR="000756EB" w:rsidRPr="004D7585" w:rsidRDefault="004A4D88" w:rsidP="004D7585">
            <w:pPr>
              <w:pStyle w:val="TableCopy"/>
              <w:rPr>
                <w:b/>
                <w:bCs/>
              </w:rPr>
            </w:pPr>
            <w:r w:rsidRPr="004D7585">
              <w:rPr>
                <w:b/>
                <w:bCs/>
              </w:rPr>
              <w:t>Total</w:t>
            </w:r>
            <w:r w:rsidR="00A03629" w:rsidRPr="004D7585">
              <w:rPr>
                <w:b/>
                <w:bCs/>
              </w:rPr>
              <w:t xml:space="preserve"> </w:t>
            </w:r>
            <w:r w:rsidRPr="004D7585">
              <w:rPr>
                <w:b/>
                <w:bCs/>
              </w:rPr>
              <w:t>financial</w:t>
            </w:r>
            <w:r w:rsidR="00A03629" w:rsidRPr="004D7585">
              <w:rPr>
                <w:b/>
                <w:bCs/>
              </w:rPr>
              <w:t xml:space="preserve"> </w:t>
            </w:r>
            <w:r w:rsidRPr="004D7585">
              <w:rPr>
                <w:b/>
                <w:bCs/>
              </w:rPr>
              <w:t>assets</w:t>
            </w:r>
          </w:p>
        </w:tc>
        <w:tc>
          <w:tcPr>
            <w:tcW w:w="1328" w:type="dxa"/>
          </w:tcPr>
          <w:p w14:paraId="74CAB7E1" w14:textId="77777777" w:rsidR="000756EB" w:rsidRPr="004D7585" w:rsidRDefault="000756EB" w:rsidP="0091371D">
            <w:pPr>
              <w:pStyle w:val="TableCopy"/>
              <w:jc w:val="right"/>
              <w:rPr>
                <w:b/>
                <w:bCs/>
              </w:rPr>
            </w:pPr>
          </w:p>
        </w:tc>
        <w:tc>
          <w:tcPr>
            <w:tcW w:w="1632" w:type="dxa"/>
          </w:tcPr>
          <w:p w14:paraId="1FFD2023" w14:textId="3836FD58" w:rsidR="000756EB" w:rsidRPr="004D7585" w:rsidRDefault="004A4D88" w:rsidP="0091371D">
            <w:pPr>
              <w:pStyle w:val="TableCopy"/>
              <w:jc w:val="right"/>
              <w:rPr>
                <w:b/>
                <w:bCs/>
              </w:rPr>
            </w:pPr>
            <w:r w:rsidRPr="004D7585">
              <w:rPr>
                <w:b/>
                <w:bCs/>
              </w:rPr>
              <w:t>908,069</w:t>
            </w:r>
          </w:p>
        </w:tc>
        <w:tc>
          <w:tcPr>
            <w:tcW w:w="1632" w:type="dxa"/>
          </w:tcPr>
          <w:p w14:paraId="4CC6B0C3" w14:textId="30A1F967" w:rsidR="000756EB" w:rsidRPr="004D7585" w:rsidRDefault="004A4D88" w:rsidP="0091371D">
            <w:pPr>
              <w:pStyle w:val="TableCopy"/>
              <w:jc w:val="right"/>
              <w:rPr>
                <w:b/>
                <w:bCs/>
              </w:rPr>
            </w:pPr>
            <w:r w:rsidRPr="004D7585">
              <w:rPr>
                <w:b/>
                <w:bCs/>
              </w:rPr>
              <w:t>1,275,249</w:t>
            </w:r>
          </w:p>
        </w:tc>
      </w:tr>
      <w:tr w:rsidR="000756EB" w14:paraId="1C191825" w14:textId="77777777" w:rsidTr="005C22C3">
        <w:trPr>
          <w:trHeight w:val="60"/>
        </w:trPr>
        <w:tc>
          <w:tcPr>
            <w:tcW w:w="5665" w:type="dxa"/>
          </w:tcPr>
          <w:p w14:paraId="7F7345BC" w14:textId="145E1F4E" w:rsidR="000756EB" w:rsidRDefault="004A4D88" w:rsidP="004D7585">
            <w:pPr>
              <w:pStyle w:val="TableHeading"/>
            </w:pPr>
            <w:r>
              <w:t>Non-financial</w:t>
            </w:r>
            <w:r w:rsidR="00A03629">
              <w:t xml:space="preserve"> </w:t>
            </w:r>
            <w:r>
              <w:t>assets</w:t>
            </w:r>
          </w:p>
        </w:tc>
        <w:tc>
          <w:tcPr>
            <w:tcW w:w="1328" w:type="dxa"/>
          </w:tcPr>
          <w:p w14:paraId="0447315D" w14:textId="77777777" w:rsidR="000756EB" w:rsidRDefault="000756EB" w:rsidP="0091371D">
            <w:pPr>
              <w:pStyle w:val="NoParagraphStyle"/>
              <w:spacing w:line="240" w:lineRule="auto"/>
              <w:jc w:val="right"/>
              <w:textAlignment w:val="auto"/>
              <w:rPr>
                <w:rFonts w:ascii="VIC Light" w:hAnsi="VIC Light" w:cstheme="minorBidi"/>
                <w:color w:val="auto"/>
                <w:lang w:val="en-AU"/>
              </w:rPr>
            </w:pPr>
          </w:p>
        </w:tc>
        <w:tc>
          <w:tcPr>
            <w:tcW w:w="1632" w:type="dxa"/>
          </w:tcPr>
          <w:p w14:paraId="3A3D7E33" w14:textId="77777777" w:rsidR="000756EB" w:rsidRDefault="000756EB" w:rsidP="0091371D">
            <w:pPr>
              <w:pStyle w:val="NoParagraphStyle"/>
              <w:spacing w:line="240" w:lineRule="auto"/>
              <w:jc w:val="right"/>
              <w:textAlignment w:val="auto"/>
              <w:rPr>
                <w:rFonts w:ascii="VIC Light" w:hAnsi="VIC Light" w:cstheme="minorBidi"/>
                <w:color w:val="auto"/>
                <w:lang w:val="en-AU"/>
              </w:rPr>
            </w:pPr>
          </w:p>
        </w:tc>
        <w:tc>
          <w:tcPr>
            <w:tcW w:w="1632" w:type="dxa"/>
          </w:tcPr>
          <w:p w14:paraId="641F33F5" w14:textId="77777777" w:rsidR="000756EB" w:rsidRDefault="000756EB" w:rsidP="0091371D">
            <w:pPr>
              <w:pStyle w:val="NoParagraphStyle"/>
              <w:spacing w:line="240" w:lineRule="auto"/>
              <w:jc w:val="right"/>
              <w:textAlignment w:val="auto"/>
              <w:rPr>
                <w:rFonts w:ascii="VIC Light" w:hAnsi="VIC Light" w:cstheme="minorBidi"/>
                <w:color w:val="auto"/>
                <w:lang w:val="en-AU"/>
              </w:rPr>
            </w:pPr>
          </w:p>
        </w:tc>
      </w:tr>
      <w:tr w:rsidR="000756EB" w:rsidRPr="004D7585" w14:paraId="7C82B399" w14:textId="77777777" w:rsidTr="005C22C3">
        <w:trPr>
          <w:trHeight w:val="60"/>
        </w:trPr>
        <w:tc>
          <w:tcPr>
            <w:tcW w:w="5665" w:type="dxa"/>
          </w:tcPr>
          <w:p w14:paraId="09C00AA0" w14:textId="1D58013B" w:rsidR="000756EB" w:rsidRPr="004D7585" w:rsidRDefault="004A4D88" w:rsidP="004D7585">
            <w:pPr>
              <w:pStyle w:val="TableCopy"/>
            </w:pPr>
            <w:r w:rsidRPr="004D7585">
              <w:t>Property,</w:t>
            </w:r>
            <w:r w:rsidR="00A03629" w:rsidRPr="004D7585">
              <w:t xml:space="preserve"> </w:t>
            </w:r>
            <w:proofErr w:type="gramStart"/>
            <w:r w:rsidRPr="004D7585">
              <w:t>plant</w:t>
            </w:r>
            <w:proofErr w:type="gramEnd"/>
            <w:r w:rsidR="00A03629" w:rsidRPr="004D7585">
              <w:t xml:space="preserve"> </w:t>
            </w:r>
            <w:r w:rsidRPr="004D7585">
              <w:t>and</w:t>
            </w:r>
            <w:r w:rsidR="00A03629" w:rsidRPr="004D7585">
              <w:t xml:space="preserve"> </w:t>
            </w:r>
            <w:r w:rsidRPr="004D7585">
              <w:t>equipment</w:t>
            </w:r>
          </w:p>
        </w:tc>
        <w:tc>
          <w:tcPr>
            <w:tcW w:w="1328" w:type="dxa"/>
          </w:tcPr>
          <w:p w14:paraId="27646508" w14:textId="77777777" w:rsidR="000756EB" w:rsidRPr="004D7585" w:rsidRDefault="004A4D88" w:rsidP="0091371D">
            <w:pPr>
              <w:pStyle w:val="TableCopy"/>
              <w:jc w:val="right"/>
            </w:pPr>
            <w:r w:rsidRPr="004D7585">
              <w:t>5.1</w:t>
            </w:r>
          </w:p>
        </w:tc>
        <w:tc>
          <w:tcPr>
            <w:tcW w:w="1632" w:type="dxa"/>
          </w:tcPr>
          <w:p w14:paraId="5184B3A1" w14:textId="50E9B57D" w:rsidR="000756EB" w:rsidRPr="004D7585" w:rsidRDefault="004A4D88" w:rsidP="0091371D">
            <w:pPr>
              <w:pStyle w:val="TableCopy"/>
              <w:jc w:val="right"/>
            </w:pPr>
            <w:r w:rsidRPr="004D7585">
              <w:t>1,152,794</w:t>
            </w:r>
          </w:p>
        </w:tc>
        <w:tc>
          <w:tcPr>
            <w:tcW w:w="1632" w:type="dxa"/>
          </w:tcPr>
          <w:p w14:paraId="6AEC0B84" w14:textId="30E46AC8" w:rsidR="000756EB" w:rsidRPr="004D7585" w:rsidRDefault="004A4D88" w:rsidP="0091371D">
            <w:pPr>
              <w:pStyle w:val="TableCopy"/>
              <w:jc w:val="right"/>
            </w:pPr>
            <w:r w:rsidRPr="004D7585">
              <w:t>1,598,295</w:t>
            </w:r>
          </w:p>
        </w:tc>
      </w:tr>
      <w:tr w:rsidR="000756EB" w:rsidRPr="004D7585" w14:paraId="722B7D78" w14:textId="77777777" w:rsidTr="005C22C3">
        <w:trPr>
          <w:trHeight w:val="60"/>
        </w:trPr>
        <w:tc>
          <w:tcPr>
            <w:tcW w:w="5665" w:type="dxa"/>
          </w:tcPr>
          <w:p w14:paraId="3D30DD1C" w14:textId="17487E37" w:rsidR="000756EB" w:rsidRPr="004D7585" w:rsidRDefault="004A4D88" w:rsidP="004D7585">
            <w:pPr>
              <w:pStyle w:val="TableCopy"/>
            </w:pPr>
            <w:r w:rsidRPr="004D7585">
              <w:t>Other</w:t>
            </w:r>
            <w:r w:rsidR="00A03629" w:rsidRPr="004D7585">
              <w:t xml:space="preserve"> </w:t>
            </w:r>
            <w:r w:rsidRPr="004D7585">
              <w:t>non-financial</w:t>
            </w:r>
            <w:r w:rsidR="00A03629" w:rsidRPr="004D7585">
              <w:t xml:space="preserve"> </w:t>
            </w:r>
            <w:r w:rsidRPr="004D7585">
              <w:t>assets</w:t>
            </w:r>
          </w:p>
        </w:tc>
        <w:tc>
          <w:tcPr>
            <w:tcW w:w="1328" w:type="dxa"/>
          </w:tcPr>
          <w:p w14:paraId="169F3DA3" w14:textId="77777777" w:rsidR="000756EB" w:rsidRPr="004D7585" w:rsidRDefault="004A4D88" w:rsidP="0091371D">
            <w:pPr>
              <w:pStyle w:val="TableCopy"/>
              <w:jc w:val="right"/>
            </w:pPr>
            <w:r w:rsidRPr="004D7585">
              <w:t>6.3</w:t>
            </w:r>
          </w:p>
        </w:tc>
        <w:tc>
          <w:tcPr>
            <w:tcW w:w="1632" w:type="dxa"/>
          </w:tcPr>
          <w:p w14:paraId="760C4E1C" w14:textId="45E1437D" w:rsidR="000756EB" w:rsidRPr="004D7585" w:rsidRDefault="004A4D88" w:rsidP="0091371D">
            <w:pPr>
              <w:pStyle w:val="TableCopy"/>
              <w:jc w:val="right"/>
            </w:pPr>
            <w:r w:rsidRPr="004D7585">
              <w:t>3,129</w:t>
            </w:r>
          </w:p>
        </w:tc>
        <w:tc>
          <w:tcPr>
            <w:tcW w:w="1632" w:type="dxa"/>
          </w:tcPr>
          <w:p w14:paraId="511D7557" w14:textId="6DE6DB2A" w:rsidR="000756EB" w:rsidRPr="004D7585" w:rsidRDefault="004A4D88" w:rsidP="0091371D">
            <w:pPr>
              <w:pStyle w:val="TableCopy"/>
              <w:jc w:val="right"/>
            </w:pPr>
            <w:r w:rsidRPr="004D7585">
              <w:t>13,246</w:t>
            </w:r>
          </w:p>
        </w:tc>
      </w:tr>
      <w:tr w:rsidR="000756EB" w:rsidRPr="004D7585" w14:paraId="1A32F54C" w14:textId="77777777" w:rsidTr="005C22C3">
        <w:trPr>
          <w:trHeight w:val="60"/>
        </w:trPr>
        <w:tc>
          <w:tcPr>
            <w:tcW w:w="5665" w:type="dxa"/>
          </w:tcPr>
          <w:p w14:paraId="09794FE5" w14:textId="17606C8C" w:rsidR="000756EB" w:rsidRPr="004D7585" w:rsidRDefault="004A4D88" w:rsidP="004D7585">
            <w:pPr>
              <w:pStyle w:val="TableCopy"/>
              <w:rPr>
                <w:b/>
                <w:bCs/>
              </w:rPr>
            </w:pPr>
            <w:r w:rsidRPr="004D7585">
              <w:rPr>
                <w:b/>
                <w:bCs/>
              </w:rPr>
              <w:t>Total</w:t>
            </w:r>
            <w:r w:rsidR="00A03629" w:rsidRPr="004D7585">
              <w:rPr>
                <w:b/>
                <w:bCs/>
              </w:rPr>
              <w:t xml:space="preserve"> </w:t>
            </w:r>
            <w:r w:rsidRPr="004D7585">
              <w:rPr>
                <w:b/>
                <w:bCs/>
              </w:rPr>
              <w:t>non-financial</w:t>
            </w:r>
            <w:r w:rsidR="00A03629" w:rsidRPr="004D7585">
              <w:rPr>
                <w:b/>
                <w:bCs/>
              </w:rPr>
              <w:t xml:space="preserve"> </w:t>
            </w:r>
            <w:r w:rsidRPr="004D7585">
              <w:rPr>
                <w:b/>
                <w:bCs/>
              </w:rPr>
              <w:t>assets</w:t>
            </w:r>
          </w:p>
        </w:tc>
        <w:tc>
          <w:tcPr>
            <w:tcW w:w="1328" w:type="dxa"/>
          </w:tcPr>
          <w:p w14:paraId="0DFABBDE" w14:textId="77777777" w:rsidR="000756EB" w:rsidRPr="004D7585" w:rsidRDefault="000756EB" w:rsidP="0091371D">
            <w:pPr>
              <w:pStyle w:val="TableCopy"/>
              <w:jc w:val="right"/>
              <w:rPr>
                <w:b/>
                <w:bCs/>
              </w:rPr>
            </w:pPr>
          </w:p>
        </w:tc>
        <w:tc>
          <w:tcPr>
            <w:tcW w:w="1632" w:type="dxa"/>
          </w:tcPr>
          <w:p w14:paraId="6705E58C" w14:textId="4C72C268" w:rsidR="000756EB" w:rsidRPr="004D7585" w:rsidRDefault="004A4D88" w:rsidP="0091371D">
            <w:pPr>
              <w:pStyle w:val="TableCopy"/>
              <w:jc w:val="right"/>
              <w:rPr>
                <w:b/>
                <w:bCs/>
              </w:rPr>
            </w:pPr>
            <w:r w:rsidRPr="004D7585">
              <w:rPr>
                <w:b/>
                <w:bCs/>
              </w:rPr>
              <w:t>1,155,923</w:t>
            </w:r>
          </w:p>
        </w:tc>
        <w:tc>
          <w:tcPr>
            <w:tcW w:w="1632" w:type="dxa"/>
          </w:tcPr>
          <w:p w14:paraId="68442B03" w14:textId="6998FC33" w:rsidR="000756EB" w:rsidRPr="004D7585" w:rsidRDefault="004A4D88" w:rsidP="0091371D">
            <w:pPr>
              <w:pStyle w:val="TableCopy"/>
              <w:jc w:val="right"/>
              <w:rPr>
                <w:b/>
                <w:bCs/>
              </w:rPr>
            </w:pPr>
            <w:r w:rsidRPr="004D7585">
              <w:rPr>
                <w:b/>
                <w:bCs/>
              </w:rPr>
              <w:t>1,611,541</w:t>
            </w:r>
          </w:p>
        </w:tc>
      </w:tr>
      <w:tr w:rsidR="000756EB" w:rsidRPr="004D7585" w14:paraId="2775D3A6" w14:textId="77777777" w:rsidTr="005C22C3">
        <w:trPr>
          <w:trHeight w:val="60"/>
        </w:trPr>
        <w:tc>
          <w:tcPr>
            <w:tcW w:w="5665" w:type="dxa"/>
          </w:tcPr>
          <w:p w14:paraId="2FF92AF8" w14:textId="6BE63DA0" w:rsidR="000756EB" w:rsidRPr="004D7585" w:rsidRDefault="004A4D88" w:rsidP="004D7585">
            <w:pPr>
              <w:pStyle w:val="TableCopy"/>
              <w:rPr>
                <w:b/>
                <w:bCs/>
              </w:rPr>
            </w:pPr>
            <w:r w:rsidRPr="004D7585">
              <w:rPr>
                <w:b/>
                <w:bCs/>
              </w:rPr>
              <w:t>Total</w:t>
            </w:r>
            <w:r w:rsidR="00A03629" w:rsidRPr="004D7585">
              <w:rPr>
                <w:b/>
                <w:bCs/>
              </w:rPr>
              <w:t xml:space="preserve"> </w:t>
            </w:r>
            <w:r w:rsidRPr="004D7585">
              <w:rPr>
                <w:b/>
                <w:bCs/>
              </w:rPr>
              <w:t>assets</w:t>
            </w:r>
          </w:p>
        </w:tc>
        <w:tc>
          <w:tcPr>
            <w:tcW w:w="1328" w:type="dxa"/>
          </w:tcPr>
          <w:p w14:paraId="04F23514" w14:textId="77777777" w:rsidR="000756EB" w:rsidRPr="004D7585" w:rsidRDefault="000756EB" w:rsidP="0091371D">
            <w:pPr>
              <w:pStyle w:val="TableCopy"/>
              <w:jc w:val="right"/>
              <w:rPr>
                <w:b/>
                <w:bCs/>
              </w:rPr>
            </w:pPr>
          </w:p>
        </w:tc>
        <w:tc>
          <w:tcPr>
            <w:tcW w:w="1632" w:type="dxa"/>
          </w:tcPr>
          <w:p w14:paraId="5AEAF098" w14:textId="2D102A5D" w:rsidR="000756EB" w:rsidRPr="004D7585" w:rsidRDefault="004A4D88" w:rsidP="0091371D">
            <w:pPr>
              <w:pStyle w:val="TableCopy"/>
              <w:jc w:val="right"/>
              <w:rPr>
                <w:b/>
                <w:bCs/>
              </w:rPr>
            </w:pPr>
            <w:r w:rsidRPr="004D7585">
              <w:rPr>
                <w:b/>
                <w:bCs/>
              </w:rPr>
              <w:t>2,063,992</w:t>
            </w:r>
          </w:p>
        </w:tc>
        <w:tc>
          <w:tcPr>
            <w:tcW w:w="1632" w:type="dxa"/>
          </w:tcPr>
          <w:p w14:paraId="021CD722" w14:textId="6035F299" w:rsidR="000756EB" w:rsidRPr="004D7585" w:rsidRDefault="004A4D88" w:rsidP="0091371D">
            <w:pPr>
              <w:pStyle w:val="TableCopy"/>
              <w:jc w:val="right"/>
              <w:rPr>
                <w:b/>
                <w:bCs/>
              </w:rPr>
            </w:pPr>
            <w:r w:rsidRPr="004D7585">
              <w:rPr>
                <w:b/>
                <w:bCs/>
              </w:rPr>
              <w:t>2,886,790</w:t>
            </w:r>
          </w:p>
        </w:tc>
      </w:tr>
      <w:tr w:rsidR="000756EB" w14:paraId="41627D57" w14:textId="77777777" w:rsidTr="005C22C3">
        <w:trPr>
          <w:trHeight w:val="60"/>
        </w:trPr>
        <w:tc>
          <w:tcPr>
            <w:tcW w:w="5665" w:type="dxa"/>
          </w:tcPr>
          <w:p w14:paraId="6E4545CB" w14:textId="77777777" w:rsidR="000756EB" w:rsidRDefault="004A4D88" w:rsidP="004D7585">
            <w:pPr>
              <w:pStyle w:val="TableHeading"/>
            </w:pPr>
            <w:r>
              <w:t>Liabilities</w:t>
            </w:r>
          </w:p>
        </w:tc>
        <w:tc>
          <w:tcPr>
            <w:tcW w:w="1328" w:type="dxa"/>
          </w:tcPr>
          <w:p w14:paraId="72938051" w14:textId="77777777" w:rsidR="000756EB" w:rsidRDefault="000756EB" w:rsidP="0091371D">
            <w:pPr>
              <w:pStyle w:val="NoParagraphStyle"/>
              <w:spacing w:line="240" w:lineRule="auto"/>
              <w:jc w:val="right"/>
              <w:textAlignment w:val="auto"/>
              <w:rPr>
                <w:rFonts w:ascii="VIC Light" w:hAnsi="VIC Light" w:cstheme="minorBidi"/>
                <w:color w:val="auto"/>
                <w:lang w:val="en-AU"/>
              </w:rPr>
            </w:pPr>
          </w:p>
        </w:tc>
        <w:tc>
          <w:tcPr>
            <w:tcW w:w="1632" w:type="dxa"/>
          </w:tcPr>
          <w:p w14:paraId="1FAEA222" w14:textId="77777777" w:rsidR="000756EB" w:rsidRDefault="000756EB" w:rsidP="0091371D">
            <w:pPr>
              <w:pStyle w:val="NoParagraphStyle"/>
              <w:spacing w:line="240" w:lineRule="auto"/>
              <w:jc w:val="right"/>
              <w:textAlignment w:val="auto"/>
              <w:rPr>
                <w:rFonts w:ascii="VIC Light" w:hAnsi="VIC Light" w:cstheme="minorBidi"/>
                <w:color w:val="auto"/>
                <w:lang w:val="en-AU"/>
              </w:rPr>
            </w:pPr>
          </w:p>
        </w:tc>
        <w:tc>
          <w:tcPr>
            <w:tcW w:w="1632" w:type="dxa"/>
          </w:tcPr>
          <w:p w14:paraId="098EABD3" w14:textId="77777777" w:rsidR="000756EB" w:rsidRDefault="000756EB" w:rsidP="0091371D">
            <w:pPr>
              <w:pStyle w:val="NoParagraphStyle"/>
              <w:spacing w:line="240" w:lineRule="auto"/>
              <w:jc w:val="right"/>
              <w:textAlignment w:val="auto"/>
              <w:rPr>
                <w:rFonts w:ascii="VIC Light" w:hAnsi="VIC Light" w:cstheme="minorBidi"/>
                <w:color w:val="auto"/>
                <w:lang w:val="en-AU"/>
              </w:rPr>
            </w:pPr>
          </w:p>
        </w:tc>
      </w:tr>
      <w:tr w:rsidR="000756EB" w:rsidRPr="004D7585" w14:paraId="0F1D864F" w14:textId="77777777" w:rsidTr="005C22C3">
        <w:trPr>
          <w:trHeight w:val="60"/>
        </w:trPr>
        <w:tc>
          <w:tcPr>
            <w:tcW w:w="5665" w:type="dxa"/>
          </w:tcPr>
          <w:p w14:paraId="7A6F5B94" w14:textId="77777777" w:rsidR="000756EB" w:rsidRPr="004D7585" w:rsidRDefault="004A4D88" w:rsidP="004D7585">
            <w:pPr>
              <w:pStyle w:val="TableCopy"/>
            </w:pPr>
            <w:r w:rsidRPr="004D7585">
              <w:t>Payables</w:t>
            </w:r>
          </w:p>
        </w:tc>
        <w:tc>
          <w:tcPr>
            <w:tcW w:w="1328" w:type="dxa"/>
          </w:tcPr>
          <w:p w14:paraId="1D1928F7" w14:textId="77777777" w:rsidR="000756EB" w:rsidRPr="004D7585" w:rsidRDefault="004A4D88" w:rsidP="0091371D">
            <w:pPr>
              <w:pStyle w:val="TableCopy"/>
              <w:jc w:val="right"/>
            </w:pPr>
            <w:r w:rsidRPr="004D7585">
              <w:t>6.2</w:t>
            </w:r>
          </w:p>
        </w:tc>
        <w:tc>
          <w:tcPr>
            <w:tcW w:w="1632" w:type="dxa"/>
          </w:tcPr>
          <w:p w14:paraId="69454A4B" w14:textId="10A8B5FF" w:rsidR="000756EB" w:rsidRPr="004D7585" w:rsidRDefault="004A4D88" w:rsidP="0091371D">
            <w:pPr>
              <w:pStyle w:val="TableCopy"/>
              <w:jc w:val="right"/>
            </w:pPr>
            <w:r w:rsidRPr="004D7585">
              <w:t>405,024</w:t>
            </w:r>
          </w:p>
        </w:tc>
        <w:tc>
          <w:tcPr>
            <w:tcW w:w="1632" w:type="dxa"/>
          </w:tcPr>
          <w:p w14:paraId="224012CA" w14:textId="335AA605" w:rsidR="000756EB" w:rsidRPr="004D7585" w:rsidRDefault="004A4D88" w:rsidP="0091371D">
            <w:pPr>
              <w:pStyle w:val="TableCopy"/>
              <w:jc w:val="right"/>
            </w:pPr>
            <w:r w:rsidRPr="004D7585">
              <w:t>382,783</w:t>
            </w:r>
          </w:p>
        </w:tc>
      </w:tr>
      <w:tr w:rsidR="000756EB" w:rsidRPr="004D7585" w14:paraId="45F61A6A" w14:textId="77777777" w:rsidTr="005C22C3">
        <w:trPr>
          <w:trHeight w:val="60"/>
        </w:trPr>
        <w:tc>
          <w:tcPr>
            <w:tcW w:w="5665" w:type="dxa"/>
          </w:tcPr>
          <w:p w14:paraId="7AB63DA4" w14:textId="77777777" w:rsidR="000756EB" w:rsidRPr="004D7585" w:rsidRDefault="004A4D88" w:rsidP="004D7585">
            <w:pPr>
              <w:pStyle w:val="TableCopy"/>
            </w:pPr>
            <w:r w:rsidRPr="004D7585">
              <w:lastRenderedPageBreak/>
              <w:t>Borrowings</w:t>
            </w:r>
          </w:p>
        </w:tc>
        <w:tc>
          <w:tcPr>
            <w:tcW w:w="1328" w:type="dxa"/>
          </w:tcPr>
          <w:p w14:paraId="3C67BE94" w14:textId="77777777" w:rsidR="000756EB" w:rsidRPr="004D7585" w:rsidRDefault="004A4D88" w:rsidP="0091371D">
            <w:pPr>
              <w:pStyle w:val="TableCopy"/>
              <w:jc w:val="right"/>
            </w:pPr>
            <w:r w:rsidRPr="004D7585">
              <w:t>7.1</w:t>
            </w:r>
          </w:p>
        </w:tc>
        <w:tc>
          <w:tcPr>
            <w:tcW w:w="1632" w:type="dxa"/>
          </w:tcPr>
          <w:p w14:paraId="7307134C" w14:textId="379FD201" w:rsidR="000756EB" w:rsidRPr="004D7585" w:rsidRDefault="004A4D88" w:rsidP="0091371D">
            <w:pPr>
              <w:pStyle w:val="TableCopy"/>
              <w:jc w:val="right"/>
            </w:pPr>
            <w:r w:rsidRPr="004D7585">
              <w:t>74,031</w:t>
            </w:r>
          </w:p>
        </w:tc>
        <w:tc>
          <w:tcPr>
            <w:tcW w:w="1632" w:type="dxa"/>
          </w:tcPr>
          <w:p w14:paraId="717C3B26" w14:textId="09482F15" w:rsidR="000756EB" w:rsidRPr="004D7585" w:rsidRDefault="004A4D88" w:rsidP="0091371D">
            <w:pPr>
              <w:pStyle w:val="TableCopy"/>
              <w:jc w:val="right"/>
            </w:pPr>
            <w:r w:rsidRPr="004D7585">
              <w:t>505,504</w:t>
            </w:r>
          </w:p>
        </w:tc>
      </w:tr>
      <w:tr w:rsidR="000756EB" w:rsidRPr="004D7585" w14:paraId="774BD375" w14:textId="77777777" w:rsidTr="005C22C3">
        <w:trPr>
          <w:trHeight w:val="60"/>
        </w:trPr>
        <w:tc>
          <w:tcPr>
            <w:tcW w:w="5665" w:type="dxa"/>
          </w:tcPr>
          <w:p w14:paraId="0D6026DB" w14:textId="630691F3" w:rsidR="000756EB" w:rsidRPr="004D7585" w:rsidRDefault="004A4D88" w:rsidP="004D7585">
            <w:pPr>
              <w:pStyle w:val="TableCopy"/>
            </w:pPr>
            <w:r w:rsidRPr="004D7585">
              <w:t>Employee</w:t>
            </w:r>
            <w:r w:rsidR="00A03629" w:rsidRPr="004D7585">
              <w:t xml:space="preserve"> </w:t>
            </w:r>
            <w:r w:rsidRPr="004D7585">
              <w:t>provisions</w:t>
            </w:r>
          </w:p>
        </w:tc>
        <w:tc>
          <w:tcPr>
            <w:tcW w:w="1328" w:type="dxa"/>
          </w:tcPr>
          <w:p w14:paraId="3CBF6AF0" w14:textId="3142ED61" w:rsidR="000756EB" w:rsidRPr="004D7585" w:rsidRDefault="004A4D88" w:rsidP="0091371D">
            <w:pPr>
              <w:pStyle w:val="TableCopy"/>
              <w:jc w:val="right"/>
            </w:pPr>
            <w:r w:rsidRPr="004D7585">
              <w:t>3.3.2</w:t>
            </w:r>
          </w:p>
        </w:tc>
        <w:tc>
          <w:tcPr>
            <w:tcW w:w="1632" w:type="dxa"/>
          </w:tcPr>
          <w:p w14:paraId="167648B0" w14:textId="6F997748" w:rsidR="000756EB" w:rsidRPr="004D7585" w:rsidRDefault="004A4D88" w:rsidP="0091371D">
            <w:pPr>
              <w:pStyle w:val="TableCopy"/>
              <w:jc w:val="right"/>
            </w:pPr>
            <w:r w:rsidRPr="004D7585">
              <w:t>79,815</w:t>
            </w:r>
          </w:p>
        </w:tc>
        <w:tc>
          <w:tcPr>
            <w:tcW w:w="1632" w:type="dxa"/>
          </w:tcPr>
          <w:p w14:paraId="52CF5710" w14:textId="6D81E536" w:rsidR="000756EB" w:rsidRPr="004D7585" w:rsidRDefault="004A4D88" w:rsidP="0091371D">
            <w:pPr>
              <w:pStyle w:val="TableCopy"/>
              <w:jc w:val="right"/>
            </w:pPr>
            <w:r w:rsidRPr="004D7585">
              <w:t>135,059</w:t>
            </w:r>
          </w:p>
        </w:tc>
      </w:tr>
      <w:tr w:rsidR="000756EB" w:rsidRPr="004D7585" w14:paraId="67E98EFF" w14:textId="77777777" w:rsidTr="005C22C3">
        <w:trPr>
          <w:trHeight w:val="60"/>
        </w:trPr>
        <w:tc>
          <w:tcPr>
            <w:tcW w:w="5665" w:type="dxa"/>
          </w:tcPr>
          <w:p w14:paraId="32FC16C2" w14:textId="7A64F01A" w:rsidR="000756EB" w:rsidRPr="004D7585" w:rsidRDefault="004A4D88" w:rsidP="004D7585">
            <w:pPr>
              <w:pStyle w:val="TableCopy"/>
            </w:pPr>
            <w:r w:rsidRPr="004D7585">
              <w:t>Other</w:t>
            </w:r>
            <w:r w:rsidR="00A03629" w:rsidRPr="004D7585">
              <w:t xml:space="preserve"> </w:t>
            </w:r>
            <w:r w:rsidRPr="004D7585">
              <w:t>provisions</w:t>
            </w:r>
          </w:p>
        </w:tc>
        <w:tc>
          <w:tcPr>
            <w:tcW w:w="1328" w:type="dxa"/>
          </w:tcPr>
          <w:p w14:paraId="0C01CFA5" w14:textId="77777777" w:rsidR="000756EB" w:rsidRPr="004D7585" w:rsidRDefault="004A4D88" w:rsidP="0091371D">
            <w:pPr>
              <w:pStyle w:val="TableCopy"/>
              <w:jc w:val="right"/>
            </w:pPr>
            <w:r w:rsidRPr="004D7585">
              <w:t>6.4</w:t>
            </w:r>
          </w:p>
        </w:tc>
        <w:tc>
          <w:tcPr>
            <w:tcW w:w="1632" w:type="dxa"/>
          </w:tcPr>
          <w:p w14:paraId="3C87A523" w14:textId="2B4343BA" w:rsidR="000756EB" w:rsidRPr="004D7585" w:rsidRDefault="004A4D88" w:rsidP="0091371D">
            <w:pPr>
              <w:pStyle w:val="TableCopy"/>
              <w:jc w:val="right"/>
            </w:pPr>
            <w:r w:rsidRPr="004D7585">
              <w:t>3,266</w:t>
            </w:r>
          </w:p>
        </w:tc>
        <w:tc>
          <w:tcPr>
            <w:tcW w:w="1632" w:type="dxa"/>
          </w:tcPr>
          <w:p w14:paraId="3AD71265" w14:textId="4E89FAD4" w:rsidR="000756EB" w:rsidRPr="004D7585" w:rsidRDefault="004A4D88" w:rsidP="0091371D">
            <w:pPr>
              <w:pStyle w:val="TableCopy"/>
              <w:jc w:val="right"/>
            </w:pPr>
            <w:r w:rsidRPr="004D7585">
              <w:t>30,690</w:t>
            </w:r>
          </w:p>
        </w:tc>
      </w:tr>
      <w:tr w:rsidR="000756EB" w:rsidRPr="004D7585" w14:paraId="7CECE956" w14:textId="77777777" w:rsidTr="005C22C3">
        <w:trPr>
          <w:trHeight w:val="60"/>
        </w:trPr>
        <w:tc>
          <w:tcPr>
            <w:tcW w:w="5665" w:type="dxa"/>
          </w:tcPr>
          <w:p w14:paraId="061FB278" w14:textId="6BEB7BF8" w:rsidR="000756EB" w:rsidRPr="004D7585" w:rsidRDefault="004A4D88" w:rsidP="004D7585">
            <w:pPr>
              <w:pStyle w:val="TableCopy"/>
              <w:rPr>
                <w:b/>
                <w:bCs/>
              </w:rPr>
            </w:pPr>
            <w:r w:rsidRPr="004D7585">
              <w:rPr>
                <w:b/>
                <w:bCs/>
              </w:rPr>
              <w:t>Total</w:t>
            </w:r>
            <w:r w:rsidR="00A03629" w:rsidRPr="004D7585">
              <w:rPr>
                <w:b/>
                <w:bCs/>
              </w:rPr>
              <w:t xml:space="preserve"> </w:t>
            </w:r>
            <w:r w:rsidRPr="004D7585">
              <w:rPr>
                <w:b/>
                <w:bCs/>
              </w:rPr>
              <w:t>liabilities</w:t>
            </w:r>
          </w:p>
        </w:tc>
        <w:tc>
          <w:tcPr>
            <w:tcW w:w="1328" w:type="dxa"/>
          </w:tcPr>
          <w:p w14:paraId="090E534E" w14:textId="77777777" w:rsidR="000756EB" w:rsidRPr="004D7585" w:rsidRDefault="000756EB" w:rsidP="0091371D">
            <w:pPr>
              <w:pStyle w:val="TableCopy"/>
              <w:jc w:val="right"/>
              <w:rPr>
                <w:b/>
                <w:bCs/>
              </w:rPr>
            </w:pPr>
          </w:p>
        </w:tc>
        <w:tc>
          <w:tcPr>
            <w:tcW w:w="1632" w:type="dxa"/>
          </w:tcPr>
          <w:p w14:paraId="059E832C" w14:textId="1E688311" w:rsidR="000756EB" w:rsidRPr="004D7585" w:rsidRDefault="004A4D88" w:rsidP="0091371D">
            <w:pPr>
              <w:pStyle w:val="TableCopy"/>
              <w:jc w:val="right"/>
              <w:rPr>
                <w:b/>
                <w:bCs/>
              </w:rPr>
            </w:pPr>
            <w:r w:rsidRPr="004D7585">
              <w:rPr>
                <w:b/>
                <w:bCs/>
              </w:rPr>
              <w:t>562,136</w:t>
            </w:r>
          </w:p>
        </w:tc>
        <w:tc>
          <w:tcPr>
            <w:tcW w:w="1632" w:type="dxa"/>
          </w:tcPr>
          <w:p w14:paraId="2D1AEC6D" w14:textId="2A78D3CE" w:rsidR="000756EB" w:rsidRPr="004D7585" w:rsidRDefault="004A4D88" w:rsidP="0091371D">
            <w:pPr>
              <w:pStyle w:val="TableCopy"/>
              <w:jc w:val="right"/>
              <w:rPr>
                <w:b/>
                <w:bCs/>
              </w:rPr>
            </w:pPr>
            <w:r w:rsidRPr="004D7585">
              <w:rPr>
                <w:b/>
                <w:bCs/>
              </w:rPr>
              <w:t>1,054,036</w:t>
            </w:r>
          </w:p>
        </w:tc>
      </w:tr>
      <w:tr w:rsidR="000756EB" w:rsidRPr="004D7585" w14:paraId="13217AB8" w14:textId="77777777" w:rsidTr="005C22C3">
        <w:trPr>
          <w:trHeight w:val="60"/>
        </w:trPr>
        <w:tc>
          <w:tcPr>
            <w:tcW w:w="5665" w:type="dxa"/>
          </w:tcPr>
          <w:p w14:paraId="27C07CFB" w14:textId="079776D3" w:rsidR="000756EB" w:rsidRPr="004D7585" w:rsidRDefault="004A4D88" w:rsidP="004D7585">
            <w:pPr>
              <w:pStyle w:val="TableCopy"/>
              <w:rPr>
                <w:b/>
                <w:bCs/>
              </w:rPr>
            </w:pPr>
            <w:r w:rsidRPr="004D7585">
              <w:rPr>
                <w:b/>
                <w:bCs/>
              </w:rPr>
              <w:t>Net</w:t>
            </w:r>
            <w:r w:rsidR="00A03629" w:rsidRPr="004D7585">
              <w:rPr>
                <w:b/>
                <w:bCs/>
              </w:rPr>
              <w:t xml:space="preserve"> </w:t>
            </w:r>
            <w:r w:rsidRPr="004D7585">
              <w:rPr>
                <w:b/>
                <w:bCs/>
              </w:rPr>
              <w:t>assets</w:t>
            </w:r>
          </w:p>
        </w:tc>
        <w:tc>
          <w:tcPr>
            <w:tcW w:w="1328" w:type="dxa"/>
          </w:tcPr>
          <w:p w14:paraId="1E878306" w14:textId="77777777" w:rsidR="000756EB" w:rsidRPr="004D7585" w:rsidRDefault="000756EB" w:rsidP="0091371D">
            <w:pPr>
              <w:pStyle w:val="TableCopy"/>
              <w:jc w:val="right"/>
              <w:rPr>
                <w:b/>
                <w:bCs/>
              </w:rPr>
            </w:pPr>
          </w:p>
        </w:tc>
        <w:tc>
          <w:tcPr>
            <w:tcW w:w="1632" w:type="dxa"/>
          </w:tcPr>
          <w:p w14:paraId="4FBA4EDA" w14:textId="78625B40" w:rsidR="000756EB" w:rsidRPr="00614829" w:rsidRDefault="004A4D88" w:rsidP="00614829">
            <w:pPr>
              <w:pStyle w:val="TableCopy"/>
              <w:jc w:val="right"/>
              <w:rPr>
                <w:b/>
                <w:bCs/>
              </w:rPr>
            </w:pPr>
            <w:r w:rsidRPr="00614829">
              <w:rPr>
                <w:b/>
                <w:bCs/>
              </w:rPr>
              <w:t>1,501,856</w:t>
            </w:r>
          </w:p>
        </w:tc>
        <w:tc>
          <w:tcPr>
            <w:tcW w:w="1632" w:type="dxa"/>
          </w:tcPr>
          <w:p w14:paraId="396FDA96" w14:textId="7053A926" w:rsidR="000756EB" w:rsidRPr="00614829" w:rsidRDefault="004A4D88" w:rsidP="00614829">
            <w:pPr>
              <w:pStyle w:val="TableCopy"/>
              <w:jc w:val="right"/>
              <w:rPr>
                <w:b/>
                <w:bCs/>
              </w:rPr>
            </w:pPr>
            <w:r w:rsidRPr="00614829">
              <w:rPr>
                <w:b/>
                <w:bCs/>
              </w:rPr>
              <w:t>1,832,754</w:t>
            </w:r>
          </w:p>
        </w:tc>
      </w:tr>
      <w:tr w:rsidR="000756EB" w14:paraId="3EE73B33" w14:textId="77777777" w:rsidTr="005C22C3">
        <w:trPr>
          <w:trHeight w:val="60"/>
        </w:trPr>
        <w:tc>
          <w:tcPr>
            <w:tcW w:w="5665" w:type="dxa"/>
          </w:tcPr>
          <w:p w14:paraId="066DB09A" w14:textId="77777777" w:rsidR="000756EB" w:rsidRDefault="004A4D88" w:rsidP="004D7585">
            <w:pPr>
              <w:pStyle w:val="TableHeading"/>
            </w:pPr>
            <w:r>
              <w:t>Equity</w:t>
            </w:r>
          </w:p>
        </w:tc>
        <w:tc>
          <w:tcPr>
            <w:tcW w:w="1328" w:type="dxa"/>
          </w:tcPr>
          <w:p w14:paraId="391CA98F" w14:textId="77777777" w:rsidR="000756EB" w:rsidRDefault="000756EB" w:rsidP="0091371D">
            <w:pPr>
              <w:pStyle w:val="NoParagraphStyle"/>
              <w:spacing w:line="240" w:lineRule="auto"/>
              <w:jc w:val="right"/>
              <w:textAlignment w:val="auto"/>
              <w:rPr>
                <w:rFonts w:ascii="VIC Light" w:hAnsi="VIC Light" w:cstheme="minorBidi"/>
                <w:color w:val="auto"/>
                <w:lang w:val="en-AU"/>
              </w:rPr>
            </w:pPr>
          </w:p>
        </w:tc>
        <w:tc>
          <w:tcPr>
            <w:tcW w:w="1632" w:type="dxa"/>
          </w:tcPr>
          <w:p w14:paraId="1BA1B3D6" w14:textId="77777777" w:rsidR="000756EB" w:rsidRDefault="000756EB" w:rsidP="0091371D">
            <w:pPr>
              <w:pStyle w:val="NoParagraphStyle"/>
              <w:spacing w:line="240" w:lineRule="auto"/>
              <w:jc w:val="right"/>
              <w:textAlignment w:val="auto"/>
              <w:rPr>
                <w:rFonts w:ascii="VIC Light" w:hAnsi="VIC Light" w:cstheme="minorBidi"/>
                <w:color w:val="auto"/>
                <w:lang w:val="en-AU"/>
              </w:rPr>
            </w:pPr>
          </w:p>
        </w:tc>
        <w:tc>
          <w:tcPr>
            <w:tcW w:w="1632" w:type="dxa"/>
          </w:tcPr>
          <w:p w14:paraId="257CC6E6" w14:textId="77777777" w:rsidR="000756EB" w:rsidRDefault="000756EB" w:rsidP="0091371D">
            <w:pPr>
              <w:pStyle w:val="NoParagraphStyle"/>
              <w:spacing w:line="240" w:lineRule="auto"/>
              <w:jc w:val="right"/>
              <w:textAlignment w:val="auto"/>
              <w:rPr>
                <w:rFonts w:ascii="VIC Light" w:hAnsi="VIC Light" w:cstheme="minorBidi"/>
                <w:color w:val="auto"/>
                <w:lang w:val="en-AU"/>
              </w:rPr>
            </w:pPr>
          </w:p>
        </w:tc>
      </w:tr>
      <w:tr w:rsidR="000756EB" w:rsidRPr="004D7585" w14:paraId="51472ED2" w14:textId="77777777" w:rsidTr="005C22C3">
        <w:trPr>
          <w:trHeight w:val="60"/>
        </w:trPr>
        <w:tc>
          <w:tcPr>
            <w:tcW w:w="5665" w:type="dxa"/>
          </w:tcPr>
          <w:p w14:paraId="47D6DE9B" w14:textId="2B24A7A4" w:rsidR="000756EB" w:rsidRPr="004D7585" w:rsidRDefault="004A4D88" w:rsidP="004D7585">
            <w:pPr>
              <w:pStyle w:val="TableCopy"/>
            </w:pPr>
            <w:r w:rsidRPr="004D7585">
              <w:t>Contributed</w:t>
            </w:r>
            <w:r w:rsidR="00A03629" w:rsidRPr="004D7585">
              <w:t xml:space="preserve"> </w:t>
            </w:r>
            <w:r w:rsidRPr="004D7585">
              <w:t>capital</w:t>
            </w:r>
          </w:p>
        </w:tc>
        <w:tc>
          <w:tcPr>
            <w:tcW w:w="1328" w:type="dxa"/>
          </w:tcPr>
          <w:p w14:paraId="1926BA4D" w14:textId="77777777" w:rsidR="000756EB" w:rsidRPr="004D7585" w:rsidRDefault="004A4D88" w:rsidP="0091371D">
            <w:pPr>
              <w:pStyle w:val="TableCopy"/>
              <w:jc w:val="right"/>
            </w:pPr>
            <w:r w:rsidRPr="004D7585">
              <w:t>9.4</w:t>
            </w:r>
          </w:p>
        </w:tc>
        <w:tc>
          <w:tcPr>
            <w:tcW w:w="1632" w:type="dxa"/>
          </w:tcPr>
          <w:p w14:paraId="7DC5D537" w14:textId="548CFD3B" w:rsidR="000756EB" w:rsidRPr="004D7585" w:rsidRDefault="004A4D88" w:rsidP="0091371D">
            <w:pPr>
              <w:pStyle w:val="TableCopy"/>
              <w:jc w:val="right"/>
            </w:pPr>
            <w:r w:rsidRPr="004D7585">
              <w:t>1,012,685</w:t>
            </w:r>
          </w:p>
        </w:tc>
        <w:tc>
          <w:tcPr>
            <w:tcW w:w="1632" w:type="dxa"/>
          </w:tcPr>
          <w:p w14:paraId="2991967E" w14:textId="3FDBA5F6" w:rsidR="000756EB" w:rsidRPr="004D7585" w:rsidRDefault="004A4D88" w:rsidP="0091371D">
            <w:pPr>
              <w:pStyle w:val="TableCopy"/>
              <w:jc w:val="right"/>
            </w:pPr>
            <w:r w:rsidRPr="004D7585">
              <w:t>1,479,014</w:t>
            </w:r>
          </w:p>
        </w:tc>
      </w:tr>
      <w:tr w:rsidR="000756EB" w:rsidRPr="004D7585" w14:paraId="36CBF4D3" w14:textId="77777777" w:rsidTr="005C22C3">
        <w:trPr>
          <w:trHeight w:val="60"/>
        </w:trPr>
        <w:tc>
          <w:tcPr>
            <w:tcW w:w="5665" w:type="dxa"/>
          </w:tcPr>
          <w:p w14:paraId="32DC2055" w14:textId="1681F643" w:rsidR="000756EB" w:rsidRPr="004D7585" w:rsidRDefault="004A4D88" w:rsidP="004D7585">
            <w:pPr>
              <w:pStyle w:val="TableCopy"/>
            </w:pPr>
            <w:r w:rsidRPr="004D7585">
              <w:t>Accumulated</w:t>
            </w:r>
            <w:r w:rsidR="00A03629" w:rsidRPr="004D7585">
              <w:t xml:space="preserve"> </w:t>
            </w:r>
            <w:r w:rsidRPr="004D7585">
              <w:t>surplus</w:t>
            </w:r>
          </w:p>
        </w:tc>
        <w:tc>
          <w:tcPr>
            <w:tcW w:w="1328" w:type="dxa"/>
          </w:tcPr>
          <w:p w14:paraId="41D121E3" w14:textId="77777777" w:rsidR="000756EB" w:rsidRPr="004D7585" w:rsidRDefault="000756EB" w:rsidP="0091371D">
            <w:pPr>
              <w:pStyle w:val="TableCopy"/>
              <w:jc w:val="right"/>
            </w:pPr>
          </w:p>
        </w:tc>
        <w:tc>
          <w:tcPr>
            <w:tcW w:w="1632" w:type="dxa"/>
          </w:tcPr>
          <w:p w14:paraId="0F0DE679" w14:textId="687AACED" w:rsidR="000756EB" w:rsidRPr="004D7585" w:rsidRDefault="004A4D88" w:rsidP="0091371D">
            <w:pPr>
              <w:pStyle w:val="TableCopy"/>
              <w:jc w:val="right"/>
            </w:pPr>
            <w:r w:rsidRPr="004D7585">
              <w:t>383,104</w:t>
            </w:r>
          </w:p>
        </w:tc>
        <w:tc>
          <w:tcPr>
            <w:tcW w:w="1632" w:type="dxa"/>
          </w:tcPr>
          <w:p w14:paraId="234F5DBE" w14:textId="4548E2C7" w:rsidR="000756EB" w:rsidRPr="004D7585" w:rsidRDefault="004A4D88" w:rsidP="0091371D">
            <w:pPr>
              <w:pStyle w:val="TableCopy"/>
              <w:jc w:val="right"/>
            </w:pPr>
            <w:r w:rsidRPr="004D7585">
              <w:t>49,969</w:t>
            </w:r>
          </w:p>
        </w:tc>
      </w:tr>
      <w:tr w:rsidR="000756EB" w:rsidRPr="004D7585" w14:paraId="31DFE27F" w14:textId="77777777" w:rsidTr="005C22C3">
        <w:trPr>
          <w:trHeight w:val="60"/>
        </w:trPr>
        <w:tc>
          <w:tcPr>
            <w:tcW w:w="5665" w:type="dxa"/>
          </w:tcPr>
          <w:p w14:paraId="497C2256" w14:textId="4C800670" w:rsidR="000756EB" w:rsidRPr="004D7585" w:rsidRDefault="004A4D88" w:rsidP="004D7585">
            <w:pPr>
              <w:pStyle w:val="TableCopy"/>
            </w:pPr>
            <w:r w:rsidRPr="004D7585">
              <w:t>Physical</w:t>
            </w:r>
            <w:r w:rsidR="00A03629" w:rsidRPr="004D7585">
              <w:t xml:space="preserve"> </w:t>
            </w:r>
            <w:r w:rsidRPr="004D7585">
              <w:t>asset</w:t>
            </w:r>
            <w:r w:rsidR="00A03629" w:rsidRPr="004D7585">
              <w:t xml:space="preserve"> </w:t>
            </w:r>
            <w:r w:rsidRPr="004D7585">
              <w:t>revaluation</w:t>
            </w:r>
            <w:r w:rsidR="00A03629" w:rsidRPr="004D7585">
              <w:t xml:space="preserve"> </w:t>
            </w:r>
            <w:r w:rsidRPr="004D7585">
              <w:t>surplus</w:t>
            </w:r>
          </w:p>
        </w:tc>
        <w:tc>
          <w:tcPr>
            <w:tcW w:w="1328" w:type="dxa"/>
          </w:tcPr>
          <w:p w14:paraId="3A3E155C" w14:textId="77777777" w:rsidR="000756EB" w:rsidRPr="004D7585" w:rsidRDefault="000756EB" w:rsidP="0091371D">
            <w:pPr>
              <w:pStyle w:val="TableCopy"/>
              <w:jc w:val="right"/>
            </w:pPr>
          </w:p>
        </w:tc>
        <w:tc>
          <w:tcPr>
            <w:tcW w:w="1632" w:type="dxa"/>
          </w:tcPr>
          <w:p w14:paraId="7AC63546" w14:textId="1830CE9A" w:rsidR="000756EB" w:rsidRPr="004D7585" w:rsidRDefault="004A4D88" w:rsidP="0091371D">
            <w:pPr>
              <w:pStyle w:val="TableCopy"/>
              <w:jc w:val="right"/>
            </w:pPr>
            <w:r w:rsidRPr="004D7585">
              <w:t>106,067</w:t>
            </w:r>
          </w:p>
        </w:tc>
        <w:tc>
          <w:tcPr>
            <w:tcW w:w="1632" w:type="dxa"/>
          </w:tcPr>
          <w:p w14:paraId="20F6A9E1" w14:textId="2372A969" w:rsidR="000756EB" w:rsidRPr="004D7585" w:rsidRDefault="004A4D88" w:rsidP="0091371D">
            <w:pPr>
              <w:pStyle w:val="TableCopy"/>
              <w:jc w:val="right"/>
            </w:pPr>
            <w:r w:rsidRPr="004D7585">
              <w:t>303,771</w:t>
            </w:r>
          </w:p>
        </w:tc>
      </w:tr>
      <w:tr w:rsidR="000756EB" w:rsidRPr="004D7585" w14:paraId="52984AFC" w14:textId="77777777" w:rsidTr="005C22C3">
        <w:trPr>
          <w:trHeight w:val="60"/>
        </w:trPr>
        <w:tc>
          <w:tcPr>
            <w:tcW w:w="5665" w:type="dxa"/>
          </w:tcPr>
          <w:p w14:paraId="75010018" w14:textId="5228D393" w:rsidR="000756EB" w:rsidRPr="004D7585" w:rsidRDefault="004A4D88" w:rsidP="004D7585">
            <w:pPr>
              <w:pStyle w:val="TableCopy"/>
              <w:rPr>
                <w:b/>
                <w:bCs/>
              </w:rPr>
            </w:pPr>
            <w:r w:rsidRPr="004D7585">
              <w:rPr>
                <w:b/>
                <w:bCs/>
              </w:rPr>
              <w:t>Net</w:t>
            </w:r>
            <w:r w:rsidR="00A03629" w:rsidRPr="004D7585">
              <w:rPr>
                <w:b/>
                <w:bCs/>
              </w:rPr>
              <w:t xml:space="preserve"> </w:t>
            </w:r>
            <w:r w:rsidRPr="004D7585">
              <w:rPr>
                <w:b/>
                <w:bCs/>
              </w:rPr>
              <w:t>worth</w:t>
            </w:r>
          </w:p>
        </w:tc>
        <w:tc>
          <w:tcPr>
            <w:tcW w:w="1328" w:type="dxa"/>
          </w:tcPr>
          <w:p w14:paraId="426D9061" w14:textId="77777777" w:rsidR="000756EB" w:rsidRPr="004D7585" w:rsidRDefault="000756EB" w:rsidP="0091371D">
            <w:pPr>
              <w:pStyle w:val="TableCopy"/>
              <w:jc w:val="right"/>
              <w:rPr>
                <w:b/>
                <w:bCs/>
              </w:rPr>
            </w:pPr>
          </w:p>
        </w:tc>
        <w:tc>
          <w:tcPr>
            <w:tcW w:w="1632" w:type="dxa"/>
          </w:tcPr>
          <w:p w14:paraId="0048B63A" w14:textId="00D9F538" w:rsidR="000756EB" w:rsidRPr="004D7585" w:rsidRDefault="004A4D88" w:rsidP="0091371D">
            <w:pPr>
              <w:pStyle w:val="TableCopy"/>
              <w:jc w:val="right"/>
              <w:rPr>
                <w:b/>
                <w:bCs/>
              </w:rPr>
            </w:pPr>
            <w:r w:rsidRPr="004D7585">
              <w:rPr>
                <w:b/>
                <w:bCs/>
              </w:rPr>
              <w:t>1,501,856</w:t>
            </w:r>
          </w:p>
        </w:tc>
        <w:tc>
          <w:tcPr>
            <w:tcW w:w="1632" w:type="dxa"/>
          </w:tcPr>
          <w:p w14:paraId="00839283" w14:textId="44A1112D" w:rsidR="000756EB" w:rsidRPr="004D7585" w:rsidRDefault="004A4D88" w:rsidP="0091371D">
            <w:pPr>
              <w:pStyle w:val="TableCopy"/>
              <w:jc w:val="right"/>
              <w:rPr>
                <w:b/>
                <w:bCs/>
              </w:rPr>
            </w:pPr>
            <w:r w:rsidRPr="004D7585">
              <w:rPr>
                <w:b/>
                <w:bCs/>
              </w:rPr>
              <w:t>1,832,754</w:t>
            </w:r>
          </w:p>
        </w:tc>
      </w:tr>
    </w:tbl>
    <w:p w14:paraId="47FCB182" w14:textId="77777777" w:rsidR="00855022" w:rsidRDefault="00855022" w:rsidP="00855022">
      <w:pPr>
        <w:pStyle w:val="FootnoteText"/>
        <w:spacing w:before="120"/>
      </w:pPr>
      <w:r>
        <w:t>The accompanying notes form part of these financial statements.</w:t>
      </w:r>
    </w:p>
    <w:p w14:paraId="482A3B2E" w14:textId="0B497661" w:rsidR="000756EB" w:rsidRDefault="00855022" w:rsidP="00855022">
      <w:pPr>
        <w:pStyle w:val="FootnoteText"/>
        <w:spacing w:after="140"/>
        <w:rPr>
          <w:rFonts w:ascii="VIC Light" w:hAnsi="VIC Light" w:cs="VIC Light"/>
        </w:rPr>
      </w:pPr>
      <w:r>
        <w:t>(</w:t>
      </w:r>
      <w:proofErr w:type="spellStart"/>
      <w:r>
        <w:t>i</w:t>
      </w:r>
      <w:proofErr w:type="spellEnd"/>
      <w:r>
        <w:t>) This format is aligned to AASB 1049 Whole of Government and General Government Sector Financial Reporting.</w:t>
      </w:r>
    </w:p>
    <w:p w14:paraId="39EBDAE6" w14:textId="4213F3A2" w:rsidR="000756EB" w:rsidRDefault="004A4D88" w:rsidP="00855022">
      <w:pPr>
        <w:pStyle w:val="Heading2"/>
      </w:pPr>
      <w:bookmarkStart w:id="4" w:name="_Toc149911789"/>
      <w:r>
        <w:t>Cash</w:t>
      </w:r>
      <w:r w:rsidR="00A03629">
        <w:t xml:space="preserve"> </w:t>
      </w:r>
      <w:r>
        <w:t>flow</w:t>
      </w:r>
      <w:r w:rsidR="00A03629">
        <w:t xml:space="preserve"> </w:t>
      </w:r>
      <w:proofErr w:type="gramStart"/>
      <w:r>
        <w:t>statement</w:t>
      </w:r>
      <w:r>
        <w:rPr>
          <w:rFonts w:ascii="Times New Roman" w:hAnsi="Times New Roman"/>
        </w:rPr>
        <w:t>  </w:t>
      </w:r>
      <w:r w:rsidRPr="00614829">
        <w:rPr>
          <w:rStyle w:val="FootnotereferencessuperscriptMisc"/>
          <w:rFonts w:cs="Arial"/>
        </w:rPr>
        <w:t>(</w:t>
      </w:r>
      <w:proofErr w:type="spellStart"/>
      <w:proofErr w:type="gramEnd"/>
      <w:r w:rsidRPr="00614829">
        <w:rPr>
          <w:rStyle w:val="FootnotereferencessuperscriptMisc"/>
          <w:rFonts w:cs="Arial"/>
        </w:rPr>
        <w:t>i</w:t>
      </w:r>
      <w:proofErr w:type="spellEnd"/>
      <w:r w:rsidRPr="00614829">
        <w:rPr>
          <w:rStyle w:val="FootnotereferencessuperscriptMisc"/>
          <w:rFonts w:cs="Arial"/>
        </w:rPr>
        <w:t>)</w:t>
      </w:r>
      <w:r w:rsidR="00A03629">
        <w:t xml:space="preserve"> </w:t>
      </w:r>
      <w:r>
        <w:t>For</w:t>
      </w:r>
      <w:r w:rsidR="00A03629">
        <w:t xml:space="preserve"> </w:t>
      </w:r>
      <w:r>
        <w:t>the</w:t>
      </w:r>
      <w:r w:rsidR="00A03629">
        <w:t xml:space="preserve"> </w:t>
      </w:r>
      <w:r>
        <w:t>financial</w:t>
      </w:r>
      <w:r w:rsidR="00A03629">
        <w:t xml:space="preserve"> </w:t>
      </w:r>
      <w:r>
        <w:t>year</w:t>
      </w:r>
      <w:r w:rsidR="00A03629">
        <w:t xml:space="preserve"> </w:t>
      </w:r>
      <w:r>
        <w:t>ended</w:t>
      </w:r>
      <w:r w:rsidR="00A03629">
        <w:t xml:space="preserve"> </w:t>
      </w:r>
      <w:r>
        <w:t>30</w:t>
      </w:r>
      <w:r w:rsidR="00A03629">
        <w:t xml:space="preserve"> </w:t>
      </w:r>
      <w:r>
        <w:t>June</w:t>
      </w:r>
      <w:r w:rsidR="00A03629">
        <w:t xml:space="preserve"> </w:t>
      </w:r>
      <w:r>
        <w:t>2023</w:t>
      </w:r>
      <w:bookmarkEnd w:id="4"/>
    </w:p>
    <w:tbl>
      <w:tblPr>
        <w:tblStyle w:val="TableGrid"/>
        <w:tblW w:w="10257" w:type="dxa"/>
        <w:tblLayout w:type="fixed"/>
        <w:tblLook w:val="0020" w:firstRow="1" w:lastRow="0" w:firstColumn="0" w:lastColumn="0" w:noHBand="0" w:noVBand="0"/>
      </w:tblPr>
      <w:tblGrid>
        <w:gridCol w:w="5665"/>
        <w:gridCol w:w="1328"/>
        <w:gridCol w:w="1632"/>
        <w:gridCol w:w="1632"/>
      </w:tblGrid>
      <w:tr w:rsidR="0091371D" w:rsidRPr="0075291A" w14:paraId="0DDCBB0E" w14:textId="77777777" w:rsidTr="005C22C3">
        <w:trPr>
          <w:cantSplit/>
          <w:tblHeader/>
        </w:trPr>
        <w:tc>
          <w:tcPr>
            <w:tcW w:w="5665" w:type="dxa"/>
          </w:tcPr>
          <w:p w14:paraId="1145E932" w14:textId="77777777" w:rsidR="0091371D" w:rsidRPr="0075291A" w:rsidRDefault="0091371D" w:rsidP="00437170">
            <w:pPr>
              <w:pStyle w:val="TableColumnHeading"/>
            </w:pPr>
            <w:bookmarkStart w:id="5" w:name="ColumnTitles_3"/>
            <w:bookmarkEnd w:id="5"/>
          </w:p>
        </w:tc>
        <w:tc>
          <w:tcPr>
            <w:tcW w:w="1328" w:type="dxa"/>
          </w:tcPr>
          <w:p w14:paraId="420FEDA5" w14:textId="77777777" w:rsidR="0091371D" w:rsidRPr="0075291A" w:rsidRDefault="0091371D" w:rsidP="005C22C3">
            <w:pPr>
              <w:pStyle w:val="TableColumnHeading"/>
              <w:jc w:val="right"/>
            </w:pPr>
            <w:r w:rsidRPr="0075291A">
              <w:t>Note</w:t>
            </w:r>
          </w:p>
        </w:tc>
        <w:tc>
          <w:tcPr>
            <w:tcW w:w="1632" w:type="dxa"/>
          </w:tcPr>
          <w:p w14:paraId="781C9B8B" w14:textId="77777777" w:rsidR="0091371D" w:rsidRPr="0075291A" w:rsidRDefault="0091371D" w:rsidP="005C22C3">
            <w:pPr>
              <w:pStyle w:val="TableColumnHeading"/>
              <w:jc w:val="right"/>
            </w:pPr>
            <w:r w:rsidRPr="0075291A">
              <w:t xml:space="preserve">2023 ($ thousand) </w:t>
            </w:r>
          </w:p>
        </w:tc>
        <w:tc>
          <w:tcPr>
            <w:tcW w:w="1632" w:type="dxa"/>
          </w:tcPr>
          <w:p w14:paraId="7C882412" w14:textId="77777777" w:rsidR="0091371D" w:rsidRPr="0075291A" w:rsidRDefault="0091371D" w:rsidP="005C22C3">
            <w:pPr>
              <w:pStyle w:val="TableColumnHeading"/>
              <w:jc w:val="right"/>
            </w:pPr>
            <w:r w:rsidRPr="0075291A">
              <w:t>2022 ($ thousand)</w:t>
            </w:r>
          </w:p>
        </w:tc>
      </w:tr>
      <w:tr w:rsidR="000756EB" w:rsidRPr="0091371D" w14:paraId="429661D6" w14:textId="77777777" w:rsidTr="005C22C3">
        <w:trPr>
          <w:trHeight w:val="113"/>
        </w:trPr>
        <w:tc>
          <w:tcPr>
            <w:tcW w:w="5665" w:type="dxa"/>
          </w:tcPr>
          <w:p w14:paraId="2CD2EE2B" w14:textId="545F9CC5" w:rsidR="000756EB" w:rsidRPr="0091371D" w:rsidRDefault="004A4D88" w:rsidP="0091371D">
            <w:pPr>
              <w:pStyle w:val="TableHeading"/>
            </w:pPr>
            <w:r w:rsidRPr="0091371D">
              <w:t>Cash</w:t>
            </w:r>
            <w:r w:rsidR="00A03629" w:rsidRPr="0091371D">
              <w:t xml:space="preserve"> </w:t>
            </w:r>
            <w:r w:rsidRPr="0091371D">
              <w:t>flows</w:t>
            </w:r>
            <w:r w:rsidR="00A03629" w:rsidRPr="0091371D">
              <w:t xml:space="preserve"> </w:t>
            </w:r>
            <w:r w:rsidRPr="0091371D">
              <w:t>from</w:t>
            </w:r>
            <w:r w:rsidR="00A03629" w:rsidRPr="0091371D">
              <w:t xml:space="preserve"> </w:t>
            </w:r>
            <w:r w:rsidRPr="0091371D">
              <w:t>operating</w:t>
            </w:r>
            <w:r w:rsidR="00A03629" w:rsidRPr="0091371D">
              <w:t xml:space="preserve"> </w:t>
            </w:r>
            <w:r w:rsidRPr="0091371D">
              <w:t>activities</w:t>
            </w:r>
          </w:p>
        </w:tc>
        <w:tc>
          <w:tcPr>
            <w:tcW w:w="1328" w:type="dxa"/>
          </w:tcPr>
          <w:p w14:paraId="3307AF54" w14:textId="77777777" w:rsidR="000756EB" w:rsidRPr="0091371D" w:rsidRDefault="000756EB" w:rsidP="005C22C3">
            <w:pPr>
              <w:pStyle w:val="TableHeading"/>
              <w:jc w:val="right"/>
            </w:pPr>
          </w:p>
        </w:tc>
        <w:tc>
          <w:tcPr>
            <w:tcW w:w="1632" w:type="dxa"/>
          </w:tcPr>
          <w:p w14:paraId="48DDFCD6" w14:textId="77777777" w:rsidR="000756EB" w:rsidRPr="0091371D" w:rsidRDefault="000756EB" w:rsidP="005C22C3">
            <w:pPr>
              <w:pStyle w:val="TableHeading"/>
              <w:jc w:val="right"/>
            </w:pPr>
          </w:p>
        </w:tc>
        <w:tc>
          <w:tcPr>
            <w:tcW w:w="1632" w:type="dxa"/>
          </w:tcPr>
          <w:p w14:paraId="073976FC" w14:textId="77777777" w:rsidR="000756EB" w:rsidRPr="0091371D" w:rsidRDefault="000756EB" w:rsidP="005C22C3">
            <w:pPr>
              <w:pStyle w:val="TableHeading"/>
              <w:jc w:val="right"/>
            </w:pPr>
          </w:p>
        </w:tc>
      </w:tr>
      <w:tr w:rsidR="000756EB" w:rsidRPr="0091371D" w14:paraId="155BC490" w14:textId="77777777" w:rsidTr="005C22C3">
        <w:trPr>
          <w:trHeight w:val="113"/>
        </w:trPr>
        <w:tc>
          <w:tcPr>
            <w:tcW w:w="5665" w:type="dxa"/>
          </w:tcPr>
          <w:p w14:paraId="1E3422BD" w14:textId="77777777" w:rsidR="000756EB" w:rsidRPr="0091371D" w:rsidRDefault="004A4D88" w:rsidP="0091371D">
            <w:pPr>
              <w:pStyle w:val="TableHeading"/>
            </w:pPr>
            <w:r w:rsidRPr="0091371D">
              <w:t>Receipts</w:t>
            </w:r>
          </w:p>
        </w:tc>
        <w:tc>
          <w:tcPr>
            <w:tcW w:w="1328" w:type="dxa"/>
          </w:tcPr>
          <w:p w14:paraId="512577E3" w14:textId="77777777" w:rsidR="000756EB" w:rsidRPr="0091371D" w:rsidRDefault="000756EB" w:rsidP="005C22C3">
            <w:pPr>
              <w:pStyle w:val="TableHeading"/>
              <w:jc w:val="right"/>
            </w:pPr>
          </w:p>
        </w:tc>
        <w:tc>
          <w:tcPr>
            <w:tcW w:w="1632" w:type="dxa"/>
          </w:tcPr>
          <w:p w14:paraId="25752764" w14:textId="77777777" w:rsidR="000756EB" w:rsidRPr="0091371D" w:rsidRDefault="000756EB" w:rsidP="005C22C3">
            <w:pPr>
              <w:pStyle w:val="TableHeading"/>
              <w:jc w:val="right"/>
            </w:pPr>
          </w:p>
        </w:tc>
        <w:tc>
          <w:tcPr>
            <w:tcW w:w="1632" w:type="dxa"/>
          </w:tcPr>
          <w:p w14:paraId="1A74FEB2" w14:textId="77777777" w:rsidR="000756EB" w:rsidRPr="0091371D" w:rsidRDefault="000756EB" w:rsidP="005C22C3">
            <w:pPr>
              <w:pStyle w:val="TableHeading"/>
              <w:jc w:val="right"/>
            </w:pPr>
          </w:p>
        </w:tc>
      </w:tr>
      <w:tr w:rsidR="000756EB" w:rsidRPr="0091371D" w14:paraId="4223BA3D" w14:textId="77777777" w:rsidTr="005C22C3">
        <w:trPr>
          <w:trHeight w:val="113"/>
        </w:trPr>
        <w:tc>
          <w:tcPr>
            <w:tcW w:w="5665" w:type="dxa"/>
          </w:tcPr>
          <w:p w14:paraId="7C90903E" w14:textId="1B0DC848" w:rsidR="000756EB" w:rsidRPr="0091371D" w:rsidRDefault="004A4D88" w:rsidP="0091371D">
            <w:pPr>
              <w:pStyle w:val="TableCopy"/>
            </w:pPr>
            <w:r w:rsidRPr="0091371D">
              <w:t>Receipts</w:t>
            </w:r>
            <w:r w:rsidR="00A03629" w:rsidRPr="0091371D">
              <w:t xml:space="preserve"> </w:t>
            </w:r>
            <w:r w:rsidRPr="0091371D">
              <w:t>from</w:t>
            </w:r>
            <w:r w:rsidR="00A03629" w:rsidRPr="0091371D">
              <w:t xml:space="preserve"> </w:t>
            </w:r>
            <w:r w:rsidRPr="0091371D">
              <w:t>Victorian</w:t>
            </w:r>
            <w:r w:rsidR="00A03629" w:rsidRPr="0091371D">
              <w:t xml:space="preserve"> </w:t>
            </w:r>
            <w:r w:rsidRPr="0091371D">
              <w:t>Government</w:t>
            </w:r>
          </w:p>
        </w:tc>
        <w:tc>
          <w:tcPr>
            <w:tcW w:w="1328" w:type="dxa"/>
          </w:tcPr>
          <w:p w14:paraId="50FA82BF" w14:textId="77777777" w:rsidR="000756EB" w:rsidRPr="0091371D" w:rsidRDefault="000756EB" w:rsidP="005C22C3">
            <w:pPr>
              <w:pStyle w:val="TableCopy"/>
              <w:jc w:val="right"/>
            </w:pPr>
          </w:p>
        </w:tc>
        <w:tc>
          <w:tcPr>
            <w:tcW w:w="1632" w:type="dxa"/>
          </w:tcPr>
          <w:p w14:paraId="3576CCB4" w14:textId="721CCF27" w:rsidR="000756EB" w:rsidRPr="0091371D" w:rsidRDefault="004A4D88" w:rsidP="005C22C3">
            <w:pPr>
              <w:pStyle w:val="TableCopy"/>
              <w:jc w:val="right"/>
            </w:pPr>
            <w:r w:rsidRPr="0091371D">
              <w:t>3,616,830</w:t>
            </w:r>
          </w:p>
        </w:tc>
        <w:tc>
          <w:tcPr>
            <w:tcW w:w="1632" w:type="dxa"/>
          </w:tcPr>
          <w:p w14:paraId="2997DDC6" w14:textId="5643EE5F" w:rsidR="000756EB" w:rsidRPr="0091371D" w:rsidRDefault="004A4D88" w:rsidP="005C22C3">
            <w:pPr>
              <w:pStyle w:val="TableCopy"/>
              <w:jc w:val="right"/>
            </w:pPr>
            <w:r w:rsidRPr="0091371D">
              <w:t>10,771,916</w:t>
            </w:r>
          </w:p>
        </w:tc>
      </w:tr>
      <w:tr w:rsidR="000756EB" w:rsidRPr="0091371D" w14:paraId="6413DAE8" w14:textId="77777777" w:rsidTr="005C22C3">
        <w:trPr>
          <w:trHeight w:val="113"/>
        </w:trPr>
        <w:tc>
          <w:tcPr>
            <w:tcW w:w="5665" w:type="dxa"/>
          </w:tcPr>
          <w:p w14:paraId="6FAC90AC" w14:textId="72AD3F4B" w:rsidR="000756EB" w:rsidRPr="0091371D" w:rsidRDefault="004A4D88" w:rsidP="0091371D">
            <w:pPr>
              <w:pStyle w:val="TableCopy"/>
            </w:pPr>
            <w:r w:rsidRPr="0091371D">
              <w:t>Receipts</w:t>
            </w:r>
            <w:r w:rsidR="00A03629" w:rsidRPr="0091371D">
              <w:t xml:space="preserve"> </w:t>
            </w:r>
            <w:r w:rsidRPr="0091371D">
              <w:t>from</w:t>
            </w:r>
            <w:r w:rsidR="00A03629" w:rsidRPr="0091371D">
              <w:t xml:space="preserve"> </w:t>
            </w:r>
            <w:r w:rsidRPr="0091371D">
              <w:t>other</w:t>
            </w:r>
            <w:r w:rsidR="00A03629" w:rsidRPr="0091371D">
              <w:t xml:space="preserve"> </w:t>
            </w:r>
            <w:r w:rsidRPr="0091371D">
              <w:t>entities</w:t>
            </w:r>
          </w:p>
        </w:tc>
        <w:tc>
          <w:tcPr>
            <w:tcW w:w="1328" w:type="dxa"/>
          </w:tcPr>
          <w:p w14:paraId="4A370082" w14:textId="77777777" w:rsidR="000756EB" w:rsidRPr="0091371D" w:rsidRDefault="000756EB" w:rsidP="005C22C3">
            <w:pPr>
              <w:pStyle w:val="TableCopy"/>
              <w:jc w:val="right"/>
            </w:pPr>
          </w:p>
        </w:tc>
        <w:tc>
          <w:tcPr>
            <w:tcW w:w="1632" w:type="dxa"/>
          </w:tcPr>
          <w:p w14:paraId="3B1B55F7" w14:textId="071C9F3D" w:rsidR="000756EB" w:rsidRPr="0091371D" w:rsidRDefault="004A4D88" w:rsidP="005C22C3">
            <w:pPr>
              <w:pStyle w:val="TableCopy"/>
              <w:jc w:val="right"/>
            </w:pPr>
            <w:r w:rsidRPr="0091371D">
              <w:t>328,952</w:t>
            </w:r>
          </w:p>
        </w:tc>
        <w:tc>
          <w:tcPr>
            <w:tcW w:w="1632" w:type="dxa"/>
          </w:tcPr>
          <w:p w14:paraId="22BDBD4C" w14:textId="701589C6" w:rsidR="000756EB" w:rsidRPr="0091371D" w:rsidRDefault="004A4D88" w:rsidP="005C22C3">
            <w:pPr>
              <w:pStyle w:val="TableCopy"/>
              <w:jc w:val="right"/>
            </w:pPr>
            <w:r w:rsidRPr="0091371D">
              <w:t>243,933</w:t>
            </w:r>
          </w:p>
        </w:tc>
      </w:tr>
      <w:tr w:rsidR="000756EB" w:rsidRPr="0091371D" w14:paraId="68B0419E" w14:textId="77777777" w:rsidTr="005C22C3">
        <w:trPr>
          <w:trHeight w:val="113"/>
        </w:trPr>
        <w:tc>
          <w:tcPr>
            <w:tcW w:w="5665" w:type="dxa"/>
          </w:tcPr>
          <w:p w14:paraId="68C1EF5D" w14:textId="7AB7C1FF" w:rsidR="000756EB" w:rsidRPr="0091371D" w:rsidRDefault="004A4D88" w:rsidP="0091371D">
            <w:pPr>
              <w:pStyle w:val="TableCopy"/>
            </w:pPr>
            <w:r w:rsidRPr="0091371D">
              <w:t>Goods</w:t>
            </w:r>
            <w:r w:rsidR="00A03629" w:rsidRPr="0091371D">
              <w:t xml:space="preserve"> </w:t>
            </w:r>
            <w:r w:rsidRPr="0091371D">
              <w:t>and</w:t>
            </w:r>
            <w:r w:rsidR="00A03629" w:rsidRPr="0091371D">
              <w:t xml:space="preserve"> </w:t>
            </w:r>
            <w:r w:rsidRPr="0091371D">
              <w:t>Services</w:t>
            </w:r>
            <w:r w:rsidR="00A03629" w:rsidRPr="0091371D">
              <w:t xml:space="preserve"> </w:t>
            </w:r>
            <w:r w:rsidRPr="0091371D">
              <w:t>Tax</w:t>
            </w:r>
            <w:r w:rsidR="00A03629" w:rsidRPr="0091371D">
              <w:t xml:space="preserve"> </w:t>
            </w:r>
            <w:r w:rsidRPr="0091371D">
              <w:t>recovered</w:t>
            </w:r>
            <w:r w:rsidR="00A03629" w:rsidRPr="0091371D">
              <w:t xml:space="preserve"> </w:t>
            </w:r>
            <w:r w:rsidRPr="0091371D">
              <w:t>from</w:t>
            </w:r>
            <w:r w:rsidR="00A03629" w:rsidRPr="0091371D">
              <w:t xml:space="preserve"> </w:t>
            </w:r>
            <w:r w:rsidRPr="0091371D">
              <w:t>the</w:t>
            </w:r>
            <w:r w:rsidR="00A03629" w:rsidRPr="0091371D">
              <w:t xml:space="preserve"> </w:t>
            </w:r>
            <w:r w:rsidRPr="0091371D">
              <w:t>ATO</w:t>
            </w:r>
            <w:r w:rsidR="00A03629" w:rsidRPr="0091371D">
              <w:t xml:space="preserve"> </w:t>
            </w:r>
            <w:r w:rsidRPr="00614829">
              <w:rPr>
                <w:rStyle w:val="FootnotereferencessuperscriptMisc"/>
              </w:rPr>
              <w:t>(ii)</w:t>
            </w:r>
          </w:p>
        </w:tc>
        <w:tc>
          <w:tcPr>
            <w:tcW w:w="1328" w:type="dxa"/>
          </w:tcPr>
          <w:p w14:paraId="7308B100" w14:textId="77777777" w:rsidR="000756EB" w:rsidRPr="0091371D" w:rsidRDefault="000756EB" w:rsidP="005C22C3">
            <w:pPr>
              <w:pStyle w:val="TableCopy"/>
              <w:jc w:val="right"/>
            </w:pPr>
          </w:p>
        </w:tc>
        <w:tc>
          <w:tcPr>
            <w:tcW w:w="1632" w:type="dxa"/>
          </w:tcPr>
          <w:p w14:paraId="2F7B549F" w14:textId="05536DFD" w:rsidR="000756EB" w:rsidRPr="0091371D" w:rsidRDefault="004A4D88" w:rsidP="005C22C3">
            <w:pPr>
              <w:pStyle w:val="TableCopy"/>
              <w:jc w:val="right"/>
            </w:pPr>
            <w:r w:rsidRPr="0091371D">
              <w:t>267,450</w:t>
            </w:r>
          </w:p>
        </w:tc>
        <w:tc>
          <w:tcPr>
            <w:tcW w:w="1632" w:type="dxa"/>
          </w:tcPr>
          <w:p w14:paraId="296A28E9" w14:textId="6CAF3C87" w:rsidR="000756EB" w:rsidRPr="0091371D" w:rsidRDefault="004A4D88" w:rsidP="005C22C3">
            <w:pPr>
              <w:pStyle w:val="TableCopy"/>
              <w:jc w:val="right"/>
            </w:pPr>
            <w:r w:rsidRPr="0091371D">
              <w:t>247,197</w:t>
            </w:r>
          </w:p>
        </w:tc>
      </w:tr>
      <w:tr w:rsidR="000756EB" w:rsidRPr="0091371D" w14:paraId="3719EE5E" w14:textId="77777777" w:rsidTr="005C22C3">
        <w:trPr>
          <w:trHeight w:val="113"/>
        </w:trPr>
        <w:tc>
          <w:tcPr>
            <w:tcW w:w="5665" w:type="dxa"/>
          </w:tcPr>
          <w:p w14:paraId="4CD23578" w14:textId="40B37EAA" w:rsidR="000756EB" w:rsidRPr="0091371D" w:rsidRDefault="004A4D88" w:rsidP="0091371D">
            <w:pPr>
              <w:pStyle w:val="TableCopy"/>
            </w:pPr>
            <w:r w:rsidRPr="0091371D">
              <w:t>Sale</w:t>
            </w:r>
            <w:r w:rsidR="00A03629" w:rsidRPr="0091371D">
              <w:t xml:space="preserve"> </w:t>
            </w:r>
            <w:r w:rsidRPr="0091371D">
              <w:t>of</w:t>
            </w:r>
            <w:r w:rsidR="00A03629" w:rsidRPr="0091371D">
              <w:t xml:space="preserve"> </w:t>
            </w:r>
            <w:r w:rsidRPr="0091371D">
              <w:t>services</w:t>
            </w:r>
          </w:p>
        </w:tc>
        <w:tc>
          <w:tcPr>
            <w:tcW w:w="1328" w:type="dxa"/>
          </w:tcPr>
          <w:p w14:paraId="375A2C17" w14:textId="77777777" w:rsidR="000756EB" w:rsidRPr="0091371D" w:rsidRDefault="000756EB" w:rsidP="005C22C3">
            <w:pPr>
              <w:pStyle w:val="TableCopy"/>
              <w:jc w:val="right"/>
            </w:pPr>
          </w:p>
        </w:tc>
        <w:tc>
          <w:tcPr>
            <w:tcW w:w="1632" w:type="dxa"/>
          </w:tcPr>
          <w:p w14:paraId="195A2CA0" w14:textId="19B1FB09" w:rsidR="000756EB" w:rsidRPr="0091371D" w:rsidRDefault="004A4D88" w:rsidP="005C22C3">
            <w:pPr>
              <w:pStyle w:val="TableCopy"/>
              <w:jc w:val="right"/>
            </w:pPr>
            <w:r w:rsidRPr="0091371D">
              <w:t>10,052</w:t>
            </w:r>
          </w:p>
        </w:tc>
        <w:tc>
          <w:tcPr>
            <w:tcW w:w="1632" w:type="dxa"/>
          </w:tcPr>
          <w:p w14:paraId="336EA76E" w14:textId="5BF842A3" w:rsidR="000756EB" w:rsidRPr="0091371D" w:rsidRDefault="004A4D88" w:rsidP="005C22C3">
            <w:pPr>
              <w:pStyle w:val="TableCopy"/>
              <w:jc w:val="right"/>
            </w:pPr>
            <w:r w:rsidRPr="0091371D">
              <w:t>29,756</w:t>
            </w:r>
          </w:p>
        </w:tc>
      </w:tr>
      <w:tr w:rsidR="000756EB" w:rsidRPr="0091371D" w14:paraId="6D603D90" w14:textId="77777777" w:rsidTr="005C22C3">
        <w:trPr>
          <w:trHeight w:val="113"/>
        </w:trPr>
        <w:tc>
          <w:tcPr>
            <w:tcW w:w="5665" w:type="dxa"/>
          </w:tcPr>
          <w:p w14:paraId="78DA69F5" w14:textId="4F9F1088" w:rsidR="000756EB" w:rsidRPr="0091371D" w:rsidRDefault="004A4D88" w:rsidP="0091371D">
            <w:pPr>
              <w:pStyle w:val="TableCopy"/>
            </w:pPr>
            <w:r w:rsidRPr="0091371D">
              <w:t>Interest</w:t>
            </w:r>
            <w:r w:rsidR="00A03629" w:rsidRPr="0091371D">
              <w:t xml:space="preserve"> </w:t>
            </w:r>
            <w:r w:rsidRPr="0091371D">
              <w:t>received</w:t>
            </w:r>
          </w:p>
        </w:tc>
        <w:tc>
          <w:tcPr>
            <w:tcW w:w="1328" w:type="dxa"/>
          </w:tcPr>
          <w:p w14:paraId="6E1FC5BA" w14:textId="77777777" w:rsidR="000756EB" w:rsidRPr="0091371D" w:rsidRDefault="000756EB" w:rsidP="005C22C3">
            <w:pPr>
              <w:pStyle w:val="TableCopy"/>
              <w:jc w:val="right"/>
            </w:pPr>
          </w:p>
        </w:tc>
        <w:tc>
          <w:tcPr>
            <w:tcW w:w="1632" w:type="dxa"/>
          </w:tcPr>
          <w:p w14:paraId="53F155CC" w14:textId="5E215429" w:rsidR="000756EB" w:rsidRPr="0091371D" w:rsidRDefault="004A4D88" w:rsidP="005C22C3">
            <w:pPr>
              <w:pStyle w:val="TableCopy"/>
              <w:jc w:val="right"/>
            </w:pPr>
            <w:r w:rsidRPr="0091371D">
              <w:t>7,725</w:t>
            </w:r>
          </w:p>
        </w:tc>
        <w:tc>
          <w:tcPr>
            <w:tcW w:w="1632" w:type="dxa"/>
          </w:tcPr>
          <w:p w14:paraId="6C755C3B" w14:textId="3FA686C8" w:rsidR="000756EB" w:rsidRPr="0091371D" w:rsidRDefault="004A4D88" w:rsidP="005C22C3">
            <w:pPr>
              <w:pStyle w:val="TableCopy"/>
              <w:jc w:val="right"/>
            </w:pPr>
            <w:r w:rsidRPr="0091371D">
              <w:t>2,570</w:t>
            </w:r>
          </w:p>
        </w:tc>
      </w:tr>
      <w:tr w:rsidR="000756EB" w:rsidRPr="0091371D" w14:paraId="55231A6D" w14:textId="77777777" w:rsidTr="005C22C3">
        <w:trPr>
          <w:trHeight w:val="113"/>
        </w:trPr>
        <w:tc>
          <w:tcPr>
            <w:tcW w:w="5665" w:type="dxa"/>
          </w:tcPr>
          <w:p w14:paraId="2026C084" w14:textId="53030D1C" w:rsidR="000756EB" w:rsidRPr="0091371D" w:rsidRDefault="004A4D88" w:rsidP="0091371D">
            <w:pPr>
              <w:pStyle w:val="TableCopy"/>
              <w:rPr>
                <w:b/>
                <w:bCs/>
              </w:rPr>
            </w:pPr>
            <w:r w:rsidRPr="0091371D">
              <w:rPr>
                <w:b/>
                <w:bCs/>
              </w:rPr>
              <w:t>Total</w:t>
            </w:r>
            <w:r w:rsidR="00A03629" w:rsidRPr="0091371D">
              <w:rPr>
                <w:b/>
                <w:bCs/>
              </w:rPr>
              <w:t xml:space="preserve"> </w:t>
            </w:r>
            <w:r w:rsidRPr="0091371D">
              <w:rPr>
                <w:b/>
                <w:bCs/>
              </w:rPr>
              <w:t>receipts</w:t>
            </w:r>
          </w:p>
        </w:tc>
        <w:tc>
          <w:tcPr>
            <w:tcW w:w="1328" w:type="dxa"/>
          </w:tcPr>
          <w:p w14:paraId="09B43D88" w14:textId="77777777" w:rsidR="000756EB" w:rsidRPr="0091371D" w:rsidRDefault="000756EB" w:rsidP="005C22C3">
            <w:pPr>
              <w:pStyle w:val="TableCopy"/>
              <w:jc w:val="right"/>
              <w:rPr>
                <w:b/>
                <w:bCs/>
              </w:rPr>
            </w:pPr>
          </w:p>
        </w:tc>
        <w:tc>
          <w:tcPr>
            <w:tcW w:w="1632" w:type="dxa"/>
          </w:tcPr>
          <w:p w14:paraId="62A93903" w14:textId="728D70FB" w:rsidR="000756EB" w:rsidRPr="0091371D" w:rsidRDefault="004A4D88" w:rsidP="005C22C3">
            <w:pPr>
              <w:pStyle w:val="TableCopy"/>
              <w:jc w:val="right"/>
              <w:rPr>
                <w:b/>
                <w:bCs/>
              </w:rPr>
            </w:pPr>
            <w:r w:rsidRPr="0091371D">
              <w:rPr>
                <w:b/>
                <w:bCs/>
              </w:rPr>
              <w:t>4,231,009</w:t>
            </w:r>
          </w:p>
        </w:tc>
        <w:tc>
          <w:tcPr>
            <w:tcW w:w="1632" w:type="dxa"/>
          </w:tcPr>
          <w:p w14:paraId="10FD012F" w14:textId="37345494" w:rsidR="000756EB" w:rsidRPr="0091371D" w:rsidRDefault="004A4D88" w:rsidP="005C22C3">
            <w:pPr>
              <w:pStyle w:val="TableCopy"/>
              <w:jc w:val="right"/>
              <w:rPr>
                <w:b/>
                <w:bCs/>
              </w:rPr>
            </w:pPr>
            <w:r w:rsidRPr="0091371D">
              <w:rPr>
                <w:b/>
                <w:bCs/>
              </w:rPr>
              <w:t>11,295,372</w:t>
            </w:r>
          </w:p>
        </w:tc>
      </w:tr>
      <w:tr w:rsidR="000756EB" w:rsidRPr="0091371D" w14:paraId="70FAF7BA" w14:textId="77777777" w:rsidTr="005C22C3">
        <w:trPr>
          <w:trHeight w:val="113"/>
        </w:trPr>
        <w:tc>
          <w:tcPr>
            <w:tcW w:w="5665" w:type="dxa"/>
          </w:tcPr>
          <w:p w14:paraId="66F37096" w14:textId="77777777" w:rsidR="000756EB" w:rsidRPr="0091371D" w:rsidRDefault="004A4D88" w:rsidP="0091371D">
            <w:pPr>
              <w:pStyle w:val="TableHeading"/>
            </w:pPr>
            <w:r w:rsidRPr="0091371D">
              <w:lastRenderedPageBreak/>
              <w:t>Payments</w:t>
            </w:r>
          </w:p>
        </w:tc>
        <w:tc>
          <w:tcPr>
            <w:tcW w:w="1328" w:type="dxa"/>
          </w:tcPr>
          <w:p w14:paraId="24332155" w14:textId="77777777" w:rsidR="000756EB" w:rsidRPr="0091371D" w:rsidRDefault="000756EB" w:rsidP="005C22C3">
            <w:pPr>
              <w:pStyle w:val="TableHeading"/>
              <w:jc w:val="right"/>
            </w:pPr>
          </w:p>
        </w:tc>
        <w:tc>
          <w:tcPr>
            <w:tcW w:w="1632" w:type="dxa"/>
          </w:tcPr>
          <w:p w14:paraId="58927080" w14:textId="77777777" w:rsidR="000756EB" w:rsidRPr="0091371D" w:rsidRDefault="000756EB" w:rsidP="005C22C3">
            <w:pPr>
              <w:pStyle w:val="TableHeading"/>
              <w:jc w:val="right"/>
            </w:pPr>
          </w:p>
        </w:tc>
        <w:tc>
          <w:tcPr>
            <w:tcW w:w="1632" w:type="dxa"/>
          </w:tcPr>
          <w:p w14:paraId="04F2C84D" w14:textId="77777777" w:rsidR="000756EB" w:rsidRPr="0091371D" w:rsidRDefault="000756EB" w:rsidP="005C22C3">
            <w:pPr>
              <w:pStyle w:val="TableHeading"/>
              <w:jc w:val="right"/>
            </w:pPr>
          </w:p>
        </w:tc>
      </w:tr>
      <w:tr w:rsidR="000756EB" w:rsidRPr="0091371D" w14:paraId="655D3A0B" w14:textId="77777777" w:rsidTr="005C22C3">
        <w:trPr>
          <w:trHeight w:val="338"/>
        </w:trPr>
        <w:tc>
          <w:tcPr>
            <w:tcW w:w="5665" w:type="dxa"/>
          </w:tcPr>
          <w:p w14:paraId="66FE9EE4" w14:textId="0286C2AB" w:rsidR="000756EB" w:rsidRPr="0091371D" w:rsidRDefault="004A4D88" w:rsidP="0091371D">
            <w:pPr>
              <w:pStyle w:val="TableCopy"/>
            </w:pPr>
            <w:r w:rsidRPr="0091371D">
              <w:t>Payments</w:t>
            </w:r>
            <w:r w:rsidR="00A03629" w:rsidRPr="0091371D">
              <w:t xml:space="preserve"> </w:t>
            </w:r>
            <w:r w:rsidRPr="0091371D">
              <w:t>of</w:t>
            </w:r>
            <w:r w:rsidR="00A03629" w:rsidRPr="0091371D">
              <w:t xml:space="preserve"> </w:t>
            </w:r>
            <w:r w:rsidRPr="0091371D">
              <w:t>grants</w:t>
            </w:r>
            <w:r w:rsidR="00A03629" w:rsidRPr="0091371D">
              <w:t xml:space="preserve"> </w:t>
            </w:r>
            <w:r w:rsidRPr="0091371D">
              <w:t>and</w:t>
            </w:r>
            <w:r w:rsidR="00A03629" w:rsidRPr="0091371D">
              <w:t xml:space="preserve"> </w:t>
            </w:r>
            <w:r w:rsidRPr="0091371D">
              <w:t>other</w:t>
            </w:r>
            <w:r w:rsidR="00A03629" w:rsidRPr="0091371D">
              <w:t xml:space="preserve"> </w:t>
            </w:r>
            <w:r w:rsidRPr="0091371D">
              <w:t>transfers</w:t>
            </w:r>
          </w:p>
        </w:tc>
        <w:tc>
          <w:tcPr>
            <w:tcW w:w="1328" w:type="dxa"/>
          </w:tcPr>
          <w:p w14:paraId="512288A3" w14:textId="77777777" w:rsidR="000756EB" w:rsidRPr="0091371D" w:rsidRDefault="000756EB" w:rsidP="005C22C3">
            <w:pPr>
              <w:pStyle w:val="TableCopy"/>
              <w:jc w:val="right"/>
            </w:pPr>
          </w:p>
        </w:tc>
        <w:tc>
          <w:tcPr>
            <w:tcW w:w="1632" w:type="dxa"/>
          </w:tcPr>
          <w:p w14:paraId="34E0C010" w14:textId="77777777" w:rsidR="000756EB" w:rsidRPr="0091371D" w:rsidRDefault="004A4D88" w:rsidP="005C22C3">
            <w:pPr>
              <w:pStyle w:val="TableCopy"/>
              <w:jc w:val="right"/>
            </w:pPr>
            <w:r w:rsidRPr="0091371D">
              <w:t>(2,847,858)</w:t>
            </w:r>
          </w:p>
        </w:tc>
        <w:tc>
          <w:tcPr>
            <w:tcW w:w="1632" w:type="dxa"/>
          </w:tcPr>
          <w:p w14:paraId="2D350067" w14:textId="77777777" w:rsidR="000756EB" w:rsidRPr="0091371D" w:rsidRDefault="004A4D88" w:rsidP="005C22C3">
            <w:pPr>
              <w:pStyle w:val="TableCopy"/>
              <w:jc w:val="right"/>
            </w:pPr>
            <w:r w:rsidRPr="0091371D">
              <w:t>(9,846,715)</w:t>
            </w:r>
          </w:p>
        </w:tc>
      </w:tr>
      <w:tr w:rsidR="000756EB" w:rsidRPr="0091371D" w14:paraId="5A4A3119" w14:textId="77777777" w:rsidTr="005C22C3">
        <w:trPr>
          <w:trHeight w:val="113"/>
        </w:trPr>
        <w:tc>
          <w:tcPr>
            <w:tcW w:w="5665" w:type="dxa"/>
          </w:tcPr>
          <w:p w14:paraId="4488B4E7" w14:textId="7CF47BDE" w:rsidR="000756EB" w:rsidRPr="0091371D" w:rsidRDefault="004A4D88" w:rsidP="0091371D">
            <w:pPr>
              <w:pStyle w:val="TableCopy"/>
            </w:pPr>
            <w:r w:rsidRPr="0091371D">
              <w:t>Payments</w:t>
            </w:r>
            <w:r w:rsidR="00A03629" w:rsidRPr="0091371D">
              <w:t xml:space="preserve"> </w:t>
            </w:r>
            <w:r w:rsidRPr="0091371D">
              <w:t>to</w:t>
            </w:r>
            <w:r w:rsidR="00A03629" w:rsidRPr="0091371D">
              <w:t xml:space="preserve"> </w:t>
            </w:r>
            <w:r w:rsidRPr="0091371D">
              <w:t>suppliers</w:t>
            </w:r>
            <w:r w:rsidR="00A03629" w:rsidRPr="0091371D">
              <w:t xml:space="preserve"> </w:t>
            </w:r>
            <w:r w:rsidRPr="0091371D">
              <w:t>and</w:t>
            </w:r>
            <w:r w:rsidR="00A03629" w:rsidRPr="0091371D">
              <w:t xml:space="preserve"> </w:t>
            </w:r>
            <w:r w:rsidRPr="0091371D">
              <w:t>employees</w:t>
            </w:r>
          </w:p>
        </w:tc>
        <w:tc>
          <w:tcPr>
            <w:tcW w:w="1328" w:type="dxa"/>
          </w:tcPr>
          <w:p w14:paraId="4B90D3E4" w14:textId="77777777" w:rsidR="000756EB" w:rsidRPr="0091371D" w:rsidRDefault="000756EB" w:rsidP="005C22C3">
            <w:pPr>
              <w:pStyle w:val="TableCopy"/>
              <w:jc w:val="right"/>
            </w:pPr>
          </w:p>
        </w:tc>
        <w:tc>
          <w:tcPr>
            <w:tcW w:w="1632" w:type="dxa"/>
          </w:tcPr>
          <w:p w14:paraId="0E1DA0BB" w14:textId="77777777" w:rsidR="000756EB" w:rsidRPr="0091371D" w:rsidRDefault="004A4D88" w:rsidP="005C22C3">
            <w:pPr>
              <w:pStyle w:val="TableCopy"/>
              <w:jc w:val="right"/>
            </w:pPr>
            <w:r w:rsidRPr="0091371D">
              <w:t>(1,126,040)</w:t>
            </w:r>
          </w:p>
        </w:tc>
        <w:tc>
          <w:tcPr>
            <w:tcW w:w="1632" w:type="dxa"/>
          </w:tcPr>
          <w:p w14:paraId="21ABE3AD" w14:textId="77777777" w:rsidR="000756EB" w:rsidRPr="0091371D" w:rsidRDefault="004A4D88" w:rsidP="005C22C3">
            <w:pPr>
              <w:pStyle w:val="TableCopy"/>
              <w:jc w:val="right"/>
            </w:pPr>
            <w:r w:rsidRPr="0091371D">
              <w:t>(1,227,225)</w:t>
            </w:r>
          </w:p>
        </w:tc>
      </w:tr>
      <w:tr w:rsidR="000756EB" w:rsidRPr="0091371D" w14:paraId="022ED28E" w14:textId="77777777" w:rsidTr="005C22C3">
        <w:trPr>
          <w:trHeight w:val="113"/>
        </w:trPr>
        <w:tc>
          <w:tcPr>
            <w:tcW w:w="5665" w:type="dxa"/>
          </w:tcPr>
          <w:p w14:paraId="6B4A7055" w14:textId="408D9E33" w:rsidR="000756EB" w:rsidRPr="0091371D" w:rsidRDefault="004A4D88" w:rsidP="0091371D">
            <w:pPr>
              <w:pStyle w:val="TableCopy"/>
            </w:pPr>
            <w:r w:rsidRPr="0091371D">
              <w:t>Interest</w:t>
            </w:r>
            <w:r w:rsidR="00A03629" w:rsidRPr="0091371D">
              <w:t xml:space="preserve"> </w:t>
            </w:r>
            <w:r w:rsidRPr="0091371D">
              <w:t>and</w:t>
            </w:r>
            <w:r w:rsidR="00A03629" w:rsidRPr="0091371D">
              <w:t xml:space="preserve"> </w:t>
            </w:r>
            <w:r w:rsidRPr="0091371D">
              <w:t>other</w:t>
            </w:r>
            <w:r w:rsidR="00A03629" w:rsidRPr="0091371D">
              <w:t xml:space="preserve"> </w:t>
            </w:r>
            <w:r w:rsidRPr="0091371D">
              <w:t>costs</w:t>
            </w:r>
            <w:r w:rsidR="00A03629" w:rsidRPr="0091371D">
              <w:t xml:space="preserve"> </w:t>
            </w:r>
            <w:r w:rsidRPr="0091371D">
              <w:t>of</w:t>
            </w:r>
            <w:r w:rsidR="00A03629" w:rsidRPr="0091371D">
              <w:t xml:space="preserve"> </w:t>
            </w:r>
            <w:r w:rsidRPr="0091371D">
              <w:t>finance</w:t>
            </w:r>
            <w:r w:rsidR="00A03629" w:rsidRPr="0091371D">
              <w:t xml:space="preserve"> </w:t>
            </w:r>
            <w:r w:rsidRPr="0091371D">
              <w:t>paid</w:t>
            </w:r>
          </w:p>
        </w:tc>
        <w:tc>
          <w:tcPr>
            <w:tcW w:w="1328" w:type="dxa"/>
          </w:tcPr>
          <w:p w14:paraId="21C46E6F" w14:textId="77777777" w:rsidR="000756EB" w:rsidRPr="0091371D" w:rsidRDefault="000756EB" w:rsidP="005C22C3">
            <w:pPr>
              <w:pStyle w:val="TableCopy"/>
              <w:jc w:val="right"/>
            </w:pPr>
          </w:p>
        </w:tc>
        <w:tc>
          <w:tcPr>
            <w:tcW w:w="1632" w:type="dxa"/>
          </w:tcPr>
          <w:p w14:paraId="07CD4E0D" w14:textId="77777777" w:rsidR="000756EB" w:rsidRPr="0091371D" w:rsidRDefault="004A4D88" w:rsidP="005C22C3">
            <w:pPr>
              <w:pStyle w:val="TableCopy"/>
              <w:jc w:val="right"/>
            </w:pPr>
            <w:r w:rsidRPr="0091371D">
              <w:t>(13,467)</w:t>
            </w:r>
          </w:p>
        </w:tc>
        <w:tc>
          <w:tcPr>
            <w:tcW w:w="1632" w:type="dxa"/>
          </w:tcPr>
          <w:p w14:paraId="6A380543" w14:textId="77777777" w:rsidR="000756EB" w:rsidRPr="0091371D" w:rsidRDefault="004A4D88" w:rsidP="005C22C3">
            <w:pPr>
              <w:pStyle w:val="TableCopy"/>
              <w:jc w:val="right"/>
            </w:pPr>
            <w:r w:rsidRPr="0091371D">
              <w:t>(26,221)</w:t>
            </w:r>
          </w:p>
        </w:tc>
      </w:tr>
      <w:tr w:rsidR="000756EB" w:rsidRPr="0091371D" w14:paraId="1DF5C839" w14:textId="77777777" w:rsidTr="005C22C3">
        <w:trPr>
          <w:trHeight w:val="113"/>
        </w:trPr>
        <w:tc>
          <w:tcPr>
            <w:tcW w:w="5665" w:type="dxa"/>
          </w:tcPr>
          <w:p w14:paraId="595044B0" w14:textId="1BAD3519" w:rsidR="000756EB" w:rsidRPr="0091371D" w:rsidRDefault="004A4D88" w:rsidP="0091371D">
            <w:pPr>
              <w:pStyle w:val="TableCopy"/>
              <w:rPr>
                <w:b/>
                <w:bCs/>
              </w:rPr>
            </w:pPr>
            <w:r w:rsidRPr="0091371D">
              <w:rPr>
                <w:b/>
                <w:bCs/>
              </w:rPr>
              <w:t>Total</w:t>
            </w:r>
            <w:r w:rsidR="00A03629" w:rsidRPr="0091371D">
              <w:rPr>
                <w:b/>
                <w:bCs/>
              </w:rPr>
              <w:t xml:space="preserve"> </w:t>
            </w:r>
            <w:r w:rsidRPr="0091371D">
              <w:rPr>
                <w:b/>
                <w:bCs/>
              </w:rPr>
              <w:t>payments</w:t>
            </w:r>
          </w:p>
        </w:tc>
        <w:tc>
          <w:tcPr>
            <w:tcW w:w="1328" w:type="dxa"/>
          </w:tcPr>
          <w:p w14:paraId="7767E921" w14:textId="77777777" w:rsidR="000756EB" w:rsidRPr="0091371D" w:rsidRDefault="000756EB" w:rsidP="005C22C3">
            <w:pPr>
              <w:pStyle w:val="TableCopy"/>
              <w:jc w:val="right"/>
              <w:rPr>
                <w:b/>
                <w:bCs/>
              </w:rPr>
            </w:pPr>
          </w:p>
        </w:tc>
        <w:tc>
          <w:tcPr>
            <w:tcW w:w="1632" w:type="dxa"/>
          </w:tcPr>
          <w:p w14:paraId="68679BFC" w14:textId="77777777" w:rsidR="000756EB" w:rsidRPr="0091371D" w:rsidRDefault="004A4D88" w:rsidP="005C22C3">
            <w:pPr>
              <w:pStyle w:val="TableCopy"/>
              <w:jc w:val="right"/>
              <w:rPr>
                <w:b/>
                <w:bCs/>
              </w:rPr>
            </w:pPr>
            <w:r w:rsidRPr="0091371D">
              <w:rPr>
                <w:b/>
                <w:bCs/>
              </w:rPr>
              <w:t>(3,987,364)</w:t>
            </w:r>
          </w:p>
        </w:tc>
        <w:tc>
          <w:tcPr>
            <w:tcW w:w="1632" w:type="dxa"/>
          </w:tcPr>
          <w:p w14:paraId="69D7FC45" w14:textId="77777777" w:rsidR="000756EB" w:rsidRPr="0091371D" w:rsidRDefault="004A4D88" w:rsidP="005C22C3">
            <w:pPr>
              <w:pStyle w:val="TableCopy"/>
              <w:jc w:val="right"/>
              <w:rPr>
                <w:b/>
                <w:bCs/>
              </w:rPr>
            </w:pPr>
            <w:r w:rsidRPr="0091371D">
              <w:rPr>
                <w:b/>
                <w:bCs/>
              </w:rPr>
              <w:t>(11,100,161)</w:t>
            </w:r>
          </w:p>
        </w:tc>
      </w:tr>
      <w:tr w:rsidR="000756EB" w:rsidRPr="0091371D" w14:paraId="1A9403BC" w14:textId="77777777" w:rsidTr="005C22C3">
        <w:trPr>
          <w:trHeight w:val="113"/>
        </w:trPr>
        <w:tc>
          <w:tcPr>
            <w:tcW w:w="5665" w:type="dxa"/>
          </w:tcPr>
          <w:p w14:paraId="601A11F7" w14:textId="6DC8736F" w:rsidR="000756EB" w:rsidRPr="0091371D" w:rsidRDefault="004A4D88" w:rsidP="0091371D">
            <w:pPr>
              <w:pStyle w:val="TableCopy"/>
              <w:rPr>
                <w:b/>
                <w:bCs/>
              </w:rPr>
            </w:pPr>
            <w:r w:rsidRPr="0091371D">
              <w:rPr>
                <w:b/>
                <w:bCs/>
              </w:rPr>
              <w:t>Net</w:t>
            </w:r>
            <w:r w:rsidR="00A03629" w:rsidRPr="0091371D">
              <w:rPr>
                <w:b/>
                <w:bCs/>
              </w:rPr>
              <w:t xml:space="preserve"> </w:t>
            </w:r>
            <w:r w:rsidRPr="0091371D">
              <w:rPr>
                <w:b/>
                <w:bCs/>
              </w:rPr>
              <w:t>cash</w:t>
            </w:r>
            <w:r w:rsidR="00A03629" w:rsidRPr="0091371D">
              <w:rPr>
                <w:b/>
                <w:bCs/>
              </w:rPr>
              <w:t xml:space="preserve"> </w:t>
            </w:r>
            <w:r w:rsidRPr="0091371D">
              <w:rPr>
                <w:b/>
                <w:bCs/>
              </w:rPr>
              <w:t>flows</w:t>
            </w:r>
            <w:r w:rsidR="00A03629" w:rsidRPr="0091371D">
              <w:rPr>
                <w:b/>
                <w:bCs/>
              </w:rPr>
              <w:t xml:space="preserve"> </w:t>
            </w:r>
            <w:r w:rsidRPr="0091371D">
              <w:rPr>
                <w:b/>
                <w:bCs/>
              </w:rPr>
              <w:t>from</w:t>
            </w:r>
            <w:r w:rsidR="00A03629" w:rsidRPr="0091371D">
              <w:rPr>
                <w:b/>
                <w:bCs/>
              </w:rPr>
              <w:t xml:space="preserve"> </w:t>
            </w:r>
            <w:r w:rsidRPr="0091371D">
              <w:rPr>
                <w:b/>
                <w:bCs/>
              </w:rPr>
              <w:t>operating</w:t>
            </w:r>
            <w:r w:rsidR="00A03629" w:rsidRPr="0091371D">
              <w:rPr>
                <w:b/>
                <w:bCs/>
              </w:rPr>
              <w:t xml:space="preserve"> </w:t>
            </w:r>
            <w:r w:rsidRPr="0091371D">
              <w:rPr>
                <w:b/>
                <w:bCs/>
              </w:rPr>
              <w:t>activities</w:t>
            </w:r>
          </w:p>
        </w:tc>
        <w:tc>
          <w:tcPr>
            <w:tcW w:w="1328" w:type="dxa"/>
          </w:tcPr>
          <w:p w14:paraId="6330179B" w14:textId="77777777" w:rsidR="000756EB" w:rsidRPr="0091371D" w:rsidRDefault="004A4D88" w:rsidP="005C22C3">
            <w:pPr>
              <w:pStyle w:val="TableCopy"/>
              <w:jc w:val="right"/>
              <w:rPr>
                <w:b/>
                <w:bCs/>
              </w:rPr>
            </w:pPr>
            <w:r w:rsidRPr="0091371D">
              <w:rPr>
                <w:b/>
                <w:bCs/>
              </w:rPr>
              <w:t>7.3.2</w:t>
            </w:r>
          </w:p>
        </w:tc>
        <w:tc>
          <w:tcPr>
            <w:tcW w:w="1632" w:type="dxa"/>
          </w:tcPr>
          <w:p w14:paraId="47067E35" w14:textId="6D9D944B" w:rsidR="000756EB" w:rsidRPr="0091371D" w:rsidRDefault="004A4D88" w:rsidP="005C22C3">
            <w:pPr>
              <w:pStyle w:val="TableCopy"/>
              <w:jc w:val="right"/>
              <w:rPr>
                <w:b/>
                <w:bCs/>
              </w:rPr>
            </w:pPr>
            <w:r w:rsidRPr="0091371D">
              <w:rPr>
                <w:b/>
                <w:bCs/>
              </w:rPr>
              <w:t>243,645</w:t>
            </w:r>
          </w:p>
        </w:tc>
        <w:tc>
          <w:tcPr>
            <w:tcW w:w="1632" w:type="dxa"/>
          </w:tcPr>
          <w:p w14:paraId="5F249C7B" w14:textId="514EFBFA" w:rsidR="000756EB" w:rsidRPr="0091371D" w:rsidRDefault="004A4D88" w:rsidP="005C22C3">
            <w:pPr>
              <w:pStyle w:val="TableCopy"/>
              <w:jc w:val="right"/>
              <w:rPr>
                <w:b/>
                <w:bCs/>
              </w:rPr>
            </w:pPr>
            <w:r w:rsidRPr="0091371D">
              <w:rPr>
                <w:b/>
                <w:bCs/>
              </w:rPr>
              <w:t>195,211</w:t>
            </w:r>
          </w:p>
        </w:tc>
      </w:tr>
      <w:tr w:rsidR="000756EB" w:rsidRPr="0091371D" w14:paraId="4C0EAAE2" w14:textId="77777777" w:rsidTr="005C22C3">
        <w:trPr>
          <w:trHeight w:val="113"/>
        </w:trPr>
        <w:tc>
          <w:tcPr>
            <w:tcW w:w="5665" w:type="dxa"/>
          </w:tcPr>
          <w:p w14:paraId="544B92BA" w14:textId="4DA1EB59" w:rsidR="000756EB" w:rsidRPr="0091371D" w:rsidRDefault="004A4D88" w:rsidP="0091371D">
            <w:pPr>
              <w:pStyle w:val="TableHeading"/>
            </w:pPr>
            <w:r w:rsidRPr="0091371D">
              <w:t>Cash</w:t>
            </w:r>
            <w:r w:rsidR="00A03629" w:rsidRPr="0091371D">
              <w:t xml:space="preserve"> </w:t>
            </w:r>
            <w:r w:rsidRPr="0091371D">
              <w:t>flows</w:t>
            </w:r>
            <w:r w:rsidR="00A03629" w:rsidRPr="0091371D">
              <w:t xml:space="preserve"> </w:t>
            </w:r>
            <w:r w:rsidRPr="0091371D">
              <w:t>from</w:t>
            </w:r>
            <w:r w:rsidR="00A03629" w:rsidRPr="0091371D">
              <w:t xml:space="preserve"> </w:t>
            </w:r>
            <w:r w:rsidRPr="0091371D">
              <w:t>investing</w:t>
            </w:r>
            <w:r w:rsidR="00A03629" w:rsidRPr="0091371D">
              <w:t xml:space="preserve"> </w:t>
            </w:r>
            <w:r w:rsidRPr="0091371D">
              <w:t>activities</w:t>
            </w:r>
          </w:p>
        </w:tc>
        <w:tc>
          <w:tcPr>
            <w:tcW w:w="1328" w:type="dxa"/>
          </w:tcPr>
          <w:p w14:paraId="7248C5BB" w14:textId="77777777" w:rsidR="000756EB" w:rsidRPr="0091371D" w:rsidRDefault="000756EB" w:rsidP="005C22C3">
            <w:pPr>
              <w:pStyle w:val="TableHeading"/>
              <w:jc w:val="right"/>
            </w:pPr>
          </w:p>
        </w:tc>
        <w:tc>
          <w:tcPr>
            <w:tcW w:w="1632" w:type="dxa"/>
          </w:tcPr>
          <w:p w14:paraId="6CD680CE" w14:textId="77777777" w:rsidR="000756EB" w:rsidRPr="0091371D" w:rsidRDefault="000756EB" w:rsidP="005C22C3">
            <w:pPr>
              <w:pStyle w:val="TableHeading"/>
              <w:jc w:val="right"/>
            </w:pPr>
          </w:p>
        </w:tc>
        <w:tc>
          <w:tcPr>
            <w:tcW w:w="1632" w:type="dxa"/>
          </w:tcPr>
          <w:p w14:paraId="7C1851FF" w14:textId="77777777" w:rsidR="000756EB" w:rsidRPr="0091371D" w:rsidRDefault="000756EB" w:rsidP="005C22C3">
            <w:pPr>
              <w:pStyle w:val="TableHeading"/>
              <w:jc w:val="right"/>
            </w:pPr>
          </w:p>
        </w:tc>
      </w:tr>
      <w:tr w:rsidR="000756EB" w:rsidRPr="0091371D" w14:paraId="168AEFA0" w14:textId="77777777" w:rsidTr="005C22C3">
        <w:trPr>
          <w:trHeight w:val="113"/>
        </w:trPr>
        <w:tc>
          <w:tcPr>
            <w:tcW w:w="5665" w:type="dxa"/>
          </w:tcPr>
          <w:p w14:paraId="69BE74B2" w14:textId="7DF7F344" w:rsidR="000756EB" w:rsidRPr="0091371D" w:rsidRDefault="004A4D88" w:rsidP="0091371D">
            <w:pPr>
              <w:pStyle w:val="TableCopy"/>
            </w:pPr>
            <w:r w:rsidRPr="0091371D">
              <w:t>Proceeds</w:t>
            </w:r>
            <w:r w:rsidR="00A03629" w:rsidRPr="0091371D">
              <w:t xml:space="preserve"> </w:t>
            </w:r>
            <w:r w:rsidRPr="0091371D">
              <w:t>from</w:t>
            </w:r>
            <w:r w:rsidR="00A03629" w:rsidRPr="0091371D">
              <w:t xml:space="preserve"> </w:t>
            </w:r>
            <w:r w:rsidRPr="0091371D">
              <w:t>sale</w:t>
            </w:r>
            <w:r w:rsidR="00A03629" w:rsidRPr="0091371D">
              <w:t xml:space="preserve"> </w:t>
            </w:r>
            <w:r w:rsidRPr="0091371D">
              <w:t>of</w:t>
            </w:r>
            <w:r w:rsidR="00A03629" w:rsidRPr="0091371D">
              <w:t xml:space="preserve"> </w:t>
            </w:r>
            <w:r w:rsidRPr="0091371D">
              <w:t>property,</w:t>
            </w:r>
            <w:r w:rsidR="00A03629" w:rsidRPr="0091371D">
              <w:t xml:space="preserve"> </w:t>
            </w:r>
            <w:proofErr w:type="gramStart"/>
            <w:r w:rsidRPr="0091371D">
              <w:t>plant</w:t>
            </w:r>
            <w:proofErr w:type="gramEnd"/>
            <w:r w:rsidR="00A03629" w:rsidRPr="0091371D">
              <w:t xml:space="preserve"> </w:t>
            </w:r>
            <w:r w:rsidRPr="0091371D">
              <w:t>and</w:t>
            </w:r>
            <w:r w:rsidR="00A03629" w:rsidRPr="0091371D">
              <w:t xml:space="preserve"> </w:t>
            </w:r>
            <w:r w:rsidRPr="0091371D">
              <w:t>equipment</w:t>
            </w:r>
          </w:p>
        </w:tc>
        <w:tc>
          <w:tcPr>
            <w:tcW w:w="1328" w:type="dxa"/>
          </w:tcPr>
          <w:p w14:paraId="4A8FAD46" w14:textId="77777777" w:rsidR="000756EB" w:rsidRPr="0091371D" w:rsidRDefault="000756EB" w:rsidP="005C22C3">
            <w:pPr>
              <w:pStyle w:val="TableCopy"/>
              <w:jc w:val="right"/>
            </w:pPr>
          </w:p>
        </w:tc>
        <w:tc>
          <w:tcPr>
            <w:tcW w:w="1632" w:type="dxa"/>
          </w:tcPr>
          <w:p w14:paraId="04F743C1" w14:textId="77777777" w:rsidR="000756EB" w:rsidRPr="0091371D" w:rsidRDefault="004A4D88" w:rsidP="005C22C3">
            <w:pPr>
              <w:pStyle w:val="TableCopy"/>
              <w:jc w:val="right"/>
            </w:pPr>
            <w:r w:rsidRPr="0091371D">
              <w:t>3,662</w:t>
            </w:r>
          </w:p>
        </w:tc>
        <w:tc>
          <w:tcPr>
            <w:tcW w:w="1632" w:type="dxa"/>
          </w:tcPr>
          <w:p w14:paraId="1CEEF71E" w14:textId="5E25940A" w:rsidR="000756EB" w:rsidRPr="0091371D" w:rsidRDefault="004A4D88" w:rsidP="005C22C3">
            <w:pPr>
              <w:pStyle w:val="TableCopy"/>
              <w:jc w:val="right"/>
            </w:pPr>
            <w:r w:rsidRPr="0091371D">
              <w:t>1,380</w:t>
            </w:r>
          </w:p>
        </w:tc>
      </w:tr>
      <w:tr w:rsidR="000756EB" w:rsidRPr="0091371D" w14:paraId="63CE836D" w14:textId="77777777" w:rsidTr="005C22C3">
        <w:trPr>
          <w:trHeight w:val="113"/>
        </w:trPr>
        <w:tc>
          <w:tcPr>
            <w:tcW w:w="5665" w:type="dxa"/>
          </w:tcPr>
          <w:p w14:paraId="6B1789AA" w14:textId="73E14229" w:rsidR="000756EB" w:rsidRPr="0091371D" w:rsidRDefault="004A4D88" w:rsidP="0091371D">
            <w:pPr>
              <w:pStyle w:val="TableCopy"/>
            </w:pPr>
            <w:r w:rsidRPr="0091371D">
              <w:t>Payments</w:t>
            </w:r>
            <w:r w:rsidR="00A03629" w:rsidRPr="0091371D">
              <w:t xml:space="preserve"> </w:t>
            </w:r>
            <w:r w:rsidRPr="0091371D">
              <w:t>for</w:t>
            </w:r>
            <w:r w:rsidR="00A03629" w:rsidRPr="0091371D">
              <w:t xml:space="preserve"> </w:t>
            </w:r>
            <w:r w:rsidRPr="0091371D">
              <w:t>property,</w:t>
            </w:r>
            <w:r w:rsidR="00A03629" w:rsidRPr="0091371D">
              <w:t xml:space="preserve"> </w:t>
            </w:r>
            <w:proofErr w:type="gramStart"/>
            <w:r w:rsidRPr="0091371D">
              <w:t>plant</w:t>
            </w:r>
            <w:proofErr w:type="gramEnd"/>
            <w:r w:rsidR="00A03629" w:rsidRPr="0091371D">
              <w:t xml:space="preserve"> </w:t>
            </w:r>
            <w:r w:rsidRPr="0091371D">
              <w:t>and</w:t>
            </w:r>
            <w:r w:rsidR="00A03629" w:rsidRPr="0091371D">
              <w:t xml:space="preserve"> </w:t>
            </w:r>
            <w:r w:rsidRPr="0091371D">
              <w:t>equipment</w:t>
            </w:r>
          </w:p>
        </w:tc>
        <w:tc>
          <w:tcPr>
            <w:tcW w:w="1328" w:type="dxa"/>
          </w:tcPr>
          <w:p w14:paraId="010935F9" w14:textId="77777777" w:rsidR="000756EB" w:rsidRPr="0091371D" w:rsidRDefault="000756EB" w:rsidP="005C22C3">
            <w:pPr>
              <w:pStyle w:val="TableCopy"/>
              <w:jc w:val="right"/>
            </w:pPr>
          </w:p>
        </w:tc>
        <w:tc>
          <w:tcPr>
            <w:tcW w:w="1632" w:type="dxa"/>
          </w:tcPr>
          <w:p w14:paraId="596844A2" w14:textId="62AD24E3" w:rsidR="000756EB" w:rsidRPr="0091371D" w:rsidRDefault="004A4D88" w:rsidP="005C22C3">
            <w:pPr>
              <w:pStyle w:val="TableCopy"/>
              <w:jc w:val="right"/>
            </w:pPr>
            <w:r w:rsidRPr="0091371D">
              <w:t>(239,014)</w:t>
            </w:r>
          </w:p>
        </w:tc>
        <w:tc>
          <w:tcPr>
            <w:tcW w:w="1632" w:type="dxa"/>
          </w:tcPr>
          <w:p w14:paraId="101DD705" w14:textId="77777777" w:rsidR="000756EB" w:rsidRPr="0091371D" w:rsidRDefault="004A4D88" w:rsidP="005C22C3">
            <w:pPr>
              <w:pStyle w:val="TableCopy"/>
              <w:jc w:val="right"/>
            </w:pPr>
            <w:r w:rsidRPr="0091371D">
              <w:t>(36,179)</w:t>
            </w:r>
          </w:p>
        </w:tc>
      </w:tr>
      <w:tr w:rsidR="000756EB" w:rsidRPr="0091371D" w14:paraId="3422DF01" w14:textId="77777777" w:rsidTr="005C22C3">
        <w:trPr>
          <w:trHeight w:val="113"/>
        </w:trPr>
        <w:tc>
          <w:tcPr>
            <w:tcW w:w="5665" w:type="dxa"/>
          </w:tcPr>
          <w:p w14:paraId="0494D7AD" w14:textId="570C767D" w:rsidR="000756EB" w:rsidRPr="0091371D" w:rsidRDefault="004A4D88" w:rsidP="0091371D">
            <w:pPr>
              <w:pStyle w:val="TableCopy"/>
              <w:rPr>
                <w:b/>
                <w:bCs/>
              </w:rPr>
            </w:pPr>
            <w:r w:rsidRPr="0091371D">
              <w:rPr>
                <w:b/>
                <w:bCs/>
              </w:rPr>
              <w:t>Net</w:t>
            </w:r>
            <w:r w:rsidR="00A03629" w:rsidRPr="0091371D">
              <w:rPr>
                <w:b/>
                <w:bCs/>
              </w:rPr>
              <w:t xml:space="preserve"> </w:t>
            </w:r>
            <w:r w:rsidRPr="0091371D">
              <w:rPr>
                <w:b/>
                <w:bCs/>
              </w:rPr>
              <w:t>cash</w:t>
            </w:r>
            <w:r w:rsidR="00A03629" w:rsidRPr="0091371D">
              <w:rPr>
                <w:b/>
                <w:bCs/>
              </w:rPr>
              <w:t xml:space="preserve"> </w:t>
            </w:r>
            <w:r w:rsidRPr="0091371D">
              <w:rPr>
                <w:b/>
                <w:bCs/>
              </w:rPr>
              <w:t>flows</w:t>
            </w:r>
            <w:r w:rsidR="00A03629" w:rsidRPr="0091371D">
              <w:rPr>
                <w:b/>
                <w:bCs/>
              </w:rPr>
              <w:t xml:space="preserve"> </w:t>
            </w:r>
            <w:r w:rsidRPr="0091371D">
              <w:rPr>
                <w:b/>
                <w:bCs/>
              </w:rPr>
              <w:t>used</w:t>
            </w:r>
            <w:r w:rsidR="00A03629" w:rsidRPr="0091371D">
              <w:rPr>
                <w:b/>
                <w:bCs/>
              </w:rPr>
              <w:t xml:space="preserve"> </w:t>
            </w:r>
            <w:r w:rsidRPr="0091371D">
              <w:rPr>
                <w:b/>
                <w:bCs/>
              </w:rPr>
              <w:t>in</w:t>
            </w:r>
            <w:r w:rsidR="00A03629" w:rsidRPr="0091371D">
              <w:rPr>
                <w:b/>
                <w:bCs/>
              </w:rPr>
              <w:t xml:space="preserve"> </w:t>
            </w:r>
            <w:r w:rsidRPr="0091371D">
              <w:rPr>
                <w:b/>
                <w:bCs/>
              </w:rPr>
              <w:t>investing</w:t>
            </w:r>
            <w:r w:rsidR="00A03629" w:rsidRPr="0091371D">
              <w:rPr>
                <w:b/>
                <w:bCs/>
              </w:rPr>
              <w:t xml:space="preserve"> </w:t>
            </w:r>
            <w:r w:rsidRPr="0091371D">
              <w:rPr>
                <w:b/>
                <w:bCs/>
              </w:rPr>
              <w:t>activities</w:t>
            </w:r>
          </w:p>
        </w:tc>
        <w:tc>
          <w:tcPr>
            <w:tcW w:w="1328" w:type="dxa"/>
          </w:tcPr>
          <w:p w14:paraId="5D22AA9D" w14:textId="77777777" w:rsidR="000756EB" w:rsidRPr="0091371D" w:rsidRDefault="000756EB" w:rsidP="005C22C3">
            <w:pPr>
              <w:pStyle w:val="TableCopy"/>
              <w:jc w:val="right"/>
              <w:rPr>
                <w:b/>
                <w:bCs/>
              </w:rPr>
            </w:pPr>
          </w:p>
        </w:tc>
        <w:tc>
          <w:tcPr>
            <w:tcW w:w="1632" w:type="dxa"/>
          </w:tcPr>
          <w:p w14:paraId="15F82DAB" w14:textId="276D0FD4" w:rsidR="000756EB" w:rsidRPr="0091371D" w:rsidRDefault="004A4D88" w:rsidP="005C22C3">
            <w:pPr>
              <w:pStyle w:val="TableCopy"/>
              <w:jc w:val="right"/>
              <w:rPr>
                <w:b/>
                <w:bCs/>
              </w:rPr>
            </w:pPr>
            <w:r w:rsidRPr="0091371D">
              <w:rPr>
                <w:b/>
                <w:bCs/>
              </w:rPr>
              <w:t>(235,352)</w:t>
            </w:r>
          </w:p>
        </w:tc>
        <w:tc>
          <w:tcPr>
            <w:tcW w:w="1632" w:type="dxa"/>
          </w:tcPr>
          <w:p w14:paraId="6CFCAA6C" w14:textId="77777777" w:rsidR="000756EB" w:rsidRPr="0091371D" w:rsidRDefault="004A4D88" w:rsidP="005C22C3">
            <w:pPr>
              <w:pStyle w:val="TableCopy"/>
              <w:jc w:val="right"/>
              <w:rPr>
                <w:b/>
                <w:bCs/>
              </w:rPr>
            </w:pPr>
            <w:r w:rsidRPr="0091371D">
              <w:rPr>
                <w:b/>
                <w:bCs/>
              </w:rPr>
              <w:t>(34,799)</w:t>
            </w:r>
          </w:p>
        </w:tc>
      </w:tr>
      <w:tr w:rsidR="000756EB" w:rsidRPr="0091371D" w14:paraId="6E1047EF" w14:textId="77777777" w:rsidTr="005C22C3">
        <w:trPr>
          <w:trHeight w:val="113"/>
        </w:trPr>
        <w:tc>
          <w:tcPr>
            <w:tcW w:w="5665" w:type="dxa"/>
          </w:tcPr>
          <w:p w14:paraId="44840420" w14:textId="072D5939" w:rsidR="000756EB" w:rsidRPr="0091371D" w:rsidRDefault="004A4D88" w:rsidP="0091371D">
            <w:pPr>
              <w:pStyle w:val="TableHeading"/>
            </w:pPr>
            <w:r w:rsidRPr="0091371D">
              <w:t>Cash</w:t>
            </w:r>
            <w:r w:rsidR="00A03629" w:rsidRPr="0091371D">
              <w:t xml:space="preserve"> </w:t>
            </w:r>
            <w:r w:rsidRPr="0091371D">
              <w:t>flows</w:t>
            </w:r>
            <w:r w:rsidR="00A03629" w:rsidRPr="0091371D">
              <w:t xml:space="preserve"> </w:t>
            </w:r>
            <w:r w:rsidRPr="0091371D">
              <w:t>from</w:t>
            </w:r>
            <w:r w:rsidR="00A03629" w:rsidRPr="0091371D">
              <w:t xml:space="preserve"> </w:t>
            </w:r>
            <w:r w:rsidRPr="0091371D">
              <w:t>financing</w:t>
            </w:r>
            <w:r w:rsidR="00A03629" w:rsidRPr="0091371D">
              <w:t xml:space="preserve"> </w:t>
            </w:r>
            <w:r w:rsidRPr="0091371D">
              <w:t>activities</w:t>
            </w:r>
          </w:p>
        </w:tc>
        <w:tc>
          <w:tcPr>
            <w:tcW w:w="1328" w:type="dxa"/>
          </w:tcPr>
          <w:p w14:paraId="179F0995" w14:textId="77777777" w:rsidR="000756EB" w:rsidRPr="0091371D" w:rsidRDefault="000756EB" w:rsidP="005C22C3">
            <w:pPr>
              <w:pStyle w:val="TableHeading"/>
              <w:jc w:val="right"/>
            </w:pPr>
          </w:p>
        </w:tc>
        <w:tc>
          <w:tcPr>
            <w:tcW w:w="1632" w:type="dxa"/>
          </w:tcPr>
          <w:p w14:paraId="4B3F5752" w14:textId="77777777" w:rsidR="000756EB" w:rsidRPr="0091371D" w:rsidRDefault="000756EB" w:rsidP="005C22C3">
            <w:pPr>
              <w:pStyle w:val="TableHeading"/>
              <w:jc w:val="right"/>
            </w:pPr>
          </w:p>
        </w:tc>
        <w:tc>
          <w:tcPr>
            <w:tcW w:w="1632" w:type="dxa"/>
          </w:tcPr>
          <w:p w14:paraId="5805B57C" w14:textId="77777777" w:rsidR="000756EB" w:rsidRPr="0091371D" w:rsidRDefault="000756EB" w:rsidP="005C22C3">
            <w:pPr>
              <w:pStyle w:val="TableHeading"/>
              <w:jc w:val="right"/>
            </w:pPr>
          </w:p>
        </w:tc>
      </w:tr>
      <w:tr w:rsidR="000756EB" w:rsidRPr="00BF5A69" w14:paraId="220C6F84" w14:textId="77777777" w:rsidTr="005C22C3">
        <w:trPr>
          <w:trHeight w:val="113"/>
        </w:trPr>
        <w:tc>
          <w:tcPr>
            <w:tcW w:w="5665" w:type="dxa"/>
          </w:tcPr>
          <w:p w14:paraId="01A49FA1" w14:textId="13D554DE" w:rsidR="000756EB" w:rsidRPr="00BF5A69" w:rsidRDefault="004A4D88" w:rsidP="00BF5A69">
            <w:pPr>
              <w:pStyle w:val="TableCopy"/>
            </w:pPr>
            <w:r w:rsidRPr="00BF5A69">
              <w:t>Owner</w:t>
            </w:r>
            <w:r w:rsidR="00A03629" w:rsidRPr="00BF5A69">
              <w:t xml:space="preserve"> </w:t>
            </w:r>
            <w:r w:rsidRPr="00BF5A69">
              <w:t>contributions</w:t>
            </w:r>
            <w:r w:rsidR="00A03629" w:rsidRPr="00BF5A69">
              <w:t xml:space="preserve"> </w:t>
            </w:r>
            <w:r w:rsidRPr="00BF5A69">
              <w:t>by</w:t>
            </w:r>
            <w:r w:rsidR="00A03629" w:rsidRPr="00BF5A69">
              <w:t xml:space="preserve"> </w:t>
            </w:r>
            <w:r w:rsidRPr="00BF5A69">
              <w:t>Victorian</w:t>
            </w:r>
            <w:r w:rsidR="00A03629" w:rsidRPr="00BF5A69">
              <w:t xml:space="preserve"> </w:t>
            </w:r>
            <w:r w:rsidRPr="00BF5A69">
              <w:t>Government</w:t>
            </w:r>
          </w:p>
        </w:tc>
        <w:tc>
          <w:tcPr>
            <w:tcW w:w="1328" w:type="dxa"/>
          </w:tcPr>
          <w:p w14:paraId="238C8416" w14:textId="77777777" w:rsidR="000756EB" w:rsidRPr="00BF5A69" w:rsidRDefault="000756EB" w:rsidP="005C22C3">
            <w:pPr>
              <w:pStyle w:val="TableCopy"/>
              <w:jc w:val="right"/>
            </w:pPr>
          </w:p>
        </w:tc>
        <w:tc>
          <w:tcPr>
            <w:tcW w:w="1632" w:type="dxa"/>
          </w:tcPr>
          <w:p w14:paraId="60B3F3FE" w14:textId="1E04F90E" w:rsidR="000756EB" w:rsidRPr="00BF5A69" w:rsidRDefault="004A4D88" w:rsidP="005C22C3">
            <w:pPr>
              <w:pStyle w:val="TableCopy"/>
              <w:jc w:val="right"/>
            </w:pPr>
            <w:r w:rsidRPr="00BF5A69">
              <w:t>325,626</w:t>
            </w:r>
          </w:p>
        </w:tc>
        <w:tc>
          <w:tcPr>
            <w:tcW w:w="1632" w:type="dxa"/>
          </w:tcPr>
          <w:p w14:paraId="72A43EDC" w14:textId="3FD35B0A" w:rsidR="000756EB" w:rsidRPr="00BF5A69" w:rsidRDefault="004A4D88" w:rsidP="005C22C3">
            <w:pPr>
              <w:pStyle w:val="TableCopy"/>
              <w:jc w:val="right"/>
            </w:pPr>
            <w:r w:rsidRPr="00BF5A69">
              <w:t>209,667</w:t>
            </w:r>
          </w:p>
        </w:tc>
      </w:tr>
      <w:tr w:rsidR="000756EB" w:rsidRPr="00BF5A69" w14:paraId="436741E0" w14:textId="77777777" w:rsidTr="005C22C3">
        <w:trPr>
          <w:trHeight w:val="113"/>
        </w:trPr>
        <w:tc>
          <w:tcPr>
            <w:tcW w:w="5665" w:type="dxa"/>
          </w:tcPr>
          <w:p w14:paraId="521EDC84" w14:textId="48EF5EE8" w:rsidR="000756EB" w:rsidRPr="00BF5A69" w:rsidRDefault="004A4D88" w:rsidP="00BF5A69">
            <w:pPr>
              <w:pStyle w:val="TableCopy"/>
            </w:pPr>
            <w:r w:rsidRPr="00BF5A69">
              <w:t>Capital</w:t>
            </w:r>
            <w:r w:rsidR="00A03629" w:rsidRPr="00BF5A69">
              <w:t xml:space="preserve"> </w:t>
            </w:r>
            <w:r w:rsidRPr="00BF5A69">
              <w:t>funding</w:t>
            </w:r>
            <w:r w:rsidR="00A03629" w:rsidRPr="00BF5A69">
              <w:t xml:space="preserve"> </w:t>
            </w:r>
            <w:r w:rsidRPr="00BF5A69">
              <w:t>to</w:t>
            </w:r>
            <w:r w:rsidR="00A03629" w:rsidRPr="00BF5A69">
              <w:t xml:space="preserve"> </w:t>
            </w:r>
            <w:r w:rsidRPr="00BF5A69">
              <w:t>agencies</w:t>
            </w:r>
            <w:r w:rsidR="00A03629" w:rsidRPr="00BF5A69">
              <w:t xml:space="preserve"> </w:t>
            </w:r>
            <w:r w:rsidRPr="00BF5A69">
              <w:t>within</w:t>
            </w:r>
            <w:r w:rsidR="00A03629" w:rsidRPr="00BF5A69">
              <w:t xml:space="preserve"> </w:t>
            </w:r>
            <w:r w:rsidRPr="00BF5A69">
              <w:t>portfolio</w:t>
            </w:r>
          </w:p>
        </w:tc>
        <w:tc>
          <w:tcPr>
            <w:tcW w:w="1328" w:type="dxa"/>
          </w:tcPr>
          <w:p w14:paraId="04FE8B53" w14:textId="77777777" w:rsidR="000756EB" w:rsidRPr="00BF5A69" w:rsidRDefault="000756EB" w:rsidP="005C22C3">
            <w:pPr>
              <w:pStyle w:val="TableCopy"/>
              <w:jc w:val="right"/>
            </w:pPr>
          </w:p>
        </w:tc>
        <w:tc>
          <w:tcPr>
            <w:tcW w:w="1632" w:type="dxa"/>
          </w:tcPr>
          <w:p w14:paraId="34339AB0" w14:textId="77777777" w:rsidR="000756EB" w:rsidRPr="00BF5A69" w:rsidRDefault="004A4D88" w:rsidP="005C22C3">
            <w:pPr>
              <w:pStyle w:val="TableCopy"/>
              <w:jc w:val="right"/>
            </w:pPr>
            <w:r w:rsidRPr="00BF5A69">
              <w:t>(247,964)</w:t>
            </w:r>
          </w:p>
        </w:tc>
        <w:tc>
          <w:tcPr>
            <w:tcW w:w="1632" w:type="dxa"/>
          </w:tcPr>
          <w:p w14:paraId="3AC219DF" w14:textId="77777777" w:rsidR="000756EB" w:rsidRPr="00BF5A69" w:rsidRDefault="004A4D88" w:rsidP="005C22C3">
            <w:pPr>
              <w:pStyle w:val="TableCopy"/>
              <w:jc w:val="right"/>
            </w:pPr>
            <w:r w:rsidRPr="00BF5A69">
              <w:t>(274,540)</w:t>
            </w:r>
          </w:p>
        </w:tc>
      </w:tr>
      <w:tr w:rsidR="000756EB" w:rsidRPr="00BF5A69" w14:paraId="04A51AA7" w14:textId="77777777" w:rsidTr="005C22C3">
        <w:trPr>
          <w:trHeight w:val="113"/>
        </w:trPr>
        <w:tc>
          <w:tcPr>
            <w:tcW w:w="5665" w:type="dxa"/>
          </w:tcPr>
          <w:p w14:paraId="6B56FB40" w14:textId="39E1A796" w:rsidR="000756EB" w:rsidRPr="00BF5A69" w:rsidRDefault="004A4D88" w:rsidP="00BF5A69">
            <w:pPr>
              <w:pStyle w:val="TableCopy"/>
            </w:pPr>
            <w:r w:rsidRPr="00BF5A69">
              <w:t>Cash</w:t>
            </w:r>
            <w:r w:rsidR="00A03629" w:rsidRPr="00BF5A69">
              <w:t xml:space="preserve"> </w:t>
            </w:r>
            <w:r w:rsidRPr="00BF5A69">
              <w:t>received</w:t>
            </w:r>
            <w:r w:rsidR="00A03629" w:rsidRPr="00BF5A69">
              <w:t xml:space="preserve"> </w:t>
            </w:r>
            <w:r w:rsidRPr="00BF5A69">
              <w:t>from</w:t>
            </w:r>
            <w:r w:rsidR="00A03629" w:rsidRPr="00BF5A69">
              <w:t xml:space="preserve"> </w:t>
            </w:r>
            <w:r w:rsidRPr="00BF5A69">
              <w:t>activities</w:t>
            </w:r>
            <w:r w:rsidR="00A03629" w:rsidRPr="00BF5A69">
              <w:t xml:space="preserve"> </w:t>
            </w:r>
            <w:r w:rsidRPr="00BF5A69">
              <w:t>transferred</w:t>
            </w:r>
            <w:r w:rsidR="00A03629" w:rsidRPr="00BF5A69">
              <w:t xml:space="preserve"> </w:t>
            </w:r>
            <w:r w:rsidRPr="00BF5A69">
              <w:t>in</w:t>
            </w:r>
            <w:r w:rsidR="00A03629" w:rsidRPr="00BF5A69">
              <w:t xml:space="preserve"> </w:t>
            </w:r>
            <w:r w:rsidRPr="00BF5A69">
              <w:t>–</w:t>
            </w:r>
            <w:r w:rsidR="00A03629" w:rsidRPr="00BF5A69">
              <w:t xml:space="preserve"> </w:t>
            </w:r>
            <w:r w:rsidRPr="00BF5A69">
              <w:t>machinery</w:t>
            </w:r>
            <w:r w:rsidR="00A03629" w:rsidRPr="00BF5A69">
              <w:t xml:space="preserve"> </w:t>
            </w:r>
            <w:r w:rsidRPr="00BF5A69">
              <w:t>of</w:t>
            </w:r>
            <w:r w:rsidR="00A03629" w:rsidRPr="00BF5A69">
              <w:t xml:space="preserve"> </w:t>
            </w:r>
            <w:r w:rsidRPr="00BF5A69">
              <w:t>government</w:t>
            </w:r>
            <w:r w:rsidR="00A03629" w:rsidRPr="00BF5A69">
              <w:t xml:space="preserve"> </w:t>
            </w:r>
            <w:r w:rsidRPr="00BF5A69">
              <w:t>changes</w:t>
            </w:r>
          </w:p>
        </w:tc>
        <w:tc>
          <w:tcPr>
            <w:tcW w:w="1328" w:type="dxa"/>
          </w:tcPr>
          <w:p w14:paraId="02F1AE08" w14:textId="77777777" w:rsidR="000756EB" w:rsidRPr="00BF5A69" w:rsidRDefault="000756EB" w:rsidP="005C22C3">
            <w:pPr>
              <w:pStyle w:val="TableCopy"/>
              <w:jc w:val="right"/>
            </w:pPr>
          </w:p>
        </w:tc>
        <w:tc>
          <w:tcPr>
            <w:tcW w:w="1632" w:type="dxa"/>
          </w:tcPr>
          <w:p w14:paraId="0CAE0C0D" w14:textId="2A585704" w:rsidR="000756EB" w:rsidRPr="00BF5A69" w:rsidRDefault="004A4D88" w:rsidP="005C22C3">
            <w:pPr>
              <w:pStyle w:val="TableCopy"/>
              <w:jc w:val="right"/>
            </w:pPr>
            <w:r w:rsidRPr="00BF5A69">
              <w:t>63,300</w:t>
            </w:r>
          </w:p>
        </w:tc>
        <w:tc>
          <w:tcPr>
            <w:tcW w:w="1632" w:type="dxa"/>
          </w:tcPr>
          <w:p w14:paraId="0C110979" w14:textId="77777777" w:rsidR="000756EB" w:rsidRPr="00BF5A69" w:rsidRDefault="004A4D88" w:rsidP="005C22C3">
            <w:pPr>
              <w:pStyle w:val="TableCopy"/>
              <w:jc w:val="right"/>
            </w:pPr>
            <w:r w:rsidRPr="00BF5A69">
              <w:t>–</w:t>
            </w:r>
          </w:p>
        </w:tc>
      </w:tr>
      <w:tr w:rsidR="000756EB" w:rsidRPr="00BF5A69" w14:paraId="16DC95EB" w14:textId="77777777" w:rsidTr="005C22C3">
        <w:trPr>
          <w:trHeight w:val="113"/>
        </w:trPr>
        <w:tc>
          <w:tcPr>
            <w:tcW w:w="5665" w:type="dxa"/>
          </w:tcPr>
          <w:p w14:paraId="4CFC29A0" w14:textId="20E6E748" w:rsidR="000756EB" w:rsidRPr="00BF5A69" w:rsidRDefault="004A4D88" w:rsidP="00BF5A69">
            <w:pPr>
              <w:pStyle w:val="TableCopy"/>
            </w:pPr>
            <w:r w:rsidRPr="00BF5A69">
              <w:t>Cash</w:t>
            </w:r>
            <w:r w:rsidR="00A03629" w:rsidRPr="00BF5A69">
              <w:t xml:space="preserve"> </w:t>
            </w:r>
            <w:r w:rsidRPr="00BF5A69">
              <w:t>transferred</w:t>
            </w:r>
            <w:r w:rsidR="00A03629" w:rsidRPr="00BF5A69">
              <w:t xml:space="preserve"> </w:t>
            </w:r>
            <w:r w:rsidRPr="00BF5A69">
              <w:t>on</w:t>
            </w:r>
            <w:r w:rsidR="00A03629" w:rsidRPr="00BF5A69">
              <w:t xml:space="preserve"> </w:t>
            </w:r>
            <w:r w:rsidRPr="00BF5A69">
              <w:t>activities</w:t>
            </w:r>
            <w:r w:rsidR="00A03629" w:rsidRPr="00BF5A69">
              <w:t xml:space="preserve"> </w:t>
            </w:r>
            <w:r w:rsidRPr="00BF5A69">
              <w:t>transferred</w:t>
            </w:r>
            <w:r w:rsidR="00A03629" w:rsidRPr="00BF5A69">
              <w:t xml:space="preserve"> </w:t>
            </w:r>
            <w:r w:rsidRPr="00BF5A69">
              <w:t>out</w:t>
            </w:r>
            <w:r w:rsidR="00A03629" w:rsidRPr="00BF5A69">
              <w:t xml:space="preserve"> </w:t>
            </w:r>
            <w:r w:rsidRPr="00BF5A69">
              <w:t>–</w:t>
            </w:r>
            <w:r w:rsidR="00A03629" w:rsidRPr="00BF5A69">
              <w:t xml:space="preserve"> </w:t>
            </w:r>
            <w:r w:rsidRPr="00BF5A69">
              <w:t>machinery</w:t>
            </w:r>
            <w:r w:rsidR="00A03629" w:rsidRPr="00BF5A69">
              <w:t xml:space="preserve"> </w:t>
            </w:r>
            <w:r w:rsidRPr="00BF5A69">
              <w:t>of</w:t>
            </w:r>
            <w:r w:rsidR="00A03629" w:rsidRPr="00BF5A69">
              <w:t xml:space="preserve"> </w:t>
            </w:r>
            <w:r w:rsidRPr="00BF5A69">
              <w:t>government</w:t>
            </w:r>
            <w:r w:rsidR="00A03629" w:rsidRPr="00BF5A69">
              <w:t xml:space="preserve"> </w:t>
            </w:r>
            <w:r w:rsidRPr="00BF5A69">
              <w:t>changes</w:t>
            </w:r>
          </w:p>
        </w:tc>
        <w:tc>
          <w:tcPr>
            <w:tcW w:w="1328" w:type="dxa"/>
          </w:tcPr>
          <w:p w14:paraId="00D5B177" w14:textId="77777777" w:rsidR="000756EB" w:rsidRPr="00BF5A69" w:rsidRDefault="000756EB" w:rsidP="005C22C3">
            <w:pPr>
              <w:pStyle w:val="TableCopy"/>
              <w:jc w:val="right"/>
            </w:pPr>
          </w:p>
        </w:tc>
        <w:tc>
          <w:tcPr>
            <w:tcW w:w="1632" w:type="dxa"/>
          </w:tcPr>
          <w:p w14:paraId="2105DE53" w14:textId="77777777" w:rsidR="000756EB" w:rsidRPr="00BF5A69" w:rsidRDefault="004A4D88" w:rsidP="005C22C3">
            <w:pPr>
              <w:pStyle w:val="TableCopy"/>
              <w:jc w:val="right"/>
            </w:pPr>
            <w:r w:rsidRPr="00BF5A69">
              <w:t>(198,299)</w:t>
            </w:r>
          </w:p>
        </w:tc>
        <w:tc>
          <w:tcPr>
            <w:tcW w:w="1632" w:type="dxa"/>
          </w:tcPr>
          <w:p w14:paraId="792EE38D" w14:textId="77777777" w:rsidR="000756EB" w:rsidRPr="00BF5A69" w:rsidRDefault="004A4D88" w:rsidP="005C22C3">
            <w:pPr>
              <w:pStyle w:val="TableCopy"/>
              <w:jc w:val="right"/>
            </w:pPr>
            <w:r w:rsidRPr="00BF5A69">
              <w:t>–</w:t>
            </w:r>
          </w:p>
        </w:tc>
      </w:tr>
      <w:tr w:rsidR="000756EB" w:rsidRPr="00BF5A69" w14:paraId="5889C83B" w14:textId="77777777" w:rsidTr="005C22C3">
        <w:trPr>
          <w:trHeight w:val="113"/>
        </w:trPr>
        <w:tc>
          <w:tcPr>
            <w:tcW w:w="5665" w:type="dxa"/>
          </w:tcPr>
          <w:p w14:paraId="277013A4" w14:textId="15573A5B" w:rsidR="000756EB" w:rsidRPr="00BF5A69" w:rsidRDefault="004A4D88" w:rsidP="00BF5A69">
            <w:pPr>
              <w:pStyle w:val="TableCopy"/>
            </w:pPr>
            <w:r w:rsidRPr="00BF5A69">
              <w:t>Repayments</w:t>
            </w:r>
            <w:r w:rsidR="00A03629" w:rsidRPr="00BF5A69">
              <w:t xml:space="preserve"> </w:t>
            </w:r>
            <w:r w:rsidRPr="00BF5A69">
              <w:t>of</w:t>
            </w:r>
            <w:r w:rsidR="00A03629" w:rsidRPr="00BF5A69">
              <w:t xml:space="preserve"> </w:t>
            </w:r>
            <w:r w:rsidRPr="00BF5A69">
              <w:t>borrowings</w:t>
            </w:r>
          </w:p>
        </w:tc>
        <w:tc>
          <w:tcPr>
            <w:tcW w:w="1328" w:type="dxa"/>
          </w:tcPr>
          <w:p w14:paraId="11AE480F" w14:textId="77777777" w:rsidR="000756EB" w:rsidRPr="00BF5A69" w:rsidRDefault="000756EB" w:rsidP="005C22C3">
            <w:pPr>
              <w:pStyle w:val="TableCopy"/>
              <w:jc w:val="right"/>
            </w:pPr>
          </w:p>
        </w:tc>
        <w:tc>
          <w:tcPr>
            <w:tcW w:w="1632" w:type="dxa"/>
          </w:tcPr>
          <w:p w14:paraId="660F13E1" w14:textId="77777777" w:rsidR="000756EB" w:rsidRPr="00BF5A69" w:rsidRDefault="004A4D88" w:rsidP="005C22C3">
            <w:pPr>
              <w:pStyle w:val="TableCopy"/>
              <w:jc w:val="right"/>
            </w:pPr>
            <w:r w:rsidRPr="00BF5A69">
              <w:t>(45,582)</w:t>
            </w:r>
          </w:p>
        </w:tc>
        <w:tc>
          <w:tcPr>
            <w:tcW w:w="1632" w:type="dxa"/>
          </w:tcPr>
          <w:p w14:paraId="6B7A93EC" w14:textId="77777777" w:rsidR="000756EB" w:rsidRPr="00BF5A69" w:rsidRDefault="004A4D88" w:rsidP="005C22C3">
            <w:pPr>
              <w:pStyle w:val="TableCopy"/>
              <w:jc w:val="right"/>
            </w:pPr>
            <w:r w:rsidRPr="00BF5A69">
              <w:t>(107,632)</w:t>
            </w:r>
          </w:p>
        </w:tc>
      </w:tr>
      <w:tr w:rsidR="000756EB" w:rsidRPr="00BF5A69" w14:paraId="44DBDE72" w14:textId="77777777" w:rsidTr="005C22C3">
        <w:trPr>
          <w:trHeight w:val="113"/>
        </w:trPr>
        <w:tc>
          <w:tcPr>
            <w:tcW w:w="5665" w:type="dxa"/>
          </w:tcPr>
          <w:p w14:paraId="38D3773F" w14:textId="6CA610D8" w:rsidR="000756EB" w:rsidRPr="00BF5A69" w:rsidRDefault="004A4D88" w:rsidP="00BF5A69">
            <w:pPr>
              <w:pStyle w:val="TableCopy"/>
              <w:rPr>
                <w:b/>
                <w:bCs/>
              </w:rPr>
            </w:pPr>
            <w:r w:rsidRPr="00BF5A69">
              <w:rPr>
                <w:b/>
                <w:bCs/>
              </w:rPr>
              <w:t>Net</w:t>
            </w:r>
            <w:r w:rsidR="00A03629" w:rsidRPr="00BF5A69">
              <w:rPr>
                <w:b/>
                <w:bCs/>
              </w:rPr>
              <w:t xml:space="preserve"> </w:t>
            </w:r>
            <w:r w:rsidRPr="00BF5A69">
              <w:rPr>
                <w:b/>
                <w:bCs/>
              </w:rPr>
              <w:t>cash</w:t>
            </w:r>
            <w:r w:rsidR="00A03629" w:rsidRPr="00BF5A69">
              <w:rPr>
                <w:b/>
                <w:bCs/>
              </w:rPr>
              <w:t xml:space="preserve"> </w:t>
            </w:r>
            <w:r w:rsidRPr="00BF5A69">
              <w:rPr>
                <w:b/>
                <w:bCs/>
              </w:rPr>
              <w:t>flows</w:t>
            </w:r>
            <w:r w:rsidR="00A03629" w:rsidRPr="00BF5A69">
              <w:rPr>
                <w:b/>
                <w:bCs/>
              </w:rPr>
              <w:t xml:space="preserve"> </w:t>
            </w:r>
            <w:r w:rsidRPr="00BF5A69">
              <w:rPr>
                <w:b/>
                <w:bCs/>
              </w:rPr>
              <w:t>used</w:t>
            </w:r>
            <w:r w:rsidR="00A03629" w:rsidRPr="00BF5A69">
              <w:rPr>
                <w:b/>
                <w:bCs/>
              </w:rPr>
              <w:t xml:space="preserve"> </w:t>
            </w:r>
            <w:r w:rsidRPr="00BF5A69">
              <w:rPr>
                <w:b/>
                <w:bCs/>
              </w:rPr>
              <w:t>in</w:t>
            </w:r>
            <w:r w:rsidR="00A03629" w:rsidRPr="00BF5A69">
              <w:rPr>
                <w:b/>
                <w:bCs/>
              </w:rPr>
              <w:t xml:space="preserve"> </w:t>
            </w:r>
            <w:r w:rsidRPr="00BF5A69">
              <w:rPr>
                <w:b/>
                <w:bCs/>
              </w:rPr>
              <w:t>financing</w:t>
            </w:r>
            <w:r w:rsidR="00A03629" w:rsidRPr="00BF5A69">
              <w:rPr>
                <w:b/>
                <w:bCs/>
              </w:rPr>
              <w:t xml:space="preserve"> </w:t>
            </w:r>
            <w:r w:rsidRPr="00BF5A69">
              <w:rPr>
                <w:b/>
                <w:bCs/>
              </w:rPr>
              <w:t>activities</w:t>
            </w:r>
          </w:p>
        </w:tc>
        <w:tc>
          <w:tcPr>
            <w:tcW w:w="1328" w:type="dxa"/>
          </w:tcPr>
          <w:p w14:paraId="23927060" w14:textId="77777777" w:rsidR="000756EB" w:rsidRPr="00BF5A69" w:rsidRDefault="000756EB" w:rsidP="005C22C3">
            <w:pPr>
              <w:pStyle w:val="TableCopy"/>
              <w:jc w:val="right"/>
              <w:rPr>
                <w:b/>
                <w:bCs/>
              </w:rPr>
            </w:pPr>
          </w:p>
        </w:tc>
        <w:tc>
          <w:tcPr>
            <w:tcW w:w="1632" w:type="dxa"/>
          </w:tcPr>
          <w:p w14:paraId="43EDC71A" w14:textId="77777777" w:rsidR="000756EB" w:rsidRPr="00BF5A69" w:rsidRDefault="004A4D88" w:rsidP="005C22C3">
            <w:pPr>
              <w:pStyle w:val="TableCopy"/>
              <w:jc w:val="right"/>
              <w:rPr>
                <w:b/>
                <w:bCs/>
              </w:rPr>
            </w:pPr>
            <w:r w:rsidRPr="00BF5A69">
              <w:rPr>
                <w:b/>
                <w:bCs/>
              </w:rPr>
              <w:t>(102,920)</w:t>
            </w:r>
          </w:p>
        </w:tc>
        <w:tc>
          <w:tcPr>
            <w:tcW w:w="1632" w:type="dxa"/>
          </w:tcPr>
          <w:p w14:paraId="13FBFB14" w14:textId="77777777" w:rsidR="000756EB" w:rsidRPr="00BF5A69" w:rsidRDefault="004A4D88" w:rsidP="005C22C3">
            <w:pPr>
              <w:pStyle w:val="TableCopy"/>
              <w:jc w:val="right"/>
              <w:rPr>
                <w:b/>
                <w:bCs/>
              </w:rPr>
            </w:pPr>
            <w:r w:rsidRPr="00BF5A69">
              <w:rPr>
                <w:b/>
                <w:bCs/>
              </w:rPr>
              <w:t>(172,505)</w:t>
            </w:r>
          </w:p>
        </w:tc>
      </w:tr>
      <w:tr w:rsidR="000756EB" w:rsidRPr="00BF5A69" w14:paraId="7016EF7E" w14:textId="77777777" w:rsidTr="005C22C3">
        <w:trPr>
          <w:trHeight w:val="113"/>
        </w:trPr>
        <w:tc>
          <w:tcPr>
            <w:tcW w:w="5665" w:type="dxa"/>
          </w:tcPr>
          <w:p w14:paraId="14DB6D02" w14:textId="30CC42A5" w:rsidR="000756EB" w:rsidRPr="00BF5A69" w:rsidRDefault="004A4D88" w:rsidP="00BF5A69">
            <w:pPr>
              <w:pStyle w:val="TableCopy"/>
              <w:rPr>
                <w:b/>
                <w:bCs/>
              </w:rPr>
            </w:pPr>
            <w:r w:rsidRPr="00BF5A69">
              <w:rPr>
                <w:b/>
                <w:bCs/>
              </w:rPr>
              <w:t>Net</w:t>
            </w:r>
            <w:r w:rsidR="00A03629" w:rsidRPr="00BF5A69">
              <w:rPr>
                <w:b/>
                <w:bCs/>
              </w:rPr>
              <w:t xml:space="preserve"> </w:t>
            </w:r>
            <w:r w:rsidRPr="00BF5A69">
              <w:rPr>
                <w:b/>
                <w:bCs/>
              </w:rPr>
              <w:t>decrease</w:t>
            </w:r>
            <w:r w:rsidR="00A03629" w:rsidRPr="00BF5A69">
              <w:rPr>
                <w:b/>
                <w:bCs/>
              </w:rPr>
              <w:t xml:space="preserve"> </w:t>
            </w:r>
            <w:r w:rsidRPr="00BF5A69">
              <w:rPr>
                <w:b/>
                <w:bCs/>
              </w:rPr>
              <w:t>in</w:t>
            </w:r>
            <w:r w:rsidR="00A03629" w:rsidRPr="00BF5A69">
              <w:rPr>
                <w:b/>
                <w:bCs/>
              </w:rPr>
              <w:t xml:space="preserve"> </w:t>
            </w:r>
            <w:r w:rsidRPr="00BF5A69">
              <w:rPr>
                <w:b/>
                <w:bCs/>
              </w:rPr>
              <w:t>cash</w:t>
            </w:r>
            <w:r w:rsidR="00A03629" w:rsidRPr="00BF5A69">
              <w:rPr>
                <w:b/>
                <w:bCs/>
              </w:rPr>
              <w:t xml:space="preserve"> </w:t>
            </w:r>
            <w:r w:rsidRPr="00BF5A69">
              <w:rPr>
                <w:b/>
                <w:bCs/>
              </w:rPr>
              <w:t>and</w:t>
            </w:r>
            <w:r w:rsidR="00A03629" w:rsidRPr="00BF5A69">
              <w:rPr>
                <w:b/>
                <w:bCs/>
              </w:rPr>
              <w:t xml:space="preserve"> </w:t>
            </w:r>
            <w:r w:rsidRPr="00BF5A69">
              <w:rPr>
                <w:b/>
                <w:bCs/>
              </w:rPr>
              <w:t>cash</w:t>
            </w:r>
            <w:r w:rsidR="00A03629" w:rsidRPr="00BF5A69">
              <w:rPr>
                <w:b/>
                <w:bCs/>
              </w:rPr>
              <w:t xml:space="preserve"> </w:t>
            </w:r>
            <w:r w:rsidRPr="00BF5A69">
              <w:rPr>
                <w:b/>
                <w:bCs/>
              </w:rPr>
              <w:t>equivalents</w:t>
            </w:r>
          </w:p>
        </w:tc>
        <w:tc>
          <w:tcPr>
            <w:tcW w:w="1328" w:type="dxa"/>
          </w:tcPr>
          <w:p w14:paraId="40F19B60" w14:textId="77777777" w:rsidR="000756EB" w:rsidRPr="00BF5A69" w:rsidRDefault="000756EB" w:rsidP="005C22C3">
            <w:pPr>
              <w:pStyle w:val="TableCopy"/>
              <w:jc w:val="right"/>
              <w:rPr>
                <w:b/>
                <w:bCs/>
              </w:rPr>
            </w:pPr>
          </w:p>
        </w:tc>
        <w:tc>
          <w:tcPr>
            <w:tcW w:w="1632" w:type="dxa"/>
          </w:tcPr>
          <w:p w14:paraId="0FE28DD1" w14:textId="77777777" w:rsidR="000756EB" w:rsidRPr="00BF5A69" w:rsidRDefault="004A4D88" w:rsidP="005C22C3">
            <w:pPr>
              <w:pStyle w:val="TableCopy"/>
              <w:jc w:val="right"/>
              <w:rPr>
                <w:b/>
                <w:bCs/>
              </w:rPr>
            </w:pPr>
            <w:r w:rsidRPr="00BF5A69">
              <w:rPr>
                <w:b/>
                <w:bCs/>
              </w:rPr>
              <w:t>(94,627)</w:t>
            </w:r>
          </w:p>
        </w:tc>
        <w:tc>
          <w:tcPr>
            <w:tcW w:w="1632" w:type="dxa"/>
          </w:tcPr>
          <w:p w14:paraId="01673989" w14:textId="77777777" w:rsidR="000756EB" w:rsidRPr="00BF5A69" w:rsidRDefault="004A4D88" w:rsidP="005C22C3">
            <w:pPr>
              <w:pStyle w:val="TableCopy"/>
              <w:jc w:val="right"/>
              <w:rPr>
                <w:b/>
                <w:bCs/>
              </w:rPr>
            </w:pPr>
            <w:r w:rsidRPr="00BF5A69">
              <w:rPr>
                <w:b/>
                <w:bCs/>
              </w:rPr>
              <w:t>(12,093)</w:t>
            </w:r>
          </w:p>
        </w:tc>
      </w:tr>
      <w:tr w:rsidR="000756EB" w:rsidRPr="00BF5A69" w14:paraId="57DE3DAB" w14:textId="77777777" w:rsidTr="005C22C3">
        <w:trPr>
          <w:trHeight w:val="113"/>
        </w:trPr>
        <w:tc>
          <w:tcPr>
            <w:tcW w:w="5665" w:type="dxa"/>
          </w:tcPr>
          <w:p w14:paraId="73F0BBAD" w14:textId="02F6569F" w:rsidR="000756EB" w:rsidRPr="00BF5A69" w:rsidRDefault="004A4D88" w:rsidP="00BF5A69">
            <w:pPr>
              <w:pStyle w:val="TableCopy"/>
            </w:pPr>
            <w:r w:rsidRPr="00BF5A69">
              <w:t>Cash</w:t>
            </w:r>
            <w:r w:rsidR="00A03629" w:rsidRPr="00BF5A69">
              <w:t xml:space="preserve"> </w:t>
            </w:r>
            <w:r w:rsidRPr="00BF5A69">
              <w:t>and</w:t>
            </w:r>
            <w:r w:rsidR="00A03629" w:rsidRPr="00BF5A69">
              <w:t xml:space="preserve"> </w:t>
            </w:r>
            <w:r w:rsidRPr="00BF5A69">
              <w:t>cash</w:t>
            </w:r>
            <w:r w:rsidR="00A03629" w:rsidRPr="00BF5A69">
              <w:t xml:space="preserve"> </w:t>
            </w:r>
            <w:r w:rsidRPr="00BF5A69">
              <w:t>equivalents</w:t>
            </w:r>
            <w:r w:rsidR="00A03629" w:rsidRPr="00BF5A69">
              <w:t xml:space="preserve"> </w:t>
            </w:r>
            <w:r w:rsidRPr="00BF5A69">
              <w:t>at</w:t>
            </w:r>
            <w:r w:rsidR="00A03629" w:rsidRPr="00BF5A69">
              <w:t xml:space="preserve"> </w:t>
            </w:r>
            <w:r w:rsidRPr="00BF5A69">
              <w:t>the</w:t>
            </w:r>
            <w:r w:rsidR="00A03629" w:rsidRPr="00BF5A69">
              <w:t xml:space="preserve"> </w:t>
            </w:r>
            <w:r w:rsidRPr="00BF5A69">
              <w:t>beginning</w:t>
            </w:r>
            <w:r w:rsidR="00A03629" w:rsidRPr="00BF5A69">
              <w:t xml:space="preserve"> </w:t>
            </w:r>
            <w:r w:rsidRPr="00BF5A69">
              <w:t>of</w:t>
            </w:r>
            <w:r w:rsidR="00A03629" w:rsidRPr="00BF5A69">
              <w:t xml:space="preserve"> </w:t>
            </w:r>
            <w:r w:rsidRPr="00BF5A69">
              <w:t>the</w:t>
            </w:r>
            <w:r w:rsidR="00A03629" w:rsidRPr="00BF5A69">
              <w:t xml:space="preserve"> </w:t>
            </w:r>
            <w:r w:rsidRPr="00BF5A69">
              <w:t>financial</w:t>
            </w:r>
            <w:r w:rsidR="00A03629" w:rsidRPr="00BF5A69">
              <w:t xml:space="preserve"> </w:t>
            </w:r>
            <w:r w:rsidRPr="00BF5A69">
              <w:t>year</w:t>
            </w:r>
          </w:p>
        </w:tc>
        <w:tc>
          <w:tcPr>
            <w:tcW w:w="1328" w:type="dxa"/>
          </w:tcPr>
          <w:p w14:paraId="755CDD8C" w14:textId="77777777" w:rsidR="000756EB" w:rsidRPr="00BF5A69" w:rsidRDefault="000756EB" w:rsidP="005C22C3">
            <w:pPr>
              <w:pStyle w:val="TableCopy"/>
              <w:jc w:val="right"/>
            </w:pPr>
          </w:p>
        </w:tc>
        <w:tc>
          <w:tcPr>
            <w:tcW w:w="1632" w:type="dxa"/>
          </w:tcPr>
          <w:p w14:paraId="06AC2DE3" w14:textId="1A0EF9C4" w:rsidR="000756EB" w:rsidRPr="00BF5A69" w:rsidRDefault="004A4D88" w:rsidP="005C22C3">
            <w:pPr>
              <w:pStyle w:val="TableCopy"/>
              <w:jc w:val="right"/>
            </w:pPr>
            <w:r w:rsidRPr="00BF5A69">
              <w:t>416,760</w:t>
            </w:r>
          </w:p>
        </w:tc>
        <w:tc>
          <w:tcPr>
            <w:tcW w:w="1632" w:type="dxa"/>
          </w:tcPr>
          <w:p w14:paraId="166911D8" w14:textId="4B90885A" w:rsidR="000756EB" w:rsidRPr="00BF5A69" w:rsidRDefault="004A4D88" w:rsidP="005C22C3">
            <w:pPr>
              <w:pStyle w:val="TableCopy"/>
              <w:jc w:val="right"/>
            </w:pPr>
            <w:r w:rsidRPr="00BF5A69">
              <w:t>428,853</w:t>
            </w:r>
          </w:p>
        </w:tc>
      </w:tr>
      <w:tr w:rsidR="000756EB" w:rsidRPr="00BF5A69" w14:paraId="1FD1E8FE" w14:textId="77777777" w:rsidTr="005C22C3">
        <w:trPr>
          <w:trHeight w:val="333"/>
        </w:trPr>
        <w:tc>
          <w:tcPr>
            <w:tcW w:w="5665" w:type="dxa"/>
          </w:tcPr>
          <w:p w14:paraId="33050B41" w14:textId="45EE1EBD" w:rsidR="000756EB" w:rsidRPr="00BF5A69" w:rsidRDefault="004A4D88" w:rsidP="00BF5A69">
            <w:pPr>
              <w:pStyle w:val="TableCopy"/>
              <w:rPr>
                <w:b/>
                <w:bCs/>
              </w:rPr>
            </w:pPr>
            <w:r w:rsidRPr="00BF5A69">
              <w:rPr>
                <w:b/>
                <w:bCs/>
              </w:rPr>
              <w:t>Cash</w:t>
            </w:r>
            <w:r w:rsidR="00A03629" w:rsidRPr="00BF5A69">
              <w:rPr>
                <w:b/>
                <w:bCs/>
              </w:rPr>
              <w:t xml:space="preserve"> </w:t>
            </w:r>
            <w:r w:rsidRPr="00BF5A69">
              <w:rPr>
                <w:b/>
                <w:bCs/>
              </w:rPr>
              <w:t>and</w:t>
            </w:r>
            <w:r w:rsidR="00A03629" w:rsidRPr="00BF5A69">
              <w:rPr>
                <w:b/>
                <w:bCs/>
              </w:rPr>
              <w:t xml:space="preserve"> </w:t>
            </w:r>
            <w:r w:rsidRPr="00BF5A69">
              <w:rPr>
                <w:b/>
                <w:bCs/>
              </w:rPr>
              <w:t>cash</w:t>
            </w:r>
            <w:r w:rsidR="00A03629" w:rsidRPr="00BF5A69">
              <w:rPr>
                <w:b/>
                <w:bCs/>
              </w:rPr>
              <w:t xml:space="preserve"> </w:t>
            </w:r>
            <w:r w:rsidRPr="00BF5A69">
              <w:rPr>
                <w:b/>
                <w:bCs/>
              </w:rPr>
              <w:t>equivalents</w:t>
            </w:r>
            <w:r w:rsidR="00A03629" w:rsidRPr="00BF5A69">
              <w:rPr>
                <w:b/>
                <w:bCs/>
              </w:rPr>
              <w:t xml:space="preserve"> </w:t>
            </w:r>
            <w:r w:rsidRPr="00BF5A69">
              <w:rPr>
                <w:b/>
                <w:bCs/>
              </w:rPr>
              <w:t>at</w:t>
            </w:r>
            <w:r w:rsidR="00A03629" w:rsidRPr="00BF5A69">
              <w:rPr>
                <w:b/>
                <w:bCs/>
              </w:rPr>
              <w:t xml:space="preserve"> </w:t>
            </w:r>
            <w:r w:rsidRPr="00BF5A69">
              <w:rPr>
                <w:b/>
                <w:bCs/>
              </w:rPr>
              <w:t>the</w:t>
            </w:r>
            <w:r w:rsidR="00A03629" w:rsidRPr="00BF5A69">
              <w:rPr>
                <w:b/>
                <w:bCs/>
              </w:rPr>
              <w:t xml:space="preserve"> </w:t>
            </w:r>
            <w:r w:rsidRPr="00BF5A69">
              <w:rPr>
                <w:b/>
                <w:bCs/>
              </w:rPr>
              <w:t>end</w:t>
            </w:r>
            <w:r w:rsidR="00A03629" w:rsidRPr="00BF5A69">
              <w:rPr>
                <w:b/>
                <w:bCs/>
              </w:rPr>
              <w:t xml:space="preserve"> </w:t>
            </w:r>
            <w:r w:rsidRPr="00BF5A69">
              <w:rPr>
                <w:b/>
                <w:bCs/>
              </w:rPr>
              <w:t>of</w:t>
            </w:r>
            <w:r w:rsidR="00A03629" w:rsidRPr="00BF5A69">
              <w:rPr>
                <w:b/>
                <w:bCs/>
              </w:rPr>
              <w:t xml:space="preserve"> </w:t>
            </w:r>
            <w:r w:rsidRPr="00BF5A69">
              <w:rPr>
                <w:b/>
                <w:bCs/>
              </w:rPr>
              <w:t>the</w:t>
            </w:r>
            <w:r w:rsidR="00A03629" w:rsidRPr="00BF5A69">
              <w:rPr>
                <w:b/>
                <w:bCs/>
              </w:rPr>
              <w:t xml:space="preserve"> </w:t>
            </w:r>
            <w:r w:rsidRPr="00BF5A69">
              <w:rPr>
                <w:b/>
                <w:bCs/>
              </w:rPr>
              <w:t>financial</w:t>
            </w:r>
            <w:r w:rsidR="00A03629" w:rsidRPr="00BF5A69">
              <w:rPr>
                <w:b/>
                <w:bCs/>
              </w:rPr>
              <w:t xml:space="preserve"> </w:t>
            </w:r>
            <w:r w:rsidRPr="00BF5A69">
              <w:rPr>
                <w:b/>
                <w:bCs/>
              </w:rPr>
              <w:t>year</w:t>
            </w:r>
          </w:p>
        </w:tc>
        <w:tc>
          <w:tcPr>
            <w:tcW w:w="1328" w:type="dxa"/>
          </w:tcPr>
          <w:p w14:paraId="638D8990" w14:textId="77777777" w:rsidR="000756EB" w:rsidRPr="00BF5A69" w:rsidRDefault="004A4D88" w:rsidP="005C22C3">
            <w:pPr>
              <w:pStyle w:val="TableCopy"/>
              <w:jc w:val="right"/>
              <w:rPr>
                <w:b/>
                <w:bCs/>
              </w:rPr>
            </w:pPr>
            <w:r w:rsidRPr="00BF5A69">
              <w:rPr>
                <w:b/>
                <w:bCs/>
              </w:rPr>
              <w:t>7.3.1</w:t>
            </w:r>
          </w:p>
        </w:tc>
        <w:tc>
          <w:tcPr>
            <w:tcW w:w="1632" w:type="dxa"/>
          </w:tcPr>
          <w:p w14:paraId="47E3480E" w14:textId="02CBCEB9" w:rsidR="000756EB" w:rsidRPr="00BF5A69" w:rsidRDefault="004A4D88" w:rsidP="005C22C3">
            <w:pPr>
              <w:pStyle w:val="TableCopy"/>
              <w:jc w:val="right"/>
              <w:rPr>
                <w:b/>
                <w:bCs/>
              </w:rPr>
            </w:pPr>
            <w:r w:rsidRPr="00BF5A69">
              <w:rPr>
                <w:b/>
                <w:bCs/>
              </w:rPr>
              <w:t>322,133</w:t>
            </w:r>
          </w:p>
        </w:tc>
        <w:tc>
          <w:tcPr>
            <w:tcW w:w="1632" w:type="dxa"/>
          </w:tcPr>
          <w:p w14:paraId="75502CC1" w14:textId="5FC64381" w:rsidR="000756EB" w:rsidRPr="00BF5A69" w:rsidRDefault="004A4D88" w:rsidP="005C22C3">
            <w:pPr>
              <w:pStyle w:val="TableCopy"/>
              <w:jc w:val="right"/>
              <w:rPr>
                <w:b/>
                <w:bCs/>
              </w:rPr>
            </w:pPr>
            <w:r w:rsidRPr="00BF5A69">
              <w:rPr>
                <w:b/>
                <w:bCs/>
              </w:rPr>
              <w:t>416,760</w:t>
            </w:r>
          </w:p>
        </w:tc>
      </w:tr>
    </w:tbl>
    <w:p w14:paraId="4AACC986" w14:textId="77777777" w:rsidR="00BF5A69" w:rsidRDefault="00BF5A69" w:rsidP="00BF5A69">
      <w:pPr>
        <w:pStyle w:val="FootnoteText"/>
        <w:spacing w:before="120"/>
      </w:pPr>
      <w:r>
        <w:t>The accompanying notes form part of these financial statements.</w:t>
      </w:r>
    </w:p>
    <w:p w14:paraId="61BBF2FE" w14:textId="1729DB06" w:rsidR="00BF5A69" w:rsidRDefault="00BF5A69" w:rsidP="00BF5A69">
      <w:pPr>
        <w:pStyle w:val="FootnoteText"/>
      </w:pPr>
      <w:r>
        <w:lastRenderedPageBreak/>
        <w:t>(</w:t>
      </w:r>
      <w:proofErr w:type="spellStart"/>
      <w:r>
        <w:t>i</w:t>
      </w:r>
      <w:proofErr w:type="spellEnd"/>
      <w:r>
        <w:t>) This format is aligned to AASB 1049 Whole of Government and General Government Sector Financial Reporting.</w:t>
      </w:r>
    </w:p>
    <w:p w14:paraId="7CF1DE26" w14:textId="43127ACD" w:rsidR="000756EB" w:rsidRDefault="00BF5A69" w:rsidP="00BF5A69">
      <w:pPr>
        <w:pStyle w:val="FootnoteText"/>
        <w:spacing w:after="280"/>
      </w:pPr>
      <w:r>
        <w:t>(ii) Goods and Services Tax (GST) recovered/(paid) to the ATO is presented on a net basis.</w:t>
      </w:r>
    </w:p>
    <w:p w14:paraId="01E64F83" w14:textId="208F6C25" w:rsidR="000756EB" w:rsidRDefault="004A4D88" w:rsidP="00BF5A69">
      <w:pPr>
        <w:pStyle w:val="Heading2"/>
      </w:pPr>
      <w:bookmarkStart w:id="6" w:name="_Toc149911790"/>
      <w:r>
        <w:t>Statement</w:t>
      </w:r>
      <w:r w:rsidR="00A03629">
        <w:t xml:space="preserve"> </w:t>
      </w:r>
      <w:r>
        <w:t>of</w:t>
      </w:r>
      <w:r w:rsidR="00A03629">
        <w:t xml:space="preserve"> </w:t>
      </w:r>
      <w:r>
        <w:t>changes</w:t>
      </w:r>
      <w:r w:rsidR="00A03629">
        <w:t xml:space="preserve"> </w:t>
      </w:r>
      <w:r>
        <w:t>in</w:t>
      </w:r>
      <w:r w:rsidR="00A03629">
        <w:t xml:space="preserve"> </w:t>
      </w:r>
      <w:r>
        <w:t>equity</w:t>
      </w:r>
      <w:r>
        <w:rPr>
          <w:rFonts w:ascii="Times New Roman" w:hAnsi="Times New Roman"/>
        </w:rPr>
        <w:t> </w:t>
      </w:r>
      <w:r>
        <w:rPr>
          <w:vertAlign w:val="superscript"/>
        </w:rPr>
        <w:t>(</w:t>
      </w:r>
      <w:proofErr w:type="spellStart"/>
      <w:r>
        <w:rPr>
          <w:vertAlign w:val="superscript"/>
        </w:rPr>
        <w:t>i</w:t>
      </w:r>
      <w:proofErr w:type="spellEnd"/>
      <w:r>
        <w:rPr>
          <w:vertAlign w:val="superscript"/>
        </w:rPr>
        <w:t>)</w:t>
      </w:r>
      <w:r w:rsidR="00BF5A69">
        <w:rPr>
          <w:vertAlign w:val="superscript"/>
        </w:rPr>
        <w:t xml:space="preserve"> </w:t>
      </w:r>
      <w:r>
        <w:t>For</w:t>
      </w:r>
      <w:r w:rsidR="00A03629">
        <w:t xml:space="preserve"> </w:t>
      </w:r>
      <w:r>
        <w:t>the</w:t>
      </w:r>
      <w:r w:rsidR="00A03629">
        <w:t xml:space="preserve"> </w:t>
      </w:r>
      <w:r>
        <w:t>financial</w:t>
      </w:r>
      <w:r w:rsidR="00A03629">
        <w:t xml:space="preserve"> </w:t>
      </w:r>
      <w:r>
        <w:t>year</w:t>
      </w:r>
      <w:r w:rsidR="00A03629">
        <w:t xml:space="preserve"> </w:t>
      </w:r>
      <w:r>
        <w:t>ended</w:t>
      </w:r>
      <w:r w:rsidR="00A03629">
        <w:t xml:space="preserve"> </w:t>
      </w:r>
      <w:r>
        <w:t>30</w:t>
      </w:r>
      <w:r w:rsidR="00A03629">
        <w:t xml:space="preserve"> </w:t>
      </w:r>
      <w:r>
        <w:t>June</w:t>
      </w:r>
      <w:r w:rsidR="00A03629">
        <w:t xml:space="preserve"> </w:t>
      </w:r>
      <w:r>
        <w:t>2023</w:t>
      </w:r>
      <w:bookmarkEnd w:id="6"/>
    </w:p>
    <w:tbl>
      <w:tblPr>
        <w:tblStyle w:val="TableGrid"/>
        <w:tblW w:w="10206" w:type="dxa"/>
        <w:tblLayout w:type="fixed"/>
        <w:tblLook w:val="0020" w:firstRow="1" w:lastRow="0" w:firstColumn="0" w:lastColumn="0" w:noHBand="0" w:noVBand="0"/>
      </w:tblPr>
      <w:tblGrid>
        <w:gridCol w:w="2689"/>
        <w:gridCol w:w="770"/>
        <w:gridCol w:w="1640"/>
        <w:gridCol w:w="1701"/>
        <w:gridCol w:w="1701"/>
        <w:gridCol w:w="1705"/>
      </w:tblGrid>
      <w:tr w:rsidR="000756EB" w:rsidRPr="005C22C3" w14:paraId="0AFB4403" w14:textId="77777777" w:rsidTr="005C22C3">
        <w:trPr>
          <w:cantSplit/>
          <w:tblHeader/>
        </w:trPr>
        <w:tc>
          <w:tcPr>
            <w:tcW w:w="2689" w:type="dxa"/>
          </w:tcPr>
          <w:p w14:paraId="7C43E4E0" w14:textId="77777777" w:rsidR="000756EB" w:rsidRPr="005C22C3" w:rsidRDefault="000756EB" w:rsidP="00BF5A69">
            <w:pPr>
              <w:pStyle w:val="TableColumnHeading"/>
              <w:rPr>
                <w:rFonts w:asciiTheme="minorHAnsi" w:hAnsiTheme="minorHAnsi" w:cstheme="minorHAnsi"/>
                <w:sz w:val="22"/>
                <w:szCs w:val="32"/>
              </w:rPr>
            </w:pPr>
            <w:bookmarkStart w:id="7" w:name="ColumnTitles_4"/>
            <w:bookmarkEnd w:id="7"/>
          </w:p>
        </w:tc>
        <w:tc>
          <w:tcPr>
            <w:tcW w:w="770" w:type="dxa"/>
          </w:tcPr>
          <w:p w14:paraId="53B053F8" w14:textId="77777777" w:rsidR="000756EB" w:rsidRPr="005C22C3" w:rsidRDefault="004A4D88" w:rsidP="00110644">
            <w:pPr>
              <w:pStyle w:val="TableColumnHeading"/>
              <w:jc w:val="right"/>
              <w:rPr>
                <w:rFonts w:asciiTheme="minorHAnsi" w:hAnsiTheme="minorHAnsi" w:cstheme="minorHAnsi"/>
                <w:sz w:val="22"/>
                <w:szCs w:val="32"/>
              </w:rPr>
            </w:pPr>
            <w:r w:rsidRPr="005C22C3">
              <w:rPr>
                <w:rFonts w:asciiTheme="minorHAnsi" w:hAnsiTheme="minorHAnsi" w:cstheme="minorHAnsi"/>
                <w:sz w:val="22"/>
                <w:szCs w:val="32"/>
              </w:rPr>
              <w:t>Note</w:t>
            </w:r>
          </w:p>
        </w:tc>
        <w:tc>
          <w:tcPr>
            <w:tcW w:w="1640" w:type="dxa"/>
          </w:tcPr>
          <w:p w14:paraId="2E922ED5" w14:textId="0F56DF22" w:rsidR="000756EB" w:rsidRPr="005C22C3" w:rsidRDefault="004A4D88" w:rsidP="00110644">
            <w:pPr>
              <w:pStyle w:val="TableColumnHeading"/>
              <w:jc w:val="right"/>
              <w:rPr>
                <w:rFonts w:asciiTheme="minorHAnsi" w:hAnsiTheme="minorHAnsi" w:cstheme="minorHAnsi"/>
                <w:sz w:val="22"/>
                <w:szCs w:val="32"/>
              </w:rPr>
            </w:pPr>
            <w:r w:rsidRPr="005C22C3">
              <w:rPr>
                <w:rFonts w:asciiTheme="minorHAnsi" w:hAnsiTheme="minorHAnsi" w:cstheme="minorHAnsi"/>
                <w:sz w:val="22"/>
                <w:szCs w:val="32"/>
              </w:rPr>
              <w:t>Physical</w:t>
            </w:r>
            <w:r w:rsidR="00110644" w:rsidRPr="005C22C3">
              <w:rPr>
                <w:rFonts w:asciiTheme="minorHAnsi" w:hAnsiTheme="minorHAnsi" w:cstheme="minorHAnsi"/>
                <w:sz w:val="22"/>
                <w:szCs w:val="32"/>
              </w:rPr>
              <w:t xml:space="preserve"> </w:t>
            </w:r>
            <w:r w:rsidRPr="005C22C3">
              <w:rPr>
                <w:rFonts w:asciiTheme="minorHAnsi" w:hAnsiTheme="minorHAnsi" w:cstheme="minorHAnsi"/>
                <w:sz w:val="22"/>
                <w:szCs w:val="32"/>
              </w:rPr>
              <w:t>asset</w:t>
            </w:r>
            <w:r w:rsidR="00A03629" w:rsidRPr="005C22C3">
              <w:rPr>
                <w:rFonts w:asciiTheme="minorHAnsi" w:hAnsiTheme="minorHAnsi" w:cstheme="minorHAnsi"/>
                <w:sz w:val="22"/>
                <w:szCs w:val="32"/>
              </w:rPr>
              <w:t xml:space="preserve"> </w:t>
            </w:r>
            <w:r w:rsidRPr="005C22C3">
              <w:rPr>
                <w:rFonts w:asciiTheme="minorHAnsi" w:hAnsiTheme="minorHAnsi" w:cstheme="minorHAnsi"/>
                <w:sz w:val="22"/>
                <w:szCs w:val="32"/>
              </w:rPr>
              <w:t>revaluation</w:t>
            </w:r>
            <w:r w:rsidR="00A03629" w:rsidRPr="005C22C3">
              <w:rPr>
                <w:rFonts w:asciiTheme="minorHAnsi" w:hAnsiTheme="minorHAnsi" w:cstheme="minorHAnsi"/>
                <w:sz w:val="22"/>
                <w:szCs w:val="32"/>
              </w:rPr>
              <w:t xml:space="preserve"> </w:t>
            </w:r>
            <w:r w:rsidRPr="005C22C3">
              <w:rPr>
                <w:rFonts w:asciiTheme="minorHAnsi" w:hAnsiTheme="minorHAnsi" w:cstheme="minorHAnsi"/>
                <w:sz w:val="22"/>
                <w:szCs w:val="32"/>
              </w:rPr>
              <w:t>surplus</w:t>
            </w:r>
            <w:r w:rsidR="00110644" w:rsidRPr="005C22C3">
              <w:rPr>
                <w:rFonts w:asciiTheme="minorHAnsi" w:hAnsiTheme="minorHAnsi" w:cstheme="minorHAnsi"/>
                <w:sz w:val="22"/>
                <w:szCs w:val="32"/>
              </w:rPr>
              <w:t xml:space="preserve"> ($ thousand)</w:t>
            </w:r>
          </w:p>
        </w:tc>
        <w:tc>
          <w:tcPr>
            <w:tcW w:w="1701" w:type="dxa"/>
          </w:tcPr>
          <w:p w14:paraId="391B5DC6" w14:textId="713A5145" w:rsidR="000756EB" w:rsidRPr="005C22C3" w:rsidRDefault="004A4D88" w:rsidP="00110644">
            <w:pPr>
              <w:pStyle w:val="TableColumnHeading"/>
              <w:jc w:val="right"/>
              <w:rPr>
                <w:rFonts w:asciiTheme="minorHAnsi" w:hAnsiTheme="minorHAnsi" w:cstheme="minorHAnsi"/>
                <w:sz w:val="22"/>
                <w:szCs w:val="32"/>
              </w:rPr>
            </w:pPr>
            <w:r w:rsidRPr="005C22C3">
              <w:rPr>
                <w:rFonts w:asciiTheme="minorHAnsi" w:hAnsiTheme="minorHAnsi" w:cstheme="minorHAnsi"/>
                <w:sz w:val="22"/>
                <w:szCs w:val="32"/>
              </w:rPr>
              <w:t>Contributed</w:t>
            </w:r>
            <w:r w:rsidR="00110644" w:rsidRPr="005C22C3">
              <w:rPr>
                <w:rFonts w:asciiTheme="minorHAnsi" w:hAnsiTheme="minorHAnsi" w:cstheme="minorHAnsi"/>
                <w:sz w:val="22"/>
                <w:szCs w:val="32"/>
              </w:rPr>
              <w:t xml:space="preserve"> </w:t>
            </w:r>
            <w:r w:rsidRPr="005C22C3">
              <w:rPr>
                <w:rFonts w:asciiTheme="minorHAnsi" w:hAnsiTheme="minorHAnsi" w:cstheme="minorHAnsi"/>
                <w:sz w:val="22"/>
                <w:szCs w:val="32"/>
              </w:rPr>
              <w:t>capital</w:t>
            </w:r>
            <w:r w:rsidR="00110644" w:rsidRPr="005C22C3">
              <w:rPr>
                <w:rFonts w:asciiTheme="minorHAnsi" w:hAnsiTheme="minorHAnsi" w:cstheme="minorHAnsi"/>
                <w:sz w:val="22"/>
                <w:szCs w:val="32"/>
              </w:rPr>
              <w:t xml:space="preserve"> ($ thousand)</w:t>
            </w:r>
          </w:p>
        </w:tc>
        <w:tc>
          <w:tcPr>
            <w:tcW w:w="1701" w:type="dxa"/>
          </w:tcPr>
          <w:p w14:paraId="69E937D7" w14:textId="040C2EB3" w:rsidR="000756EB" w:rsidRPr="005C22C3" w:rsidRDefault="004A4D88" w:rsidP="00110644">
            <w:pPr>
              <w:pStyle w:val="TableColumnHeading"/>
              <w:jc w:val="right"/>
              <w:rPr>
                <w:rFonts w:asciiTheme="minorHAnsi" w:hAnsiTheme="minorHAnsi" w:cstheme="minorHAnsi"/>
                <w:sz w:val="22"/>
                <w:szCs w:val="32"/>
              </w:rPr>
            </w:pPr>
            <w:r w:rsidRPr="005C22C3">
              <w:rPr>
                <w:rFonts w:asciiTheme="minorHAnsi" w:hAnsiTheme="minorHAnsi" w:cstheme="minorHAnsi"/>
                <w:sz w:val="22"/>
                <w:szCs w:val="32"/>
              </w:rPr>
              <w:t>Accumulated</w:t>
            </w:r>
            <w:r w:rsidR="00A03629" w:rsidRPr="005C22C3">
              <w:rPr>
                <w:rFonts w:asciiTheme="minorHAnsi" w:hAnsiTheme="minorHAnsi" w:cstheme="minorHAnsi"/>
                <w:sz w:val="22"/>
                <w:szCs w:val="32"/>
              </w:rPr>
              <w:t xml:space="preserve"> </w:t>
            </w:r>
            <w:r w:rsidRPr="005C22C3">
              <w:rPr>
                <w:rFonts w:asciiTheme="minorHAnsi" w:hAnsiTheme="minorHAnsi" w:cstheme="minorHAnsi"/>
                <w:sz w:val="22"/>
                <w:szCs w:val="32"/>
              </w:rPr>
              <w:t>surplus/</w:t>
            </w:r>
            <w:r w:rsidR="00BF5A69" w:rsidRPr="005C22C3">
              <w:rPr>
                <w:rFonts w:asciiTheme="minorHAnsi" w:hAnsiTheme="minorHAnsi" w:cstheme="minorHAnsi"/>
                <w:sz w:val="22"/>
                <w:szCs w:val="32"/>
              </w:rPr>
              <w:t xml:space="preserve"> </w:t>
            </w:r>
            <w:r w:rsidRPr="005C22C3">
              <w:rPr>
                <w:rFonts w:asciiTheme="minorHAnsi" w:hAnsiTheme="minorHAnsi" w:cstheme="minorHAnsi"/>
                <w:sz w:val="22"/>
                <w:szCs w:val="32"/>
              </w:rPr>
              <w:t>(deficit)</w:t>
            </w:r>
            <w:r w:rsidR="00110644" w:rsidRPr="005C22C3">
              <w:rPr>
                <w:rFonts w:asciiTheme="minorHAnsi" w:hAnsiTheme="minorHAnsi" w:cstheme="minorHAnsi"/>
                <w:sz w:val="22"/>
                <w:szCs w:val="32"/>
              </w:rPr>
              <w:t xml:space="preserve"> ($ thousand)</w:t>
            </w:r>
          </w:p>
        </w:tc>
        <w:tc>
          <w:tcPr>
            <w:tcW w:w="1705" w:type="dxa"/>
          </w:tcPr>
          <w:p w14:paraId="331014D0" w14:textId="45F4DE9E" w:rsidR="000756EB" w:rsidRPr="005C22C3" w:rsidRDefault="004A4D88" w:rsidP="00110644">
            <w:pPr>
              <w:pStyle w:val="TableColumnHeading"/>
              <w:jc w:val="right"/>
              <w:rPr>
                <w:rFonts w:asciiTheme="minorHAnsi" w:hAnsiTheme="minorHAnsi" w:cstheme="minorHAnsi"/>
                <w:sz w:val="22"/>
                <w:szCs w:val="32"/>
              </w:rPr>
            </w:pPr>
            <w:r w:rsidRPr="005C22C3">
              <w:rPr>
                <w:rFonts w:asciiTheme="minorHAnsi" w:hAnsiTheme="minorHAnsi" w:cstheme="minorHAnsi"/>
                <w:sz w:val="22"/>
                <w:szCs w:val="32"/>
              </w:rPr>
              <w:t>Total</w:t>
            </w:r>
            <w:r w:rsidR="00110644" w:rsidRPr="005C22C3">
              <w:rPr>
                <w:rFonts w:asciiTheme="minorHAnsi" w:hAnsiTheme="minorHAnsi" w:cstheme="minorHAnsi"/>
                <w:sz w:val="22"/>
                <w:szCs w:val="32"/>
              </w:rPr>
              <w:t xml:space="preserve"> ($ thousand)</w:t>
            </w:r>
          </w:p>
        </w:tc>
      </w:tr>
      <w:tr w:rsidR="000756EB" w:rsidRPr="00CD60DF" w14:paraId="624B5964" w14:textId="77777777" w:rsidTr="005C22C3">
        <w:trPr>
          <w:cantSplit/>
        </w:trPr>
        <w:tc>
          <w:tcPr>
            <w:tcW w:w="2689" w:type="dxa"/>
          </w:tcPr>
          <w:p w14:paraId="646CCF66" w14:textId="76B60618" w:rsidR="000756EB" w:rsidRPr="00CD60DF" w:rsidRDefault="004A4D88" w:rsidP="00110644">
            <w:pPr>
              <w:pStyle w:val="TableCopy"/>
              <w:rPr>
                <w:rFonts w:asciiTheme="minorHAnsi" w:hAnsiTheme="minorHAnsi" w:cstheme="minorHAnsi"/>
                <w:b/>
                <w:bCs/>
              </w:rPr>
            </w:pPr>
            <w:r w:rsidRPr="00CD60DF">
              <w:rPr>
                <w:rFonts w:asciiTheme="minorHAnsi" w:hAnsiTheme="minorHAnsi" w:cstheme="minorHAnsi"/>
                <w:b/>
                <w:bCs/>
              </w:rPr>
              <w:t>Balance</w:t>
            </w:r>
            <w:r w:rsidR="00A03629" w:rsidRPr="00CD60DF">
              <w:rPr>
                <w:rFonts w:asciiTheme="minorHAnsi" w:hAnsiTheme="minorHAnsi" w:cstheme="minorHAnsi"/>
                <w:b/>
                <w:bCs/>
              </w:rPr>
              <w:t xml:space="preserve"> </w:t>
            </w:r>
            <w:proofErr w:type="gramStart"/>
            <w:r w:rsidRPr="00CD60DF">
              <w:rPr>
                <w:rFonts w:asciiTheme="minorHAnsi" w:hAnsiTheme="minorHAnsi" w:cstheme="minorHAnsi"/>
                <w:b/>
                <w:bCs/>
              </w:rPr>
              <w:t>at</w:t>
            </w:r>
            <w:proofErr w:type="gramEnd"/>
            <w:r w:rsidR="00A03629" w:rsidRPr="00CD60DF">
              <w:rPr>
                <w:rFonts w:asciiTheme="minorHAnsi" w:hAnsiTheme="minorHAnsi" w:cstheme="minorHAnsi"/>
                <w:b/>
                <w:bCs/>
              </w:rPr>
              <w:t xml:space="preserve"> </w:t>
            </w:r>
            <w:r w:rsidRPr="00CD60DF">
              <w:rPr>
                <w:rFonts w:asciiTheme="minorHAnsi" w:hAnsiTheme="minorHAnsi" w:cstheme="minorHAnsi"/>
                <w:b/>
                <w:bCs/>
              </w:rPr>
              <w:t>1</w:t>
            </w:r>
            <w:r w:rsidR="00A03629" w:rsidRPr="00CD60DF">
              <w:rPr>
                <w:rFonts w:asciiTheme="minorHAnsi" w:hAnsiTheme="minorHAnsi" w:cstheme="minorHAnsi"/>
                <w:b/>
                <w:bCs/>
              </w:rPr>
              <w:t xml:space="preserve"> </w:t>
            </w:r>
            <w:r w:rsidRPr="00CD60DF">
              <w:rPr>
                <w:rFonts w:asciiTheme="minorHAnsi" w:hAnsiTheme="minorHAnsi" w:cstheme="minorHAnsi"/>
                <w:b/>
                <w:bCs/>
              </w:rPr>
              <w:t>July</w:t>
            </w:r>
            <w:r w:rsidR="00A03629" w:rsidRPr="00CD60DF">
              <w:rPr>
                <w:rFonts w:asciiTheme="minorHAnsi" w:hAnsiTheme="minorHAnsi" w:cstheme="minorHAnsi"/>
                <w:b/>
                <w:bCs/>
              </w:rPr>
              <w:t xml:space="preserve"> </w:t>
            </w:r>
            <w:r w:rsidRPr="00CD60DF">
              <w:rPr>
                <w:rFonts w:asciiTheme="minorHAnsi" w:hAnsiTheme="minorHAnsi" w:cstheme="minorHAnsi"/>
                <w:b/>
                <w:bCs/>
              </w:rPr>
              <w:t>2021</w:t>
            </w:r>
          </w:p>
        </w:tc>
        <w:tc>
          <w:tcPr>
            <w:tcW w:w="770" w:type="dxa"/>
          </w:tcPr>
          <w:p w14:paraId="3D5D719E" w14:textId="77777777" w:rsidR="000756EB" w:rsidRPr="00CD60DF" w:rsidRDefault="000756EB" w:rsidP="00110644">
            <w:pPr>
              <w:pStyle w:val="TableCopy"/>
              <w:jc w:val="right"/>
              <w:rPr>
                <w:rFonts w:asciiTheme="minorHAnsi" w:hAnsiTheme="minorHAnsi" w:cstheme="minorHAnsi"/>
                <w:b/>
                <w:bCs/>
              </w:rPr>
            </w:pPr>
          </w:p>
        </w:tc>
        <w:tc>
          <w:tcPr>
            <w:tcW w:w="1640" w:type="dxa"/>
          </w:tcPr>
          <w:p w14:paraId="44DC9403" w14:textId="6F94F141" w:rsidR="000756EB" w:rsidRPr="00CD60DF" w:rsidRDefault="004A4D88" w:rsidP="00110644">
            <w:pPr>
              <w:pStyle w:val="TableCopy"/>
              <w:jc w:val="right"/>
              <w:rPr>
                <w:rFonts w:asciiTheme="minorHAnsi" w:hAnsiTheme="minorHAnsi" w:cstheme="minorHAnsi"/>
                <w:b/>
                <w:bCs/>
              </w:rPr>
            </w:pPr>
            <w:r w:rsidRPr="00CD60DF">
              <w:rPr>
                <w:rFonts w:asciiTheme="minorHAnsi" w:hAnsiTheme="minorHAnsi" w:cstheme="minorHAnsi"/>
                <w:b/>
                <w:bCs/>
              </w:rPr>
              <w:t>303,771</w:t>
            </w:r>
          </w:p>
        </w:tc>
        <w:tc>
          <w:tcPr>
            <w:tcW w:w="1701" w:type="dxa"/>
          </w:tcPr>
          <w:p w14:paraId="5D271A38" w14:textId="3FF83516" w:rsidR="000756EB" w:rsidRPr="00CD60DF" w:rsidRDefault="004A4D88" w:rsidP="00110644">
            <w:pPr>
              <w:pStyle w:val="TableCopy"/>
              <w:jc w:val="right"/>
              <w:rPr>
                <w:rFonts w:asciiTheme="minorHAnsi" w:hAnsiTheme="minorHAnsi" w:cstheme="minorHAnsi"/>
                <w:b/>
                <w:bCs/>
              </w:rPr>
            </w:pPr>
            <w:r w:rsidRPr="00CD60DF">
              <w:rPr>
                <w:rFonts w:asciiTheme="minorHAnsi" w:hAnsiTheme="minorHAnsi" w:cstheme="minorHAnsi"/>
                <w:b/>
                <w:bCs/>
              </w:rPr>
              <w:t>1,556,259</w:t>
            </w:r>
          </w:p>
        </w:tc>
        <w:tc>
          <w:tcPr>
            <w:tcW w:w="1701" w:type="dxa"/>
          </w:tcPr>
          <w:p w14:paraId="4025BC19" w14:textId="77777777" w:rsidR="000756EB" w:rsidRPr="00CD60DF" w:rsidRDefault="004A4D88" w:rsidP="00110644">
            <w:pPr>
              <w:pStyle w:val="TableCopy"/>
              <w:jc w:val="right"/>
              <w:rPr>
                <w:rFonts w:asciiTheme="minorHAnsi" w:hAnsiTheme="minorHAnsi" w:cstheme="minorHAnsi"/>
                <w:b/>
                <w:bCs/>
              </w:rPr>
            </w:pPr>
            <w:r w:rsidRPr="00CD60DF">
              <w:rPr>
                <w:rFonts w:asciiTheme="minorHAnsi" w:hAnsiTheme="minorHAnsi" w:cstheme="minorHAnsi"/>
                <w:b/>
                <w:bCs/>
              </w:rPr>
              <w:t>(55,056)</w:t>
            </w:r>
          </w:p>
        </w:tc>
        <w:tc>
          <w:tcPr>
            <w:tcW w:w="1705" w:type="dxa"/>
          </w:tcPr>
          <w:p w14:paraId="02ADD830" w14:textId="30196B2E" w:rsidR="000756EB" w:rsidRPr="00CD60DF" w:rsidRDefault="004A4D88" w:rsidP="00110644">
            <w:pPr>
              <w:pStyle w:val="TableCopy"/>
              <w:jc w:val="right"/>
              <w:rPr>
                <w:rFonts w:asciiTheme="minorHAnsi" w:hAnsiTheme="minorHAnsi" w:cstheme="minorHAnsi"/>
                <w:b/>
                <w:bCs/>
              </w:rPr>
            </w:pPr>
            <w:r w:rsidRPr="00CD60DF">
              <w:rPr>
                <w:rFonts w:asciiTheme="minorHAnsi" w:hAnsiTheme="minorHAnsi" w:cstheme="minorHAnsi"/>
                <w:b/>
                <w:bCs/>
              </w:rPr>
              <w:t>1,804,974</w:t>
            </w:r>
          </w:p>
        </w:tc>
      </w:tr>
      <w:tr w:rsidR="000756EB" w:rsidRPr="00CD60DF" w14:paraId="2C2D56DD" w14:textId="77777777" w:rsidTr="005C22C3">
        <w:trPr>
          <w:cantSplit/>
        </w:trPr>
        <w:tc>
          <w:tcPr>
            <w:tcW w:w="2689" w:type="dxa"/>
          </w:tcPr>
          <w:p w14:paraId="7FB134C2" w14:textId="07428375" w:rsidR="000756EB" w:rsidRPr="00CD60DF" w:rsidRDefault="004A4D88" w:rsidP="00110644">
            <w:pPr>
              <w:pStyle w:val="TableCopy"/>
              <w:rPr>
                <w:rFonts w:asciiTheme="minorHAnsi" w:hAnsiTheme="minorHAnsi" w:cstheme="minorHAnsi"/>
              </w:rPr>
            </w:pPr>
            <w:r w:rsidRPr="00CD60DF">
              <w:rPr>
                <w:rFonts w:asciiTheme="minorHAnsi" w:hAnsiTheme="minorHAnsi" w:cstheme="minorHAnsi"/>
              </w:rPr>
              <w:t>Net</w:t>
            </w:r>
            <w:r w:rsidR="00A03629" w:rsidRPr="00CD60DF">
              <w:rPr>
                <w:rFonts w:asciiTheme="minorHAnsi" w:hAnsiTheme="minorHAnsi" w:cstheme="minorHAnsi"/>
              </w:rPr>
              <w:t xml:space="preserve"> </w:t>
            </w:r>
            <w:r w:rsidRPr="00CD60DF">
              <w:rPr>
                <w:rFonts w:asciiTheme="minorHAnsi" w:hAnsiTheme="minorHAnsi" w:cstheme="minorHAnsi"/>
              </w:rPr>
              <w:t>result</w:t>
            </w:r>
            <w:r w:rsidR="00A03629" w:rsidRPr="00CD60DF">
              <w:rPr>
                <w:rFonts w:asciiTheme="minorHAnsi" w:hAnsiTheme="minorHAnsi" w:cstheme="minorHAnsi"/>
              </w:rPr>
              <w:t xml:space="preserve"> </w:t>
            </w:r>
            <w:r w:rsidRPr="00CD60DF">
              <w:rPr>
                <w:rFonts w:asciiTheme="minorHAnsi" w:hAnsiTheme="minorHAnsi" w:cstheme="minorHAnsi"/>
              </w:rPr>
              <w:t>for</w:t>
            </w:r>
            <w:r w:rsidR="00A03629" w:rsidRPr="00CD60DF">
              <w:rPr>
                <w:rFonts w:asciiTheme="minorHAnsi" w:hAnsiTheme="minorHAnsi" w:cstheme="minorHAnsi"/>
              </w:rPr>
              <w:t xml:space="preserve"> </w:t>
            </w:r>
            <w:r w:rsidRPr="00CD60DF">
              <w:rPr>
                <w:rFonts w:asciiTheme="minorHAnsi" w:hAnsiTheme="minorHAnsi" w:cstheme="minorHAnsi"/>
              </w:rPr>
              <w:t>the</w:t>
            </w:r>
            <w:r w:rsidR="00A03629" w:rsidRPr="00CD60DF">
              <w:rPr>
                <w:rFonts w:asciiTheme="minorHAnsi" w:hAnsiTheme="minorHAnsi" w:cstheme="minorHAnsi"/>
              </w:rPr>
              <w:t xml:space="preserve"> </w:t>
            </w:r>
            <w:r w:rsidRPr="00CD60DF">
              <w:rPr>
                <w:rFonts w:asciiTheme="minorHAnsi" w:hAnsiTheme="minorHAnsi" w:cstheme="minorHAnsi"/>
              </w:rPr>
              <w:t>year</w:t>
            </w:r>
          </w:p>
        </w:tc>
        <w:tc>
          <w:tcPr>
            <w:tcW w:w="770" w:type="dxa"/>
          </w:tcPr>
          <w:p w14:paraId="4C41E8BE" w14:textId="77777777" w:rsidR="000756EB" w:rsidRPr="00CD60DF" w:rsidRDefault="000756EB" w:rsidP="00110644">
            <w:pPr>
              <w:pStyle w:val="TableCopy"/>
              <w:jc w:val="right"/>
              <w:rPr>
                <w:rFonts w:asciiTheme="minorHAnsi" w:hAnsiTheme="minorHAnsi" w:cstheme="minorHAnsi"/>
              </w:rPr>
            </w:pPr>
          </w:p>
        </w:tc>
        <w:tc>
          <w:tcPr>
            <w:tcW w:w="1640" w:type="dxa"/>
          </w:tcPr>
          <w:p w14:paraId="178A9B04" w14:textId="77777777" w:rsidR="000756EB" w:rsidRPr="00CD60DF" w:rsidRDefault="004A4D88" w:rsidP="00110644">
            <w:pPr>
              <w:pStyle w:val="TableCopy"/>
              <w:jc w:val="right"/>
              <w:rPr>
                <w:rFonts w:asciiTheme="minorHAnsi" w:hAnsiTheme="minorHAnsi" w:cstheme="minorHAnsi"/>
              </w:rPr>
            </w:pPr>
            <w:r w:rsidRPr="00CD60DF">
              <w:rPr>
                <w:rFonts w:asciiTheme="minorHAnsi" w:hAnsiTheme="minorHAnsi" w:cstheme="minorHAnsi"/>
              </w:rPr>
              <w:t>–</w:t>
            </w:r>
          </w:p>
        </w:tc>
        <w:tc>
          <w:tcPr>
            <w:tcW w:w="1701" w:type="dxa"/>
          </w:tcPr>
          <w:p w14:paraId="3B69A1B3" w14:textId="77777777" w:rsidR="000756EB" w:rsidRPr="00CD60DF" w:rsidRDefault="004A4D88" w:rsidP="00110644">
            <w:pPr>
              <w:pStyle w:val="TableCopy"/>
              <w:jc w:val="right"/>
              <w:rPr>
                <w:rFonts w:asciiTheme="minorHAnsi" w:hAnsiTheme="minorHAnsi" w:cstheme="minorHAnsi"/>
              </w:rPr>
            </w:pPr>
            <w:r w:rsidRPr="00CD60DF">
              <w:rPr>
                <w:rFonts w:asciiTheme="minorHAnsi" w:hAnsiTheme="minorHAnsi" w:cstheme="minorHAnsi"/>
              </w:rPr>
              <w:t>–</w:t>
            </w:r>
          </w:p>
        </w:tc>
        <w:tc>
          <w:tcPr>
            <w:tcW w:w="1701" w:type="dxa"/>
          </w:tcPr>
          <w:p w14:paraId="5E6D212C" w14:textId="5A31838C" w:rsidR="000756EB" w:rsidRPr="00CD60DF" w:rsidRDefault="004A4D88" w:rsidP="00110644">
            <w:pPr>
              <w:pStyle w:val="TableCopy"/>
              <w:jc w:val="right"/>
              <w:rPr>
                <w:rFonts w:asciiTheme="minorHAnsi" w:hAnsiTheme="minorHAnsi" w:cstheme="minorHAnsi"/>
              </w:rPr>
            </w:pPr>
            <w:r w:rsidRPr="00CD60DF">
              <w:rPr>
                <w:rFonts w:asciiTheme="minorHAnsi" w:hAnsiTheme="minorHAnsi" w:cstheme="minorHAnsi"/>
              </w:rPr>
              <w:t>105,025</w:t>
            </w:r>
          </w:p>
        </w:tc>
        <w:tc>
          <w:tcPr>
            <w:tcW w:w="1705" w:type="dxa"/>
          </w:tcPr>
          <w:p w14:paraId="1B9E8A53" w14:textId="389088C5" w:rsidR="000756EB" w:rsidRPr="00CD60DF" w:rsidRDefault="004A4D88" w:rsidP="00110644">
            <w:pPr>
              <w:pStyle w:val="TableCopy"/>
              <w:jc w:val="right"/>
              <w:rPr>
                <w:rFonts w:asciiTheme="minorHAnsi" w:hAnsiTheme="minorHAnsi" w:cstheme="minorHAnsi"/>
              </w:rPr>
            </w:pPr>
            <w:r w:rsidRPr="00CD60DF">
              <w:rPr>
                <w:rFonts w:asciiTheme="minorHAnsi" w:hAnsiTheme="minorHAnsi" w:cstheme="minorHAnsi"/>
              </w:rPr>
              <w:t>105,025</w:t>
            </w:r>
          </w:p>
        </w:tc>
      </w:tr>
      <w:tr w:rsidR="000756EB" w:rsidRPr="00CD60DF" w14:paraId="6A0238B0" w14:textId="77777777" w:rsidTr="005C22C3">
        <w:trPr>
          <w:cantSplit/>
        </w:trPr>
        <w:tc>
          <w:tcPr>
            <w:tcW w:w="2689" w:type="dxa"/>
          </w:tcPr>
          <w:p w14:paraId="626A256A" w14:textId="06189F17" w:rsidR="000756EB" w:rsidRPr="00CD60DF" w:rsidRDefault="004A4D88" w:rsidP="00110644">
            <w:pPr>
              <w:pStyle w:val="TableCopy"/>
              <w:rPr>
                <w:rFonts w:asciiTheme="minorHAnsi" w:hAnsiTheme="minorHAnsi" w:cstheme="minorHAnsi"/>
              </w:rPr>
            </w:pPr>
            <w:r w:rsidRPr="00CD60DF">
              <w:rPr>
                <w:rFonts w:asciiTheme="minorHAnsi" w:hAnsiTheme="minorHAnsi" w:cstheme="minorHAnsi"/>
              </w:rPr>
              <w:t>Capital</w:t>
            </w:r>
            <w:r w:rsidR="00A03629" w:rsidRPr="00CD60DF">
              <w:rPr>
                <w:rFonts w:asciiTheme="minorHAnsi" w:hAnsiTheme="minorHAnsi" w:cstheme="minorHAnsi"/>
              </w:rPr>
              <w:t xml:space="preserve"> </w:t>
            </w:r>
            <w:r w:rsidRPr="00CD60DF">
              <w:rPr>
                <w:rFonts w:asciiTheme="minorHAnsi" w:hAnsiTheme="minorHAnsi" w:cstheme="minorHAnsi"/>
              </w:rPr>
              <w:t>funding</w:t>
            </w:r>
            <w:r w:rsidR="00A03629" w:rsidRPr="00CD60DF">
              <w:rPr>
                <w:rFonts w:asciiTheme="minorHAnsi" w:hAnsiTheme="minorHAnsi" w:cstheme="minorHAnsi"/>
              </w:rPr>
              <w:t xml:space="preserve"> </w:t>
            </w:r>
            <w:r w:rsidRPr="00CD60DF">
              <w:rPr>
                <w:rFonts w:asciiTheme="minorHAnsi" w:hAnsiTheme="minorHAnsi" w:cstheme="minorHAnsi"/>
              </w:rPr>
              <w:t>to</w:t>
            </w:r>
            <w:r w:rsidR="00A03629" w:rsidRPr="00CD60DF">
              <w:rPr>
                <w:rFonts w:asciiTheme="minorHAnsi" w:hAnsiTheme="minorHAnsi" w:cstheme="minorHAnsi"/>
              </w:rPr>
              <w:t xml:space="preserve"> </w:t>
            </w:r>
            <w:r w:rsidRPr="00CD60DF">
              <w:rPr>
                <w:rFonts w:asciiTheme="minorHAnsi" w:hAnsiTheme="minorHAnsi" w:cstheme="minorHAnsi"/>
              </w:rPr>
              <w:t>agencies</w:t>
            </w:r>
            <w:r w:rsidR="00A03629" w:rsidRPr="00CD60DF">
              <w:rPr>
                <w:rFonts w:asciiTheme="minorHAnsi" w:hAnsiTheme="minorHAnsi" w:cstheme="minorHAnsi"/>
              </w:rPr>
              <w:t xml:space="preserve"> </w:t>
            </w:r>
            <w:r w:rsidRPr="00CD60DF">
              <w:rPr>
                <w:rFonts w:asciiTheme="minorHAnsi" w:hAnsiTheme="minorHAnsi" w:cstheme="minorHAnsi"/>
              </w:rPr>
              <w:t>within</w:t>
            </w:r>
            <w:r w:rsidR="00A03629" w:rsidRPr="00CD60DF">
              <w:rPr>
                <w:rFonts w:asciiTheme="minorHAnsi" w:hAnsiTheme="minorHAnsi" w:cstheme="minorHAnsi"/>
              </w:rPr>
              <w:t xml:space="preserve"> </w:t>
            </w:r>
            <w:r w:rsidRPr="00CD60DF">
              <w:rPr>
                <w:rFonts w:asciiTheme="minorHAnsi" w:hAnsiTheme="minorHAnsi" w:cstheme="minorHAnsi"/>
              </w:rPr>
              <w:t>portfolio</w:t>
            </w:r>
          </w:p>
        </w:tc>
        <w:tc>
          <w:tcPr>
            <w:tcW w:w="770" w:type="dxa"/>
          </w:tcPr>
          <w:p w14:paraId="1D2A3824" w14:textId="77777777" w:rsidR="000756EB" w:rsidRPr="00CD60DF" w:rsidRDefault="004A4D88" w:rsidP="00110644">
            <w:pPr>
              <w:pStyle w:val="TableCopy"/>
              <w:jc w:val="right"/>
              <w:rPr>
                <w:rFonts w:asciiTheme="minorHAnsi" w:hAnsiTheme="minorHAnsi" w:cstheme="minorHAnsi"/>
              </w:rPr>
            </w:pPr>
            <w:r w:rsidRPr="00CD60DF">
              <w:rPr>
                <w:rFonts w:asciiTheme="minorHAnsi" w:hAnsiTheme="minorHAnsi" w:cstheme="minorHAnsi"/>
              </w:rPr>
              <w:t>9.4</w:t>
            </w:r>
          </w:p>
        </w:tc>
        <w:tc>
          <w:tcPr>
            <w:tcW w:w="1640" w:type="dxa"/>
          </w:tcPr>
          <w:p w14:paraId="77B86E61" w14:textId="77777777" w:rsidR="000756EB" w:rsidRPr="00CD60DF" w:rsidRDefault="004A4D88" w:rsidP="00110644">
            <w:pPr>
              <w:pStyle w:val="TableCopy"/>
              <w:jc w:val="right"/>
              <w:rPr>
                <w:rFonts w:asciiTheme="minorHAnsi" w:hAnsiTheme="minorHAnsi" w:cstheme="minorHAnsi"/>
              </w:rPr>
            </w:pPr>
            <w:r w:rsidRPr="00CD60DF">
              <w:rPr>
                <w:rFonts w:asciiTheme="minorHAnsi" w:hAnsiTheme="minorHAnsi" w:cstheme="minorHAnsi"/>
              </w:rPr>
              <w:t>–</w:t>
            </w:r>
          </w:p>
        </w:tc>
        <w:tc>
          <w:tcPr>
            <w:tcW w:w="1701" w:type="dxa"/>
          </w:tcPr>
          <w:p w14:paraId="796F6D01" w14:textId="77777777" w:rsidR="000756EB" w:rsidRPr="00CD60DF" w:rsidRDefault="004A4D88" w:rsidP="00110644">
            <w:pPr>
              <w:pStyle w:val="TableCopy"/>
              <w:jc w:val="right"/>
              <w:rPr>
                <w:rFonts w:asciiTheme="minorHAnsi" w:hAnsiTheme="minorHAnsi" w:cstheme="minorHAnsi"/>
              </w:rPr>
            </w:pPr>
            <w:r w:rsidRPr="00CD60DF">
              <w:rPr>
                <w:rFonts w:asciiTheme="minorHAnsi" w:hAnsiTheme="minorHAnsi" w:cstheme="minorHAnsi"/>
              </w:rPr>
              <w:t>(274,540)</w:t>
            </w:r>
          </w:p>
        </w:tc>
        <w:tc>
          <w:tcPr>
            <w:tcW w:w="1701" w:type="dxa"/>
          </w:tcPr>
          <w:p w14:paraId="42B5C39D" w14:textId="77777777" w:rsidR="000756EB" w:rsidRPr="00CD60DF" w:rsidRDefault="004A4D88" w:rsidP="00110644">
            <w:pPr>
              <w:pStyle w:val="TableCopy"/>
              <w:jc w:val="right"/>
              <w:rPr>
                <w:rFonts w:asciiTheme="minorHAnsi" w:hAnsiTheme="minorHAnsi" w:cstheme="minorHAnsi"/>
              </w:rPr>
            </w:pPr>
            <w:r w:rsidRPr="00CD60DF">
              <w:rPr>
                <w:rFonts w:asciiTheme="minorHAnsi" w:hAnsiTheme="minorHAnsi" w:cstheme="minorHAnsi"/>
              </w:rPr>
              <w:t>–</w:t>
            </w:r>
          </w:p>
        </w:tc>
        <w:tc>
          <w:tcPr>
            <w:tcW w:w="1705" w:type="dxa"/>
          </w:tcPr>
          <w:p w14:paraId="521E2870" w14:textId="77777777" w:rsidR="000756EB" w:rsidRPr="00CD60DF" w:rsidRDefault="004A4D88" w:rsidP="00110644">
            <w:pPr>
              <w:pStyle w:val="TableCopy"/>
              <w:jc w:val="right"/>
              <w:rPr>
                <w:rFonts w:asciiTheme="minorHAnsi" w:hAnsiTheme="minorHAnsi" w:cstheme="minorHAnsi"/>
              </w:rPr>
            </w:pPr>
            <w:r w:rsidRPr="00CD60DF">
              <w:rPr>
                <w:rFonts w:asciiTheme="minorHAnsi" w:hAnsiTheme="minorHAnsi" w:cstheme="minorHAnsi"/>
              </w:rPr>
              <w:t>(274,540)</w:t>
            </w:r>
          </w:p>
        </w:tc>
      </w:tr>
      <w:tr w:rsidR="000756EB" w:rsidRPr="00CD60DF" w14:paraId="14DDFCE4" w14:textId="77777777" w:rsidTr="005C22C3">
        <w:trPr>
          <w:cantSplit/>
        </w:trPr>
        <w:tc>
          <w:tcPr>
            <w:tcW w:w="2689" w:type="dxa"/>
          </w:tcPr>
          <w:p w14:paraId="72459645" w14:textId="12912258" w:rsidR="000756EB" w:rsidRPr="00CD60DF" w:rsidRDefault="004A4D88" w:rsidP="00110644">
            <w:pPr>
              <w:pStyle w:val="TableCopy"/>
              <w:rPr>
                <w:rFonts w:asciiTheme="minorHAnsi" w:hAnsiTheme="minorHAnsi" w:cstheme="minorHAnsi"/>
              </w:rPr>
            </w:pPr>
            <w:r w:rsidRPr="00CD60DF">
              <w:rPr>
                <w:rFonts w:asciiTheme="minorHAnsi" w:hAnsiTheme="minorHAnsi" w:cstheme="minorHAnsi"/>
              </w:rPr>
              <w:t>Capital</w:t>
            </w:r>
            <w:r w:rsidR="00A03629" w:rsidRPr="00CD60DF">
              <w:rPr>
                <w:rFonts w:asciiTheme="minorHAnsi" w:hAnsiTheme="minorHAnsi" w:cstheme="minorHAnsi"/>
              </w:rPr>
              <w:t xml:space="preserve"> </w:t>
            </w:r>
            <w:r w:rsidRPr="00CD60DF">
              <w:rPr>
                <w:rFonts w:asciiTheme="minorHAnsi" w:hAnsiTheme="minorHAnsi" w:cstheme="minorHAnsi"/>
              </w:rPr>
              <w:t>appropriations</w:t>
            </w:r>
            <w:r w:rsidR="00A03629" w:rsidRPr="00CD60DF">
              <w:rPr>
                <w:rFonts w:asciiTheme="minorHAnsi" w:hAnsiTheme="minorHAnsi" w:cstheme="minorHAnsi"/>
              </w:rPr>
              <w:t xml:space="preserve"> </w:t>
            </w:r>
          </w:p>
        </w:tc>
        <w:tc>
          <w:tcPr>
            <w:tcW w:w="770" w:type="dxa"/>
          </w:tcPr>
          <w:p w14:paraId="72A2C934" w14:textId="77777777" w:rsidR="000756EB" w:rsidRPr="00CD60DF" w:rsidRDefault="004A4D88" w:rsidP="00110644">
            <w:pPr>
              <w:pStyle w:val="TableCopy"/>
              <w:jc w:val="right"/>
              <w:rPr>
                <w:rFonts w:asciiTheme="minorHAnsi" w:hAnsiTheme="minorHAnsi" w:cstheme="minorHAnsi"/>
              </w:rPr>
            </w:pPr>
            <w:r w:rsidRPr="00CD60DF">
              <w:rPr>
                <w:rFonts w:asciiTheme="minorHAnsi" w:hAnsiTheme="minorHAnsi" w:cstheme="minorHAnsi"/>
              </w:rPr>
              <w:t>2.3</w:t>
            </w:r>
          </w:p>
        </w:tc>
        <w:tc>
          <w:tcPr>
            <w:tcW w:w="1640" w:type="dxa"/>
          </w:tcPr>
          <w:p w14:paraId="6A0DBEB5" w14:textId="77777777" w:rsidR="000756EB" w:rsidRPr="00CD60DF" w:rsidRDefault="004A4D88" w:rsidP="00110644">
            <w:pPr>
              <w:pStyle w:val="TableCopy"/>
              <w:jc w:val="right"/>
              <w:rPr>
                <w:rFonts w:asciiTheme="minorHAnsi" w:hAnsiTheme="minorHAnsi" w:cstheme="minorHAnsi"/>
              </w:rPr>
            </w:pPr>
            <w:r w:rsidRPr="00CD60DF">
              <w:rPr>
                <w:rFonts w:asciiTheme="minorHAnsi" w:hAnsiTheme="minorHAnsi" w:cstheme="minorHAnsi"/>
              </w:rPr>
              <w:t>–</w:t>
            </w:r>
          </w:p>
        </w:tc>
        <w:tc>
          <w:tcPr>
            <w:tcW w:w="1701" w:type="dxa"/>
          </w:tcPr>
          <w:p w14:paraId="2C5A1878" w14:textId="1BDBD186" w:rsidR="000756EB" w:rsidRPr="00CD60DF" w:rsidRDefault="004A4D88" w:rsidP="00110644">
            <w:pPr>
              <w:pStyle w:val="TableCopy"/>
              <w:jc w:val="right"/>
              <w:rPr>
                <w:rFonts w:asciiTheme="minorHAnsi" w:hAnsiTheme="minorHAnsi" w:cstheme="minorHAnsi"/>
              </w:rPr>
            </w:pPr>
            <w:r w:rsidRPr="00CD60DF">
              <w:rPr>
                <w:rFonts w:asciiTheme="minorHAnsi" w:hAnsiTheme="minorHAnsi" w:cstheme="minorHAnsi"/>
              </w:rPr>
              <w:t>209,667</w:t>
            </w:r>
          </w:p>
        </w:tc>
        <w:tc>
          <w:tcPr>
            <w:tcW w:w="1701" w:type="dxa"/>
          </w:tcPr>
          <w:p w14:paraId="176990F5" w14:textId="77777777" w:rsidR="000756EB" w:rsidRPr="00CD60DF" w:rsidRDefault="004A4D88" w:rsidP="00110644">
            <w:pPr>
              <w:pStyle w:val="TableCopy"/>
              <w:jc w:val="right"/>
              <w:rPr>
                <w:rFonts w:asciiTheme="minorHAnsi" w:hAnsiTheme="minorHAnsi" w:cstheme="minorHAnsi"/>
              </w:rPr>
            </w:pPr>
            <w:r w:rsidRPr="00CD60DF">
              <w:rPr>
                <w:rFonts w:asciiTheme="minorHAnsi" w:hAnsiTheme="minorHAnsi" w:cstheme="minorHAnsi"/>
              </w:rPr>
              <w:t>–</w:t>
            </w:r>
          </w:p>
        </w:tc>
        <w:tc>
          <w:tcPr>
            <w:tcW w:w="1705" w:type="dxa"/>
          </w:tcPr>
          <w:p w14:paraId="47EAC6EB" w14:textId="5B01C0FE" w:rsidR="000756EB" w:rsidRPr="00CD60DF" w:rsidRDefault="004A4D88" w:rsidP="00110644">
            <w:pPr>
              <w:pStyle w:val="TableCopy"/>
              <w:jc w:val="right"/>
              <w:rPr>
                <w:rFonts w:asciiTheme="minorHAnsi" w:hAnsiTheme="minorHAnsi" w:cstheme="minorHAnsi"/>
              </w:rPr>
            </w:pPr>
            <w:r w:rsidRPr="00CD60DF">
              <w:rPr>
                <w:rFonts w:asciiTheme="minorHAnsi" w:hAnsiTheme="minorHAnsi" w:cstheme="minorHAnsi"/>
              </w:rPr>
              <w:t>209,667</w:t>
            </w:r>
          </w:p>
        </w:tc>
      </w:tr>
      <w:tr w:rsidR="000756EB" w:rsidRPr="00CD60DF" w14:paraId="3C01D638" w14:textId="77777777" w:rsidTr="005C22C3">
        <w:trPr>
          <w:cantSplit/>
        </w:trPr>
        <w:tc>
          <w:tcPr>
            <w:tcW w:w="2689" w:type="dxa"/>
          </w:tcPr>
          <w:p w14:paraId="233B704D" w14:textId="1C510C89" w:rsidR="000756EB" w:rsidRPr="00CD60DF" w:rsidRDefault="004A4D88" w:rsidP="00110644">
            <w:pPr>
              <w:pStyle w:val="TableCopy"/>
              <w:rPr>
                <w:rFonts w:asciiTheme="minorHAnsi" w:hAnsiTheme="minorHAnsi" w:cstheme="minorHAnsi"/>
              </w:rPr>
            </w:pPr>
            <w:r w:rsidRPr="00CD60DF">
              <w:rPr>
                <w:rFonts w:asciiTheme="minorHAnsi" w:hAnsiTheme="minorHAnsi" w:cstheme="minorHAnsi"/>
              </w:rPr>
              <w:t>Return</w:t>
            </w:r>
            <w:r w:rsidR="00A03629" w:rsidRPr="00CD60DF">
              <w:rPr>
                <w:rFonts w:asciiTheme="minorHAnsi" w:hAnsiTheme="minorHAnsi" w:cstheme="minorHAnsi"/>
              </w:rPr>
              <w:t xml:space="preserve"> </w:t>
            </w:r>
            <w:r w:rsidRPr="00CD60DF">
              <w:rPr>
                <w:rFonts w:asciiTheme="minorHAnsi" w:hAnsiTheme="minorHAnsi" w:cstheme="minorHAnsi"/>
              </w:rPr>
              <w:t>of</w:t>
            </w:r>
            <w:r w:rsidR="00A03629" w:rsidRPr="00CD60DF">
              <w:rPr>
                <w:rFonts w:asciiTheme="minorHAnsi" w:hAnsiTheme="minorHAnsi" w:cstheme="minorHAnsi"/>
              </w:rPr>
              <w:t xml:space="preserve"> </w:t>
            </w:r>
            <w:r w:rsidRPr="00CD60DF">
              <w:rPr>
                <w:rFonts w:asciiTheme="minorHAnsi" w:hAnsiTheme="minorHAnsi" w:cstheme="minorHAnsi"/>
              </w:rPr>
              <w:t>capital</w:t>
            </w:r>
          </w:p>
        </w:tc>
        <w:tc>
          <w:tcPr>
            <w:tcW w:w="770" w:type="dxa"/>
          </w:tcPr>
          <w:p w14:paraId="3A4FF9AA" w14:textId="77777777" w:rsidR="000756EB" w:rsidRPr="00CD60DF" w:rsidRDefault="004A4D88" w:rsidP="00110644">
            <w:pPr>
              <w:pStyle w:val="TableCopy"/>
              <w:jc w:val="right"/>
              <w:rPr>
                <w:rFonts w:asciiTheme="minorHAnsi" w:hAnsiTheme="minorHAnsi" w:cstheme="minorHAnsi"/>
              </w:rPr>
            </w:pPr>
            <w:r w:rsidRPr="00CD60DF">
              <w:rPr>
                <w:rFonts w:asciiTheme="minorHAnsi" w:hAnsiTheme="minorHAnsi" w:cstheme="minorHAnsi"/>
              </w:rPr>
              <w:t>9.4</w:t>
            </w:r>
          </w:p>
        </w:tc>
        <w:tc>
          <w:tcPr>
            <w:tcW w:w="1640" w:type="dxa"/>
          </w:tcPr>
          <w:p w14:paraId="2929B15F" w14:textId="77777777" w:rsidR="000756EB" w:rsidRPr="00CD60DF" w:rsidRDefault="004A4D88" w:rsidP="00110644">
            <w:pPr>
              <w:pStyle w:val="TableCopy"/>
              <w:jc w:val="right"/>
              <w:rPr>
                <w:rFonts w:asciiTheme="minorHAnsi" w:hAnsiTheme="minorHAnsi" w:cstheme="minorHAnsi"/>
              </w:rPr>
            </w:pPr>
            <w:r w:rsidRPr="00CD60DF">
              <w:rPr>
                <w:rFonts w:asciiTheme="minorHAnsi" w:hAnsiTheme="minorHAnsi" w:cstheme="minorHAnsi"/>
              </w:rPr>
              <w:t>–</w:t>
            </w:r>
          </w:p>
        </w:tc>
        <w:tc>
          <w:tcPr>
            <w:tcW w:w="1701" w:type="dxa"/>
          </w:tcPr>
          <w:p w14:paraId="3F864F58" w14:textId="77777777" w:rsidR="000756EB" w:rsidRPr="00CD60DF" w:rsidRDefault="004A4D88" w:rsidP="00110644">
            <w:pPr>
              <w:pStyle w:val="TableCopy"/>
              <w:jc w:val="right"/>
              <w:rPr>
                <w:rFonts w:asciiTheme="minorHAnsi" w:hAnsiTheme="minorHAnsi" w:cstheme="minorHAnsi"/>
              </w:rPr>
            </w:pPr>
            <w:r w:rsidRPr="00CD60DF">
              <w:rPr>
                <w:rFonts w:asciiTheme="minorHAnsi" w:hAnsiTheme="minorHAnsi" w:cstheme="minorHAnsi"/>
              </w:rPr>
              <w:t>(12,372)</w:t>
            </w:r>
          </w:p>
        </w:tc>
        <w:tc>
          <w:tcPr>
            <w:tcW w:w="1701" w:type="dxa"/>
          </w:tcPr>
          <w:p w14:paraId="1E9EC7E6" w14:textId="77777777" w:rsidR="000756EB" w:rsidRPr="00CD60DF" w:rsidRDefault="004A4D88" w:rsidP="00110644">
            <w:pPr>
              <w:pStyle w:val="TableCopy"/>
              <w:jc w:val="right"/>
              <w:rPr>
                <w:rFonts w:asciiTheme="minorHAnsi" w:hAnsiTheme="minorHAnsi" w:cstheme="minorHAnsi"/>
              </w:rPr>
            </w:pPr>
            <w:r w:rsidRPr="00CD60DF">
              <w:rPr>
                <w:rFonts w:asciiTheme="minorHAnsi" w:hAnsiTheme="minorHAnsi" w:cstheme="minorHAnsi"/>
              </w:rPr>
              <w:t>–</w:t>
            </w:r>
          </w:p>
        </w:tc>
        <w:tc>
          <w:tcPr>
            <w:tcW w:w="1705" w:type="dxa"/>
          </w:tcPr>
          <w:p w14:paraId="4C678FBB" w14:textId="77777777" w:rsidR="000756EB" w:rsidRPr="00CD60DF" w:rsidRDefault="004A4D88" w:rsidP="00110644">
            <w:pPr>
              <w:pStyle w:val="TableCopy"/>
              <w:jc w:val="right"/>
              <w:rPr>
                <w:rFonts w:asciiTheme="minorHAnsi" w:hAnsiTheme="minorHAnsi" w:cstheme="minorHAnsi"/>
              </w:rPr>
            </w:pPr>
            <w:r w:rsidRPr="00CD60DF">
              <w:rPr>
                <w:rFonts w:asciiTheme="minorHAnsi" w:hAnsiTheme="minorHAnsi" w:cstheme="minorHAnsi"/>
              </w:rPr>
              <w:t>(12,372)</w:t>
            </w:r>
          </w:p>
        </w:tc>
      </w:tr>
      <w:tr w:rsidR="000756EB" w:rsidRPr="00CD60DF" w14:paraId="6BF2A41C" w14:textId="77777777" w:rsidTr="005C22C3">
        <w:trPr>
          <w:cantSplit/>
        </w:trPr>
        <w:tc>
          <w:tcPr>
            <w:tcW w:w="2689" w:type="dxa"/>
          </w:tcPr>
          <w:p w14:paraId="2D8401A7" w14:textId="0F1FCC8E" w:rsidR="000756EB" w:rsidRPr="00CD60DF" w:rsidRDefault="004A4D88" w:rsidP="00110644">
            <w:pPr>
              <w:pStyle w:val="TableCopy"/>
              <w:rPr>
                <w:rFonts w:asciiTheme="minorHAnsi" w:hAnsiTheme="minorHAnsi" w:cstheme="minorHAnsi"/>
                <w:b/>
                <w:bCs/>
              </w:rPr>
            </w:pPr>
            <w:r w:rsidRPr="00CD60DF">
              <w:rPr>
                <w:rFonts w:asciiTheme="minorHAnsi" w:hAnsiTheme="minorHAnsi" w:cstheme="minorHAnsi"/>
                <w:b/>
                <w:bCs/>
              </w:rPr>
              <w:t>Balance</w:t>
            </w:r>
            <w:r w:rsidR="00A03629" w:rsidRPr="00CD60DF">
              <w:rPr>
                <w:rFonts w:asciiTheme="minorHAnsi" w:hAnsiTheme="minorHAnsi" w:cstheme="minorHAnsi"/>
                <w:b/>
                <w:bCs/>
              </w:rPr>
              <w:t xml:space="preserve"> </w:t>
            </w:r>
            <w:proofErr w:type="gramStart"/>
            <w:r w:rsidRPr="00CD60DF">
              <w:rPr>
                <w:rFonts w:asciiTheme="minorHAnsi" w:hAnsiTheme="minorHAnsi" w:cstheme="minorHAnsi"/>
                <w:b/>
                <w:bCs/>
              </w:rPr>
              <w:t>at</w:t>
            </w:r>
            <w:proofErr w:type="gramEnd"/>
            <w:r w:rsidR="00A03629" w:rsidRPr="00CD60DF">
              <w:rPr>
                <w:rFonts w:asciiTheme="minorHAnsi" w:hAnsiTheme="minorHAnsi" w:cstheme="minorHAnsi"/>
                <w:b/>
                <w:bCs/>
              </w:rPr>
              <w:t xml:space="preserve"> </w:t>
            </w:r>
            <w:r w:rsidRPr="00CD60DF">
              <w:rPr>
                <w:rFonts w:asciiTheme="minorHAnsi" w:hAnsiTheme="minorHAnsi" w:cstheme="minorHAnsi"/>
                <w:b/>
                <w:bCs/>
              </w:rPr>
              <w:t>30</w:t>
            </w:r>
            <w:r w:rsidR="00A03629" w:rsidRPr="00CD60DF">
              <w:rPr>
                <w:rFonts w:asciiTheme="minorHAnsi" w:hAnsiTheme="minorHAnsi" w:cstheme="minorHAnsi"/>
                <w:b/>
                <w:bCs/>
              </w:rPr>
              <w:t xml:space="preserve"> </w:t>
            </w:r>
            <w:r w:rsidRPr="00CD60DF">
              <w:rPr>
                <w:rFonts w:asciiTheme="minorHAnsi" w:hAnsiTheme="minorHAnsi" w:cstheme="minorHAnsi"/>
                <w:b/>
                <w:bCs/>
              </w:rPr>
              <w:t>June</w:t>
            </w:r>
            <w:r w:rsidR="00A03629" w:rsidRPr="00CD60DF">
              <w:rPr>
                <w:rFonts w:asciiTheme="minorHAnsi" w:hAnsiTheme="minorHAnsi" w:cstheme="minorHAnsi"/>
                <w:b/>
                <w:bCs/>
              </w:rPr>
              <w:t xml:space="preserve"> </w:t>
            </w:r>
            <w:r w:rsidRPr="00CD60DF">
              <w:rPr>
                <w:rFonts w:asciiTheme="minorHAnsi" w:hAnsiTheme="minorHAnsi" w:cstheme="minorHAnsi"/>
                <w:b/>
                <w:bCs/>
              </w:rPr>
              <w:t>2022</w:t>
            </w:r>
          </w:p>
        </w:tc>
        <w:tc>
          <w:tcPr>
            <w:tcW w:w="770" w:type="dxa"/>
          </w:tcPr>
          <w:p w14:paraId="3C403F4E" w14:textId="77777777" w:rsidR="000756EB" w:rsidRPr="00CD60DF" w:rsidRDefault="000756EB" w:rsidP="00110644">
            <w:pPr>
              <w:pStyle w:val="TableCopy"/>
              <w:jc w:val="right"/>
              <w:rPr>
                <w:rFonts w:asciiTheme="minorHAnsi" w:hAnsiTheme="minorHAnsi" w:cstheme="minorHAnsi"/>
                <w:b/>
                <w:bCs/>
              </w:rPr>
            </w:pPr>
          </w:p>
        </w:tc>
        <w:tc>
          <w:tcPr>
            <w:tcW w:w="1640" w:type="dxa"/>
          </w:tcPr>
          <w:p w14:paraId="07C972CC" w14:textId="6D55BCC4" w:rsidR="000756EB" w:rsidRPr="00CD60DF" w:rsidRDefault="004A4D88" w:rsidP="00110644">
            <w:pPr>
              <w:pStyle w:val="TableCopy"/>
              <w:jc w:val="right"/>
              <w:rPr>
                <w:rFonts w:asciiTheme="minorHAnsi" w:hAnsiTheme="minorHAnsi" w:cstheme="minorHAnsi"/>
                <w:b/>
                <w:bCs/>
              </w:rPr>
            </w:pPr>
            <w:r w:rsidRPr="00CD60DF">
              <w:rPr>
                <w:rFonts w:asciiTheme="minorHAnsi" w:hAnsiTheme="minorHAnsi" w:cstheme="minorHAnsi"/>
                <w:b/>
                <w:bCs/>
              </w:rPr>
              <w:t>303,771</w:t>
            </w:r>
          </w:p>
        </w:tc>
        <w:tc>
          <w:tcPr>
            <w:tcW w:w="1701" w:type="dxa"/>
          </w:tcPr>
          <w:p w14:paraId="5645BF52" w14:textId="0D37AC02" w:rsidR="000756EB" w:rsidRPr="00CD60DF" w:rsidRDefault="004A4D88" w:rsidP="00110644">
            <w:pPr>
              <w:pStyle w:val="TableCopy"/>
              <w:jc w:val="right"/>
              <w:rPr>
                <w:rFonts w:asciiTheme="minorHAnsi" w:hAnsiTheme="minorHAnsi" w:cstheme="minorHAnsi"/>
                <w:b/>
                <w:bCs/>
              </w:rPr>
            </w:pPr>
            <w:r w:rsidRPr="00CD60DF">
              <w:rPr>
                <w:rFonts w:asciiTheme="minorHAnsi" w:hAnsiTheme="minorHAnsi" w:cstheme="minorHAnsi"/>
                <w:b/>
                <w:bCs/>
              </w:rPr>
              <w:t>1,479,014</w:t>
            </w:r>
          </w:p>
        </w:tc>
        <w:tc>
          <w:tcPr>
            <w:tcW w:w="1701" w:type="dxa"/>
          </w:tcPr>
          <w:p w14:paraId="4CC98401" w14:textId="2BCE857F" w:rsidR="000756EB" w:rsidRPr="00CD60DF" w:rsidRDefault="004A4D88" w:rsidP="00110644">
            <w:pPr>
              <w:pStyle w:val="TableCopy"/>
              <w:jc w:val="right"/>
              <w:rPr>
                <w:rFonts w:asciiTheme="minorHAnsi" w:hAnsiTheme="minorHAnsi" w:cstheme="minorHAnsi"/>
                <w:b/>
                <w:bCs/>
              </w:rPr>
            </w:pPr>
            <w:r w:rsidRPr="00CD60DF">
              <w:rPr>
                <w:rFonts w:asciiTheme="minorHAnsi" w:hAnsiTheme="minorHAnsi" w:cstheme="minorHAnsi"/>
                <w:b/>
                <w:bCs/>
              </w:rPr>
              <w:t>49,969</w:t>
            </w:r>
          </w:p>
        </w:tc>
        <w:tc>
          <w:tcPr>
            <w:tcW w:w="1705" w:type="dxa"/>
          </w:tcPr>
          <w:p w14:paraId="69DA04AF" w14:textId="2CE41887" w:rsidR="000756EB" w:rsidRPr="00CD60DF" w:rsidRDefault="004A4D88" w:rsidP="00110644">
            <w:pPr>
              <w:pStyle w:val="TableCopy"/>
              <w:jc w:val="right"/>
              <w:rPr>
                <w:rFonts w:asciiTheme="minorHAnsi" w:hAnsiTheme="minorHAnsi" w:cstheme="minorHAnsi"/>
                <w:b/>
                <w:bCs/>
              </w:rPr>
            </w:pPr>
            <w:r w:rsidRPr="00CD60DF">
              <w:rPr>
                <w:rFonts w:asciiTheme="minorHAnsi" w:hAnsiTheme="minorHAnsi" w:cstheme="minorHAnsi"/>
                <w:b/>
                <w:bCs/>
              </w:rPr>
              <w:t>1,832,754</w:t>
            </w:r>
          </w:p>
        </w:tc>
      </w:tr>
      <w:tr w:rsidR="000756EB" w:rsidRPr="00CD60DF" w14:paraId="3EBF6172" w14:textId="77777777" w:rsidTr="005C22C3">
        <w:trPr>
          <w:cantSplit/>
        </w:trPr>
        <w:tc>
          <w:tcPr>
            <w:tcW w:w="2689" w:type="dxa"/>
          </w:tcPr>
          <w:p w14:paraId="568EADA6" w14:textId="3321ED9F" w:rsidR="000756EB" w:rsidRPr="00CD60DF" w:rsidRDefault="004A4D88" w:rsidP="00110644">
            <w:pPr>
              <w:pStyle w:val="TableCopy"/>
              <w:rPr>
                <w:rFonts w:asciiTheme="minorHAnsi" w:hAnsiTheme="minorHAnsi" w:cstheme="minorHAnsi"/>
              </w:rPr>
            </w:pPr>
            <w:r w:rsidRPr="00CD60DF">
              <w:rPr>
                <w:rFonts w:asciiTheme="minorHAnsi" w:hAnsiTheme="minorHAnsi" w:cstheme="minorHAnsi"/>
              </w:rPr>
              <w:t>Net</w:t>
            </w:r>
            <w:r w:rsidR="00A03629" w:rsidRPr="00CD60DF">
              <w:rPr>
                <w:rFonts w:asciiTheme="minorHAnsi" w:hAnsiTheme="minorHAnsi" w:cstheme="minorHAnsi"/>
              </w:rPr>
              <w:t xml:space="preserve"> </w:t>
            </w:r>
            <w:r w:rsidRPr="00CD60DF">
              <w:rPr>
                <w:rFonts w:asciiTheme="minorHAnsi" w:hAnsiTheme="minorHAnsi" w:cstheme="minorHAnsi"/>
              </w:rPr>
              <w:t>result</w:t>
            </w:r>
            <w:r w:rsidR="00A03629" w:rsidRPr="00CD60DF">
              <w:rPr>
                <w:rFonts w:asciiTheme="minorHAnsi" w:hAnsiTheme="minorHAnsi" w:cstheme="minorHAnsi"/>
              </w:rPr>
              <w:t xml:space="preserve"> </w:t>
            </w:r>
            <w:r w:rsidRPr="00CD60DF">
              <w:rPr>
                <w:rFonts w:asciiTheme="minorHAnsi" w:hAnsiTheme="minorHAnsi" w:cstheme="minorHAnsi"/>
              </w:rPr>
              <w:t>for</w:t>
            </w:r>
            <w:r w:rsidR="00A03629" w:rsidRPr="00CD60DF">
              <w:rPr>
                <w:rFonts w:asciiTheme="minorHAnsi" w:hAnsiTheme="minorHAnsi" w:cstheme="minorHAnsi"/>
              </w:rPr>
              <w:t xml:space="preserve"> </w:t>
            </w:r>
            <w:r w:rsidRPr="00CD60DF">
              <w:rPr>
                <w:rFonts w:asciiTheme="minorHAnsi" w:hAnsiTheme="minorHAnsi" w:cstheme="minorHAnsi"/>
              </w:rPr>
              <w:t>the</w:t>
            </w:r>
            <w:r w:rsidR="00A03629" w:rsidRPr="00CD60DF">
              <w:rPr>
                <w:rFonts w:asciiTheme="minorHAnsi" w:hAnsiTheme="minorHAnsi" w:cstheme="minorHAnsi"/>
              </w:rPr>
              <w:t xml:space="preserve"> </w:t>
            </w:r>
            <w:r w:rsidRPr="00CD60DF">
              <w:rPr>
                <w:rFonts w:asciiTheme="minorHAnsi" w:hAnsiTheme="minorHAnsi" w:cstheme="minorHAnsi"/>
              </w:rPr>
              <w:t>year</w:t>
            </w:r>
          </w:p>
        </w:tc>
        <w:tc>
          <w:tcPr>
            <w:tcW w:w="770" w:type="dxa"/>
          </w:tcPr>
          <w:p w14:paraId="3AA88D4D" w14:textId="77777777" w:rsidR="000756EB" w:rsidRPr="00CD60DF" w:rsidRDefault="000756EB" w:rsidP="00110644">
            <w:pPr>
              <w:pStyle w:val="TableCopy"/>
              <w:jc w:val="right"/>
              <w:rPr>
                <w:rFonts w:asciiTheme="minorHAnsi" w:hAnsiTheme="minorHAnsi" w:cstheme="minorHAnsi"/>
              </w:rPr>
            </w:pPr>
          </w:p>
        </w:tc>
        <w:tc>
          <w:tcPr>
            <w:tcW w:w="1640" w:type="dxa"/>
          </w:tcPr>
          <w:p w14:paraId="6F418E33" w14:textId="77777777" w:rsidR="000756EB" w:rsidRPr="00CD60DF" w:rsidRDefault="004A4D88" w:rsidP="00110644">
            <w:pPr>
              <w:pStyle w:val="TableCopy"/>
              <w:jc w:val="right"/>
              <w:rPr>
                <w:rFonts w:asciiTheme="minorHAnsi" w:hAnsiTheme="minorHAnsi" w:cstheme="minorHAnsi"/>
              </w:rPr>
            </w:pPr>
            <w:r w:rsidRPr="00CD60DF">
              <w:rPr>
                <w:rFonts w:asciiTheme="minorHAnsi" w:hAnsiTheme="minorHAnsi" w:cstheme="minorHAnsi"/>
              </w:rPr>
              <w:t>–</w:t>
            </w:r>
          </w:p>
        </w:tc>
        <w:tc>
          <w:tcPr>
            <w:tcW w:w="1701" w:type="dxa"/>
          </w:tcPr>
          <w:p w14:paraId="40F92274" w14:textId="77777777" w:rsidR="000756EB" w:rsidRPr="00CD60DF" w:rsidRDefault="004A4D88" w:rsidP="00110644">
            <w:pPr>
              <w:pStyle w:val="TableCopy"/>
              <w:jc w:val="right"/>
              <w:rPr>
                <w:rFonts w:asciiTheme="minorHAnsi" w:hAnsiTheme="minorHAnsi" w:cstheme="minorHAnsi"/>
              </w:rPr>
            </w:pPr>
            <w:r w:rsidRPr="00CD60DF">
              <w:rPr>
                <w:rFonts w:asciiTheme="minorHAnsi" w:hAnsiTheme="minorHAnsi" w:cstheme="minorHAnsi"/>
              </w:rPr>
              <w:t>–</w:t>
            </w:r>
          </w:p>
        </w:tc>
        <w:tc>
          <w:tcPr>
            <w:tcW w:w="1701" w:type="dxa"/>
          </w:tcPr>
          <w:p w14:paraId="30AB9395" w14:textId="77777777" w:rsidR="000756EB" w:rsidRPr="00CD60DF" w:rsidRDefault="004A4D88" w:rsidP="00110644">
            <w:pPr>
              <w:pStyle w:val="TableCopy"/>
              <w:jc w:val="right"/>
              <w:rPr>
                <w:rFonts w:asciiTheme="minorHAnsi" w:hAnsiTheme="minorHAnsi" w:cstheme="minorHAnsi"/>
              </w:rPr>
            </w:pPr>
            <w:r w:rsidRPr="00CD60DF">
              <w:rPr>
                <w:rFonts w:asciiTheme="minorHAnsi" w:hAnsiTheme="minorHAnsi" w:cstheme="minorHAnsi"/>
              </w:rPr>
              <w:t>132,587</w:t>
            </w:r>
          </w:p>
        </w:tc>
        <w:tc>
          <w:tcPr>
            <w:tcW w:w="1705" w:type="dxa"/>
          </w:tcPr>
          <w:p w14:paraId="414993FE" w14:textId="458DC025" w:rsidR="000756EB" w:rsidRPr="00CD60DF" w:rsidRDefault="004A4D88" w:rsidP="00110644">
            <w:pPr>
              <w:pStyle w:val="TableCopy"/>
              <w:jc w:val="right"/>
              <w:rPr>
                <w:rFonts w:asciiTheme="minorHAnsi" w:hAnsiTheme="minorHAnsi" w:cstheme="minorHAnsi"/>
              </w:rPr>
            </w:pPr>
            <w:r w:rsidRPr="00CD60DF">
              <w:rPr>
                <w:rFonts w:asciiTheme="minorHAnsi" w:hAnsiTheme="minorHAnsi" w:cstheme="minorHAnsi"/>
              </w:rPr>
              <w:t>132,587</w:t>
            </w:r>
          </w:p>
        </w:tc>
      </w:tr>
      <w:tr w:rsidR="000756EB" w:rsidRPr="00CD60DF" w14:paraId="28830906" w14:textId="77777777" w:rsidTr="005C22C3">
        <w:trPr>
          <w:cantSplit/>
        </w:trPr>
        <w:tc>
          <w:tcPr>
            <w:tcW w:w="2689" w:type="dxa"/>
          </w:tcPr>
          <w:p w14:paraId="4F0A3B03" w14:textId="0B0E03C8" w:rsidR="000756EB" w:rsidRPr="00CD60DF" w:rsidRDefault="004A4D88" w:rsidP="00110644">
            <w:pPr>
              <w:pStyle w:val="TableCopy"/>
              <w:rPr>
                <w:rFonts w:asciiTheme="minorHAnsi" w:hAnsiTheme="minorHAnsi" w:cstheme="minorHAnsi"/>
              </w:rPr>
            </w:pPr>
            <w:r w:rsidRPr="00CD60DF">
              <w:rPr>
                <w:rFonts w:asciiTheme="minorHAnsi" w:hAnsiTheme="minorHAnsi" w:cstheme="minorHAnsi"/>
              </w:rPr>
              <w:t>Sec</w:t>
            </w:r>
            <w:r w:rsidR="00A03629" w:rsidRPr="00CD60DF">
              <w:rPr>
                <w:rFonts w:asciiTheme="minorHAnsi" w:hAnsiTheme="minorHAnsi" w:cstheme="minorHAnsi"/>
              </w:rPr>
              <w:t xml:space="preserve"> </w:t>
            </w:r>
            <w:r w:rsidRPr="00CD60DF">
              <w:rPr>
                <w:rFonts w:asciiTheme="minorHAnsi" w:hAnsiTheme="minorHAnsi" w:cstheme="minorHAnsi"/>
              </w:rPr>
              <w:t>53(b)</w:t>
            </w:r>
            <w:r w:rsidR="00A03629" w:rsidRPr="00CD60DF">
              <w:rPr>
                <w:rFonts w:asciiTheme="minorHAnsi" w:hAnsiTheme="minorHAnsi" w:cstheme="minorHAnsi"/>
              </w:rPr>
              <w:t xml:space="preserve"> </w:t>
            </w:r>
            <w:r w:rsidRPr="00CD60DF">
              <w:rPr>
                <w:rFonts w:asciiTheme="minorHAnsi" w:hAnsiTheme="minorHAnsi" w:cstheme="minorHAnsi"/>
              </w:rPr>
              <w:t>entity</w:t>
            </w:r>
            <w:r w:rsidR="00A03629" w:rsidRPr="00CD60DF">
              <w:rPr>
                <w:rFonts w:asciiTheme="minorHAnsi" w:hAnsiTheme="minorHAnsi" w:cstheme="minorHAnsi"/>
              </w:rPr>
              <w:t xml:space="preserve"> </w:t>
            </w:r>
            <w:r w:rsidRPr="00CD60DF">
              <w:rPr>
                <w:rFonts w:asciiTheme="minorHAnsi" w:hAnsiTheme="minorHAnsi" w:cstheme="minorHAnsi"/>
              </w:rPr>
              <w:t>no</w:t>
            </w:r>
            <w:r w:rsidR="00A03629" w:rsidRPr="00CD60DF">
              <w:rPr>
                <w:rFonts w:asciiTheme="minorHAnsi" w:hAnsiTheme="minorHAnsi" w:cstheme="minorHAnsi"/>
              </w:rPr>
              <w:t xml:space="preserve"> </w:t>
            </w:r>
            <w:r w:rsidRPr="00CD60DF">
              <w:rPr>
                <w:rFonts w:asciiTheme="minorHAnsi" w:hAnsiTheme="minorHAnsi" w:cstheme="minorHAnsi"/>
              </w:rPr>
              <w:t>longer</w:t>
            </w:r>
            <w:r w:rsidR="00A03629" w:rsidRPr="00CD60DF">
              <w:rPr>
                <w:rFonts w:asciiTheme="minorHAnsi" w:hAnsiTheme="minorHAnsi" w:cstheme="minorHAnsi"/>
              </w:rPr>
              <w:t xml:space="preserve"> </w:t>
            </w:r>
            <w:r w:rsidRPr="00CD60DF">
              <w:rPr>
                <w:rFonts w:asciiTheme="minorHAnsi" w:hAnsiTheme="minorHAnsi" w:cstheme="minorHAnsi"/>
              </w:rPr>
              <w:t>consolidated</w:t>
            </w:r>
          </w:p>
        </w:tc>
        <w:tc>
          <w:tcPr>
            <w:tcW w:w="770" w:type="dxa"/>
          </w:tcPr>
          <w:p w14:paraId="5686D1CF" w14:textId="77777777" w:rsidR="000756EB" w:rsidRPr="00CD60DF" w:rsidRDefault="004A4D88" w:rsidP="00110644">
            <w:pPr>
              <w:pStyle w:val="TableCopy"/>
              <w:jc w:val="right"/>
              <w:rPr>
                <w:rFonts w:asciiTheme="minorHAnsi" w:hAnsiTheme="minorHAnsi" w:cstheme="minorHAnsi"/>
              </w:rPr>
            </w:pPr>
            <w:r w:rsidRPr="00CD60DF">
              <w:rPr>
                <w:rFonts w:asciiTheme="minorHAnsi" w:hAnsiTheme="minorHAnsi" w:cstheme="minorHAnsi"/>
              </w:rPr>
              <w:t>9.4</w:t>
            </w:r>
          </w:p>
        </w:tc>
        <w:tc>
          <w:tcPr>
            <w:tcW w:w="1640" w:type="dxa"/>
          </w:tcPr>
          <w:p w14:paraId="0D2BC560" w14:textId="77777777" w:rsidR="000756EB" w:rsidRPr="00CD60DF" w:rsidRDefault="004A4D88" w:rsidP="00110644">
            <w:pPr>
              <w:pStyle w:val="TableCopy"/>
              <w:jc w:val="right"/>
              <w:rPr>
                <w:rFonts w:asciiTheme="minorHAnsi" w:hAnsiTheme="minorHAnsi" w:cstheme="minorHAnsi"/>
              </w:rPr>
            </w:pPr>
            <w:r w:rsidRPr="00CD60DF">
              <w:rPr>
                <w:rFonts w:asciiTheme="minorHAnsi" w:hAnsiTheme="minorHAnsi" w:cstheme="minorHAnsi"/>
              </w:rPr>
              <w:t>–</w:t>
            </w:r>
          </w:p>
        </w:tc>
        <w:tc>
          <w:tcPr>
            <w:tcW w:w="1701" w:type="dxa"/>
          </w:tcPr>
          <w:p w14:paraId="633F98D0" w14:textId="77777777" w:rsidR="000756EB" w:rsidRPr="00CD60DF" w:rsidRDefault="004A4D88" w:rsidP="00110644">
            <w:pPr>
              <w:pStyle w:val="TableCopy"/>
              <w:jc w:val="right"/>
              <w:rPr>
                <w:rFonts w:asciiTheme="minorHAnsi" w:hAnsiTheme="minorHAnsi" w:cstheme="minorHAnsi"/>
              </w:rPr>
            </w:pPr>
            <w:r w:rsidRPr="00CD60DF">
              <w:rPr>
                <w:rFonts w:asciiTheme="minorHAnsi" w:hAnsiTheme="minorHAnsi" w:cstheme="minorHAnsi"/>
              </w:rPr>
              <w:t>(4,629)</w:t>
            </w:r>
          </w:p>
        </w:tc>
        <w:tc>
          <w:tcPr>
            <w:tcW w:w="1701" w:type="dxa"/>
          </w:tcPr>
          <w:p w14:paraId="19D65276" w14:textId="6A1121C2" w:rsidR="000756EB" w:rsidRPr="00CD60DF" w:rsidRDefault="004A4D88" w:rsidP="00110644">
            <w:pPr>
              <w:pStyle w:val="TableCopy"/>
              <w:jc w:val="right"/>
              <w:rPr>
                <w:rFonts w:asciiTheme="minorHAnsi" w:hAnsiTheme="minorHAnsi" w:cstheme="minorHAnsi"/>
              </w:rPr>
            </w:pPr>
            <w:r w:rsidRPr="00CD60DF">
              <w:rPr>
                <w:rFonts w:asciiTheme="minorHAnsi" w:hAnsiTheme="minorHAnsi" w:cstheme="minorHAnsi"/>
              </w:rPr>
              <w:t>1,790</w:t>
            </w:r>
          </w:p>
        </w:tc>
        <w:tc>
          <w:tcPr>
            <w:tcW w:w="1705" w:type="dxa"/>
          </w:tcPr>
          <w:p w14:paraId="4E2625C0" w14:textId="77777777" w:rsidR="000756EB" w:rsidRPr="00CD60DF" w:rsidRDefault="004A4D88" w:rsidP="00110644">
            <w:pPr>
              <w:pStyle w:val="TableCopy"/>
              <w:jc w:val="right"/>
              <w:rPr>
                <w:rFonts w:asciiTheme="minorHAnsi" w:hAnsiTheme="minorHAnsi" w:cstheme="minorHAnsi"/>
              </w:rPr>
            </w:pPr>
            <w:r w:rsidRPr="00CD60DF">
              <w:rPr>
                <w:rFonts w:asciiTheme="minorHAnsi" w:hAnsiTheme="minorHAnsi" w:cstheme="minorHAnsi"/>
              </w:rPr>
              <w:t>(2,839)</w:t>
            </w:r>
          </w:p>
        </w:tc>
      </w:tr>
      <w:tr w:rsidR="000756EB" w:rsidRPr="00CD60DF" w14:paraId="58ACBD57" w14:textId="77777777" w:rsidTr="005C22C3">
        <w:trPr>
          <w:cantSplit/>
        </w:trPr>
        <w:tc>
          <w:tcPr>
            <w:tcW w:w="2689" w:type="dxa"/>
          </w:tcPr>
          <w:p w14:paraId="45FDEF97" w14:textId="63009E20" w:rsidR="000756EB" w:rsidRPr="00CD60DF" w:rsidRDefault="004A4D88" w:rsidP="00110644">
            <w:pPr>
              <w:pStyle w:val="TableCopy"/>
              <w:rPr>
                <w:rFonts w:asciiTheme="minorHAnsi" w:hAnsiTheme="minorHAnsi" w:cstheme="minorHAnsi"/>
              </w:rPr>
            </w:pPr>
            <w:r w:rsidRPr="00CD60DF">
              <w:rPr>
                <w:rFonts w:asciiTheme="minorHAnsi" w:hAnsiTheme="minorHAnsi" w:cstheme="minorHAnsi"/>
              </w:rPr>
              <w:t>Transfer</w:t>
            </w:r>
            <w:r w:rsidR="00A03629" w:rsidRPr="00CD60DF">
              <w:rPr>
                <w:rFonts w:asciiTheme="minorHAnsi" w:hAnsiTheme="minorHAnsi" w:cstheme="minorHAnsi"/>
              </w:rPr>
              <w:t xml:space="preserve"> </w:t>
            </w:r>
            <w:r w:rsidRPr="00CD60DF">
              <w:rPr>
                <w:rFonts w:asciiTheme="minorHAnsi" w:hAnsiTheme="minorHAnsi" w:cstheme="minorHAnsi"/>
              </w:rPr>
              <w:t>of</w:t>
            </w:r>
            <w:r w:rsidR="00A03629" w:rsidRPr="00CD60DF">
              <w:rPr>
                <w:rFonts w:asciiTheme="minorHAnsi" w:hAnsiTheme="minorHAnsi" w:cstheme="minorHAnsi"/>
              </w:rPr>
              <w:t xml:space="preserve"> </w:t>
            </w:r>
            <w:r w:rsidRPr="00CD60DF">
              <w:rPr>
                <w:rFonts w:asciiTheme="minorHAnsi" w:hAnsiTheme="minorHAnsi" w:cstheme="minorHAnsi"/>
              </w:rPr>
              <w:t>revaluation</w:t>
            </w:r>
            <w:r w:rsidR="00A03629" w:rsidRPr="00CD60DF">
              <w:rPr>
                <w:rFonts w:asciiTheme="minorHAnsi" w:hAnsiTheme="minorHAnsi" w:cstheme="minorHAnsi"/>
              </w:rPr>
              <w:t xml:space="preserve"> </w:t>
            </w:r>
            <w:r w:rsidRPr="00CD60DF">
              <w:rPr>
                <w:rFonts w:asciiTheme="minorHAnsi" w:hAnsiTheme="minorHAnsi" w:cstheme="minorHAnsi"/>
              </w:rPr>
              <w:t>reserve</w:t>
            </w:r>
            <w:r w:rsidR="00A03629" w:rsidRPr="00CD60DF">
              <w:rPr>
                <w:rFonts w:asciiTheme="minorHAnsi" w:hAnsiTheme="minorHAnsi" w:cstheme="minorHAnsi"/>
              </w:rPr>
              <w:t xml:space="preserve"> </w:t>
            </w:r>
            <w:r w:rsidRPr="00CD60DF">
              <w:rPr>
                <w:rFonts w:asciiTheme="minorHAnsi" w:hAnsiTheme="minorHAnsi" w:cstheme="minorHAnsi"/>
              </w:rPr>
              <w:t>to</w:t>
            </w:r>
            <w:r w:rsidR="00A03629" w:rsidRPr="00CD60DF">
              <w:rPr>
                <w:rFonts w:asciiTheme="minorHAnsi" w:hAnsiTheme="minorHAnsi" w:cstheme="minorHAnsi"/>
              </w:rPr>
              <w:t xml:space="preserve"> </w:t>
            </w:r>
            <w:r w:rsidRPr="00CD60DF">
              <w:rPr>
                <w:rFonts w:asciiTheme="minorHAnsi" w:hAnsiTheme="minorHAnsi" w:cstheme="minorHAnsi"/>
              </w:rPr>
              <w:t>accumulated</w:t>
            </w:r>
            <w:r w:rsidR="00A03629" w:rsidRPr="00CD60DF">
              <w:rPr>
                <w:rFonts w:asciiTheme="minorHAnsi" w:hAnsiTheme="minorHAnsi" w:cstheme="minorHAnsi"/>
              </w:rPr>
              <w:t xml:space="preserve"> </w:t>
            </w:r>
            <w:r w:rsidRPr="00CD60DF">
              <w:rPr>
                <w:rFonts w:asciiTheme="minorHAnsi" w:hAnsiTheme="minorHAnsi" w:cstheme="minorHAnsi"/>
              </w:rPr>
              <w:t>surplus</w:t>
            </w:r>
          </w:p>
        </w:tc>
        <w:tc>
          <w:tcPr>
            <w:tcW w:w="770" w:type="dxa"/>
          </w:tcPr>
          <w:p w14:paraId="39DD477A" w14:textId="77777777" w:rsidR="000756EB" w:rsidRPr="00CD60DF" w:rsidRDefault="000756EB" w:rsidP="00110644">
            <w:pPr>
              <w:pStyle w:val="TableCopy"/>
              <w:jc w:val="right"/>
              <w:rPr>
                <w:rFonts w:asciiTheme="minorHAnsi" w:hAnsiTheme="minorHAnsi" w:cstheme="minorHAnsi"/>
              </w:rPr>
            </w:pPr>
          </w:p>
        </w:tc>
        <w:tc>
          <w:tcPr>
            <w:tcW w:w="1640" w:type="dxa"/>
          </w:tcPr>
          <w:p w14:paraId="790BE211" w14:textId="77777777" w:rsidR="000756EB" w:rsidRPr="00CD60DF" w:rsidRDefault="004A4D88" w:rsidP="00110644">
            <w:pPr>
              <w:pStyle w:val="TableCopy"/>
              <w:jc w:val="right"/>
              <w:rPr>
                <w:rFonts w:asciiTheme="minorHAnsi" w:hAnsiTheme="minorHAnsi" w:cstheme="minorHAnsi"/>
              </w:rPr>
            </w:pPr>
            <w:r w:rsidRPr="00CD60DF">
              <w:rPr>
                <w:rFonts w:asciiTheme="minorHAnsi" w:hAnsiTheme="minorHAnsi" w:cstheme="minorHAnsi"/>
              </w:rPr>
              <w:t>(198,758)</w:t>
            </w:r>
          </w:p>
        </w:tc>
        <w:tc>
          <w:tcPr>
            <w:tcW w:w="1701" w:type="dxa"/>
          </w:tcPr>
          <w:p w14:paraId="57ECA2B5" w14:textId="2E48F2E8" w:rsidR="000756EB" w:rsidRPr="00CD60DF" w:rsidRDefault="004A4D88" w:rsidP="00110644">
            <w:pPr>
              <w:pStyle w:val="TableCopy"/>
              <w:jc w:val="right"/>
              <w:rPr>
                <w:rFonts w:asciiTheme="minorHAnsi" w:hAnsiTheme="minorHAnsi" w:cstheme="minorHAnsi"/>
              </w:rPr>
            </w:pPr>
            <w:r w:rsidRPr="00CD60DF">
              <w:rPr>
                <w:rFonts w:asciiTheme="minorHAnsi" w:hAnsiTheme="minorHAnsi" w:cstheme="minorHAnsi"/>
              </w:rPr>
              <w:t>–</w:t>
            </w:r>
          </w:p>
        </w:tc>
        <w:tc>
          <w:tcPr>
            <w:tcW w:w="1701" w:type="dxa"/>
          </w:tcPr>
          <w:p w14:paraId="2C2ACF66" w14:textId="77777777" w:rsidR="000756EB" w:rsidRPr="00CD60DF" w:rsidRDefault="004A4D88" w:rsidP="00110644">
            <w:pPr>
              <w:pStyle w:val="TableCopy"/>
              <w:jc w:val="right"/>
              <w:rPr>
                <w:rFonts w:asciiTheme="minorHAnsi" w:hAnsiTheme="minorHAnsi" w:cstheme="minorHAnsi"/>
              </w:rPr>
            </w:pPr>
            <w:r w:rsidRPr="00CD60DF">
              <w:rPr>
                <w:rFonts w:asciiTheme="minorHAnsi" w:hAnsiTheme="minorHAnsi" w:cstheme="minorHAnsi"/>
              </w:rPr>
              <w:t>198,758</w:t>
            </w:r>
          </w:p>
        </w:tc>
        <w:tc>
          <w:tcPr>
            <w:tcW w:w="1705" w:type="dxa"/>
          </w:tcPr>
          <w:p w14:paraId="01634723" w14:textId="77777777" w:rsidR="000756EB" w:rsidRPr="00CD60DF" w:rsidRDefault="004A4D88" w:rsidP="00110644">
            <w:pPr>
              <w:pStyle w:val="TableCopy"/>
              <w:jc w:val="right"/>
              <w:rPr>
                <w:rFonts w:asciiTheme="minorHAnsi" w:hAnsiTheme="minorHAnsi" w:cstheme="minorHAnsi"/>
              </w:rPr>
            </w:pPr>
            <w:r w:rsidRPr="00CD60DF">
              <w:rPr>
                <w:rFonts w:asciiTheme="minorHAnsi" w:hAnsiTheme="minorHAnsi" w:cstheme="minorHAnsi"/>
              </w:rPr>
              <w:t>–</w:t>
            </w:r>
          </w:p>
        </w:tc>
      </w:tr>
      <w:tr w:rsidR="000756EB" w:rsidRPr="00CD60DF" w14:paraId="3E877829" w14:textId="77777777" w:rsidTr="005C22C3">
        <w:trPr>
          <w:cantSplit/>
        </w:trPr>
        <w:tc>
          <w:tcPr>
            <w:tcW w:w="2689" w:type="dxa"/>
          </w:tcPr>
          <w:p w14:paraId="75E89236" w14:textId="1A12FDC2" w:rsidR="000756EB" w:rsidRPr="00CD60DF" w:rsidRDefault="004A4D88" w:rsidP="00110644">
            <w:pPr>
              <w:pStyle w:val="TableCopy"/>
              <w:rPr>
                <w:rFonts w:asciiTheme="minorHAnsi" w:hAnsiTheme="minorHAnsi" w:cstheme="minorHAnsi"/>
              </w:rPr>
            </w:pPr>
            <w:r w:rsidRPr="00CD60DF">
              <w:rPr>
                <w:rFonts w:asciiTheme="minorHAnsi" w:hAnsiTheme="minorHAnsi" w:cstheme="minorHAnsi"/>
              </w:rPr>
              <w:t>Capital</w:t>
            </w:r>
            <w:r w:rsidR="00A03629" w:rsidRPr="00CD60DF">
              <w:rPr>
                <w:rFonts w:asciiTheme="minorHAnsi" w:hAnsiTheme="minorHAnsi" w:cstheme="minorHAnsi"/>
              </w:rPr>
              <w:t xml:space="preserve"> </w:t>
            </w:r>
            <w:r w:rsidRPr="00CD60DF">
              <w:rPr>
                <w:rFonts w:asciiTheme="minorHAnsi" w:hAnsiTheme="minorHAnsi" w:cstheme="minorHAnsi"/>
              </w:rPr>
              <w:t>funding</w:t>
            </w:r>
            <w:r w:rsidR="00A03629" w:rsidRPr="00CD60DF">
              <w:rPr>
                <w:rFonts w:asciiTheme="minorHAnsi" w:hAnsiTheme="minorHAnsi" w:cstheme="minorHAnsi"/>
              </w:rPr>
              <w:t xml:space="preserve"> </w:t>
            </w:r>
            <w:r w:rsidRPr="00CD60DF">
              <w:rPr>
                <w:rFonts w:asciiTheme="minorHAnsi" w:hAnsiTheme="minorHAnsi" w:cstheme="minorHAnsi"/>
              </w:rPr>
              <w:t>to</w:t>
            </w:r>
            <w:r w:rsidR="00A03629" w:rsidRPr="00CD60DF">
              <w:rPr>
                <w:rFonts w:asciiTheme="minorHAnsi" w:hAnsiTheme="minorHAnsi" w:cstheme="minorHAnsi"/>
              </w:rPr>
              <w:t xml:space="preserve"> </w:t>
            </w:r>
            <w:r w:rsidRPr="00CD60DF">
              <w:rPr>
                <w:rFonts w:asciiTheme="minorHAnsi" w:hAnsiTheme="minorHAnsi" w:cstheme="minorHAnsi"/>
              </w:rPr>
              <w:t>agencies</w:t>
            </w:r>
            <w:r w:rsidR="00A03629" w:rsidRPr="00CD60DF">
              <w:rPr>
                <w:rFonts w:asciiTheme="minorHAnsi" w:hAnsiTheme="minorHAnsi" w:cstheme="minorHAnsi"/>
              </w:rPr>
              <w:t xml:space="preserve"> </w:t>
            </w:r>
            <w:r w:rsidRPr="00CD60DF">
              <w:rPr>
                <w:rFonts w:asciiTheme="minorHAnsi" w:hAnsiTheme="minorHAnsi" w:cstheme="minorHAnsi"/>
              </w:rPr>
              <w:t>within</w:t>
            </w:r>
            <w:r w:rsidR="00A03629" w:rsidRPr="00CD60DF">
              <w:rPr>
                <w:rFonts w:asciiTheme="minorHAnsi" w:hAnsiTheme="minorHAnsi" w:cstheme="minorHAnsi"/>
              </w:rPr>
              <w:t xml:space="preserve"> </w:t>
            </w:r>
            <w:r w:rsidRPr="00CD60DF">
              <w:rPr>
                <w:rFonts w:asciiTheme="minorHAnsi" w:hAnsiTheme="minorHAnsi" w:cstheme="minorHAnsi"/>
              </w:rPr>
              <w:t>portfolio</w:t>
            </w:r>
          </w:p>
        </w:tc>
        <w:tc>
          <w:tcPr>
            <w:tcW w:w="770" w:type="dxa"/>
          </w:tcPr>
          <w:p w14:paraId="763E2497" w14:textId="77777777" w:rsidR="000756EB" w:rsidRPr="00CD60DF" w:rsidRDefault="004A4D88" w:rsidP="00110644">
            <w:pPr>
              <w:pStyle w:val="TableCopy"/>
              <w:jc w:val="right"/>
              <w:rPr>
                <w:rFonts w:asciiTheme="minorHAnsi" w:hAnsiTheme="minorHAnsi" w:cstheme="minorHAnsi"/>
              </w:rPr>
            </w:pPr>
            <w:r w:rsidRPr="00CD60DF">
              <w:rPr>
                <w:rFonts w:asciiTheme="minorHAnsi" w:hAnsiTheme="minorHAnsi" w:cstheme="minorHAnsi"/>
              </w:rPr>
              <w:t>9.4</w:t>
            </w:r>
          </w:p>
        </w:tc>
        <w:tc>
          <w:tcPr>
            <w:tcW w:w="1640" w:type="dxa"/>
          </w:tcPr>
          <w:p w14:paraId="490EA22D" w14:textId="77777777" w:rsidR="000756EB" w:rsidRPr="00CD60DF" w:rsidRDefault="004A4D88" w:rsidP="00110644">
            <w:pPr>
              <w:pStyle w:val="TableCopy"/>
              <w:jc w:val="right"/>
              <w:rPr>
                <w:rFonts w:asciiTheme="minorHAnsi" w:hAnsiTheme="minorHAnsi" w:cstheme="minorHAnsi"/>
              </w:rPr>
            </w:pPr>
            <w:r w:rsidRPr="00CD60DF">
              <w:rPr>
                <w:rFonts w:asciiTheme="minorHAnsi" w:hAnsiTheme="minorHAnsi" w:cstheme="minorHAnsi"/>
              </w:rPr>
              <w:t>–</w:t>
            </w:r>
          </w:p>
        </w:tc>
        <w:tc>
          <w:tcPr>
            <w:tcW w:w="1701" w:type="dxa"/>
          </w:tcPr>
          <w:p w14:paraId="517072C9" w14:textId="77777777" w:rsidR="000756EB" w:rsidRPr="00CD60DF" w:rsidRDefault="004A4D88" w:rsidP="00110644">
            <w:pPr>
              <w:pStyle w:val="TableCopy"/>
              <w:jc w:val="right"/>
              <w:rPr>
                <w:rFonts w:asciiTheme="minorHAnsi" w:hAnsiTheme="minorHAnsi" w:cstheme="minorHAnsi"/>
              </w:rPr>
            </w:pPr>
            <w:r w:rsidRPr="00CD60DF">
              <w:rPr>
                <w:rFonts w:asciiTheme="minorHAnsi" w:hAnsiTheme="minorHAnsi" w:cstheme="minorHAnsi"/>
              </w:rPr>
              <w:t>(247,964)</w:t>
            </w:r>
          </w:p>
        </w:tc>
        <w:tc>
          <w:tcPr>
            <w:tcW w:w="1701" w:type="dxa"/>
          </w:tcPr>
          <w:p w14:paraId="61F06C13" w14:textId="77777777" w:rsidR="000756EB" w:rsidRPr="00CD60DF" w:rsidRDefault="004A4D88" w:rsidP="00110644">
            <w:pPr>
              <w:pStyle w:val="TableCopy"/>
              <w:jc w:val="right"/>
              <w:rPr>
                <w:rFonts w:asciiTheme="minorHAnsi" w:hAnsiTheme="minorHAnsi" w:cstheme="minorHAnsi"/>
              </w:rPr>
            </w:pPr>
            <w:r w:rsidRPr="00CD60DF">
              <w:rPr>
                <w:rFonts w:asciiTheme="minorHAnsi" w:hAnsiTheme="minorHAnsi" w:cstheme="minorHAnsi"/>
              </w:rPr>
              <w:t>–</w:t>
            </w:r>
          </w:p>
        </w:tc>
        <w:tc>
          <w:tcPr>
            <w:tcW w:w="1705" w:type="dxa"/>
          </w:tcPr>
          <w:p w14:paraId="5F6EF3AF" w14:textId="77777777" w:rsidR="000756EB" w:rsidRPr="00CD60DF" w:rsidRDefault="004A4D88" w:rsidP="00110644">
            <w:pPr>
              <w:pStyle w:val="TableCopy"/>
              <w:jc w:val="right"/>
              <w:rPr>
                <w:rFonts w:asciiTheme="minorHAnsi" w:hAnsiTheme="minorHAnsi" w:cstheme="minorHAnsi"/>
              </w:rPr>
            </w:pPr>
            <w:r w:rsidRPr="00CD60DF">
              <w:rPr>
                <w:rFonts w:asciiTheme="minorHAnsi" w:hAnsiTheme="minorHAnsi" w:cstheme="minorHAnsi"/>
              </w:rPr>
              <w:t>(247,964)</w:t>
            </w:r>
          </w:p>
        </w:tc>
      </w:tr>
      <w:tr w:rsidR="000756EB" w:rsidRPr="00CD60DF" w14:paraId="6382274F" w14:textId="77777777" w:rsidTr="005C22C3">
        <w:trPr>
          <w:cantSplit/>
        </w:trPr>
        <w:tc>
          <w:tcPr>
            <w:tcW w:w="2689" w:type="dxa"/>
          </w:tcPr>
          <w:p w14:paraId="6E1992D6" w14:textId="0651943C" w:rsidR="000756EB" w:rsidRPr="00CD60DF" w:rsidRDefault="004A4D88" w:rsidP="00110644">
            <w:pPr>
              <w:pStyle w:val="TableCopy"/>
              <w:rPr>
                <w:rFonts w:asciiTheme="minorHAnsi" w:hAnsiTheme="minorHAnsi" w:cstheme="minorHAnsi"/>
              </w:rPr>
            </w:pPr>
            <w:r w:rsidRPr="00CD60DF">
              <w:rPr>
                <w:rFonts w:asciiTheme="minorHAnsi" w:hAnsiTheme="minorHAnsi" w:cstheme="minorHAnsi"/>
              </w:rPr>
              <w:t>Capital</w:t>
            </w:r>
            <w:r w:rsidR="00A03629" w:rsidRPr="00CD60DF">
              <w:rPr>
                <w:rFonts w:asciiTheme="minorHAnsi" w:hAnsiTheme="minorHAnsi" w:cstheme="minorHAnsi"/>
              </w:rPr>
              <w:t xml:space="preserve"> </w:t>
            </w:r>
            <w:r w:rsidRPr="00CD60DF">
              <w:rPr>
                <w:rFonts w:asciiTheme="minorHAnsi" w:hAnsiTheme="minorHAnsi" w:cstheme="minorHAnsi"/>
              </w:rPr>
              <w:t>appropriations</w:t>
            </w:r>
            <w:r w:rsidR="00A03629" w:rsidRPr="00CD60DF">
              <w:rPr>
                <w:rFonts w:asciiTheme="minorHAnsi" w:hAnsiTheme="minorHAnsi" w:cstheme="minorHAnsi"/>
              </w:rPr>
              <w:t xml:space="preserve"> </w:t>
            </w:r>
          </w:p>
        </w:tc>
        <w:tc>
          <w:tcPr>
            <w:tcW w:w="770" w:type="dxa"/>
          </w:tcPr>
          <w:p w14:paraId="662302B1" w14:textId="77777777" w:rsidR="000756EB" w:rsidRPr="00CD60DF" w:rsidRDefault="004A4D88" w:rsidP="00110644">
            <w:pPr>
              <w:pStyle w:val="TableCopy"/>
              <w:jc w:val="right"/>
              <w:rPr>
                <w:rFonts w:asciiTheme="minorHAnsi" w:hAnsiTheme="minorHAnsi" w:cstheme="minorHAnsi"/>
              </w:rPr>
            </w:pPr>
            <w:r w:rsidRPr="00CD60DF">
              <w:rPr>
                <w:rFonts w:asciiTheme="minorHAnsi" w:hAnsiTheme="minorHAnsi" w:cstheme="minorHAnsi"/>
              </w:rPr>
              <w:t>2.3</w:t>
            </w:r>
          </w:p>
        </w:tc>
        <w:tc>
          <w:tcPr>
            <w:tcW w:w="1640" w:type="dxa"/>
          </w:tcPr>
          <w:p w14:paraId="682B3051" w14:textId="77777777" w:rsidR="000756EB" w:rsidRPr="00CD60DF" w:rsidRDefault="004A4D88" w:rsidP="00110644">
            <w:pPr>
              <w:pStyle w:val="TableCopy"/>
              <w:jc w:val="right"/>
              <w:rPr>
                <w:rFonts w:asciiTheme="minorHAnsi" w:hAnsiTheme="minorHAnsi" w:cstheme="minorHAnsi"/>
              </w:rPr>
            </w:pPr>
            <w:r w:rsidRPr="00CD60DF">
              <w:rPr>
                <w:rFonts w:asciiTheme="minorHAnsi" w:hAnsiTheme="minorHAnsi" w:cstheme="minorHAnsi"/>
              </w:rPr>
              <w:t>–</w:t>
            </w:r>
          </w:p>
        </w:tc>
        <w:tc>
          <w:tcPr>
            <w:tcW w:w="1701" w:type="dxa"/>
          </w:tcPr>
          <w:p w14:paraId="5BE98278" w14:textId="3F9B898B" w:rsidR="000756EB" w:rsidRPr="00CD60DF" w:rsidRDefault="004A4D88" w:rsidP="00110644">
            <w:pPr>
              <w:pStyle w:val="TableCopy"/>
              <w:jc w:val="right"/>
              <w:rPr>
                <w:rFonts w:asciiTheme="minorHAnsi" w:hAnsiTheme="minorHAnsi" w:cstheme="minorHAnsi"/>
              </w:rPr>
            </w:pPr>
            <w:r w:rsidRPr="00CD60DF">
              <w:rPr>
                <w:rFonts w:asciiTheme="minorHAnsi" w:hAnsiTheme="minorHAnsi" w:cstheme="minorHAnsi"/>
              </w:rPr>
              <w:t>325,626</w:t>
            </w:r>
          </w:p>
        </w:tc>
        <w:tc>
          <w:tcPr>
            <w:tcW w:w="1701" w:type="dxa"/>
          </w:tcPr>
          <w:p w14:paraId="283F16C7" w14:textId="77777777" w:rsidR="000756EB" w:rsidRPr="00CD60DF" w:rsidRDefault="004A4D88" w:rsidP="00110644">
            <w:pPr>
              <w:pStyle w:val="TableCopy"/>
              <w:jc w:val="right"/>
              <w:rPr>
                <w:rFonts w:asciiTheme="minorHAnsi" w:hAnsiTheme="minorHAnsi" w:cstheme="minorHAnsi"/>
              </w:rPr>
            </w:pPr>
            <w:r w:rsidRPr="00CD60DF">
              <w:rPr>
                <w:rFonts w:asciiTheme="minorHAnsi" w:hAnsiTheme="minorHAnsi" w:cstheme="minorHAnsi"/>
              </w:rPr>
              <w:t>–</w:t>
            </w:r>
          </w:p>
        </w:tc>
        <w:tc>
          <w:tcPr>
            <w:tcW w:w="1705" w:type="dxa"/>
          </w:tcPr>
          <w:p w14:paraId="17599A53" w14:textId="4CF87C7A" w:rsidR="000756EB" w:rsidRPr="00CD60DF" w:rsidRDefault="004A4D88" w:rsidP="00110644">
            <w:pPr>
              <w:pStyle w:val="TableCopy"/>
              <w:jc w:val="right"/>
              <w:rPr>
                <w:rFonts w:asciiTheme="minorHAnsi" w:hAnsiTheme="minorHAnsi" w:cstheme="minorHAnsi"/>
              </w:rPr>
            </w:pPr>
            <w:r w:rsidRPr="00CD60DF">
              <w:rPr>
                <w:rFonts w:asciiTheme="minorHAnsi" w:hAnsiTheme="minorHAnsi" w:cstheme="minorHAnsi"/>
              </w:rPr>
              <w:t>325,626</w:t>
            </w:r>
          </w:p>
        </w:tc>
      </w:tr>
      <w:tr w:rsidR="000756EB" w:rsidRPr="00CD60DF" w14:paraId="7441CC34" w14:textId="77777777" w:rsidTr="005C22C3">
        <w:trPr>
          <w:cantSplit/>
        </w:trPr>
        <w:tc>
          <w:tcPr>
            <w:tcW w:w="2689" w:type="dxa"/>
          </w:tcPr>
          <w:p w14:paraId="132AF4A4" w14:textId="3B61AEBC" w:rsidR="000756EB" w:rsidRPr="00CD60DF" w:rsidRDefault="004A4D88" w:rsidP="00110644">
            <w:pPr>
              <w:pStyle w:val="TableCopy"/>
              <w:rPr>
                <w:rFonts w:asciiTheme="minorHAnsi" w:hAnsiTheme="minorHAnsi" w:cstheme="minorHAnsi"/>
              </w:rPr>
            </w:pPr>
            <w:r w:rsidRPr="00CD60DF">
              <w:rPr>
                <w:rFonts w:asciiTheme="minorHAnsi" w:hAnsiTheme="minorHAnsi" w:cstheme="minorHAnsi"/>
              </w:rPr>
              <w:t>Revaluation</w:t>
            </w:r>
            <w:r w:rsidR="00A03629" w:rsidRPr="00CD60DF">
              <w:rPr>
                <w:rFonts w:asciiTheme="minorHAnsi" w:hAnsiTheme="minorHAnsi" w:cstheme="minorHAnsi"/>
              </w:rPr>
              <w:t xml:space="preserve"> </w:t>
            </w:r>
            <w:r w:rsidRPr="00CD60DF">
              <w:rPr>
                <w:rFonts w:asciiTheme="minorHAnsi" w:hAnsiTheme="minorHAnsi" w:cstheme="minorHAnsi"/>
              </w:rPr>
              <w:t>increment</w:t>
            </w:r>
          </w:p>
        </w:tc>
        <w:tc>
          <w:tcPr>
            <w:tcW w:w="770" w:type="dxa"/>
          </w:tcPr>
          <w:p w14:paraId="71F8037A" w14:textId="77777777" w:rsidR="000756EB" w:rsidRPr="00CD60DF" w:rsidRDefault="000756EB" w:rsidP="00110644">
            <w:pPr>
              <w:pStyle w:val="TableCopy"/>
              <w:jc w:val="right"/>
              <w:rPr>
                <w:rFonts w:asciiTheme="minorHAnsi" w:hAnsiTheme="minorHAnsi" w:cstheme="minorHAnsi"/>
              </w:rPr>
            </w:pPr>
          </w:p>
        </w:tc>
        <w:tc>
          <w:tcPr>
            <w:tcW w:w="1640" w:type="dxa"/>
          </w:tcPr>
          <w:p w14:paraId="52AA5F99" w14:textId="73CC2C22" w:rsidR="000756EB" w:rsidRPr="00CD60DF" w:rsidRDefault="004A4D88" w:rsidP="00110644">
            <w:pPr>
              <w:pStyle w:val="TableCopy"/>
              <w:jc w:val="right"/>
              <w:rPr>
                <w:rFonts w:asciiTheme="minorHAnsi" w:hAnsiTheme="minorHAnsi" w:cstheme="minorHAnsi"/>
              </w:rPr>
            </w:pPr>
            <w:r w:rsidRPr="00CD60DF">
              <w:rPr>
                <w:rFonts w:asciiTheme="minorHAnsi" w:hAnsiTheme="minorHAnsi" w:cstheme="minorHAnsi"/>
              </w:rPr>
              <w:t>1,054</w:t>
            </w:r>
          </w:p>
        </w:tc>
        <w:tc>
          <w:tcPr>
            <w:tcW w:w="1701" w:type="dxa"/>
          </w:tcPr>
          <w:p w14:paraId="6D224938" w14:textId="77777777" w:rsidR="000756EB" w:rsidRPr="00CD60DF" w:rsidRDefault="004A4D88" w:rsidP="00110644">
            <w:pPr>
              <w:pStyle w:val="TableCopy"/>
              <w:jc w:val="right"/>
              <w:rPr>
                <w:rFonts w:asciiTheme="minorHAnsi" w:hAnsiTheme="minorHAnsi" w:cstheme="minorHAnsi"/>
              </w:rPr>
            </w:pPr>
            <w:r w:rsidRPr="00CD60DF">
              <w:rPr>
                <w:rFonts w:asciiTheme="minorHAnsi" w:hAnsiTheme="minorHAnsi" w:cstheme="minorHAnsi"/>
              </w:rPr>
              <w:t>–</w:t>
            </w:r>
          </w:p>
        </w:tc>
        <w:tc>
          <w:tcPr>
            <w:tcW w:w="1701" w:type="dxa"/>
          </w:tcPr>
          <w:p w14:paraId="575FE4F9" w14:textId="77777777" w:rsidR="000756EB" w:rsidRPr="00CD60DF" w:rsidRDefault="004A4D88" w:rsidP="00110644">
            <w:pPr>
              <w:pStyle w:val="TableCopy"/>
              <w:jc w:val="right"/>
              <w:rPr>
                <w:rFonts w:asciiTheme="minorHAnsi" w:hAnsiTheme="minorHAnsi" w:cstheme="minorHAnsi"/>
              </w:rPr>
            </w:pPr>
            <w:r w:rsidRPr="00CD60DF">
              <w:rPr>
                <w:rFonts w:asciiTheme="minorHAnsi" w:hAnsiTheme="minorHAnsi" w:cstheme="minorHAnsi"/>
              </w:rPr>
              <w:t>–</w:t>
            </w:r>
          </w:p>
        </w:tc>
        <w:tc>
          <w:tcPr>
            <w:tcW w:w="1705" w:type="dxa"/>
          </w:tcPr>
          <w:p w14:paraId="14E01993" w14:textId="7AC6100E" w:rsidR="000756EB" w:rsidRPr="00CD60DF" w:rsidRDefault="004A4D88" w:rsidP="00110644">
            <w:pPr>
              <w:pStyle w:val="TableCopy"/>
              <w:jc w:val="right"/>
              <w:rPr>
                <w:rFonts w:asciiTheme="minorHAnsi" w:hAnsiTheme="minorHAnsi" w:cstheme="minorHAnsi"/>
              </w:rPr>
            </w:pPr>
            <w:r w:rsidRPr="00CD60DF">
              <w:rPr>
                <w:rFonts w:asciiTheme="minorHAnsi" w:hAnsiTheme="minorHAnsi" w:cstheme="minorHAnsi"/>
              </w:rPr>
              <w:t>1,054</w:t>
            </w:r>
          </w:p>
        </w:tc>
      </w:tr>
      <w:tr w:rsidR="000756EB" w:rsidRPr="00CD60DF" w14:paraId="1662D38A" w14:textId="77777777" w:rsidTr="005C22C3">
        <w:trPr>
          <w:cantSplit/>
        </w:trPr>
        <w:tc>
          <w:tcPr>
            <w:tcW w:w="2689" w:type="dxa"/>
          </w:tcPr>
          <w:p w14:paraId="1B43E2C0" w14:textId="6A851474" w:rsidR="000756EB" w:rsidRPr="00CD60DF" w:rsidRDefault="004A4D88" w:rsidP="00110644">
            <w:pPr>
              <w:pStyle w:val="TableCopy"/>
              <w:rPr>
                <w:rFonts w:asciiTheme="minorHAnsi" w:hAnsiTheme="minorHAnsi" w:cstheme="minorHAnsi"/>
              </w:rPr>
            </w:pPr>
            <w:r w:rsidRPr="00CD60DF">
              <w:rPr>
                <w:rFonts w:asciiTheme="minorHAnsi" w:hAnsiTheme="minorHAnsi" w:cstheme="minorHAnsi"/>
              </w:rPr>
              <w:t>Administrative</w:t>
            </w:r>
            <w:r w:rsidR="00A03629" w:rsidRPr="00CD60DF">
              <w:rPr>
                <w:rFonts w:asciiTheme="minorHAnsi" w:hAnsiTheme="minorHAnsi" w:cstheme="minorHAnsi"/>
              </w:rPr>
              <w:t xml:space="preserve"> </w:t>
            </w:r>
            <w:r w:rsidRPr="00CD60DF">
              <w:rPr>
                <w:rFonts w:asciiTheme="minorHAnsi" w:hAnsiTheme="minorHAnsi" w:cstheme="minorHAnsi"/>
              </w:rPr>
              <w:t>restructure</w:t>
            </w:r>
            <w:r w:rsidR="00A03629" w:rsidRPr="00CD60DF">
              <w:rPr>
                <w:rFonts w:asciiTheme="minorHAnsi" w:hAnsiTheme="minorHAnsi" w:cstheme="minorHAnsi"/>
              </w:rPr>
              <w:t xml:space="preserve"> </w:t>
            </w:r>
            <w:r w:rsidRPr="00CD60DF">
              <w:rPr>
                <w:rFonts w:asciiTheme="minorHAnsi" w:hAnsiTheme="minorHAnsi" w:cstheme="minorHAnsi"/>
              </w:rPr>
              <w:t>–</w:t>
            </w:r>
            <w:r w:rsidR="00A03629" w:rsidRPr="00CD60DF">
              <w:rPr>
                <w:rFonts w:asciiTheme="minorHAnsi" w:hAnsiTheme="minorHAnsi" w:cstheme="minorHAnsi"/>
              </w:rPr>
              <w:t xml:space="preserve"> </w:t>
            </w:r>
            <w:r w:rsidRPr="00CD60DF">
              <w:rPr>
                <w:rFonts w:asciiTheme="minorHAnsi" w:hAnsiTheme="minorHAnsi" w:cstheme="minorHAnsi"/>
              </w:rPr>
              <w:t>net</w:t>
            </w:r>
            <w:r w:rsidR="00A03629" w:rsidRPr="00CD60DF">
              <w:rPr>
                <w:rFonts w:asciiTheme="minorHAnsi" w:hAnsiTheme="minorHAnsi" w:cstheme="minorHAnsi"/>
              </w:rPr>
              <w:t xml:space="preserve"> </w:t>
            </w:r>
            <w:r w:rsidRPr="00CD60DF">
              <w:rPr>
                <w:rFonts w:asciiTheme="minorHAnsi" w:hAnsiTheme="minorHAnsi" w:cstheme="minorHAnsi"/>
              </w:rPr>
              <w:t>assets</w:t>
            </w:r>
            <w:r w:rsidR="00A03629" w:rsidRPr="00CD60DF">
              <w:rPr>
                <w:rFonts w:asciiTheme="minorHAnsi" w:hAnsiTheme="minorHAnsi" w:cstheme="minorHAnsi"/>
              </w:rPr>
              <w:t xml:space="preserve"> </w:t>
            </w:r>
            <w:r w:rsidRPr="00CD60DF">
              <w:rPr>
                <w:rFonts w:asciiTheme="minorHAnsi" w:hAnsiTheme="minorHAnsi" w:cstheme="minorHAnsi"/>
              </w:rPr>
              <w:t>received</w:t>
            </w:r>
          </w:p>
        </w:tc>
        <w:tc>
          <w:tcPr>
            <w:tcW w:w="770" w:type="dxa"/>
          </w:tcPr>
          <w:p w14:paraId="165E9CF8" w14:textId="77777777" w:rsidR="000756EB" w:rsidRPr="00CD60DF" w:rsidRDefault="004A4D88" w:rsidP="00110644">
            <w:pPr>
              <w:pStyle w:val="TableCopy"/>
              <w:jc w:val="right"/>
              <w:rPr>
                <w:rFonts w:asciiTheme="minorHAnsi" w:hAnsiTheme="minorHAnsi" w:cstheme="minorHAnsi"/>
              </w:rPr>
            </w:pPr>
            <w:r w:rsidRPr="00CD60DF">
              <w:rPr>
                <w:rFonts w:asciiTheme="minorHAnsi" w:hAnsiTheme="minorHAnsi" w:cstheme="minorHAnsi"/>
              </w:rPr>
              <w:t>9.4</w:t>
            </w:r>
          </w:p>
        </w:tc>
        <w:tc>
          <w:tcPr>
            <w:tcW w:w="1640" w:type="dxa"/>
          </w:tcPr>
          <w:p w14:paraId="46B898EE" w14:textId="77777777" w:rsidR="000756EB" w:rsidRPr="00CD60DF" w:rsidRDefault="004A4D88" w:rsidP="00110644">
            <w:pPr>
              <w:pStyle w:val="TableCopy"/>
              <w:jc w:val="right"/>
              <w:rPr>
                <w:rFonts w:asciiTheme="minorHAnsi" w:hAnsiTheme="minorHAnsi" w:cstheme="minorHAnsi"/>
              </w:rPr>
            </w:pPr>
            <w:r w:rsidRPr="00CD60DF">
              <w:rPr>
                <w:rFonts w:asciiTheme="minorHAnsi" w:hAnsiTheme="minorHAnsi" w:cstheme="minorHAnsi"/>
              </w:rPr>
              <w:t>–</w:t>
            </w:r>
          </w:p>
        </w:tc>
        <w:tc>
          <w:tcPr>
            <w:tcW w:w="1701" w:type="dxa"/>
          </w:tcPr>
          <w:p w14:paraId="32CFBD33" w14:textId="77777777" w:rsidR="000756EB" w:rsidRPr="00CD60DF" w:rsidRDefault="004A4D88" w:rsidP="00110644">
            <w:pPr>
              <w:pStyle w:val="TableCopy"/>
              <w:jc w:val="right"/>
              <w:rPr>
                <w:rFonts w:asciiTheme="minorHAnsi" w:hAnsiTheme="minorHAnsi" w:cstheme="minorHAnsi"/>
              </w:rPr>
            </w:pPr>
            <w:r w:rsidRPr="00CD60DF">
              <w:rPr>
                <w:rFonts w:asciiTheme="minorHAnsi" w:hAnsiTheme="minorHAnsi" w:cstheme="minorHAnsi"/>
              </w:rPr>
              <w:t>267,346</w:t>
            </w:r>
          </w:p>
        </w:tc>
        <w:tc>
          <w:tcPr>
            <w:tcW w:w="1701" w:type="dxa"/>
          </w:tcPr>
          <w:p w14:paraId="669A2617" w14:textId="77777777" w:rsidR="000756EB" w:rsidRPr="00CD60DF" w:rsidRDefault="004A4D88" w:rsidP="00110644">
            <w:pPr>
              <w:pStyle w:val="TableCopy"/>
              <w:jc w:val="right"/>
              <w:rPr>
                <w:rFonts w:asciiTheme="minorHAnsi" w:hAnsiTheme="minorHAnsi" w:cstheme="minorHAnsi"/>
              </w:rPr>
            </w:pPr>
            <w:r w:rsidRPr="00CD60DF">
              <w:rPr>
                <w:rFonts w:asciiTheme="minorHAnsi" w:hAnsiTheme="minorHAnsi" w:cstheme="minorHAnsi"/>
              </w:rPr>
              <w:t>–</w:t>
            </w:r>
          </w:p>
        </w:tc>
        <w:tc>
          <w:tcPr>
            <w:tcW w:w="1705" w:type="dxa"/>
          </w:tcPr>
          <w:p w14:paraId="42B43505" w14:textId="77777777" w:rsidR="000756EB" w:rsidRPr="00CD60DF" w:rsidRDefault="004A4D88" w:rsidP="00110644">
            <w:pPr>
              <w:pStyle w:val="TableCopy"/>
              <w:jc w:val="right"/>
              <w:rPr>
                <w:rFonts w:asciiTheme="minorHAnsi" w:hAnsiTheme="minorHAnsi" w:cstheme="minorHAnsi"/>
              </w:rPr>
            </w:pPr>
            <w:r w:rsidRPr="00CD60DF">
              <w:rPr>
                <w:rFonts w:asciiTheme="minorHAnsi" w:hAnsiTheme="minorHAnsi" w:cstheme="minorHAnsi"/>
              </w:rPr>
              <w:t>267,346</w:t>
            </w:r>
          </w:p>
        </w:tc>
      </w:tr>
      <w:tr w:rsidR="000756EB" w:rsidRPr="00CD60DF" w14:paraId="12B4C97F" w14:textId="77777777" w:rsidTr="005C22C3">
        <w:trPr>
          <w:cantSplit/>
        </w:trPr>
        <w:tc>
          <w:tcPr>
            <w:tcW w:w="2689" w:type="dxa"/>
          </w:tcPr>
          <w:p w14:paraId="685A1CFD" w14:textId="3C885866" w:rsidR="000756EB" w:rsidRPr="00CD60DF" w:rsidRDefault="004A4D88" w:rsidP="00110644">
            <w:pPr>
              <w:pStyle w:val="TableCopy"/>
              <w:rPr>
                <w:rFonts w:asciiTheme="minorHAnsi" w:hAnsiTheme="minorHAnsi" w:cstheme="minorHAnsi"/>
              </w:rPr>
            </w:pPr>
            <w:r w:rsidRPr="00CD60DF">
              <w:rPr>
                <w:rFonts w:asciiTheme="minorHAnsi" w:hAnsiTheme="minorHAnsi" w:cstheme="minorHAnsi"/>
              </w:rPr>
              <w:lastRenderedPageBreak/>
              <w:t>Administrative</w:t>
            </w:r>
            <w:r w:rsidR="00A03629" w:rsidRPr="00CD60DF">
              <w:rPr>
                <w:rFonts w:asciiTheme="minorHAnsi" w:hAnsiTheme="minorHAnsi" w:cstheme="minorHAnsi"/>
              </w:rPr>
              <w:t xml:space="preserve"> </w:t>
            </w:r>
            <w:r w:rsidRPr="00CD60DF">
              <w:rPr>
                <w:rFonts w:asciiTheme="minorHAnsi" w:hAnsiTheme="minorHAnsi" w:cstheme="minorHAnsi"/>
              </w:rPr>
              <w:t>restructure</w:t>
            </w:r>
            <w:r w:rsidR="00A03629" w:rsidRPr="00CD60DF">
              <w:rPr>
                <w:rFonts w:asciiTheme="minorHAnsi" w:hAnsiTheme="minorHAnsi" w:cstheme="minorHAnsi"/>
              </w:rPr>
              <w:t xml:space="preserve"> </w:t>
            </w:r>
            <w:r w:rsidRPr="00CD60DF">
              <w:rPr>
                <w:rFonts w:asciiTheme="minorHAnsi" w:hAnsiTheme="minorHAnsi" w:cstheme="minorHAnsi"/>
              </w:rPr>
              <w:t>–</w:t>
            </w:r>
            <w:r w:rsidR="00A03629" w:rsidRPr="00CD60DF">
              <w:rPr>
                <w:rFonts w:asciiTheme="minorHAnsi" w:hAnsiTheme="minorHAnsi" w:cstheme="minorHAnsi"/>
              </w:rPr>
              <w:t xml:space="preserve"> </w:t>
            </w:r>
            <w:r w:rsidRPr="00CD60DF">
              <w:rPr>
                <w:rFonts w:asciiTheme="minorHAnsi" w:hAnsiTheme="minorHAnsi" w:cstheme="minorHAnsi"/>
              </w:rPr>
              <w:t>net</w:t>
            </w:r>
            <w:r w:rsidR="00A03629" w:rsidRPr="00CD60DF">
              <w:rPr>
                <w:rFonts w:asciiTheme="minorHAnsi" w:hAnsiTheme="minorHAnsi" w:cstheme="minorHAnsi"/>
              </w:rPr>
              <w:t xml:space="preserve"> </w:t>
            </w:r>
            <w:r w:rsidRPr="00CD60DF">
              <w:rPr>
                <w:rFonts w:asciiTheme="minorHAnsi" w:hAnsiTheme="minorHAnsi" w:cstheme="minorHAnsi"/>
              </w:rPr>
              <w:t>assets</w:t>
            </w:r>
            <w:r w:rsidR="00A03629" w:rsidRPr="00CD60DF">
              <w:rPr>
                <w:rFonts w:asciiTheme="minorHAnsi" w:hAnsiTheme="minorHAnsi" w:cstheme="minorHAnsi"/>
              </w:rPr>
              <w:t xml:space="preserve"> </w:t>
            </w:r>
            <w:r w:rsidRPr="00CD60DF">
              <w:rPr>
                <w:rFonts w:asciiTheme="minorHAnsi" w:hAnsiTheme="minorHAnsi" w:cstheme="minorHAnsi"/>
              </w:rPr>
              <w:t>transferred</w:t>
            </w:r>
          </w:p>
        </w:tc>
        <w:tc>
          <w:tcPr>
            <w:tcW w:w="770" w:type="dxa"/>
          </w:tcPr>
          <w:p w14:paraId="6416F72A" w14:textId="77777777" w:rsidR="000756EB" w:rsidRPr="00CD60DF" w:rsidRDefault="004A4D88" w:rsidP="00110644">
            <w:pPr>
              <w:pStyle w:val="TableCopy"/>
              <w:jc w:val="right"/>
              <w:rPr>
                <w:rFonts w:asciiTheme="minorHAnsi" w:hAnsiTheme="minorHAnsi" w:cstheme="minorHAnsi"/>
              </w:rPr>
            </w:pPr>
            <w:r w:rsidRPr="00CD60DF">
              <w:rPr>
                <w:rFonts w:asciiTheme="minorHAnsi" w:hAnsiTheme="minorHAnsi" w:cstheme="minorHAnsi"/>
              </w:rPr>
              <w:t>9.4</w:t>
            </w:r>
          </w:p>
        </w:tc>
        <w:tc>
          <w:tcPr>
            <w:tcW w:w="1640" w:type="dxa"/>
          </w:tcPr>
          <w:p w14:paraId="6014FD9E" w14:textId="77777777" w:rsidR="000756EB" w:rsidRPr="00CD60DF" w:rsidRDefault="004A4D88" w:rsidP="00110644">
            <w:pPr>
              <w:pStyle w:val="TableCopy"/>
              <w:jc w:val="right"/>
              <w:rPr>
                <w:rFonts w:asciiTheme="minorHAnsi" w:hAnsiTheme="minorHAnsi" w:cstheme="minorHAnsi"/>
              </w:rPr>
            </w:pPr>
            <w:r w:rsidRPr="00CD60DF">
              <w:rPr>
                <w:rFonts w:asciiTheme="minorHAnsi" w:hAnsiTheme="minorHAnsi" w:cstheme="minorHAnsi"/>
              </w:rPr>
              <w:t>–</w:t>
            </w:r>
          </w:p>
        </w:tc>
        <w:tc>
          <w:tcPr>
            <w:tcW w:w="1701" w:type="dxa"/>
          </w:tcPr>
          <w:p w14:paraId="20527DCD" w14:textId="77777777" w:rsidR="000756EB" w:rsidRPr="00CD60DF" w:rsidRDefault="004A4D88" w:rsidP="00110644">
            <w:pPr>
              <w:pStyle w:val="TableCopy"/>
              <w:jc w:val="right"/>
              <w:rPr>
                <w:rFonts w:asciiTheme="minorHAnsi" w:hAnsiTheme="minorHAnsi" w:cstheme="minorHAnsi"/>
              </w:rPr>
            </w:pPr>
            <w:r w:rsidRPr="00CD60DF">
              <w:rPr>
                <w:rFonts w:asciiTheme="minorHAnsi" w:hAnsiTheme="minorHAnsi" w:cstheme="minorHAnsi"/>
              </w:rPr>
              <w:t>(806,708)</w:t>
            </w:r>
          </w:p>
        </w:tc>
        <w:tc>
          <w:tcPr>
            <w:tcW w:w="1701" w:type="dxa"/>
          </w:tcPr>
          <w:p w14:paraId="17B0EE6D" w14:textId="77777777" w:rsidR="000756EB" w:rsidRPr="00CD60DF" w:rsidRDefault="004A4D88" w:rsidP="00110644">
            <w:pPr>
              <w:pStyle w:val="TableCopy"/>
              <w:jc w:val="right"/>
              <w:rPr>
                <w:rFonts w:asciiTheme="minorHAnsi" w:hAnsiTheme="minorHAnsi" w:cstheme="minorHAnsi"/>
              </w:rPr>
            </w:pPr>
            <w:r w:rsidRPr="00CD60DF">
              <w:rPr>
                <w:rFonts w:asciiTheme="minorHAnsi" w:hAnsiTheme="minorHAnsi" w:cstheme="minorHAnsi"/>
              </w:rPr>
              <w:t>–</w:t>
            </w:r>
          </w:p>
        </w:tc>
        <w:tc>
          <w:tcPr>
            <w:tcW w:w="1705" w:type="dxa"/>
          </w:tcPr>
          <w:p w14:paraId="79B793FA" w14:textId="77777777" w:rsidR="000756EB" w:rsidRPr="00CD60DF" w:rsidRDefault="004A4D88" w:rsidP="00110644">
            <w:pPr>
              <w:pStyle w:val="TableCopy"/>
              <w:jc w:val="right"/>
              <w:rPr>
                <w:rFonts w:asciiTheme="minorHAnsi" w:hAnsiTheme="minorHAnsi" w:cstheme="minorHAnsi"/>
              </w:rPr>
            </w:pPr>
            <w:r w:rsidRPr="00CD60DF">
              <w:rPr>
                <w:rFonts w:asciiTheme="minorHAnsi" w:hAnsiTheme="minorHAnsi" w:cstheme="minorHAnsi"/>
              </w:rPr>
              <w:t>(806,708)</w:t>
            </w:r>
          </w:p>
        </w:tc>
      </w:tr>
      <w:tr w:rsidR="000756EB" w:rsidRPr="00CD60DF" w14:paraId="5097E91F" w14:textId="77777777" w:rsidTr="005C22C3">
        <w:trPr>
          <w:cantSplit/>
        </w:trPr>
        <w:tc>
          <w:tcPr>
            <w:tcW w:w="2689" w:type="dxa"/>
          </w:tcPr>
          <w:p w14:paraId="3CA2C15D" w14:textId="633E0D2D" w:rsidR="000756EB" w:rsidRPr="00CD60DF" w:rsidRDefault="004A4D88" w:rsidP="00110644">
            <w:pPr>
              <w:pStyle w:val="TableCopy"/>
              <w:rPr>
                <w:rFonts w:asciiTheme="minorHAnsi" w:hAnsiTheme="minorHAnsi" w:cstheme="minorHAnsi"/>
                <w:b/>
                <w:bCs/>
              </w:rPr>
            </w:pPr>
            <w:r w:rsidRPr="00CD60DF">
              <w:rPr>
                <w:rFonts w:asciiTheme="minorHAnsi" w:hAnsiTheme="minorHAnsi" w:cstheme="minorHAnsi"/>
                <w:b/>
                <w:bCs/>
              </w:rPr>
              <w:t>Balance</w:t>
            </w:r>
            <w:r w:rsidR="00A03629" w:rsidRPr="00CD60DF">
              <w:rPr>
                <w:rFonts w:asciiTheme="minorHAnsi" w:hAnsiTheme="minorHAnsi" w:cstheme="minorHAnsi"/>
                <w:b/>
                <w:bCs/>
              </w:rPr>
              <w:t xml:space="preserve"> </w:t>
            </w:r>
            <w:proofErr w:type="gramStart"/>
            <w:r w:rsidRPr="00CD60DF">
              <w:rPr>
                <w:rFonts w:asciiTheme="minorHAnsi" w:hAnsiTheme="minorHAnsi" w:cstheme="minorHAnsi"/>
                <w:b/>
                <w:bCs/>
              </w:rPr>
              <w:t>at</w:t>
            </w:r>
            <w:proofErr w:type="gramEnd"/>
            <w:r w:rsidR="00A03629" w:rsidRPr="00CD60DF">
              <w:rPr>
                <w:rFonts w:asciiTheme="minorHAnsi" w:hAnsiTheme="minorHAnsi" w:cstheme="minorHAnsi"/>
                <w:b/>
                <w:bCs/>
              </w:rPr>
              <w:t xml:space="preserve"> </w:t>
            </w:r>
            <w:r w:rsidRPr="00CD60DF">
              <w:rPr>
                <w:rFonts w:asciiTheme="minorHAnsi" w:hAnsiTheme="minorHAnsi" w:cstheme="minorHAnsi"/>
                <w:b/>
                <w:bCs/>
              </w:rPr>
              <w:t>30</w:t>
            </w:r>
            <w:r w:rsidR="00A03629" w:rsidRPr="00CD60DF">
              <w:rPr>
                <w:rFonts w:asciiTheme="minorHAnsi" w:hAnsiTheme="minorHAnsi" w:cstheme="minorHAnsi"/>
                <w:b/>
                <w:bCs/>
              </w:rPr>
              <w:t xml:space="preserve"> </w:t>
            </w:r>
            <w:r w:rsidRPr="00CD60DF">
              <w:rPr>
                <w:rFonts w:asciiTheme="minorHAnsi" w:hAnsiTheme="minorHAnsi" w:cstheme="minorHAnsi"/>
                <w:b/>
                <w:bCs/>
              </w:rPr>
              <w:t>June</w:t>
            </w:r>
            <w:r w:rsidR="00A03629" w:rsidRPr="00CD60DF">
              <w:rPr>
                <w:rFonts w:asciiTheme="minorHAnsi" w:hAnsiTheme="minorHAnsi" w:cstheme="minorHAnsi"/>
                <w:b/>
                <w:bCs/>
              </w:rPr>
              <w:t xml:space="preserve"> </w:t>
            </w:r>
            <w:r w:rsidRPr="00CD60DF">
              <w:rPr>
                <w:rFonts w:asciiTheme="minorHAnsi" w:hAnsiTheme="minorHAnsi" w:cstheme="minorHAnsi"/>
                <w:b/>
                <w:bCs/>
              </w:rPr>
              <w:t>2023</w:t>
            </w:r>
          </w:p>
        </w:tc>
        <w:tc>
          <w:tcPr>
            <w:tcW w:w="770" w:type="dxa"/>
          </w:tcPr>
          <w:p w14:paraId="4AE0D76A" w14:textId="77777777" w:rsidR="000756EB" w:rsidRPr="00CD60DF" w:rsidRDefault="000756EB" w:rsidP="00110644">
            <w:pPr>
              <w:pStyle w:val="TableCopy"/>
              <w:jc w:val="right"/>
              <w:rPr>
                <w:rFonts w:asciiTheme="minorHAnsi" w:hAnsiTheme="minorHAnsi" w:cstheme="minorHAnsi"/>
                <w:b/>
                <w:bCs/>
              </w:rPr>
            </w:pPr>
          </w:p>
        </w:tc>
        <w:tc>
          <w:tcPr>
            <w:tcW w:w="1640" w:type="dxa"/>
          </w:tcPr>
          <w:p w14:paraId="2EB4D40D" w14:textId="1B62E518" w:rsidR="000756EB" w:rsidRPr="00CD60DF" w:rsidRDefault="004A4D88" w:rsidP="00110644">
            <w:pPr>
              <w:pStyle w:val="TableCopy"/>
              <w:jc w:val="right"/>
              <w:rPr>
                <w:rFonts w:asciiTheme="minorHAnsi" w:hAnsiTheme="minorHAnsi" w:cstheme="minorHAnsi"/>
                <w:b/>
                <w:bCs/>
              </w:rPr>
            </w:pPr>
            <w:r w:rsidRPr="00CD60DF">
              <w:rPr>
                <w:rFonts w:asciiTheme="minorHAnsi" w:hAnsiTheme="minorHAnsi" w:cstheme="minorHAnsi"/>
                <w:b/>
                <w:bCs/>
              </w:rPr>
              <w:t>106,067</w:t>
            </w:r>
          </w:p>
        </w:tc>
        <w:tc>
          <w:tcPr>
            <w:tcW w:w="1701" w:type="dxa"/>
          </w:tcPr>
          <w:p w14:paraId="6A37C8B1" w14:textId="3BFB94DF" w:rsidR="000756EB" w:rsidRPr="00CD60DF" w:rsidRDefault="004A4D88" w:rsidP="00110644">
            <w:pPr>
              <w:pStyle w:val="TableCopy"/>
              <w:jc w:val="right"/>
              <w:rPr>
                <w:rFonts w:asciiTheme="minorHAnsi" w:hAnsiTheme="minorHAnsi" w:cstheme="minorHAnsi"/>
                <w:b/>
                <w:bCs/>
              </w:rPr>
            </w:pPr>
            <w:r w:rsidRPr="00CD60DF">
              <w:rPr>
                <w:rFonts w:asciiTheme="minorHAnsi" w:hAnsiTheme="minorHAnsi" w:cstheme="minorHAnsi"/>
                <w:b/>
                <w:bCs/>
              </w:rPr>
              <w:t>1,012,685</w:t>
            </w:r>
          </w:p>
        </w:tc>
        <w:tc>
          <w:tcPr>
            <w:tcW w:w="1701" w:type="dxa"/>
          </w:tcPr>
          <w:p w14:paraId="791B238F" w14:textId="3D8B0FF8" w:rsidR="000756EB" w:rsidRPr="00CD60DF" w:rsidRDefault="004A4D88" w:rsidP="00110644">
            <w:pPr>
              <w:pStyle w:val="TableCopy"/>
              <w:jc w:val="right"/>
              <w:rPr>
                <w:rFonts w:asciiTheme="minorHAnsi" w:hAnsiTheme="minorHAnsi" w:cstheme="minorHAnsi"/>
                <w:b/>
                <w:bCs/>
              </w:rPr>
            </w:pPr>
            <w:r w:rsidRPr="00CD60DF">
              <w:rPr>
                <w:rFonts w:asciiTheme="minorHAnsi" w:hAnsiTheme="minorHAnsi" w:cstheme="minorHAnsi"/>
                <w:b/>
                <w:bCs/>
              </w:rPr>
              <w:t>383,104</w:t>
            </w:r>
          </w:p>
        </w:tc>
        <w:tc>
          <w:tcPr>
            <w:tcW w:w="1705" w:type="dxa"/>
          </w:tcPr>
          <w:p w14:paraId="21302F6B" w14:textId="1AF07895" w:rsidR="000756EB" w:rsidRPr="00CD60DF" w:rsidRDefault="004A4D88" w:rsidP="00110644">
            <w:pPr>
              <w:pStyle w:val="TableCopy"/>
              <w:jc w:val="right"/>
              <w:rPr>
                <w:rFonts w:asciiTheme="minorHAnsi" w:hAnsiTheme="minorHAnsi" w:cstheme="minorHAnsi"/>
                <w:b/>
                <w:bCs/>
              </w:rPr>
            </w:pPr>
            <w:r w:rsidRPr="00CD60DF">
              <w:rPr>
                <w:rFonts w:asciiTheme="minorHAnsi" w:hAnsiTheme="minorHAnsi" w:cstheme="minorHAnsi"/>
                <w:b/>
                <w:bCs/>
              </w:rPr>
              <w:t>1,501,856</w:t>
            </w:r>
          </w:p>
        </w:tc>
      </w:tr>
    </w:tbl>
    <w:p w14:paraId="4DE0E533" w14:textId="77777777" w:rsidR="00110644" w:rsidRDefault="00110644" w:rsidP="00110644">
      <w:pPr>
        <w:pStyle w:val="FootnoteText"/>
        <w:spacing w:before="120"/>
      </w:pPr>
      <w:r>
        <w:t>The accompanying notes form part of these financial statements.</w:t>
      </w:r>
    </w:p>
    <w:p w14:paraId="5875AC29" w14:textId="2CFA0B8F" w:rsidR="000756EB" w:rsidRDefault="00110644" w:rsidP="00110644">
      <w:pPr>
        <w:pStyle w:val="FootnoteText"/>
        <w:spacing w:after="140"/>
      </w:pPr>
      <w:r>
        <w:t>(</w:t>
      </w:r>
      <w:proofErr w:type="spellStart"/>
      <w:r>
        <w:t>i</w:t>
      </w:r>
      <w:proofErr w:type="spellEnd"/>
      <w:r>
        <w:t>) This format is aligned to AASB 1049 Whole of Government and General Government Sector Financial Reporting.</w:t>
      </w:r>
    </w:p>
    <w:p w14:paraId="6F8A1D45" w14:textId="603EDAFE" w:rsidR="000756EB" w:rsidRDefault="004A4D88" w:rsidP="00CD60DF">
      <w:pPr>
        <w:pStyle w:val="Heading1"/>
      </w:pPr>
      <w:bookmarkStart w:id="8" w:name="_Toc149911791"/>
      <w:r>
        <w:lastRenderedPageBreak/>
        <w:t>1.</w:t>
      </w:r>
      <w:r w:rsidR="00A03629">
        <w:t xml:space="preserve"> </w:t>
      </w:r>
      <w:r>
        <w:t>About</w:t>
      </w:r>
      <w:r w:rsidR="00A03629">
        <w:t xml:space="preserve"> </w:t>
      </w:r>
      <w:r>
        <w:t>This</w:t>
      </w:r>
      <w:r w:rsidR="00A03629">
        <w:t xml:space="preserve"> </w:t>
      </w:r>
      <w:r>
        <w:t>Report</w:t>
      </w:r>
      <w:bookmarkEnd w:id="8"/>
    </w:p>
    <w:p w14:paraId="2091DBA0" w14:textId="7EF3599D" w:rsidR="000756EB" w:rsidRDefault="004A4D88" w:rsidP="00CD60DF">
      <w:r>
        <w:t>As</w:t>
      </w:r>
      <w:r w:rsidR="00A03629">
        <w:t xml:space="preserve"> </w:t>
      </w:r>
      <w:r>
        <w:t>a</w:t>
      </w:r>
      <w:r w:rsidR="00A03629">
        <w:t xml:space="preserve"> </w:t>
      </w:r>
      <w:r>
        <w:t>result</w:t>
      </w:r>
      <w:r w:rsidR="00A03629">
        <w:t xml:space="preserve"> </w:t>
      </w:r>
      <w:r>
        <w:t>of</w:t>
      </w:r>
      <w:r w:rsidR="00A03629">
        <w:t xml:space="preserve"> </w:t>
      </w:r>
      <w:r>
        <w:t>a</w:t>
      </w:r>
      <w:r w:rsidR="00A03629">
        <w:t xml:space="preserve"> </w:t>
      </w:r>
      <w:r>
        <w:t>machinery</w:t>
      </w:r>
      <w:r w:rsidR="00A03629">
        <w:t xml:space="preserve"> </w:t>
      </w:r>
      <w:r>
        <w:t>of</w:t>
      </w:r>
      <w:r w:rsidR="00A03629">
        <w:t xml:space="preserve"> </w:t>
      </w:r>
      <w:r>
        <w:t>government</w:t>
      </w:r>
      <w:r w:rsidR="00A03629">
        <w:t xml:space="preserve"> </w:t>
      </w:r>
      <w:r>
        <w:t>(</w:t>
      </w:r>
      <w:proofErr w:type="spellStart"/>
      <w:r>
        <w:t>MoG</w:t>
      </w:r>
      <w:proofErr w:type="spellEnd"/>
      <w:r>
        <w:t>)</w:t>
      </w:r>
      <w:r w:rsidR="00A03629">
        <w:t xml:space="preserve"> </w:t>
      </w:r>
      <w:r>
        <w:t>change</w:t>
      </w:r>
      <w:r w:rsidR="00A03629">
        <w:t xml:space="preserve"> </w:t>
      </w:r>
      <w:r>
        <w:t>effective</w:t>
      </w:r>
      <w:r w:rsidR="00A03629">
        <w:t xml:space="preserve"> </w:t>
      </w:r>
      <w:r>
        <w:t>on</w:t>
      </w:r>
      <w:r w:rsidR="00A03629">
        <w:t xml:space="preserve"> </w:t>
      </w:r>
      <w:r>
        <w:t>1</w:t>
      </w:r>
      <w:r w:rsidR="00A03629">
        <w:t xml:space="preserve"> </w:t>
      </w:r>
      <w:r>
        <w:t>January</w:t>
      </w:r>
      <w:r w:rsidR="00A03629">
        <w:t xml:space="preserve"> </w:t>
      </w:r>
      <w:r>
        <w:t>2023,</w:t>
      </w:r>
      <w:r w:rsidR="00A03629">
        <w:t xml:space="preserve"> </w:t>
      </w:r>
      <w:r>
        <w:t>the</w:t>
      </w:r>
      <w:r w:rsidR="00A03629">
        <w:t xml:space="preserve"> </w:t>
      </w:r>
      <w:r>
        <w:t>Department</w:t>
      </w:r>
      <w:r w:rsidR="00A03629">
        <w:t xml:space="preserve"> </w:t>
      </w:r>
      <w:r>
        <w:t>of</w:t>
      </w:r>
      <w:r w:rsidR="00A03629">
        <w:t xml:space="preserve"> </w:t>
      </w:r>
      <w:r>
        <w:t>Jobs,</w:t>
      </w:r>
      <w:r w:rsidR="00A03629">
        <w:t xml:space="preserve"> </w:t>
      </w:r>
      <w:r>
        <w:t>Precincts</w:t>
      </w:r>
      <w:r w:rsidR="00A03629">
        <w:t xml:space="preserve"> </w:t>
      </w:r>
      <w:r>
        <w:t>and</w:t>
      </w:r>
      <w:r w:rsidR="00A03629">
        <w:t xml:space="preserve"> </w:t>
      </w:r>
      <w:r>
        <w:t>Regions</w:t>
      </w:r>
      <w:r w:rsidR="00A03629">
        <w:t xml:space="preserve"> </w:t>
      </w:r>
      <w:r>
        <w:t>(DJPR)</w:t>
      </w:r>
      <w:r w:rsidR="00A03629">
        <w:t xml:space="preserve"> </w:t>
      </w:r>
      <w:r>
        <w:t>was</w:t>
      </w:r>
      <w:r w:rsidR="00A03629">
        <w:t xml:space="preserve"> </w:t>
      </w:r>
      <w:r>
        <w:t>renamed</w:t>
      </w:r>
      <w:r w:rsidR="00A03629">
        <w:t xml:space="preserve"> </w:t>
      </w:r>
      <w:r>
        <w:t>as</w:t>
      </w:r>
      <w:r w:rsidR="00A03629">
        <w:t xml:space="preserve"> </w:t>
      </w:r>
      <w:r>
        <w:t>the</w:t>
      </w:r>
      <w:r w:rsidR="00A03629">
        <w:t xml:space="preserve"> </w:t>
      </w:r>
      <w:r>
        <w:t>Department</w:t>
      </w:r>
      <w:r w:rsidR="00A03629">
        <w:t xml:space="preserve"> </w:t>
      </w:r>
      <w:r>
        <w:t>of</w:t>
      </w:r>
      <w:r w:rsidR="00A03629">
        <w:t xml:space="preserve"> </w:t>
      </w:r>
      <w:r>
        <w:t>Jobs,</w:t>
      </w:r>
      <w:r w:rsidR="00A03629">
        <w:t xml:space="preserve"> </w:t>
      </w:r>
      <w:r>
        <w:t>Skills,</w:t>
      </w:r>
      <w:r w:rsidR="00A03629">
        <w:t xml:space="preserve"> </w:t>
      </w:r>
      <w:r>
        <w:t>Industry</w:t>
      </w:r>
      <w:r w:rsidR="00A03629">
        <w:t xml:space="preserve"> </w:t>
      </w:r>
      <w:r>
        <w:t>and</w:t>
      </w:r>
      <w:r w:rsidR="00A03629">
        <w:t xml:space="preserve"> </w:t>
      </w:r>
      <w:r>
        <w:t>Regions</w:t>
      </w:r>
      <w:r w:rsidR="00A03629">
        <w:t xml:space="preserve"> </w:t>
      </w:r>
      <w:r>
        <w:t>(DJSIR).</w:t>
      </w:r>
      <w:r w:rsidR="00A03629">
        <w:t xml:space="preserve"> </w:t>
      </w:r>
      <w:r>
        <w:t>DJSIR</w:t>
      </w:r>
      <w:r w:rsidR="00A03629">
        <w:t xml:space="preserve"> </w:t>
      </w:r>
      <w:r>
        <w:t>is</w:t>
      </w:r>
      <w:r w:rsidR="00A03629">
        <w:t xml:space="preserve"> </w:t>
      </w:r>
      <w:r>
        <w:t>an</w:t>
      </w:r>
      <w:r w:rsidR="00A03629">
        <w:t xml:space="preserve"> </w:t>
      </w:r>
      <w:r>
        <w:t>administrative</w:t>
      </w:r>
      <w:r w:rsidR="00A03629">
        <w:t xml:space="preserve"> </w:t>
      </w:r>
      <w:r>
        <w:t>agency</w:t>
      </w:r>
      <w:r w:rsidR="00A03629">
        <w:t xml:space="preserve"> </w:t>
      </w:r>
      <w:r>
        <w:t>acting</w:t>
      </w:r>
      <w:r w:rsidR="00A03629">
        <w:t xml:space="preserve"> </w:t>
      </w:r>
      <w:r>
        <w:t>on</w:t>
      </w:r>
      <w:r w:rsidR="00A03629">
        <w:t xml:space="preserve"> </w:t>
      </w:r>
      <w:r>
        <w:t>behalf</w:t>
      </w:r>
      <w:r w:rsidR="00A03629">
        <w:t xml:space="preserve"> </w:t>
      </w:r>
      <w:r>
        <w:t>of</w:t>
      </w:r>
      <w:r w:rsidR="00A03629">
        <w:t xml:space="preserve"> </w:t>
      </w:r>
      <w:r>
        <w:t>the</w:t>
      </w:r>
      <w:r w:rsidR="00A03629">
        <w:t xml:space="preserve"> </w:t>
      </w:r>
      <w:r>
        <w:t>Crown.</w:t>
      </w:r>
      <w:r w:rsidR="00A03629">
        <w:t xml:space="preserve"> </w:t>
      </w:r>
      <w:r>
        <w:t>These</w:t>
      </w:r>
      <w:r w:rsidR="00A03629">
        <w:t xml:space="preserve"> </w:t>
      </w:r>
      <w:r>
        <w:t>annual</w:t>
      </w:r>
      <w:r w:rsidR="00A03629">
        <w:t xml:space="preserve"> </w:t>
      </w:r>
      <w:r>
        <w:t>financial</w:t>
      </w:r>
      <w:r w:rsidR="00A03629">
        <w:t xml:space="preserve"> </w:t>
      </w:r>
      <w:r>
        <w:t>statements</w:t>
      </w:r>
      <w:r w:rsidR="00A03629">
        <w:t xml:space="preserve"> </w:t>
      </w:r>
      <w:r>
        <w:t>represent</w:t>
      </w:r>
      <w:r w:rsidR="00A03629">
        <w:t xml:space="preserve"> </w:t>
      </w:r>
      <w:r>
        <w:t>the</w:t>
      </w:r>
      <w:r w:rsidR="00A03629">
        <w:t xml:space="preserve"> </w:t>
      </w:r>
      <w:r>
        <w:t>audited</w:t>
      </w:r>
      <w:r w:rsidR="00A03629">
        <w:t xml:space="preserve"> </w:t>
      </w:r>
      <w:r>
        <w:t>general</w:t>
      </w:r>
      <w:r w:rsidR="00A03629">
        <w:t xml:space="preserve"> </w:t>
      </w:r>
      <w:r>
        <w:t>purpose</w:t>
      </w:r>
      <w:r w:rsidR="00A03629">
        <w:t xml:space="preserve"> </w:t>
      </w:r>
      <w:r>
        <w:t>financial</w:t>
      </w:r>
      <w:r w:rsidR="00A03629">
        <w:t xml:space="preserve"> </w:t>
      </w:r>
      <w:r>
        <w:t>statements</w:t>
      </w:r>
      <w:r w:rsidR="00A03629">
        <w:t xml:space="preserve"> </w:t>
      </w:r>
      <w:r>
        <w:t>for</w:t>
      </w:r>
      <w:r w:rsidR="00A03629">
        <w:rPr>
          <w:rFonts w:ascii="Cambria" w:hAnsi="Cambria" w:cs="Cambria"/>
        </w:rPr>
        <w:t xml:space="preserve"> </w:t>
      </w:r>
      <w:r>
        <w:t>the</w:t>
      </w:r>
      <w:r w:rsidR="00A03629">
        <w:t xml:space="preserve"> </w:t>
      </w:r>
      <w:r>
        <w:t>year</w:t>
      </w:r>
      <w:r w:rsidR="00A03629">
        <w:t xml:space="preserve"> </w:t>
      </w:r>
      <w:r>
        <w:t>ended</w:t>
      </w:r>
      <w:r w:rsidR="00A03629">
        <w:t xml:space="preserve"> </w:t>
      </w:r>
      <w:r>
        <w:t>30</w:t>
      </w:r>
      <w:r w:rsidR="00A03629">
        <w:t xml:space="preserve"> </w:t>
      </w:r>
      <w:r>
        <w:t>June</w:t>
      </w:r>
      <w:r w:rsidR="00A03629">
        <w:t xml:space="preserve"> </w:t>
      </w:r>
      <w:r>
        <w:t>2023.</w:t>
      </w:r>
    </w:p>
    <w:p w14:paraId="16A350D6" w14:textId="32DF293D" w:rsidR="000756EB" w:rsidRDefault="004A4D88" w:rsidP="00CD60DF">
      <w:r>
        <w:t>Due</w:t>
      </w:r>
      <w:r w:rsidR="00A03629">
        <w:t xml:space="preserve"> </w:t>
      </w:r>
      <w:r>
        <w:t>to</w:t>
      </w:r>
      <w:r w:rsidR="00A03629">
        <w:t xml:space="preserve"> </w:t>
      </w:r>
      <w:r>
        <w:t>the</w:t>
      </w:r>
      <w:r w:rsidR="00A03629">
        <w:t xml:space="preserve"> </w:t>
      </w:r>
      <w:r>
        <w:t>machinery</w:t>
      </w:r>
      <w:r w:rsidR="00A03629">
        <w:t xml:space="preserve"> </w:t>
      </w:r>
      <w:r>
        <w:t>of</w:t>
      </w:r>
      <w:r w:rsidR="00A03629">
        <w:t xml:space="preserve"> </w:t>
      </w:r>
      <w:r>
        <w:t>government</w:t>
      </w:r>
      <w:r w:rsidR="00A03629">
        <w:t xml:space="preserve"> </w:t>
      </w:r>
      <w:r>
        <w:t>changes,</w:t>
      </w:r>
      <w:r w:rsidR="00A03629">
        <w:t xml:space="preserve"> </w:t>
      </w:r>
      <w:r>
        <w:t>the</w:t>
      </w:r>
      <w:r w:rsidR="00A03629">
        <w:t xml:space="preserve"> </w:t>
      </w:r>
      <w:r>
        <w:t>disclosed</w:t>
      </w:r>
      <w:r w:rsidR="00A03629">
        <w:t xml:space="preserve"> </w:t>
      </w:r>
      <w:r>
        <w:t>amounts</w:t>
      </w:r>
      <w:r w:rsidR="00A03629">
        <w:t xml:space="preserve"> </w:t>
      </w:r>
      <w:r>
        <w:t>2022–23</w:t>
      </w:r>
      <w:r w:rsidR="00A03629">
        <w:t xml:space="preserve"> </w:t>
      </w:r>
      <w:r>
        <w:t>are</w:t>
      </w:r>
      <w:r w:rsidR="00A03629">
        <w:t xml:space="preserve"> </w:t>
      </w:r>
      <w:r>
        <w:t>not</w:t>
      </w:r>
      <w:r w:rsidR="00A03629">
        <w:t xml:space="preserve"> </w:t>
      </w:r>
      <w:r>
        <w:t>directly</w:t>
      </w:r>
      <w:r w:rsidR="00A03629">
        <w:t xml:space="preserve"> </w:t>
      </w:r>
      <w:r>
        <w:t>comparable</w:t>
      </w:r>
      <w:r w:rsidR="00A03629">
        <w:t xml:space="preserve"> </w:t>
      </w:r>
      <w:r>
        <w:t>with</w:t>
      </w:r>
      <w:r w:rsidR="00A03629">
        <w:t xml:space="preserve"> </w:t>
      </w:r>
      <w:r>
        <w:t>the</w:t>
      </w:r>
      <w:r w:rsidR="00A03629">
        <w:t xml:space="preserve"> </w:t>
      </w:r>
      <w:r>
        <w:t>amounts</w:t>
      </w:r>
      <w:r w:rsidR="00A03629">
        <w:t xml:space="preserve"> </w:t>
      </w:r>
      <w:r>
        <w:t>in</w:t>
      </w:r>
      <w:r w:rsidR="00A03629">
        <w:t xml:space="preserve"> </w:t>
      </w:r>
      <w:r>
        <w:t>2021–22.</w:t>
      </w:r>
      <w:r w:rsidR="00A03629">
        <w:t xml:space="preserve"> </w:t>
      </w:r>
      <w:r>
        <w:t>The</w:t>
      </w:r>
      <w:r w:rsidR="00A03629">
        <w:rPr>
          <w:rFonts w:ascii="Cambria" w:hAnsi="Cambria" w:cs="Cambria"/>
        </w:rPr>
        <w:t xml:space="preserve"> </w:t>
      </w:r>
      <w:r>
        <w:t>details</w:t>
      </w:r>
      <w:r w:rsidR="00A03629">
        <w:rPr>
          <w:rFonts w:ascii="Cambria" w:hAnsi="Cambria" w:cs="Cambria"/>
        </w:rPr>
        <w:t xml:space="preserve"> </w:t>
      </w:r>
      <w:r>
        <w:t>of</w:t>
      </w:r>
      <w:r w:rsidR="00A03629">
        <w:t xml:space="preserve"> </w:t>
      </w:r>
      <w:r>
        <w:t>the</w:t>
      </w:r>
      <w:r w:rsidR="00A03629">
        <w:t xml:space="preserve"> </w:t>
      </w:r>
      <w:r>
        <w:t>functions</w:t>
      </w:r>
      <w:r w:rsidR="00A03629">
        <w:t xml:space="preserve"> </w:t>
      </w:r>
      <w:r>
        <w:t>that</w:t>
      </w:r>
      <w:r w:rsidR="00A03629">
        <w:t xml:space="preserve"> </w:t>
      </w:r>
      <w:r>
        <w:t>were</w:t>
      </w:r>
      <w:r w:rsidR="00A03629">
        <w:t xml:space="preserve"> </w:t>
      </w:r>
      <w:r>
        <w:t>transferred</w:t>
      </w:r>
      <w:r w:rsidR="00A03629">
        <w:t xml:space="preserve"> </w:t>
      </w:r>
      <w:r>
        <w:t>as</w:t>
      </w:r>
      <w:r w:rsidR="00A03629">
        <w:rPr>
          <w:rFonts w:ascii="Cambria" w:hAnsi="Cambria" w:cs="Cambria"/>
        </w:rPr>
        <w:t xml:space="preserve"> </w:t>
      </w:r>
      <w:r>
        <w:t>part</w:t>
      </w:r>
      <w:r w:rsidR="00A03629">
        <w:t xml:space="preserve"> </w:t>
      </w:r>
      <w:r>
        <w:t>of</w:t>
      </w:r>
      <w:r w:rsidR="00A03629">
        <w:t xml:space="preserve"> </w:t>
      </w:r>
      <w:r>
        <w:t>the</w:t>
      </w:r>
      <w:r w:rsidR="00A03629">
        <w:t xml:space="preserve"> </w:t>
      </w:r>
      <w:r>
        <w:t>machinery</w:t>
      </w:r>
      <w:r w:rsidR="00A03629">
        <w:t xml:space="preserve"> </w:t>
      </w:r>
      <w:r>
        <w:t>of</w:t>
      </w:r>
      <w:r w:rsidR="00A03629">
        <w:t xml:space="preserve"> </w:t>
      </w:r>
      <w:r>
        <w:t>government</w:t>
      </w:r>
      <w:r w:rsidR="00A03629">
        <w:t xml:space="preserve"> </w:t>
      </w:r>
      <w:r>
        <w:t>changes</w:t>
      </w:r>
      <w:r w:rsidR="00A03629">
        <w:t xml:space="preserve"> </w:t>
      </w:r>
      <w:r>
        <w:t>are</w:t>
      </w:r>
      <w:r w:rsidR="00A03629">
        <w:t xml:space="preserve"> </w:t>
      </w:r>
      <w:r>
        <w:t>included</w:t>
      </w:r>
      <w:r w:rsidR="00A03629">
        <w:t xml:space="preserve"> </w:t>
      </w:r>
      <w:r>
        <w:t>in</w:t>
      </w:r>
      <w:r w:rsidR="00A03629">
        <w:t xml:space="preserve"> </w:t>
      </w:r>
      <w:r>
        <w:t>Note</w:t>
      </w:r>
      <w:r w:rsidR="00A03629">
        <w:t xml:space="preserve"> </w:t>
      </w:r>
      <w:r>
        <w:t>4.3</w:t>
      </w:r>
      <w:r w:rsidR="00A03629">
        <w:t xml:space="preserve"> </w:t>
      </w:r>
      <w:r>
        <w:t>Restructuring</w:t>
      </w:r>
      <w:r w:rsidR="00A03629">
        <w:t xml:space="preserve"> </w:t>
      </w:r>
      <w:r>
        <w:t>of</w:t>
      </w:r>
      <w:r w:rsidR="00A03629">
        <w:t xml:space="preserve"> </w:t>
      </w:r>
      <w:r>
        <w:t>administrative</w:t>
      </w:r>
      <w:r w:rsidR="00A03629">
        <w:t xml:space="preserve"> </w:t>
      </w:r>
      <w:r>
        <w:t>arrangements.</w:t>
      </w:r>
    </w:p>
    <w:p w14:paraId="1260CEB4" w14:textId="6ACDD860" w:rsidR="000756EB" w:rsidRPr="00CD60DF" w:rsidRDefault="004A4D88" w:rsidP="00CD60DF">
      <w:r w:rsidRPr="00CD60DF">
        <w:t>A</w:t>
      </w:r>
      <w:r w:rsidR="00A03629" w:rsidRPr="00CD60DF">
        <w:t xml:space="preserve"> </w:t>
      </w:r>
      <w:r w:rsidRPr="00CD60DF">
        <w:t>description</w:t>
      </w:r>
      <w:r w:rsidR="00A03629" w:rsidRPr="00CD60DF">
        <w:t xml:space="preserve"> </w:t>
      </w:r>
      <w:r w:rsidRPr="00CD60DF">
        <w:t>of</w:t>
      </w:r>
      <w:r w:rsidR="00A03629" w:rsidRPr="00CD60DF">
        <w:t xml:space="preserve"> </w:t>
      </w:r>
      <w:r w:rsidRPr="00CD60DF">
        <w:t>the</w:t>
      </w:r>
      <w:r w:rsidR="00A03629" w:rsidRPr="00CD60DF">
        <w:t xml:space="preserve"> </w:t>
      </w:r>
      <w:r w:rsidRPr="00CD60DF">
        <w:t>nature</w:t>
      </w:r>
      <w:r w:rsidR="00A03629" w:rsidRPr="00CD60DF">
        <w:t xml:space="preserve"> </w:t>
      </w:r>
      <w:r w:rsidRPr="00CD60DF">
        <w:t>of</w:t>
      </w:r>
      <w:r w:rsidR="00A03629" w:rsidRPr="00CD60DF">
        <w:t xml:space="preserve"> </w:t>
      </w:r>
      <w:r w:rsidRPr="00CD60DF">
        <w:t>its</w:t>
      </w:r>
      <w:r w:rsidR="00A03629" w:rsidRPr="00CD60DF">
        <w:t xml:space="preserve"> </w:t>
      </w:r>
      <w:r w:rsidRPr="00CD60DF">
        <w:t>operations</w:t>
      </w:r>
      <w:r w:rsidR="00A03629" w:rsidRPr="00CD60DF">
        <w:t xml:space="preserve"> </w:t>
      </w:r>
      <w:r w:rsidRPr="00CD60DF">
        <w:t>and</w:t>
      </w:r>
      <w:r w:rsidR="00A03629" w:rsidRPr="00CD60DF">
        <w:t xml:space="preserve"> </w:t>
      </w:r>
      <w:r w:rsidRPr="00CD60DF">
        <w:t>its</w:t>
      </w:r>
      <w:r w:rsidR="00A03629" w:rsidRPr="00CD60DF">
        <w:t xml:space="preserve"> </w:t>
      </w:r>
      <w:r w:rsidRPr="00CD60DF">
        <w:t>principal</w:t>
      </w:r>
      <w:r w:rsidR="00A03629" w:rsidRPr="00CD60DF">
        <w:t xml:space="preserve"> </w:t>
      </w:r>
      <w:r w:rsidRPr="00CD60DF">
        <w:t>activities</w:t>
      </w:r>
      <w:r w:rsidR="00A03629" w:rsidRPr="00CD60DF">
        <w:t xml:space="preserve"> </w:t>
      </w:r>
      <w:r w:rsidRPr="00CD60DF">
        <w:t>is</w:t>
      </w:r>
      <w:r w:rsidR="00A03629" w:rsidRPr="00CD60DF">
        <w:t xml:space="preserve"> </w:t>
      </w:r>
      <w:r w:rsidRPr="00CD60DF">
        <w:t>included</w:t>
      </w:r>
      <w:r w:rsidR="00A03629" w:rsidRPr="00CD60DF">
        <w:t xml:space="preserve"> </w:t>
      </w:r>
      <w:r w:rsidRPr="00CD60DF">
        <w:t>in</w:t>
      </w:r>
      <w:r w:rsidR="00A03629" w:rsidRPr="00CD60DF">
        <w:t xml:space="preserve"> </w:t>
      </w:r>
      <w:r w:rsidRPr="00CD60DF">
        <w:t>the</w:t>
      </w:r>
      <w:r w:rsidR="00A03629" w:rsidRPr="00CD60DF">
        <w:t xml:space="preserve"> </w:t>
      </w:r>
      <w:r w:rsidRPr="00CD60DF">
        <w:rPr>
          <w:b/>
          <w:bCs/>
        </w:rPr>
        <w:t>Report</w:t>
      </w:r>
      <w:r w:rsidR="00A03629" w:rsidRPr="00CD60DF">
        <w:rPr>
          <w:b/>
          <w:bCs/>
        </w:rPr>
        <w:t xml:space="preserve"> </w:t>
      </w:r>
      <w:r w:rsidRPr="00CD60DF">
        <w:rPr>
          <w:b/>
          <w:bCs/>
        </w:rPr>
        <w:t>of</w:t>
      </w:r>
      <w:r w:rsidR="00A03629" w:rsidRPr="00CD60DF">
        <w:rPr>
          <w:b/>
          <w:bCs/>
        </w:rPr>
        <w:t xml:space="preserve"> </w:t>
      </w:r>
      <w:r w:rsidRPr="00CD60DF">
        <w:rPr>
          <w:b/>
          <w:bCs/>
        </w:rPr>
        <w:t>operations</w:t>
      </w:r>
      <w:r w:rsidRPr="00CD60DF">
        <w:t>,</w:t>
      </w:r>
      <w:r w:rsidR="00A03629" w:rsidRPr="00CD60DF">
        <w:t xml:space="preserve"> </w:t>
      </w:r>
      <w:r w:rsidRPr="00CD60DF">
        <w:t>which</w:t>
      </w:r>
      <w:r w:rsidR="00A03629" w:rsidRPr="00CD60DF">
        <w:t xml:space="preserve"> </w:t>
      </w:r>
      <w:r w:rsidRPr="00CD60DF">
        <w:t>does</w:t>
      </w:r>
      <w:r w:rsidR="00A03629" w:rsidRPr="00CD60DF">
        <w:t xml:space="preserve"> </w:t>
      </w:r>
      <w:r w:rsidRPr="00CD60DF">
        <w:t>not</w:t>
      </w:r>
      <w:r w:rsidR="00A03629" w:rsidRPr="00CD60DF">
        <w:t xml:space="preserve"> </w:t>
      </w:r>
      <w:r w:rsidRPr="00CD60DF">
        <w:t>form</w:t>
      </w:r>
      <w:r w:rsidR="00A03629" w:rsidRPr="00CD60DF">
        <w:t xml:space="preserve"> </w:t>
      </w:r>
      <w:r w:rsidRPr="00CD60DF">
        <w:t>part</w:t>
      </w:r>
      <w:r w:rsidR="00A03629" w:rsidRPr="00CD60DF">
        <w:t xml:space="preserve"> </w:t>
      </w:r>
      <w:r w:rsidRPr="00CD60DF">
        <w:t>of</w:t>
      </w:r>
      <w:r w:rsidR="00A03629" w:rsidRPr="00CD60DF">
        <w:t xml:space="preserve"> </w:t>
      </w:r>
      <w:r w:rsidRPr="00CD60DF">
        <w:t>these</w:t>
      </w:r>
      <w:r w:rsidR="00A03629" w:rsidRPr="00CD60DF">
        <w:t xml:space="preserve"> </w:t>
      </w:r>
      <w:r w:rsidRPr="00CD60DF">
        <w:t>financial</w:t>
      </w:r>
      <w:r w:rsidR="00A03629" w:rsidRPr="00CD60DF">
        <w:t xml:space="preserve"> </w:t>
      </w:r>
      <w:r w:rsidRPr="00CD60DF">
        <w:t>statements.</w:t>
      </w:r>
    </w:p>
    <w:p w14:paraId="26E68245" w14:textId="37A9B087" w:rsidR="000756EB" w:rsidRDefault="004A4D88" w:rsidP="00CD60DF">
      <w:pPr>
        <w:pStyle w:val="Heading2"/>
      </w:pPr>
      <w:bookmarkStart w:id="9" w:name="_Toc149911792"/>
      <w:r>
        <w:t>Basis</w:t>
      </w:r>
      <w:r w:rsidR="00A03629">
        <w:t xml:space="preserve"> </w:t>
      </w:r>
      <w:r>
        <w:t>of</w:t>
      </w:r>
      <w:r w:rsidR="00A03629">
        <w:t xml:space="preserve"> </w:t>
      </w:r>
      <w:r>
        <w:t>accounting</w:t>
      </w:r>
      <w:r w:rsidR="00A03629">
        <w:t xml:space="preserve"> </w:t>
      </w:r>
      <w:r>
        <w:t>preparation</w:t>
      </w:r>
      <w:r w:rsidR="00A03629">
        <w:t xml:space="preserve"> </w:t>
      </w:r>
      <w:r>
        <w:t>and</w:t>
      </w:r>
      <w:r w:rsidR="00A03629">
        <w:t xml:space="preserve"> </w:t>
      </w:r>
      <w:r>
        <w:t>measurement</w:t>
      </w:r>
      <w:bookmarkEnd w:id="9"/>
    </w:p>
    <w:p w14:paraId="7420515A" w14:textId="17A1477E" w:rsidR="000756EB" w:rsidRDefault="004A4D88" w:rsidP="00CD60DF">
      <w:r>
        <w:t>These</w:t>
      </w:r>
      <w:r w:rsidR="00A03629">
        <w:t xml:space="preserve"> </w:t>
      </w:r>
      <w:r>
        <w:t>financial</w:t>
      </w:r>
      <w:r w:rsidR="00A03629">
        <w:t xml:space="preserve"> </w:t>
      </w:r>
      <w:r>
        <w:t>statements</w:t>
      </w:r>
      <w:r w:rsidR="00A03629">
        <w:t xml:space="preserve"> </w:t>
      </w:r>
      <w:r>
        <w:t>are</w:t>
      </w:r>
      <w:r w:rsidR="00A03629">
        <w:t xml:space="preserve"> </w:t>
      </w:r>
      <w:r>
        <w:t>in</w:t>
      </w:r>
      <w:r w:rsidR="00A03629">
        <w:t xml:space="preserve"> </w:t>
      </w:r>
      <w:r>
        <w:t>Australian</w:t>
      </w:r>
      <w:r w:rsidR="00A03629">
        <w:t xml:space="preserve"> </w:t>
      </w:r>
      <w:r>
        <w:t>dollars</w:t>
      </w:r>
      <w:r w:rsidR="00A03629">
        <w:t xml:space="preserve"> </w:t>
      </w:r>
      <w:r>
        <w:t>and</w:t>
      </w:r>
      <w:r w:rsidR="00A03629">
        <w:t xml:space="preserve"> </w:t>
      </w:r>
      <w:r>
        <w:t>the</w:t>
      </w:r>
      <w:r w:rsidR="00A03629">
        <w:t xml:space="preserve"> </w:t>
      </w:r>
      <w:r>
        <w:t>historical</w:t>
      </w:r>
      <w:r w:rsidR="00A03629">
        <w:t xml:space="preserve"> </w:t>
      </w:r>
      <w:r>
        <w:t>cost</w:t>
      </w:r>
      <w:r w:rsidR="00A03629">
        <w:t xml:space="preserve"> </w:t>
      </w:r>
      <w:r>
        <w:t>convention</w:t>
      </w:r>
      <w:r w:rsidR="00A03629">
        <w:t xml:space="preserve"> </w:t>
      </w:r>
      <w:r>
        <w:t>is</w:t>
      </w:r>
      <w:r w:rsidR="00A03629">
        <w:t xml:space="preserve"> </w:t>
      </w:r>
      <w:r>
        <w:t>used</w:t>
      </w:r>
      <w:r w:rsidR="00A03629">
        <w:t xml:space="preserve"> </w:t>
      </w:r>
      <w:r>
        <w:t>unless</w:t>
      </w:r>
      <w:r w:rsidR="00A03629">
        <w:t xml:space="preserve"> </w:t>
      </w:r>
      <w:r>
        <w:t>a</w:t>
      </w:r>
      <w:r w:rsidR="00A03629">
        <w:t xml:space="preserve"> </w:t>
      </w:r>
      <w:r>
        <w:t>different</w:t>
      </w:r>
      <w:r w:rsidR="00A03629">
        <w:t xml:space="preserve"> </w:t>
      </w:r>
      <w:r>
        <w:t>measurement</w:t>
      </w:r>
      <w:r w:rsidR="00A03629">
        <w:t xml:space="preserve"> </w:t>
      </w:r>
      <w:r>
        <w:t>basis</w:t>
      </w:r>
      <w:r w:rsidR="00A03629">
        <w:t xml:space="preserve"> </w:t>
      </w:r>
      <w:r>
        <w:t>is</w:t>
      </w:r>
      <w:r w:rsidR="00A03629">
        <w:t xml:space="preserve"> </w:t>
      </w:r>
      <w:r>
        <w:t>specifically</w:t>
      </w:r>
      <w:r w:rsidR="00A03629">
        <w:t xml:space="preserve"> </w:t>
      </w:r>
      <w:r>
        <w:t>disclosed</w:t>
      </w:r>
      <w:r w:rsidR="00A03629">
        <w:t xml:space="preserve"> </w:t>
      </w:r>
      <w:r>
        <w:t>in</w:t>
      </w:r>
      <w:r w:rsidR="00A03629">
        <w:t xml:space="preserve"> </w:t>
      </w:r>
      <w:r>
        <w:t>the</w:t>
      </w:r>
      <w:r w:rsidR="00A03629">
        <w:t xml:space="preserve"> </w:t>
      </w:r>
      <w:r>
        <w:t>note</w:t>
      </w:r>
      <w:r w:rsidR="00A03629">
        <w:t xml:space="preserve"> </w:t>
      </w:r>
      <w:r>
        <w:t>associated</w:t>
      </w:r>
      <w:r w:rsidR="00A03629">
        <w:t xml:space="preserve"> </w:t>
      </w:r>
      <w:r>
        <w:t>with</w:t>
      </w:r>
      <w:r w:rsidR="00A03629">
        <w:t xml:space="preserve"> </w:t>
      </w:r>
      <w:r>
        <w:t>the</w:t>
      </w:r>
      <w:r w:rsidR="00A03629">
        <w:t xml:space="preserve"> </w:t>
      </w:r>
      <w:r>
        <w:t>item</w:t>
      </w:r>
      <w:r w:rsidR="00A03629">
        <w:t xml:space="preserve"> </w:t>
      </w:r>
      <w:r>
        <w:t>measured</w:t>
      </w:r>
      <w:r w:rsidR="00A03629">
        <w:t xml:space="preserve"> </w:t>
      </w:r>
      <w:r>
        <w:t>on</w:t>
      </w:r>
      <w:r w:rsidR="00A03629">
        <w:t xml:space="preserve"> </w:t>
      </w:r>
      <w:r>
        <w:t>a</w:t>
      </w:r>
      <w:r w:rsidR="00A03629">
        <w:rPr>
          <w:rFonts w:ascii="Cambria" w:hAnsi="Cambria" w:cs="Cambria"/>
        </w:rPr>
        <w:t xml:space="preserve"> </w:t>
      </w:r>
      <w:r>
        <w:t>different</w:t>
      </w:r>
      <w:r w:rsidR="00A03629">
        <w:t xml:space="preserve"> </w:t>
      </w:r>
      <w:r>
        <w:t>basis.</w:t>
      </w:r>
    </w:p>
    <w:p w14:paraId="16DDE40E" w14:textId="6C0C7374" w:rsidR="000756EB" w:rsidRDefault="004A4D88" w:rsidP="00CD60DF">
      <w:r>
        <w:t>The</w:t>
      </w:r>
      <w:r w:rsidR="00A03629">
        <w:t xml:space="preserve"> </w:t>
      </w:r>
      <w:r>
        <w:t>accrual</w:t>
      </w:r>
      <w:r w:rsidR="00A03629">
        <w:t xml:space="preserve"> </w:t>
      </w:r>
      <w:r>
        <w:t>basis</w:t>
      </w:r>
      <w:r w:rsidR="00A03629">
        <w:t xml:space="preserve"> </w:t>
      </w:r>
      <w:r>
        <w:t>of</w:t>
      </w:r>
      <w:r w:rsidR="00A03629">
        <w:t xml:space="preserve"> </w:t>
      </w:r>
      <w:r>
        <w:t>accounting</w:t>
      </w:r>
      <w:r w:rsidR="00A03629">
        <w:t xml:space="preserve"> </w:t>
      </w:r>
      <w:r>
        <w:t>has</w:t>
      </w:r>
      <w:r w:rsidR="00A03629">
        <w:t xml:space="preserve"> </w:t>
      </w:r>
      <w:r>
        <w:t>been</w:t>
      </w:r>
      <w:r w:rsidR="00A03629">
        <w:t xml:space="preserve"> </w:t>
      </w:r>
      <w:r>
        <w:t>applied</w:t>
      </w:r>
      <w:r w:rsidR="00A03629">
        <w:t xml:space="preserve"> </w:t>
      </w:r>
      <w:r>
        <w:t>in</w:t>
      </w:r>
      <w:r w:rsidR="00A03629">
        <w:t xml:space="preserve"> </w:t>
      </w:r>
      <w:r>
        <w:t>preparing</w:t>
      </w:r>
      <w:r w:rsidR="00A03629">
        <w:t xml:space="preserve"> </w:t>
      </w:r>
      <w:r>
        <w:t>these</w:t>
      </w:r>
      <w:r w:rsidR="00A03629">
        <w:t xml:space="preserve"> </w:t>
      </w:r>
      <w:r>
        <w:t>financial</w:t>
      </w:r>
      <w:r w:rsidR="00A03629">
        <w:t xml:space="preserve"> </w:t>
      </w:r>
      <w:r>
        <w:t>statements,</w:t>
      </w:r>
      <w:r w:rsidR="00A03629">
        <w:t xml:space="preserve"> </w:t>
      </w:r>
      <w:r>
        <w:t>whereby</w:t>
      </w:r>
      <w:r w:rsidR="00A03629">
        <w:t xml:space="preserve"> </w:t>
      </w:r>
      <w:r>
        <w:t>assets,</w:t>
      </w:r>
      <w:r w:rsidR="00A03629">
        <w:t xml:space="preserve"> </w:t>
      </w:r>
      <w:r>
        <w:t>liabilities,</w:t>
      </w:r>
      <w:r w:rsidR="00A03629">
        <w:t xml:space="preserve"> </w:t>
      </w:r>
      <w:r>
        <w:t>equity,</w:t>
      </w:r>
      <w:r w:rsidR="00A03629">
        <w:t xml:space="preserve"> </w:t>
      </w:r>
      <w:proofErr w:type="gramStart"/>
      <w:r>
        <w:t>income</w:t>
      </w:r>
      <w:proofErr w:type="gramEnd"/>
      <w:r w:rsidR="00A03629">
        <w:t xml:space="preserve"> </w:t>
      </w:r>
      <w:r>
        <w:t>and</w:t>
      </w:r>
      <w:r w:rsidR="00A03629">
        <w:t xml:space="preserve"> </w:t>
      </w:r>
      <w:r>
        <w:t>expenses</w:t>
      </w:r>
      <w:r w:rsidR="00A03629">
        <w:t xml:space="preserve"> </w:t>
      </w:r>
      <w:r>
        <w:t>are</w:t>
      </w:r>
      <w:r w:rsidR="00A03629">
        <w:t xml:space="preserve"> </w:t>
      </w:r>
      <w:r>
        <w:t>recognised</w:t>
      </w:r>
      <w:r w:rsidR="00A03629">
        <w:t xml:space="preserve"> </w:t>
      </w:r>
      <w:r>
        <w:t>in</w:t>
      </w:r>
      <w:r w:rsidR="00A03629">
        <w:t xml:space="preserve"> </w:t>
      </w:r>
      <w:r>
        <w:t>the</w:t>
      </w:r>
      <w:r w:rsidR="00A03629">
        <w:t xml:space="preserve"> </w:t>
      </w:r>
      <w:r>
        <w:t>reporting</w:t>
      </w:r>
      <w:r w:rsidR="00A03629">
        <w:t xml:space="preserve"> </w:t>
      </w:r>
      <w:r>
        <w:t>period</w:t>
      </w:r>
      <w:r w:rsidR="00A03629">
        <w:t xml:space="preserve"> </w:t>
      </w:r>
      <w:r>
        <w:t>to</w:t>
      </w:r>
      <w:r w:rsidR="00A03629">
        <w:t xml:space="preserve"> </w:t>
      </w:r>
      <w:r>
        <w:t>which</w:t>
      </w:r>
      <w:r w:rsidR="00A03629">
        <w:t xml:space="preserve"> </w:t>
      </w:r>
      <w:r>
        <w:t>they</w:t>
      </w:r>
      <w:r w:rsidR="00A03629">
        <w:t xml:space="preserve"> </w:t>
      </w:r>
      <w:r>
        <w:t>relate,</w:t>
      </w:r>
      <w:r w:rsidR="00A03629">
        <w:t xml:space="preserve"> </w:t>
      </w:r>
      <w:r>
        <w:t>regardless</w:t>
      </w:r>
      <w:r w:rsidR="00A03629">
        <w:t xml:space="preserve"> </w:t>
      </w:r>
      <w:r>
        <w:t>of</w:t>
      </w:r>
      <w:r w:rsidR="00A03629">
        <w:t xml:space="preserve"> </w:t>
      </w:r>
      <w:r>
        <w:t>when</w:t>
      </w:r>
      <w:r w:rsidR="00A03629">
        <w:t xml:space="preserve"> </w:t>
      </w:r>
      <w:r>
        <w:t>cash</w:t>
      </w:r>
      <w:r w:rsidR="00A03629">
        <w:t xml:space="preserve"> </w:t>
      </w:r>
      <w:r>
        <w:t>is</w:t>
      </w:r>
      <w:r w:rsidR="00A03629">
        <w:t xml:space="preserve"> </w:t>
      </w:r>
      <w:r>
        <w:t>received</w:t>
      </w:r>
      <w:r w:rsidR="00A03629">
        <w:t xml:space="preserve"> </w:t>
      </w:r>
      <w:r>
        <w:t>or</w:t>
      </w:r>
      <w:r w:rsidR="00A03629">
        <w:t xml:space="preserve"> </w:t>
      </w:r>
      <w:r>
        <w:t>paid.</w:t>
      </w:r>
    </w:p>
    <w:p w14:paraId="5982B863" w14:textId="59048172" w:rsidR="000756EB" w:rsidRDefault="004A4D88" w:rsidP="00CD60DF">
      <w:r>
        <w:t>Consistent</w:t>
      </w:r>
      <w:r w:rsidR="00A03629">
        <w:t xml:space="preserve"> </w:t>
      </w:r>
      <w:r>
        <w:t>with</w:t>
      </w:r>
      <w:r w:rsidR="00A03629">
        <w:t xml:space="preserve"> </w:t>
      </w:r>
      <w:r>
        <w:t>the</w:t>
      </w:r>
      <w:r w:rsidR="00A03629">
        <w:t xml:space="preserve"> </w:t>
      </w:r>
      <w:r>
        <w:t>requirements</w:t>
      </w:r>
      <w:r w:rsidR="00A03629">
        <w:t xml:space="preserve"> </w:t>
      </w:r>
      <w:r>
        <w:t>of</w:t>
      </w:r>
      <w:r w:rsidR="00A03629">
        <w:t xml:space="preserve"> </w:t>
      </w:r>
      <w:r>
        <w:t>AASB</w:t>
      </w:r>
      <w:r w:rsidR="00A03629">
        <w:t xml:space="preserve"> </w:t>
      </w:r>
      <w:r>
        <w:t>1004</w:t>
      </w:r>
      <w:r w:rsidR="00A03629">
        <w:t xml:space="preserve"> </w:t>
      </w:r>
      <w:r w:rsidRPr="00CD60DF">
        <w:rPr>
          <w:i/>
          <w:iCs/>
        </w:rPr>
        <w:t>Contributions</w:t>
      </w:r>
      <w:r>
        <w:t>,</w:t>
      </w:r>
      <w:r w:rsidR="00A03629">
        <w:t xml:space="preserve"> </w:t>
      </w:r>
      <w:r>
        <w:t>contributions</w:t>
      </w:r>
      <w:r w:rsidR="00A03629">
        <w:t xml:space="preserve"> </w:t>
      </w:r>
      <w:r>
        <w:t>by</w:t>
      </w:r>
      <w:r w:rsidR="00A03629">
        <w:t xml:space="preserve"> </w:t>
      </w:r>
      <w:r>
        <w:t>owners</w:t>
      </w:r>
      <w:r w:rsidR="00A03629">
        <w:t xml:space="preserve"> </w:t>
      </w:r>
      <w:r>
        <w:t>(that</w:t>
      </w:r>
      <w:r w:rsidR="00A03629">
        <w:t xml:space="preserve"> </w:t>
      </w:r>
      <w:r>
        <w:t>is,</w:t>
      </w:r>
      <w:r w:rsidR="00A03629">
        <w:t xml:space="preserve"> </w:t>
      </w:r>
      <w:r>
        <w:t>contributed</w:t>
      </w:r>
      <w:r w:rsidR="00A03629">
        <w:t xml:space="preserve"> </w:t>
      </w:r>
      <w:r>
        <w:t>capital</w:t>
      </w:r>
      <w:r w:rsidR="00A03629">
        <w:t xml:space="preserve"> </w:t>
      </w:r>
      <w:r>
        <w:t>and</w:t>
      </w:r>
      <w:r w:rsidR="00A03629">
        <w:t xml:space="preserve"> </w:t>
      </w:r>
      <w:r>
        <w:t>its</w:t>
      </w:r>
      <w:r w:rsidR="00A03629">
        <w:t xml:space="preserve"> </w:t>
      </w:r>
      <w:r>
        <w:t>repayment)</w:t>
      </w:r>
      <w:r w:rsidR="00A03629">
        <w:t xml:space="preserve"> </w:t>
      </w:r>
      <w:r>
        <w:t>are</w:t>
      </w:r>
      <w:r w:rsidR="00A03629">
        <w:t xml:space="preserve"> </w:t>
      </w:r>
      <w:r>
        <w:t>treated</w:t>
      </w:r>
      <w:r w:rsidR="00A03629">
        <w:t xml:space="preserve"> </w:t>
      </w:r>
      <w:r>
        <w:t>as</w:t>
      </w:r>
      <w:r w:rsidR="00A03629">
        <w:t xml:space="preserve"> </w:t>
      </w:r>
      <w:r>
        <w:t>equity</w:t>
      </w:r>
      <w:r w:rsidR="00A03629">
        <w:t xml:space="preserve"> </w:t>
      </w:r>
      <w:r>
        <w:t>transactions</w:t>
      </w:r>
      <w:r w:rsidR="00A03629">
        <w:t xml:space="preserve"> </w:t>
      </w:r>
      <w:r>
        <w:t>and,</w:t>
      </w:r>
      <w:r w:rsidR="00A03629">
        <w:t xml:space="preserve"> </w:t>
      </w:r>
      <w:r>
        <w:t>therefore,</w:t>
      </w:r>
      <w:r w:rsidR="00A03629">
        <w:t xml:space="preserve"> </w:t>
      </w:r>
      <w:r>
        <w:t>do</w:t>
      </w:r>
      <w:r w:rsidR="00A03629">
        <w:t xml:space="preserve"> </w:t>
      </w:r>
      <w:r>
        <w:t>not</w:t>
      </w:r>
      <w:r w:rsidR="00A03629">
        <w:t xml:space="preserve"> </w:t>
      </w:r>
      <w:r>
        <w:t>form</w:t>
      </w:r>
      <w:r w:rsidR="00A03629">
        <w:t xml:space="preserve"> </w:t>
      </w:r>
      <w:r>
        <w:t>part</w:t>
      </w:r>
      <w:r w:rsidR="00A03629">
        <w:t xml:space="preserve"> </w:t>
      </w:r>
      <w:r>
        <w:t>of</w:t>
      </w:r>
      <w:r w:rsidR="00A03629">
        <w:t xml:space="preserve"> </w:t>
      </w:r>
      <w:r>
        <w:t>the</w:t>
      </w:r>
      <w:r w:rsidR="00A03629">
        <w:t xml:space="preserve"> </w:t>
      </w:r>
      <w:r>
        <w:t>income</w:t>
      </w:r>
      <w:r w:rsidR="00A03629">
        <w:t xml:space="preserve"> </w:t>
      </w:r>
      <w:r>
        <w:t>and</w:t>
      </w:r>
      <w:r w:rsidR="00A03629">
        <w:t xml:space="preserve"> </w:t>
      </w:r>
      <w:r>
        <w:t>expenses</w:t>
      </w:r>
      <w:r w:rsidR="00A03629">
        <w:t xml:space="preserve"> </w:t>
      </w:r>
      <w:r>
        <w:t>of</w:t>
      </w:r>
      <w:r w:rsidR="00A03629">
        <w:t xml:space="preserve"> </w:t>
      </w:r>
      <w:r>
        <w:t>DJSIR.</w:t>
      </w:r>
    </w:p>
    <w:p w14:paraId="06E89CDD" w14:textId="22AC20F4" w:rsidR="000756EB" w:rsidRDefault="004A4D88" w:rsidP="00CD60DF">
      <w:r>
        <w:t>Additions</w:t>
      </w:r>
      <w:r w:rsidR="00A03629">
        <w:t xml:space="preserve"> </w:t>
      </w:r>
      <w:r>
        <w:t>to</w:t>
      </w:r>
      <w:r w:rsidR="00A03629">
        <w:t xml:space="preserve"> </w:t>
      </w:r>
      <w:r>
        <w:t>net</w:t>
      </w:r>
      <w:r w:rsidR="00A03629">
        <w:t xml:space="preserve"> </w:t>
      </w:r>
      <w:r>
        <w:t>assets</w:t>
      </w:r>
      <w:r w:rsidR="00A03629">
        <w:t xml:space="preserve"> </w:t>
      </w:r>
      <w:r>
        <w:t>which</w:t>
      </w:r>
      <w:r w:rsidR="00A03629">
        <w:t xml:space="preserve"> </w:t>
      </w:r>
      <w:r>
        <w:t>have</w:t>
      </w:r>
      <w:r w:rsidR="00A03629">
        <w:t xml:space="preserve"> </w:t>
      </w:r>
      <w:r>
        <w:t>been</w:t>
      </w:r>
      <w:r w:rsidR="00A03629">
        <w:t xml:space="preserve"> </w:t>
      </w:r>
      <w:r>
        <w:t>designated</w:t>
      </w:r>
      <w:r w:rsidR="00A03629">
        <w:rPr>
          <w:rFonts w:ascii="Cambria" w:hAnsi="Cambria" w:cs="Cambria"/>
        </w:rPr>
        <w:t xml:space="preserve"> </w:t>
      </w:r>
      <w:r>
        <w:t>as</w:t>
      </w:r>
      <w:r w:rsidR="00A03629">
        <w:t xml:space="preserve"> </w:t>
      </w:r>
      <w:r>
        <w:t>contributions</w:t>
      </w:r>
      <w:r w:rsidR="00A03629">
        <w:t xml:space="preserve"> </w:t>
      </w:r>
      <w:r>
        <w:t>by</w:t>
      </w:r>
      <w:r w:rsidR="00A03629">
        <w:t xml:space="preserve"> </w:t>
      </w:r>
      <w:r>
        <w:t>owners</w:t>
      </w:r>
      <w:r w:rsidR="00A03629">
        <w:t xml:space="preserve"> </w:t>
      </w:r>
      <w:r>
        <w:t>are</w:t>
      </w:r>
      <w:r w:rsidR="00A03629">
        <w:t xml:space="preserve"> </w:t>
      </w:r>
      <w:r>
        <w:t>recognised</w:t>
      </w:r>
      <w:r w:rsidR="00A03629">
        <w:t xml:space="preserve"> </w:t>
      </w:r>
      <w:r>
        <w:t>as</w:t>
      </w:r>
      <w:r w:rsidR="00A03629">
        <w:t xml:space="preserve"> </w:t>
      </w:r>
      <w:r>
        <w:t>contributed</w:t>
      </w:r>
      <w:r w:rsidR="00A03629">
        <w:t xml:space="preserve"> </w:t>
      </w:r>
      <w:r>
        <w:t>capital.</w:t>
      </w:r>
      <w:r w:rsidR="00A03629">
        <w:t xml:space="preserve"> </w:t>
      </w:r>
      <w:r>
        <w:t>Other</w:t>
      </w:r>
      <w:r w:rsidR="00A03629">
        <w:t xml:space="preserve"> </w:t>
      </w:r>
      <w:r>
        <w:t>transfers</w:t>
      </w:r>
      <w:r w:rsidR="00A03629">
        <w:rPr>
          <w:rFonts w:ascii="Cambria" w:hAnsi="Cambria" w:cs="Cambria"/>
        </w:rPr>
        <w:t xml:space="preserve"> </w:t>
      </w:r>
      <w:r>
        <w:t>that</w:t>
      </w:r>
      <w:r w:rsidR="00A03629">
        <w:t xml:space="preserve"> </w:t>
      </w:r>
      <w:r>
        <w:t>are</w:t>
      </w:r>
      <w:r w:rsidR="00A03629">
        <w:t xml:space="preserve"> </w:t>
      </w:r>
      <w:proofErr w:type="gramStart"/>
      <w:r>
        <w:t>in</w:t>
      </w:r>
      <w:r w:rsidR="00A03629">
        <w:t xml:space="preserve"> </w:t>
      </w:r>
      <w:r>
        <w:t>the</w:t>
      </w:r>
      <w:r w:rsidR="00A03629">
        <w:t xml:space="preserve"> </w:t>
      </w:r>
      <w:r>
        <w:t>nature</w:t>
      </w:r>
      <w:r w:rsidR="00A03629">
        <w:t xml:space="preserve"> </w:t>
      </w:r>
      <w:r>
        <w:t>of</w:t>
      </w:r>
      <w:r w:rsidR="00A03629">
        <w:t xml:space="preserve"> </w:t>
      </w:r>
      <w:r>
        <w:t>contributions</w:t>
      </w:r>
      <w:proofErr w:type="gramEnd"/>
      <w:r w:rsidR="00A03629">
        <w:t xml:space="preserve"> </w:t>
      </w:r>
      <w:r>
        <w:t>to</w:t>
      </w:r>
      <w:r w:rsidR="00A03629">
        <w:t xml:space="preserve"> </w:t>
      </w:r>
      <w:r>
        <w:t>or</w:t>
      </w:r>
      <w:r w:rsidR="00A03629">
        <w:rPr>
          <w:rFonts w:ascii="Cambria" w:hAnsi="Cambria" w:cs="Cambria"/>
        </w:rPr>
        <w:t xml:space="preserve"> </w:t>
      </w:r>
      <w:r>
        <w:t>distributions</w:t>
      </w:r>
      <w:r w:rsidR="00A03629">
        <w:t xml:space="preserve"> </w:t>
      </w:r>
      <w:r>
        <w:t>by</w:t>
      </w:r>
      <w:r w:rsidR="00A03629">
        <w:t xml:space="preserve"> </w:t>
      </w:r>
      <w:r>
        <w:t>owners</w:t>
      </w:r>
      <w:r w:rsidR="00A03629">
        <w:t xml:space="preserve"> </w:t>
      </w:r>
      <w:r>
        <w:t>have</w:t>
      </w:r>
      <w:r w:rsidR="00A03629">
        <w:t xml:space="preserve"> </w:t>
      </w:r>
      <w:r>
        <w:t>also</w:t>
      </w:r>
      <w:r w:rsidR="00A03629">
        <w:t xml:space="preserve"> </w:t>
      </w:r>
      <w:r>
        <w:t>been</w:t>
      </w:r>
      <w:r w:rsidR="00A03629">
        <w:t xml:space="preserve"> </w:t>
      </w:r>
      <w:r>
        <w:t>designated</w:t>
      </w:r>
      <w:r w:rsidR="00A03629">
        <w:t xml:space="preserve"> </w:t>
      </w:r>
      <w:r>
        <w:t>as</w:t>
      </w:r>
      <w:r w:rsidR="00A03629">
        <w:t xml:space="preserve"> </w:t>
      </w:r>
      <w:r>
        <w:t>contributions</w:t>
      </w:r>
      <w:r w:rsidR="00A03629">
        <w:t xml:space="preserve"> </w:t>
      </w:r>
      <w:r>
        <w:t>by</w:t>
      </w:r>
      <w:r w:rsidR="00A03629">
        <w:t xml:space="preserve"> </w:t>
      </w:r>
      <w:r>
        <w:t>owners.</w:t>
      </w:r>
    </w:p>
    <w:p w14:paraId="24D6772B" w14:textId="04FF2DBE" w:rsidR="000756EB" w:rsidRDefault="004A4D88" w:rsidP="00CD60DF">
      <w:r>
        <w:t>Transfers</w:t>
      </w:r>
      <w:r w:rsidR="00A03629">
        <w:t xml:space="preserve"> </w:t>
      </w:r>
      <w:r>
        <w:t>of</w:t>
      </w:r>
      <w:r w:rsidR="00A03629">
        <w:t xml:space="preserve"> </w:t>
      </w:r>
      <w:r>
        <w:t>net</w:t>
      </w:r>
      <w:r w:rsidR="00A03629">
        <w:t xml:space="preserve"> </w:t>
      </w:r>
      <w:r>
        <w:t>assets</w:t>
      </w:r>
      <w:r w:rsidR="00A03629">
        <w:t xml:space="preserve"> </w:t>
      </w:r>
      <w:r>
        <w:t>arising</w:t>
      </w:r>
      <w:r w:rsidR="00A03629">
        <w:t xml:space="preserve"> </w:t>
      </w:r>
      <w:r>
        <w:t>from</w:t>
      </w:r>
      <w:r w:rsidR="00A03629">
        <w:t xml:space="preserve"> </w:t>
      </w:r>
      <w:r>
        <w:t>administrative</w:t>
      </w:r>
      <w:r w:rsidR="00A03629">
        <w:t xml:space="preserve"> </w:t>
      </w:r>
      <w:r>
        <w:t>restructures</w:t>
      </w:r>
      <w:r w:rsidR="00A03629">
        <w:t xml:space="preserve"> </w:t>
      </w:r>
      <w:r>
        <w:t>are</w:t>
      </w:r>
      <w:r w:rsidR="00A03629">
        <w:t xml:space="preserve"> </w:t>
      </w:r>
      <w:r>
        <w:t>treated</w:t>
      </w:r>
      <w:r w:rsidR="00A03629">
        <w:t xml:space="preserve"> </w:t>
      </w:r>
      <w:r>
        <w:t>as</w:t>
      </w:r>
      <w:r w:rsidR="00A03629">
        <w:t xml:space="preserve"> </w:t>
      </w:r>
      <w:r>
        <w:t>distributions</w:t>
      </w:r>
      <w:r w:rsidR="00A03629">
        <w:t xml:space="preserve"> </w:t>
      </w:r>
      <w:r>
        <w:t>to</w:t>
      </w:r>
      <w:r w:rsidR="00A03629">
        <w:t xml:space="preserve"> </w:t>
      </w:r>
      <w:r>
        <w:t>or</w:t>
      </w:r>
      <w:r w:rsidR="00A03629">
        <w:t xml:space="preserve"> </w:t>
      </w:r>
      <w:r>
        <w:t>contributions</w:t>
      </w:r>
      <w:r w:rsidR="00A03629">
        <w:t xml:space="preserve"> </w:t>
      </w:r>
      <w:r>
        <w:t>by</w:t>
      </w:r>
      <w:r w:rsidR="00A03629">
        <w:t xml:space="preserve"> </w:t>
      </w:r>
      <w:r>
        <w:t>owners.</w:t>
      </w:r>
      <w:r w:rsidR="00A03629">
        <w:t xml:space="preserve"> </w:t>
      </w:r>
      <w:r>
        <w:t>Transfers</w:t>
      </w:r>
      <w:r w:rsidR="00A03629">
        <w:t xml:space="preserve"> </w:t>
      </w:r>
      <w:r>
        <w:t>of</w:t>
      </w:r>
      <w:r w:rsidR="00A03629">
        <w:t xml:space="preserve"> </w:t>
      </w:r>
      <w:r>
        <w:t>net</w:t>
      </w:r>
      <w:r w:rsidR="00A03629">
        <w:t xml:space="preserve"> </w:t>
      </w:r>
      <w:r>
        <w:t>liabilities</w:t>
      </w:r>
      <w:r w:rsidR="00A03629">
        <w:t xml:space="preserve"> </w:t>
      </w:r>
      <w:r>
        <w:t>arising</w:t>
      </w:r>
      <w:r w:rsidR="00A03629">
        <w:t xml:space="preserve"> </w:t>
      </w:r>
      <w:r>
        <w:t>from</w:t>
      </w:r>
      <w:r w:rsidR="00A03629">
        <w:t xml:space="preserve"> </w:t>
      </w:r>
      <w:r>
        <w:t>administrative</w:t>
      </w:r>
      <w:r w:rsidR="00A03629">
        <w:t xml:space="preserve"> </w:t>
      </w:r>
      <w:r>
        <w:t>restructures</w:t>
      </w:r>
      <w:r w:rsidR="00A03629">
        <w:t xml:space="preserve"> </w:t>
      </w:r>
      <w:r>
        <w:t>are</w:t>
      </w:r>
      <w:r w:rsidR="00A03629">
        <w:t xml:space="preserve"> </w:t>
      </w:r>
      <w:r>
        <w:t>treated</w:t>
      </w:r>
      <w:r w:rsidR="00A03629">
        <w:t xml:space="preserve"> </w:t>
      </w:r>
      <w:r>
        <w:t>as</w:t>
      </w:r>
      <w:r w:rsidR="00A03629">
        <w:t xml:space="preserve"> </w:t>
      </w:r>
      <w:r>
        <w:t>distributions</w:t>
      </w:r>
      <w:r w:rsidR="00A03629">
        <w:t xml:space="preserve"> </w:t>
      </w:r>
      <w:r>
        <w:t>to</w:t>
      </w:r>
      <w:r w:rsidR="00A03629">
        <w:t xml:space="preserve"> </w:t>
      </w:r>
      <w:r>
        <w:t>owners.</w:t>
      </w:r>
    </w:p>
    <w:p w14:paraId="52A67EE4" w14:textId="456FD0BA" w:rsidR="000756EB" w:rsidRDefault="004A4D88" w:rsidP="00CD60DF">
      <w:r>
        <w:t>Judgements,</w:t>
      </w:r>
      <w:r w:rsidR="00A03629">
        <w:t xml:space="preserve"> </w:t>
      </w:r>
      <w:proofErr w:type="gramStart"/>
      <w:r>
        <w:t>estimates</w:t>
      </w:r>
      <w:proofErr w:type="gramEnd"/>
      <w:r w:rsidR="00A03629">
        <w:t xml:space="preserve"> </w:t>
      </w:r>
      <w:r>
        <w:t>and</w:t>
      </w:r>
      <w:r w:rsidR="00A03629">
        <w:t xml:space="preserve"> </w:t>
      </w:r>
      <w:r>
        <w:t>assumptions</w:t>
      </w:r>
      <w:r w:rsidR="00A03629">
        <w:t xml:space="preserve"> </w:t>
      </w:r>
      <w:r>
        <w:t>are</w:t>
      </w:r>
      <w:r w:rsidR="00A03629">
        <w:t xml:space="preserve"> </w:t>
      </w:r>
      <w:r>
        <w:t>required</w:t>
      </w:r>
      <w:r w:rsidR="00A03629">
        <w:t xml:space="preserve"> </w:t>
      </w:r>
      <w:r>
        <w:t>to</w:t>
      </w:r>
      <w:r w:rsidR="00A03629">
        <w:t xml:space="preserve"> </w:t>
      </w:r>
      <w:r>
        <w:t>be</w:t>
      </w:r>
      <w:r w:rsidR="00A03629">
        <w:t xml:space="preserve"> </w:t>
      </w:r>
      <w:r>
        <w:t>made</w:t>
      </w:r>
      <w:r w:rsidR="00A03629">
        <w:t xml:space="preserve"> </w:t>
      </w:r>
      <w:r>
        <w:t>about</w:t>
      </w:r>
      <w:r w:rsidR="00A03629">
        <w:t xml:space="preserve"> </w:t>
      </w:r>
      <w:r>
        <w:t>financial</w:t>
      </w:r>
      <w:r w:rsidR="00A03629">
        <w:t xml:space="preserve"> </w:t>
      </w:r>
      <w:r>
        <w:t>information</w:t>
      </w:r>
      <w:r w:rsidR="00A03629">
        <w:t xml:space="preserve"> </w:t>
      </w:r>
      <w:r>
        <w:t>being</w:t>
      </w:r>
      <w:r w:rsidR="00A03629">
        <w:t xml:space="preserve"> </w:t>
      </w:r>
      <w:r>
        <w:t>presented.</w:t>
      </w:r>
      <w:r w:rsidR="00A03629">
        <w:t xml:space="preserve"> </w:t>
      </w:r>
      <w:r>
        <w:t>The</w:t>
      </w:r>
      <w:r w:rsidR="00A03629">
        <w:t xml:space="preserve"> </w:t>
      </w:r>
      <w:r>
        <w:t>significant</w:t>
      </w:r>
      <w:r w:rsidR="00A03629">
        <w:t xml:space="preserve"> </w:t>
      </w:r>
      <w:r>
        <w:t>judgements</w:t>
      </w:r>
      <w:r w:rsidR="00A03629">
        <w:t xml:space="preserve"> </w:t>
      </w:r>
      <w:r>
        <w:t>made</w:t>
      </w:r>
      <w:r w:rsidR="00A03629">
        <w:t xml:space="preserve"> </w:t>
      </w:r>
      <w:r>
        <w:t>in</w:t>
      </w:r>
      <w:r w:rsidR="00A03629">
        <w:t xml:space="preserve"> </w:t>
      </w:r>
      <w:r>
        <w:t>the</w:t>
      </w:r>
      <w:r w:rsidR="00A03629">
        <w:t xml:space="preserve"> </w:t>
      </w:r>
      <w:r>
        <w:t>preparation</w:t>
      </w:r>
      <w:r w:rsidR="00A03629">
        <w:t xml:space="preserve"> </w:t>
      </w:r>
      <w:r>
        <w:t>of</w:t>
      </w:r>
      <w:r w:rsidR="00A03629">
        <w:t xml:space="preserve"> </w:t>
      </w:r>
      <w:r>
        <w:t>these</w:t>
      </w:r>
      <w:r w:rsidR="00A03629">
        <w:t xml:space="preserve"> </w:t>
      </w:r>
      <w:r>
        <w:t>financial</w:t>
      </w:r>
      <w:r w:rsidR="00A03629">
        <w:t xml:space="preserve"> </w:t>
      </w:r>
      <w:r>
        <w:t>statements</w:t>
      </w:r>
      <w:r w:rsidR="00A03629">
        <w:t xml:space="preserve"> </w:t>
      </w:r>
      <w:r>
        <w:t>are</w:t>
      </w:r>
      <w:r w:rsidR="00A03629">
        <w:t xml:space="preserve"> </w:t>
      </w:r>
      <w:r>
        <w:t>disclosed</w:t>
      </w:r>
      <w:r w:rsidR="00A03629">
        <w:t xml:space="preserve"> </w:t>
      </w:r>
      <w:r>
        <w:t>in</w:t>
      </w:r>
      <w:r w:rsidR="00A03629">
        <w:t xml:space="preserve"> </w:t>
      </w:r>
      <w:r>
        <w:t>the</w:t>
      </w:r>
      <w:r w:rsidR="00A03629">
        <w:t xml:space="preserve"> </w:t>
      </w:r>
      <w:r>
        <w:t>notes</w:t>
      </w:r>
      <w:r w:rsidR="00A03629">
        <w:t xml:space="preserve"> </w:t>
      </w:r>
      <w:r>
        <w:t>where</w:t>
      </w:r>
      <w:r w:rsidR="00A03629">
        <w:t xml:space="preserve"> </w:t>
      </w:r>
      <w:r>
        <w:t>amounts</w:t>
      </w:r>
      <w:r w:rsidR="00A03629">
        <w:t xml:space="preserve"> </w:t>
      </w:r>
      <w:r>
        <w:t>affected</w:t>
      </w:r>
      <w:r w:rsidR="00A03629">
        <w:t xml:space="preserve"> </w:t>
      </w:r>
      <w:r>
        <w:t>by</w:t>
      </w:r>
      <w:r w:rsidR="00A03629">
        <w:t xml:space="preserve"> </w:t>
      </w:r>
      <w:r>
        <w:t>those</w:t>
      </w:r>
      <w:r w:rsidR="00A03629">
        <w:t xml:space="preserve"> </w:t>
      </w:r>
      <w:r>
        <w:t>judgements</w:t>
      </w:r>
      <w:r w:rsidR="00A03629">
        <w:t xml:space="preserve"> </w:t>
      </w:r>
      <w:r>
        <w:t>are</w:t>
      </w:r>
      <w:r w:rsidR="00A03629">
        <w:t xml:space="preserve"> </w:t>
      </w:r>
      <w:r>
        <w:t>disclosed.</w:t>
      </w:r>
      <w:r w:rsidR="00A03629">
        <w:t xml:space="preserve"> </w:t>
      </w:r>
      <w:r>
        <w:t>Estimates</w:t>
      </w:r>
      <w:r w:rsidR="00A03629">
        <w:t xml:space="preserve"> </w:t>
      </w:r>
      <w:r>
        <w:t>and</w:t>
      </w:r>
      <w:r w:rsidR="00A03629">
        <w:t xml:space="preserve"> </w:t>
      </w:r>
      <w:r>
        <w:t>associated</w:t>
      </w:r>
      <w:r w:rsidR="00A03629">
        <w:t xml:space="preserve"> </w:t>
      </w:r>
      <w:r>
        <w:t>assumptions</w:t>
      </w:r>
      <w:r w:rsidR="00A03629">
        <w:t xml:space="preserve"> </w:t>
      </w:r>
      <w:r>
        <w:t>are</w:t>
      </w:r>
      <w:r w:rsidR="00A03629">
        <w:t xml:space="preserve"> </w:t>
      </w:r>
      <w:r>
        <w:t>based</w:t>
      </w:r>
      <w:r w:rsidR="00A03629">
        <w:t xml:space="preserve"> </w:t>
      </w:r>
      <w:r>
        <w:t>on</w:t>
      </w:r>
      <w:r w:rsidR="00A03629">
        <w:t xml:space="preserve"> </w:t>
      </w:r>
      <w:r>
        <w:t>professional</w:t>
      </w:r>
      <w:r w:rsidR="00A03629">
        <w:t xml:space="preserve"> </w:t>
      </w:r>
      <w:r>
        <w:t>judgements</w:t>
      </w:r>
      <w:r w:rsidR="00A03629">
        <w:t xml:space="preserve"> </w:t>
      </w:r>
      <w:r>
        <w:t>derived</w:t>
      </w:r>
      <w:r w:rsidR="00A03629">
        <w:t xml:space="preserve"> </w:t>
      </w:r>
      <w:r>
        <w:t>from</w:t>
      </w:r>
      <w:r w:rsidR="00A03629">
        <w:t xml:space="preserve"> </w:t>
      </w:r>
      <w:r>
        <w:t>historical</w:t>
      </w:r>
      <w:r w:rsidR="00A03629">
        <w:t xml:space="preserve"> </w:t>
      </w:r>
      <w:r>
        <w:t>experience</w:t>
      </w:r>
      <w:r w:rsidR="00A03629">
        <w:t xml:space="preserve"> </w:t>
      </w:r>
      <w:r>
        <w:t>and</w:t>
      </w:r>
      <w:r w:rsidR="00A03629">
        <w:t xml:space="preserve"> </w:t>
      </w:r>
      <w:r>
        <w:t>various</w:t>
      </w:r>
      <w:r w:rsidR="00A03629">
        <w:t xml:space="preserve"> </w:t>
      </w:r>
      <w:r>
        <w:t>other</w:t>
      </w:r>
      <w:r w:rsidR="00A03629">
        <w:t xml:space="preserve"> </w:t>
      </w:r>
      <w:r>
        <w:t>factors</w:t>
      </w:r>
      <w:r w:rsidR="00A03629">
        <w:t xml:space="preserve"> </w:t>
      </w:r>
      <w:r>
        <w:t>that</w:t>
      </w:r>
      <w:r w:rsidR="00A03629">
        <w:t xml:space="preserve"> </w:t>
      </w:r>
      <w:r>
        <w:t>are</w:t>
      </w:r>
      <w:r w:rsidR="00A03629">
        <w:t xml:space="preserve"> </w:t>
      </w:r>
      <w:r>
        <w:t>believed</w:t>
      </w:r>
      <w:r w:rsidR="00A03629">
        <w:t xml:space="preserve"> </w:t>
      </w:r>
      <w:r>
        <w:t>to</w:t>
      </w:r>
      <w:r w:rsidR="00A03629">
        <w:t xml:space="preserve"> </w:t>
      </w:r>
      <w:r>
        <w:t>be</w:t>
      </w:r>
      <w:r w:rsidR="00A03629">
        <w:t xml:space="preserve"> </w:t>
      </w:r>
      <w:r>
        <w:t>reasonable</w:t>
      </w:r>
      <w:r w:rsidR="00A03629">
        <w:t xml:space="preserve"> </w:t>
      </w:r>
      <w:r>
        <w:t>under</w:t>
      </w:r>
      <w:r w:rsidR="00A03629">
        <w:t xml:space="preserve"> </w:t>
      </w:r>
      <w:r>
        <w:t>the</w:t>
      </w:r>
      <w:r w:rsidR="00A03629">
        <w:t xml:space="preserve"> </w:t>
      </w:r>
      <w:r>
        <w:t>circumstances.</w:t>
      </w:r>
      <w:r w:rsidR="00A03629">
        <w:t xml:space="preserve"> </w:t>
      </w:r>
      <w:r>
        <w:t>Actual</w:t>
      </w:r>
      <w:r w:rsidR="00A03629">
        <w:t xml:space="preserve"> </w:t>
      </w:r>
      <w:r>
        <w:t>results</w:t>
      </w:r>
      <w:r w:rsidR="00A03629">
        <w:rPr>
          <w:rFonts w:ascii="Cambria" w:hAnsi="Cambria" w:cs="Cambria"/>
        </w:rPr>
        <w:t xml:space="preserve"> </w:t>
      </w:r>
      <w:r>
        <w:t>may</w:t>
      </w:r>
      <w:r w:rsidR="00A03629">
        <w:t xml:space="preserve"> </w:t>
      </w:r>
      <w:r>
        <w:t>differ</w:t>
      </w:r>
      <w:r w:rsidR="00A03629">
        <w:t xml:space="preserve"> </w:t>
      </w:r>
      <w:r>
        <w:t>from</w:t>
      </w:r>
      <w:r w:rsidR="00A03629">
        <w:t xml:space="preserve"> </w:t>
      </w:r>
      <w:r>
        <w:t>these</w:t>
      </w:r>
      <w:r w:rsidR="00A03629">
        <w:t xml:space="preserve"> </w:t>
      </w:r>
      <w:r>
        <w:t>estimates.</w:t>
      </w:r>
    </w:p>
    <w:p w14:paraId="585EDB9A" w14:textId="18F7EB99" w:rsidR="000756EB" w:rsidRDefault="004A4D88" w:rsidP="00CD60DF">
      <w:r>
        <w:lastRenderedPageBreak/>
        <w:t>Revisions</w:t>
      </w:r>
      <w:r w:rsidR="00A03629">
        <w:t xml:space="preserve"> </w:t>
      </w:r>
      <w:r>
        <w:t>to</w:t>
      </w:r>
      <w:r w:rsidR="00A03629">
        <w:t xml:space="preserve"> </w:t>
      </w:r>
      <w:r>
        <w:t>accounting</w:t>
      </w:r>
      <w:r w:rsidR="00A03629">
        <w:t xml:space="preserve"> </w:t>
      </w:r>
      <w:r>
        <w:t>estimates</w:t>
      </w:r>
      <w:r w:rsidR="00A03629">
        <w:t xml:space="preserve"> </w:t>
      </w:r>
      <w:r>
        <w:t>are</w:t>
      </w:r>
      <w:r w:rsidR="00A03629">
        <w:t xml:space="preserve"> </w:t>
      </w:r>
      <w:r>
        <w:t>recognised</w:t>
      </w:r>
      <w:r w:rsidR="00A03629">
        <w:t xml:space="preserve"> </w:t>
      </w:r>
      <w:r>
        <w:t>in</w:t>
      </w:r>
      <w:r w:rsidR="00A03629">
        <w:t xml:space="preserve"> </w:t>
      </w:r>
      <w:r>
        <w:t>the</w:t>
      </w:r>
      <w:r w:rsidR="00A03629">
        <w:t xml:space="preserve"> </w:t>
      </w:r>
      <w:r>
        <w:t>period</w:t>
      </w:r>
      <w:r w:rsidR="00A03629">
        <w:t xml:space="preserve"> </w:t>
      </w:r>
      <w:r>
        <w:t>in</w:t>
      </w:r>
      <w:r w:rsidR="00A03629">
        <w:t xml:space="preserve"> </w:t>
      </w:r>
      <w:r>
        <w:t>which</w:t>
      </w:r>
      <w:r w:rsidR="00A03629">
        <w:t xml:space="preserve"> </w:t>
      </w:r>
      <w:r>
        <w:t>the</w:t>
      </w:r>
      <w:r w:rsidR="00A03629">
        <w:t xml:space="preserve"> </w:t>
      </w:r>
      <w:r>
        <w:t>estimate</w:t>
      </w:r>
      <w:r w:rsidR="00A03629">
        <w:t xml:space="preserve"> </w:t>
      </w:r>
      <w:r>
        <w:t>is</w:t>
      </w:r>
      <w:r w:rsidR="00A03629">
        <w:t xml:space="preserve"> </w:t>
      </w:r>
      <w:r>
        <w:t>revised</w:t>
      </w:r>
      <w:r w:rsidR="00A03629">
        <w:t xml:space="preserve"> </w:t>
      </w:r>
      <w:proofErr w:type="gramStart"/>
      <w:r>
        <w:t>and</w:t>
      </w:r>
      <w:r w:rsidR="00A03629">
        <w:t xml:space="preserve"> </w:t>
      </w:r>
      <w:r>
        <w:t>also</w:t>
      </w:r>
      <w:proofErr w:type="gramEnd"/>
      <w:r w:rsidR="00A03629">
        <w:t xml:space="preserve"> </w:t>
      </w:r>
      <w:r>
        <w:t>in</w:t>
      </w:r>
      <w:r w:rsidR="00A03629">
        <w:t xml:space="preserve"> </w:t>
      </w:r>
      <w:r>
        <w:t>future</w:t>
      </w:r>
      <w:r w:rsidR="00A03629">
        <w:t xml:space="preserve"> </w:t>
      </w:r>
      <w:r>
        <w:t>periods</w:t>
      </w:r>
      <w:r w:rsidR="00A03629">
        <w:t xml:space="preserve"> </w:t>
      </w:r>
      <w:r>
        <w:t>that</w:t>
      </w:r>
      <w:r w:rsidR="00A03629">
        <w:t xml:space="preserve"> </w:t>
      </w:r>
      <w:r>
        <w:t>are</w:t>
      </w:r>
      <w:r w:rsidR="00A03629">
        <w:t xml:space="preserve"> </w:t>
      </w:r>
      <w:r>
        <w:t>affected</w:t>
      </w:r>
      <w:r w:rsidR="00A03629">
        <w:t xml:space="preserve"> </w:t>
      </w:r>
      <w:r>
        <w:t>by</w:t>
      </w:r>
      <w:r w:rsidR="00A03629">
        <w:t xml:space="preserve"> </w:t>
      </w:r>
      <w:r>
        <w:t>the</w:t>
      </w:r>
      <w:r w:rsidR="00A03629">
        <w:t xml:space="preserve"> </w:t>
      </w:r>
      <w:r>
        <w:t>revision.</w:t>
      </w:r>
      <w:r w:rsidR="00A03629">
        <w:t xml:space="preserve"> </w:t>
      </w:r>
      <w:r>
        <w:t>Judgements</w:t>
      </w:r>
      <w:r w:rsidR="00A03629">
        <w:t xml:space="preserve"> </w:t>
      </w:r>
      <w:r>
        <w:t>and</w:t>
      </w:r>
      <w:r w:rsidR="00A03629">
        <w:t xml:space="preserve"> </w:t>
      </w:r>
      <w:r>
        <w:t>assumptions</w:t>
      </w:r>
      <w:r w:rsidR="00A03629">
        <w:t xml:space="preserve"> </w:t>
      </w:r>
      <w:r>
        <w:t>made</w:t>
      </w:r>
      <w:r w:rsidR="00A03629">
        <w:t xml:space="preserve"> </w:t>
      </w:r>
      <w:r>
        <w:t>by</w:t>
      </w:r>
      <w:r w:rsidR="00A03629">
        <w:t xml:space="preserve"> </w:t>
      </w:r>
      <w:r>
        <w:t>management</w:t>
      </w:r>
      <w:r w:rsidR="00A03629">
        <w:t xml:space="preserve"> </w:t>
      </w:r>
      <w:r>
        <w:t>in</w:t>
      </w:r>
      <w:r w:rsidR="00A03629">
        <w:t xml:space="preserve"> </w:t>
      </w:r>
      <w:r>
        <w:t>applying</w:t>
      </w:r>
      <w:r w:rsidR="00A03629">
        <w:t xml:space="preserve"> </w:t>
      </w:r>
      <w:r>
        <w:t>Australian</w:t>
      </w:r>
      <w:r w:rsidR="00A03629">
        <w:t xml:space="preserve"> </w:t>
      </w:r>
      <w:r>
        <w:t>Accounting</w:t>
      </w:r>
      <w:r w:rsidR="00A03629">
        <w:t xml:space="preserve"> </w:t>
      </w:r>
      <w:r>
        <w:t>Standards</w:t>
      </w:r>
      <w:r w:rsidR="00A03629">
        <w:t xml:space="preserve"> </w:t>
      </w:r>
      <w:r>
        <w:t>(AAS)</w:t>
      </w:r>
      <w:r w:rsidR="00A03629">
        <w:t xml:space="preserve"> </w:t>
      </w:r>
      <w:r>
        <w:t>that</w:t>
      </w:r>
      <w:r w:rsidR="00A03629">
        <w:t xml:space="preserve"> </w:t>
      </w:r>
      <w:r>
        <w:t>have</w:t>
      </w:r>
      <w:r w:rsidR="00A03629">
        <w:t xml:space="preserve"> </w:t>
      </w:r>
      <w:r>
        <w:t>significant</w:t>
      </w:r>
      <w:r w:rsidR="00A03629">
        <w:t xml:space="preserve"> </w:t>
      </w:r>
      <w:r>
        <w:t>effects</w:t>
      </w:r>
      <w:r w:rsidR="00A03629">
        <w:t xml:space="preserve"> </w:t>
      </w:r>
      <w:r>
        <w:t>on</w:t>
      </w:r>
      <w:r w:rsidR="00A03629">
        <w:t xml:space="preserve"> </w:t>
      </w:r>
      <w:r>
        <w:t>the</w:t>
      </w:r>
      <w:r w:rsidR="00A03629">
        <w:t xml:space="preserve"> </w:t>
      </w:r>
      <w:r>
        <w:t>financial</w:t>
      </w:r>
      <w:r w:rsidR="00A03629">
        <w:t xml:space="preserve"> </w:t>
      </w:r>
      <w:r>
        <w:t>statements</w:t>
      </w:r>
      <w:r w:rsidR="00A03629">
        <w:t xml:space="preserve"> </w:t>
      </w:r>
      <w:r>
        <w:t>and</w:t>
      </w:r>
      <w:r w:rsidR="00A03629">
        <w:t xml:space="preserve"> </w:t>
      </w:r>
      <w:r>
        <w:t>estimates</w:t>
      </w:r>
      <w:r w:rsidR="00A03629">
        <w:t xml:space="preserve"> </w:t>
      </w:r>
      <w:r>
        <w:t>are</w:t>
      </w:r>
      <w:r w:rsidR="00A03629">
        <w:t xml:space="preserve"> </w:t>
      </w:r>
      <w:r>
        <w:t>disclosed</w:t>
      </w:r>
      <w:r w:rsidR="00A03629">
        <w:t xml:space="preserve"> </w:t>
      </w:r>
      <w:r>
        <w:t>in</w:t>
      </w:r>
      <w:r w:rsidR="00A03629">
        <w:t xml:space="preserve"> </w:t>
      </w:r>
      <w:r>
        <w:t>the</w:t>
      </w:r>
      <w:r w:rsidR="00A03629">
        <w:t xml:space="preserve"> </w:t>
      </w:r>
      <w:r>
        <w:t>notes</w:t>
      </w:r>
      <w:r w:rsidR="00A03629">
        <w:t xml:space="preserve"> </w:t>
      </w:r>
      <w:r>
        <w:t>under</w:t>
      </w:r>
      <w:r w:rsidR="00A03629">
        <w:t xml:space="preserve"> </w:t>
      </w:r>
      <w:r>
        <w:t>the</w:t>
      </w:r>
      <w:r w:rsidR="00A03629">
        <w:t xml:space="preserve"> </w:t>
      </w:r>
      <w:r>
        <w:t>heading:</w:t>
      </w:r>
      <w:r w:rsidR="00A03629">
        <w:t xml:space="preserve"> </w:t>
      </w:r>
      <w:r>
        <w:t>‘Significant</w:t>
      </w:r>
      <w:r w:rsidR="00A03629">
        <w:rPr>
          <w:rFonts w:ascii="Cambria" w:hAnsi="Cambria" w:cs="Cambria"/>
        </w:rPr>
        <w:t xml:space="preserve"> </w:t>
      </w:r>
      <w:r>
        <w:t>judgements</w:t>
      </w:r>
      <w:r w:rsidR="00A03629">
        <w:t xml:space="preserve"> </w:t>
      </w:r>
      <w:r>
        <w:t>or</w:t>
      </w:r>
      <w:r w:rsidR="00A03629">
        <w:t xml:space="preserve"> </w:t>
      </w:r>
      <w:proofErr w:type="gramStart"/>
      <w:r>
        <w:t>estimates’</w:t>
      </w:r>
      <w:proofErr w:type="gramEnd"/>
      <w:r>
        <w:t>.</w:t>
      </w:r>
    </w:p>
    <w:p w14:paraId="4A1B7691" w14:textId="51FCA3BD" w:rsidR="000756EB" w:rsidRDefault="004A4D88" w:rsidP="00CD60DF">
      <w:r>
        <w:t>These</w:t>
      </w:r>
      <w:r w:rsidR="00A03629">
        <w:t xml:space="preserve"> </w:t>
      </w:r>
      <w:r>
        <w:t>financial</w:t>
      </w:r>
      <w:r w:rsidR="00A03629">
        <w:t xml:space="preserve"> </w:t>
      </w:r>
      <w:r>
        <w:t>statements</w:t>
      </w:r>
      <w:r w:rsidR="00A03629">
        <w:t xml:space="preserve"> </w:t>
      </w:r>
      <w:r>
        <w:t>cover</w:t>
      </w:r>
      <w:r w:rsidR="00A03629">
        <w:t xml:space="preserve"> </w:t>
      </w:r>
      <w:r>
        <w:t>DJSIR</w:t>
      </w:r>
      <w:r w:rsidR="00A03629">
        <w:t xml:space="preserve"> </w:t>
      </w:r>
      <w:r>
        <w:t>as</w:t>
      </w:r>
      <w:r w:rsidR="00A03629">
        <w:t xml:space="preserve"> </w:t>
      </w:r>
      <w:r>
        <w:t>an</w:t>
      </w:r>
      <w:r w:rsidR="00A03629">
        <w:t xml:space="preserve"> </w:t>
      </w:r>
      <w:r>
        <w:t>individual</w:t>
      </w:r>
      <w:r w:rsidR="00A03629">
        <w:t xml:space="preserve"> </w:t>
      </w:r>
      <w:r>
        <w:t>reporting</w:t>
      </w:r>
      <w:r w:rsidR="00A03629">
        <w:t xml:space="preserve"> </w:t>
      </w:r>
      <w:r>
        <w:t>entity</w:t>
      </w:r>
      <w:r w:rsidR="00A03629">
        <w:t xml:space="preserve"> </w:t>
      </w:r>
      <w:r>
        <w:t>including</w:t>
      </w:r>
      <w:r w:rsidR="00A03629">
        <w:t xml:space="preserve"> </w:t>
      </w:r>
      <w:r>
        <w:t>the</w:t>
      </w:r>
      <w:r w:rsidR="00A03629">
        <w:t xml:space="preserve"> </w:t>
      </w:r>
      <w:r>
        <w:t>functions</w:t>
      </w:r>
      <w:r w:rsidR="00A03629">
        <w:t xml:space="preserve"> </w:t>
      </w:r>
      <w:r>
        <w:t>that</w:t>
      </w:r>
      <w:r w:rsidR="00A03629">
        <w:t xml:space="preserve"> </w:t>
      </w:r>
      <w:r>
        <w:t>were</w:t>
      </w:r>
      <w:r w:rsidR="00A03629">
        <w:t xml:space="preserve"> </w:t>
      </w:r>
      <w:r>
        <w:t>transferred</w:t>
      </w:r>
      <w:r w:rsidR="00A03629">
        <w:t xml:space="preserve"> </w:t>
      </w:r>
      <w:r>
        <w:t>in</w:t>
      </w:r>
      <w:r w:rsidR="00A03629">
        <w:t xml:space="preserve"> </w:t>
      </w:r>
      <w:r>
        <w:t>and</w:t>
      </w:r>
      <w:r w:rsidR="00A03629">
        <w:t xml:space="preserve"> </w:t>
      </w:r>
      <w:r>
        <w:t>out</w:t>
      </w:r>
      <w:r w:rsidR="00A03629">
        <w:t xml:space="preserve"> </w:t>
      </w:r>
      <w:proofErr w:type="gramStart"/>
      <w:r>
        <w:t>as</w:t>
      </w:r>
      <w:r w:rsidR="00A03629">
        <w:t xml:space="preserve"> </w:t>
      </w:r>
      <w:r>
        <w:t>a</w:t>
      </w:r>
      <w:r w:rsidR="00A03629">
        <w:t xml:space="preserve"> </w:t>
      </w:r>
      <w:r>
        <w:t>result</w:t>
      </w:r>
      <w:r w:rsidR="00A03629">
        <w:t xml:space="preserve"> </w:t>
      </w:r>
      <w:r>
        <w:t>of</w:t>
      </w:r>
      <w:proofErr w:type="gramEnd"/>
      <w:r w:rsidR="00A03629">
        <w:t xml:space="preserve"> </w:t>
      </w:r>
      <w:r>
        <w:t>the</w:t>
      </w:r>
      <w:r w:rsidR="00A03629">
        <w:t xml:space="preserve"> </w:t>
      </w:r>
      <w:r>
        <w:t>machinery</w:t>
      </w:r>
      <w:r w:rsidR="00A03629">
        <w:t xml:space="preserve"> </w:t>
      </w:r>
      <w:r>
        <w:t>of</w:t>
      </w:r>
      <w:r w:rsidR="00A03629">
        <w:t xml:space="preserve"> </w:t>
      </w:r>
      <w:r>
        <w:t>government</w:t>
      </w:r>
      <w:r w:rsidR="00A03629">
        <w:t xml:space="preserve"> </w:t>
      </w:r>
      <w:r>
        <w:t>changes</w:t>
      </w:r>
      <w:r w:rsidR="00A03629">
        <w:t xml:space="preserve"> </w:t>
      </w:r>
      <w:r>
        <w:t>detailed</w:t>
      </w:r>
      <w:r w:rsidR="00A03629">
        <w:t xml:space="preserve"> </w:t>
      </w:r>
      <w:r>
        <w:t>in</w:t>
      </w:r>
      <w:r w:rsidR="00A03629">
        <w:t xml:space="preserve"> </w:t>
      </w:r>
      <w:r>
        <w:t>Note</w:t>
      </w:r>
      <w:r w:rsidR="00A03629">
        <w:rPr>
          <w:rFonts w:ascii="Cambria" w:hAnsi="Cambria" w:cs="Cambria"/>
        </w:rPr>
        <w:t xml:space="preserve"> </w:t>
      </w:r>
      <w:r>
        <w:t>4.3.</w:t>
      </w:r>
    </w:p>
    <w:p w14:paraId="1AA0676E" w14:textId="48D6E372" w:rsidR="000756EB" w:rsidRDefault="004A4D88" w:rsidP="00CD60DF">
      <w:pPr>
        <w:pStyle w:val="Normalbeforebullets"/>
      </w:pPr>
      <w:r>
        <w:t>The</w:t>
      </w:r>
      <w:r w:rsidR="00A03629">
        <w:t xml:space="preserve"> </w:t>
      </w:r>
      <w:r>
        <w:t>following</w:t>
      </w:r>
      <w:r w:rsidR="00A03629">
        <w:t xml:space="preserve"> </w:t>
      </w:r>
      <w:r>
        <w:t>section</w:t>
      </w:r>
      <w:r w:rsidR="00A03629">
        <w:t xml:space="preserve"> </w:t>
      </w:r>
      <w:r>
        <w:t>53(1)(b)</w:t>
      </w:r>
      <w:r w:rsidR="00A03629">
        <w:t xml:space="preserve"> </w:t>
      </w:r>
      <w:r>
        <w:t>entities</w:t>
      </w:r>
      <w:r w:rsidR="00A03629">
        <w:t xml:space="preserve"> </w:t>
      </w:r>
      <w:r>
        <w:t>have</w:t>
      </w:r>
      <w:r w:rsidR="00A03629">
        <w:t xml:space="preserve"> </w:t>
      </w:r>
      <w:r>
        <w:t>been</w:t>
      </w:r>
      <w:r w:rsidR="00A03629">
        <w:t xml:space="preserve"> </w:t>
      </w:r>
      <w:r>
        <w:t>transferred</w:t>
      </w:r>
      <w:r w:rsidR="00A03629">
        <w:t xml:space="preserve"> </w:t>
      </w:r>
      <w:r>
        <w:t>out</w:t>
      </w:r>
      <w:r w:rsidR="00A03629">
        <w:t xml:space="preserve"> </w:t>
      </w:r>
      <w:proofErr w:type="gramStart"/>
      <w:r>
        <w:t>as</w:t>
      </w:r>
      <w:r w:rsidR="00A03629">
        <w:t xml:space="preserve"> </w:t>
      </w:r>
      <w:r>
        <w:t>a</w:t>
      </w:r>
      <w:r w:rsidR="00A03629">
        <w:t xml:space="preserve"> </w:t>
      </w:r>
      <w:r>
        <w:t>result</w:t>
      </w:r>
      <w:r w:rsidR="00A03629">
        <w:t xml:space="preserve"> </w:t>
      </w:r>
      <w:r>
        <w:t>of</w:t>
      </w:r>
      <w:proofErr w:type="gramEnd"/>
      <w:r w:rsidR="00A03629">
        <w:t xml:space="preserve"> </w:t>
      </w:r>
      <w:r>
        <w:t>the</w:t>
      </w:r>
      <w:r w:rsidR="00A03629">
        <w:t xml:space="preserve"> </w:t>
      </w:r>
      <w:r>
        <w:t>machinery</w:t>
      </w:r>
      <w:r w:rsidR="00A03629">
        <w:t xml:space="preserve"> </w:t>
      </w:r>
      <w:r>
        <w:t>of</w:t>
      </w:r>
      <w:r w:rsidR="00A03629">
        <w:t xml:space="preserve"> </w:t>
      </w:r>
      <w:r>
        <w:t>government</w:t>
      </w:r>
      <w:r w:rsidR="00A03629">
        <w:t xml:space="preserve"> </w:t>
      </w:r>
      <w:r>
        <w:t>change</w:t>
      </w:r>
      <w:r w:rsidR="00A03629">
        <w:t xml:space="preserve"> </w:t>
      </w:r>
      <w:r>
        <w:t>effective</w:t>
      </w:r>
      <w:r w:rsidR="00A03629">
        <w:t xml:space="preserve"> </w:t>
      </w:r>
      <w:r>
        <w:t>on</w:t>
      </w:r>
      <w:r w:rsidR="00A03629">
        <w:t xml:space="preserve"> </w:t>
      </w:r>
      <w:r>
        <w:t>1</w:t>
      </w:r>
      <w:r w:rsidR="00A03629">
        <w:t xml:space="preserve"> </w:t>
      </w:r>
      <w:r>
        <w:t>January</w:t>
      </w:r>
      <w:r w:rsidR="00A03629">
        <w:t xml:space="preserve"> </w:t>
      </w:r>
      <w:r>
        <w:t>2023</w:t>
      </w:r>
      <w:r w:rsidR="00A03629">
        <w:t xml:space="preserve"> </w:t>
      </w:r>
      <w:r>
        <w:t>with</w:t>
      </w:r>
      <w:r w:rsidR="00A03629">
        <w:rPr>
          <w:rFonts w:ascii="Cambria" w:hAnsi="Cambria" w:cs="Cambria"/>
        </w:rPr>
        <w:t xml:space="preserve"> </w:t>
      </w:r>
      <w:r>
        <w:t>the</w:t>
      </w:r>
      <w:r w:rsidR="00A03629">
        <w:t xml:space="preserve"> </w:t>
      </w:r>
      <w:r>
        <w:t>exception</w:t>
      </w:r>
      <w:r w:rsidR="00A03629">
        <w:t xml:space="preserve"> </w:t>
      </w:r>
      <w:r>
        <w:t>of</w:t>
      </w:r>
      <w:r w:rsidR="00A03629">
        <w:t xml:space="preserve"> </w:t>
      </w:r>
      <w:r>
        <w:t>Secretary,</w:t>
      </w:r>
      <w:r w:rsidR="00A03629">
        <w:t xml:space="preserve"> </w:t>
      </w:r>
      <w:r>
        <w:t>Project</w:t>
      </w:r>
      <w:r w:rsidR="00A03629">
        <w:t xml:space="preserve"> </w:t>
      </w:r>
      <w:r>
        <w:t>Development.</w:t>
      </w:r>
      <w:r w:rsidR="00A03629">
        <w:t xml:space="preserve"> </w:t>
      </w:r>
      <w:r>
        <w:t>The</w:t>
      </w:r>
      <w:r w:rsidR="00A03629">
        <w:t xml:space="preserve"> </w:t>
      </w:r>
      <w:r>
        <w:t>results</w:t>
      </w:r>
      <w:r w:rsidR="00A03629">
        <w:t xml:space="preserve"> </w:t>
      </w:r>
      <w:r>
        <w:t>of</w:t>
      </w:r>
      <w:r w:rsidR="00A03629">
        <w:t xml:space="preserve"> </w:t>
      </w:r>
      <w:r>
        <w:t>these</w:t>
      </w:r>
      <w:r w:rsidR="00A03629">
        <w:t xml:space="preserve"> </w:t>
      </w:r>
      <w:r>
        <w:t>entities</w:t>
      </w:r>
      <w:r w:rsidR="00A03629">
        <w:t xml:space="preserve"> </w:t>
      </w:r>
      <w:r>
        <w:t>have</w:t>
      </w:r>
      <w:r w:rsidR="00A03629">
        <w:t xml:space="preserve"> </w:t>
      </w:r>
      <w:r>
        <w:t>been</w:t>
      </w:r>
      <w:r w:rsidR="00A03629">
        <w:t xml:space="preserve"> </w:t>
      </w:r>
      <w:r>
        <w:t>consolidated</w:t>
      </w:r>
      <w:r w:rsidR="00A03629">
        <w:t xml:space="preserve"> </w:t>
      </w:r>
      <w:r>
        <w:t>into</w:t>
      </w:r>
      <w:r w:rsidR="00A03629">
        <w:t xml:space="preserve"> </w:t>
      </w:r>
      <w:r>
        <w:t>DJSIR’s</w:t>
      </w:r>
      <w:r w:rsidR="00A03629">
        <w:t xml:space="preserve"> </w:t>
      </w:r>
      <w:r>
        <w:t>financial</w:t>
      </w:r>
      <w:r w:rsidR="00A03629">
        <w:t xml:space="preserve"> </w:t>
      </w:r>
      <w:r>
        <w:t>statements</w:t>
      </w:r>
      <w:r w:rsidR="00A03629">
        <w:t xml:space="preserve"> </w:t>
      </w:r>
      <w:r>
        <w:t>for</w:t>
      </w:r>
      <w:r w:rsidR="00A03629">
        <w:t xml:space="preserve"> </w:t>
      </w:r>
      <w:r>
        <w:t>the</w:t>
      </w:r>
      <w:r w:rsidR="00A03629">
        <w:t xml:space="preserve"> </w:t>
      </w:r>
      <w:r>
        <w:t>half</w:t>
      </w:r>
      <w:r w:rsidR="00A03629">
        <w:t xml:space="preserve"> </w:t>
      </w:r>
      <w:r>
        <w:t>year</w:t>
      </w:r>
      <w:r w:rsidR="00A03629">
        <w:t xml:space="preserve"> </w:t>
      </w:r>
      <w:r>
        <w:t>from</w:t>
      </w:r>
      <w:r w:rsidR="00A03629">
        <w:t xml:space="preserve"> </w:t>
      </w:r>
      <w:r>
        <w:t>1</w:t>
      </w:r>
      <w:r w:rsidR="00A03629">
        <w:t xml:space="preserve"> </w:t>
      </w:r>
      <w:r>
        <w:t>July</w:t>
      </w:r>
      <w:r w:rsidR="00A03629">
        <w:t xml:space="preserve"> </w:t>
      </w:r>
      <w:r>
        <w:t>2022</w:t>
      </w:r>
      <w:r w:rsidR="00A03629">
        <w:t xml:space="preserve"> </w:t>
      </w:r>
      <w:r>
        <w:t>to</w:t>
      </w:r>
      <w:r w:rsidR="00A03629">
        <w:t xml:space="preserve"> </w:t>
      </w:r>
      <w:r>
        <w:t>31</w:t>
      </w:r>
      <w:r w:rsidR="00A03629">
        <w:t xml:space="preserve"> </w:t>
      </w:r>
      <w:r>
        <w:t>December</w:t>
      </w:r>
      <w:r w:rsidR="00A03629">
        <w:t xml:space="preserve"> </w:t>
      </w:r>
      <w:r>
        <w:t>2022,</w:t>
      </w:r>
      <w:r w:rsidR="00A03629">
        <w:t xml:space="preserve"> </w:t>
      </w:r>
      <w:r>
        <w:t>pursuant</w:t>
      </w:r>
      <w:r w:rsidR="00A03629">
        <w:t xml:space="preserve"> </w:t>
      </w:r>
      <w:r>
        <w:t>to</w:t>
      </w:r>
      <w:r w:rsidR="00A03629">
        <w:t xml:space="preserve"> </w:t>
      </w:r>
      <w:r>
        <w:t>a</w:t>
      </w:r>
      <w:r w:rsidR="00A03629">
        <w:t xml:space="preserve"> </w:t>
      </w:r>
      <w:r>
        <w:t>determination</w:t>
      </w:r>
      <w:r w:rsidR="00A03629">
        <w:t xml:space="preserve"> </w:t>
      </w:r>
      <w:r>
        <w:t>made</w:t>
      </w:r>
      <w:r w:rsidR="00A03629">
        <w:t xml:space="preserve"> </w:t>
      </w:r>
      <w:r>
        <w:t>by</w:t>
      </w:r>
      <w:r w:rsidR="00A03629">
        <w:t xml:space="preserve"> </w:t>
      </w:r>
      <w:r>
        <w:t>the</w:t>
      </w:r>
      <w:r w:rsidR="00A03629">
        <w:t xml:space="preserve"> </w:t>
      </w:r>
      <w:r>
        <w:t>Assistant</w:t>
      </w:r>
      <w:r w:rsidR="00A03629">
        <w:t xml:space="preserve"> </w:t>
      </w:r>
      <w:r>
        <w:t>Treasurer</w:t>
      </w:r>
      <w:r w:rsidR="00A03629">
        <w:t xml:space="preserve"> </w:t>
      </w:r>
      <w:r>
        <w:t>under</w:t>
      </w:r>
      <w:r w:rsidR="00A03629">
        <w:t xml:space="preserve"> </w:t>
      </w:r>
      <w:r>
        <w:t>section</w:t>
      </w:r>
      <w:r w:rsidR="00A03629">
        <w:t xml:space="preserve"> </w:t>
      </w:r>
      <w:r>
        <w:t>53(1)(b)</w:t>
      </w:r>
      <w:r w:rsidR="00A03629">
        <w:t xml:space="preserve"> </w:t>
      </w:r>
      <w:r>
        <w:t>of</w:t>
      </w:r>
      <w:r w:rsidR="00A03629">
        <w:t xml:space="preserve"> </w:t>
      </w:r>
      <w:r>
        <w:t>the</w:t>
      </w:r>
      <w:r w:rsidR="00A03629">
        <w:t xml:space="preserve"> </w:t>
      </w:r>
      <w:r w:rsidRPr="00CD60DF">
        <w:rPr>
          <w:i/>
          <w:iCs/>
        </w:rPr>
        <w:t>Financial</w:t>
      </w:r>
      <w:r w:rsidR="00A03629" w:rsidRPr="00CD60DF">
        <w:rPr>
          <w:i/>
          <w:iCs/>
        </w:rPr>
        <w:t xml:space="preserve"> </w:t>
      </w:r>
      <w:r w:rsidRPr="00CD60DF">
        <w:rPr>
          <w:i/>
          <w:iCs/>
        </w:rPr>
        <w:t>Management</w:t>
      </w:r>
      <w:r w:rsidR="00A03629" w:rsidRPr="00CD60DF">
        <w:rPr>
          <w:i/>
          <w:iCs/>
        </w:rPr>
        <w:t xml:space="preserve"> </w:t>
      </w:r>
      <w:r w:rsidRPr="00CD60DF">
        <w:rPr>
          <w:i/>
          <w:iCs/>
        </w:rPr>
        <w:t>Act</w:t>
      </w:r>
      <w:r w:rsidR="00A03629" w:rsidRPr="00CD60DF">
        <w:rPr>
          <w:i/>
          <w:iCs/>
        </w:rPr>
        <w:t xml:space="preserve"> </w:t>
      </w:r>
      <w:r w:rsidRPr="00CD60DF">
        <w:rPr>
          <w:i/>
          <w:iCs/>
        </w:rPr>
        <w:t>1994</w:t>
      </w:r>
      <w:r w:rsidR="00A03629">
        <w:t xml:space="preserve"> </w:t>
      </w:r>
      <w:r>
        <w:t>(FMA).</w:t>
      </w:r>
      <w:r w:rsidR="00A03629">
        <w:t xml:space="preserve"> </w:t>
      </w:r>
      <w:r>
        <w:t>These</w:t>
      </w:r>
      <w:r w:rsidR="00A03629">
        <w:t xml:space="preserve"> </w:t>
      </w:r>
      <w:r>
        <w:t>agencies</w:t>
      </w:r>
      <w:r w:rsidR="00A03629">
        <w:t xml:space="preserve"> </w:t>
      </w:r>
      <w:r>
        <w:t>are</w:t>
      </w:r>
      <w:r w:rsidR="00A03629">
        <w:t xml:space="preserve"> </w:t>
      </w:r>
      <w:r>
        <w:t>reported</w:t>
      </w:r>
      <w:r w:rsidR="00A03629">
        <w:t xml:space="preserve"> </w:t>
      </w:r>
      <w:r>
        <w:t>in</w:t>
      </w:r>
      <w:r w:rsidR="00A03629">
        <w:t xml:space="preserve"> </w:t>
      </w:r>
      <w:r>
        <w:t>aggregate</w:t>
      </w:r>
      <w:r w:rsidR="00A03629">
        <w:t xml:space="preserve"> </w:t>
      </w:r>
      <w:r>
        <w:t>and</w:t>
      </w:r>
      <w:r w:rsidR="00A03629">
        <w:t xml:space="preserve"> </w:t>
      </w:r>
      <w:r>
        <w:t>are</w:t>
      </w:r>
      <w:r w:rsidR="00A03629">
        <w:t xml:space="preserve"> </w:t>
      </w:r>
      <w:r>
        <w:t>not</w:t>
      </w:r>
      <w:r w:rsidR="00A03629">
        <w:t xml:space="preserve"> </w:t>
      </w:r>
      <w:r>
        <w:t>controlled</w:t>
      </w:r>
      <w:r w:rsidR="00A03629">
        <w:t xml:space="preserve"> </w:t>
      </w:r>
      <w:r>
        <w:t>by</w:t>
      </w:r>
      <w:r w:rsidR="00A03629">
        <w:t xml:space="preserve"> </w:t>
      </w:r>
      <w:r>
        <w:t>DJSIR.</w:t>
      </w:r>
    </w:p>
    <w:p w14:paraId="16AC96C5" w14:textId="6D865D15" w:rsidR="000756EB" w:rsidRDefault="004A4D88" w:rsidP="00CD60DF">
      <w:pPr>
        <w:pStyle w:val="Bullet"/>
      </w:pPr>
      <w:r>
        <w:t>The</w:t>
      </w:r>
      <w:r w:rsidR="00A03629">
        <w:t xml:space="preserve"> </w:t>
      </w:r>
      <w:r>
        <w:t>Rural</w:t>
      </w:r>
      <w:r w:rsidR="00A03629">
        <w:t xml:space="preserve"> </w:t>
      </w:r>
      <w:r>
        <w:t>Assistance</w:t>
      </w:r>
      <w:r w:rsidR="00A03629">
        <w:t xml:space="preserve"> </w:t>
      </w:r>
      <w:r>
        <w:t>Commissioner</w:t>
      </w:r>
    </w:p>
    <w:p w14:paraId="7620B2B1" w14:textId="3E07496C" w:rsidR="000756EB" w:rsidRDefault="004A4D88" w:rsidP="00CD60DF">
      <w:pPr>
        <w:pStyle w:val="Bullet"/>
      </w:pPr>
      <w:r>
        <w:t>Victorian</w:t>
      </w:r>
      <w:r w:rsidR="00A03629">
        <w:t xml:space="preserve"> </w:t>
      </w:r>
      <w:r>
        <w:t>Racing</w:t>
      </w:r>
      <w:r w:rsidR="00A03629">
        <w:t xml:space="preserve"> </w:t>
      </w:r>
      <w:r>
        <w:t>Tribunal</w:t>
      </w:r>
    </w:p>
    <w:p w14:paraId="5F743A2B" w14:textId="07C276FF" w:rsidR="000756EB" w:rsidRDefault="004A4D88" w:rsidP="00CD60DF">
      <w:pPr>
        <w:pStyle w:val="Bullet"/>
      </w:pPr>
      <w:r>
        <w:t>Victorian</w:t>
      </w:r>
      <w:r w:rsidR="00A03629">
        <w:t xml:space="preserve"> </w:t>
      </w:r>
      <w:r>
        <w:t>Racing</w:t>
      </w:r>
      <w:r w:rsidR="00A03629">
        <w:t xml:space="preserve"> </w:t>
      </w:r>
      <w:r>
        <w:t>Integrity</w:t>
      </w:r>
      <w:r w:rsidR="00A03629">
        <w:t xml:space="preserve"> </w:t>
      </w:r>
      <w:r>
        <w:t>Board</w:t>
      </w:r>
    </w:p>
    <w:p w14:paraId="08E865DB" w14:textId="3FDBDC50" w:rsidR="000756EB" w:rsidRDefault="004A4D88" w:rsidP="00CD60DF">
      <w:pPr>
        <w:pStyle w:val="Bullet"/>
      </w:pPr>
      <w:r>
        <w:t>Racing</w:t>
      </w:r>
      <w:r w:rsidR="00A03629">
        <w:t xml:space="preserve"> </w:t>
      </w:r>
      <w:r>
        <w:t>Integrity</w:t>
      </w:r>
      <w:r w:rsidR="00A03629">
        <w:t xml:space="preserve"> </w:t>
      </w:r>
      <w:r>
        <w:t>Commissioner</w:t>
      </w:r>
    </w:p>
    <w:p w14:paraId="56983B0E" w14:textId="17B7630C" w:rsidR="000756EB" w:rsidRDefault="004A4D88" w:rsidP="00CD60DF">
      <w:pPr>
        <w:pStyle w:val="Bulletlast"/>
      </w:pPr>
      <w:r>
        <w:t>Mine</w:t>
      </w:r>
      <w:r w:rsidR="00A03629">
        <w:t xml:space="preserve"> </w:t>
      </w:r>
      <w:r>
        <w:t>Land</w:t>
      </w:r>
      <w:r w:rsidR="00A03629">
        <w:t xml:space="preserve"> </w:t>
      </w:r>
      <w:r>
        <w:t>Rehabilitation</w:t>
      </w:r>
      <w:r w:rsidR="00A03629">
        <w:t xml:space="preserve"> </w:t>
      </w:r>
      <w:r>
        <w:t>Authority</w:t>
      </w:r>
    </w:p>
    <w:p w14:paraId="291E6047" w14:textId="3EF73C0C" w:rsidR="000756EB" w:rsidRDefault="004A4D88" w:rsidP="00CD60DF">
      <w:r>
        <w:t>Section</w:t>
      </w:r>
      <w:r w:rsidR="00A03629">
        <w:t xml:space="preserve"> </w:t>
      </w:r>
      <w:r>
        <w:t>53(1)(b)</w:t>
      </w:r>
      <w:r w:rsidR="00A03629">
        <w:t xml:space="preserve"> </w:t>
      </w:r>
      <w:r>
        <w:t>entity</w:t>
      </w:r>
      <w:r w:rsidR="00A03629">
        <w:t xml:space="preserve"> </w:t>
      </w:r>
      <w:r>
        <w:t>Secretary,</w:t>
      </w:r>
      <w:r w:rsidR="00A03629">
        <w:t xml:space="preserve"> </w:t>
      </w:r>
      <w:r>
        <w:t>Project</w:t>
      </w:r>
      <w:r w:rsidR="00A03629">
        <w:t xml:space="preserve"> </w:t>
      </w:r>
      <w:r>
        <w:t>Development</w:t>
      </w:r>
      <w:r w:rsidR="00A03629">
        <w:t xml:space="preserve"> </w:t>
      </w:r>
      <w:r>
        <w:t>was</w:t>
      </w:r>
      <w:r w:rsidR="00A03629">
        <w:t xml:space="preserve"> </w:t>
      </w:r>
      <w:r>
        <w:t>included</w:t>
      </w:r>
      <w:r w:rsidR="00A03629">
        <w:t xml:space="preserve"> </w:t>
      </w:r>
      <w:r>
        <w:t>into</w:t>
      </w:r>
      <w:r w:rsidR="00A03629">
        <w:t xml:space="preserve"> </w:t>
      </w:r>
      <w:r>
        <w:t>DJSIR</w:t>
      </w:r>
      <w:r w:rsidR="00A03629">
        <w:t xml:space="preserve"> </w:t>
      </w:r>
      <w:r>
        <w:t>for</w:t>
      </w:r>
      <w:r w:rsidR="00A03629">
        <w:t xml:space="preserve"> </w:t>
      </w:r>
      <w:r>
        <w:t>the</w:t>
      </w:r>
      <w:r w:rsidR="00A03629">
        <w:t xml:space="preserve"> </w:t>
      </w:r>
      <w:r>
        <w:t>full</w:t>
      </w:r>
      <w:r w:rsidR="00A03629">
        <w:t xml:space="preserve"> </w:t>
      </w:r>
      <w:r>
        <w:t>financial</w:t>
      </w:r>
      <w:r w:rsidR="00A03629">
        <w:t xml:space="preserve"> </w:t>
      </w:r>
      <w:r>
        <w:t>year.</w:t>
      </w:r>
      <w:r w:rsidR="00A03629">
        <w:t xml:space="preserve"> </w:t>
      </w:r>
      <w:r>
        <w:t>There</w:t>
      </w:r>
      <w:r w:rsidR="00A03629">
        <w:t xml:space="preserve"> </w:t>
      </w:r>
      <w:r>
        <w:t>were</w:t>
      </w:r>
      <w:r w:rsidR="00A03629">
        <w:t xml:space="preserve"> </w:t>
      </w:r>
      <w:r>
        <w:t>no</w:t>
      </w:r>
      <w:r w:rsidR="00A03629">
        <w:t xml:space="preserve"> </w:t>
      </w:r>
      <w:r>
        <w:t>section</w:t>
      </w:r>
      <w:r w:rsidR="00A03629">
        <w:t xml:space="preserve"> </w:t>
      </w:r>
      <w:r>
        <w:t>53(1)(b)</w:t>
      </w:r>
      <w:r w:rsidR="00A03629">
        <w:t xml:space="preserve"> </w:t>
      </w:r>
      <w:r>
        <w:t>entities</w:t>
      </w:r>
      <w:r w:rsidR="00A03629">
        <w:t xml:space="preserve"> </w:t>
      </w:r>
      <w:r>
        <w:t>transferred</w:t>
      </w:r>
      <w:r w:rsidR="00A03629">
        <w:t xml:space="preserve"> </w:t>
      </w:r>
      <w:r>
        <w:t>into</w:t>
      </w:r>
      <w:r w:rsidR="00A03629">
        <w:t xml:space="preserve"> </w:t>
      </w:r>
      <w:r>
        <w:t>DJSIR</w:t>
      </w:r>
      <w:r w:rsidR="00A03629">
        <w:t xml:space="preserve"> </w:t>
      </w:r>
      <w:r>
        <w:t>from</w:t>
      </w:r>
      <w:r w:rsidR="00A03629">
        <w:t xml:space="preserve"> </w:t>
      </w:r>
      <w:r>
        <w:t>the</w:t>
      </w:r>
      <w:r w:rsidR="00A03629">
        <w:t xml:space="preserve"> </w:t>
      </w:r>
      <w:r>
        <w:t>machinery</w:t>
      </w:r>
      <w:r w:rsidR="00A03629">
        <w:t xml:space="preserve"> </w:t>
      </w:r>
      <w:r>
        <w:t>of</w:t>
      </w:r>
      <w:r w:rsidR="00A03629">
        <w:t xml:space="preserve"> </w:t>
      </w:r>
      <w:r>
        <w:t>government</w:t>
      </w:r>
      <w:r w:rsidR="00A03629">
        <w:t xml:space="preserve"> </w:t>
      </w:r>
      <w:r>
        <w:t>changes.</w:t>
      </w:r>
    </w:p>
    <w:p w14:paraId="0D60559E" w14:textId="37628457" w:rsidR="000756EB" w:rsidRDefault="004A4D88" w:rsidP="00CD60DF">
      <w:r>
        <w:t>In</w:t>
      </w:r>
      <w:r w:rsidR="00A03629">
        <w:t xml:space="preserve"> </w:t>
      </w:r>
      <w:r>
        <w:t>preparing</w:t>
      </w:r>
      <w:r w:rsidR="00A03629">
        <w:t xml:space="preserve"> </w:t>
      </w:r>
      <w:r>
        <w:t>consolidated</w:t>
      </w:r>
      <w:r w:rsidR="00A03629">
        <w:t xml:space="preserve"> </w:t>
      </w:r>
      <w:r>
        <w:t>financial</w:t>
      </w:r>
      <w:r w:rsidR="00A03629">
        <w:t xml:space="preserve"> </w:t>
      </w:r>
      <w:r>
        <w:t>statements</w:t>
      </w:r>
      <w:r w:rsidR="00A03629">
        <w:t xml:space="preserve"> </w:t>
      </w:r>
      <w:r>
        <w:t>for</w:t>
      </w:r>
      <w:r w:rsidR="00A03629">
        <w:t xml:space="preserve"> </w:t>
      </w:r>
      <w:r>
        <w:t>DJSIR,</w:t>
      </w:r>
      <w:r w:rsidR="00A03629">
        <w:t xml:space="preserve"> </w:t>
      </w:r>
      <w:r>
        <w:t>all</w:t>
      </w:r>
      <w:r w:rsidR="00A03629">
        <w:t xml:space="preserve"> </w:t>
      </w:r>
      <w:r>
        <w:t>material</w:t>
      </w:r>
      <w:r w:rsidR="00A03629">
        <w:t xml:space="preserve"> </w:t>
      </w:r>
      <w:r>
        <w:t>transactions</w:t>
      </w:r>
      <w:r w:rsidR="00A03629">
        <w:t xml:space="preserve"> </w:t>
      </w:r>
      <w:r>
        <w:t>and</w:t>
      </w:r>
      <w:r w:rsidR="00A03629">
        <w:t xml:space="preserve"> </w:t>
      </w:r>
      <w:r>
        <w:t>balances</w:t>
      </w:r>
      <w:r w:rsidR="00A03629">
        <w:t xml:space="preserve"> </w:t>
      </w:r>
      <w:r>
        <w:t>between</w:t>
      </w:r>
      <w:r w:rsidR="00A03629">
        <w:t xml:space="preserve"> </w:t>
      </w:r>
      <w:r>
        <w:t>consolidated</w:t>
      </w:r>
      <w:r w:rsidR="00A03629">
        <w:t xml:space="preserve"> </w:t>
      </w:r>
      <w:r>
        <w:t>entities</w:t>
      </w:r>
      <w:r w:rsidR="00A03629">
        <w:t xml:space="preserve"> </w:t>
      </w:r>
      <w:r>
        <w:t>are</w:t>
      </w:r>
      <w:r w:rsidR="00A03629">
        <w:t xml:space="preserve"> </w:t>
      </w:r>
      <w:r>
        <w:t>eliminated.</w:t>
      </w:r>
    </w:p>
    <w:p w14:paraId="43C14F5D" w14:textId="7D899327" w:rsidR="000756EB" w:rsidRDefault="004A4D88" w:rsidP="00CD60DF">
      <w:pPr>
        <w:pStyle w:val="Heading2"/>
      </w:pPr>
      <w:bookmarkStart w:id="10" w:name="_Toc149911793"/>
      <w:r>
        <w:t>Compliance</w:t>
      </w:r>
      <w:r w:rsidR="00A03629">
        <w:t xml:space="preserve"> </w:t>
      </w:r>
      <w:r>
        <w:t>information</w:t>
      </w:r>
      <w:bookmarkEnd w:id="10"/>
    </w:p>
    <w:p w14:paraId="6A0E68C4" w14:textId="08B20DAF" w:rsidR="000756EB" w:rsidRDefault="004A4D88" w:rsidP="00CD60DF">
      <w:r>
        <w:t>These</w:t>
      </w:r>
      <w:r w:rsidR="00A03629">
        <w:t xml:space="preserve"> </w:t>
      </w:r>
      <w:r>
        <w:t>general-purpose</w:t>
      </w:r>
      <w:r w:rsidR="00A03629">
        <w:t xml:space="preserve"> </w:t>
      </w:r>
      <w:r>
        <w:t>financial</w:t>
      </w:r>
      <w:r w:rsidR="00A03629">
        <w:t xml:space="preserve"> </w:t>
      </w:r>
      <w:r>
        <w:t>statements</w:t>
      </w:r>
      <w:r w:rsidR="00A03629">
        <w:t xml:space="preserve"> </w:t>
      </w:r>
      <w:r>
        <w:t>have</w:t>
      </w:r>
      <w:r w:rsidR="00A03629">
        <w:t xml:space="preserve"> </w:t>
      </w:r>
      <w:r>
        <w:t>been</w:t>
      </w:r>
      <w:r w:rsidR="00A03629">
        <w:t xml:space="preserve"> </w:t>
      </w:r>
      <w:r>
        <w:t>prepared</w:t>
      </w:r>
      <w:r w:rsidR="00A03629">
        <w:t xml:space="preserve"> </w:t>
      </w:r>
      <w:r>
        <w:t>in</w:t>
      </w:r>
      <w:r w:rsidR="00A03629">
        <w:t xml:space="preserve"> </w:t>
      </w:r>
      <w:r>
        <w:t>accordance</w:t>
      </w:r>
      <w:r w:rsidR="00A03629">
        <w:t xml:space="preserve"> </w:t>
      </w:r>
      <w:r>
        <w:t>with</w:t>
      </w:r>
      <w:r w:rsidR="00A03629">
        <w:t xml:space="preserve"> </w:t>
      </w:r>
      <w:r>
        <w:t>the</w:t>
      </w:r>
      <w:r w:rsidR="00A03629">
        <w:t xml:space="preserve"> </w:t>
      </w:r>
      <w:r>
        <w:t>FMA</w:t>
      </w:r>
      <w:r w:rsidR="00A03629">
        <w:t xml:space="preserve"> </w:t>
      </w:r>
      <w:r>
        <w:t>and</w:t>
      </w:r>
      <w:r w:rsidR="00A03629">
        <w:t xml:space="preserve"> </w:t>
      </w:r>
      <w:r>
        <w:t>applicable</w:t>
      </w:r>
      <w:r w:rsidR="00A03629">
        <w:t xml:space="preserve"> </w:t>
      </w:r>
      <w:r>
        <w:t>Australian</w:t>
      </w:r>
      <w:r w:rsidR="00A03629">
        <w:t xml:space="preserve"> </w:t>
      </w:r>
      <w:r>
        <w:t>Accounting</w:t>
      </w:r>
      <w:r w:rsidR="00A03629">
        <w:t xml:space="preserve"> </w:t>
      </w:r>
      <w:r>
        <w:t>Standards</w:t>
      </w:r>
      <w:r w:rsidR="00A03629">
        <w:t xml:space="preserve"> </w:t>
      </w:r>
      <w:r>
        <w:t>(AASs)</w:t>
      </w:r>
      <w:r w:rsidR="00A03629">
        <w:t xml:space="preserve"> </w:t>
      </w:r>
      <w:r>
        <w:t>which</w:t>
      </w:r>
      <w:r w:rsidR="00A03629">
        <w:t xml:space="preserve"> </w:t>
      </w:r>
      <w:r>
        <w:t>include</w:t>
      </w:r>
      <w:r w:rsidR="00A03629">
        <w:t xml:space="preserve"> </w:t>
      </w:r>
      <w:r>
        <w:t>Interpretations,</w:t>
      </w:r>
      <w:r w:rsidR="00A03629">
        <w:t xml:space="preserve"> </w:t>
      </w:r>
      <w:r>
        <w:t>issued</w:t>
      </w:r>
      <w:r w:rsidR="00A03629">
        <w:t xml:space="preserve"> </w:t>
      </w:r>
      <w:r>
        <w:t>by</w:t>
      </w:r>
      <w:r w:rsidR="00A03629">
        <w:t xml:space="preserve"> </w:t>
      </w:r>
      <w:r>
        <w:t>the</w:t>
      </w:r>
      <w:r w:rsidR="00A03629">
        <w:t xml:space="preserve"> </w:t>
      </w:r>
      <w:r>
        <w:t>Australian</w:t>
      </w:r>
      <w:r w:rsidR="00A03629">
        <w:t xml:space="preserve"> </w:t>
      </w:r>
      <w:r>
        <w:t>Accounting</w:t>
      </w:r>
      <w:r w:rsidR="00A03629">
        <w:t xml:space="preserve"> </w:t>
      </w:r>
      <w:r>
        <w:t>Standards</w:t>
      </w:r>
      <w:r w:rsidR="00A03629">
        <w:t xml:space="preserve"> </w:t>
      </w:r>
      <w:r>
        <w:t>Board</w:t>
      </w:r>
      <w:r w:rsidR="00A03629">
        <w:t xml:space="preserve"> </w:t>
      </w:r>
      <w:r>
        <w:t>(AASB).</w:t>
      </w:r>
      <w:r w:rsidR="00A03629">
        <w:t xml:space="preserve"> </w:t>
      </w:r>
      <w:proofErr w:type="gramStart"/>
      <w:r>
        <w:t>In</w:t>
      </w:r>
      <w:r w:rsidR="00A03629">
        <w:t xml:space="preserve"> </w:t>
      </w:r>
      <w:r>
        <w:t>particular,</w:t>
      </w:r>
      <w:r w:rsidR="00A03629">
        <w:t xml:space="preserve"> </w:t>
      </w:r>
      <w:r>
        <w:t>they</w:t>
      </w:r>
      <w:proofErr w:type="gramEnd"/>
      <w:r w:rsidR="00A03629">
        <w:t xml:space="preserve"> </w:t>
      </w:r>
      <w:r>
        <w:t>are</w:t>
      </w:r>
      <w:r w:rsidR="00A03629">
        <w:t xml:space="preserve"> </w:t>
      </w:r>
      <w:r>
        <w:t>presented</w:t>
      </w:r>
      <w:r w:rsidR="00A03629">
        <w:t xml:space="preserve"> </w:t>
      </w:r>
      <w:r>
        <w:t>in</w:t>
      </w:r>
      <w:r w:rsidR="00A03629">
        <w:t xml:space="preserve"> </w:t>
      </w:r>
      <w:r>
        <w:t>a</w:t>
      </w:r>
      <w:r w:rsidR="00A03629">
        <w:t xml:space="preserve"> </w:t>
      </w:r>
      <w:r>
        <w:t>manner</w:t>
      </w:r>
      <w:r w:rsidR="00A03629">
        <w:t xml:space="preserve"> </w:t>
      </w:r>
      <w:r>
        <w:t>consistent</w:t>
      </w:r>
      <w:r w:rsidR="00A03629">
        <w:t xml:space="preserve"> </w:t>
      </w:r>
      <w:r>
        <w:t>with</w:t>
      </w:r>
      <w:r w:rsidR="00A03629">
        <w:t xml:space="preserve"> </w:t>
      </w:r>
      <w:r>
        <w:t>the</w:t>
      </w:r>
      <w:r w:rsidR="00A03629">
        <w:t xml:space="preserve"> </w:t>
      </w:r>
      <w:r>
        <w:t>requirements</w:t>
      </w:r>
      <w:r w:rsidR="00A03629">
        <w:t xml:space="preserve"> </w:t>
      </w:r>
      <w:r>
        <w:t>of</w:t>
      </w:r>
      <w:r w:rsidR="00A03629">
        <w:t xml:space="preserve"> </w:t>
      </w:r>
      <w:r>
        <w:t>AASB</w:t>
      </w:r>
      <w:r w:rsidR="00A03629">
        <w:t xml:space="preserve"> </w:t>
      </w:r>
      <w:r>
        <w:t>1049</w:t>
      </w:r>
      <w:r w:rsidR="00A03629">
        <w:t xml:space="preserve"> </w:t>
      </w:r>
      <w:r w:rsidRPr="00CD60DF">
        <w:rPr>
          <w:i/>
          <w:iCs/>
        </w:rPr>
        <w:t>Whole</w:t>
      </w:r>
      <w:r w:rsidR="00A03629" w:rsidRPr="00CD60DF">
        <w:rPr>
          <w:i/>
          <w:iCs/>
        </w:rPr>
        <w:t xml:space="preserve"> </w:t>
      </w:r>
      <w:r w:rsidRPr="00CD60DF">
        <w:rPr>
          <w:i/>
          <w:iCs/>
        </w:rPr>
        <w:t>of</w:t>
      </w:r>
      <w:r w:rsidR="00A03629" w:rsidRPr="00CD60DF">
        <w:rPr>
          <w:i/>
          <w:iCs/>
        </w:rPr>
        <w:t xml:space="preserve"> </w:t>
      </w:r>
      <w:r w:rsidRPr="00CD60DF">
        <w:rPr>
          <w:i/>
          <w:iCs/>
        </w:rPr>
        <w:t>Government</w:t>
      </w:r>
      <w:r w:rsidR="00A03629" w:rsidRPr="00CD60DF">
        <w:rPr>
          <w:i/>
          <w:iCs/>
        </w:rPr>
        <w:t xml:space="preserve"> </w:t>
      </w:r>
      <w:r w:rsidRPr="00CD60DF">
        <w:rPr>
          <w:i/>
          <w:iCs/>
        </w:rPr>
        <w:t>and</w:t>
      </w:r>
      <w:r w:rsidR="00A03629" w:rsidRPr="00CD60DF">
        <w:rPr>
          <w:i/>
          <w:iCs/>
        </w:rPr>
        <w:t xml:space="preserve"> </w:t>
      </w:r>
      <w:r w:rsidRPr="00CD60DF">
        <w:rPr>
          <w:i/>
          <w:iCs/>
        </w:rPr>
        <w:t>General</w:t>
      </w:r>
      <w:r w:rsidR="00A03629" w:rsidRPr="00CD60DF">
        <w:rPr>
          <w:i/>
          <w:iCs/>
        </w:rPr>
        <w:t xml:space="preserve"> </w:t>
      </w:r>
      <w:r w:rsidRPr="00CD60DF">
        <w:rPr>
          <w:i/>
          <w:iCs/>
        </w:rPr>
        <w:t>Government</w:t>
      </w:r>
      <w:r w:rsidR="00A03629" w:rsidRPr="00CD60DF">
        <w:rPr>
          <w:i/>
          <w:iCs/>
        </w:rPr>
        <w:t xml:space="preserve"> </w:t>
      </w:r>
      <w:r w:rsidRPr="00CD60DF">
        <w:rPr>
          <w:i/>
          <w:iCs/>
        </w:rPr>
        <w:t>Sector</w:t>
      </w:r>
      <w:r w:rsidR="00A03629" w:rsidRPr="00CD60DF">
        <w:rPr>
          <w:i/>
          <w:iCs/>
        </w:rPr>
        <w:t xml:space="preserve"> </w:t>
      </w:r>
      <w:r w:rsidRPr="00CD60DF">
        <w:rPr>
          <w:i/>
          <w:iCs/>
        </w:rPr>
        <w:t>Financial</w:t>
      </w:r>
      <w:r w:rsidR="00A03629" w:rsidRPr="00CD60DF">
        <w:rPr>
          <w:i/>
          <w:iCs/>
        </w:rPr>
        <w:t xml:space="preserve"> </w:t>
      </w:r>
      <w:r w:rsidRPr="00CD60DF">
        <w:rPr>
          <w:i/>
          <w:iCs/>
        </w:rPr>
        <w:t>Reporting</w:t>
      </w:r>
      <w:r>
        <w:t>.</w:t>
      </w:r>
    </w:p>
    <w:p w14:paraId="45D61A11" w14:textId="64CF9EA9" w:rsidR="000756EB" w:rsidRDefault="004A4D88" w:rsidP="00CD60DF">
      <w:r>
        <w:t>Where</w:t>
      </w:r>
      <w:r w:rsidR="00A03629">
        <w:t xml:space="preserve"> </w:t>
      </w:r>
      <w:r>
        <w:t>appropriate,</w:t>
      </w:r>
      <w:r w:rsidR="00A03629">
        <w:t xml:space="preserve"> </w:t>
      </w:r>
      <w:r>
        <w:t>those</w:t>
      </w:r>
      <w:r w:rsidR="00A03629">
        <w:t xml:space="preserve"> </w:t>
      </w:r>
      <w:r>
        <w:t>AASs</w:t>
      </w:r>
      <w:r w:rsidR="00A03629">
        <w:t xml:space="preserve"> </w:t>
      </w:r>
      <w:r>
        <w:t>paragraphs</w:t>
      </w:r>
      <w:r w:rsidR="00A03629">
        <w:t xml:space="preserve"> </w:t>
      </w:r>
      <w:r>
        <w:t>applicable</w:t>
      </w:r>
      <w:r w:rsidR="00A03629">
        <w:t xml:space="preserve"> </w:t>
      </w:r>
      <w:r>
        <w:t>to</w:t>
      </w:r>
      <w:r w:rsidR="00A03629">
        <w:t xml:space="preserve"> </w:t>
      </w:r>
      <w:r>
        <w:t>not-for-profit</w:t>
      </w:r>
      <w:r w:rsidR="00A03629">
        <w:t xml:space="preserve"> </w:t>
      </w:r>
      <w:r>
        <w:t>entities</w:t>
      </w:r>
      <w:r w:rsidR="00A03629">
        <w:t xml:space="preserve"> </w:t>
      </w:r>
      <w:r>
        <w:t>have</w:t>
      </w:r>
      <w:r w:rsidR="00A03629">
        <w:t xml:space="preserve"> </w:t>
      </w:r>
      <w:r>
        <w:t>been</w:t>
      </w:r>
      <w:r w:rsidR="00A03629">
        <w:t xml:space="preserve"> </w:t>
      </w:r>
      <w:r>
        <w:t>applied.</w:t>
      </w:r>
      <w:r w:rsidR="00A03629">
        <w:t xml:space="preserve"> </w:t>
      </w:r>
      <w:r>
        <w:t>Accounting</w:t>
      </w:r>
      <w:r w:rsidR="00A03629">
        <w:t xml:space="preserve"> </w:t>
      </w:r>
      <w:r>
        <w:t>policies</w:t>
      </w:r>
      <w:r w:rsidR="00A03629">
        <w:t xml:space="preserve"> </w:t>
      </w:r>
      <w:r>
        <w:t>selected</w:t>
      </w:r>
      <w:r w:rsidR="00A03629">
        <w:t xml:space="preserve"> </w:t>
      </w:r>
      <w:r>
        <w:t>and</w:t>
      </w:r>
      <w:r w:rsidR="00A03629">
        <w:t xml:space="preserve"> </w:t>
      </w:r>
      <w:r>
        <w:t>applied</w:t>
      </w:r>
      <w:r w:rsidR="00A03629">
        <w:t xml:space="preserve"> </w:t>
      </w:r>
      <w:r>
        <w:t>in</w:t>
      </w:r>
      <w:r w:rsidR="00A03629">
        <w:t xml:space="preserve"> </w:t>
      </w:r>
      <w:r>
        <w:t>these</w:t>
      </w:r>
      <w:r w:rsidR="00A03629">
        <w:t xml:space="preserve"> </w:t>
      </w:r>
      <w:r>
        <w:t>financial</w:t>
      </w:r>
      <w:r w:rsidR="00A03629">
        <w:t xml:space="preserve"> </w:t>
      </w:r>
      <w:r>
        <w:t>statements</w:t>
      </w:r>
      <w:r w:rsidR="00A03629">
        <w:t xml:space="preserve"> </w:t>
      </w:r>
      <w:r>
        <w:t>ensure</w:t>
      </w:r>
      <w:r w:rsidR="00A03629">
        <w:t xml:space="preserve"> </w:t>
      </w:r>
      <w:r>
        <w:t>that</w:t>
      </w:r>
      <w:r w:rsidR="00A03629">
        <w:t xml:space="preserve"> </w:t>
      </w:r>
      <w:r>
        <w:t>the</w:t>
      </w:r>
      <w:r w:rsidR="00A03629">
        <w:t xml:space="preserve"> </w:t>
      </w:r>
      <w:r>
        <w:t>resulting</w:t>
      </w:r>
      <w:r w:rsidR="00A03629">
        <w:t xml:space="preserve"> </w:t>
      </w:r>
      <w:r>
        <w:t>financial</w:t>
      </w:r>
      <w:r w:rsidR="00A03629">
        <w:t xml:space="preserve"> </w:t>
      </w:r>
      <w:r>
        <w:t>information</w:t>
      </w:r>
      <w:r w:rsidR="00A03629">
        <w:t xml:space="preserve"> </w:t>
      </w:r>
      <w:r>
        <w:t>satisfies</w:t>
      </w:r>
      <w:r w:rsidR="00A03629">
        <w:t xml:space="preserve"> </w:t>
      </w:r>
      <w:r>
        <w:t>the</w:t>
      </w:r>
      <w:r w:rsidR="00A03629">
        <w:t xml:space="preserve"> </w:t>
      </w:r>
      <w:r>
        <w:t>concepts</w:t>
      </w:r>
      <w:r w:rsidR="00A03629">
        <w:t xml:space="preserve"> </w:t>
      </w:r>
      <w:r>
        <w:t>of</w:t>
      </w:r>
      <w:r w:rsidR="00A03629">
        <w:t xml:space="preserve"> </w:t>
      </w:r>
      <w:r>
        <w:t>relevance</w:t>
      </w:r>
      <w:r w:rsidR="00A03629">
        <w:t xml:space="preserve"> </w:t>
      </w:r>
      <w:r>
        <w:t>and</w:t>
      </w:r>
      <w:r w:rsidR="00A03629">
        <w:t xml:space="preserve"> </w:t>
      </w:r>
      <w:r>
        <w:t>reliability,</w:t>
      </w:r>
      <w:r w:rsidR="00A03629">
        <w:t xml:space="preserve"> </w:t>
      </w:r>
      <w:r>
        <w:t>thereby</w:t>
      </w:r>
      <w:r w:rsidR="00A03629">
        <w:t xml:space="preserve"> </w:t>
      </w:r>
      <w:r>
        <w:t>ensuring</w:t>
      </w:r>
      <w:r w:rsidR="00A03629">
        <w:t xml:space="preserve"> </w:t>
      </w:r>
      <w:r>
        <w:t>that</w:t>
      </w:r>
      <w:r w:rsidR="00A03629">
        <w:t xml:space="preserve"> </w:t>
      </w:r>
      <w:r>
        <w:t>the</w:t>
      </w:r>
      <w:r w:rsidR="00A03629">
        <w:t xml:space="preserve"> </w:t>
      </w:r>
      <w:r>
        <w:t>substance</w:t>
      </w:r>
      <w:r w:rsidR="00A03629">
        <w:t xml:space="preserve"> </w:t>
      </w:r>
      <w:r>
        <w:t>of</w:t>
      </w:r>
      <w:r w:rsidR="00A03629">
        <w:t xml:space="preserve"> </w:t>
      </w:r>
      <w:r>
        <w:t>the</w:t>
      </w:r>
      <w:r w:rsidR="00A03629">
        <w:t xml:space="preserve"> </w:t>
      </w:r>
      <w:r>
        <w:t>underlying</w:t>
      </w:r>
      <w:r w:rsidR="00A03629">
        <w:t xml:space="preserve"> </w:t>
      </w:r>
      <w:r>
        <w:t>transactions</w:t>
      </w:r>
      <w:r w:rsidR="00A03629">
        <w:t xml:space="preserve"> </w:t>
      </w:r>
      <w:r>
        <w:t>or</w:t>
      </w:r>
      <w:r w:rsidR="00A03629">
        <w:t xml:space="preserve"> </w:t>
      </w:r>
      <w:r>
        <w:t>other</w:t>
      </w:r>
      <w:r w:rsidR="00A03629">
        <w:t xml:space="preserve"> </w:t>
      </w:r>
      <w:r>
        <w:t>events</w:t>
      </w:r>
      <w:r w:rsidR="00A03629">
        <w:t xml:space="preserve"> </w:t>
      </w:r>
      <w:r>
        <w:t>is</w:t>
      </w:r>
      <w:r w:rsidR="00A03629">
        <w:t xml:space="preserve"> </w:t>
      </w:r>
      <w:r>
        <w:t>reported.</w:t>
      </w:r>
    </w:p>
    <w:p w14:paraId="41B2E979" w14:textId="02A4C587" w:rsidR="000756EB" w:rsidRDefault="004A4D88" w:rsidP="00CD60DF">
      <w:pPr>
        <w:pStyle w:val="Heading2"/>
      </w:pPr>
      <w:bookmarkStart w:id="11" w:name="_Toc149911794"/>
      <w:r>
        <w:lastRenderedPageBreak/>
        <w:t>Rounding</w:t>
      </w:r>
      <w:r w:rsidR="00A03629">
        <w:t xml:space="preserve"> </w:t>
      </w:r>
      <w:r>
        <w:t>of</w:t>
      </w:r>
      <w:r w:rsidR="00A03629">
        <w:t xml:space="preserve"> </w:t>
      </w:r>
      <w:r>
        <w:t>amounts</w:t>
      </w:r>
      <w:bookmarkEnd w:id="11"/>
    </w:p>
    <w:p w14:paraId="07B3A4FF" w14:textId="157B902A" w:rsidR="000756EB" w:rsidRDefault="004A4D88" w:rsidP="00CD60DF">
      <w:r>
        <w:t>Amounts</w:t>
      </w:r>
      <w:r w:rsidR="00A03629">
        <w:t xml:space="preserve"> </w:t>
      </w:r>
      <w:r>
        <w:t>in</w:t>
      </w:r>
      <w:r w:rsidR="00A03629">
        <w:t xml:space="preserve"> </w:t>
      </w:r>
      <w:r>
        <w:t>the</w:t>
      </w:r>
      <w:r w:rsidR="00A03629">
        <w:t xml:space="preserve"> </w:t>
      </w:r>
      <w:r>
        <w:t>financial</w:t>
      </w:r>
      <w:r w:rsidR="00A03629">
        <w:t xml:space="preserve"> </w:t>
      </w:r>
      <w:r>
        <w:t>statements</w:t>
      </w:r>
      <w:r w:rsidR="00A03629">
        <w:t xml:space="preserve"> </w:t>
      </w:r>
      <w:r>
        <w:t>have</w:t>
      </w:r>
      <w:r w:rsidR="00A03629">
        <w:t xml:space="preserve"> </w:t>
      </w:r>
      <w:r>
        <w:t>been</w:t>
      </w:r>
      <w:r w:rsidR="00A03629">
        <w:t xml:space="preserve"> </w:t>
      </w:r>
      <w:r>
        <w:t>rounded</w:t>
      </w:r>
      <w:r w:rsidR="00A03629">
        <w:t xml:space="preserve"> </w:t>
      </w:r>
      <w:r>
        <w:t>to</w:t>
      </w:r>
      <w:r w:rsidR="00A03629">
        <w:t xml:space="preserve"> </w:t>
      </w:r>
      <w:r>
        <w:t>the</w:t>
      </w:r>
      <w:r w:rsidR="00A03629">
        <w:t xml:space="preserve"> </w:t>
      </w:r>
      <w:r>
        <w:t>nearest</w:t>
      </w:r>
      <w:r w:rsidR="00A03629">
        <w:t xml:space="preserve"> </w:t>
      </w:r>
      <w:r>
        <w:t>$1</w:t>
      </w:r>
      <w:r w:rsidR="00A03629">
        <w:t xml:space="preserve"> </w:t>
      </w:r>
      <w:r>
        <w:t>000,</w:t>
      </w:r>
      <w:r w:rsidR="00A03629">
        <w:t xml:space="preserve"> </w:t>
      </w:r>
      <w:r>
        <w:t>unless</w:t>
      </w:r>
      <w:r w:rsidR="00A03629">
        <w:t xml:space="preserve"> </w:t>
      </w:r>
      <w:r>
        <w:t>otherwise</w:t>
      </w:r>
      <w:r w:rsidR="00A03629">
        <w:t xml:space="preserve"> </w:t>
      </w:r>
      <w:r>
        <w:t>stated.</w:t>
      </w:r>
      <w:r w:rsidR="00A03629">
        <w:t xml:space="preserve"> </w:t>
      </w:r>
      <w:r>
        <w:t>Figures</w:t>
      </w:r>
      <w:r w:rsidR="00A03629">
        <w:t xml:space="preserve"> </w:t>
      </w:r>
      <w:r>
        <w:t>in</w:t>
      </w:r>
      <w:r w:rsidR="00A03629">
        <w:t xml:space="preserve"> </w:t>
      </w:r>
      <w:r>
        <w:t>the</w:t>
      </w:r>
      <w:r w:rsidR="00A03629">
        <w:t xml:space="preserve"> </w:t>
      </w:r>
      <w:r>
        <w:t>financial</w:t>
      </w:r>
      <w:r w:rsidR="00A03629">
        <w:t xml:space="preserve"> </w:t>
      </w:r>
      <w:r>
        <w:t>statements</w:t>
      </w:r>
      <w:r w:rsidR="00A03629">
        <w:t xml:space="preserve"> </w:t>
      </w:r>
      <w:r>
        <w:t>may</w:t>
      </w:r>
      <w:r w:rsidR="00A03629">
        <w:t xml:space="preserve"> </w:t>
      </w:r>
      <w:r>
        <w:t>not</w:t>
      </w:r>
      <w:r w:rsidR="00A03629">
        <w:t xml:space="preserve"> </w:t>
      </w:r>
      <w:r>
        <w:t>equate</w:t>
      </w:r>
      <w:r w:rsidR="00A03629">
        <w:t xml:space="preserve"> </w:t>
      </w:r>
      <w:r>
        <w:t>due</w:t>
      </w:r>
      <w:r w:rsidR="00A03629">
        <w:t xml:space="preserve"> </w:t>
      </w:r>
      <w:r>
        <w:t>to</w:t>
      </w:r>
      <w:r w:rsidR="00A03629">
        <w:t xml:space="preserve"> </w:t>
      </w:r>
      <w:r>
        <w:t>rounding.</w:t>
      </w:r>
      <w:r w:rsidR="00A03629">
        <w:t xml:space="preserve"> </w:t>
      </w:r>
      <w:r>
        <w:t>Refer</w:t>
      </w:r>
      <w:r w:rsidR="00A03629">
        <w:t xml:space="preserve"> </w:t>
      </w:r>
      <w:r>
        <w:t>to</w:t>
      </w:r>
      <w:r w:rsidR="00A03629">
        <w:t xml:space="preserve"> </w:t>
      </w:r>
      <w:r>
        <w:t>Note</w:t>
      </w:r>
      <w:r w:rsidR="00A03629">
        <w:t xml:space="preserve"> </w:t>
      </w:r>
      <w:r>
        <w:t>9.14</w:t>
      </w:r>
      <w:r w:rsidR="00A03629">
        <w:t xml:space="preserve"> </w:t>
      </w:r>
      <w:r>
        <w:t>for</w:t>
      </w:r>
      <w:r w:rsidR="00A03629">
        <w:t xml:space="preserve"> </w:t>
      </w:r>
      <w:r>
        <w:t>a</w:t>
      </w:r>
      <w:r w:rsidR="00A03629">
        <w:t xml:space="preserve"> </w:t>
      </w:r>
      <w:r>
        <w:t>style</w:t>
      </w:r>
      <w:r w:rsidR="00A03629">
        <w:t xml:space="preserve"> </w:t>
      </w:r>
      <w:r>
        <w:t>convention</w:t>
      </w:r>
      <w:r w:rsidR="00A03629">
        <w:t xml:space="preserve"> </w:t>
      </w:r>
      <w:r>
        <w:t>guide</w:t>
      </w:r>
      <w:r w:rsidR="00A03629">
        <w:t xml:space="preserve"> </w:t>
      </w:r>
      <w:r>
        <w:t>and</w:t>
      </w:r>
      <w:r w:rsidR="00A03629">
        <w:t xml:space="preserve"> </w:t>
      </w:r>
      <w:r>
        <w:t>explanation</w:t>
      </w:r>
      <w:r w:rsidR="00A03629">
        <w:t xml:space="preserve"> </w:t>
      </w:r>
      <w:r>
        <w:t>of</w:t>
      </w:r>
      <w:r w:rsidR="00A03629">
        <w:t xml:space="preserve"> </w:t>
      </w:r>
      <w:r>
        <w:t>minor</w:t>
      </w:r>
      <w:r w:rsidR="00A03629">
        <w:t xml:space="preserve"> </w:t>
      </w:r>
      <w:r>
        <w:t>discrepancies</w:t>
      </w:r>
      <w:r w:rsidR="00A03629">
        <w:t xml:space="preserve"> </w:t>
      </w:r>
      <w:r>
        <w:t>resulting</w:t>
      </w:r>
      <w:r w:rsidR="00A03629">
        <w:t xml:space="preserve"> </w:t>
      </w:r>
      <w:r>
        <w:t>from</w:t>
      </w:r>
      <w:r w:rsidR="00A03629">
        <w:t xml:space="preserve"> </w:t>
      </w:r>
      <w:r>
        <w:t>rounding.</w:t>
      </w:r>
    </w:p>
    <w:p w14:paraId="11CD7C8B" w14:textId="7D8CCF83" w:rsidR="000756EB" w:rsidRDefault="004A4D88" w:rsidP="00CD60DF">
      <w:pPr>
        <w:pStyle w:val="Heading1"/>
      </w:pPr>
      <w:bookmarkStart w:id="12" w:name="_Toc149911795"/>
      <w:r>
        <w:lastRenderedPageBreak/>
        <w:t>2.</w:t>
      </w:r>
      <w:r w:rsidR="00A03629">
        <w:t xml:space="preserve"> </w:t>
      </w:r>
      <w:r>
        <w:t>Funding</w:t>
      </w:r>
      <w:r w:rsidR="00A03629">
        <w:t xml:space="preserve"> </w:t>
      </w:r>
      <w:r>
        <w:t>Delivery</w:t>
      </w:r>
      <w:r w:rsidR="00A03629">
        <w:t xml:space="preserve"> </w:t>
      </w:r>
      <w:r>
        <w:t>of</w:t>
      </w:r>
      <w:r w:rsidR="00A03629">
        <w:t xml:space="preserve"> </w:t>
      </w:r>
      <w:r>
        <w:t>Our</w:t>
      </w:r>
      <w:r w:rsidR="00A03629">
        <w:t xml:space="preserve"> </w:t>
      </w:r>
      <w:r>
        <w:t>Services</w:t>
      </w:r>
      <w:bookmarkEnd w:id="12"/>
    </w:p>
    <w:p w14:paraId="132F92ED" w14:textId="77777777" w:rsidR="000756EB" w:rsidRDefault="004A4D88" w:rsidP="00CD60DF">
      <w:pPr>
        <w:pStyle w:val="Heading2"/>
      </w:pPr>
      <w:bookmarkStart w:id="13" w:name="_Toc149911796"/>
      <w:r>
        <w:t>Introduction</w:t>
      </w:r>
      <w:bookmarkEnd w:id="13"/>
    </w:p>
    <w:p w14:paraId="23244AF1" w14:textId="7D076823" w:rsidR="000756EB" w:rsidRDefault="004A4D88" w:rsidP="00CD60DF">
      <w:r>
        <w:t>DJSIR</w:t>
      </w:r>
      <w:r w:rsidR="00A03629">
        <w:t xml:space="preserve"> </w:t>
      </w:r>
      <w:r>
        <w:t>is</w:t>
      </w:r>
      <w:r w:rsidR="00A03629">
        <w:t xml:space="preserve"> </w:t>
      </w:r>
      <w:r>
        <w:t>firmly</w:t>
      </w:r>
      <w:r w:rsidR="00A03629">
        <w:t xml:space="preserve"> </w:t>
      </w:r>
      <w:r>
        <w:t>focused</w:t>
      </w:r>
      <w:r w:rsidR="00A03629">
        <w:t xml:space="preserve"> </w:t>
      </w:r>
      <w:r>
        <w:t>on</w:t>
      </w:r>
      <w:r w:rsidR="00A03629">
        <w:t xml:space="preserve"> </w:t>
      </w:r>
      <w:r>
        <w:t>driving</w:t>
      </w:r>
      <w:r w:rsidR="00A03629">
        <w:t xml:space="preserve"> </w:t>
      </w:r>
      <w:r>
        <w:t>a</w:t>
      </w:r>
      <w:r w:rsidR="00A03629">
        <w:t xml:space="preserve"> </w:t>
      </w:r>
      <w:r>
        <w:t>strong</w:t>
      </w:r>
      <w:r w:rsidR="00A03629">
        <w:t xml:space="preserve"> </w:t>
      </w:r>
      <w:r>
        <w:t>and</w:t>
      </w:r>
      <w:r w:rsidR="00A03629">
        <w:t xml:space="preserve"> </w:t>
      </w:r>
      <w:r>
        <w:t>resilient</w:t>
      </w:r>
      <w:r w:rsidR="00A03629">
        <w:t xml:space="preserve"> </w:t>
      </w:r>
      <w:r>
        <w:t>economy</w:t>
      </w:r>
      <w:r w:rsidR="00A03629">
        <w:t xml:space="preserve"> </w:t>
      </w:r>
      <w:r>
        <w:t>that</w:t>
      </w:r>
      <w:r w:rsidR="00A03629">
        <w:t xml:space="preserve"> </w:t>
      </w:r>
      <w:r>
        <w:t>benefits</w:t>
      </w:r>
      <w:r w:rsidR="00A03629">
        <w:t xml:space="preserve"> </w:t>
      </w:r>
      <w:r>
        <w:t>all</w:t>
      </w:r>
      <w:r w:rsidR="00A03629">
        <w:t xml:space="preserve"> </w:t>
      </w:r>
      <w:r>
        <w:t>Victorians</w:t>
      </w:r>
      <w:r w:rsidR="00A03629">
        <w:t xml:space="preserve"> </w:t>
      </w:r>
      <w:r>
        <w:t>–</w:t>
      </w:r>
      <w:r w:rsidR="00A03629">
        <w:t xml:space="preserve"> </w:t>
      </w:r>
      <w:r>
        <w:t>by</w:t>
      </w:r>
      <w:r w:rsidR="00A03629">
        <w:rPr>
          <w:rFonts w:ascii="Cambria" w:hAnsi="Cambria" w:cs="Cambria"/>
        </w:rPr>
        <w:t xml:space="preserve"> </w:t>
      </w:r>
      <w:r>
        <w:t>creating</w:t>
      </w:r>
      <w:r w:rsidR="00A03629">
        <w:t xml:space="preserve"> </w:t>
      </w:r>
      <w:r>
        <w:t>more</w:t>
      </w:r>
      <w:r w:rsidR="00A03629">
        <w:t xml:space="preserve"> </w:t>
      </w:r>
      <w:r>
        <w:t>opportunities</w:t>
      </w:r>
      <w:r w:rsidR="00A03629">
        <w:t xml:space="preserve"> </w:t>
      </w:r>
      <w:r>
        <w:t>for</w:t>
      </w:r>
      <w:r w:rsidR="00A03629">
        <w:t xml:space="preserve"> </w:t>
      </w:r>
      <w:r>
        <w:t>people</w:t>
      </w:r>
      <w:r w:rsidR="00A03629">
        <w:t xml:space="preserve"> </w:t>
      </w:r>
      <w:r>
        <w:t>through</w:t>
      </w:r>
      <w:r w:rsidR="00A03629">
        <w:t xml:space="preserve"> </w:t>
      </w:r>
      <w:r>
        <w:t>jobs</w:t>
      </w:r>
      <w:r w:rsidR="00A03629">
        <w:t xml:space="preserve"> </w:t>
      </w:r>
      <w:r>
        <w:t>and</w:t>
      </w:r>
      <w:r w:rsidR="00A03629">
        <w:t xml:space="preserve"> </w:t>
      </w:r>
      <w:r>
        <w:t>skills;</w:t>
      </w:r>
      <w:r w:rsidR="00A03629">
        <w:t xml:space="preserve"> </w:t>
      </w:r>
      <w:r>
        <w:t>supporting</w:t>
      </w:r>
      <w:r w:rsidR="00A03629">
        <w:t xml:space="preserve"> </w:t>
      </w:r>
      <w:r>
        <w:t>businesses</w:t>
      </w:r>
      <w:r w:rsidR="00A03629">
        <w:t xml:space="preserve"> </w:t>
      </w:r>
      <w:r>
        <w:t>and</w:t>
      </w:r>
      <w:r w:rsidR="00A03629">
        <w:t xml:space="preserve"> </w:t>
      </w:r>
      <w:r>
        <w:t>industries</w:t>
      </w:r>
      <w:r w:rsidR="00A03629">
        <w:t xml:space="preserve"> </w:t>
      </w:r>
      <w:r>
        <w:t>to</w:t>
      </w:r>
      <w:r w:rsidR="00A03629">
        <w:t xml:space="preserve"> </w:t>
      </w:r>
      <w:r>
        <w:t>grow</w:t>
      </w:r>
      <w:r w:rsidR="00A03629">
        <w:t xml:space="preserve"> </w:t>
      </w:r>
      <w:r>
        <w:t>and</w:t>
      </w:r>
      <w:r w:rsidR="00A03629">
        <w:t xml:space="preserve"> </w:t>
      </w:r>
      <w:r>
        <w:t>prosper;</w:t>
      </w:r>
      <w:r w:rsidR="00A03629">
        <w:t xml:space="preserve"> </w:t>
      </w:r>
      <w:r>
        <w:t>and</w:t>
      </w:r>
      <w:r w:rsidR="00A03629">
        <w:t xml:space="preserve"> </w:t>
      </w:r>
      <w:r>
        <w:t>building</w:t>
      </w:r>
      <w:r w:rsidR="00A03629">
        <w:t xml:space="preserve"> </w:t>
      </w:r>
      <w:r>
        <w:t>vibrant</w:t>
      </w:r>
      <w:r w:rsidR="00A03629">
        <w:t xml:space="preserve"> </w:t>
      </w:r>
      <w:r>
        <w:t>communities</w:t>
      </w:r>
      <w:r w:rsidR="00A03629">
        <w:t xml:space="preserve"> </w:t>
      </w:r>
      <w:r>
        <w:t>and</w:t>
      </w:r>
      <w:r w:rsidR="00A03629">
        <w:t xml:space="preserve"> </w:t>
      </w:r>
      <w:r>
        <w:t>regions.</w:t>
      </w:r>
      <w:r w:rsidR="00A03629">
        <w:t xml:space="preserve"> </w:t>
      </w:r>
      <w:r>
        <w:t>To</w:t>
      </w:r>
      <w:r w:rsidR="00A03629">
        <w:t xml:space="preserve"> </w:t>
      </w:r>
      <w:r>
        <w:t>enable</w:t>
      </w:r>
      <w:r w:rsidR="00A03629">
        <w:t xml:space="preserve"> </w:t>
      </w:r>
      <w:r>
        <w:t>DJSIR</w:t>
      </w:r>
      <w:r w:rsidR="00A03629">
        <w:t xml:space="preserve"> </w:t>
      </w:r>
      <w:r>
        <w:t>to</w:t>
      </w:r>
      <w:r w:rsidR="00A03629">
        <w:t xml:space="preserve"> </w:t>
      </w:r>
      <w:r>
        <w:t>fulfil</w:t>
      </w:r>
      <w:r w:rsidR="00A03629">
        <w:t xml:space="preserve"> </w:t>
      </w:r>
      <w:r>
        <w:t>its</w:t>
      </w:r>
      <w:r w:rsidR="00A03629">
        <w:rPr>
          <w:rFonts w:ascii="Cambria" w:hAnsi="Cambria" w:cs="Cambria"/>
        </w:rPr>
        <w:t xml:space="preserve"> </w:t>
      </w:r>
      <w:r>
        <w:t>objective</w:t>
      </w:r>
      <w:r w:rsidR="00A03629">
        <w:t xml:space="preserve"> </w:t>
      </w:r>
      <w:r>
        <w:t>and</w:t>
      </w:r>
      <w:r w:rsidR="00A03629">
        <w:t xml:space="preserve"> </w:t>
      </w:r>
      <w:r>
        <w:t>provide</w:t>
      </w:r>
      <w:r w:rsidR="00A03629">
        <w:t xml:space="preserve"> </w:t>
      </w:r>
      <w:r>
        <w:t>outputs</w:t>
      </w:r>
      <w:r w:rsidR="00A03629">
        <w:t xml:space="preserve"> </w:t>
      </w:r>
      <w:r>
        <w:t>as</w:t>
      </w:r>
      <w:r w:rsidR="00A03629">
        <w:t xml:space="preserve"> </w:t>
      </w:r>
      <w:r>
        <w:t>described</w:t>
      </w:r>
      <w:r w:rsidR="00A03629">
        <w:t xml:space="preserve"> </w:t>
      </w:r>
      <w:r>
        <w:t>in</w:t>
      </w:r>
      <w:r w:rsidR="00A03629">
        <w:t xml:space="preserve"> </w:t>
      </w:r>
      <w:r>
        <w:t>Note</w:t>
      </w:r>
      <w:r w:rsidR="00A03629">
        <w:t xml:space="preserve"> </w:t>
      </w:r>
      <w:r>
        <w:t>4</w:t>
      </w:r>
      <w:r w:rsidR="00A03629">
        <w:t xml:space="preserve"> </w:t>
      </w:r>
      <w:r>
        <w:t>–</w:t>
      </w:r>
      <w:r w:rsidR="00A03629">
        <w:t xml:space="preserve"> </w:t>
      </w:r>
      <w:r>
        <w:t>Disaggregated</w:t>
      </w:r>
      <w:r w:rsidR="00A03629">
        <w:t xml:space="preserve"> </w:t>
      </w:r>
      <w:r>
        <w:t>financial</w:t>
      </w:r>
      <w:r w:rsidR="00A03629">
        <w:t xml:space="preserve"> </w:t>
      </w:r>
      <w:r>
        <w:t>information</w:t>
      </w:r>
      <w:r w:rsidR="00A03629">
        <w:t xml:space="preserve"> </w:t>
      </w:r>
      <w:r>
        <w:t>by</w:t>
      </w:r>
      <w:r w:rsidR="00A03629">
        <w:t xml:space="preserve"> </w:t>
      </w:r>
      <w:r>
        <w:t>output,</w:t>
      </w:r>
      <w:r w:rsidR="00A03629">
        <w:t xml:space="preserve"> </w:t>
      </w:r>
      <w:r>
        <w:t>it</w:t>
      </w:r>
      <w:r w:rsidR="00A03629">
        <w:t xml:space="preserve"> </w:t>
      </w:r>
      <w:r>
        <w:t>receives</w:t>
      </w:r>
      <w:r w:rsidR="00A03629">
        <w:t xml:space="preserve"> </w:t>
      </w:r>
      <w:r>
        <w:t>income</w:t>
      </w:r>
      <w:r w:rsidR="00A03629">
        <w:t xml:space="preserve"> </w:t>
      </w:r>
      <w:r>
        <w:t>(predominantly</w:t>
      </w:r>
      <w:r w:rsidR="00A03629">
        <w:t xml:space="preserve"> </w:t>
      </w:r>
      <w:r>
        <w:t>accrual</w:t>
      </w:r>
      <w:r w:rsidR="00A03629">
        <w:t xml:space="preserve"> </w:t>
      </w:r>
      <w:r>
        <w:t>based</w:t>
      </w:r>
      <w:r w:rsidR="00A03629">
        <w:t xml:space="preserve"> </w:t>
      </w:r>
      <w:r>
        <w:t>parliamentary</w:t>
      </w:r>
      <w:r w:rsidR="00A03629">
        <w:t xml:space="preserve"> </w:t>
      </w:r>
      <w:r>
        <w:t>appropriations).</w:t>
      </w:r>
      <w:r w:rsidR="00A03629">
        <w:t xml:space="preserve"> </w:t>
      </w:r>
    </w:p>
    <w:p w14:paraId="55C444A0" w14:textId="77777777" w:rsidR="000756EB" w:rsidRDefault="004A4D88" w:rsidP="001E29DD">
      <w:pPr>
        <w:pStyle w:val="Heading3"/>
      </w:pPr>
      <w:r>
        <w:t>Structure</w:t>
      </w:r>
    </w:p>
    <w:p w14:paraId="658984D1" w14:textId="56519D4D" w:rsidR="000756EB" w:rsidRDefault="004A4D88" w:rsidP="00CD60DF">
      <w:r>
        <w:t>2.1</w:t>
      </w:r>
      <w:r>
        <w:tab/>
        <w:t>Summary</w:t>
      </w:r>
      <w:r w:rsidR="00A03629">
        <w:t xml:space="preserve"> </w:t>
      </w:r>
      <w:r>
        <w:t>of</w:t>
      </w:r>
      <w:r w:rsidR="00A03629">
        <w:t xml:space="preserve"> </w:t>
      </w:r>
      <w:r>
        <w:t>revenue</w:t>
      </w:r>
      <w:r w:rsidR="00A03629">
        <w:t xml:space="preserve"> </w:t>
      </w:r>
      <w:r>
        <w:t>and</w:t>
      </w:r>
      <w:r w:rsidR="00A03629">
        <w:t xml:space="preserve"> </w:t>
      </w:r>
      <w:r>
        <w:t>income</w:t>
      </w:r>
      <w:r w:rsidR="00A03629">
        <w:t xml:space="preserve"> </w:t>
      </w:r>
      <w:r>
        <w:t>that</w:t>
      </w:r>
      <w:r w:rsidR="00A03629">
        <w:t xml:space="preserve"> </w:t>
      </w:r>
      <w:r>
        <w:t>funds</w:t>
      </w:r>
      <w:r w:rsidR="00A03629">
        <w:rPr>
          <w:rFonts w:ascii="Cambria" w:hAnsi="Cambria" w:cs="Cambria"/>
        </w:rPr>
        <w:t xml:space="preserve"> </w:t>
      </w:r>
      <w:r>
        <w:t>the</w:t>
      </w:r>
      <w:r w:rsidR="00A03629">
        <w:rPr>
          <w:rFonts w:ascii="Cambria" w:hAnsi="Cambria" w:cs="Cambria"/>
        </w:rPr>
        <w:t xml:space="preserve"> </w:t>
      </w:r>
      <w:r>
        <w:t>delivery</w:t>
      </w:r>
      <w:r w:rsidR="00A03629">
        <w:t xml:space="preserve"> </w:t>
      </w:r>
      <w:r>
        <w:t>of</w:t>
      </w:r>
      <w:r w:rsidR="00A03629">
        <w:t xml:space="preserve"> </w:t>
      </w:r>
      <w:r>
        <w:t>our</w:t>
      </w:r>
      <w:r w:rsidR="00A03629">
        <w:t xml:space="preserve"> </w:t>
      </w:r>
      <w:r>
        <w:t>services</w:t>
      </w:r>
    </w:p>
    <w:p w14:paraId="67B925D5" w14:textId="77777777" w:rsidR="000756EB" w:rsidRDefault="004A4D88" w:rsidP="00CD60DF">
      <w:r>
        <w:t>2.2</w:t>
      </w:r>
      <w:r>
        <w:tab/>
        <w:t>Appropriations</w:t>
      </w:r>
    </w:p>
    <w:p w14:paraId="44ED4966" w14:textId="7086D625" w:rsidR="000756EB" w:rsidRDefault="004A4D88" w:rsidP="00CD60DF">
      <w:r>
        <w:t>2.3</w:t>
      </w:r>
      <w:r>
        <w:tab/>
        <w:t>Summary</w:t>
      </w:r>
      <w:r w:rsidR="00A03629">
        <w:t xml:space="preserve"> </w:t>
      </w:r>
      <w:r>
        <w:t>of</w:t>
      </w:r>
      <w:r w:rsidR="00A03629">
        <w:t xml:space="preserve"> </w:t>
      </w:r>
      <w:r>
        <w:t>compliance</w:t>
      </w:r>
      <w:r w:rsidR="00A03629">
        <w:t xml:space="preserve"> </w:t>
      </w:r>
      <w:r>
        <w:t>with</w:t>
      </w:r>
      <w:r w:rsidR="00A03629">
        <w:t xml:space="preserve"> </w:t>
      </w:r>
      <w:r>
        <w:t>annual</w:t>
      </w:r>
      <w:r w:rsidR="00A03629">
        <w:t xml:space="preserve"> </w:t>
      </w:r>
      <w:r>
        <w:t>Parliamentary</w:t>
      </w:r>
      <w:r w:rsidR="00A03629">
        <w:t xml:space="preserve"> </w:t>
      </w:r>
      <w:r>
        <w:t>appropriations</w:t>
      </w:r>
    </w:p>
    <w:p w14:paraId="5E25B2E8" w14:textId="4C429C26" w:rsidR="000756EB" w:rsidRDefault="004A4D88" w:rsidP="00CD60DF">
      <w:r>
        <w:t>2.4</w:t>
      </w:r>
      <w:r>
        <w:tab/>
        <w:t>Revenue</w:t>
      </w:r>
      <w:r w:rsidR="00A03629">
        <w:t xml:space="preserve"> </w:t>
      </w:r>
      <w:r>
        <w:t>and</w:t>
      </w:r>
      <w:r w:rsidR="00A03629">
        <w:t xml:space="preserve"> </w:t>
      </w:r>
      <w:r>
        <w:t>Income</w:t>
      </w:r>
      <w:r w:rsidR="00A03629">
        <w:t xml:space="preserve"> </w:t>
      </w:r>
      <w:r>
        <w:t>from</w:t>
      </w:r>
      <w:r w:rsidR="00A03629">
        <w:t xml:space="preserve"> </w:t>
      </w:r>
      <w:r>
        <w:t>transactions</w:t>
      </w:r>
    </w:p>
    <w:p w14:paraId="674D5ADA" w14:textId="2283CC0C" w:rsidR="000756EB" w:rsidRDefault="004A4D88" w:rsidP="00CD60DF">
      <w:r>
        <w:t>2.5</w:t>
      </w:r>
      <w:r>
        <w:tab/>
        <w:t>Annotated</w:t>
      </w:r>
      <w:r w:rsidR="00A03629">
        <w:t xml:space="preserve"> </w:t>
      </w:r>
      <w:r>
        <w:t>income</w:t>
      </w:r>
    </w:p>
    <w:p w14:paraId="1AA578E2" w14:textId="7B5A2723" w:rsidR="000756EB" w:rsidRDefault="004A4D88" w:rsidP="00CD60DF">
      <w:pPr>
        <w:pStyle w:val="Heading2"/>
      </w:pPr>
      <w:bookmarkStart w:id="14" w:name="_Toc149911797"/>
      <w:r>
        <w:t>2.1</w:t>
      </w:r>
      <w:r w:rsidR="00DE38B5">
        <w:t xml:space="preserve"> </w:t>
      </w:r>
      <w:r>
        <w:t>Summary</w:t>
      </w:r>
      <w:r w:rsidR="00A03629">
        <w:t xml:space="preserve"> </w:t>
      </w:r>
      <w:r>
        <w:t>of</w:t>
      </w:r>
      <w:r w:rsidR="00A03629">
        <w:t xml:space="preserve"> </w:t>
      </w:r>
      <w:r>
        <w:t>revenue</w:t>
      </w:r>
      <w:r w:rsidR="00A03629">
        <w:t xml:space="preserve"> </w:t>
      </w:r>
      <w:r>
        <w:t>and</w:t>
      </w:r>
      <w:r w:rsidR="00A03629">
        <w:t xml:space="preserve"> </w:t>
      </w:r>
      <w:r>
        <w:t>income</w:t>
      </w:r>
      <w:r w:rsidR="00A03629">
        <w:t xml:space="preserve"> </w:t>
      </w:r>
      <w:r>
        <w:t>that</w:t>
      </w:r>
      <w:r w:rsidR="00A03629">
        <w:t xml:space="preserve"> </w:t>
      </w:r>
      <w:r>
        <w:t>funds</w:t>
      </w:r>
      <w:r w:rsidR="00A03629">
        <w:t xml:space="preserve"> </w:t>
      </w:r>
      <w:r>
        <w:t>the</w:t>
      </w:r>
      <w:r w:rsidR="00A03629">
        <w:t xml:space="preserve"> </w:t>
      </w:r>
      <w:r>
        <w:t>delivery</w:t>
      </w:r>
      <w:r w:rsidR="00A03629">
        <w:t xml:space="preserve"> </w:t>
      </w:r>
      <w:r>
        <w:t>of</w:t>
      </w:r>
      <w:r w:rsidR="00A03629">
        <w:t xml:space="preserve"> </w:t>
      </w:r>
      <w:r>
        <w:t>our</w:t>
      </w:r>
      <w:r w:rsidR="00A03629">
        <w:t xml:space="preserve"> </w:t>
      </w:r>
      <w:r>
        <w:t>services</w:t>
      </w:r>
      <w:bookmarkEnd w:id="14"/>
    </w:p>
    <w:tbl>
      <w:tblPr>
        <w:tblStyle w:val="TableGrid"/>
        <w:tblW w:w="10198" w:type="dxa"/>
        <w:tblLayout w:type="fixed"/>
        <w:tblLook w:val="0020" w:firstRow="1" w:lastRow="0" w:firstColumn="0" w:lastColumn="0" w:noHBand="0" w:noVBand="0"/>
      </w:tblPr>
      <w:tblGrid>
        <w:gridCol w:w="5382"/>
        <w:gridCol w:w="1361"/>
        <w:gridCol w:w="1727"/>
        <w:gridCol w:w="1728"/>
      </w:tblGrid>
      <w:tr w:rsidR="000756EB" w:rsidRPr="00FF5A0A" w14:paraId="7DC303CC" w14:textId="77777777" w:rsidTr="005C22C3">
        <w:trPr>
          <w:trHeight w:val="60"/>
        </w:trPr>
        <w:tc>
          <w:tcPr>
            <w:tcW w:w="5382" w:type="dxa"/>
          </w:tcPr>
          <w:p w14:paraId="00579EBB" w14:textId="77777777" w:rsidR="000756EB" w:rsidRPr="00FF5A0A" w:rsidRDefault="000756EB" w:rsidP="00FF5A0A">
            <w:pPr>
              <w:pStyle w:val="TableColumnHeading"/>
            </w:pPr>
            <w:bookmarkStart w:id="15" w:name="ColumnTitles_5"/>
            <w:bookmarkEnd w:id="15"/>
          </w:p>
        </w:tc>
        <w:tc>
          <w:tcPr>
            <w:tcW w:w="1361" w:type="dxa"/>
          </w:tcPr>
          <w:p w14:paraId="3C7129C0" w14:textId="77777777" w:rsidR="000756EB" w:rsidRPr="00FF5A0A" w:rsidRDefault="004A4D88" w:rsidP="00FF5A0A">
            <w:pPr>
              <w:pStyle w:val="TableColumnHeading"/>
              <w:jc w:val="right"/>
            </w:pPr>
            <w:r w:rsidRPr="00FF5A0A">
              <w:t>Note</w:t>
            </w:r>
          </w:p>
        </w:tc>
        <w:tc>
          <w:tcPr>
            <w:tcW w:w="1727" w:type="dxa"/>
          </w:tcPr>
          <w:p w14:paraId="5C5B7EF8" w14:textId="0A747B94" w:rsidR="000756EB" w:rsidRPr="00FF5A0A" w:rsidRDefault="004A4D88" w:rsidP="00FF5A0A">
            <w:pPr>
              <w:pStyle w:val="TableColumnHeading"/>
              <w:jc w:val="right"/>
            </w:pPr>
            <w:r w:rsidRPr="00FF5A0A">
              <w:t>2023</w:t>
            </w:r>
            <w:r w:rsidR="00A03629" w:rsidRPr="00FF5A0A">
              <w:t xml:space="preserve"> </w:t>
            </w:r>
            <w:r w:rsidR="00FF5A0A" w:rsidRPr="00FF5A0A">
              <w:t>($</w:t>
            </w:r>
            <w:r w:rsidR="00FF5A0A">
              <w:t> </w:t>
            </w:r>
            <w:r w:rsidR="00FF5A0A" w:rsidRPr="00FF5A0A">
              <w:t>thousand)</w:t>
            </w:r>
          </w:p>
        </w:tc>
        <w:tc>
          <w:tcPr>
            <w:tcW w:w="1728" w:type="dxa"/>
          </w:tcPr>
          <w:p w14:paraId="3D22DE9D" w14:textId="1FE6C69C" w:rsidR="000756EB" w:rsidRPr="00FF5A0A" w:rsidRDefault="004A4D88" w:rsidP="00FF5A0A">
            <w:pPr>
              <w:pStyle w:val="TableColumnHeading"/>
              <w:jc w:val="right"/>
            </w:pPr>
            <w:r w:rsidRPr="00FF5A0A">
              <w:t>2022</w:t>
            </w:r>
            <w:r w:rsidR="00FF5A0A">
              <w:t xml:space="preserve"> </w:t>
            </w:r>
            <w:r w:rsidR="00FF5A0A" w:rsidRPr="00FF5A0A">
              <w:t>($</w:t>
            </w:r>
            <w:r w:rsidR="00FF5A0A">
              <w:t> </w:t>
            </w:r>
            <w:r w:rsidR="00FF5A0A" w:rsidRPr="00FF5A0A">
              <w:t>thousand)</w:t>
            </w:r>
          </w:p>
        </w:tc>
      </w:tr>
      <w:tr w:rsidR="000756EB" w:rsidRPr="00FF5A0A" w14:paraId="7B216B6A" w14:textId="77777777" w:rsidTr="005C22C3">
        <w:trPr>
          <w:trHeight w:val="60"/>
        </w:trPr>
        <w:tc>
          <w:tcPr>
            <w:tcW w:w="5382" w:type="dxa"/>
          </w:tcPr>
          <w:p w14:paraId="3D75B65A" w14:textId="5A01B278" w:rsidR="000756EB" w:rsidRPr="00FF5A0A" w:rsidRDefault="004A4D88" w:rsidP="00FF5A0A">
            <w:pPr>
              <w:pStyle w:val="TableCopy"/>
            </w:pPr>
            <w:r w:rsidRPr="00FF5A0A">
              <w:t>Output</w:t>
            </w:r>
            <w:r w:rsidR="00A03629" w:rsidRPr="00FF5A0A">
              <w:t xml:space="preserve"> </w:t>
            </w:r>
            <w:r w:rsidRPr="00FF5A0A">
              <w:t>appropriation</w:t>
            </w:r>
          </w:p>
        </w:tc>
        <w:tc>
          <w:tcPr>
            <w:tcW w:w="1361" w:type="dxa"/>
          </w:tcPr>
          <w:p w14:paraId="67E15D4E" w14:textId="7FA503EC" w:rsidR="000756EB" w:rsidRPr="00FF5A0A" w:rsidRDefault="004A4D88" w:rsidP="00FF5A0A">
            <w:pPr>
              <w:pStyle w:val="TableCopy"/>
              <w:jc w:val="right"/>
            </w:pPr>
            <w:r w:rsidRPr="00FF5A0A">
              <w:t>2.3</w:t>
            </w:r>
          </w:p>
        </w:tc>
        <w:tc>
          <w:tcPr>
            <w:tcW w:w="1727" w:type="dxa"/>
          </w:tcPr>
          <w:p w14:paraId="4BC56588" w14:textId="789468DF" w:rsidR="000756EB" w:rsidRPr="00FF5A0A" w:rsidRDefault="004A4D88" w:rsidP="00FF5A0A">
            <w:pPr>
              <w:pStyle w:val="TableCopy"/>
              <w:jc w:val="right"/>
            </w:pPr>
            <w:r w:rsidRPr="00FF5A0A">
              <w:t>3,825,952</w:t>
            </w:r>
          </w:p>
        </w:tc>
        <w:tc>
          <w:tcPr>
            <w:tcW w:w="1728" w:type="dxa"/>
          </w:tcPr>
          <w:p w14:paraId="6ED4F755" w14:textId="708821D4" w:rsidR="000756EB" w:rsidRPr="00FF5A0A" w:rsidRDefault="004A4D88" w:rsidP="00FF5A0A">
            <w:pPr>
              <w:pStyle w:val="TableCopy"/>
              <w:jc w:val="right"/>
            </w:pPr>
            <w:r w:rsidRPr="00FF5A0A">
              <w:t>10,824,626</w:t>
            </w:r>
          </w:p>
        </w:tc>
      </w:tr>
      <w:tr w:rsidR="000756EB" w:rsidRPr="00FF5A0A" w14:paraId="27DF1FF1" w14:textId="77777777" w:rsidTr="005C22C3">
        <w:trPr>
          <w:trHeight w:val="60"/>
        </w:trPr>
        <w:tc>
          <w:tcPr>
            <w:tcW w:w="5382" w:type="dxa"/>
          </w:tcPr>
          <w:p w14:paraId="4C22C54E" w14:textId="77777777" w:rsidR="000756EB" w:rsidRPr="00FF5A0A" w:rsidRDefault="004A4D88" w:rsidP="00FF5A0A">
            <w:pPr>
              <w:pStyle w:val="TableCopy"/>
            </w:pPr>
            <w:r w:rsidRPr="00FF5A0A">
              <w:t>Grants</w:t>
            </w:r>
          </w:p>
        </w:tc>
        <w:tc>
          <w:tcPr>
            <w:tcW w:w="1361" w:type="dxa"/>
          </w:tcPr>
          <w:p w14:paraId="6CF82EA7" w14:textId="77777777" w:rsidR="000756EB" w:rsidRPr="00FF5A0A" w:rsidRDefault="004A4D88" w:rsidP="00FF5A0A">
            <w:pPr>
              <w:pStyle w:val="TableCopy"/>
              <w:jc w:val="right"/>
            </w:pPr>
            <w:r w:rsidRPr="00FF5A0A">
              <w:t>2.4.1</w:t>
            </w:r>
          </w:p>
        </w:tc>
        <w:tc>
          <w:tcPr>
            <w:tcW w:w="1727" w:type="dxa"/>
          </w:tcPr>
          <w:p w14:paraId="0822BD66" w14:textId="3186B4BB" w:rsidR="000756EB" w:rsidRPr="00FF5A0A" w:rsidRDefault="004A4D88" w:rsidP="00FF5A0A">
            <w:pPr>
              <w:pStyle w:val="TableCopy"/>
              <w:jc w:val="right"/>
            </w:pPr>
            <w:r w:rsidRPr="00FF5A0A">
              <w:t>280,147</w:t>
            </w:r>
          </w:p>
        </w:tc>
        <w:tc>
          <w:tcPr>
            <w:tcW w:w="1728" w:type="dxa"/>
          </w:tcPr>
          <w:p w14:paraId="37C8A7EE" w14:textId="17D0475F" w:rsidR="000756EB" w:rsidRPr="00FF5A0A" w:rsidRDefault="004A4D88" w:rsidP="00FF5A0A">
            <w:pPr>
              <w:pStyle w:val="TableCopy"/>
              <w:jc w:val="right"/>
            </w:pPr>
            <w:r w:rsidRPr="00FF5A0A">
              <w:t>219,708</w:t>
            </w:r>
          </w:p>
        </w:tc>
      </w:tr>
      <w:tr w:rsidR="000756EB" w:rsidRPr="00FF5A0A" w14:paraId="6729B79E" w14:textId="77777777" w:rsidTr="005C22C3">
        <w:trPr>
          <w:trHeight w:val="60"/>
        </w:trPr>
        <w:tc>
          <w:tcPr>
            <w:tcW w:w="5382" w:type="dxa"/>
          </w:tcPr>
          <w:p w14:paraId="35D92928" w14:textId="03FCD16D" w:rsidR="000756EB" w:rsidRPr="00FF5A0A" w:rsidRDefault="004A4D88" w:rsidP="00FF5A0A">
            <w:pPr>
              <w:pStyle w:val="TableCopy"/>
            </w:pPr>
            <w:r w:rsidRPr="00FF5A0A">
              <w:t>Sale</w:t>
            </w:r>
            <w:r w:rsidR="00A03629" w:rsidRPr="00FF5A0A">
              <w:t xml:space="preserve"> </w:t>
            </w:r>
            <w:r w:rsidRPr="00FF5A0A">
              <w:t>of</w:t>
            </w:r>
            <w:r w:rsidR="00A03629" w:rsidRPr="00FF5A0A">
              <w:t xml:space="preserve"> </w:t>
            </w:r>
            <w:r w:rsidRPr="00FF5A0A">
              <w:t>goods</w:t>
            </w:r>
            <w:r w:rsidR="00A03629" w:rsidRPr="00FF5A0A">
              <w:t xml:space="preserve"> </w:t>
            </w:r>
            <w:r w:rsidRPr="00FF5A0A">
              <w:t>and</w:t>
            </w:r>
            <w:r w:rsidR="00A03629" w:rsidRPr="00FF5A0A">
              <w:t xml:space="preserve"> </w:t>
            </w:r>
            <w:r w:rsidRPr="00FF5A0A">
              <w:t>services</w:t>
            </w:r>
          </w:p>
        </w:tc>
        <w:tc>
          <w:tcPr>
            <w:tcW w:w="1361" w:type="dxa"/>
          </w:tcPr>
          <w:p w14:paraId="670CBDBE" w14:textId="77777777" w:rsidR="000756EB" w:rsidRPr="00FF5A0A" w:rsidRDefault="004A4D88" w:rsidP="00FF5A0A">
            <w:pPr>
              <w:pStyle w:val="TableCopy"/>
              <w:jc w:val="right"/>
            </w:pPr>
            <w:r w:rsidRPr="00FF5A0A">
              <w:t>2.4.2</w:t>
            </w:r>
          </w:p>
        </w:tc>
        <w:tc>
          <w:tcPr>
            <w:tcW w:w="1727" w:type="dxa"/>
          </w:tcPr>
          <w:p w14:paraId="6ED81689" w14:textId="2C4ECE65" w:rsidR="000756EB" w:rsidRPr="00FF5A0A" w:rsidRDefault="004A4D88" w:rsidP="00FF5A0A">
            <w:pPr>
              <w:pStyle w:val="TableCopy"/>
              <w:jc w:val="right"/>
            </w:pPr>
            <w:r w:rsidRPr="00FF5A0A">
              <w:t>10,052</w:t>
            </w:r>
          </w:p>
        </w:tc>
        <w:tc>
          <w:tcPr>
            <w:tcW w:w="1728" w:type="dxa"/>
          </w:tcPr>
          <w:p w14:paraId="72E570EA" w14:textId="6650CC16" w:rsidR="000756EB" w:rsidRPr="00FF5A0A" w:rsidRDefault="004A4D88" w:rsidP="00FF5A0A">
            <w:pPr>
              <w:pStyle w:val="TableCopy"/>
              <w:jc w:val="right"/>
            </w:pPr>
            <w:r w:rsidRPr="00FF5A0A">
              <w:t>29,756</w:t>
            </w:r>
          </w:p>
        </w:tc>
      </w:tr>
      <w:tr w:rsidR="000756EB" w:rsidRPr="00FF5A0A" w14:paraId="651ADF57" w14:textId="77777777" w:rsidTr="005C22C3">
        <w:trPr>
          <w:trHeight w:val="60"/>
        </w:trPr>
        <w:tc>
          <w:tcPr>
            <w:tcW w:w="5382" w:type="dxa"/>
          </w:tcPr>
          <w:p w14:paraId="467616EB" w14:textId="3BD55139" w:rsidR="000756EB" w:rsidRPr="00FF5A0A" w:rsidRDefault="004A4D88" w:rsidP="00FF5A0A">
            <w:pPr>
              <w:pStyle w:val="TableCopy"/>
            </w:pPr>
            <w:r w:rsidRPr="00FF5A0A">
              <w:t>Other</w:t>
            </w:r>
            <w:r w:rsidR="00A03629" w:rsidRPr="00FF5A0A">
              <w:t xml:space="preserve"> </w:t>
            </w:r>
            <w:r w:rsidRPr="00FF5A0A">
              <w:t>income</w:t>
            </w:r>
          </w:p>
        </w:tc>
        <w:tc>
          <w:tcPr>
            <w:tcW w:w="1361" w:type="dxa"/>
          </w:tcPr>
          <w:p w14:paraId="3B5A0C23" w14:textId="77777777" w:rsidR="000756EB" w:rsidRPr="00FF5A0A" w:rsidRDefault="004A4D88" w:rsidP="00FF5A0A">
            <w:pPr>
              <w:pStyle w:val="TableCopy"/>
              <w:jc w:val="right"/>
            </w:pPr>
            <w:r w:rsidRPr="00FF5A0A">
              <w:t>2.4.3</w:t>
            </w:r>
          </w:p>
        </w:tc>
        <w:tc>
          <w:tcPr>
            <w:tcW w:w="1727" w:type="dxa"/>
          </w:tcPr>
          <w:p w14:paraId="08908198" w14:textId="44B24833" w:rsidR="000756EB" w:rsidRPr="00FF5A0A" w:rsidRDefault="004A4D88" w:rsidP="00FF5A0A">
            <w:pPr>
              <w:pStyle w:val="TableCopy"/>
              <w:jc w:val="right"/>
            </w:pPr>
            <w:r w:rsidRPr="00FF5A0A">
              <w:t>19,910</w:t>
            </w:r>
          </w:p>
        </w:tc>
        <w:tc>
          <w:tcPr>
            <w:tcW w:w="1728" w:type="dxa"/>
          </w:tcPr>
          <w:p w14:paraId="2AC866C2" w14:textId="0688AF10" w:rsidR="000756EB" w:rsidRPr="00FF5A0A" w:rsidRDefault="004A4D88" w:rsidP="00FF5A0A">
            <w:pPr>
              <w:pStyle w:val="TableCopy"/>
              <w:jc w:val="right"/>
            </w:pPr>
            <w:r w:rsidRPr="00FF5A0A">
              <w:t>20,725</w:t>
            </w:r>
          </w:p>
        </w:tc>
      </w:tr>
      <w:tr w:rsidR="000756EB" w:rsidRPr="00FF5A0A" w14:paraId="2B6917AD" w14:textId="77777777" w:rsidTr="005C22C3">
        <w:trPr>
          <w:trHeight w:val="60"/>
        </w:trPr>
        <w:tc>
          <w:tcPr>
            <w:tcW w:w="5382" w:type="dxa"/>
          </w:tcPr>
          <w:p w14:paraId="52F6F5A7" w14:textId="7483EB84" w:rsidR="000756EB" w:rsidRPr="00FF5A0A" w:rsidRDefault="004A4D88" w:rsidP="00FF5A0A">
            <w:pPr>
              <w:pStyle w:val="TableCopy"/>
              <w:rPr>
                <w:b/>
                <w:bCs/>
              </w:rPr>
            </w:pPr>
            <w:r w:rsidRPr="00FF5A0A">
              <w:rPr>
                <w:b/>
                <w:bCs/>
              </w:rPr>
              <w:t>Total</w:t>
            </w:r>
            <w:r w:rsidR="00A03629" w:rsidRPr="00FF5A0A">
              <w:rPr>
                <w:b/>
                <w:bCs/>
              </w:rPr>
              <w:t xml:space="preserve"> </w:t>
            </w:r>
            <w:r w:rsidRPr="00FF5A0A">
              <w:rPr>
                <w:b/>
                <w:bCs/>
              </w:rPr>
              <w:t>revenue</w:t>
            </w:r>
            <w:r w:rsidR="00A03629" w:rsidRPr="00FF5A0A">
              <w:rPr>
                <w:b/>
                <w:bCs/>
              </w:rPr>
              <w:t xml:space="preserve"> </w:t>
            </w:r>
            <w:r w:rsidRPr="00FF5A0A">
              <w:rPr>
                <w:b/>
                <w:bCs/>
              </w:rPr>
              <w:t>and</w:t>
            </w:r>
            <w:r w:rsidR="00A03629" w:rsidRPr="00FF5A0A">
              <w:rPr>
                <w:b/>
                <w:bCs/>
              </w:rPr>
              <w:t xml:space="preserve"> </w:t>
            </w:r>
            <w:r w:rsidRPr="00FF5A0A">
              <w:rPr>
                <w:b/>
                <w:bCs/>
              </w:rPr>
              <w:t>income</w:t>
            </w:r>
            <w:r w:rsidR="00A03629" w:rsidRPr="00FF5A0A">
              <w:rPr>
                <w:b/>
                <w:bCs/>
              </w:rPr>
              <w:t xml:space="preserve"> </w:t>
            </w:r>
            <w:r w:rsidRPr="00FF5A0A">
              <w:rPr>
                <w:b/>
                <w:bCs/>
              </w:rPr>
              <w:t>from</w:t>
            </w:r>
            <w:r w:rsidR="00A03629" w:rsidRPr="00FF5A0A">
              <w:rPr>
                <w:b/>
                <w:bCs/>
              </w:rPr>
              <w:t xml:space="preserve"> </w:t>
            </w:r>
            <w:r w:rsidRPr="00FF5A0A">
              <w:rPr>
                <w:b/>
                <w:bCs/>
              </w:rPr>
              <w:t>transactions</w:t>
            </w:r>
          </w:p>
        </w:tc>
        <w:tc>
          <w:tcPr>
            <w:tcW w:w="1361" w:type="dxa"/>
          </w:tcPr>
          <w:p w14:paraId="673AFAD5" w14:textId="77777777" w:rsidR="000756EB" w:rsidRPr="00FF5A0A" w:rsidRDefault="000756EB" w:rsidP="00FF5A0A">
            <w:pPr>
              <w:pStyle w:val="TableCopy"/>
              <w:jc w:val="right"/>
              <w:rPr>
                <w:b/>
                <w:bCs/>
              </w:rPr>
            </w:pPr>
          </w:p>
        </w:tc>
        <w:tc>
          <w:tcPr>
            <w:tcW w:w="1727" w:type="dxa"/>
          </w:tcPr>
          <w:p w14:paraId="5CB59E2F" w14:textId="44B0A6D2" w:rsidR="000756EB" w:rsidRPr="00FF5A0A" w:rsidRDefault="004A4D88" w:rsidP="00FF5A0A">
            <w:pPr>
              <w:pStyle w:val="TableCopy"/>
              <w:jc w:val="right"/>
              <w:rPr>
                <w:b/>
                <w:bCs/>
              </w:rPr>
            </w:pPr>
            <w:r w:rsidRPr="00FF5A0A">
              <w:rPr>
                <w:b/>
                <w:bCs/>
              </w:rPr>
              <w:t>4,136,061</w:t>
            </w:r>
          </w:p>
        </w:tc>
        <w:tc>
          <w:tcPr>
            <w:tcW w:w="1728" w:type="dxa"/>
          </w:tcPr>
          <w:p w14:paraId="3E8264FD" w14:textId="47FC8DFF" w:rsidR="000756EB" w:rsidRPr="00FF5A0A" w:rsidRDefault="004A4D88" w:rsidP="00FF5A0A">
            <w:pPr>
              <w:pStyle w:val="TableCopy"/>
              <w:jc w:val="right"/>
              <w:rPr>
                <w:b/>
                <w:bCs/>
              </w:rPr>
            </w:pPr>
            <w:r w:rsidRPr="00FF5A0A">
              <w:rPr>
                <w:b/>
                <w:bCs/>
              </w:rPr>
              <w:t>11,094,815</w:t>
            </w:r>
          </w:p>
        </w:tc>
      </w:tr>
    </w:tbl>
    <w:p w14:paraId="79BE128C" w14:textId="77777777" w:rsidR="000756EB" w:rsidRDefault="000756EB" w:rsidP="00FF5A0A"/>
    <w:p w14:paraId="0BDA88BD" w14:textId="6E1DA224" w:rsidR="000756EB" w:rsidRDefault="004A4D88" w:rsidP="00FF5A0A">
      <w:r>
        <w:t>Revenue</w:t>
      </w:r>
      <w:r w:rsidR="00A03629">
        <w:t xml:space="preserve"> </w:t>
      </w:r>
      <w:r>
        <w:t>and</w:t>
      </w:r>
      <w:r w:rsidR="00A03629">
        <w:t xml:space="preserve"> </w:t>
      </w:r>
      <w:r>
        <w:t>income</w:t>
      </w:r>
      <w:r w:rsidR="00A03629">
        <w:t xml:space="preserve"> </w:t>
      </w:r>
      <w:r>
        <w:t>that</w:t>
      </w:r>
      <w:r w:rsidR="00A03629">
        <w:t xml:space="preserve"> </w:t>
      </w:r>
      <w:r>
        <w:t>fund</w:t>
      </w:r>
      <w:r w:rsidR="00A03629">
        <w:t xml:space="preserve"> </w:t>
      </w:r>
      <w:r>
        <w:t>delivery</w:t>
      </w:r>
      <w:r w:rsidR="00A03629">
        <w:t xml:space="preserve"> </w:t>
      </w:r>
      <w:r>
        <w:t>of</w:t>
      </w:r>
      <w:r w:rsidR="00A03629">
        <w:t xml:space="preserve"> </w:t>
      </w:r>
      <w:r>
        <w:t>DJSIR’s</w:t>
      </w:r>
      <w:r w:rsidR="00A03629">
        <w:t xml:space="preserve"> </w:t>
      </w:r>
      <w:r>
        <w:t>services</w:t>
      </w:r>
      <w:r w:rsidR="00A03629">
        <w:t xml:space="preserve"> </w:t>
      </w:r>
      <w:r>
        <w:t>are</w:t>
      </w:r>
      <w:r w:rsidR="00A03629">
        <w:t xml:space="preserve"> </w:t>
      </w:r>
      <w:r>
        <w:t>accounted</w:t>
      </w:r>
      <w:r w:rsidR="00A03629">
        <w:t xml:space="preserve"> </w:t>
      </w:r>
      <w:r>
        <w:t>for</w:t>
      </w:r>
      <w:r w:rsidR="00A03629">
        <w:t xml:space="preserve"> </w:t>
      </w:r>
      <w:r>
        <w:t>consistently</w:t>
      </w:r>
      <w:r w:rsidR="00A03629">
        <w:t xml:space="preserve"> </w:t>
      </w:r>
      <w:r>
        <w:t>with</w:t>
      </w:r>
      <w:r w:rsidR="00A03629">
        <w:t xml:space="preserve"> </w:t>
      </w:r>
      <w:r>
        <w:t>the</w:t>
      </w:r>
      <w:r w:rsidR="00A03629">
        <w:t xml:space="preserve"> </w:t>
      </w:r>
      <w:r>
        <w:t>requirements</w:t>
      </w:r>
      <w:r w:rsidR="00A03629">
        <w:t xml:space="preserve"> </w:t>
      </w:r>
      <w:r>
        <w:t>of</w:t>
      </w:r>
      <w:r w:rsidR="00A03629">
        <w:t xml:space="preserve"> </w:t>
      </w:r>
      <w:r>
        <w:t>the</w:t>
      </w:r>
      <w:r w:rsidR="00A03629">
        <w:t xml:space="preserve"> </w:t>
      </w:r>
      <w:r>
        <w:t>relevant</w:t>
      </w:r>
      <w:r w:rsidR="00A03629">
        <w:t xml:space="preserve"> </w:t>
      </w:r>
      <w:r>
        <w:t>accounting</w:t>
      </w:r>
      <w:r w:rsidR="00A03629">
        <w:t xml:space="preserve"> </w:t>
      </w:r>
      <w:r>
        <w:t>standards</w:t>
      </w:r>
      <w:r w:rsidR="00A03629">
        <w:t xml:space="preserve"> </w:t>
      </w:r>
      <w:r>
        <w:t>disclosed</w:t>
      </w:r>
      <w:r w:rsidR="00A03629">
        <w:t xml:space="preserve"> </w:t>
      </w:r>
      <w:r>
        <w:t>in</w:t>
      </w:r>
      <w:r w:rsidR="00A03629">
        <w:t xml:space="preserve"> </w:t>
      </w:r>
      <w:r>
        <w:t>the</w:t>
      </w:r>
      <w:r w:rsidR="00A03629">
        <w:t xml:space="preserve"> </w:t>
      </w:r>
      <w:r>
        <w:t>following</w:t>
      </w:r>
      <w:r w:rsidR="00A03629">
        <w:t xml:space="preserve"> </w:t>
      </w:r>
      <w:r>
        <w:t>notes.</w:t>
      </w:r>
    </w:p>
    <w:p w14:paraId="59BC6225" w14:textId="0032E9BD" w:rsidR="000756EB" w:rsidRDefault="004A4D88" w:rsidP="00FF5A0A">
      <w:pPr>
        <w:pStyle w:val="Heading2"/>
      </w:pPr>
      <w:bookmarkStart w:id="16" w:name="_Toc149911798"/>
      <w:r>
        <w:lastRenderedPageBreak/>
        <w:t>2.2</w:t>
      </w:r>
      <w:r w:rsidR="00DE38B5">
        <w:t xml:space="preserve"> </w:t>
      </w:r>
      <w:r>
        <w:t>Appropriations</w:t>
      </w:r>
      <w:bookmarkEnd w:id="16"/>
    </w:p>
    <w:p w14:paraId="2B0E1B15" w14:textId="433F77DB" w:rsidR="000756EB" w:rsidRDefault="004A4D88" w:rsidP="00FF5A0A">
      <w:r>
        <w:t>Once</w:t>
      </w:r>
      <w:r w:rsidR="00A03629">
        <w:t xml:space="preserve"> </w:t>
      </w:r>
      <w:r>
        <w:t>annual</w:t>
      </w:r>
      <w:r w:rsidR="00A03629">
        <w:t xml:space="preserve"> </w:t>
      </w:r>
      <w:r>
        <w:t>Parliamentary</w:t>
      </w:r>
      <w:r w:rsidR="00A03629">
        <w:t xml:space="preserve"> </w:t>
      </w:r>
      <w:r>
        <w:t>appropriations</w:t>
      </w:r>
      <w:r w:rsidR="00A03629">
        <w:t xml:space="preserve"> </w:t>
      </w:r>
      <w:r>
        <w:t>are</w:t>
      </w:r>
      <w:r w:rsidR="00A03629">
        <w:t xml:space="preserve"> </w:t>
      </w:r>
      <w:r>
        <w:t>applied</w:t>
      </w:r>
      <w:r w:rsidR="00A03629">
        <w:t xml:space="preserve"> </w:t>
      </w:r>
      <w:r>
        <w:t>by</w:t>
      </w:r>
      <w:r w:rsidR="00A03629">
        <w:t xml:space="preserve"> </w:t>
      </w:r>
      <w:r>
        <w:t>the</w:t>
      </w:r>
      <w:r w:rsidR="00A03629">
        <w:t xml:space="preserve"> </w:t>
      </w:r>
      <w:r>
        <w:t>Treasurer,</w:t>
      </w:r>
      <w:r w:rsidR="00A03629">
        <w:t xml:space="preserve"> </w:t>
      </w:r>
      <w:r>
        <w:t>they</w:t>
      </w:r>
      <w:r w:rsidR="00A03629">
        <w:t xml:space="preserve"> </w:t>
      </w:r>
      <w:r>
        <w:t>become</w:t>
      </w:r>
      <w:r w:rsidR="00A03629">
        <w:t xml:space="preserve"> </w:t>
      </w:r>
      <w:r>
        <w:t>controlled</w:t>
      </w:r>
      <w:r w:rsidR="00A03629">
        <w:t xml:space="preserve"> </w:t>
      </w:r>
      <w:r>
        <w:t>by</w:t>
      </w:r>
      <w:r w:rsidR="00A03629">
        <w:t xml:space="preserve"> </w:t>
      </w:r>
      <w:r>
        <w:t>DJSIR</w:t>
      </w:r>
      <w:r w:rsidR="00A03629">
        <w:t xml:space="preserve"> </w:t>
      </w:r>
      <w:r>
        <w:t>and</w:t>
      </w:r>
      <w:r w:rsidR="00A03629">
        <w:t xml:space="preserve"> </w:t>
      </w:r>
      <w:r>
        <w:t>are</w:t>
      </w:r>
      <w:r w:rsidR="00A03629">
        <w:t xml:space="preserve"> </w:t>
      </w:r>
      <w:r>
        <w:t>recognised</w:t>
      </w:r>
      <w:r w:rsidR="00A03629">
        <w:t xml:space="preserve"> </w:t>
      </w:r>
      <w:r>
        <w:t>as</w:t>
      </w:r>
      <w:r w:rsidR="00A03629">
        <w:t xml:space="preserve"> </w:t>
      </w:r>
      <w:r>
        <w:t>income</w:t>
      </w:r>
      <w:r w:rsidR="00A03629">
        <w:t xml:space="preserve"> </w:t>
      </w:r>
      <w:r>
        <w:t>when</w:t>
      </w:r>
      <w:r w:rsidR="00A03629">
        <w:t xml:space="preserve"> </w:t>
      </w:r>
      <w:r>
        <w:t>applied</w:t>
      </w:r>
      <w:r w:rsidR="00A03629">
        <w:t xml:space="preserve"> </w:t>
      </w:r>
      <w:r>
        <w:t>for</w:t>
      </w:r>
      <w:r w:rsidR="00A03629">
        <w:t xml:space="preserve"> </w:t>
      </w:r>
      <w:r>
        <w:t>the</w:t>
      </w:r>
      <w:r w:rsidR="00A03629">
        <w:t xml:space="preserve"> </w:t>
      </w:r>
      <w:r>
        <w:t>purposes</w:t>
      </w:r>
      <w:r w:rsidR="00A03629">
        <w:t xml:space="preserve"> </w:t>
      </w:r>
      <w:r>
        <w:t>defined</w:t>
      </w:r>
      <w:r w:rsidR="00A03629">
        <w:t xml:space="preserve"> </w:t>
      </w:r>
      <w:r>
        <w:t>under</w:t>
      </w:r>
      <w:r w:rsidR="00A03629">
        <w:t xml:space="preserve"> </w:t>
      </w:r>
      <w:r>
        <w:t>the</w:t>
      </w:r>
      <w:r w:rsidR="00A03629">
        <w:t xml:space="preserve"> </w:t>
      </w:r>
      <w:r>
        <w:t>relevant</w:t>
      </w:r>
      <w:r w:rsidR="00A03629">
        <w:t xml:space="preserve"> </w:t>
      </w:r>
      <w:r>
        <w:t>Appropriations</w:t>
      </w:r>
      <w:r w:rsidR="00A03629">
        <w:t xml:space="preserve"> </w:t>
      </w:r>
      <w:r>
        <w:t>Act.</w:t>
      </w:r>
    </w:p>
    <w:p w14:paraId="5731AED9" w14:textId="225AC257" w:rsidR="000756EB" w:rsidRDefault="004A4D88" w:rsidP="00FF5A0A">
      <w:r>
        <w:t>Output</w:t>
      </w:r>
      <w:r w:rsidR="00A03629">
        <w:t xml:space="preserve"> </w:t>
      </w:r>
      <w:r>
        <w:t>appropriations:</w:t>
      </w:r>
      <w:r w:rsidR="00A03629">
        <w:t xml:space="preserve"> </w:t>
      </w:r>
      <w:r>
        <w:t>Income</w:t>
      </w:r>
      <w:r w:rsidR="00A03629">
        <w:t xml:space="preserve"> </w:t>
      </w:r>
      <w:r>
        <w:t>from</w:t>
      </w:r>
      <w:r w:rsidR="00A03629">
        <w:t xml:space="preserve"> </w:t>
      </w:r>
      <w:r>
        <w:t>the</w:t>
      </w:r>
      <w:r w:rsidR="00A03629">
        <w:t xml:space="preserve"> </w:t>
      </w:r>
      <w:r>
        <w:t>outputs</w:t>
      </w:r>
      <w:r w:rsidR="00A03629">
        <w:t xml:space="preserve"> </w:t>
      </w:r>
      <w:r>
        <w:t>DJSIR</w:t>
      </w:r>
      <w:r w:rsidR="00A03629">
        <w:t xml:space="preserve"> </w:t>
      </w:r>
      <w:r>
        <w:t>provides</w:t>
      </w:r>
      <w:r w:rsidR="00A03629">
        <w:t xml:space="preserve"> </w:t>
      </w:r>
      <w:r>
        <w:t>to</w:t>
      </w:r>
      <w:r w:rsidR="00A03629">
        <w:t xml:space="preserve"> </w:t>
      </w:r>
      <w:r>
        <w:t>the</w:t>
      </w:r>
      <w:r w:rsidR="00A03629">
        <w:t xml:space="preserve"> </w:t>
      </w:r>
      <w:r>
        <w:t>Government</w:t>
      </w:r>
      <w:r w:rsidR="00A03629">
        <w:t xml:space="preserve"> </w:t>
      </w:r>
      <w:r>
        <w:t>is</w:t>
      </w:r>
      <w:r w:rsidR="00A03629">
        <w:t xml:space="preserve"> </w:t>
      </w:r>
      <w:r>
        <w:t>recognised</w:t>
      </w:r>
      <w:r w:rsidR="00A03629">
        <w:t xml:space="preserve"> </w:t>
      </w:r>
      <w:r>
        <w:t>when</w:t>
      </w:r>
      <w:r w:rsidR="00A03629">
        <w:t xml:space="preserve"> </w:t>
      </w:r>
      <w:r>
        <w:t>those</w:t>
      </w:r>
      <w:r w:rsidR="00A03629">
        <w:t xml:space="preserve"> </w:t>
      </w:r>
      <w:r>
        <w:t>outputs</w:t>
      </w:r>
      <w:r w:rsidR="00A03629">
        <w:t xml:space="preserve"> </w:t>
      </w:r>
      <w:r>
        <w:t>have</w:t>
      </w:r>
      <w:r w:rsidR="00A03629">
        <w:t xml:space="preserve"> </w:t>
      </w:r>
      <w:r>
        <w:t>been</w:t>
      </w:r>
      <w:r w:rsidR="00A03629">
        <w:t xml:space="preserve"> </w:t>
      </w:r>
      <w:r>
        <w:t>delivered</w:t>
      </w:r>
      <w:r w:rsidR="00A03629">
        <w:t xml:space="preserve"> </w:t>
      </w:r>
      <w:r>
        <w:t>and</w:t>
      </w:r>
      <w:r w:rsidR="00A03629">
        <w:t xml:space="preserve"> </w:t>
      </w:r>
      <w:r>
        <w:t>the</w:t>
      </w:r>
      <w:r w:rsidR="00A03629">
        <w:t xml:space="preserve"> </w:t>
      </w:r>
      <w:r>
        <w:t>relevant</w:t>
      </w:r>
      <w:r w:rsidR="00A03629">
        <w:t xml:space="preserve"> </w:t>
      </w:r>
      <w:r>
        <w:t>minister</w:t>
      </w:r>
      <w:r w:rsidR="00A03629">
        <w:t xml:space="preserve"> </w:t>
      </w:r>
      <w:r>
        <w:t>has</w:t>
      </w:r>
      <w:r w:rsidR="00A03629">
        <w:t xml:space="preserve"> </w:t>
      </w:r>
      <w:r>
        <w:t>certified</w:t>
      </w:r>
      <w:r w:rsidR="00A03629">
        <w:t xml:space="preserve"> </w:t>
      </w:r>
      <w:r>
        <w:t>delivery</w:t>
      </w:r>
      <w:r w:rsidR="00A03629">
        <w:t xml:space="preserve"> </w:t>
      </w:r>
      <w:r>
        <w:t>of</w:t>
      </w:r>
      <w:r w:rsidR="00A03629">
        <w:t xml:space="preserve"> </w:t>
      </w:r>
      <w:r>
        <w:t>those</w:t>
      </w:r>
      <w:r w:rsidR="00A03629">
        <w:t xml:space="preserve"> </w:t>
      </w:r>
      <w:r>
        <w:t>outputs</w:t>
      </w:r>
      <w:r w:rsidR="00A03629">
        <w:t xml:space="preserve"> </w:t>
      </w:r>
      <w:r>
        <w:t>in</w:t>
      </w:r>
      <w:r w:rsidR="00A03629">
        <w:t xml:space="preserve"> </w:t>
      </w:r>
      <w:r>
        <w:t>accordance</w:t>
      </w:r>
      <w:r w:rsidR="00A03629">
        <w:t xml:space="preserve"> </w:t>
      </w:r>
      <w:r>
        <w:t>with</w:t>
      </w:r>
      <w:r w:rsidR="00A03629">
        <w:t xml:space="preserve"> </w:t>
      </w:r>
      <w:r>
        <w:t>specified</w:t>
      </w:r>
      <w:r w:rsidR="00A03629">
        <w:t xml:space="preserve"> </w:t>
      </w:r>
      <w:r>
        <w:t>performance</w:t>
      </w:r>
      <w:r w:rsidR="00A03629">
        <w:t xml:space="preserve"> </w:t>
      </w:r>
      <w:r>
        <w:t>criteria.</w:t>
      </w:r>
    </w:p>
    <w:p w14:paraId="280D99D8" w14:textId="46D603FD" w:rsidR="000756EB" w:rsidRDefault="004A4D88" w:rsidP="00FF5A0A">
      <w:r>
        <w:t>Other</w:t>
      </w:r>
      <w:r w:rsidR="00A03629">
        <w:t xml:space="preserve"> </w:t>
      </w:r>
      <w:r>
        <w:t>forms</w:t>
      </w:r>
      <w:r w:rsidR="00A03629">
        <w:t xml:space="preserve"> </w:t>
      </w:r>
      <w:r>
        <w:t>of</w:t>
      </w:r>
      <w:r w:rsidR="00A03629">
        <w:t xml:space="preserve"> </w:t>
      </w:r>
      <w:r>
        <w:t>appropriation</w:t>
      </w:r>
      <w:r w:rsidR="00A03629">
        <w:t xml:space="preserve"> </w:t>
      </w:r>
      <w:proofErr w:type="gramStart"/>
      <w:r>
        <w:t>includes</w:t>
      </w:r>
      <w:proofErr w:type="gramEnd"/>
      <w:r w:rsidR="00A03629">
        <w:t xml:space="preserve"> </w:t>
      </w:r>
      <w:r>
        <w:t>‘Additions</w:t>
      </w:r>
      <w:r w:rsidR="00A03629">
        <w:t xml:space="preserve"> </w:t>
      </w:r>
      <w:r>
        <w:t>to</w:t>
      </w:r>
      <w:r w:rsidR="00A03629">
        <w:t xml:space="preserve"> </w:t>
      </w:r>
      <w:r>
        <w:t>the</w:t>
      </w:r>
      <w:r w:rsidR="00A03629">
        <w:t xml:space="preserve"> </w:t>
      </w:r>
      <w:r>
        <w:t>Net</w:t>
      </w:r>
      <w:r w:rsidR="00A03629">
        <w:t xml:space="preserve"> </w:t>
      </w:r>
      <w:r>
        <w:t>Assets</w:t>
      </w:r>
      <w:r w:rsidR="00A03629">
        <w:t xml:space="preserve"> </w:t>
      </w:r>
      <w:r>
        <w:t>Base’</w:t>
      </w:r>
      <w:r w:rsidR="00A03629">
        <w:t xml:space="preserve"> </w:t>
      </w:r>
      <w:r>
        <w:t>(ATNAB)</w:t>
      </w:r>
      <w:r w:rsidR="00A03629">
        <w:t xml:space="preserve"> </w:t>
      </w:r>
      <w:r>
        <w:t>that</w:t>
      </w:r>
      <w:r w:rsidR="00A03629">
        <w:t xml:space="preserve"> </w:t>
      </w:r>
      <w:r>
        <w:t>provides</w:t>
      </w:r>
      <w:r w:rsidR="00A03629">
        <w:t xml:space="preserve"> </w:t>
      </w:r>
      <w:r>
        <w:t>for</w:t>
      </w:r>
      <w:r w:rsidR="00A03629">
        <w:t xml:space="preserve"> </w:t>
      </w:r>
      <w:r>
        <w:t>an</w:t>
      </w:r>
      <w:r w:rsidR="00A03629">
        <w:t xml:space="preserve"> </w:t>
      </w:r>
      <w:r>
        <w:t>increase</w:t>
      </w:r>
      <w:r w:rsidR="00A03629">
        <w:t xml:space="preserve"> </w:t>
      </w:r>
      <w:r>
        <w:t>in</w:t>
      </w:r>
      <w:r w:rsidR="00A03629">
        <w:t xml:space="preserve"> </w:t>
      </w:r>
      <w:r>
        <w:t>the</w:t>
      </w:r>
      <w:r w:rsidR="00A03629">
        <w:t xml:space="preserve"> </w:t>
      </w:r>
      <w:r>
        <w:t>net</w:t>
      </w:r>
      <w:r w:rsidR="00A03629">
        <w:t xml:space="preserve"> </w:t>
      </w:r>
      <w:r>
        <w:t>capital</w:t>
      </w:r>
      <w:r w:rsidR="00A03629">
        <w:t xml:space="preserve"> </w:t>
      </w:r>
      <w:r>
        <w:t>base</w:t>
      </w:r>
      <w:r w:rsidR="00A03629">
        <w:t xml:space="preserve"> </w:t>
      </w:r>
      <w:r>
        <w:t>and</w:t>
      </w:r>
      <w:r w:rsidR="00A03629">
        <w:t xml:space="preserve"> </w:t>
      </w:r>
      <w:r>
        <w:t>‘Payments</w:t>
      </w:r>
      <w:r w:rsidR="00A03629">
        <w:t xml:space="preserve"> </w:t>
      </w:r>
      <w:r>
        <w:t>on</w:t>
      </w:r>
      <w:r w:rsidR="00A03629">
        <w:t xml:space="preserve"> </w:t>
      </w:r>
      <w:r>
        <w:t>behalf</w:t>
      </w:r>
      <w:r w:rsidR="00A03629">
        <w:t xml:space="preserve"> </w:t>
      </w:r>
      <w:r>
        <w:t>of</w:t>
      </w:r>
      <w:r w:rsidR="00A03629">
        <w:t xml:space="preserve"> </w:t>
      </w:r>
      <w:r>
        <w:t>the</w:t>
      </w:r>
      <w:r w:rsidR="00A03629">
        <w:t xml:space="preserve"> </w:t>
      </w:r>
      <w:r>
        <w:t>State’</w:t>
      </w:r>
      <w:r w:rsidR="00A03629">
        <w:t xml:space="preserve"> </w:t>
      </w:r>
      <w:r>
        <w:t>(POBOS).</w:t>
      </w:r>
      <w:r w:rsidR="00A03629">
        <w:t xml:space="preserve"> </w:t>
      </w:r>
      <w:r>
        <w:t>POBOS</w:t>
      </w:r>
      <w:r w:rsidR="00A03629">
        <w:t xml:space="preserve"> </w:t>
      </w:r>
      <w:r>
        <w:t>is</w:t>
      </w:r>
      <w:r w:rsidR="00A03629">
        <w:t xml:space="preserve"> </w:t>
      </w:r>
      <w:r>
        <w:t>an</w:t>
      </w:r>
      <w:r w:rsidR="00A03629">
        <w:t xml:space="preserve"> </w:t>
      </w:r>
      <w:r>
        <w:t>appropriation</w:t>
      </w:r>
      <w:r w:rsidR="00A03629">
        <w:t xml:space="preserve"> </w:t>
      </w:r>
      <w:r>
        <w:t>which</w:t>
      </w:r>
      <w:r w:rsidR="00A03629">
        <w:t xml:space="preserve"> </w:t>
      </w:r>
      <w:r>
        <w:t>provides</w:t>
      </w:r>
      <w:r w:rsidR="00A03629">
        <w:t xml:space="preserve"> </w:t>
      </w:r>
      <w:r>
        <w:t>for</w:t>
      </w:r>
      <w:r w:rsidR="00A03629">
        <w:t xml:space="preserve"> </w:t>
      </w:r>
      <w:r>
        <w:t>payments</w:t>
      </w:r>
      <w:r w:rsidR="00A03629">
        <w:t xml:space="preserve"> </w:t>
      </w:r>
      <w:r>
        <w:t>to</w:t>
      </w:r>
      <w:r w:rsidR="00A03629">
        <w:t xml:space="preserve"> </w:t>
      </w:r>
      <w:r>
        <w:t>be</w:t>
      </w:r>
      <w:r w:rsidR="00A03629">
        <w:t xml:space="preserve"> </w:t>
      </w:r>
      <w:r>
        <w:t>made</w:t>
      </w:r>
      <w:r w:rsidR="00A03629">
        <w:t xml:space="preserve"> </w:t>
      </w:r>
      <w:r>
        <w:t>on</w:t>
      </w:r>
      <w:r w:rsidR="00A03629">
        <w:t xml:space="preserve"> </w:t>
      </w:r>
      <w:r>
        <w:t>behalf</w:t>
      </w:r>
      <w:r w:rsidR="00A03629">
        <w:t xml:space="preserve"> </w:t>
      </w:r>
      <w:r>
        <w:t>of</w:t>
      </w:r>
      <w:r w:rsidR="00A03629">
        <w:t xml:space="preserve"> </w:t>
      </w:r>
      <w:r>
        <w:t>the</w:t>
      </w:r>
      <w:r w:rsidR="00A03629">
        <w:t xml:space="preserve"> </w:t>
      </w:r>
      <w:r>
        <w:t>State.</w:t>
      </w:r>
      <w:r w:rsidR="00A03629">
        <w:t xml:space="preserve"> </w:t>
      </w:r>
      <w:r>
        <w:t>These</w:t>
      </w:r>
      <w:r w:rsidR="00A03629">
        <w:t xml:space="preserve"> </w:t>
      </w:r>
      <w:r>
        <w:t>payments</w:t>
      </w:r>
      <w:r w:rsidR="00A03629">
        <w:t xml:space="preserve"> </w:t>
      </w:r>
      <w:r>
        <w:t>are</w:t>
      </w:r>
      <w:r w:rsidR="00A03629">
        <w:t xml:space="preserve"> </w:t>
      </w:r>
      <w:r>
        <w:t>not</w:t>
      </w:r>
      <w:r w:rsidR="00A03629">
        <w:t xml:space="preserve"> </w:t>
      </w:r>
      <w:r>
        <w:t>related</w:t>
      </w:r>
      <w:r w:rsidR="00A03629">
        <w:t xml:space="preserve"> </w:t>
      </w:r>
      <w:r>
        <w:t>to</w:t>
      </w:r>
      <w:r w:rsidR="00A03629">
        <w:t xml:space="preserve"> </w:t>
      </w:r>
      <w:r>
        <w:t>the</w:t>
      </w:r>
      <w:r w:rsidR="00A03629">
        <w:t xml:space="preserve"> </w:t>
      </w:r>
      <w:r>
        <w:t>direct</w:t>
      </w:r>
      <w:r w:rsidR="00A03629">
        <w:t xml:space="preserve"> </w:t>
      </w:r>
      <w:r>
        <w:t>provision</w:t>
      </w:r>
      <w:r w:rsidR="00A03629">
        <w:t xml:space="preserve"> </w:t>
      </w:r>
      <w:r>
        <w:t>of</w:t>
      </w:r>
      <w:r w:rsidR="00A03629">
        <w:t xml:space="preserve"> </w:t>
      </w:r>
      <w:r>
        <w:t>outputs</w:t>
      </w:r>
      <w:r w:rsidR="00A03629">
        <w:t xml:space="preserve"> </w:t>
      </w:r>
      <w:r>
        <w:t>of</w:t>
      </w:r>
      <w:r w:rsidR="00A03629">
        <w:t xml:space="preserve"> </w:t>
      </w:r>
      <w:r>
        <w:t>DJSIR.</w:t>
      </w:r>
    </w:p>
    <w:p w14:paraId="37ED20F4" w14:textId="3343D93D" w:rsidR="000756EB" w:rsidRDefault="004A4D88" w:rsidP="00FF5A0A">
      <w:pPr>
        <w:pStyle w:val="Heading2"/>
      </w:pPr>
      <w:bookmarkStart w:id="17" w:name="_Toc149911799"/>
      <w:r>
        <w:t>2.3</w:t>
      </w:r>
      <w:r w:rsidR="00DE38B5">
        <w:t xml:space="preserve"> </w:t>
      </w:r>
      <w:r>
        <w:t>Summary</w:t>
      </w:r>
      <w:r w:rsidR="00A03629">
        <w:t xml:space="preserve"> </w:t>
      </w:r>
      <w:r>
        <w:t>of</w:t>
      </w:r>
      <w:r w:rsidR="00A03629">
        <w:t xml:space="preserve"> </w:t>
      </w:r>
      <w:r>
        <w:t>compliance</w:t>
      </w:r>
      <w:r w:rsidR="00A03629">
        <w:t xml:space="preserve"> </w:t>
      </w:r>
      <w:r>
        <w:t>with</w:t>
      </w:r>
      <w:r w:rsidR="00A03629">
        <w:t xml:space="preserve"> </w:t>
      </w:r>
      <w:r>
        <w:t>annual</w:t>
      </w:r>
      <w:r w:rsidR="00A03629">
        <w:t xml:space="preserve"> </w:t>
      </w:r>
      <w:r>
        <w:t>Parliamentary</w:t>
      </w:r>
      <w:r w:rsidR="00A03629">
        <w:t xml:space="preserve"> </w:t>
      </w:r>
      <w:r>
        <w:t>appropriations</w:t>
      </w:r>
      <w:bookmarkEnd w:id="17"/>
    </w:p>
    <w:p w14:paraId="1F15EF95" w14:textId="2B6222A9" w:rsidR="000756EB" w:rsidRDefault="004A4D88" w:rsidP="00FF5A0A">
      <w:r>
        <w:t>The</w:t>
      </w:r>
      <w:r w:rsidR="00A03629">
        <w:t xml:space="preserve"> </w:t>
      </w:r>
      <w:r>
        <w:t>following</w:t>
      </w:r>
      <w:r w:rsidR="00A03629">
        <w:t xml:space="preserve"> </w:t>
      </w:r>
      <w:r>
        <w:t>table</w:t>
      </w:r>
      <w:r w:rsidR="00A03629">
        <w:t xml:space="preserve"> </w:t>
      </w:r>
      <w:r>
        <w:t>discloses</w:t>
      </w:r>
      <w:r w:rsidR="00A03629">
        <w:t xml:space="preserve"> </w:t>
      </w:r>
      <w:r>
        <w:t>the</w:t>
      </w:r>
      <w:r w:rsidR="00A03629">
        <w:t xml:space="preserve"> </w:t>
      </w:r>
      <w:r>
        <w:t>details</w:t>
      </w:r>
      <w:r w:rsidR="00A03629">
        <w:t xml:space="preserve"> </w:t>
      </w:r>
      <w:r>
        <w:t>of</w:t>
      </w:r>
      <w:r w:rsidR="00A03629">
        <w:t xml:space="preserve"> </w:t>
      </w:r>
      <w:r>
        <w:t>the</w:t>
      </w:r>
      <w:r w:rsidR="00A03629">
        <w:t xml:space="preserve"> </w:t>
      </w:r>
      <w:r>
        <w:t>various</w:t>
      </w:r>
      <w:r w:rsidR="00A03629">
        <w:t xml:space="preserve"> </w:t>
      </w:r>
      <w:r>
        <w:t>annual</w:t>
      </w:r>
      <w:r w:rsidR="00A03629">
        <w:t xml:space="preserve"> </w:t>
      </w:r>
      <w:r>
        <w:t>Parliamentary</w:t>
      </w:r>
      <w:r w:rsidR="00A03629">
        <w:t xml:space="preserve"> </w:t>
      </w:r>
      <w:r>
        <w:t>appropriations</w:t>
      </w:r>
      <w:r w:rsidR="00A03629">
        <w:t xml:space="preserve"> </w:t>
      </w:r>
      <w:r>
        <w:t>received</w:t>
      </w:r>
      <w:r w:rsidR="00A03629">
        <w:t xml:space="preserve"> </w:t>
      </w:r>
      <w:r>
        <w:t>by</w:t>
      </w:r>
      <w:r w:rsidR="00A03629">
        <w:rPr>
          <w:rFonts w:ascii="Cambria" w:hAnsi="Cambria" w:cs="Cambria"/>
        </w:rPr>
        <w:t xml:space="preserve"> </w:t>
      </w:r>
      <w:r>
        <w:t>DJSIR</w:t>
      </w:r>
      <w:r w:rsidR="00A03629">
        <w:t xml:space="preserve"> </w:t>
      </w:r>
      <w:r>
        <w:t>for</w:t>
      </w:r>
      <w:r w:rsidR="00A03629">
        <w:t xml:space="preserve"> </w:t>
      </w:r>
      <w:r>
        <w:t>the</w:t>
      </w:r>
      <w:r w:rsidR="00A03629">
        <w:t xml:space="preserve"> </w:t>
      </w:r>
      <w:r>
        <w:t>year.</w:t>
      </w:r>
    </w:p>
    <w:p w14:paraId="2794F0C9" w14:textId="3A59F1D9" w:rsidR="000756EB" w:rsidRDefault="004A4D88" w:rsidP="00FF5A0A">
      <w:r>
        <w:t>In</w:t>
      </w:r>
      <w:r w:rsidR="00A03629">
        <w:t xml:space="preserve"> </w:t>
      </w:r>
      <w:r>
        <w:t>accordance</w:t>
      </w:r>
      <w:r w:rsidR="00A03629">
        <w:t xml:space="preserve"> </w:t>
      </w:r>
      <w:r>
        <w:t>with</w:t>
      </w:r>
      <w:r w:rsidR="00A03629">
        <w:t xml:space="preserve"> </w:t>
      </w:r>
      <w:r>
        <w:t>accrual</w:t>
      </w:r>
      <w:r w:rsidR="00A03629">
        <w:t xml:space="preserve"> </w:t>
      </w:r>
      <w:r>
        <w:t>output-based</w:t>
      </w:r>
      <w:r w:rsidR="00A03629">
        <w:t xml:space="preserve"> </w:t>
      </w:r>
      <w:r>
        <w:t>management</w:t>
      </w:r>
      <w:r w:rsidR="00A03629">
        <w:t xml:space="preserve"> </w:t>
      </w:r>
      <w:r>
        <w:t>procedures,</w:t>
      </w:r>
      <w:r w:rsidR="00A03629">
        <w:t xml:space="preserve"> </w:t>
      </w:r>
      <w:r>
        <w:t>‘provision</w:t>
      </w:r>
      <w:r w:rsidR="00A03629">
        <w:t xml:space="preserve"> </w:t>
      </w:r>
      <w:r>
        <w:t>of</w:t>
      </w:r>
      <w:r w:rsidR="00A03629">
        <w:t xml:space="preserve"> </w:t>
      </w:r>
      <w:r>
        <w:t>outputs’</w:t>
      </w:r>
      <w:r w:rsidR="00A03629">
        <w:t xml:space="preserve"> </w:t>
      </w:r>
      <w:r>
        <w:t>and</w:t>
      </w:r>
      <w:r w:rsidR="00A03629">
        <w:t xml:space="preserve"> </w:t>
      </w:r>
      <w:r>
        <w:t>‘additions</w:t>
      </w:r>
      <w:r w:rsidR="00A03629">
        <w:t xml:space="preserve"> </w:t>
      </w:r>
      <w:r>
        <w:t>to</w:t>
      </w:r>
      <w:r w:rsidR="00A03629">
        <w:t xml:space="preserve"> </w:t>
      </w:r>
      <w:r>
        <w:t>net</w:t>
      </w:r>
      <w:r w:rsidR="00A03629">
        <w:t xml:space="preserve"> </w:t>
      </w:r>
      <w:r>
        <w:t>assets’</w:t>
      </w:r>
      <w:r w:rsidR="00A03629">
        <w:t xml:space="preserve"> </w:t>
      </w:r>
      <w:r>
        <w:t>are</w:t>
      </w:r>
      <w:r w:rsidR="00A03629">
        <w:t xml:space="preserve"> </w:t>
      </w:r>
      <w:r>
        <w:t>disclosed</w:t>
      </w:r>
      <w:r w:rsidR="00A03629">
        <w:t xml:space="preserve"> </w:t>
      </w:r>
      <w:r>
        <w:t>as</w:t>
      </w:r>
      <w:r w:rsidR="00A03629">
        <w:t xml:space="preserve"> </w:t>
      </w:r>
      <w:r>
        <w:t>‘controlled’</w:t>
      </w:r>
      <w:r w:rsidR="00A03629">
        <w:t xml:space="preserve"> </w:t>
      </w:r>
      <w:r>
        <w:t>activities</w:t>
      </w:r>
      <w:r w:rsidR="00A03629">
        <w:t xml:space="preserve"> </w:t>
      </w:r>
      <w:r>
        <w:t>of</w:t>
      </w:r>
      <w:r w:rsidR="00A03629">
        <w:t xml:space="preserve"> </w:t>
      </w:r>
      <w:r>
        <w:t>DJSIR.</w:t>
      </w:r>
      <w:r w:rsidR="00A03629">
        <w:t xml:space="preserve"> </w:t>
      </w:r>
      <w:r>
        <w:t>Administered</w:t>
      </w:r>
      <w:r w:rsidR="00A03629">
        <w:t xml:space="preserve"> </w:t>
      </w:r>
      <w:r>
        <w:t>transactions</w:t>
      </w:r>
      <w:r w:rsidR="00A03629">
        <w:t xml:space="preserve"> </w:t>
      </w:r>
      <w:r>
        <w:t>are</w:t>
      </w:r>
      <w:r w:rsidR="00A03629">
        <w:t xml:space="preserve"> </w:t>
      </w:r>
      <w:r>
        <w:t>those</w:t>
      </w:r>
      <w:r w:rsidR="00A03629">
        <w:t xml:space="preserve"> </w:t>
      </w:r>
      <w:r>
        <w:t>that</w:t>
      </w:r>
      <w:r w:rsidR="00A03629">
        <w:t xml:space="preserve"> </w:t>
      </w:r>
      <w:r>
        <w:t>are</w:t>
      </w:r>
      <w:r w:rsidR="00A03629">
        <w:t xml:space="preserve"> </w:t>
      </w:r>
      <w:r>
        <w:t>undertaken</w:t>
      </w:r>
      <w:r w:rsidR="00A03629">
        <w:t xml:space="preserve"> </w:t>
      </w:r>
      <w:r>
        <w:t>on</w:t>
      </w:r>
      <w:r w:rsidR="00A03629">
        <w:t xml:space="preserve"> </w:t>
      </w:r>
      <w:r>
        <w:t>behalf</w:t>
      </w:r>
      <w:r w:rsidR="00A03629">
        <w:t xml:space="preserve"> </w:t>
      </w:r>
      <w:r>
        <w:t>of</w:t>
      </w:r>
      <w:r w:rsidR="00A03629">
        <w:t xml:space="preserve"> </w:t>
      </w:r>
      <w:r>
        <w:t>the</w:t>
      </w:r>
      <w:r w:rsidR="00A03629">
        <w:t xml:space="preserve"> </w:t>
      </w:r>
      <w:r>
        <w:t>State</w:t>
      </w:r>
      <w:r w:rsidR="00A03629">
        <w:t xml:space="preserve"> </w:t>
      </w:r>
      <w:r>
        <w:t>over</w:t>
      </w:r>
      <w:r w:rsidR="00A03629">
        <w:t xml:space="preserve"> </w:t>
      </w:r>
      <w:r>
        <w:t>which</w:t>
      </w:r>
      <w:r w:rsidR="00A03629">
        <w:t xml:space="preserve"> </w:t>
      </w:r>
      <w:r>
        <w:t>DJSIR</w:t>
      </w:r>
      <w:r w:rsidR="00A03629">
        <w:t xml:space="preserve"> </w:t>
      </w:r>
      <w:r>
        <w:t>has</w:t>
      </w:r>
      <w:r w:rsidR="00A03629">
        <w:t xml:space="preserve"> </w:t>
      </w:r>
      <w:r>
        <w:t>no</w:t>
      </w:r>
      <w:r w:rsidR="00A03629">
        <w:t xml:space="preserve"> </w:t>
      </w:r>
      <w:r>
        <w:t>control</w:t>
      </w:r>
      <w:r w:rsidR="00A03629">
        <w:t xml:space="preserve"> </w:t>
      </w:r>
      <w:r>
        <w:t>or</w:t>
      </w:r>
      <w:r w:rsidR="00A03629">
        <w:t xml:space="preserve"> </w:t>
      </w:r>
      <w:r>
        <w:t>discretion.</w:t>
      </w:r>
    </w:p>
    <w:p w14:paraId="2B615A54" w14:textId="77777777" w:rsidR="007D544B" w:rsidRDefault="007D544B" w:rsidP="00FF5A0A">
      <w:pPr>
        <w:sectPr w:rsidR="007D544B" w:rsidSect="00D76126">
          <w:headerReference w:type="even" r:id="rId13"/>
          <w:footerReference w:type="even" r:id="rId14"/>
          <w:headerReference w:type="first" r:id="rId15"/>
          <w:footerReference w:type="first" r:id="rId16"/>
          <w:pgSz w:w="11906" w:h="16838" w:code="9"/>
          <w:pgMar w:top="1134" w:right="851" w:bottom="1134" w:left="851" w:header="397" w:footer="397" w:gutter="0"/>
          <w:cols w:space="720"/>
          <w:noEndnote/>
        </w:sectPr>
      </w:pPr>
    </w:p>
    <w:tbl>
      <w:tblPr>
        <w:tblStyle w:val="TableGrid"/>
        <w:tblW w:w="15406" w:type="dxa"/>
        <w:tblLayout w:type="fixed"/>
        <w:tblLook w:val="0020" w:firstRow="1" w:lastRow="0" w:firstColumn="0" w:lastColumn="0" w:noHBand="0" w:noVBand="0"/>
      </w:tblPr>
      <w:tblGrid>
        <w:gridCol w:w="2109"/>
        <w:gridCol w:w="1572"/>
        <w:gridCol w:w="1559"/>
        <w:gridCol w:w="1418"/>
        <w:gridCol w:w="1417"/>
        <w:gridCol w:w="1418"/>
        <w:gridCol w:w="1417"/>
        <w:gridCol w:w="1521"/>
        <w:gridCol w:w="1598"/>
        <w:gridCol w:w="1377"/>
      </w:tblGrid>
      <w:tr w:rsidR="00FF5A0A" w:rsidRPr="00F70498" w14:paraId="150C5BCA" w14:textId="77777777" w:rsidTr="005C22C3">
        <w:trPr>
          <w:tblHeader/>
        </w:trPr>
        <w:tc>
          <w:tcPr>
            <w:tcW w:w="2109" w:type="dxa"/>
          </w:tcPr>
          <w:p w14:paraId="344D9E51" w14:textId="77777777" w:rsidR="00FF5A0A" w:rsidRPr="00F70498" w:rsidRDefault="00FF5A0A" w:rsidP="00F70498">
            <w:pPr>
              <w:pStyle w:val="TableColumnHeading"/>
              <w:rPr>
                <w:sz w:val="20"/>
                <w:szCs w:val="28"/>
              </w:rPr>
            </w:pPr>
          </w:p>
        </w:tc>
        <w:tc>
          <w:tcPr>
            <w:tcW w:w="1572" w:type="dxa"/>
          </w:tcPr>
          <w:p w14:paraId="20BF57CE" w14:textId="34B47E50" w:rsidR="00FF5A0A" w:rsidRPr="00F70498" w:rsidRDefault="007D544B" w:rsidP="00D76126">
            <w:pPr>
              <w:pStyle w:val="TableColumnHeading"/>
              <w:jc w:val="right"/>
              <w:rPr>
                <w:sz w:val="20"/>
                <w:szCs w:val="28"/>
              </w:rPr>
            </w:pPr>
            <w:r w:rsidRPr="00F70498">
              <w:rPr>
                <w:sz w:val="20"/>
                <w:szCs w:val="28"/>
              </w:rPr>
              <w:t xml:space="preserve">Appropriations Act </w:t>
            </w:r>
            <w:r w:rsidR="00F70498" w:rsidRPr="00F70498">
              <w:rPr>
                <w:sz w:val="20"/>
                <w:szCs w:val="28"/>
              </w:rPr>
              <w:br/>
            </w:r>
            <w:r w:rsidR="00FF5A0A" w:rsidRPr="00F70498">
              <w:rPr>
                <w:sz w:val="20"/>
                <w:szCs w:val="28"/>
              </w:rPr>
              <w:t xml:space="preserve">Annual Appropriation </w:t>
            </w:r>
            <w:r w:rsidR="00FF5A0A" w:rsidRPr="00F70498">
              <w:rPr>
                <w:sz w:val="20"/>
                <w:szCs w:val="28"/>
                <w:vertAlign w:val="superscript"/>
              </w:rPr>
              <w:t>(</w:t>
            </w:r>
            <w:proofErr w:type="spellStart"/>
            <w:r w:rsidR="00FF5A0A" w:rsidRPr="00F70498">
              <w:rPr>
                <w:sz w:val="20"/>
                <w:szCs w:val="28"/>
                <w:vertAlign w:val="superscript"/>
              </w:rPr>
              <w:t>i</w:t>
            </w:r>
            <w:proofErr w:type="spellEnd"/>
            <w:r w:rsidR="00FF5A0A" w:rsidRPr="00F70498">
              <w:rPr>
                <w:sz w:val="20"/>
                <w:szCs w:val="28"/>
                <w:vertAlign w:val="superscript"/>
              </w:rPr>
              <w:t>)</w:t>
            </w:r>
            <w:r w:rsidRPr="00F70498">
              <w:rPr>
                <w:sz w:val="20"/>
                <w:szCs w:val="28"/>
              </w:rPr>
              <w:t xml:space="preserve"> ($</w:t>
            </w:r>
            <w:r w:rsidR="00F70498" w:rsidRPr="00F70498">
              <w:rPr>
                <w:sz w:val="20"/>
                <w:szCs w:val="28"/>
              </w:rPr>
              <w:t> </w:t>
            </w:r>
            <w:r w:rsidRPr="00F70498">
              <w:rPr>
                <w:sz w:val="20"/>
                <w:szCs w:val="28"/>
              </w:rPr>
              <w:t>thousand)</w:t>
            </w:r>
          </w:p>
        </w:tc>
        <w:tc>
          <w:tcPr>
            <w:tcW w:w="1559" w:type="dxa"/>
          </w:tcPr>
          <w:p w14:paraId="67982D29" w14:textId="23A965D6" w:rsidR="00FF5A0A" w:rsidRPr="00F70498" w:rsidRDefault="007D544B" w:rsidP="00D76126">
            <w:pPr>
              <w:pStyle w:val="TableColumnHeading"/>
              <w:jc w:val="right"/>
              <w:rPr>
                <w:sz w:val="20"/>
                <w:szCs w:val="28"/>
              </w:rPr>
            </w:pPr>
            <w:r w:rsidRPr="00F70498">
              <w:rPr>
                <w:sz w:val="20"/>
                <w:szCs w:val="28"/>
              </w:rPr>
              <w:t xml:space="preserve">Appropriations Act </w:t>
            </w:r>
            <w:r w:rsidR="00F70498" w:rsidRPr="00F70498">
              <w:rPr>
                <w:sz w:val="20"/>
                <w:szCs w:val="28"/>
              </w:rPr>
              <w:br/>
            </w:r>
            <w:r w:rsidR="00FF5A0A" w:rsidRPr="00F70498">
              <w:rPr>
                <w:sz w:val="20"/>
                <w:szCs w:val="28"/>
              </w:rPr>
              <w:t>Advance from Treasurer</w:t>
            </w:r>
            <w:r w:rsidRPr="00F70498">
              <w:rPr>
                <w:sz w:val="20"/>
                <w:szCs w:val="28"/>
              </w:rPr>
              <w:t xml:space="preserve"> ($</w:t>
            </w:r>
            <w:r w:rsidR="00F70498" w:rsidRPr="00F70498">
              <w:rPr>
                <w:sz w:val="20"/>
                <w:szCs w:val="28"/>
              </w:rPr>
              <w:t> </w:t>
            </w:r>
            <w:r w:rsidRPr="00F70498">
              <w:rPr>
                <w:sz w:val="20"/>
                <w:szCs w:val="28"/>
              </w:rPr>
              <w:t>thousand)</w:t>
            </w:r>
          </w:p>
        </w:tc>
        <w:tc>
          <w:tcPr>
            <w:tcW w:w="1418" w:type="dxa"/>
          </w:tcPr>
          <w:p w14:paraId="07E75CE9" w14:textId="0BC4BC46" w:rsidR="00FF5A0A" w:rsidRPr="00F70498" w:rsidRDefault="007D544B" w:rsidP="00D76126">
            <w:pPr>
              <w:pStyle w:val="TableColumnHeading"/>
              <w:jc w:val="right"/>
              <w:rPr>
                <w:sz w:val="20"/>
                <w:szCs w:val="28"/>
              </w:rPr>
            </w:pPr>
            <w:r w:rsidRPr="00F70498">
              <w:rPr>
                <w:sz w:val="20"/>
                <w:szCs w:val="28"/>
              </w:rPr>
              <w:t xml:space="preserve">Financial Management Act </w:t>
            </w:r>
            <w:r w:rsidR="00F70498" w:rsidRPr="00F70498">
              <w:rPr>
                <w:sz w:val="20"/>
                <w:szCs w:val="28"/>
              </w:rPr>
              <w:br/>
            </w:r>
            <w:r w:rsidR="00FF5A0A" w:rsidRPr="00F70498">
              <w:rPr>
                <w:sz w:val="20"/>
                <w:szCs w:val="28"/>
              </w:rPr>
              <w:t>Section 29</w:t>
            </w:r>
            <w:r w:rsidRPr="00F70498">
              <w:rPr>
                <w:sz w:val="20"/>
                <w:szCs w:val="28"/>
              </w:rPr>
              <w:t xml:space="preserve"> ($</w:t>
            </w:r>
            <w:r w:rsidR="00F70498" w:rsidRPr="00F70498">
              <w:rPr>
                <w:sz w:val="20"/>
                <w:szCs w:val="28"/>
              </w:rPr>
              <w:t> </w:t>
            </w:r>
            <w:r w:rsidRPr="00F70498">
              <w:rPr>
                <w:sz w:val="20"/>
                <w:szCs w:val="28"/>
              </w:rPr>
              <w:t>thousand)</w:t>
            </w:r>
          </w:p>
        </w:tc>
        <w:tc>
          <w:tcPr>
            <w:tcW w:w="1417" w:type="dxa"/>
          </w:tcPr>
          <w:p w14:paraId="51E3FDC2" w14:textId="15777AA9" w:rsidR="00FF5A0A" w:rsidRPr="00F70498" w:rsidRDefault="007D544B" w:rsidP="00D76126">
            <w:pPr>
              <w:pStyle w:val="TableColumnHeading"/>
              <w:jc w:val="right"/>
              <w:rPr>
                <w:sz w:val="20"/>
                <w:szCs w:val="28"/>
              </w:rPr>
            </w:pPr>
            <w:r w:rsidRPr="00F70498">
              <w:rPr>
                <w:sz w:val="20"/>
                <w:szCs w:val="28"/>
              </w:rPr>
              <w:t xml:space="preserve">Financial Management Act </w:t>
            </w:r>
            <w:r w:rsidR="00F70498" w:rsidRPr="00F70498">
              <w:rPr>
                <w:sz w:val="20"/>
                <w:szCs w:val="28"/>
              </w:rPr>
              <w:br/>
            </w:r>
            <w:r w:rsidR="00FF5A0A" w:rsidRPr="00F70498">
              <w:rPr>
                <w:sz w:val="20"/>
                <w:szCs w:val="28"/>
              </w:rPr>
              <w:t>Section 30</w:t>
            </w:r>
            <w:r w:rsidRPr="00F70498">
              <w:rPr>
                <w:sz w:val="20"/>
                <w:szCs w:val="28"/>
              </w:rPr>
              <w:t xml:space="preserve"> ($</w:t>
            </w:r>
            <w:r w:rsidR="00F70498" w:rsidRPr="00F70498">
              <w:rPr>
                <w:sz w:val="20"/>
                <w:szCs w:val="28"/>
              </w:rPr>
              <w:t> </w:t>
            </w:r>
            <w:r w:rsidRPr="00F70498">
              <w:rPr>
                <w:sz w:val="20"/>
                <w:szCs w:val="28"/>
              </w:rPr>
              <w:t>thousand)</w:t>
            </w:r>
          </w:p>
        </w:tc>
        <w:tc>
          <w:tcPr>
            <w:tcW w:w="1418" w:type="dxa"/>
          </w:tcPr>
          <w:p w14:paraId="328ACE46" w14:textId="506970D0" w:rsidR="00FF5A0A" w:rsidRPr="00F70498" w:rsidRDefault="007D544B" w:rsidP="00D76126">
            <w:pPr>
              <w:pStyle w:val="TableColumnHeading"/>
              <w:jc w:val="right"/>
              <w:rPr>
                <w:sz w:val="20"/>
                <w:szCs w:val="28"/>
              </w:rPr>
            </w:pPr>
            <w:r w:rsidRPr="00F70498">
              <w:rPr>
                <w:sz w:val="20"/>
                <w:szCs w:val="28"/>
              </w:rPr>
              <w:t xml:space="preserve">Financial Management Act </w:t>
            </w:r>
            <w:r w:rsidRPr="00F70498">
              <w:rPr>
                <w:sz w:val="20"/>
                <w:szCs w:val="28"/>
              </w:rPr>
              <w:br/>
            </w:r>
            <w:r w:rsidR="00FF5A0A" w:rsidRPr="00F70498">
              <w:rPr>
                <w:sz w:val="20"/>
                <w:szCs w:val="28"/>
              </w:rPr>
              <w:t>Section 32</w:t>
            </w:r>
            <w:r w:rsidRPr="00F70498">
              <w:rPr>
                <w:sz w:val="20"/>
                <w:szCs w:val="28"/>
              </w:rPr>
              <w:t xml:space="preserve"> ($</w:t>
            </w:r>
            <w:r w:rsidR="00F70498" w:rsidRPr="00F70498">
              <w:rPr>
                <w:sz w:val="20"/>
                <w:szCs w:val="28"/>
              </w:rPr>
              <w:t> </w:t>
            </w:r>
            <w:r w:rsidRPr="00F70498">
              <w:rPr>
                <w:sz w:val="20"/>
                <w:szCs w:val="28"/>
              </w:rPr>
              <w:t>thousand)</w:t>
            </w:r>
          </w:p>
        </w:tc>
        <w:tc>
          <w:tcPr>
            <w:tcW w:w="1417" w:type="dxa"/>
          </w:tcPr>
          <w:p w14:paraId="12182242" w14:textId="7ABC650E" w:rsidR="00FF5A0A" w:rsidRPr="00F70498" w:rsidRDefault="007D544B" w:rsidP="00D76126">
            <w:pPr>
              <w:pStyle w:val="TableColumnHeading"/>
              <w:jc w:val="right"/>
              <w:rPr>
                <w:sz w:val="20"/>
                <w:szCs w:val="28"/>
              </w:rPr>
            </w:pPr>
            <w:r w:rsidRPr="00F70498">
              <w:rPr>
                <w:sz w:val="20"/>
                <w:szCs w:val="28"/>
              </w:rPr>
              <w:t xml:space="preserve">Financial Management Act </w:t>
            </w:r>
            <w:r w:rsidRPr="00F70498">
              <w:rPr>
                <w:sz w:val="20"/>
                <w:szCs w:val="28"/>
              </w:rPr>
              <w:br/>
            </w:r>
            <w:r w:rsidR="00FF5A0A" w:rsidRPr="00F70498">
              <w:rPr>
                <w:sz w:val="20"/>
                <w:szCs w:val="28"/>
              </w:rPr>
              <w:t xml:space="preserve">Net Machinery of Government Changes </w:t>
            </w:r>
            <w:r w:rsidR="00FF5A0A" w:rsidRPr="00F70498">
              <w:rPr>
                <w:sz w:val="20"/>
                <w:szCs w:val="28"/>
                <w:vertAlign w:val="superscript"/>
              </w:rPr>
              <w:t>(ii)</w:t>
            </w:r>
            <w:r w:rsidRPr="00F70498">
              <w:rPr>
                <w:sz w:val="20"/>
                <w:szCs w:val="28"/>
              </w:rPr>
              <w:t xml:space="preserve"> ($</w:t>
            </w:r>
            <w:r w:rsidR="00F70498" w:rsidRPr="00F70498">
              <w:rPr>
                <w:sz w:val="20"/>
                <w:szCs w:val="28"/>
              </w:rPr>
              <w:t> </w:t>
            </w:r>
            <w:r w:rsidRPr="00F70498">
              <w:rPr>
                <w:sz w:val="20"/>
                <w:szCs w:val="28"/>
              </w:rPr>
              <w:t>thousand)</w:t>
            </w:r>
          </w:p>
        </w:tc>
        <w:tc>
          <w:tcPr>
            <w:tcW w:w="1521" w:type="dxa"/>
          </w:tcPr>
          <w:p w14:paraId="42E6F4C0" w14:textId="10535F6F" w:rsidR="00FF5A0A" w:rsidRPr="00F70498" w:rsidRDefault="00FF5A0A" w:rsidP="00D76126">
            <w:pPr>
              <w:pStyle w:val="TableColumnHeading"/>
              <w:jc w:val="right"/>
              <w:rPr>
                <w:sz w:val="20"/>
                <w:szCs w:val="28"/>
              </w:rPr>
            </w:pPr>
            <w:r w:rsidRPr="00F70498">
              <w:rPr>
                <w:sz w:val="20"/>
                <w:szCs w:val="28"/>
              </w:rPr>
              <w:t>Total Parliamentary authority</w:t>
            </w:r>
            <w:r w:rsidR="007D544B" w:rsidRPr="00F70498">
              <w:rPr>
                <w:sz w:val="20"/>
                <w:szCs w:val="28"/>
              </w:rPr>
              <w:t xml:space="preserve"> ($</w:t>
            </w:r>
            <w:r w:rsidR="00F70498" w:rsidRPr="00F70498">
              <w:rPr>
                <w:sz w:val="20"/>
                <w:szCs w:val="28"/>
              </w:rPr>
              <w:t> </w:t>
            </w:r>
            <w:r w:rsidR="007D544B" w:rsidRPr="00F70498">
              <w:rPr>
                <w:sz w:val="20"/>
                <w:szCs w:val="28"/>
              </w:rPr>
              <w:t>thousand)</w:t>
            </w:r>
          </w:p>
        </w:tc>
        <w:tc>
          <w:tcPr>
            <w:tcW w:w="1598" w:type="dxa"/>
          </w:tcPr>
          <w:p w14:paraId="31483B20" w14:textId="1034F4B3" w:rsidR="00FF5A0A" w:rsidRPr="00F70498" w:rsidRDefault="00FF5A0A" w:rsidP="00D76126">
            <w:pPr>
              <w:pStyle w:val="TableColumnHeading"/>
              <w:jc w:val="right"/>
              <w:rPr>
                <w:sz w:val="20"/>
                <w:szCs w:val="28"/>
              </w:rPr>
            </w:pPr>
            <w:r w:rsidRPr="00F70498">
              <w:rPr>
                <w:sz w:val="20"/>
                <w:szCs w:val="28"/>
              </w:rPr>
              <w:t>Appropriations applied</w:t>
            </w:r>
            <w:r w:rsidR="007D544B" w:rsidRPr="00F70498">
              <w:rPr>
                <w:sz w:val="20"/>
                <w:szCs w:val="28"/>
              </w:rPr>
              <w:t xml:space="preserve"> ($</w:t>
            </w:r>
            <w:r w:rsidR="00F70498" w:rsidRPr="00F70498">
              <w:rPr>
                <w:sz w:val="20"/>
                <w:szCs w:val="28"/>
              </w:rPr>
              <w:t> </w:t>
            </w:r>
            <w:r w:rsidR="007D544B" w:rsidRPr="00F70498">
              <w:rPr>
                <w:sz w:val="20"/>
                <w:szCs w:val="28"/>
              </w:rPr>
              <w:t>thousand)</w:t>
            </w:r>
          </w:p>
        </w:tc>
        <w:tc>
          <w:tcPr>
            <w:tcW w:w="1377" w:type="dxa"/>
          </w:tcPr>
          <w:p w14:paraId="3B10F824" w14:textId="330934B1" w:rsidR="00FF5A0A" w:rsidRPr="00F70498" w:rsidRDefault="00FF5A0A" w:rsidP="00D76126">
            <w:pPr>
              <w:pStyle w:val="TableColumnHeading"/>
              <w:jc w:val="right"/>
              <w:rPr>
                <w:sz w:val="20"/>
                <w:szCs w:val="28"/>
              </w:rPr>
            </w:pPr>
            <w:r w:rsidRPr="00F70498">
              <w:rPr>
                <w:sz w:val="20"/>
                <w:szCs w:val="28"/>
              </w:rPr>
              <w:t xml:space="preserve">Variance </w:t>
            </w:r>
            <w:r w:rsidRPr="00F70498">
              <w:rPr>
                <w:sz w:val="20"/>
                <w:szCs w:val="28"/>
                <w:vertAlign w:val="superscript"/>
              </w:rPr>
              <w:t>(iii)</w:t>
            </w:r>
            <w:r w:rsidR="007D544B" w:rsidRPr="00F70498">
              <w:rPr>
                <w:sz w:val="20"/>
                <w:szCs w:val="28"/>
              </w:rPr>
              <w:t xml:space="preserve"> ($</w:t>
            </w:r>
            <w:r w:rsidR="00F70498" w:rsidRPr="00F70498">
              <w:rPr>
                <w:sz w:val="20"/>
                <w:szCs w:val="28"/>
              </w:rPr>
              <w:t> </w:t>
            </w:r>
            <w:r w:rsidR="007D544B" w:rsidRPr="00F70498">
              <w:rPr>
                <w:sz w:val="20"/>
                <w:szCs w:val="28"/>
              </w:rPr>
              <w:t>thousand)</w:t>
            </w:r>
          </w:p>
        </w:tc>
      </w:tr>
      <w:tr w:rsidR="00D76126" w:rsidRPr="00FF5A0A" w14:paraId="1E5AF1F8" w14:textId="77777777" w:rsidTr="005C22C3">
        <w:tc>
          <w:tcPr>
            <w:tcW w:w="2109" w:type="dxa"/>
          </w:tcPr>
          <w:p w14:paraId="162A1EA4" w14:textId="77777777" w:rsidR="00FF5A0A" w:rsidRPr="00FF5A0A" w:rsidRDefault="00FF5A0A" w:rsidP="00D76126">
            <w:pPr>
              <w:pStyle w:val="TableHeading"/>
            </w:pPr>
            <w:r w:rsidRPr="00FF5A0A">
              <w:t>2023</w:t>
            </w:r>
          </w:p>
        </w:tc>
        <w:tc>
          <w:tcPr>
            <w:tcW w:w="1572" w:type="dxa"/>
          </w:tcPr>
          <w:p w14:paraId="68E62D47" w14:textId="77777777" w:rsidR="00FF5A0A" w:rsidRPr="00FF5A0A" w:rsidRDefault="00FF5A0A" w:rsidP="00D76126">
            <w:pPr>
              <w:pStyle w:val="TableHeading"/>
              <w:jc w:val="right"/>
            </w:pPr>
          </w:p>
        </w:tc>
        <w:tc>
          <w:tcPr>
            <w:tcW w:w="1559" w:type="dxa"/>
          </w:tcPr>
          <w:p w14:paraId="6163E35E" w14:textId="77777777" w:rsidR="00FF5A0A" w:rsidRPr="00FF5A0A" w:rsidRDefault="00FF5A0A" w:rsidP="00D76126">
            <w:pPr>
              <w:pStyle w:val="TableHeading"/>
              <w:jc w:val="right"/>
            </w:pPr>
          </w:p>
        </w:tc>
        <w:tc>
          <w:tcPr>
            <w:tcW w:w="1418" w:type="dxa"/>
          </w:tcPr>
          <w:p w14:paraId="0A4DFD7C" w14:textId="77777777" w:rsidR="00FF5A0A" w:rsidRPr="00FF5A0A" w:rsidRDefault="00FF5A0A" w:rsidP="00D76126">
            <w:pPr>
              <w:pStyle w:val="TableHeading"/>
              <w:jc w:val="right"/>
            </w:pPr>
          </w:p>
        </w:tc>
        <w:tc>
          <w:tcPr>
            <w:tcW w:w="1417" w:type="dxa"/>
          </w:tcPr>
          <w:p w14:paraId="6D023F3B" w14:textId="77777777" w:rsidR="00FF5A0A" w:rsidRPr="00FF5A0A" w:rsidRDefault="00FF5A0A" w:rsidP="00D76126">
            <w:pPr>
              <w:pStyle w:val="TableHeading"/>
              <w:jc w:val="right"/>
            </w:pPr>
          </w:p>
        </w:tc>
        <w:tc>
          <w:tcPr>
            <w:tcW w:w="1418" w:type="dxa"/>
          </w:tcPr>
          <w:p w14:paraId="0A40BBB0" w14:textId="77777777" w:rsidR="00FF5A0A" w:rsidRPr="00FF5A0A" w:rsidRDefault="00FF5A0A" w:rsidP="00D76126">
            <w:pPr>
              <w:pStyle w:val="TableHeading"/>
              <w:jc w:val="right"/>
            </w:pPr>
          </w:p>
        </w:tc>
        <w:tc>
          <w:tcPr>
            <w:tcW w:w="1417" w:type="dxa"/>
          </w:tcPr>
          <w:p w14:paraId="706D0F26" w14:textId="77777777" w:rsidR="00FF5A0A" w:rsidRPr="00FF5A0A" w:rsidRDefault="00FF5A0A" w:rsidP="00D76126">
            <w:pPr>
              <w:pStyle w:val="TableHeading"/>
              <w:jc w:val="right"/>
            </w:pPr>
          </w:p>
        </w:tc>
        <w:tc>
          <w:tcPr>
            <w:tcW w:w="1521" w:type="dxa"/>
          </w:tcPr>
          <w:p w14:paraId="22EB1832" w14:textId="77777777" w:rsidR="00FF5A0A" w:rsidRPr="00FF5A0A" w:rsidRDefault="00FF5A0A" w:rsidP="00D76126">
            <w:pPr>
              <w:pStyle w:val="TableHeading"/>
              <w:jc w:val="right"/>
            </w:pPr>
          </w:p>
        </w:tc>
        <w:tc>
          <w:tcPr>
            <w:tcW w:w="1598" w:type="dxa"/>
          </w:tcPr>
          <w:p w14:paraId="300C0584" w14:textId="77777777" w:rsidR="00FF5A0A" w:rsidRPr="00FF5A0A" w:rsidRDefault="00FF5A0A" w:rsidP="00D76126">
            <w:pPr>
              <w:pStyle w:val="TableHeading"/>
              <w:jc w:val="right"/>
            </w:pPr>
          </w:p>
        </w:tc>
        <w:tc>
          <w:tcPr>
            <w:tcW w:w="1377" w:type="dxa"/>
          </w:tcPr>
          <w:p w14:paraId="583C5A24" w14:textId="77777777" w:rsidR="00FF5A0A" w:rsidRPr="00FF5A0A" w:rsidRDefault="00FF5A0A" w:rsidP="00D76126">
            <w:pPr>
              <w:pStyle w:val="TableHeading"/>
              <w:jc w:val="right"/>
            </w:pPr>
          </w:p>
        </w:tc>
      </w:tr>
      <w:tr w:rsidR="00D76126" w:rsidRPr="00FF5A0A" w14:paraId="01B7DF13" w14:textId="77777777" w:rsidTr="005C22C3">
        <w:tc>
          <w:tcPr>
            <w:tcW w:w="2109" w:type="dxa"/>
          </w:tcPr>
          <w:p w14:paraId="2201773C" w14:textId="77777777" w:rsidR="00FF5A0A" w:rsidRPr="00FF5A0A" w:rsidRDefault="00FF5A0A" w:rsidP="00D76126">
            <w:pPr>
              <w:pStyle w:val="TableHeading"/>
            </w:pPr>
            <w:r w:rsidRPr="00FF5A0A">
              <w:t>Controlled</w:t>
            </w:r>
          </w:p>
        </w:tc>
        <w:tc>
          <w:tcPr>
            <w:tcW w:w="1572" w:type="dxa"/>
          </w:tcPr>
          <w:p w14:paraId="2D47FEDB" w14:textId="77777777" w:rsidR="00FF5A0A" w:rsidRPr="00FF5A0A" w:rsidRDefault="00FF5A0A" w:rsidP="00D76126">
            <w:pPr>
              <w:pStyle w:val="TableHeading"/>
              <w:jc w:val="right"/>
            </w:pPr>
          </w:p>
        </w:tc>
        <w:tc>
          <w:tcPr>
            <w:tcW w:w="1559" w:type="dxa"/>
          </w:tcPr>
          <w:p w14:paraId="3E08EB07" w14:textId="77777777" w:rsidR="00FF5A0A" w:rsidRPr="00FF5A0A" w:rsidRDefault="00FF5A0A" w:rsidP="00D76126">
            <w:pPr>
              <w:pStyle w:val="TableHeading"/>
              <w:jc w:val="right"/>
            </w:pPr>
          </w:p>
        </w:tc>
        <w:tc>
          <w:tcPr>
            <w:tcW w:w="1418" w:type="dxa"/>
          </w:tcPr>
          <w:p w14:paraId="20CB3B41" w14:textId="77777777" w:rsidR="00FF5A0A" w:rsidRPr="00FF5A0A" w:rsidRDefault="00FF5A0A" w:rsidP="00D76126">
            <w:pPr>
              <w:pStyle w:val="TableHeading"/>
              <w:jc w:val="right"/>
            </w:pPr>
          </w:p>
        </w:tc>
        <w:tc>
          <w:tcPr>
            <w:tcW w:w="1417" w:type="dxa"/>
          </w:tcPr>
          <w:p w14:paraId="2FAD015C" w14:textId="77777777" w:rsidR="00FF5A0A" w:rsidRPr="00FF5A0A" w:rsidRDefault="00FF5A0A" w:rsidP="00D76126">
            <w:pPr>
              <w:pStyle w:val="TableHeading"/>
              <w:jc w:val="right"/>
            </w:pPr>
          </w:p>
        </w:tc>
        <w:tc>
          <w:tcPr>
            <w:tcW w:w="1418" w:type="dxa"/>
          </w:tcPr>
          <w:p w14:paraId="1B19EA9C" w14:textId="77777777" w:rsidR="00FF5A0A" w:rsidRPr="00FF5A0A" w:rsidRDefault="00FF5A0A" w:rsidP="00D76126">
            <w:pPr>
              <w:pStyle w:val="TableHeading"/>
              <w:jc w:val="right"/>
            </w:pPr>
          </w:p>
        </w:tc>
        <w:tc>
          <w:tcPr>
            <w:tcW w:w="1417" w:type="dxa"/>
          </w:tcPr>
          <w:p w14:paraId="4C4A2163" w14:textId="77777777" w:rsidR="00FF5A0A" w:rsidRPr="00FF5A0A" w:rsidRDefault="00FF5A0A" w:rsidP="00D76126">
            <w:pPr>
              <w:pStyle w:val="TableHeading"/>
              <w:jc w:val="right"/>
            </w:pPr>
          </w:p>
        </w:tc>
        <w:tc>
          <w:tcPr>
            <w:tcW w:w="1521" w:type="dxa"/>
          </w:tcPr>
          <w:p w14:paraId="52EFAE14" w14:textId="77777777" w:rsidR="00FF5A0A" w:rsidRPr="00FF5A0A" w:rsidRDefault="00FF5A0A" w:rsidP="00D76126">
            <w:pPr>
              <w:pStyle w:val="TableHeading"/>
              <w:jc w:val="right"/>
            </w:pPr>
          </w:p>
        </w:tc>
        <w:tc>
          <w:tcPr>
            <w:tcW w:w="1598" w:type="dxa"/>
          </w:tcPr>
          <w:p w14:paraId="4FF60A4F" w14:textId="77777777" w:rsidR="00FF5A0A" w:rsidRPr="00FF5A0A" w:rsidRDefault="00FF5A0A" w:rsidP="00D76126">
            <w:pPr>
              <w:pStyle w:val="TableHeading"/>
              <w:jc w:val="right"/>
            </w:pPr>
          </w:p>
        </w:tc>
        <w:tc>
          <w:tcPr>
            <w:tcW w:w="1377" w:type="dxa"/>
          </w:tcPr>
          <w:p w14:paraId="2CF658C2" w14:textId="77777777" w:rsidR="00FF5A0A" w:rsidRPr="00FF5A0A" w:rsidRDefault="00FF5A0A" w:rsidP="00D76126">
            <w:pPr>
              <w:pStyle w:val="TableHeading"/>
              <w:jc w:val="right"/>
            </w:pPr>
          </w:p>
        </w:tc>
      </w:tr>
      <w:tr w:rsidR="00FF5A0A" w:rsidRPr="00FF5A0A" w14:paraId="790522E1" w14:textId="77777777" w:rsidTr="005C22C3">
        <w:tc>
          <w:tcPr>
            <w:tcW w:w="2109" w:type="dxa"/>
          </w:tcPr>
          <w:p w14:paraId="05F59228" w14:textId="368415DE" w:rsidR="00FF5A0A" w:rsidRPr="00FF5A0A" w:rsidRDefault="00FF5A0A" w:rsidP="00D76126">
            <w:pPr>
              <w:pStyle w:val="TableCopy"/>
            </w:pPr>
            <w:r w:rsidRPr="00FF5A0A">
              <w:t>Provision for outputs</w:t>
            </w:r>
          </w:p>
        </w:tc>
        <w:tc>
          <w:tcPr>
            <w:tcW w:w="1572" w:type="dxa"/>
          </w:tcPr>
          <w:p w14:paraId="38F4A921" w14:textId="3C758A3E" w:rsidR="00FF5A0A" w:rsidRPr="00FF5A0A" w:rsidRDefault="00FF5A0A" w:rsidP="00D76126">
            <w:pPr>
              <w:pStyle w:val="TableCopy"/>
              <w:jc w:val="right"/>
            </w:pPr>
            <w:r w:rsidRPr="00FF5A0A">
              <w:t>2,752,483</w:t>
            </w:r>
          </w:p>
        </w:tc>
        <w:tc>
          <w:tcPr>
            <w:tcW w:w="1559" w:type="dxa"/>
          </w:tcPr>
          <w:p w14:paraId="1D0921FC" w14:textId="7294B957" w:rsidR="00FF5A0A" w:rsidRPr="00FF5A0A" w:rsidRDefault="00FF5A0A" w:rsidP="00D76126">
            <w:pPr>
              <w:pStyle w:val="TableCopy"/>
              <w:jc w:val="right"/>
            </w:pPr>
            <w:r w:rsidRPr="00FF5A0A">
              <w:t>822,394</w:t>
            </w:r>
          </w:p>
        </w:tc>
        <w:tc>
          <w:tcPr>
            <w:tcW w:w="1418" w:type="dxa"/>
          </w:tcPr>
          <w:p w14:paraId="25049FCA" w14:textId="77777777" w:rsidR="00FF5A0A" w:rsidRPr="00FF5A0A" w:rsidRDefault="00FF5A0A" w:rsidP="00D76126">
            <w:pPr>
              <w:pStyle w:val="TableCopy"/>
              <w:jc w:val="right"/>
            </w:pPr>
            <w:r w:rsidRPr="00FF5A0A">
              <w:t>248,779</w:t>
            </w:r>
          </w:p>
        </w:tc>
        <w:tc>
          <w:tcPr>
            <w:tcW w:w="1417" w:type="dxa"/>
          </w:tcPr>
          <w:p w14:paraId="3D72D5DD" w14:textId="4E973032" w:rsidR="00FF5A0A" w:rsidRPr="00FF5A0A" w:rsidRDefault="00FF5A0A" w:rsidP="00D76126">
            <w:pPr>
              <w:pStyle w:val="TableCopy"/>
              <w:jc w:val="right"/>
            </w:pPr>
            <w:r w:rsidRPr="00FF5A0A">
              <w:t>(2,886)</w:t>
            </w:r>
          </w:p>
        </w:tc>
        <w:tc>
          <w:tcPr>
            <w:tcW w:w="1418" w:type="dxa"/>
          </w:tcPr>
          <w:p w14:paraId="798342B8" w14:textId="77777777" w:rsidR="00FF5A0A" w:rsidRPr="00FF5A0A" w:rsidRDefault="00FF5A0A" w:rsidP="00D76126">
            <w:pPr>
              <w:pStyle w:val="TableCopy"/>
              <w:jc w:val="right"/>
            </w:pPr>
            <w:r w:rsidRPr="00FF5A0A">
              <w:t>31,639</w:t>
            </w:r>
          </w:p>
        </w:tc>
        <w:tc>
          <w:tcPr>
            <w:tcW w:w="1417" w:type="dxa"/>
          </w:tcPr>
          <w:p w14:paraId="3BA378F7" w14:textId="77777777" w:rsidR="00FF5A0A" w:rsidRPr="00FF5A0A" w:rsidRDefault="00FF5A0A" w:rsidP="00D76126">
            <w:pPr>
              <w:pStyle w:val="TableCopy"/>
              <w:jc w:val="right"/>
            </w:pPr>
            <w:r w:rsidRPr="00FF5A0A">
              <w:t>581,139</w:t>
            </w:r>
          </w:p>
        </w:tc>
        <w:tc>
          <w:tcPr>
            <w:tcW w:w="1521" w:type="dxa"/>
          </w:tcPr>
          <w:p w14:paraId="096479C5" w14:textId="77777777" w:rsidR="00FF5A0A" w:rsidRPr="00FF5A0A" w:rsidRDefault="00FF5A0A" w:rsidP="00D76126">
            <w:pPr>
              <w:pStyle w:val="TableCopy"/>
              <w:jc w:val="right"/>
            </w:pPr>
            <w:r w:rsidRPr="00FF5A0A">
              <w:t>4,433,549</w:t>
            </w:r>
          </w:p>
        </w:tc>
        <w:tc>
          <w:tcPr>
            <w:tcW w:w="1598" w:type="dxa"/>
          </w:tcPr>
          <w:p w14:paraId="6EA02C77" w14:textId="1BC207B9" w:rsidR="00FF5A0A" w:rsidRPr="00FF5A0A" w:rsidRDefault="00FF5A0A" w:rsidP="00D76126">
            <w:pPr>
              <w:pStyle w:val="TableCopy"/>
              <w:jc w:val="right"/>
            </w:pPr>
            <w:r w:rsidRPr="00FF5A0A">
              <w:t>3,825,952</w:t>
            </w:r>
          </w:p>
        </w:tc>
        <w:tc>
          <w:tcPr>
            <w:tcW w:w="1377" w:type="dxa"/>
          </w:tcPr>
          <w:p w14:paraId="11D6D063" w14:textId="77777777" w:rsidR="00FF5A0A" w:rsidRPr="00FF5A0A" w:rsidRDefault="00FF5A0A" w:rsidP="00D76126">
            <w:pPr>
              <w:pStyle w:val="TableCopy"/>
              <w:jc w:val="right"/>
            </w:pPr>
            <w:r w:rsidRPr="00FF5A0A">
              <w:t>607,597</w:t>
            </w:r>
          </w:p>
        </w:tc>
      </w:tr>
      <w:tr w:rsidR="00FF5A0A" w:rsidRPr="00FF5A0A" w14:paraId="0C7520F1" w14:textId="77777777" w:rsidTr="005C22C3">
        <w:tc>
          <w:tcPr>
            <w:tcW w:w="2109" w:type="dxa"/>
          </w:tcPr>
          <w:p w14:paraId="5518056D" w14:textId="08E4F5CE" w:rsidR="00FF5A0A" w:rsidRPr="00FF5A0A" w:rsidRDefault="00FF5A0A" w:rsidP="00D76126">
            <w:pPr>
              <w:pStyle w:val="TableCopy"/>
            </w:pPr>
            <w:r w:rsidRPr="00FF5A0A">
              <w:t>Additions to net assets</w:t>
            </w:r>
          </w:p>
        </w:tc>
        <w:tc>
          <w:tcPr>
            <w:tcW w:w="1572" w:type="dxa"/>
          </w:tcPr>
          <w:p w14:paraId="159511D3" w14:textId="40EFD1BD" w:rsidR="00FF5A0A" w:rsidRPr="00FF5A0A" w:rsidRDefault="00FF5A0A" w:rsidP="00D76126">
            <w:pPr>
              <w:pStyle w:val="TableCopy"/>
              <w:jc w:val="right"/>
            </w:pPr>
            <w:r w:rsidRPr="00FF5A0A">
              <w:t>212,942</w:t>
            </w:r>
          </w:p>
        </w:tc>
        <w:tc>
          <w:tcPr>
            <w:tcW w:w="1559" w:type="dxa"/>
          </w:tcPr>
          <w:p w14:paraId="12D97C5C" w14:textId="105CFC58" w:rsidR="00FF5A0A" w:rsidRPr="00FF5A0A" w:rsidRDefault="00FF5A0A" w:rsidP="00D76126">
            <w:pPr>
              <w:pStyle w:val="TableCopy"/>
              <w:jc w:val="right"/>
            </w:pPr>
            <w:r w:rsidRPr="00FF5A0A">
              <w:t>277,556</w:t>
            </w:r>
          </w:p>
        </w:tc>
        <w:tc>
          <w:tcPr>
            <w:tcW w:w="1418" w:type="dxa"/>
          </w:tcPr>
          <w:p w14:paraId="43E66CD4" w14:textId="505BE208" w:rsidR="00FF5A0A" w:rsidRPr="00FF5A0A" w:rsidRDefault="00FF5A0A" w:rsidP="00D76126">
            <w:pPr>
              <w:pStyle w:val="TableCopy"/>
              <w:jc w:val="right"/>
            </w:pPr>
            <w:r w:rsidRPr="00FF5A0A">
              <w:t>–</w:t>
            </w:r>
          </w:p>
        </w:tc>
        <w:tc>
          <w:tcPr>
            <w:tcW w:w="1417" w:type="dxa"/>
          </w:tcPr>
          <w:p w14:paraId="79E9E7BD" w14:textId="1115BE8B" w:rsidR="00FF5A0A" w:rsidRPr="00FF5A0A" w:rsidRDefault="00FF5A0A" w:rsidP="00D76126">
            <w:pPr>
              <w:pStyle w:val="TableCopy"/>
              <w:jc w:val="right"/>
            </w:pPr>
            <w:r w:rsidRPr="00FF5A0A">
              <w:t>2,886</w:t>
            </w:r>
          </w:p>
        </w:tc>
        <w:tc>
          <w:tcPr>
            <w:tcW w:w="1418" w:type="dxa"/>
          </w:tcPr>
          <w:p w14:paraId="1D6C3EFD" w14:textId="2CFE35E2" w:rsidR="00FF5A0A" w:rsidRPr="00FF5A0A" w:rsidRDefault="00FF5A0A" w:rsidP="00D76126">
            <w:pPr>
              <w:pStyle w:val="TableCopy"/>
              <w:jc w:val="right"/>
            </w:pPr>
            <w:r w:rsidRPr="00FF5A0A">
              <w:t>–</w:t>
            </w:r>
          </w:p>
        </w:tc>
        <w:tc>
          <w:tcPr>
            <w:tcW w:w="1417" w:type="dxa"/>
          </w:tcPr>
          <w:p w14:paraId="5CB9372A" w14:textId="7656C3DB" w:rsidR="00FF5A0A" w:rsidRPr="00FF5A0A" w:rsidRDefault="00FF5A0A" w:rsidP="00D76126">
            <w:pPr>
              <w:pStyle w:val="TableCopy"/>
              <w:jc w:val="right"/>
            </w:pPr>
            <w:r w:rsidRPr="00FF5A0A">
              <w:t>2,909</w:t>
            </w:r>
          </w:p>
        </w:tc>
        <w:tc>
          <w:tcPr>
            <w:tcW w:w="1521" w:type="dxa"/>
          </w:tcPr>
          <w:p w14:paraId="48863C7F" w14:textId="3E0A85A8" w:rsidR="00FF5A0A" w:rsidRPr="00FF5A0A" w:rsidRDefault="00FF5A0A" w:rsidP="00D76126">
            <w:pPr>
              <w:pStyle w:val="TableCopy"/>
              <w:jc w:val="right"/>
            </w:pPr>
            <w:r w:rsidRPr="00FF5A0A">
              <w:t>496,293</w:t>
            </w:r>
          </w:p>
        </w:tc>
        <w:tc>
          <w:tcPr>
            <w:tcW w:w="1598" w:type="dxa"/>
          </w:tcPr>
          <w:p w14:paraId="60CB9FBD" w14:textId="4F0E7D72" w:rsidR="00FF5A0A" w:rsidRPr="00FF5A0A" w:rsidRDefault="00FF5A0A" w:rsidP="00D76126">
            <w:pPr>
              <w:pStyle w:val="TableCopy"/>
              <w:jc w:val="right"/>
            </w:pPr>
            <w:r w:rsidRPr="00FF5A0A">
              <w:t>325,626</w:t>
            </w:r>
          </w:p>
        </w:tc>
        <w:tc>
          <w:tcPr>
            <w:tcW w:w="1377" w:type="dxa"/>
          </w:tcPr>
          <w:p w14:paraId="7EBBFA10" w14:textId="7024AFBF" w:rsidR="00FF5A0A" w:rsidRPr="00FF5A0A" w:rsidRDefault="00FF5A0A" w:rsidP="00D76126">
            <w:pPr>
              <w:pStyle w:val="TableCopy"/>
              <w:jc w:val="right"/>
            </w:pPr>
            <w:r w:rsidRPr="00FF5A0A">
              <w:t>170,667</w:t>
            </w:r>
          </w:p>
        </w:tc>
      </w:tr>
      <w:tr w:rsidR="00D76126" w:rsidRPr="00FF5A0A" w14:paraId="0A5C5ACC" w14:textId="77777777" w:rsidTr="005C22C3">
        <w:tc>
          <w:tcPr>
            <w:tcW w:w="2109" w:type="dxa"/>
          </w:tcPr>
          <w:p w14:paraId="047D6B09" w14:textId="77777777" w:rsidR="00FF5A0A" w:rsidRPr="00FF5A0A" w:rsidRDefault="00FF5A0A" w:rsidP="00D76126">
            <w:pPr>
              <w:pStyle w:val="TableHeading"/>
            </w:pPr>
            <w:r w:rsidRPr="00FF5A0A">
              <w:t>Administered</w:t>
            </w:r>
          </w:p>
        </w:tc>
        <w:tc>
          <w:tcPr>
            <w:tcW w:w="1572" w:type="dxa"/>
          </w:tcPr>
          <w:p w14:paraId="5A7FF58F" w14:textId="77777777" w:rsidR="00FF5A0A" w:rsidRPr="00FF5A0A" w:rsidRDefault="00FF5A0A" w:rsidP="00D76126">
            <w:pPr>
              <w:pStyle w:val="TableHeading"/>
              <w:jc w:val="right"/>
            </w:pPr>
          </w:p>
        </w:tc>
        <w:tc>
          <w:tcPr>
            <w:tcW w:w="1559" w:type="dxa"/>
          </w:tcPr>
          <w:p w14:paraId="79FC5F1D" w14:textId="77777777" w:rsidR="00FF5A0A" w:rsidRPr="00FF5A0A" w:rsidRDefault="00FF5A0A" w:rsidP="00D76126">
            <w:pPr>
              <w:pStyle w:val="TableHeading"/>
              <w:jc w:val="right"/>
            </w:pPr>
          </w:p>
        </w:tc>
        <w:tc>
          <w:tcPr>
            <w:tcW w:w="1418" w:type="dxa"/>
          </w:tcPr>
          <w:p w14:paraId="7D5418E4" w14:textId="77777777" w:rsidR="00FF5A0A" w:rsidRPr="00FF5A0A" w:rsidRDefault="00FF5A0A" w:rsidP="00D76126">
            <w:pPr>
              <w:pStyle w:val="TableHeading"/>
              <w:jc w:val="right"/>
            </w:pPr>
          </w:p>
        </w:tc>
        <w:tc>
          <w:tcPr>
            <w:tcW w:w="1417" w:type="dxa"/>
          </w:tcPr>
          <w:p w14:paraId="1E4BD3F9" w14:textId="77777777" w:rsidR="00FF5A0A" w:rsidRPr="00FF5A0A" w:rsidRDefault="00FF5A0A" w:rsidP="00D76126">
            <w:pPr>
              <w:pStyle w:val="TableHeading"/>
              <w:jc w:val="right"/>
            </w:pPr>
          </w:p>
        </w:tc>
        <w:tc>
          <w:tcPr>
            <w:tcW w:w="1418" w:type="dxa"/>
          </w:tcPr>
          <w:p w14:paraId="5E0FB5B9" w14:textId="77777777" w:rsidR="00FF5A0A" w:rsidRPr="00FF5A0A" w:rsidRDefault="00FF5A0A" w:rsidP="00D76126">
            <w:pPr>
              <w:pStyle w:val="TableHeading"/>
              <w:jc w:val="right"/>
            </w:pPr>
          </w:p>
        </w:tc>
        <w:tc>
          <w:tcPr>
            <w:tcW w:w="1417" w:type="dxa"/>
          </w:tcPr>
          <w:p w14:paraId="1BBB51E0" w14:textId="77777777" w:rsidR="00FF5A0A" w:rsidRPr="00FF5A0A" w:rsidRDefault="00FF5A0A" w:rsidP="00D76126">
            <w:pPr>
              <w:pStyle w:val="TableHeading"/>
              <w:jc w:val="right"/>
            </w:pPr>
          </w:p>
        </w:tc>
        <w:tc>
          <w:tcPr>
            <w:tcW w:w="1521" w:type="dxa"/>
          </w:tcPr>
          <w:p w14:paraId="7C40C5C7" w14:textId="77777777" w:rsidR="00FF5A0A" w:rsidRPr="00FF5A0A" w:rsidRDefault="00FF5A0A" w:rsidP="00D76126">
            <w:pPr>
              <w:pStyle w:val="TableHeading"/>
              <w:jc w:val="right"/>
            </w:pPr>
          </w:p>
        </w:tc>
        <w:tc>
          <w:tcPr>
            <w:tcW w:w="1598" w:type="dxa"/>
          </w:tcPr>
          <w:p w14:paraId="5BF06777" w14:textId="77777777" w:rsidR="00FF5A0A" w:rsidRPr="00FF5A0A" w:rsidRDefault="00FF5A0A" w:rsidP="00D76126">
            <w:pPr>
              <w:pStyle w:val="TableHeading"/>
              <w:jc w:val="right"/>
            </w:pPr>
          </w:p>
        </w:tc>
        <w:tc>
          <w:tcPr>
            <w:tcW w:w="1377" w:type="dxa"/>
          </w:tcPr>
          <w:p w14:paraId="30BE29F5" w14:textId="77777777" w:rsidR="00FF5A0A" w:rsidRPr="00FF5A0A" w:rsidRDefault="00FF5A0A" w:rsidP="00D76126">
            <w:pPr>
              <w:pStyle w:val="TableHeading"/>
              <w:jc w:val="right"/>
            </w:pPr>
          </w:p>
        </w:tc>
      </w:tr>
      <w:tr w:rsidR="00FF5A0A" w:rsidRPr="00FF5A0A" w14:paraId="73C4CF01" w14:textId="77777777" w:rsidTr="005C22C3">
        <w:tc>
          <w:tcPr>
            <w:tcW w:w="2109" w:type="dxa"/>
          </w:tcPr>
          <w:p w14:paraId="1413FFD5" w14:textId="6034DF85" w:rsidR="00FF5A0A" w:rsidRPr="00FF5A0A" w:rsidRDefault="00FF5A0A" w:rsidP="00D76126">
            <w:pPr>
              <w:pStyle w:val="TableCopy"/>
            </w:pPr>
            <w:r w:rsidRPr="00FF5A0A">
              <w:t>Payments made on behalf of the State</w:t>
            </w:r>
          </w:p>
        </w:tc>
        <w:tc>
          <w:tcPr>
            <w:tcW w:w="1572" w:type="dxa"/>
          </w:tcPr>
          <w:p w14:paraId="5E4A38F0" w14:textId="56A0C1D9" w:rsidR="00FF5A0A" w:rsidRPr="00FF5A0A" w:rsidRDefault="00FF5A0A" w:rsidP="00D76126">
            <w:pPr>
              <w:pStyle w:val="TableCopy"/>
              <w:jc w:val="right"/>
            </w:pPr>
            <w:r w:rsidRPr="00FF5A0A">
              <w:t>94,563</w:t>
            </w:r>
          </w:p>
        </w:tc>
        <w:tc>
          <w:tcPr>
            <w:tcW w:w="1559" w:type="dxa"/>
          </w:tcPr>
          <w:p w14:paraId="60772F9E" w14:textId="68E8600B" w:rsidR="00FF5A0A" w:rsidRPr="00FF5A0A" w:rsidRDefault="00FF5A0A" w:rsidP="00D76126">
            <w:pPr>
              <w:pStyle w:val="TableCopy"/>
              <w:jc w:val="right"/>
            </w:pPr>
            <w:r w:rsidRPr="00FF5A0A">
              <w:t>3,035</w:t>
            </w:r>
          </w:p>
        </w:tc>
        <w:tc>
          <w:tcPr>
            <w:tcW w:w="1418" w:type="dxa"/>
          </w:tcPr>
          <w:p w14:paraId="341B54C0" w14:textId="241720FC" w:rsidR="00FF5A0A" w:rsidRPr="00FF5A0A" w:rsidRDefault="00FF5A0A" w:rsidP="00D76126">
            <w:pPr>
              <w:pStyle w:val="TableCopy"/>
              <w:jc w:val="right"/>
            </w:pPr>
            <w:r w:rsidRPr="00FF5A0A">
              <w:t>–</w:t>
            </w:r>
          </w:p>
        </w:tc>
        <w:tc>
          <w:tcPr>
            <w:tcW w:w="1417" w:type="dxa"/>
          </w:tcPr>
          <w:p w14:paraId="178F1295" w14:textId="4592734C" w:rsidR="00FF5A0A" w:rsidRPr="00FF5A0A" w:rsidRDefault="00FF5A0A" w:rsidP="00D76126">
            <w:pPr>
              <w:pStyle w:val="TableCopy"/>
              <w:jc w:val="right"/>
            </w:pPr>
            <w:r w:rsidRPr="00FF5A0A">
              <w:t>–</w:t>
            </w:r>
          </w:p>
        </w:tc>
        <w:tc>
          <w:tcPr>
            <w:tcW w:w="1418" w:type="dxa"/>
          </w:tcPr>
          <w:p w14:paraId="66C8A6E2" w14:textId="1695D032" w:rsidR="00FF5A0A" w:rsidRPr="00FF5A0A" w:rsidRDefault="00FF5A0A" w:rsidP="00D76126">
            <w:pPr>
              <w:pStyle w:val="TableCopy"/>
              <w:jc w:val="right"/>
            </w:pPr>
            <w:r w:rsidRPr="00FF5A0A">
              <w:t>–</w:t>
            </w:r>
          </w:p>
        </w:tc>
        <w:tc>
          <w:tcPr>
            <w:tcW w:w="1417" w:type="dxa"/>
          </w:tcPr>
          <w:p w14:paraId="3AB71441" w14:textId="784A72BA" w:rsidR="00FF5A0A" w:rsidRPr="00FF5A0A" w:rsidRDefault="00FF5A0A" w:rsidP="00D76126">
            <w:pPr>
              <w:pStyle w:val="TableCopy"/>
              <w:jc w:val="right"/>
            </w:pPr>
            <w:r w:rsidRPr="00FF5A0A">
              <w:t>–</w:t>
            </w:r>
          </w:p>
        </w:tc>
        <w:tc>
          <w:tcPr>
            <w:tcW w:w="1521" w:type="dxa"/>
          </w:tcPr>
          <w:p w14:paraId="1C90C786" w14:textId="014ABC37" w:rsidR="00FF5A0A" w:rsidRPr="00FF5A0A" w:rsidRDefault="00FF5A0A" w:rsidP="00D76126">
            <w:pPr>
              <w:pStyle w:val="TableCopy"/>
              <w:jc w:val="right"/>
            </w:pPr>
            <w:r w:rsidRPr="00FF5A0A">
              <w:t>97,598</w:t>
            </w:r>
          </w:p>
        </w:tc>
        <w:tc>
          <w:tcPr>
            <w:tcW w:w="1598" w:type="dxa"/>
          </w:tcPr>
          <w:p w14:paraId="79432536" w14:textId="00D17080" w:rsidR="00FF5A0A" w:rsidRPr="00FF5A0A" w:rsidRDefault="00FF5A0A" w:rsidP="00D76126">
            <w:pPr>
              <w:pStyle w:val="TableCopy"/>
              <w:jc w:val="right"/>
            </w:pPr>
            <w:r w:rsidRPr="00FF5A0A">
              <w:t>97,184</w:t>
            </w:r>
          </w:p>
        </w:tc>
        <w:tc>
          <w:tcPr>
            <w:tcW w:w="1377" w:type="dxa"/>
          </w:tcPr>
          <w:p w14:paraId="1FF7780A" w14:textId="0754CE27" w:rsidR="00FF5A0A" w:rsidRPr="00FF5A0A" w:rsidRDefault="00FF5A0A" w:rsidP="00D76126">
            <w:pPr>
              <w:pStyle w:val="TableCopy"/>
              <w:jc w:val="right"/>
            </w:pPr>
            <w:r w:rsidRPr="00FF5A0A">
              <w:t>414</w:t>
            </w:r>
          </w:p>
        </w:tc>
      </w:tr>
      <w:tr w:rsidR="00FF5A0A" w:rsidRPr="00D76126" w14:paraId="64256DDE" w14:textId="77777777" w:rsidTr="005C22C3">
        <w:tc>
          <w:tcPr>
            <w:tcW w:w="2109" w:type="dxa"/>
          </w:tcPr>
          <w:p w14:paraId="60463C1E" w14:textId="59F57231" w:rsidR="00FF5A0A" w:rsidRPr="00D76126" w:rsidRDefault="00FF5A0A" w:rsidP="00D76126">
            <w:pPr>
              <w:pStyle w:val="TableCopy"/>
              <w:rPr>
                <w:b/>
                <w:bCs/>
              </w:rPr>
            </w:pPr>
            <w:r w:rsidRPr="00D76126">
              <w:rPr>
                <w:b/>
                <w:bCs/>
              </w:rPr>
              <w:t>2023 total</w:t>
            </w:r>
          </w:p>
        </w:tc>
        <w:tc>
          <w:tcPr>
            <w:tcW w:w="1572" w:type="dxa"/>
          </w:tcPr>
          <w:p w14:paraId="017D3454" w14:textId="437A2E3B" w:rsidR="00FF5A0A" w:rsidRPr="00D76126" w:rsidRDefault="00FF5A0A" w:rsidP="00D76126">
            <w:pPr>
              <w:pStyle w:val="TableCopy"/>
              <w:jc w:val="right"/>
              <w:rPr>
                <w:b/>
                <w:bCs/>
              </w:rPr>
            </w:pPr>
            <w:r w:rsidRPr="00D76126">
              <w:rPr>
                <w:b/>
                <w:bCs/>
              </w:rPr>
              <w:t>3,059,988</w:t>
            </w:r>
          </w:p>
        </w:tc>
        <w:tc>
          <w:tcPr>
            <w:tcW w:w="1559" w:type="dxa"/>
          </w:tcPr>
          <w:p w14:paraId="3B4D1D6F" w14:textId="2B8FF530" w:rsidR="00FF5A0A" w:rsidRPr="00D76126" w:rsidRDefault="00FF5A0A" w:rsidP="00D76126">
            <w:pPr>
              <w:pStyle w:val="TableCopy"/>
              <w:jc w:val="right"/>
              <w:rPr>
                <w:b/>
                <w:bCs/>
              </w:rPr>
            </w:pPr>
            <w:r w:rsidRPr="00D76126">
              <w:rPr>
                <w:b/>
                <w:bCs/>
              </w:rPr>
              <w:t>1,102,985</w:t>
            </w:r>
          </w:p>
        </w:tc>
        <w:tc>
          <w:tcPr>
            <w:tcW w:w="1418" w:type="dxa"/>
          </w:tcPr>
          <w:p w14:paraId="741AD0EE" w14:textId="77777777" w:rsidR="00FF5A0A" w:rsidRPr="00D76126" w:rsidRDefault="00FF5A0A" w:rsidP="00D76126">
            <w:pPr>
              <w:pStyle w:val="TableCopy"/>
              <w:jc w:val="right"/>
              <w:rPr>
                <w:b/>
                <w:bCs/>
              </w:rPr>
            </w:pPr>
            <w:r w:rsidRPr="00D76126">
              <w:rPr>
                <w:b/>
                <w:bCs/>
              </w:rPr>
              <w:t>248,779</w:t>
            </w:r>
          </w:p>
        </w:tc>
        <w:tc>
          <w:tcPr>
            <w:tcW w:w="1417" w:type="dxa"/>
          </w:tcPr>
          <w:p w14:paraId="43CE20F7" w14:textId="315FD7AC" w:rsidR="00FF5A0A" w:rsidRPr="00D76126" w:rsidRDefault="00FF5A0A" w:rsidP="00D76126">
            <w:pPr>
              <w:pStyle w:val="TableCopy"/>
              <w:jc w:val="right"/>
              <w:rPr>
                <w:b/>
                <w:bCs/>
              </w:rPr>
            </w:pPr>
            <w:r w:rsidRPr="00D76126">
              <w:rPr>
                <w:b/>
                <w:bCs/>
              </w:rPr>
              <w:t>–</w:t>
            </w:r>
          </w:p>
        </w:tc>
        <w:tc>
          <w:tcPr>
            <w:tcW w:w="1418" w:type="dxa"/>
          </w:tcPr>
          <w:p w14:paraId="55D369CA" w14:textId="77777777" w:rsidR="00FF5A0A" w:rsidRPr="00D76126" w:rsidRDefault="00FF5A0A" w:rsidP="00D76126">
            <w:pPr>
              <w:pStyle w:val="TableCopy"/>
              <w:jc w:val="right"/>
              <w:rPr>
                <w:b/>
                <w:bCs/>
              </w:rPr>
            </w:pPr>
            <w:r w:rsidRPr="00D76126">
              <w:rPr>
                <w:b/>
                <w:bCs/>
              </w:rPr>
              <w:t>31,639</w:t>
            </w:r>
          </w:p>
        </w:tc>
        <w:tc>
          <w:tcPr>
            <w:tcW w:w="1417" w:type="dxa"/>
          </w:tcPr>
          <w:p w14:paraId="2A8E3DDB" w14:textId="77777777" w:rsidR="00FF5A0A" w:rsidRPr="00D76126" w:rsidRDefault="00FF5A0A" w:rsidP="00D76126">
            <w:pPr>
              <w:pStyle w:val="TableCopy"/>
              <w:jc w:val="right"/>
              <w:rPr>
                <w:b/>
                <w:bCs/>
              </w:rPr>
            </w:pPr>
            <w:r w:rsidRPr="00D76126">
              <w:rPr>
                <w:b/>
                <w:bCs/>
              </w:rPr>
              <w:t>584,048</w:t>
            </w:r>
          </w:p>
        </w:tc>
        <w:tc>
          <w:tcPr>
            <w:tcW w:w="1521" w:type="dxa"/>
          </w:tcPr>
          <w:p w14:paraId="2DE7BB5F" w14:textId="77777777" w:rsidR="00FF5A0A" w:rsidRPr="00D76126" w:rsidRDefault="00FF5A0A" w:rsidP="00D76126">
            <w:pPr>
              <w:pStyle w:val="TableCopy"/>
              <w:jc w:val="right"/>
              <w:rPr>
                <w:b/>
                <w:bCs/>
              </w:rPr>
            </w:pPr>
            <w:r w:rsidRPr="00D76126">
              <w:rPr>
                <w:b/>
                <w:bCs/>
              </w:rPr>
              <w:t>5,027,440</w:t>
            </w:r>
          </w:p>
        </w:tc>
        <w:tc>
          <w:tcPr>
            <w:tcW w:w="1598" w:type="dxa"/>
          </w:tcPr>
          <w:p w14:paraId="2E0C09EC" w14:textId="23B0E742" w:rsidR="00FF5A0A" w:rsidRPr="00D76126" w:rsidRDefault="00FF5A0A" w:rsidP="00D76126">
            <w:pPr>
              <w:pStyle w:val="TableCopy"/>
              <w:jc w:val="right"/>
              <w:rPr>
                <w:b/>
                <w:bCs/>
              </w:rPr>
            </w:pPr>
            <w:r w:rsidRPr="00D76126">
              <w:rPr>
                <w:b/>
                <w:bCs/>
              </w:rPr>
              <w:t>4,248,762</w:t>
            </w:r>
          </w:p>
        </w:tc>
        <w:tc>
          <w:tcPr>
            <w:tcW w:w="1377" w:type="dxa"/>
          </w:tcPr>
          <w:p w14:paraId="1EE5777B" w14:textId="77777777" w:rsidR="00FF5A0A" w:rsidRPr="00D76126" w:rsidRDefault="00FF5A0A" w:rsidP="00D76126">
            <w:pPr>
              <w:pStyle w:val="TableCopy"/>
              <w:jc w:val="right"/>
              <w:rPr>
                <w:b/>
                <w:bCs/>
              </w:rPr>
            </w:pPr>
            <w:r w:rsidRPr="00D76126">
              <w:rPr>
                <w:b/>
                <w:bCs/>
              </w:rPr>
              <w:t>778,678</w:t>
            </w:r>
          </w:p>
        </w:tc>
      </w:tr>
      <w:tr w:rsidR="00D76126" w:rsidRPr="00FF5A0A" w14:paraId="5819DACE" w14:textId="77777777" w:rsidTr="005C22C3">
        <w:tc>
          <w:tcPr>
            <w:tcW w:w="2109" w:type="dxa"/>
          </w:tcPr>
          <w:p w14:paraId="0AF4C2BB" w14:textId="77777777" w:rsidR="00FF5A0A" w:rsidRPr="00FF5A0A" w:rsidRDefault="00FF5A0A" w:rsidP="00D76126">
            <w:pPr>
              <w:pStyle w:val="TableHeading"/>
            </w:pPr>
            <w:r w:rsidRPr="00FF5A0A">
              <w:t>2022</w:t>
            </w:r>
          </w:p>
        </w:tc>
        <w:tc>
          <w:tcPr>
            <w:tcW w:w="1572" w:type="dxa"/>
          </w:tcPr>
          <w:p w14:paraId="6ADF34AE" w14:textId="77777777" w:rsidR="00FF5A0A" w:rsidRPr="00FF5A0A" w:rsidRDefault="00FF5A0A" w:rsidP="00D76126">
            <w:pPr>
              <w:pStyle w:val="TableHeading"/>
              <w:jc w:val="right"/>
            </w:pPr>
          </w:p>
        </w:tc>
        <w:tc>
          <w:tcPr>
            <w:tcW w:w="1559" w:type="dxa"/>
          </w:tcPr>
          <w:p w14:paraId="0FF4F29F" w14:textId="77777777" w:rsidR="00FF5A0A" w:rsidRPr="00FF5A0A" w:rsidRDefault="00FF5A0A" w:rsidP="00D76126">
            <w:pPr>
              <w:pStyle w:val="TableHeading"/>
              <w:jc w:val="right"/>
            </w:pPr>
          </w:p>
        </w:tc>
        <w:tc>
          <w:tcPr>
            <w:tcW w:w="1418" w:type="dxa"/>
          </w:tcPr>
          <w:p w14:paraId="505277F8" w14:textId="77777777" w:rsidR="00FF5A0A" w:rsidRPr="00FF5A0A" w:rsidRDefault="00FF5A0A" w:rsidP="00D76126">
            <w:pPr>
              <w:pStyle w:val="TableHeading"/>
              <w:jc w:val="right"/>
            </w:pPr>
          </w:p>
        </w:tc>
        <w:tc>
          <w:tcPr>
            <w:tcW w:w="1417" w:type="dxa"/>
          </w:tcPr>
          <w:p w14:paraId="06D13D96" w14:textId="77777777" w:rsidR="00FF5A0A" w:rsidRPr="00FF5A0A" w:rsidRDefault="00FF5A0A" w:rsidP="00D76126">
            <w:pPr>
              <w:pStyle w:val="TableHeading"/>
              <w:jc w:val="right"/>
            </w:pPr>
          </w:p>
        </w:tc>
        <w:tc>
          <w:tcPr>
            <w:tcW w:w="1418" w:type="dxa"/>
          </w:tcPr>
          <w:p w14:paraId="24346AD3" w14:textId="77777777" w:rsidR="00FF5A0A" w:rsidRPr="00FF5A0A" w:rsidRDefault="00FF5A0A" w:rsidP="00D76126">
            <w:pPr>
              <w:pStyle w:val="TableHeading"/>
              <w:jc w:val="right"/>
            </w:pPr>
          </w:p>
        </w:tc>
        <w:tc>
          <w:tcPr>
            <w:tcW w:w="1417" w:type="dxa"/>
          </w:tcPr>
          <w:p w14:paraId="09F2F77F" w14:textId="77777777" w:rsidR="00FF5A0A" w:rsidRPr="00FF5A0A" w:rsidRDefault="00FF5A0A" w:rsidP="00D76126">
            <w:pPr>
              <w:pStyle w:val="TableHeading"/>
              <w:jc w:val="right"/>
            </w:pPr>
          </w:p>
        </w:tc>
        <w:tc>
          <w:tcPr>
            <w:tcW w:w="1521" w:type="dxa"/>
          </w:tcPr>
          <w:p w14:paraId="490D8A9E" w14:textId="77777777" w:rsidR="00FF5A0A" w:rsidRPr="00FF5A0A" w:rsidRDefault="00FF5A0A" w:rsidP="00D76126">
            <w:pPr>
              <w:pStyle w:val="TableHeading"/>
              <w:jc w:val="right"/>
            </w:pPr>
          </w:p>
        </w:tc>
        <w:tc>
          <w:tcPr>
            <w:tcW w:w="1598" w:type="dxa"/>
          </w:tcPr>
          <w:p w14:paraId="278BB42E" w14:textId="77777777" w:rsidR="00FF5A0A" w:rsidRPr="00FF5A0A" w:rsidRDefault="00FF5A0A" w:rsidP="00D76126">
            <w:pPr>
              <w:pStyle w:val="TableHeading"/>
              <w:jc w:val="right"/>
            </w:pPr>
          </w:p>
        </w:tc>
        <w:tc>
          <w:tcPr>
            <w:tcW w:w="1377" w:type="dxa"/>
          </w:tcPr>
          <w:p w14:paraId="358C07F4" w14:textId="77777777" w:rsidR="00FF5A0A" w:rsidRPr="00FF5A0A" w:rsidRDefault="00FF5A0A" w:rsidP="00D76126">
            <w:pPr>
              <w:pStyle w:val="TableHeading"/>
              <w:jc w:val="right"/>
            </w:pPr>
          </w:p>
        </w:tc>
      </w:tr>
      <w:tr w:rsidR="00D76126" w:rsidRPr="00FF5A0A" w14:paraId="780054D1" w14:textId="77777777" w:rsidTr="005C22C3">
        <w:tc>
          <w:tcPr>
            <w:tcW w:w="2109" w:type="dxa"/>
          </w:tcPr>
          <w:p w14:paraId="72EBEF65" w14:textId="77777777" w:rsidR="00FF5A0A" w:rsidRPr="00FF5A0A" w:rsidRDefault="00FF5A0A" w:rsidP="00D76126">
            <w:pPr>
              <w:pStyle w:val="TableHeading"/>
            </w:pPr>
            <w:r w:rsidRPr="00FF5A0A">
              <w:t>Controlled</w:t>
            </w:r>
          </w:p>
        </w:tc>
        <w:tc>
          <w:tcPr>
            <w:tcW w:w="1572" w:type="dxa"/>
          </w:tcPr>
          <w:p w14:paraId="604BD85F" w14:textId="77777777" w:rsidR="00FF5A0A" w:rsidRPr="00FF5A0A" w:rsidRDefault="00FF5A0A" w:rsidP="00D76126">
            <w:pPr>
              <w:pStyle w:val="TableHeading"/>
              <w:jc w:val="right"/>
            </w:pPr>
          </w:p>
        </w:tc>
        <w:tc>
          <w:tcPr>
            <w:tcW w:w="1559" w:type="dxa"/>
          </w:tcPr>
          <w:p w14:paraId="58B896E4" w14:textId="77777777" w:rsidR="00FF5A0A" w:rsidRPr="00FF5A0A" w:rsidRDefault="00FF5A0A" w:rsidP="00D76126">
            <w:pPr>
              <w:pStyle w:val="TableHeading"/>
              <w:jc w:val="right"/>
            </w:pPr>
          </w:p>
        </w:tc>
        <w:tc>
          <w:tcPr>
            <w:tcW w:w="1418" w:type="dxa"/>
          </w:tcPr>
          <w:p w14:paraId="5255EB13" w14:textId="77777777" w:rsidR="00FF5A0A" w:rsidRPr="00FF5A0A" w:rsidRDefault="00FF5A0A" w:rsidP="00D76126">
            <w:pPr>
              <w:pStyle w:val="TableHeading"/>
              <w:jc w:val="right"/>
            </w:pPr>
          </w:p>
        </w:tc>
        <w:tc>
          <w:tcPr>
            <w:tcW w:w="1417" w:type="dxa"/>
          </w:tcPr>
          <w:p w14:paraId="45280A79" w14:textId="77777777" w:rsidR="00FF5A0A" w:rsidRPr="00FF5A0A" w:rsidRDefault="00FF5A0A" w:rsidP="00D76126">
            <w:pPr>
              <w:pStyle w:val="TableHeading"/>
              <w:jc w:val="right"/>
            </w:pPr>
          </w:p>
        </w:tc>
        <w:tc>
          <w:tcPr>
            <w:tcW w:w="1418" w:type="dxa"/>
          </w:tcPr>
          <w:p w14:paraId="2C26A43E" w14:textId="77777777" w:rsidR="00FF5A0A" w:rsidRPr="00FF5A0A" w:rsidRDefault="00FF5A0A" w:rsidP="00D76126">
            <w:pPr>
              <w:pStyle w:val="TableHeading"/>
              <w:jc w:val="right"/>
            </w:pPr>
          </w:p>
        </w:tc>
        <w:tc>
          <w:tcPr>
            <w:tcW w:w="1417" w:type="dxa"/>
          </w:tcPr>
          <w:p w14:paraId="6177A1A8" w14:textId="77777777" w:rsidR="00FF5A0A" w:rsidRPr="00FF5A0A" w:rsidRDefault="00FF5A0A" w:rsidP="00D76126">
            <w:pPr>
              <w:pStyle w:val="TableHeading"/>
              <w:jc w:val="right"/>
            </w:pPr>
          </w:p>
        </w:tc>
        <w:tc>
          <w:tcPr>
            <w:tcW w:w="1521" w:type="dxa"/>
          </w:tcPr>
          <w:p w14:paraId="4581A0A5" w14:textId="77777777" w:rsidR="00FF5A0A" w:rsidRPr="00FF5A0A" w:rsidRDefault="00FF5A0A" w:rsidP="00D76126">
            <w:pPr>
              <w:pStyle w:val="TableHeading"/>
              <w:jc w:val="right"/>
            </w:pPr>
          </w:p>
        </w:tc>
        <w:tc>
          <w:tcPr>
            <w:tcW w:w="1598" w:type="dxa"/>
          </w:tcPr>
          <w:p w14:paraId="18FCA206" w14:textId="77777777" w:rsidR="00FF5A0A" w:rsidRPr="00FF5A0A" w:rsidRDefault="00FF5A0A" w:rsidP="00D76126">
            <w:pPr>
              <w:pStyle w:val="TableHeading"/>
              <w:jc w:val="right"/>
            </w:pPr>
          </w:p>
        </w:tc>
        <w:tc>
          <w:tcPr>
            <w:tcW w:w="1377" w:type="dxa"/>
          </w:tcPr>
          <w:p w14:paraId="2EE08FFB" w14:textId="77777777" w:rsidR="00FF5A0A" w:rsidRPr="00FF5A0A" w:rsidRDefault="00FF5A0A" w:rsidP="00D76126">
            <w:pPr>
              <w:pStyle w:val="TableHeading"/>
              <w:jc w:val="right"/>
            </w:pPr>
          </w:p>
        </w:tc>
      </w:tr>
      <w:tr w:rsidR="00FF5A0A" w:rsidRPr="00FF5A0A" w14:paraId="0DCC2206" w14:textId="77777777" w:rsidTr="005C22C3">
        <w:tc>
          <w:tcPr>
            <w:tcW w:w="2109" w:type="dxa"/>
          </w:tcPr>
          <w:p w14:paraId="3FC2BE73" w14:textId="37246590" w:rsidR="00FF5A0A" w:rsidRPr="00FF5A0A" w:rsidRDefault="00FF5A0A" w:rsidP="00D76126">
            <w:pPr>
              <w:pStyle w:val="TableCopy"/>
            </w:pPr>
            <w:r w:rsidRPr="00FF5A0A">
              <w:t>Provision for outputs</w:t>
            </w:r>
          </w:p>
        </w:tc>
        <w:tc>
          <w:tcPr>
            <w:tcW w:w="1572" w:type="dxa"/>
          </w:tcPr>
          <w:p w14:paraId="2D112A9A" w14:textId="4666EB3A" w:rsidR="00FF5A0A" w:rsidRPr="00FF5A0A" w:rsidRDefault="00FF5A0A" w:rsidP="00D76126">
            <w:pPr>
              <w:pStyle w:val="TableCopy"/>
              <w:jc w:val="right"/>
            </w:pPr>
            <w:r w:rsidRPr="00FF5A0A">
              <w:t>2,433,481</w:t>
            </w:r>
          </w:p>
        </w:tc>
        <w:tc>
          <w:tcPr>
            <w:tcW w:w="1559" w:type="dxa"/>
          </w:tcPr>
          <w:p w14:paraId="069C3435" w14:textId="3AE0ABEC" w:rsidR="00FF5A0A" w:rsidRPr="00FF5A0A" w:rsidRDefault="00FF5A0A" w:rsidP="00D76126">
            <w:pPr>
              <w:pStyle w:val="TableCopy"/>
              <w:jc w:val="right"/>
            </w:pPr>
            <w:r w:rsidRPr="00FF5A0A">
              <w:t>5,543,213</w:t>
            </w:r>
          </w:p>
        </w:tc>
        <w:tc>
          <w:tcPr>
            <w:tcW w:w="1418" w:type="dxa"/>
          </w:tcPr>
          <w:p w14:paraId="53EEDE3D" w14:textId="504B2486" w:rsidR="00FF5A0A" w:rsidRPr="00FF5A0A" w:rsidRDefault="00FF5A0A" w:rsidP="00D76126">
            <w:pPr>
              <w:pStyle w:val="TableCopy"/>
              <w:jc w:val="right"/>
            </w:pPr>
            <w:r w:rsidRPr="00FF5A0A">
              <w:t>3,218,345</w:t>
            </w:r>
          </w:p>
        </w:tc>
        <w:tc>
          <w:tcPr>
            <w:tcW w:w="1417" w:type="dxa"/>
          </w:tcPr>
          <w:p w14:paraId="0DD0AE7E" w14:textId="6DC508A9" w:rsidR="00FF5A0A" w:rsidRPr="00FF5A0A" w:rsidRDefault="00FF5A0A" w:rsidP="00D76126">
            <w:pPr>
              <w:pStyle w:val="TableCopy"/>
              <w:jc w:val="right"/>
            </w:pPr>
            <w:r w:rsidRPr="00FF5A0A">
              <w:t>(10,203)</w:t>
            </w:r>
          </w:p>
        </w:tc>
        <w:tc>
          <w:tcPr>
            <w:tcW w:w="1418" w:type="dxa"/>
          </w:tcPr>
          <w:p w14:paraId="19C2D392" w14:textId="4528A356" w:rsidR="00FF5A0A" w:rsidRPr="00FF5A0A" w:rsidRDefault="00FF5A0A" w:rsidP="00D76126">
            <w:pPr>
              <w:pStyle w:val="TableCopy"/>
              <w:jc w:val="right"/>
            </w:pPr>
            <w:r w:rsidRPr="00FF5A0A">
              <w:t>12,739</w:t>
            </w:r>
          </w:p>
        </w:tc>
        <w:tc>
          <w:tcPr>
            <w:tcW w:w="1417" w:type="dxa"/>
          </w:tcPr>
          <w:p w14:paraId="623B3991" w14:textId="2CD3DC8A" w:rsidR="00FF5A0A" w:rsidRPr="00FF5A0A" w:rsidRDefault="00FF5A0A" w:rsidP="00D76126">
            <w:pPr>
              <w:pStyle w:val="TableCopy"/>
              <w:jc w:val="right"/>
            </w:pPr>
            <w:r w:rsidRPr="00FF5A0A">
              <w:t>–</w:t>
            </w:r>
          </w:p>
        </w:tc>
        <w:tc>
          <w:tcPr>
            <w:tcW w:w="1521" w:type="dxa"/>
          </w:tcPr>
          <w:p w14:paraId="151C4BFE" w14:textId="2DDAE3E7" w:rsidR="00FF5A0A" w:rsidRPr="00FF5A0A" w:rsidRDefault="00FF5A0A" w:rsidP="00D76126">
            <w:pPr>
              <w:pStyle w:val="TableCopy"/>
              <w:jc w:val="right"/>
            </w:pPr>
            <w:r w:rsidRPr="00FF5A0A">
              <w:t>11,197,576</w:t>
            </w:r>
          </w:p>
        </w:tc>
        <w:tc>
          <w:tcPr>
            <w:tcW w:w="1598" w:type="dxa"/>
          </w:tcPr>
          <w:p w14:paraId="799BFA5B" w14:textId="7A102D7D" w:rsidR="00FF5A0A" w:rsidRPr="00FF5A0A" w:rsidRDefault="00FF5A0A" w:rsidP="00D76126">
            <w:pPr>
              <w:pStyle w:val="TableCopy"/>
              <w:jc w:val="right"/>
            </w:pPr>
            <w:r w:rsidRPr="00FF5A0A">
              <w:t>10,824,626</w:t>
            </w:r>
          </w:p>
        </w:tc>
        <w:tc>
          <w:tcPr>
            <w:tcW w:w="1377" w:type="dxa"/>
          </w:tcPr>
          <w:p w14:paraId="6FE05FE7" w14:textId="044014E5" w:rsidR="00FF5A0A" w:rsidRPr="00FF5A0A" w:rsidRDefault="00FF5A0A" w:rsidP="00D76126">
            <w:pPr>
              <w:pStyle w:val="TableCopy"/>
              <w:jc w:val="right"/>
            </w:pPr>
            <w:r w:rsidRPr="00FF5A0A">
              <w:t>372,950</w:t>
            </w:r>
          </w:p>
        </w:tc>
      </w:tr>
      <w:tr w:rsidR="00FF5A0A" w:rsidRPr="00FF5A0A" w14:paraId="2BC0A082" w14:textId="77777777" w:rsidTr="005C22C3">
        <w:tc>
          <w:tcPr>
            <w:tcW w:w="2109" w:type="dxa"/>
          </w:tcPr>
          <w:p w14:paraId="6B41F274" w14:textId="3ECE1683" w:rsidR="00FF5A0A" w:rsidRPr="00FF5A0A" w:rsidRDefault="00FF5A0A" w:rsidP="00D76126">
            <w:pPr>
              <w:pStyle w:val="TableCopy"/>
            </w:pPr>
            <w:r w:rsidRPr="00FF5A0A">
              <w:lastRenderedPageBreak/>
              <w:t>Additions to net assets</w:t>
            </w:r>
          </w:p>
        </w:tc>
        <w:tc>
          <w:tcPr>
            <w:tcW w:w="1572" w:type="dxa"/>
          </w:tcPr>
          <w:p w14:paraId="5BFF47C5" w14:textId="0756B4C1" w:rsidR="00FF5A0A" w:rsidRPr="00FF5A0A" w:rsidRDefault="00FF5A0A" w:rsidP="00D76126">
            <w:pPr>
              <w:pStyle w:val="TableCopy"/>
              <w:jc w:val="right"/>
            </w:pPr>
            <w:r w:rsidRPr="00FF5A0A">
              <w:t>186,516</w:t>
            </w:r>
          </w:p>
        </w:tc>
        <w:tc>
          <w:tcPr>
            <w:tcW w:w="1559" w:type="dxa"/>
          </w:tcPr>
          <w:p w14:paraId="6B7145AD" w14:textId="37AB76D9" w:rsidR="00FF5A0A" w:rsidRPr="00FF5A0A" w:rsidRDefault="00FF5A0A" w:rsidP="00D76126">
            <w:pPr>
              <w:pStyle w:val="TableCopy"/>
              <w:jc w:val="right"/>
            </w:pPr>
            <w:r w:rsidRPr="00FF5A0A">
              <w:t>62,510</w:t>
            </w:r>
          </w:p>
        </w:tc>
        <w:tc>
          <w:tcPr>
            <w:tcW w:w="1418" w:type="dxa"/>
          </w:tcPr>
          <w:p w14:paraId="35B430E2" w14:textId="0CA100AB" w:rsidR="00FF5A0A" w:rsidRPr="00FF5A0A" w:rsidRDefault="00FF5A0A" w:rsidP="00D76126">
            <w:pPr>
              <w:pStyle w:val="TableCopy"/>
              <w:jc w:val="right"/>
            </w:pPr>
            <w:r w:rsidRPr="00FF5A0A">
              <w:t>25,400</w:t>
            </w:r>
          </w:p>
        </w:tc>
        <w:tc>
          <w:tcPr>
            <w:tcW w:w="1417" w:type="dxa"/>
          </w:tcPr>
          <w:p w14:paraId="5CC41941" w14:textId="704C406E" w:rsidR="00FF5A0A" w:rsidRPr="00FF5A0A" w:rsidRDefault="00FF5A0A" w:rsidP="00D76126">
            <w:pPr>
              <w:pStyle w:val="TableCopy"/>
              <w:jc w:val="right"/>
            </w:pPr>
            <w:r w:rsidRPr="00FF5A0A">
              <w:t>6,142</w:t>
            </w:r>
          </w:p>
        </w:tc>
        <w:tc>
          <w:tcPr>
            <w:tcW w:w="1418" w:type="dxa"/>
          </w:tcPr>
          <w:p w14:paraId="6A09B391" w14:textId="0D327EDE" w:rsidR="00FF5A0A" w:rsidRPr="00FF5A0A" w:rsidRDefault="00FF5A0A" w:rsidP="00D76126">
            <w:pPr>
              <w:pStyle w:val="TableCopy"/>
              <w:jc w:val="right"/>
            </w:pPr>
            <w:r w:rsidRPr="00FF5A0A">
              <w:t>–</w:t>
            </w:r>
          </w:p>
        </w:tc>
        <w:tc>
          <w:tcPr>
            <w:tcW w:w="1417" w:type="dxa"/>
          </w:tcPr>
          <w:p w14:paraId="113AC388" w14:textId="72794C38" w:rsidR="00FF5A0A" w:rsidRPr="00FF5A0A" w:rsidRDefault="00FF5A0A" w:rsidP="00D76126">
            <w:pPr>
              <w:pStyle w:val="TableCopy"/>
              <w:jc w:val="right"/>
            </w:pPr>
            <w:r w:rsidRPr="00FF5A0A">
              <w:t>–</w:t>
            </w:r>
          </w:p>
        </w:tc>
        <w:tc>
          <w:tcPr>
            <w:tcW w:w="1521" w:type="dxa"/>
          </w:tcPr>
          <w:p w14:paraId="166BE391" w14:textId="3DA5543C" w:rsidR="00FF5A0A" w:rsidRPr="00FF5A0A" w:rsidRDefault="00FF5A0A" w:rsidP="00D76126">
            <w:pPr>
              <w:pStyle w:val="TableCopy"/>
              <w:jc w:val="right"/>
            </w:pPr>
            <w:r w:rsidRPr="00FF5A0A">
              <w:t>280,567</w:t>
            </w:r>
          </w:p>
        </w:tc>
        <w:tc>
          <w:tcPr>
            <w:tcW w:w="1598" w:type="dxa"/>
          </w:tcPr>
          <w:p w14:paraId="4405FD21" w14:textId="51A07016" w:rsidR="00FF5A0A" w:rsidRPr="00FF5A0A" w:rsidRDefault="00FF5A0A" w:rsidP="00D76126">
            <w:pPr>
              <w:pStyle w:val="TableCopy"/>
              <w:jc w:val="right"/>
            </w:pPr>
            <w:r w:rsidRPr="00FF5A0A">
              <w:t>209,667</w:t>
            </w:r>
          </w:p>
        </w:tc>
        <w:tc>
          <w:tcPr>
            <w:tcW w:w="1377" w:type="dxa"/>
          </w:tcPr>
          <w:p w14:paraId="34CCB175" w14:textId="6E1F0A56" w:rsidR="00FF5A0A" w:rsidRPr="00FF5A0A" w:rsidRDefault="00FF5A0A" w:rsidP="00D76126">
            <w:pPr>
              <w:pStyle w:val="TableCopy"/>
              <w:jc w:val="right"/>
            </w:pPr>
            <w:r w:rsidRPr="00FF5A0A">
              <w:t>70,900</w:t>
            </w:r>
          </w:p>
        </w:tc>
      </w:tr>
      <w:tr w:rsidR="00D76126" w:rsidRPr="00FF5A0A" w14:paraId="2A7C49F0" w14:textId="77777777" w:rsidTr="005C22C3">
        <w:tc>
          <w:tcPr>
            <w:tcW w:w="2109" w:type="dxa"/>
          </w:tcPr>
          <w:p w14:paraId="17DA6E40" w14:textId="77777777" w:rsidR="00FF5A0A" w:rsidRPr="00FF5A0A" w:rsidRDefault="00FF5A0A" w:rsidP="00D76126">
            <w:pPr>
              <w:pStyle w:val="TableHeading"/>
            </w:pPr>
            <w:r w:rsidRPr="00FF5A0A">
              <w:t>Administered</w:t>
            </w:r>
          </w:p>
        </w:tc>
        <w:tc>
          <w:tcPr>
            <w:tcW w:w="1572" w:type="dxa"/>
          </w:tcPr>
          <w:p w14:paraId="31C44A9E" w14:textId="77777777" w:rsidR="00FF5A0A" w:rsidRPr="00FF5A0A" w:rsidRDefault="00FF5A0A" w:rsidP="00D76126">
            <w:pPr>
              <w:pStyle w:val="TableHeading"/>
              <w:jc w:val="right"/>
            </w:pPr>
          </w:p>
        </w:tc>
        <w:tc>
          <w:tcPr>
            <w:tcW w:w="1559" w:type="dxa"/>
          </w:tcPr>
          <w:p w14:paraId="526F602C" w14:textId="77777777" w:rsidR="00FF5A0A" w:rsidRPr="00FF5A0A" w:rsidRDefault="00FF5A0A" w:rsidP="00D76126">
            <w:pPr>
              <w:pStyle w:val="TableHeading"/>
              <w:jc w:val="right"/>
            </w:pPr>
          </w:p>
        </w:tc>
        <w:tc>
          <w:tcPr>
            <w:tcW w:w="1418" w:type="dxa"/>
          </w:tcPr>
          <w:p w14:paraId="663B29FF" w14:textId="77777777" w:rsidR="00FF5A0A" w:rsidRPr="00FF5A0A" w:rsidRDefault="00FF5A0A" w:rsidP="00D76126">
            <w:pPr>
              <w:pStyle w:val="TableHeading"/>
              <w:jc w:val="right"/>
            </w:pPr>
          </w:p>
        </w:tc>
        <w:tc>
          <w:tcPr>
            <w:tcW w:w="1417" w:type="dxa"/>
          </w:tcPr>
          <w:p w14:paraId="06C70943" w14:textId="77777777" w:rsidR="00FF5A0A" w:rsidRPr="00FF5A0A" w:rsidRDefault="00FF5A0A" w:rsidP="00D76126">
            <w:pPr>
              <w:pStyle w:val="TableHeading"/>
              <w:jc w:val="right"/>
            </w:pPr>
          </w:p>
        </w:tc>
        <w:tc>
          <w:tcPr>
            <w:tcW w:w="1418" w:type="dxa"/>
          </w:tcPr>
          <w:p w14:paraId="1CBAF8DA" w14:textId="77777777" w:rsidR="00FF5A0A" w:rsidRPr="00FF5A0A" w:rsidRDefault="00FF5A0A" w:rsidP="00D76126">
            <w:pPr>
              <w:pStyle w:val="TableHeading"/>
              <w:jc w:val="right"/>
            </w:pPr>
          </w:p>
        </w:tc>
        <w:tc>
          <w:tcPr>
            <w:tcW w:w="1417" w:type="dxa"/>
          </w:tcPr>
          <w:p w14:paraId="4BE98ECC" w14:textId="77777777" w:rsidR="00FF5A0A" w:rsidRPr="00FF5A0A" w:rsidRDefault="00FF5A0A" w:rsidP="00D76126">
            <w:pPr>
              <w:pStyle w:val="TableHeading"/>
              <w:jc w:val="right"/>
            </w:pPr>
          </w:p>
        </w:tc>
        <w:tc>
          <w:tcPr>
            <w:tcW w:w="1521" w:type="dxa"/>
          </w:tcPr>
          <w:p w14:paraId="5A180C83" w14:textId="77777777" w:rsidR="00FF5A0A" w:rsidRPr="00FF5A0A" w:rsidRDefault="00FF5A0A" w:rsidP="00D76126">
            <w:pPr>
              <w:pStyle w:val="TableHeading"/>
              <w:jc w:val="right"/>
            </w:pPr>
          </w:p>
        </w:tc>
        <w:tc>
          <w:tcPr>
            <w:tcW w:w="1598" w:type="dxa"/>
          </w:tcPr>
          <w:p w14:paraId="67A4E6B6" w14:textId="77777777" w:rsidR="00FF5A0A" w:rsidRPr="00FF5A0A" w:rsidRDefault="00FF5A0A" w:rsidP="00D76126">
            <w:pPr>
              <w:pStyle w:val="TableHeading"/>
              <w:jc w:val="right"/>
            </w:pPr>
          </w:p>
        </w:tc>
        <w:tc>
          <w:tcPr>
            <w:tcW w:w="1377" w:type="dxa"/>
          </w:tcPr>
          <w:p w14:paraId="3C33CE40" w14:textId="77777777" w:rsidR="00FF5A0A" w:rsidRPr="00FF5A0A" w:rsidRDefault="00FF5A0A" w:rsidP="00D76126">
            <w:pPr>
              <w:pStyle w:val="TableHeading"/>
              <w:jc w:val="right"/>
            </w:pPr>
          </w:p>
        </w:tc>
      </w:tr>
      <w:tr w:rsidR="00FF5A0A" w:rsidRPr="00FF5A0A" w14:paraId="348CA621" w14:textId="77777777" w:rsidTr="005C22C3">
        <w:tc>
          <w:tcPr>
            <w:tcW w:w="2109" w:type="dxa"/>
          </w:tcPr>
          <w:p w14:paraId="7D2D4A1C" w14:textId="6D33A7C5" w:rsidR="00FF5A0A" w:rsidRPr="00FF5A0A" w:rsidRDefault="00FF5A0A" w:rsidP="00D76126">
            <w:pPr>
              <w:pStyle w:val="TableCopy"/>
            </w:pPr>
            <w:r w:rsidRPr="00FF5A0A">
              <w:t>Payments made on behalf of the State</w:t>
            </w:r>
          </w:p>
        </w:tc>
        <w:tc>
          <w:tcPr>
            <w:tcW w:w="1572" w:type="dxa"/>
          </w:tcPr>
          <w:p w14:paraId="4D8110C7" w14:textId="1D550DA6" w:rsidR="00FF5A0A" w:rsidRPr="00FF5A0A" w:rsidRDefault="00FF5A0A" w:rsidP="00D76126">
            <w:pPr>
              <w:pStyle w:val="TableCopy"/>
              <w:jc w:val="right"/>
            </w:pPr>
            <w:r w:rsidRPr="00FF5A0A">
              <w:t>76,712</w:t>
            </w:r>
          </w:p>
        </w:tc>
        <w:tc>
          <w:tcPr>
            <w:tcW w:w="1559" w:type="dxa"/>
          </w:tcPr>
          <w:p w14:paraId="6B6D7ED4" w14:textId="152256DE" w:rsidR="00FF5A0A" w:rsidRPr="00FF5A0A" w:rsidRDefault="00FF5A0A" w:rsidP="00D76126">
            <w:pPr>
              <w:pStyle w:val="TableCopy"/>
              <w:jc w:val="right"/>
            </w:pPr>
            <w:r w:rsidRPr="00FF5A0A">
              <w:t>9,697</w:t>
            </w:r>
          </w:p>
        </w:tc>
        <w:tc>
          <w:tcPr>
            <w:tcW w:w="1418" w:type="dxa"/>
          </w:tcPr>
          <w:p w14:paraId="4CB501C8" w14:textId="6C46F5EB" w:rsidR="00FF5A0A" w:rsidRPr="00FF5A0A" w:rsidRDefault="00FF5A0A" w:rsidP="00D76126">
            <w:pPr>
              <w:pStyle w:val="TableCopy"/>
              <w:jc w:val="right"/>
            </w:pPr>
            <w:r w:rsidRPr="00FF5A0A">
              <w:t>–</w:t>
            </w:r>
          </w:p>
        </w:tc>
        <w:tc>
          <w:tcPr>
            <w:tcW w:w="1417" w:type="dxa"/>
          </w:tcPr>
          <w:p w14:paraId="57123F4E" w14:textId="5514D4F9" w:rsidR="00FF5A0A" w:rsidRPr="00FF5A0A" w:rsidRDefault="00FF5A0A" w:rsidP="00D76126">
            <w:pPr>
              <w:pStyle w:val="TableCopy"/>
              <w:jc w:val="right"/>
            </w:pPr>
            <w:r w:rsidRPr="00FF5A0A">
              <w:t>4,061</w:t>
            </w:r>
          </w:p>
        </w:tc>
        <w:tc>
          <w:tcPr>
            <w:tcW w:w="1418" w:type="dxa"/>
          </w:tcPr>
          <w:p w14:paraId="72137185" w14:textId="4B1DCC3E" w:rsidR="00FF5A0A" w:rsidRPr="00FF5A0A" w:rsidRDefault="00FF5A0A" w:rsidP="00D76126">
            <w:pPr>
              <w:pStyle w:val="TableCopy"/>
              <w:jc w:val="right"/>
            </w:pPr>
            <w:r w:rsidRPr="00FF5A0A">
              <w:t>–</w:t>
            </w:r>
          </w:p>
        </w:tc>
        <w:tc>
          <w:tcPr>
            <w:tcW w:w="1417" w:type="dxa"/>
          </w:tcPr>
          <w:p w14:paraId="6EF6E184" w14:textId="6AAFB3BF" w:rsidR="00FF5A0A" w:rsidRPr="00FF5A0A" w:rsidRDefault="00FF5A0A" w:rsidP="00D76126">
            <w:pPr>
              <w:pStyle w:val="TableCopy"/>
              <w:jc w:val="right"/>
            </w:pPr>
            <w:r w:rsidRPr="00FF5A0A">
              <w:t>–</w:t>
            </w:r>
          </w:p>
        </w:tc>
        <w:tc>
          <w:tcPr>
            <w:tcW w:w="1521" w:type="dxa"/>
          </w:tcPr>
          <w:p w14:paraId="10367BDE" w14:textId="2CAC5AE9" w:rsidR="00FF5A0A" w:rsidRPr="00FF5A0A" w:rsidRDefault="00FF5A0A" w:rsidP="00D76126">
            <w:pPr>
              <w:pStyle w:val="TableCopy"/>
              <w:jc w:val="right"/>
            </w:pPr>
            <w:r w:rsidRPr="00FF5A0A">
              <w:t>90,470</w:t>
            </w:r>
          </w:p>
        </w:tc>
        <w:tc>
          <w:tcPr>
            <w:tcW w:w="1598" w:type="dxa"/>
          </w:tcPr>
          <w:p w14:paraId="153AB151" w14:textId="09CC4AEE" w:rsidR="00FF5A0A" w:rsidRPr="00FF5A0A" w:rsidRDefault="00FF5A0A" w:rsidP="00D76126">
            <w:pPr>
              <w:pStyle w:val="TableCopy"/>
              <w:jc w:val="right"/>
            </w:pPr>
            <w:r w:rsidRPr="00FF5A0A">
              <w:t>89,468</w:t>
            </w:r>
          </w:p>
        </w:tc>
        <w:tc>
          <w:tcPr>
            <w:tcW w:w="1377" w:type="dxa"/>
          </w:tcPr>
          <w:p w14:paraId="07B136B6" w14:textId="64732207" w:rsidR="00FF5A0A" w:rsidRPr="00FF5A0A" w:rsidRDefault="00FF5A0A" w:rsidP="00D76126">
            <w:pPr>
              <w:pStyle w:val="TableCopy"/>
              <w:jc w:val="right"/>
            </w:pPr>
            <w:r w:rsidRPr="00FF5A0A">
              <w:t>1,002</w:t>
            </w:r>
          </w:p>
        </w:tc>
      </w:tr>
      <w:tr w:rsidR="00FF5A0A" w:rsidRPr="00D76126" w14:paraId="463A6C1E" w14:textId="77777777" w:rsidTr="005C22C3">
        <w:tc>
          <w:tcPr>
            <w:tcW w:w="2109" w:type="dxa"/>
          </w:tcPr>
          <w:p w14:paraId="12CE1ACE" w14:textId="7B5E577B" w:rsidR="00FF5A0A" w:rsidRPr="00D76126" w:rsidRDefault="00FF5A0A" w:rsidP="00D76126">
            <w:pPr>
              <w:pStyle w:val="TableCopy"/>
              <w:rPr>
                <w:b/>
                <w:bCs/>
              </w:rPr>
            </w:pPr>
            <w:r w:rsidRPr="00D76126">
              <w:rPr>
                <w:b/>
                <w:bCs/>
              </w:rPr>
              <w:t>2022 total</w:t>
            </w:r>
          </w:p>
        </w:tc>
        <w:tc>
          <w:tcPr>
            <w:tcW w:w="1572" w:type="dxa"/>
          </w:tcPr>
          <w:p w14:paraId="07E70A03" w14:textId="408E8A71" w:rsidR="00FF5A0A" w:rsidRPr="00D76126" w:rsidRDefault="00FF5A0A" w:rsidP="00D76126">
            <w:pPr>
              <w:pStyle w:val="TableCopy"/>
              <w:jc w:val="right"/>
              <w:rPr>
                <w:b/>
                <w:bCs/>
              </w:rPr>
            </w:pPr>
            <w:r w:rsidRPr="00D76126">
              <w:rPr>
                <w:b/>
                <w:bCs/>
              </w:rPr>
              <w:t>2,696,709</w:t>
            </w:r>
          </w:p>
        </w:tc>
        <w:tc>
          <w:tcPr>
            <w:tcW w:w="1559" w:type="dxa"/>
          </w:tcPr>
          <w:p w14:paraId="4577B8E8" w14:textId="3F46E37D" w:rsidR="00FF5A0A" w:rsidRPr="00D76126" w:rsidRDefault="00FF5A0A" w:rsidP="00D76126">
            <w:pPr>
              <w:pStyle w:val="TableCopy"/>
              <w:jc w:val="right"/>
              <w:rPr>
                <w:b/>
                <w:bCs/>
              </w:rPr>
            </w:pPr>
            <w:r w:rsidRPr="00D76126">
              <w:rPr>
                <w:b/>
                <w:bCs/>
              </w:rPr>
              <w:t>5,615,420</w:t>
            </w:r>
          </w:p>
        </w:tc>
        <w:tc>
          <w:tcPr>
            <w:tcW w:w="1418" w:type="dxa"/>
          </w:tcPr>
          <w:p w14:paraId="41A6A093" w14:textId="05435811" w:rsidR="00FF5A0A" w:rsidRPr="00D76126" w:rsidRDefault="00FF5A0A" w:rsidP="00D76126">
            <w:pPr>
              <w:pStyle w:val="TableCopy"/>
              <w:jc w:val="right"/>
              <w:rPr>
                <w:b/>
                <w:bCs/>
              </w:rPr>
            </w:pPr>
            <w:r w:rsidRPr="00D76126">
              <w:rPr>
                <w:b/>
                <w:bCs/>
              </w:rPr>
              <w:t>3,243,745</w:t>
            </w:r>
          </w:p>
        </w:tc>
        <w:tc>
          <w:tcPr>
            <w:tcW w:w="1417" w:type="dxa"/>
          </w:tcPr>
          <w:p w14:paraId="306AF40E" w14:textId="343B1AD7" w:rsidR="00FF5A0A" w:rsidRPr="00D76126" w:rsidRDefault="00FF5A0A" w:rsidP="00D76126">
            <w:pPr>
              <w:pStyle w:val="TableCopy"/>
              <w:jc w:val="right"/>
              <w:rPr>
                <w:b/>
                <w:bCs/>
              </w:rPr>
            </w:pPr>
            <w:r w:rsidRPr="00D76126">
              <w:rPr>
                <w:b/>
                <w:bCs/>
              </w:rPr>
              <w:t>–</w:t>
            </w:r>
          </w:p>
        </w:tc>
        <w:tc>
          <w:tcPr>
            <w:tcW w:w="1418" w:type="dxa"/>
          </w:tcPr>
          <w:p w14:paraId="12218FF6" w14:textId="36F19E1A" w:rsidR="00FF5A0A" w:rsidRPr="00D76126" w:rsidRDefault="00FF5A0A" w:rsidP="00D76126">
            <w:pPr>
              <w:pStyle w:val="TableCopy"/>
              <w:jc w:val="right"/>
              <w:rPr>
                <w:b/>
                <w:bCs/>
              </w:rPr>
            </w:pPr>
            <w:r w:rsidRPr="00D76126">
              <w:rPr>
                <w:b/>
                <w:bCs/>
              </w:rPr>
              <w:t>12,739</w:t>
            </w:r>
          </w:p>
        </w:tc>
        <w:tc>
          <w:tcPr>
            <w:tcW w:w="1417" w:type="dxa"/>
          </w:tcPr>
          <w:p w14:paraId="2C9C7FCC" w14:textId="53A2F609" w:rsidR="00FF5A0A" w:rsidRPr="00D76126" w:rsidRDefault="00FF5A0A" w:rsidP="00D76126">
            <w:pPr>
              <w:pStyle w:val="TableCopy"/>
              <w:jc w:val="right"/>
              <w:rPr>
                <w:b/>
                <w:bCs/>
              </w:rPr>
            </w:pPr>
            <w:r w:rsidRPr="00D76126">
              <w:rPr>
                <w:b/>
                <w:bCs/>
              </w:rPr>
              <w:t>–</w:t>
            </w:r>
          </w:p>
        </w:tc>
        <w:tc>
          <w:tcPr>
            <w:tcW w:w="1521" w:type="dxa"/>
          </w:tcPr>
          <w:p w14:paraId="0ADF8E21" w14:textId="11621991" w:rsidR="00FF5A0A" w:rsidRPr="00D76126" w:rsidRDefault="00FF5A0A" w:rsidP="00D76126">
            <w:pPr>
              <w:pStyle w:val="TableCopy"/>
              <w:jc w:val="right"/>
              <w:rPr>
                <w:b/>
                <w:bCs/>
              </w:rPr>
            </w:pPr>
            <w:r w:rsidRPr="00D76126">
              <w:rPr>
                <w:b/>
                <w:bCs/>
              </w:rPr>
              <w:t>11,568,613</w:t>
            </w:r>
          </w:p>
        </w:tc>
        <w:tc>
          <w:tcPr>
            <w:tcW w:w="1598" w:type="dxa"/>
          </w:tcPr>
          <w:p w14:paraId="3D5C335F" w14:textId="502355A5" w:rsidR="00FF5A0A" w:rsidRPr="00D76126" w:rsidRDefault="00FF5A0A" w:rsidP="00D76126">
            <w:pPr>
              <w:pStyle w:val="TableCopy"/>
              <w:jc w:val="right"/>
              <w:rPr>
                <w:b/>
                <w:bCs/>
              </w:rPr>
            </w:pPr>
            <w:r w:rsidRPr="00D76126">
              <w:rPr>
                <w:b/>
                <w:bCs/>
              </w:rPr>
              <w:t>11,123,761</w:t>
            </w:r>
          </w:p>
        </w:tc>
        <w:tc>
          <w:tcPr>
            <w:tcW w:w="1377" w:type="dxa"/>
          </w:tcPr>
          <w:p w14:paraId="152BA3DF" w14:textId="78C2E715" w:rsidR="00FF5A0A" w:rsidRPr="00D76126" w:rsidRDefault="00FF5A0A" w:rsidP="00D76126">
            <w:pPr>
              <w:pStyle w:val="TableCopy"/>
              <w:jc w:val="right"/>
              <w:rPr>
                <w:b/>
                <w:bCs/>
              </w:rPr>
            </w:pPr>
            <w:r w:rsidRPr="00D76126">
              <w:rPr>
                <w:b/>
                <w:bCs/>
              </w:rPr>
              <w:t>444,852</w:t>
            </w:r>
          </w:p>
        </w:tc>
      </w:tr>
    </w:tbl>
    <w:p w14:paraId="7D2CF6D2" w14:textId="3FE3A6FD" w:rsidR="00D76126" w:rsidRPr="00D76126" w:rsidRDefault="00D76126" w:rsidP="004D732B">
      <w:pPr>
        <w:pStyle w:val="FootnoteText"/>
        <w:spacing w:before="120"/>
        <w:rPr>
          <w:lang w:val="en-GB" w:eastAsia="en-AU"/>
        </w:rPr>
      </w:pPr>
      <w:r w:rsidRPr="00D76126">
        <w:rPr>
          <w:lang w:val="en-GB" w:eastAsia="en-AU"/>
        </w:rPr>
        <w:t>(</w:t>
      </w:r>
      <w:proofErr w:type="spellStart"/>
      <w:r w:rsidRPr="00D76126">
        <w:rPr>
          <w:lang w:val="en-GB" w:eastAsia="en-AU"/>
        </w:rPr>
        <w:t>i</w:t>
      </w:r>
      <w:proofErr w:type="spellEnd"/>
      <w:r w:rsidRPr="00D76126">
        <w:rPr>
          <w:lang w:val="en-GB" w:eastAsia="en-AU"/>
        </w:rPr>
        <w:t>)</w:t>
      </w:r>
      <w:r>
        <w:rPr>
          <w:lang w:val="en-GB" w:eastAsia="en-AU"/>
        </w:rPr>
        <w:t xml:space="preserve"> </w:t>
      </w:r>
      <w:r w:rsidRPr="00D76126">
        <w:rPr>
          <w:lang w:val="en-GB" w:eastAsia="en-AU"/>
        </w:rPr>
        <w:t>Annual appropriation reflects the parliamentary appropriations received by DJSIR as per the published 2022–23 Appropriation Bill.</w:t>
      </w:r>
    </w:p>
    <w:p w14:paraId="4105D106" w14:textId="5E3223C7" w:rsidR="00D76126" w:rsidRPr="00D76126" w:rsidRDefault="00D76126" w:rsidP="00D76126">
      <w:pPr>
        <w:pStyle w:val="FootnoteText"/>
        <w:rPr>
          <w:lang w:val="en-GB" w:eastAsia="en-AU"/>
        </w:rPr>
      </w:pPr>
      <w:r w:rsidRPr="00D76126">
        <w:rPr>
          <w:lang w:val="en-GB" w:eastAsia="en-AU"/>
        </w:rPr>
        <w:t>(ii)</w:t>
      </w:r>
      <w:r>
        <w:rPr>
          <w:lang w:val="en-GB" w:eastAsia="en-AU"/>
        </w:rPr>
        <w:t xml:space="preserve"> </w:t>
      </w:r>
      <w:r w:rsidRPr="00D76126">
        <w:rPr>
          <w:lang w:val="en-GB" w:eastAsia="en-AU"/>
        </w:rPr>
        <w:t>The Machinery of Government changes were effective from 1 January 2023.</w:t>
      </w:r>
    </w:p>
    <w:p w14:paraId="17309B0A" w14:textId="4A3B953D" w:rsidR="00D76126" w:rsidRPr="00D76126" w:rsidRDefault="00D76126" w:rsidP="00D76126">
      <w:pPr>
        <w:pStyle w:val="FootnoteText"/>
        <w:rPr>
          <w:lang w:val="en-GB" w:eastAsia="en-AU"/>
        </w:rPr>
      </w:pPr>
      <w:r w:rsidRPr="00D76126">
        <w:rPr>
          <w:lang w:val="en-GB" w:eastAsia="en-AU"/>
        </w:rPr>
        <w:t>(iii) The variance is primarily due to:</w:t>
      </w:r>
      <w:r w:rsidRPr="00D76126">
        <w:rPr>
          <w:lang w:val="en-GB" w:eastAsia="en-AU"/>
        </w:rPr>
        <w:br/>
        <w:t xml:space="preserve">– budget updates being made during the financial year to rephase $227m funding from 2022–23 into future years to align </w:t>
      </w:r>
      <w:r w:rsidRPr="00D76126">
        <w:rPr>
          <w:lang w:val="en-GB" w:eastAsia="en-AU"/>
        </w:rPr>
        <w:tab/>
        <w:t>budget with initiative milestones, including for Jobs Victoria and Local Community Sports initiatives;</w:t>
      </w:r>
      <w:r w:rsidRPr="00D76126">
        <w:rPr>
          <w:lang w:val="en-GB" w:eastAsia="en-AU"/>
        </w:rPr>
        <w:br/>
        <w:t>– $137.1 million underspend in Treasurer’s Advances and other adjustments, including a request for carryover of appropriations, to reflect agreed changes in committed projects milestones across financial years; and</w:t>
      </w:r>
      <w:r w:rsidRPr="00D76126">
        <w:rPr>
          <w:lang w:val="en-GB" w:eastAsia="en-AU"/>
        </w:rPr>
        <w:br/>
        <w:t>– the application of $145m Depreciation Equivalent Funding as an alternative to asset appropriation.</w:t>
      </w:r>
    </w:p>
    <w:p w14:paraId="5B5F2C54" w14:textId="77777777" w:rsidR="000756EB" w:rsidRDefault="000756EB" w:rsidP="004D732B"/>
    <w:p w14:paraId="4C364D1F" w14:textId="77777777" w:rsidR="007D544B" w:rsidRDefault="007D544B" w:rsidP="004D732B">
      <w:pPr>
        <w:rPr>
          <w:rFonts w:ascii="VIC" w:hAnsi="VIC" w:cs="VIC"/>
        </w:rPr>
        <w:sectPr w:rsidR="007D544B" w:rsidSect="00D76126">
          <w:pgSz w:w="16838" w:h="11906" w:orient="landscape" w:code="9"/>
          <w:pgMar w:top="1134" w:right="851" w:bottom="1134" w:left="851" w:header="397" w:footer="397" w:gutter="0"/>
          <w:cols w:space="720"/>
          <w:noEndnote/>
          <w:docGrid w:linePitch="326"/>
        </w:sectPr>
      </w:pPr>
    </w:p>
    <w:p w14:paraId="6D34672F" w14:textId="50D310BF" w:rsidR="000756EB" w:rsidRDefault="004A4D88" w:rsidP="00D56B3C">
      <w:pPr>
        <w:pStyle w:val="Heading2"/>
      </w:pPr>
      <w:bookmarkStart w:id="18" w:name="_Toc149911800"/>
      <w:r>
        <w:lastRenderedPageBreak/>
        <w:t>2.4</w:t>
      </w:r>
      <w:r w:rsidR="00A03629">
        <w:t xml:space="preserve"> </w:t>
      </w:r>
      <w:r>
        <w:t>Revenue</w:t>
      </w:r>
      <w:r w:rsidR="00A03629">
        <w:t xml:space="preserve"> </w:t>
      </w:r>
      <w:r>
        <w:t>and</w:t>
      </w:r>
      <w:r w:rsidR="00A03629">
        <w:t xml:space="preserve"> </w:t>
      </w:r>
      <w:r>
        <w:t>income</w:t>
      </w:r>
      <w:r w:rsidR="00A03629">
        <w:t xml:space="preserve"> </w:t>
      </w:r>
      <w:r>
        <w:t>from</w:t>
      </w:r>
      <w:r w:rsidR="00A03629">
        <w:rPr>
          <w:rFonts w:ascii="Cambria" w:hAnsi="Cambria" w:cs="Cambria"/>
        </w:rPr>
        <w:t xml:space="preserve"> </w:t>
      </w:r>
      <w:r>
        <w:t>transactions</w:t>
      </w:r>
      <w:bookmarkEnd w:id="18"/>
    </w:p>
    <w:p w14:paraId="0E6759A8" w14:textId="6A73984C" w:rsidR="000756EB" w:rsidRDefault="004A4D88" w:rsidP="00D56B3C">
      <w:pPr>
        <w:pStyle w:val="Heading3"/>
      </w:pPr>
      <w:r>
        <w:t>2.4.1</w:t>
      </w:r>
      <w:r w:rsidR="00DE38B5">
        <w:t xml:space="preserve"> </w:t>
      </w:r>
      <w:r>
        <w:t>Grants</w:t>
      </w:r>
    </w:p>
    <w:p w14:paraId="2DE744F2" w14:textId="7F90C8FC" w:rsidR="000756EB" w:rsidRDefault="004A4D88" w:rsidP="00D56B3C">
      <w:r>
        <w:t>DJSIR</w:t>
      </w:r>
      <w:r w:rsidR="00A03629">
        <w:t xml:space="preserve"> </w:t>
      </w:r>
      <w:r>
        <w:t>has</w:t>
      </w:r>
      <w:r w:rsidR="00A03629">
        <w:t xml:space="preserve"> </w:t>
      </w:r>
      <w:r>
        <w:t>determined</w:t>
      </w:r>
      <w:r w:rsidR="00A03629">
        <w:t xml:space="preserve"> </w:t>
      </w:r>
      <w:r>
        <w:t>that</w:t>
      </w:r>
      <w:r w:rsidR="00A03629">
        <w:t xml:space="preserve"> </w:t>
      </w:r>
      <w:r>
        <w:t>all</w:t>
      </w:r>
      <w:r w:rsidR="00A03629">
        <w:t xml:space="preserve"> </w:t>
      </w:r>
      <w:r>
        <w:t>grant</w:t>
      </w:r>
      <w:r w:rsidR="00A03629">
        <w:t xml:space="preserve"> </w:t>
      </w:r>
      <w:r>
        <w:t>income</w:t>
      </w:r>
      <w:r w:rsidR="00A03629">
        <w:t xml:space="preserve"> </w:t>
      </w:r>
      <w:r>
        <w:t>is</w:t>
      </w:r>
      <w:r w:rsidR="00A03629">
        <w:t xml:space="preserve"> </w:t>
      </w:r>
      <w:r>
        <w:t>recognised</w:t>
      </w:r>
      <w:r w:rsidR="00A03629">
        <w:t xml:space="preserve"> </w:t>
      </w:r>
      <w:r>
        <w:t>as</w:t>
      </w:r>
      <w:r w:rsidR="00A03629">
        <w:t xml:space="preserve"> </w:t>
      </w:r>
      <w:r>
        <w:t>income</w:t>
      </w:r>
      <w:r w:rsidR="00A03629">
        <w:t xml:space="preserve"> </w:t>
      </w:r>
      <w:r>
        <w:t>of</w:t>
      </w:r>
      <w:r w:rsidR="00A03629">
        <w:t xml:space="preserve"> </w:t>
      </w:r>
      <w:r>
        <w:t>not-for-profit</w:t>
      </w:r>
      <w:r w:rsidR="00A03629">
        <w:t xml:space="preserve"> </w:t>
      </w:r>
      <w:r>
        <w:t>entities</w:t>
      </w:r>
      <w:r w:rsidR="00A03629">
        <w:t xml:space="preserve"> </w:t>
      </w:r>
      <w:r>
        <w:t>in</w:t>
      </w:r>
      <w:r w:rsidR="00A03629">
        <w:t xml:space="preserve"> </w:t>
      </w:r>
      <w:r>
        <w:t>accordance</w:t>
      </w:r>
      <w:r w:rsidR="00A03629">
        <w:t xml:space="preserve"> </w:t>
      </w:r>
      <w:r>
        <w:t>with</w:t>
      </w:r>
      <w:r w:rsidR="00A03629">
        <w:t xml:space="preserve"> </w:t>
      </w:r>
      <w:r>
        <w:t>AASB</w:t>
      </w:r>
      <w:r w:rsidR="00A03629">
        <w:t xml:space="preserve"> </w:t>
      </w:r>
      <w:r>
        <w:t>1058,</w:t>
      </w:r>
      <w:r w:rsidR="00A03629">
        <w:t xml:space="preserve"> </w:t>
      </w:r>
      <w:r>
        <w:t>except</w:t>
      </w:r>
      <w:r w:rsidR="00A03629">
        <w:t xml:space="preserve"> </w:t>
      </w:r>
      <w:r>
        <w:t>for</w:t>
      </w:r>
      <w:r w:rsidR="00A03629">
        <w:t xml:space="preserve"> </w:t>
      </w:r>
      <w:r>
        <w:t>grants</w:t>
      </w:r>
      <w:r w:rsidR="00A03629">
        <w:t xml:space="preserve"> </w:t>
      </w:r>
      <w:r>
        <w:t>that</w:t>
      </w:r>
      <w:r w:rsidR="00A03629">
        <w:t xml:space="preserve"> </w:t>
      </w:r>
      <w:r>
        <w:t>are</w:t>
      </w:r>
      <w:r w:rsidR="00A03629">
        <w:t xml:space="preserve"> </w:t>
      </w:r>
      <w:r>
        <w:t>enforceable</w:t>
      </w:r>
      <w:r w:rsidR="00A03629">
        <w:t xml:space="preserve"> </w:t>
      </w:r>
      <w:r>
        <w:t>and</w:t>
      </w:r>
      <w:r w:rsidR="00A03629">
        <w:t xml:space="preserve"> </w:t>
      </w:r>
      <w:r>
        <w:t>with</w:t>
      </w:r>
      <w:r w:rsidR="00A03629">
        <w:t xml:space="preserve"> </w:t>
      </w:r>
      <w:r>
        <w:t>sufficiently</w:t>
      </w:r>
      <w:r w:rsidR="00A03629">
        <w:t xml:space="preserve"> </w:t>
      </w:r>
      <w:r>
        <w:t>specific</w:t>
      </w:r>
      <w:r w:rsidR="00A03629">
        <w:t xml:space="preserve"> </w:t>
      </w:r>
      <w:r>
        <w:t>performance</w:t>
      </w:r>
      <w:r w:rsidR="00A03629">
        <w:t xml:space="preserve"> </w:t>
      </w:r>
      <w:r>
        <w:t>obligations.</w:t>
      </w:r>
    </w:p>
    <w:p w14:paraId="1C4CB343" w14:textId="2B9F08F6" w:rsidR="000756EB" w:rsidRDefault="004A4D88" w:rsidP="00D56B3C">
      <w:pPr>
        <w:pStyle w:val="Normalbeforebullets"/>
      </w:pPr>
      <w:r>
        <w:t>Income</w:t>
      </w:r>
      <w:r w:rsidR="00A03629">
        <w:t xml:space="preserve"> </w:t>
      </w:r>
      <w:r>
        <w:t>from</w:t>
      </w:r>
      <w:r w:rsidR="00A03629">
        <w:t xml:space="preserve"> </w:t>
      </w:r>
      <w:r>
        <w:t>grants</w:t>
      </w:r>
      <w:r w:rsidR="00A03629">
        <w:t xml:space="preserve"> </w:t>
      </w:r>
      <w:r>
        <w:t>without</w:t>
      </w:r>
      <w:r w:rsidR="00A03629">
        <w:t xml:space="preserve"> </w:t>
      </w:r>
      <w:r>
        <w:t>any</w:t>
      </w:r>
      <w:r w:rsidR="00A03629">
        <w:t xml:space="preserve"> </w:t>
      </w:r>
      <w:r>
        <w:t>sufficiently</w:t>
      </w:r>
      <w:r w:rsidR="00A03629">
        <w:t xml:space="preserve"> </w:t>
      </w:r>
      <w:r>
        <w:t>specific</w:t>
      </w:r>
      <w:r w:rsidR="00A03629">
        <w:t xml:space="preserve"> </w:t>
      </w:r>
      <w:r>
        <w:t>performance</w:t>
      </w:r>
      <w:r w:rsidR="00A03629">
        <w:t xml:space="preserve"> </w:t>
      </w:r>
      <w:r>
        <w:t>obligations,</w:t>
      </w:r>
      <w:r w:rsidR="00A03629">
        <w:t xml:space="preserve"> </w:t>
      </w:r>
      <w:r>
        <w:t>or</w:t>
      </w:r>
      <w:r w:rsidR="00A03629">
        <w:t xml:space="preserve"> </w:t>
      </w:r>
      <w:r>
        <w:t>that</w:t>
      </w:r>
      <w:r w:rsidR="00A03629">
        <w:t xml:space="preserve"> </w:t>
      </w:r>
      <w:r>
        <w:t>are</w:t>
      </w:r>
      <w:r w:rsidR="00A03629">
        <w:t xml:space="preserve"> </w:t>
      </w:r>
      <w:r>
        <w:t>not</w:t>
      </w:r>
      <w:r w:rsidR="00A03629">
        <w:t xml:space="preserve"> </w:t>
      </w:r>
      <w:r>
        <w:t>enforceable,</w:t>
      </w:r>
      <w:r w:rsidR="00A03629">
        <w:t xml:space="preserve"> </w:t>
      </w:r>
      <w:r>
        <w:t>is</w:t>
      </w:r>
      <w:r w:rsidR="00A03629">
        <w:t xml:space="preserve"> </w:t>
      </w:r>
      <w:r>
        <w:t>recognised</w:t>
      </w:r>
      <w:r w:rsidR="00A03629">
        <w:t xml:space="preserve"> </w:t>
      </w:r>
      <w:r>
        <w:t>when</w:t>
      </w:r>
      <w:r w:rsidR="00A03629">
        <w:t xml:space="preserve"> </w:t>
      </w:r>
      <w:r>
        <w:t>DJSIR</w:t>
      </w:r>
      <w:r w:rsidR="00A03629">
        <w:t xml:space="preserve"> </w:t>
      </w:r>
      <w:r>
        <w:t>has</w:t>
      </w:r>
      <w:r w:rsidR="00A03629">
        <w:t xml:space="preserve"> </w:t>
      </w:r>
      <w:r>
        <w:t>an</w:t>
      </w:r>
      <w:r w:rsidR="00A03629">
        <w:t xml:space="preserve"> </w:t>
      </w:r>
      <w:r>
        <w:t>unconditional</w:t>
      </w:r>
      <w:r w:rsidR="00A03629">
        <w:t xml:space="preserve"> </w:t>
      </w:r>
      <w:r>
        <w:t>right</w:t>
      </w:r>
      <w:r w:rsidR="00A03629">
        <w:t xml:space="preserve"> </w:t>
      </w:r>
      <w:r>
        <w:t>to</w:t>
      </w:r>
      <w:r w:rsidR="00A03629">
        <w:t xml:space="preserve"> </w:t>
      </w:r>
      <w:r>
        <w:t>receive</w:t>
      </w:r>
      <w:r w:rsidR="00A03629">
        <w:t xml:space="preserve"> </w:t>
      </w:r>
      <w:r>
        <w:t>cash</w:t>
      </w:r>
      <w:r w:rsidR="00A03629">
        <w:t xml:space="preserve"> </w:t>
      </w:r>
      <w:r>
        <w:t>which</w:t>
      </w:r>
      <w:r w:rsidR="00A03629">
        <w:t xml:space="preserve"> </w:t>
      </w:r>
      <w:r>
        <w:t>usually</w:t>
      </w:r>
      <w:r w:rsidR="00A03629">
        <w:t xml:space="preserve"> </w:t>
      </w:r>
      <w:r>
        <w:t>coincides</w:t>
      </w:r>
      <w:r w:rsidR="00A03629">
        <w:t xml:space="preserve"> </w:t>
      </w:r>
      <w:r>
        <w:t>with</w:t>
      </w:r>
      <w:r w:rsidR="00A03629">
        <w:t xml:space="preserve"> </w:t>
      </w:r>
      <w:r>
        <w:t>receipt</w:t>
      </w:r>
      <w:r w:rsidR="00A03629">
        <w:t xml:space="preserve"> </w:t>
      </w:r>
      <w:r>
        <w:t>of</w:t>
      </w:r>
      <w:r w:rsidR="00A03629">
        <w:t xml:space="preserve"> </w:t>
      </w:r>
      <w:r>
        <w:t>cash.</w:t>
      </w:r>
      <w:r w:rsidR="00A03629">
        <w:t xml:space="preserve"> </w:t>
      </w:r>
      <w:r>
        <w:t>On</w:t>
      </w:r>
      <w:r w:rsidR="00A03629">
        <w:t xml:space="preserve"> </w:t>
      </w:r>
      <w:r>
        <w:t>initial</w:t>
      </w:r>
      <w:r w:rsidR="00A03629">
        <w:t xml:space="preserve"> </w:t>
      </w:r>
      <w:r>
        <w:t>recognition</w:t>
      </w:r>
      <w:r w:rsidR="00A03629">
        <w:t xml:space="preserve"> </w:t>
      </w:r>
      <w:r>
        <w:t>of</w:t>
      </w:r>
      <w:r w:rsidR="00A03629">
        <w:t xml:space="preserve"> </w:t>
      </w:r>
      <w:r>
        <w:t>the</w:t>
      </w:r>
      <w:r w:rsidR="00A03629">
        <w:t xml:space="preserve"> </w:t>
      </w:r>
      <w:r>
        <w:t>asset,</w:t>
      </w:r>
      <w:r w:rsidR="00A03629">
        <w:t xml:space="preserve"> </w:t>
      </w:r>
      <w:r>
        <w:t>DJSIR</w:t>
      </w:r>
      <w:r w:rsidR="00A03629">
        <w:t xml:space="preserve"> </w:t>
      </w:r>
      <w:r>
        <w:t>recognises</w:t>
      </w:r>
      <w:r w:rsidR="00A03629">
        <w:t xml:space="preserve"> </w:t>
      </w:r>
      <w:r>
        <w:t>any</w:t>
      </w:r>
      <w:r w:rsidR="00A03629">
        <w:t xml:space="preserve"> </w:t>
      </w:r>
      <w:r>
        <w:t>related</w:t>
      </w:r>
      <w:r w:rsidR="00A03629">
        <w:t xml:space="preserve"> </w:t>
      </w:r>
      <w:r>
        <w:t>contributions</w:t>
      </w:r>
      <w:r w:rsidR="00A03629">
        <w:t xml:space="preserve"> </w:t>
      </w:r>
      <w:r>
        <w:t>by</w:t>
      </w:r>
      <w:r w:rsidR="00A03629">
        <w:t xml:space="preserve"> </w:t>
      </w:r>
      <w:r>
        <w:t>owners,</w:t>
      </w:r>
      <w:r w:rsidR="00A03629">
        <w:t xml:space="preserve"> </w:t>
      </w:r>
      <w:r>
        <w:t>increases</w:t>
      </w:r>
      <w:r w:rsidR="00A03629">
        <w:t xml:space="preserve"> </w:t>
      </w:r>
      <w:r>
        <w:t>in</w:t>
      </w:r>
      <w:r w:rsidR="00A03629">
        <w:t xml:space="preserve"> </w:t>
      </w:r>
      <w:r>
        <w:t>liabilities,</w:t>
      </w:r>
      <w:r w:rsidR="00A03629">
        <w:t xml:space="preserve"> </w:t>
      </w:r>
      <w:r>
        <w:t>decreases</w:t>
      </w:r>
      <w:r w:rsidR="00A03629">
        <w:t xml:space="preserve"> </w:t>
      </w:r>
      <w:r>
        <w:t>in</w:t>
      </w:r>
      <w:r w:rsidR="00A03629">
        <w:t xml:space="preserve"> </w:t>
      </w:r>
      <w:r>
        <w:t>assets,</w:t>
      </w:r>
      <w:r w:rsidR="00A03629">
        <w:t xml:space="preserve"> </w:t>
      </w:r>
      <w:r>
        <w:t>and</w:t>
      </w:r>
      <w:r w:rsidR="00A03629">
        <w:t xml:space="preserve"> </w:t>
      </w:r>
      <w:r>
        <w:t>revenue</w:t>
      </w:r>
      <w:r w:rsidR="00A03629">
        <w:t xml:space="preserve"> </w:t>
      </w:r>
      <w:r>
        <w:t>(‘related</w:t>
      </w:r>
      <w:r w:rsidR="00A03629">
        <w:t xml:space="preserve"> </w:t>
      </w:r>
      <w:r>
        <w:t>amounts’)</w:t>
      </w:r>
      <w:r w:rsidR="00A03629">
        <w:t xml:space="preserve"> </w:t>
      </w:r>
      <w:r>
        <w:t>in</w:t>
      </w:r>
      <w:r w:rsidR="00A03629">
        <w:t xml:space="preserve"> </w:t>
      </w:r>
      <w:r>
        <w:t>accordance</w:t>
      </w:r>
      <w:r w:rsidR="00A03629">
        <w:t xml:space="preserve"> </w:t>
      </w:r>
      <w:r>
        <w:t>with</w:t>
      </w:r>
      <w:r w:rsidR="00A03629">
        <w:t xml:space="preserve"> </w:t>
      </w:r>
      <w:r>
        <w:t>other</w:t>
      </w:r>
      <w:r w:rsidR="00A03629">
        <w:t xml:space="preserve"> </w:t>
      </w:r>
      <w:r>
        <w:t>Australian</w:t>
      </w:r>
      <w:r w:rsidR="00A03629">
        <w:t xml:space="preserve"> </w:t>
      </w:r>
      <w:r>
        <w:t>Accounting</w:t>
      </w:r>
      <w:r w:rsidR="00A03629">
        <w:t xml:space="preserve"> </w:t>
      </w:r>
      <w:r>
        <w:t>Standards.</w:t>
      </w:r>
      <w:r w:rsidR="00A03629">
        <w:t xml:space="preserve"> </w:t>
      </w:r>
      <w:r>
        <w:t>Related</w:t>
      </w:r>
      <w:r w:rsidR="00A03629">
        <w:t xml:space="preserve"> </w:t>
      </w:r>
      <w:r>
        <w:t>amounts</w:t>
      </w:r>
      <w:r w:rsidR="00A03629">
        <w:t xml:space="preserve"> </w:t>
      </w:r>
      <w:r>
        <w:t>may</w:t>
      </w:r>
      <w:r w:rsidR="00A03629">
        <w:t xml:space="preserve"> </w:t>
      </w:r>
      <w:r>
        <w:t>take</w:t>
      </w:r>
      <w:r w:rsidR="00A03629">
        <w:t xml:space="preserve"> </w:t>
      </w:r>
      <w:r>
        <w:t>the</w:t>
      </w:r>
      <w:r w:rsidR="00A03629">
        <w:t xml:space="preserve"> </w:t>
      </w:r>
      <w:r>
        <w:t>form</w:t>
      </w:r>
      <w:r w:rsidR="00A03629">
        <w:t xml:space="preserve"> </w:t>
      </w:r>
      <w:r>
        <w:t>of:</w:t>
      </w:r>
    </w:p>
    <w:p w14:paraId="4585BF6C" w14:textId="439C1D7F" w:rsidR="000756EB" w:rsidRDefault="004A4D88" w:rsidP="00D56B3C">
      <w:pPr>
        <w:pStyle w:val="Bullet"/>
      </w:pPr>
      <w:r>
        <w:t>contributions</w:t>
      </w:r>
      <w:r w:rsidR="00A03629">
        <w:t xml:space="preserve"> </w:t>
      </w:r>
      <w:r>
        <w:t>by</w:t>
      </w:r>
      <w:r w:rsidR="00A03629">
        <w:t xml:space="preserve"> </w:t>
      </w:r>
      <w:r>
        <w:t>owners,</w:t>
      </w:r>
      <w:r w:rsidR="00A03629">
        <w:t xml:space="preserve"> </w:t>
      </w:r>
      <w:r>
        <w:t>in</w:t>
      </w:r>
      <w:r w:rsidR="00A03629">
        <w:t xml:space="preserve"> </w:t>
      </w:r>
      <w:r>
        <w:t>accordance</w:t>
      </w:r>
      <w:r w:rsidR="00A03629">
        <w:t xml:space="preserve"> </w:t>
      </w:r>
      <w:r>
        <w:t>with</w:t>
      </w:r>
      <w:r w:rsidR="00A03629">
        <w:t xml:space="preserve"> </w:t>
      </w:r>
      <w:r>
        <w:t>AASB</w:t>
      </w:r>
      <w:r w:rsidR="00A03629">
        <w:rPr>
          <w:rFonts w:ascii="Cambria" w:hAnsi="Cambria" w:cs="Cambria"/>
        </w:rPr>
        <w:t xml:space="preserve"> </w:t>
      </w:r>
      <w:proofErr w:type="gramStart"/>
      <w:r>
        <w:t>1004;</w:t>
      </w:r>
      <w:proofErr w:type="gramEnd"/>
    </w:p>
    <w:p w14:paraId="370D60E9" w14:textId="5589ABA0" w:rsidR="000756EB" w:rsidRDefault="004A4D88" w:rsidP="00D56B3C">
      <w:pPr>
        <w:pStyle w:val="Bullet"/>
      </w:pPr>
      <w:r>
        <w:t>revenue</w:t>
      </w:r>
      <w:r w:rsidR="00A03629">
        <w:t xml:space="preserve"> </w:t>
      </w:r>
      <w:r>
        <w:t>or</w:t>
      </w:r>
      <w:r w:rsidR="00A03629">
        <w:t xml:space="preserve"> </w:t>
      </w:r>
      <w:r>
        <w:t>a</w:t>
      </w:r>
      <w:r w:rsidR="00A03629">
        <w:t xml:space="preserve"> </w:t>
      </w:r>
      <w:r>
        <w:t>contract</w:t>
      </w:r>
      <w:r w:rsidR="00A03629">
        <w:t xml:space="preserve"> </w:t>
      </w:r>
      <w:r>
        <w:t>liability</w:t>
      </w:r>
      <w:r w:rsidR="00A03629">
        <w:t xml:space="preserve"> </w:t>
      </w:r>
      <w:r>
        <w:t>arising</w:t>
      </w:r>
      <w:r w:rsidR="00A03629">
        <w:t xml:space="preserve"> </w:t>
      </w:r>
      <w:r>
        <w:t>from</w:t>
      </w:r>
      <w:r w:rsidR="00A03629">
        <w:t xml:space="preserve"> </w:t>
      </w:r>
      <w:r>
        <w:t>a</w:t>
      </w:r>
      <w:r w:rsidR="00A03629">
        <w:t xml:space="preserve"> </w:t>
      </w:r>
      <w:r>
        <w:t>contract</w:t>
      </w:r>
      <w:r w:rsidR="00A03629">
        <w:t xml:space="preserve"> </w:t>
      </w:r>
      <w:r>
        <w:t>with</w:t>
      </w:r>
      <w:r w:rsidR="00A03629">
        <w:t xml:space="preserve"> </w:t>
      </w:r>
      <w:r>
        <w:t>a</w:t>
      </w:r>
      <w:r w:rsidR="00A03629">
        <w:t xml:space="preserve"> </w:t>
      </w:r>
      <w:r>
        <w:t>customer,</w:t>
      </w:r>
      <w:r w:rsidR="00A03629">
        <w:t xml:space="preserve"> </w:t>
      </w:r>
      <w:r>
        <w:t>in</w:t>
      </w:r>
      <w:r w:rsidR="00A03629">
        <w:t xml:space="preserve"> </w:t>
      </w:r>
      <w:r>
        <w:t>accordance</w:t>
      </w:r>
      <w:r w:rsidR="00A03629">
        <w:t xml:space="preserve"> </w:t>
      </w:r>
      <w:r>
        <w:t>with</w:t>
      </w:r>
      <w:r w:rsidR="00A03629">
        <w:t xml:space="preserve"> </w:t>
      </w:r>
      <w:r>
        <w:t>AASB</w:t>
      </w:r>
      <w:r w:rsidR="00A03629">
        <w:t xml:space="preserve"> </w:t>
      </w:r>
      <w:proofErr w:type="gramStart"/>
      <w:r>
        <w:t>15;</w:t>
      </w:r>
      <w:proofErr w:type="gramEnd"/>
    </w:p>
    <w:p w14:paraId="174B99D9" w14:textId="32A30F5D" w:rsidR="000756EB" w:rsidRDefault="004A4D88" w:rsidP="00D56B3C">
      <w:pPr>
        <w:pStyle w:val="Bullet"/>
      </w:pPr>
      <w:r>
        <w:t>a</w:t>
      </w:r>
      <w:r w:rsidR="00A03629">
        <w:t xml:space="preserve"> </w:t>
      </w:r>
      <w:r>
        <w:t>lease</w:t>
      </w:r>
      <w:r w:rsidR="00A03629">
        <w:t xml:space="preserve"> </w:t>
      </w:r>
      <w:r>
        <w:t>liability</w:t>
      </w:r>
      <w:r w:rsidR="00A03629">
        <w:t xml:space="preserve"> </w:t>
      </w:r>
      <w:r>
        <w:t>in</w:t>
      </w:r>
      <w:r w:rsidR="00A03629">
        <w:t xml:space="preserve"> </w:t>
      </w:r>
      <w:r>
        <w:t>accordance</w:t>
      </w:r>
      <w:r w:rsidR="00A03629">
        <w:t xml:space="preserve"> </w:t>
      </w:r>
      <w:r>
        <w:t>with</w:t>
      </w:r>
      <w:r w:rsidR="00A03629">
        <w:t xml:space="preserve"> </w:t>
      </w:r>
      <w:r>
        <w:t>AASB</w:t>
      </w:r>
      <w:r w:rsidR="00A03629">
        <w:t xml:space="preserve"> </w:t>
      </w:r>
      <w:proofErr w:type="gramStart"/>
      <w:r>
        <w:t>16;</w:t>
      </w:r>
      <w:proofErr w:type="gramEnd"/>
    </w:p>
    <w:p w14:paraId="4A59CD15" w14:textId="0FA2833C" w:rsidR="000756EB" w:rsidRDefault="004A4D88" w:rsidP="00D56B3C">
      <w:pPr>
        <w:pStyle w:val="Bullet"/>
      </w:pPr>
      <w:r>
        <w:t>a</w:t>
      </w:r>
      <w:r w:rsidR="00A03629">
        <w:t xml:space="preserve"> </w:t>
      </w:r>
      <w:r>
        <w:t>financial</w:t>
      </w:r>
      <w:r w:rsidR="00A03629">
        <w:t xml:space="preserve"> </w:t>
      </w:r>
      <w:r>
        <w:t>instrument,</w:t>
      </w:r>
      <w:r w:rsidR="00A03629">
        <w:t xml:space="preserve"> </w:t>
      </w:r>
      <w:r>
        <w:t>in</w:t>
      </w:r>
      <w:r w:rsidR="00A03629">
        <w:t xml:space="preserve"> </w:t>
      </w:r>
      <w:r>
        <w:t>accordance</w:t>
      </w:r>
      <w:r w:rsidR="00A03629">
        <w:t xml:space="preserve"> </w:t>
      </w:r>
      <w:r>
        <w:t>with</w:t>
      </w:r>
      <w:r w:rsidR="00A03629">
        <w:t xml:space="preserve"> </w:t>
      </w:r>
      <w:r>
        <w:t>AASB</w:t>
      </w:r>
      <w:r w:rsidR="00A03629">
        <w:t xml:space="preserve"> </w:t>
      </w:r>
      <w:proofErr w:type="gramStart"/>
      <w:r>
        <w:t>9;</w:t>
      </w:r>
      <w:proofErr w:type="gramEnd"/>
      <w:r w:rsidR="00A03629">
        <w:t xml:space="preserve"> </w:t>
      </w:r>
    </w:p>
    <w:p w14:paraId="721D81C2" w14:textId="58850512" w:rsidR="000756EB" w:rsidRPr="00D56B3C" w:rsidRDefault="004A4D88" w:rsidP="00D56B3C">
      <w:pPr>
        <w:pStyle w:val="Bulletlast"/>
      </w:pPr>
      <w:r w:rsidRPr="00D56B3C">
        <w:t>a</w:t>
      </w:r>
      <w:r w:rsidR="00A03629" w:rsidRPr="00D56B3C">
        <w:t xml:space="preserve"> </w:t>
      </w:r>
      <w:r w:rsidRPr="00D56B3C">
        <w:t>provision,</w:t>
      </w:r>
      <w:r w:rsidR="00A03629" w:rsidRPr="00D56B3C">
        <w:t xml:space="preserve"> </w:t>
      </w:r>
      <w:r w:rsidRPr="00D56B3C">
        <w:t>in</w:t>
      </w:r>
      <w:r w:rsidR="00A03629" w:rsidRPr="00D56B3C">
        <w:t xml:space="preserve"> </w:t>
      </w:r>
      <w:r w:rsidRPr="00D56B3C">
        <w:t>accordance</w:t>
      </w:r>
      <w:r w:rsidR="00A03629" w:rsidRPr="00D56B3C">
        <w:t xml:space="preserve"> </w:t>
      </w:r>
      <w:r w:rsidRPr="00D56B3C">
        <w:t>with</w:t>
      </w:r>
      <w:r w:rsidR="00A03629" w:rsidRPr="00D56B3C">
        <w:t xml:space="preserve"> </w:t>
      </w:r>
      <w:r w:rsidRPr="00D56B3C">
        <w:t>AASB</w:t>
      </w:r>
      <w:r w:rsidR="00A03629" w:rsidRPr="00D56B3C">
        <w:t xml:space="preserve"> </w:t>
      </w:r>
      <w:r w:rsidRPr="00D56B3C">
        <w:t>137</w:t>
      </w:r>
      <w:r w:rsidR="00A03629">
        <w:rPr>
          <w:rFonts w:ascii="VIC Light" w:hAnsi="VIC Light" w:cs="VIC Light"/>
        </w:rPr>
        <w:t xml:space="preserve"> </w:t>
      </w:r>
      <w:r w:rsidRPr="00D56B3C">
        <w:rPr>
          <w:i/>
          <w:iCs/>
        </w:rPr>
        <w:t>Provisions,</w:t>
      </w:r>
      <w:r w:rsidR="00A03629" w:rsidRPr="00D56B3C">
        <w:rPr>
          <w:i/>
          <w:iCs/>
        </w:rPr>
        <w:t xml:space="preserve"> </w:t>
      </w:r>
      <w:r w:rsidRPr="00D56B3C">
        <w:rPr>
          <w:i/>
          <w:iCs/>
        </w:rPr>
        <w:t>Contingent</w:t>
      </w:r>
      <w:r w:rsidR="00A03629" w:rsidRPr="00D56B3C">
        <w:rPr>
          <w:i/>
          <w:iCs/>
        </w:rPr>
        <w:t xml:space="preserve"> </w:t>
      </w:r>
      <w:r w:rsidRPr="00D56B3C">
        <w:rPr>
          <w:i/>
          <w:iCs/>
        </w:rPr>
        <w:t>Liabilities</w:t>
      </w:r>
      <w:r w:rsidR="00A03629" w:rsidRPr="00D56B3C">
        <w:rPr>
          <w:i/>
          <w:iCs/>
        </w:rPr>
        <w:t xml:space="preserve"> </w:t>
      </w:r>
      <w:r w:rsidRPr="00D56B3C">
        <w:rPr>
          <w:i/>
          <w:iCs/>
        </w:rPr>
        <w:t>and</w:t>
      </w:r>
      <w:r w:rsidR="00A03629" w:rsidRPr="00D56B3C">
        <w:rPr>
          <w:i/>
          <w:iCs/>
        </w:rPr>
        <w:t xml:space="preserve"> </w:t>
      </w:r>
      <w:r w:rsidRPr="00D56B3C">
        <w:rPr>
          <w:i/>
          <w:iCs/>
        </w:rPr>
        <w:t>Contingent</w:t>
      </w:r>
      <w:r w:rsidR="00A03629" w:rsidRPr="00D56B3C">
        <w:rPr>
          <w:i/>
          <w:iCs/>
        </w:rPr>
        <w:t xml:space="preserve"> </w:t>
      </w:r>
      <w:r w:rsidRPr="00D56B3C">
        <w:rPr>
          <w:i/>
          <w:iCs/>
        </w:rPr>
        <w:t>Assets</w:t>
      </w:r>
      <w:r w:rsidRPr="00D56B3C">
        <w:t>.</w:t>
      </w:r>
    </w:p>
    <w:p w14:paraId="7107D53A" w14:textId="1A469CB8" w:rsidR="000756EB" w:rsidRDefault="004A4D88" w:rsidP="00D56B3C">
      <w:r>
        <w:t>Income</w:t>
      </w:r>
      <w:r w:rsidR="00A03629">
        <w:t xml:space="preserve"> </w:t>
      </w:r>
      <w:r>
        <w:t>received</w:t>
      </w:r>
      <w:r w:rsidR="00A03629">
        <w:t xml:space="preserve"> </w:t>
      </w:r>
      <w:r>
        <w:t>for</w:t>
      </w:r>
      <w:r w:rsidR="00A03629">
        <w:t xml:space="preserve"> </w:t>
      </w:r>
      <w:r>
        <w:t>specific</w:t>
      </w:r>
      <w:r w:rsidR="00A03629">
        <w:t xml:space="preserve"> </w:t>
      </w:r>
      <w:r>
        <w:t>purpose</w:t>
      </w:r>
      <w:r w:rsidR="00A03629">
        <w:t xml:space="preserve"> </w:t>
      </w:r>
      <w:r>
        <w:t>grants</w:t>
      </w:r>
      <w:r w:rsidR="00A03629">
        <w:t xml:space="preserve"> </w:t>
      </w:r>
      <w:r>
        <w:t>for</w:t>
      </w:r>
      <w:r w:rsidR="00A03629">
        <w:t xml:space="preserve"> </w:t>
      </w:r>
      <w:r>
        <w:t>on</w:t>
      </w:r>
      <w:r>
        <w:noBreakHyphen/>
        <w:t>passing</w:t>
      </w:r>
      <w:r w:rsidR="00A03629">
        <w:t xml:space="preserve"> </w:t>
      </w:r>
      <w:r>
        <w:t>is</w:t>
      </w:r>
      <w:r w:rsidR="00A03629">
        <w:t xml:space="preserve"> </w:t>
      </w:r>
      <w:r>
        <w:t>recognised</w:t>
      </w:r>
      <w:r w:rsidR="00A03629">
        <w:t xml:space="preserve"> </w:t>
      </w:r>
      <w:r>
        <w:t>simultaneously</w:t>
      </w:r>
      <w:r w:rsidR="00A03629">
        <w:t xml:space="preserve"> </w:t>
      </w:r>
      <w:r>
        <w:t>as</w:t>
      </w:r>
      <w:r w:rsidR="00A03629">
        <w:t xml:space="preserve"> </w:t>
      </w:r>
      <w:r>
        <w:t>the</w:t>
      </w:r>
      <w:r w:rsidR="00A03629">
        <w:t xml:space="preserve"> </w:t>
      </w:r>
      <w:r>
        <w:t>funds</w:t>
      </w:r>
      <w:r w:rsidR="00A03629">
        <w:t xml:space="preserve"> </w:t>
      </w:r>
      <w:r>
        <w:t>are</w:t>
      </w:r>
      <w:r w:rsidR="00A03629">
        <w:t xml:space="preserve"> </w:t>
      </w:r>
      <w:r>
        <w:t>immediately</w:t>
      </w:r>
      <w:r w:rsidR="00A03629">
        <w:t xml:space="preserve"> </w:t>
      </w:r>
      <w:r>
        <w:t>on</w:t>
      </w:r>
      <w:r w:rsidR="00A03629">
        <w:t xml:space="preserve"> </w:t>
      </w:r>
      <w:r>
        <w:t>passed</w:t>
      </w:r>
      <w:r w:rsidR="00A03629">
        <w:t xml:space="preserve"> </w:t>
      </w:r>
      <w:r>
        <w:t>to</w:t>
      </w:r>
      <w:r w:rsidR="00A03629">
        <w:t xml:space="preserve"> </w:t>
      </w:r>
      <w:r>
        <w:t>the</w:t>
      </w:r>
      <w:r w:rsidR="00A03629">
        <w:t xml:space="preserve"> </w:t>
      </w:r>
      <w:r>
        <w:t>relevant</w:t>
      </w:r>
      <w:r w:rsidR="00A03629">
        <w:t xml:space="preserve"> </w:t>
      </w:r>
      <w:r>
        <w:t>recipient</w:t>
      </w:r>
      <w:r w:rsidR="00A03629">
        <w:t xml:space="preserve"> </w:t>
      </w:r>
      <w:r>
        <w:t>entities</w:t>
      </w:r>
      <w:r w:rsidR="00A03629">
        <w:t xml:space="preserve"> </w:t>
      </w:r>
      <w:r>
        <w:t>on</w:t>
      </w:r>
      <w:r w:rsidR="00A03629">
        <w:t xml:space="preserve"> </w:t>
      </w:r>
      <w:r>
        <w:t>behalf</w:t>
      </w:r>
      <w:r w:rsidR="00A03629">
        <w:t xml:space="preserve"> </w:t>
      </w:r>
      <w:r>
        <w:t>of</w:t>
      </w:r>
      <w:r w:rsidR="00A03629">
        <w:t xml:space="preserve"> </w:t>
      </w:r>
      <w:r>
        <w:t>the</w:t>
      </w:r>
      <w:r w:rsidR="00A03629">
        <w:t xml:space="preserve"> </w:t>
      </w:r>
      <w:r>
        <w:t>Commonwealth</w:t>
      </w:r>
      <w:r w:rsidR="00A03629">
        <w:t xml:space="preserve"> </w:t>
      </w:r>
      <w:r>
        <w:t>Government.</w:t>
      </w:r>
      <w:r w:rsidR="00A03629">
        <w:t xml:space="preserve"> </w:t>
      </w:r>
    </w:p>
    <w:p w14:paraId="548C05AF" w14:textId="1FB5DC24" w:rsidR="000756EB" w:rsidRDefault="004A4D88" w:rsidP="00D56B3C">
      <w:pPr>
        <w:pStyle w:val="Heading3"/>
      </w:pPr>
      <w:r>
        <w:t>2.4.2</w:t>
      </w:r>
      <w:r>
        <w:tab/>
        <w:t>Sale</w:t>
      </w:r>
      <w:r w:rsidR="00A03629">
        <w:t xml:space="preserve"> </w:t>
      </w:r>
      <w:r>
        <w:t>of</w:t>
      </w:r>
      <w:r w:rsidR="00A03629">
        <w:t xml:space="preserve"> </w:t>
      </w:r>
      <w:r>
        <w:t>goods</w:t>
      </w:r>
      <w:r w:rsidR="00A03629">
        <w:t xml:space="preserve"> </w:t>
      </w:r>
      <w:r>
        <w:t>and</w:t>
      </w:r>
      <w:r w:rsidR="00A03629">
        <w:t xml:space="preserve"> </w:t>
      </w:r>
      <w:r>
        <w:t>services</w:t>
      </w:r>
    </w:p>
    <w:p w14:paraId="1AC2EEE8" w14:textId="31D7F5A9" w:rsidR="000756EB" w:rsidRDefault="004A4D88" w:rsidP="00D56B3C">
      <w:r>
        <w:t>The</w:t>
      </w:r>
      <w:r w:rsidR="00A03629">
        <w:t xml:space="preserve"> </w:t>
      </w:r>
      <w:r>
        <w:t>sale</w:t>
      </w:r>
      <w:r w:rsidR="00A03629">
        <w:t xml:space="preserve"> </w:t>
      </w:r>
      <w:r>
        <w:t>of</w:t>
      </w:r>
      <w:r w:rsidR="00A03629">
        <w:t xml:space="preserve"> </w:t>
      </w:r>
      <w:r>
        <w:t>goods</w:t>
      </w:r>
      <w:r w:rsidR="00A03629">
        <w:t xml:space="preserve"> </w:t>
      </w:r>
      <w:r>
        <w:t>and</w:t>
      </w:r>
      <w:r w:rsidR="00A03629">
        <w:t xml:space="preserve"> </w:t>
      </w:r>
      <w:r>
        <w:t>services</w:t>
      </w:r>
      <w:r w:rsidR="00A03629">
        <w:t xml:space="preserve"> </w:t>
      </w:r>
      <w:r>
        <w:t>are</w:t>
      </w:r>
      <w:r w:rsidR="00A03629">
        <w:t xml:space="preserve"> </w:t>
      </w:r>
      <w:r>
        <w:t>transactions</w:t>
      </w:r>
      <w:r w:rsidR="00A03629">
        <w:t xml:space="preserve"> </w:t>
      </w:r>
      <w:r>
        <w:t>that</w:t>
      </w:r>
      <w:r w:rsidR="00A03629">
        <w:t xml:space="preserve"> </w:t>
      </w:r>
      <w:r>
        <w:t>DJSIR</w:t>
      </w:r>
      <w:r w:rsidR="00A03629">
        <w:t xml:space="preserve"> </w:t>
      </w:r>
      <w:r>
        <w:t>has</w:t>
      </w:r>
      <w:r w:rsidR="00A03629">
        <w:t xml:space="preserve"> </w:t>
      </w:r>
      <w:r>
        <w:t>determined</w:t>
      </w:r>
      <w:r w:rsidR="00A03629">
        <w:t xml:space="preserve"> </w:t>
      </w:r>
      <w:r>
        <w:t>to</w:t>
      </w:r>
      <w:r w:rsidR="00A03629">
        <w:t xml:space="preserve"> </w:t>
      </w:r>
      <w:r>
        <w:t>be</w:t>
      </w:r>
      <w:r w:rsidR="00A03629">
        <w:t xml:space="preserve"> </w:t>
      </w:r>
      <w:r>
        <w:t>classified</w:t>
      </w:r>
      <w:r w:rsidR="00A03629">
        <w:t xml:space="preserve"> </w:t>
      </w:r>
      <w:r>
        <w:t>as</w:t>
      </w:r>
      <w:r w:rsidR="00A03629">
        <w:t xml:space="preserve"> </w:t>
      </w:r>
      <w:r>
        <w:t>revenue</w:t>
      </w:r>
      <w:r w:rsidR="00A03629">
        <w:t xml:space="preserve"> </w:t>
      </w:r>
      <w:r>
        <w:t>from</w:t>
      </w:r>
      <w:r w:rsidR="00A03629">
        <w:t xml:space="preserve"> </w:t>
      </w:r>
      <w:r>
        <w:t>contracts</w:t>
      </w:r>
      <w:r w:rsidR="00A03629">
        <w:t xml:space="preserve"> </w:t>
      </w:r>
      <w:r>
        <w:t>with</w:t>
      </w:r>
      <w:r w:rsidR="00A03629">
        <w:t xml:space="preserve"> </w:t>
      </w:r>
      <w:r>
        <w:t>customers</w:t>
      </w:r>
      <w:r w:rsidR="00A03629">
        <w:t xml:space="preserve"> </w:t>
      </w:r>
      <w:r>
        <w:t>in</w:t>
      </w:r>
      <w:r w:rsidR="00A03629">
        <w:t xml:space="preserve"> </w:t>
      </w:r>
      <w:r>
        <w:t>accordance</w:t>
      </w:r>
      <w:r w:rsidR="00A03629">
        <w:t xml:space="preserve"> </w:t>
      </w:r>
      <w:r>
        <w:t>with</w:t>
      </w:r>
      <w:r w:rsidR="00A03629">
        <w:t xml:space="preserve"> </w:t>
      </w:r>
      <w:r>
        <w:t>AASB</w:t>
      </w:r>
      <w:r w:rsidR="00A03629">
        <w:t xml:space="preserve"> </w:t>
      </w:r>
      <w:r>
        <w:t>15.</w:t>
      </w:r>
    </w:p>
    <w:p w14:paraId="4353F613" w14:textId="1A630EAD" w:rsidR="000756EB" w:rsidRPr="00D56B3C" w:rsidRDefault="004A4D88" w:rsidP="00D56B3C">
      <w:pPr>
        <w:pStyle w:val="Normalbeforebullets"/>
        <w:rPr>
          <w:b/>
          <w:bCs/>
        </w:rPr>
      </w:pPr>
      <w:r w:rsidRPr="00D56B3C">
        <w:rPr>
          <w:b/>
          <w:bCs/>
        </w:rPr>
        <w:t>Performance</w:t>
      </w:r>
      <w:r w:rsidR="00A03629" w:rsidRPr="00D56B3C">
        <w:rPr>
          <w:b/>
          <w:bCs/>
        </w:rPr>
        <w:t xml:space="preserve"> </w:t>
      </w:r>
      <w:r w:rsidRPr="00D56B3C">
        <w:rPr>
          <w:b/>
          <w:bCs/>
        </w:rPr>
        <w:t>obligations</w:t>
      </w:r>
      <w:r w:rsidR="00A03629" w:rsidRPr="00D56B3C">
        <w:rPr>
          <w:b/>
          <w:bCs/>
        </w:rPr>
        <w:t xml:space="preserve"> </w:t>
      </w:r>
      <w:r w:rsidRPr="00D56B3C">
        <w:rPr>
          <w:b/>
          <w:bCs/>
        </w:rPr>
        <w:t>and</w:t>
      </w:r>
      <w:r w:rsidR="00A03629" w:rsidRPr="00D56B3C">
        <w:rPr>
          <w:b/>
          <w:bCs/>
        </w:rPr>
        <w:t xml:space="preserve"> </w:t>
      </w:r>
      <w:r w:rsidRPr="00D56B3C">
        <w:rPr>
          <w:b/>
          <w:bCs/>
        </w:rPr>
        <w:t>revenue</w:t>
      </w:r>
      <w:r w:rsidR="00A03629" w:rsidRPr="00D56B3C">
        <w:rPr>
          <w:b/>
          <w:bCs/>
        </w:rPr>
        <w:t xml:space="preserve"> </w:t>
      </w:r>
      <w:r w:rsidRPr="00D56B3C">
        <w:rPr>
          <w:b/>
          <w:bCs/>
        </w:rPr>
        <w:t>recognition</w:t>
      </w:r>
      <w:r w:rsidR="00A03629" w:rsidRPr="00D56B3C">
        <w:rPr>
          <w:rFonts w:ascii="Cambria" w:hAnsi="Cambria" w:cs="Cambria"/>
          <w:b/>
          <w:bCs/>
        </w:rPr>
        <w:t xml:space="preserve"> </w:t>
      </w:r>
      <w:r w:rsidRPr="00D56B3C">
        <w:rPr>
          <w:b/>
          <w:bCs/>
        </w:rPr>
        <w:t>policies</w:t>
      </w:r>
    </w:p>
    <w:p w14:paraId="07140ECC" w14:textId="22F9CF02" w:rsidR="000756EB" w:rsidRDefault="004A4D88" w:rsidP="00D56B3C">
      <w:r>
        <w:t>Revenue</w:t>
      </w:r>
      <w:r w:rsidR="00A03629">
        <w:t xml:space="preserve"> </w:t>
      </w:r>
      <w:r>
        <w:t>is</w:t>
      </w:r>
      <w:r w:rsidR="00A03629">
        <w:t xml:space="preserve"> </w:t>
      </w:r>
      <w:r>
        <w:t>measured</w:t>
      </w:r>
      <w:r w:rsidR="00A03629">
        <w:t xml:space="preserve"> </w:t>
      </w:r>
      <w:r>
        <w:t>based</w:t>
      </w:r>
      <w:r w:rsidR="00A03629">
        <w:t xml:space="preserve"> </w:t>
      </w:r>
      <w:r>
        <w:t>on</w:t>
      </w:r>
      <w:r w:rsidR="00A03629">
        <w:t xml:space="preserve"> </w:t>
      </w:r>
      <w:r>
        <w:t>the</w:t>
      </w:r>
      <w:r w:rsidR="00A03629">
        <w:t xml:space="preserve"> </w:t>
      </w:r>
      <w:r>
        <w:t>consideration</w:t>
      </w:r>
      <w:r w:rsidR="00A03629">
        <w:t xml:space="preserve"> </w:t>
      </w:r>
      <w:r>
        <w:t>specified</w:t>
      </w:r>
      <w:r w:rsidR="00A03629">
        <w:t xml:space="preserve"> </w:t>
      </w:r>
      <w:r>
        <w:t>in</w:t>
      </w:r>
      <w:r w:rsidR="00A03629">
        <w:t xml:space="preserve"> </w:t>
      </w:r>
      <w:r>
        <w:t>the</w:t>
      </w:r>
      <w:r w:rsidR="00A03629">
        <w:t xml:space="preserve"> </w:t>
      </w:r>
      <w:r>
        <w:t>contract</w:t>
      </w:r>
      <w:r w:rsidR="00A03629">
        <w:t xml:space="preserve"> </w:t>
      </w:r>
      <w:r>
        <w:t>with</w:t>
      </w:r>
      <w:r w:rsidR="00A03629">
        <w:t xml:space="preserve"> </w:t>
      </w:r>
      <w:r>
        <w:t>the</w:t>
      </w:r>
      <w:r w:rsidR="00A03629">
        <w:t xml:space="preserve"> </w:t>
      </w:r>
      <w:r>
        <w:t>customer.</w:t>
      </w:r>
      <w:r w:rsidR="00A03629">
        <w:t xml:space="preserve"> </w:t>
      </w:r>
      <w:r>
        <w:t>DJSIR</w:t>
      </w:r>
      <w:r w:rsidR="00A03629">
        <w:t xml:space="preserve"> </w:t>
      </w:r>
      <w:r>
        <w:t>recognises</w:t>
      </w:r>
      <w:r w:rsidR="00A03629">
        <w:t xml:space="preserve"> </w:t>
      </w:r>
      <w:r>
        <w:t>revenue</w:t>
      </w:r>
      <w:r w:rsidR="00A03629">
        <w:t xml:space="preserve"> </w:t>
      </w:r>
      <w:r>
        <w:t>when</w:t>
      </w:r>
      <w:r w:rsidR="00A03629">
        <w:t xml:space="preserve"> </w:t>
      </w:r>
      <w:r>
        <w:t>it</w:t>
      </w:r>
      <w:r w:rsidR="00A03629">
        <w:t xml:space="preserve"> </w:t>
      </w:r>
      <w:r>
        <w:t>transfers</w:t>
      </w:r>
      <w:r w:rsidR="00A03629">
        <w:t xml:space="preserve"> </w:t>
      </w:r>
      <w:r>
        <w:t>control</w:t>
      </w:r>
      <w:r w:rsidR="00A03629">
        <w:t xml:space="preserve"> </w:t>
      </w:r>
      <w:r>
        <w:t>of</w:t>
      </w:r>
      <w:r w:rsidR="00A03629">
        <w:t xml:space="preserve"> </w:t>
      </w:r>
      <w:r>
        <w:t>a</w:t>
      </w:r>
      <w:r w:rsidR="00A03629">
        <w:t xml:space="preserve"> </w:t>
      </w:r>
      <w:r>
        <w:t>good</w:t>
      </w:r>
      <w:r w:rsidR="00A03629">
        <w:t xml:space="preserve"> </w:t>
      </w:r>
      <w:r>
        <w:t>or</w:t>
      </w:r>
      <w:r w:rsidR="00A03629">
        <w:t xml:space="preserve"> </w:t>
      </w:r>
      <w:r>
        <w:t>service</w:t>
      </w:r>
      <w:r w:rsidR="00A03629">
        <w:t xml:space="preserve"> </w:t>
      </w:r>
      <w:r>
        <w:t>to</w:t>
      </w:r>
      <w:r w:rsidR="00A03629">
        <w:t xml:space="preserve"> </w:t>
      </w:r>
      <w:r>
        <w:t>the</w:t>
      </w:r>
      <w:r w:rsidR="00A03629">
        <w:t xml:space="preserve"> </w:t>
      </w:r>
      <w:r>
        <w:t>customer,</w:t>
      </w:r>
      <w:r w:rsidR="00A03629">
        <w:t xml:space="preserve"> </w:t>
      </w:r>
      <w:r>
        <w:t>i.e.</w:t>
      </w:r>
      <w:r w:rsidR="00A03629">
        <w:t xml:space="preserve"> </w:t>
      </w:r>
      <w:r>
        <w:t>when,</w:t>
      </w:r>
      <w:r w:rsidR="00A03629">
        <w:t xml:space="preserve"> </w:t>
      </w:r>
      <w:r>
        <w:t>or</w:t>
      </w:r>
      <w:r w:rsidR="00A03629">
        <w:t xml:space="preserve"> </w:t>
      </w:r>
      <w:r>
        <w:t>as,</w:t>
      </w:r>
      <w:r w:rsidR="00A03629">
        <w:t xml:space="preserve"> </w:t>
      </w:r>
      <w:r>
        <w:t>the</w:t>
      </w:r>
      <w:r w:rsidR="00A03629">
        <w:t xml:space="preserve"> </w:t>
      </w:r>
      <w:r>
        <w:t>performance</w:t>
      </w:r>
      <w:r w:rsidR="00A03629">
        <w:t xml:space="preserve"> </w:t>
      </w:r>
      <w:r>
        <w:t>obligations</w:t>
      </w:r>
      <w:r w:rsidR="00A03629">
        <w:t xml:space="preserve"> </w:t>
      </w:r>
      <w:r>
        <w:t>for</w:t>
      </w:r>
      <w:r w:rsidR="00A03629">
        <w:t xml:space="preserve"> </w:t>
      </w:r>
      <w:r>
        <w:t>the</w:t>
      </w:r>
      <w:r w:rsidR="00A03629">
        <w:t xml:space="preserve"> </w:t>
      </w:r>
      <w:r>
        <w:t>sale</w:t>
      </w:r>
      <w:r w:rsidR="00A03629">
        <w:t xml:space="preserve"> </w:t>
      </w:r>
      <w:r>
        <w:t>of</w:t>
      </w:r>
      <w:r w:rsidR="00A03629">
        <w:t xml:space="preserve"> </w:t>
      </w:r>
      <w:r>
        <w:t>goods</w:t>
      </w:r>
      <w:r w:rsidR="00A03629">
        <w:t xml:space="preserve"> </w:t>
      </w:r>
      <w:r>
        <w:t>and</w:t>
      </w:r>
      <w:r w:rsidR="00A03629">
        <w:t xml:space="preserve"> </w:t>
      </w:r>
      <w:r>
        <w:t>services</w:t>
      </w:r>
      <w:r w:rsidR="00A03629">
        <w:t xml:space="preserve"> </w:t>
      </w:r>
      <w:r>
        <w:t>to</w:t>
      </w:r>
      <w:r w:rsidR="00A03629">
        <w:t xml:space="preserve"> </w:t>
      </w:r>
      <w:r>
        <w:t>the</w:t>
      </w:r>
      <w:r w:rsidR="00A03629">
        <w:t xml:space="preserve"> </w:t>
      </w:r>
      <w:r>
        <w:t>customer</w:t>
      </w:r>
      <w:r w:rsidR="00A03629">
        <w:t xml:space="preserve"> </w:t>
      </w:r>
      <w:r>
        <w:t>are</w:t>
      </w:r>
      <w:r w:rsidR="00A03629">
        <w:t xml:space="preserve"> </w:t>
      </w:r>
      <w:r>
        <w:t>satisfied.</w:t>
      </w:r>
    </w:p>
    <w:p w14:paraId="27885E0F" w14:textId="4E7AA868" w:rsidR="000756EB" w:rsidRDefault="004A4D88" w:rsidP="00D56B3C">
      <w:r>
        <w:t>Customers</w:t>
      </w:r>
      <w:r w:rsidR="00A03629">
        <w:t xml:space="preserve"> </w:t>
      </w:r>
      <w:r>
        <w:t>obtain</w:t>
      </w:r>
      <w:r w:rsidR="00A03629">
        <w:t xml:space="preserve"> </w:t>
      </w:r>
      <w:r>
        <w:t>control</w:t>
      </w:r>
      <w:r w:rsidR="00A03629">
        <w:t xml:space="preserve"> </w:t>
      </w:r>
      <w:r>
        <w:t>of</w:t>
      </w:r>
      <w:r w:rsidR="00A03629">
        <w:t xml:space="preserve"> </w:t>
      </w:r>
      <w:r>
        <w:t>the</w:t>
      </w:r>
      <w:r w:rsidR="00A03629">
        <w:t xml:space="preserve"> </w:t>
      </w:r>
      <w:r>
        <w:t>supplies</w:t>
      </w:r>
      <w:r w:rsidR="00A03629">
        <w:t xml:space="preserve"> </w:t>
      </w:r>
      <w:r>
        <w:t>and</w:t>
      </w:r>
      <w:r w:rsidR="00A03629">
        <w:t xml:space="preserve"> </w:t>
      </w:r>
      <w:r>
        <w:t>consumables</w:t>
      </w:r>
      <w:r w:rsidR="00A03629">
        <w:t xml:space="preserve"> </w:t>
      </w:r>
      <w:r>
        <w:t>at</w:t>
      </w:r>
      <w:r w:rsidR="00A03629">
        <w:t xml:space="preserve"> </w:t>
      </w:r>
      <w:r>
        <w:t>a</w:t>
      </w:r>
      <w:r w:rsidR="00A03629">
        <w:t xml:space="preserve"> </w:t>
      </w:r>
      <w:r>
        <w:t>point</w:t>
      </w:r>
      <w:r w:rsidR="00A03629">
        <w:t xml:space="preserve"> </w:t>
      </w:r>
      <w:r>
        <w:t>in</w:t>
      </w:r>
      <w:r w:rsidR="00A03629">
        <w:t xml:space="preserve"> </w:t>
      </w:r>
      <w:r>
        <w:t>time</w:t>
      </w:r>
      <w:r w:rsidR="00A03629">
        <w:t xml:space="preserve"> </w:t>
      </w:r>
      <w:r>
        <w:t>when</w:t>
      </w:r>
      <w:r w:rsidR="00A03629">
        <w:t xml:space="preserve"> </w:t>
      </w:r>
      <w:r>
        <w:t>the</w:t>
      </w:r>
      <w:r w:rsidR="00A03629">
        <w:t xml:space="preserve"> </w:t>
      </w:r>
      <w:r>
        <w:t>goods</w:t>
      </w:r>
      <w:r w:rsidR="00A03629">
        <w:t xml:space="preserve"> </w:t>
      </w:r>
      <w:r>
        <w:t>are</w:t>
      </w:r>
      <w:r w:rsidR="00A03629">
        <w:t xml:space="preserve"> </w:t>
      </w:r>
      <w:r>
        <w:t>delivered</w:t>
      </w:r>
      <w:r w:rsidR="00A03629">
        <w:t xml:space="preserve"> </w:t>
      </w:r>
      <w:r>
        <w:t>to</w:t>
      </w:r>
      <w:r w:rsidR="00A03629">
        <w:t xml:space="preserve"> </w:t>
      </w:r>
      <w:r>
        <w:t>and</w:t>
      </w:r>
      <w:r w:rsidR="00A03629">
        <w:t xml:space="preserve"> </w:t>
      </w:r>
      <w:r>
        <w:t>have</w:t>
      </w:r>
      <w:r w:rsidR="00A03629">
        <w:t xml:space="preserve"> </w:t>
      </w:r>
      <w:r>
        <w:t>been</w:t>
      </w:r>
      <w:r w:rsidR="00A03629">
        <w:t xml:space="preserve"> </w:t>
      </w:r>
      <w:r>
        <w:t>accepted</w:t>
      </w:r>
      <w:r w:rsidR="00A03629">
        <w:t xml:space="preserve"> </w:t>
      </w:r>
      <w:r>
        <w:t>at</w:t>
      </w:r>
      <w:r w:rsidR="00A03629">
        <w:t xml:space="preserve"> </w:t>
      </w:r>
      <w:r>
        <w:t>their</w:t>
      </w:r>
      <w:r w:rsidR="00A03629">
        <w:rPr>
          <w:rFonts w:ascii="Cambria" w:hAnsi="Cambria" w:cs="Cambria"/>
        </w:rPr>
        <w:t xml:space="preserve"> </w:t>
      </w:r>
      <w:r>
        <w:t>premises.</w:t>
      </w:r>
    </w:p>
    <w:p w14:paraId="358D36E6" w14:textId="39934AEC" w:rsidR="000756EB" w:rsidRDefault="004A4D88" w:rsidP="00D56B3C">
      <w:r>
        <w:lastRenderedPageBreak/>
        <w:t>Revenue</w:t>
      </w:r>
      <w:r w:rsidR="00A03629">
        <w:t xml:space="preserve"> </w:t>
      </w:r>
      <w:r>
        <w:t>from</w:t>
      </w:r>
      <w:r w:rsidR="00A03629">
        <w:t xml:space="preserve"> </w:t>
      </w:r>
      <w:r>
        <w:t>the</w:t>
      </w:r>
      <w:r w:rsidR="00A03629">
        <w:t xml:space="preserve"> </w:t>
      </w:r>
      <w:r>
        <w:t>rendering</w:t>
      </w:r>
      <w:r w:rsidR="00A03629">
        <w:t xml:space="preserve"> </w:t>
      </w:r>
      <w:r>
        <w:t>of</w:t>
      </w:r>
      <w:r w:rsidR="00A03629">
        <w:t xml:space="preserve"> </w:t>
      </w:r>
      <w:r>
        <w:t>services</w:t>
      </w:r>
      <w:r w:rsidR="00A03629">
        <w:t xml:space="preserve"> </w:t>
      </w:r>
      <w:r>
        <w:t>is</w:t>
      </w:r>
      <w:r w:rsidR="00A03629">
        <w:t xml:space="preserve"> </w:t>
      </w:r>
      <w:r>
        <w:t>recognised</w:t>
      </w:r>
      <w:r w:rsidR="00A03629">
        <w:t xml:space="preserve"> </w:t>
      </w:r>
      <w:r>
        <w:t>at</w:t>
      </w:r>
      <w:r w:rsidR="00A03629">
        <w:t xml:space="preserve"> </w:t>
      </w:r>
      <w:r>
        <w:t>a</w:t>
      </w:r>
      <w:r w:rsidR="00A03629">
        <w:t xml:space="preserve"> </w:t>
      </w:r>
      <w:r>
        <w:t>point</w:t>
      </w:r>
      <w:r w:rsidR="00A03629">
        <w:t xml:space="preserve"> </w:t>
      </w:r>
      <w:r>
        <w:t>in</w:t>
      </w:r>
      <w:r w:rsidR="00A03629">
        <w:t xml:space="preserve"> </w:t>
      </w:r>
      <w:r>
        <w:t>time</w:t>
      </w:r>
      <w:r w:rsidR="00A03629">
        <w:t xml:space="preserve"> </w:t>
      </w:r>
      <w:r>
        <w:t>when</w:t>
      </w:r>
      <w:r w:rsidR="00A03629">
        <w:t xml:space="preserve"> </w:t>
      </w:r>
      <w:r>
        <w:t>the</w:t>
      </w:r>
      <w:r w:rsidR="00A03629">
        <w:t xml:space="preserve"> </w:t>
      </w:r>
      <w:r>
        <w:t>performance</w:t>
      </w:r>
      <w:r w:rsidR="00A03629">
        <w:t xml:space="preserve"> </w:t>
      </w:r>
      <w:r>
        <w:t>obligation</w:t>
      </w:r>
      <w:r w:rsidR="00A03629">
        <w:t xml:space="preserve"> </w:t>
      </w:r>
      <w:r>
        <w:t>is</w:t>
      </w:r>
      <w:r w:rsidR="00A03629">
        <w:t xml:space="preserve"> </w:t>
      </w:r>
      <w:r>
        <w:t>satisfied</w:t>
      </w:r>
      <w:r w:rsidR="00A03629">
        <w:t xml:space="preserve"> </w:t>
      </w:r>
      <w:r>
        <w:t>when</w:t>
      </w:r>
      <w:r w:rsidR="00A03629">
        <w:t xml:space="preserve"> </w:t>
      </w:r>
      <w:r>
        <w:t>the</w:t>
      </w:r>
      <w:r w:rsidR="00A03629">
        <w:t xml:space="preserve"> </w:t>
      </w:r>
      <w:r>
        <w:t>service</w:t>
      </w:r>
      <w:r w:rsidR="00A03629">
        <w:t xml:space="preserve"> </w:t>
      </w:r>
      <w:r>
        <w:t>is</w:t>
      </w:r>
      <w:r w:rsidR="00A03629">
        <w:t xml:space="preserve"> </w:t>
      </w:r>
      <w:r>
        <w:t>completed;</w:t>
      </w:r>
      <w:r w:rsidR="00A03629">
        <w:t xml:space="preserve"> </w:t>
      </w:r>
      <w:r>
        <w:t>and</w:t>
      </w:r>
      <w:r w:rsidR="00A03629">
        <w:t xml:space="preserve"> </w:t>
      </w:r>
      <w:r>
        <w:t>over</w:t>
      </w:r>
      <w:r w:rsidR="00A03629">
        <w:t xml:space="preserve"> </w:t>
      </w:r>
      <w:r>
        <w:t>time</w:t>
      </w:r>
      <w:r w:rsidR="00A03629">
        <w:t xml:space="preserve"> </w:t>
      </w:r>
      <w:r>
        <w:t>when</w:t>
      </w:r>
      <w:r w:rsidR="00A03629">
        <w:t xml:space="preserve"> </w:t>
      </w:r>
      <w:r>
        <w:t>the</w:t>
      </w:r>
      <w:r w:rsidR="00A03629">
        <w:t xml:space="preserve"> </w:t>
      </w:r>
      <w:r>
        <w:t>customer</w:t>
      </w:r>
      <w:r w:rsidR="00A03629">
        <w:t xml:space="preserve"> </w:t>
      </w:r>
      <w:r>
        <w:t>simultaneously</w:t>
      </w:r>
      <w:r w:rsidR="00A03629">
        <w:t xml:space="preserve"> </w:t>
      </w:r>
      <w:r>
        <w:t>receives</w:t>
      </w:r>
      <w:r w:rsidR="00A03629">
        <w:t xml:space="preserve"> </w:t>
      </w:r>
      <w:r>
        <w:t>and</w:t>
      </w:r>
      <w:r w:rsidR="00A03629">
        <w:t xml:space="preserve"> </w:t>
      </w:r>
      <w:r>
        <w:t>consumes</w:t>
      </w:r>
      <w:r w:rsidR="00A03629">
        <w:t xml:space="preserve"> </w:t>
      </w:r>
      <w:r>
        <w:t>the</w:t>
      </w:r>
      <w:r w:rsidR="00A03629">
        <w:t xml:space="preserve"> </w:t>
      </w:r>
      <w:r>
        <w:t>service</w:t>
      </w:r>
      <w:r w:rsidR="00A03629">
        <w:t xml:space="preserve"> </w:t>
      </w:r>
      <w:r>
        <w:t>as</w:t>
      </w:r>
      <w:r w:rsidR="00A03629">
        <w:t xml:space="preserve"> </w:t>
      </w:r>
      <w:r>
        <w:t>it</w:t>
      </w:r>
      <w:r w:rsidR="00A03629">
        <w:t xml:space="preserve"> </w:t>
      </w:r>
      <w:r>
        <w:t>is</w:t>
      </w:r>
      <w:r w:rsidR="00A03629">
        <w:t xml:space="preserve"> </w:t>
      </w:r>
      <w:r>
        <w:t>provided.</w:t>
      </w:r>
    </w:p>
    <w:p w14:paraId="057FDA0B" w14:textId="0C3F91D8" w:rsidR="000756EB" w:rsidRDefault="004A4D88" w:rsidP="00D56B3C">
      <w:pPr>
        <w:rPr>
          <w:rFonts w:ascii="VIC Light" w:hAnsi="VIC Light" w:cs="VIC Light"/>
        </w:rPr>
      </w:pPr>
      <w:r>
        <w:t>Customers</w:t>
      </w:r>
      <w:r w:rsidR="00A03629">
        <w:t xml:space="preserve"> </w:t>
      </w:r>
      <w:r>
        <w:t>are</w:t>
      </w:r>
      <w:r w:rsidR="00A03629">
        <w:t xml:space="preserve"> </w:t>
      </w:r>
      <w:r>
        <w:t>invoiced</w:t>
      </w:r>
      <w:r w:rsidR="00A03629">
        <w:t xml:space="preserve"> </w:t>
      </w:r>
      <w:r>
        <w:t>and</w:t>
      </w:r>
      <w:r w:rsidR="00A03629">
        <w:t xml:space="preserve"> </w:t>
      </w:r>
      <w:r>
        <w:t>revenue</w:t>
      </w:r>
      <w:r w:rsidR="00A03629">
        <w:t xml:space="preserve"> </w:t>
      </w:r>
      <w:r>
        <w:t>is</w:t>
      </w:r>
      <w:r w:rsidR="00A03629">
        <w:t xml:space="preserve"> </w:t>
      </w:r>
      <w:r>
        <w:t>recognised</w:t>
      </w:r>
      <w:r w:rsidR="00A03629">
        <w:t xml:space="preserve"> </w:t>
      </w:r>
      <w:r>
        <w:t>when</w:t>
      </w:r>
      <w:r w:rsidR="00A03629">
        <w:t xml:space="preserve"> </w:t>
      </w:r>
      <w:r>
        <w:t>the</w:t>
      </w:r>
      <w:r w:rsidR="00A03629">
        <w:t xml:space="preserve"> </w:t>
      </w:r>
      <w:r>
        <w:t>goods</w:t>
      </w:r>
      <w:r w:rsidR="00A03629">
        <w:t xml:space="preserve"> </w:t>
      </w:r>
      <w:r>
        <w:t>are</w:t>
      </w:r>
      <w:r w:rsidR="00A03629">
        <w:t xml:space="preserve"> </w:t>
      </w:r>
      <w:r>
        <w:t>delivered</w:t>
      </w:r>
      <w:r w:rsidR="00A03629">
        <w:t xml:space="preserve"> </w:t>
      </w:r>
      <w:r>
        <w:t>and</w:t>
      </w:r>
      <w:r w:rsidR="00A03629">
        <w:t xml:space="preserve"> </w:t>
      </w:r>
      <w:r>
        <w:t>accepted</w:t>
      </w:r>
      <w:r w:rsidR="00A03629">
        <w:t xml:space="preserve"> </w:t>
      </w:r>
      <w:r>
        <w:t>by</w:t>
      </w:r>
      <w:r w:rsidR="00A03629">
        <w:t xml:space="preserve"> </w:t>
      </w:r>
      <w:r>
        <w:t>customers.</w:t>
      </w:r>
      <w:r w:rsidR="00A03629">
        <w:t xml:space="preserve"> </w:t>
      </w:r>
      <w:r>
        <w:t>For</w:t>
      </w:r>
      <w:r w:rsidR="00A03629">
        <w:t xml:space="preserve"> </w:t>
      </w:r>
      <w:r>
        <w:t>services</w:t>
      </w:r>
      <w:r w:rsidR="00A03629">
        <w:t xml:space="preserve"> </w:t>
      </w:r>
      <w:r>
        <w:t>rendered,</w:t>
      </w:r>
      <w:r w:rsidR="00A03629">
        <w:t xml:space="preserve"> </w:t>
      </w:r>
      <w:r>
        <w:t>where</w:t>
      </w:r>
      <w:r w:rsidR="00A03629">
        <w:t xml:space="preserve"> </w:t>
      </w:r>
      <w:r>
        <w:t>customers</w:t>
      </w:r>
      <w:r w:rsidR="00A03629">
        <w:t xml:space="preserve"> </w:t>
      </w:r>
      <w:r>
        <w:t>simultaneously</w:t>
      </w:r>
      <w:r w:rsidR="00A03629">
        <w:t xml:space="preserve"> </w:t>
      </w:r>
      <w:r>
        <w:t>receive</w:t>
      </w:r>
      <w:r w:rsidR="00A03629">
        <w:t xml:space="preserve"> </w:t>
      </w:r>
      <w:r>
        <w:t>and</w:t>
      </w:r>
      <w:r w:rsidR="00A03629">
        <w:t xml:space="preserve"> </w:t>
      </w:r>
      <w:r>
        <w:t>consume</w:t>
      </w:r>
      <w:r w:rsidR="00A03629">
        <w:t xml:space="preserve"> </w:t>
      </w:r>
      <w:r>
        <w:t>the</w:t>
      </w:r>
      <w:r w:rsidR="00A03629">
        <w:t xml:space="preserve"> </w:t>
      </w:r>
      <w:r>
        <w:t>services</w:t>
      </w:r>
      <w:r w:rsidR="00A03629">
        <w:t xml:space="preserve"> </w:t>
      </w:r>
      <w:r>
        <w:t>as</w:t>
      </w:r>
      <w:r w:rsidR="00A03629">
        <w:t xml:space="preserve"> </w:t>
      </w:r>
      <w:r>
        <w:t>it</w:t>
      </w:r>
      <w:r w:rsidR="00A03629">
        <w:t xml:space="preserve"> </w:t>
      </w:r>
      <w:r>
        <w:t>is</w:t>
      </w:r>
      <w:r w:rsidR="00A03629">
        <w:t xml:space="preserve"> </w:t>
      </w:r>
      <w:r>
        <w:t>provided,</w:t>
      </w:r>
      <w:r w:rsidR="00A03629">
        <w:t xml:space="preserve"> </w:t>
      </w:r>
      <w:r>
        <w:t>revenue</w:t>
      </w:r>
      <w:r w:rsidR="00A03629">
        <w:t xml:space="preserve"> </w:t>
      </w:r>
      <w:r>
        <w:t>is</w:t>
      </w:r>
      <w:r w:rsidR="00A03629">
        <w:t xml:space="preserve"> </w:t>
      </w:r>
      <w:r>
        <w:t>recognised</w:t>
      </w:r>
      <w:r w:rsidR="00A03629">
        <w:t xml:space="preserve"> </w:t>
      </w:r>
      <w:r>
        <w:t>progressively</w:t>
      </w:r>
      <w:r w:rsidR="00A03629">
        <w:t xml:space="preserve"> </w:t>
      </w:r>
      <w:r>
        <w:t>as</w:t>
      </w:r>
      <w:r w:rsidR="00A03629">
        <w:t xml:space="preserve"> </w:t>
      </w:r>
      <w:r>
        <w:t>contract</w:t>
      </w:r>
      <w:r w:rsidR="00A03629">
        <w:t xml:space="preserve"> </w:t>
      </w:r>
      <w:r>
        <w:t>assets</w:t>
      </w:r>
      <w:r w:rsidR="00A03629">
        <w:t xml:space="preserve"> </w:t>
      </w:r>
      <w:r>
        <w:t>until</w:t>
      </w:r>
      <w:r w:rsidR="00A03629">
        <w:t xml:space="preserve"> </w:t>
      </w:r>
      <w:r>
        <w:t>the</w:t>
      </w:r>
      <w:r w:rsidR="00A03629">
        <w:t xml:space="preserve"> </w:t>
      </w:r>
      <w:r>
        <w:t>customer</w:t>
      </w:r>
      <w:r w:rsidR="00A03629">
        <w:t xml:space="preserve"> </w:t>
      </w:r>
      <w:r>
        <w:t>is</w:t>
      </w:r>
      <w:r w:rsidR="00A03629">
        <w:t xml:space="preserve"> </w:t>
      </w:r>
      <w:r>
        <w:t>subsequently</w:t>
      </w:r>
      <w:r w:rsidR="00A03629">
        <w:t xml:space="preserve"> </w:t>
      </w:r>
      <w:r>
        <w:t>invoiced</w:t>
      </w:r>
      <w:r w:rsidR="00A03629">
        <w:t xml:space="preserve"> </w:t>
      </w:r>
      <w:r>
        <w:t>in</w:t>
      </w:r>
      <w:r w:rsidR="00A03629">
        <w:t xml:space="preserve"> </w:t>
      </w:r>
      <w:r>
        <w:t>accordance</w:t>
      </w:r>
      <w:r w:rsidR="00A03629">
        <w:t xml:space="preserve"> </w:t>
      </w:r>
      <w:r>
        <w:t>with</w:t>
      </w:r>
      <w:r w:rsidR="00A03629">
        <w:t xml:space="preserve"> </w:t>
      </w:r>
      <w:r>
        <w:t>the</w:t>
      </w:r>
      <w:r w:rsidR="00A03629">
        <w:t xml:space="preserve"> </w:t>
      </w:r>
      <w:r>
        <w:t>terms</w:t>
      </w:r>
      <w:r w:rsidR="00A03629">
        <w:t xml:space="preserve"> </w:t>
      </w:r>
      <w:r>
        <w:t>of</w:t>
      </w:r>
      <w:r w:rsidR="00A03629">
        <w:t xml:space="preserve"> </w:t>
      </w:r>
      <w:r>
        <w:t>the</w:t>
      </w:r>
      <w:r w:rsidR="00A03629">
        <w:t xml:space="preserve"> </w:t>
      </w:r>
      <w:r>
        <w:t>service</w:t>
      </w:r>
      <w:r w:rsidR="00A03629">
        <w:t xml:space="preserve"> </w:t>
      </w:r>
      <w:r>
        <w:t>agreement.</w:t>
      </w:r>
      <w:r w:rsidR="00A03629">
        <w:t xml:space="preserve"> </w:t>
      </w:r>
      <w:r>
        <w:t>For</w:t>
      </w:r>
      <w:r w:rsidR="00A03629">
        <w:t xml:space="preserve"> </w:t>
      </w:r>
      <w:r>
        <w:t>other</w:t>
      </w:r>
      <w:r w:rsidR="00A03629">
        <w:t xml:space="preserve"> </w:t>
      </w:r>
      <w:r>
        <w:t>customers</w:t>
      </w:r>
      <w:r w:rsidR="00A03629">
        <w:t xml:space="preserve"> </w:t>
      </w:r>
      <w:r>
        <w:t>that</w:t>
      </w:r>
      <w:r w:rsidR="00A03629">
        <w:t xml:space="preserve"> </w:t>
      </w:r>
      <w:r>
        <w:t>are</w:t>
      </w:r>
      <w:r w:rsidR="00A03629">
        <w:t xml:space="preserve"> </w:t>
      </w:r>
      <w:r>
        <w:t>only</w:t>
      </w:r>
      <w:r w:rsidR="00A03629">
        <w:t xml:space="preserve"> </w:t>
      </w:r>
      <w:r>
        <w:t>able</w:t>
      </w:r>
      <w:r w:rsidR="00A03629">
        <w:t xml:space="preserve"> </w:t>
      </w:r>
      <w:r>
        <w:t>to</w:t>
      </w:r>
      <w:r w:rsidR="00A03629">
        <w:t xml:space="preserve"> </w:t>
      </w:r>
      <w:r>
        <w:t>consume</w:t>
      </w:r>
      <w:r w:rsidR="00A03629">
        <w:t xml:space="preserve"> </w:t>
      </w:r>
      <w:r>
        <w:t>the</w:t>
      </w:r>
      <w:r w:rsidR="00A03629">
        <w:t xml:space="preserve"> </w:t>
      </w:r>
      <w:r>
        <w:t>services</w:t>
      </w:r>
      <w:r w:rsidR="00A03629">
        <w:t xml:space="preserve"> </w:t>
      </w:r>
      <w:r>
        <w:t>when</w:t>
      </w:r>
      <w:r w:rsidR="00A03629">
        <w:t xml:space="preserve"> </w:t>
      </w:r>
      <w:r>
        <w:t>they</w:t>
      </w:r>
      <w:r w:rsidR="00A03629">
        <w:t xml:space="preserve"> </w:t>
      </w:r>
      <w:r>
        <w:t>have</w:t>
      </w:r>
      <w:r w:rsidR="00A03629">
        <w:t xml:space="preserve"> </w:t>
      </w:r>
      <w:r>
        <w:t>been</w:t>
      </w:r>
      <w:r w:rsidR="00A03629">
        <w:t xml:space="preserve"> </w:t>
      </w:r>
      <w:r>
        <w:t>completed,</w:t>
      </w:r>
      <w:r w:rsidR="00A03629">
        <w:t xml:space="preserve"> </w:t>
      </w:r>
      <w:r>
        <w:t>revenue</w:t>
      </w:r>
      <w:r w:rsidR="00A03629">
        <w:t xml:space="preserve"> </w:t>
      </w:r>
      <w:r>
        <w:t>is</w:t>
      </w:r>
      <w:r w:rsidR="00A03629">
        <w:t xml:space="preserve"> </w:t>
      </w:r>
      <w:r>
        <w:t>only</w:t>
      </w:r>
      <w:r w:rsidR="00A03629">
        <w:t xml:space="preserve"> </w:t>
      </w:r>
      <w:r>
        <w:t>recognised</w:t>
      </w:r>
      <w:r w:rsidR="00A03629">
        <w:t xml:space="preserve"> </w:t>
      </w:r>
      <w:r>
        <w:t>upon</w:t>
      </w:r>
      <w:r w:rsidR="00A03629">
        <w:t xml:space="preserve"> </w:t>
      </w:r>
      <w:r>
        <w:t>completion</w:t>
      </w:r>
      <w:r w:rsidR="00A03629">
        <w:t xml:space="preserve"> </w:t>
      </w:r>
      <w:r>
        <w:t>and</w:t>
      </w:r>
      <w:r w:rsidR="00A03629">
        <w:t xml:space="preserve"> </w:t>
      </w:r>
      <w:r>
        <w:t>delivery</w:t>
      </w:r>
      <w:r w:rsidR="00A03629">
        <w:t xml:space="preserve"> </w:t>
      </w:r>
      <w:r>
        <w:t>of</w:t>
      </w:r>
      <w:r w:rsidR="00A03629">
        <w:t xml:space="preserve"> </w:t>
      </w:r>
      <w:r>
        <w:t>the</w:t>
      </w:r>
      <w:r w:rsidR="00A03629">
        <w:t xml:space="preserve"> </w:t>
      </w:r>
      <w:r>
        <w:t>services.</w:t>
      </w:r>
      <w:r w:rsidR="00A03629">
        <w:t xml:space="preserve"> </w:t>
      </w:r>
      <w:r>
        <w:t>In</w:t>
      </w:r>
      <w:r w:rsidR="00A03629">
        <w:t xml:space="preserve"> </w:t>
      </w:r>
      <w:r>
        <w:t>rare</w:t>
      </w:r>
      <w:r w:rsidR="00A03629">
        <w:t xml:space="preserve"> </w:t>
      </w:r>
      <w:r>
        <w:t>circumstance</w:t>
      </w:r>
      <w:r w:rsidR="00A03629">
        <w:t xml:space="preserve"> </w:t>
      </w:r>
      <w:r>
        <w:t>where</w:t>
      </w:r>
      <w:r w:rsidR="00A03629">
        <w:t xml:space="preserve"> </w:t>
      </w:r>
      <w:r>
        <w:t>there</w:t>
      </w:r>
      <w:r w:rsidR="00A03629">
        <w:t xml:space="preserve"> </w:t>
      </w:r>
      <w:r>
        <w:t>may</w:t>
      </w:r>
      <w:r w:rsidR="00A03629">
        <w:t xml:space="preserve"> </w:t>
      </w:r>
      <w:r>
        <w:t>be</w:t>
      </w:r>
      <w:r w:rsidR="00A03629">
        <w:t xml:space="preserve"> </w:t>
      </w:r>
      <w:r>
        <w:t>a</w:t>
      </w:r>
      <w:r w:rsidR="00A03629">
        <w:t xml:space="preserve"> </w:t>
      </w:r>
      <w:r>
        <w:t>change</w:t>
      </w:r>
      <w:r w:rsidR="00A03629">
        <w:t xml:space="preserve"> </w:t>
      </w:r>
      <w:r>
        <w:t>in</w:t>
      </w:r>
      <w:r w:rsidR="00A03629">
        <w:t xml:space="preserve"> </w:t>
      </w:r>
      <w:r>
        <w:t>the</w:t>
      </w:r>
      <w:r w:rsidR="00A03629">
        <w:t xml:space="preserve"> </w:t>
      </w:r>
      <w:r>
        <w:t>scope</w:t>
      </w:r>
      <w:r w:rsidR="00A03629">
        <w:t xml:space="preserve"> </w:t>
      </w:r>
      <w:r>
        <w:t>of</w:t>
      </w:r>
      <w:r w:rsidR="00A03629">
        <w:t xml:space="preserve"> </w:t>
      </w:r>
      <w:r>
        <w:t>services</w:t>
      </w:r>
      <w:r w:rsidR="00A03629">
        <w:t xml:space="preserve"> </w:t>
      </w:r>
      <w:r>
        <w:t>provided,</w:t>
      </w:r>
      <w:r w:rsidR="00A03629">
        <w:t xml:space="preserve"> </w:t>
      </w:r>
      <w:r>
        <w:t>the</w:t>
      </w:r>
      <w:r w:rsidR="00A03629">
        <w:t xml:space="preserve"> </w:t>
      </w:r>
      <w:r>
        <w:t>customer</w:t>
      </w:r>
      <w:r w:rsidR="00A03629">
        <w:t xml:space="preserve"> </w:t>
      </w:r>
      <w:r>
        <w:t>will</w:t>
      </w:r>
      <w:r w:rsidR="00A03629">
        <w:t xml:space="preserve"> </w:t>
      </w:r>
      <w:r>
        <w:t>be</w:t>
      </w:r>
      <w:r w:rsidR="00A03629">
        <w:t xml:space="preserve"> </w:t>
      </w:r>
      <w:r>
        <w:t>provided</w:t>
      </w:r>
      <w:r w:rsidR="00A03629">
        <w:t xml:space="preserve"> </w:t>
      </w:r>
      <w:r>
        <w:t>with</w:t>
      </w:r>
      <w:r w:rsidR="00A03629">
        <w:t xml:space="preserve"> </w:t>
      </w:r>
      <w:r>
        <w:t>a</w:t>
      </w:r>
      <w:r w:rsidR="00A03629">
        <w:t xml:space="preserve"> </w:t>
      </w:r>
      <w:r>
        <w:t>new</w:t>
      </w:r>
      <w:r w:rsidR="00A03629">
        <w:t xml:space="preserve"> </w:t>
      </w:r>
      <w:r>
        <w:t>contract</w:t>
      </w:r>
      <w:r w:rsidR="00A03629">
        <w:t xml:space="preserve"> </w:t>
      </w:r>
      <w:r>
        <w:t>for</w:t>
      </w:r>
      <w:r w:rsidR="00A03629">
        <w:t xml:space="preserve"> </w:t>
      </w:r>
      <w:r>
        <w:t>the</w:t>
      </w:r>
      <w:r w:rsidR="00A03629">
        <w:t xml:space="preserve"> </w:t>
      </w:r>
      <w:r>
        <w:t>additional</w:t>
      </w:r>
      <w:r w:rsidR="00A03629">
        <w:t xml:space="preserve"> </w:t>
      </w:r>
      <w:r>
        <w:t>services</w:t>
      </w:r>
      <w:r w:rsidR="00A03629">
        <w:t xml:space="preserve"> </w:t>
      </w:r>
      <w:r>
        <w:t>to</w:t>
      </w:r>
      <w:r w:rsidR="00A03629">
        <w:t xml:space="preserve"> </w:t>
      </w:r>
      <w:r>
        <w:t>be</w:t>
      </w:r>
      <w:r w:rsidR="00A03629">
        <w:t xml:space="preserve"> </w:t>
      </w:r>
      <w:r>
        <w:t>rendered</w:t>
      </w:r>
      <w:r w:rsidR="00A03629">
        <w:t xml:space="preserve"> </w:t>
      </w:r>
      <w:r>
        <w:t>and</w:t>
      </w:r>
      <w:r w:rsidR="00A03629">
        <w:t xml:space="preserve"> </w:t>
      </w:r>
      <w:r>
        <w:t>revenue</w:t>
      </w:r>
      <w:r w:rsidR="00A03629">
        <w:t xml:space="preserve"> </w:t>
      </w:r>
      <w:r>
        <w:t>is</w:t>
      </w:r>
      <w:r w:rsidR="00A03629">
        <w:t xml:space="preserve"> </w:t>
      </w:r>
      <w:r>
        <w:t>recognised</w:t>
      </w:r>
      <w:r w:rsidR="00A03629">
        <w:t xml:space="preserve"> </w:t>
      </w:r>
      <w:r>
        <w:t>consistent</w:t>
      </w:r>
      <w:r w:rsidR="00A03629">
        <w:t xml:space="preserve"> </w:t>
      </w:r>
      <w:r>
        <w:t>with</w:t>
      </w:r>
      <w:r w:rsidR="00A03629">
        <w:t xml:space="preserve"> </w:t>
      </w:r>
      <w:r>
        <w:t>accounting</w:t>
      </w:r>
      <w:r w:rsidR="00A03629">
        <w:t xml:space="preserve"> </w:t>
      </w:r>
      <w:r>
        <w:t>policy</w:t>
      </w:r>
      <w:r w:rsidR="00A03629">
        <w:t xml:space="preserve"> </w:t>
      </w:r>
      <w:r>
        <w:t>above.</w:t>
      </w:r>
    </w:p>
    <w:p w14:paraId="14DC8C39" w14:textId="6380E595" w:rsidR="000756EB" w:rsidRDefault="004A4D88" w:rsidP="00D56B3C">
      <w:pPr>
        <w:pStyle w:val="Heading3"/>
      </w:pPr>
      <w:r>
        <w:t>2.4.3</w:t>
      </w:r>
      <w:r w:rsidR="00DE38B5">
        <w:t xml:space="preserve"> </w:t>
      </w:r>
      <w:r>
        <w:t>Other</w:t>
      </w:r>
      <w:r w:rsidR="00A03629">
        <w:t xml:space="preserve"> </w:t>
      </w:r>
      <w:r>
        <w:t>income</w:t>
      </w:r>
    </w:p>
    <w:p w14:paraId="6BFC3155" w14:textId="46237AE0" w:rsidR="000756EB" w:rsidRPr="00D56B3C" w:rsidRDefault="004A4D88" w:rsidP="00D56B3C">
      <w:pPr>
        <w:pStyle w:val="Normalbeforebullets"/>
        <w:rPr>
          <w:b/>
          <w:bCs/>
        </w:rPr>
      </w:pPr>
      <w:r w:rsidRPr="00D56B3C">
        <w:rPr>
          <w:b/>
          <w:bCs/>
        </w:rPr>
        <w:t>Total</w:t>
      </w:r>
      <w:r w:rsidR="00A03629" w:rsidRPr="00D56B3C">
        <w:rPr>
          <w:b/>
          <w:bCs/>
        </w:rPr>
        <w:t xml:space="preserve"> </w:t>
      </w:r>
      <w:r w:rsidRPr="00D56B3C">
        <w:rPr>
          <w:b/>
          <w:bCs/>
        </w:rPr>
        <w:t>Other</w:t>
      </w:r>
      <w:r w:rsidR="00A03629" w:rsidRPr="00D56B3C">
        <w:rPr>
          <w:b/>
          <w:bCs/>
        </w:rPr>
        <w:t xml:space="preserve"> </w:t>
      </w:r>
      <w:r w:rsidRPr="00D56B3C">
        <w:rPr>
          <w:b/>
          <w:bCs/>
        </w:rPr>
        <w:t>Income</w:t>
      </w:r>
    </w:p>
    <w:tbl>
      <w:tblPr>
        <w:tblStyle w:val="TableGrid"/>
        <w:tblW w:w="0" w:type="auto"/>
        <w:tblLayout w:type="fixed"/>
        <w:tblLook w:val="0020" w:firstRow="1" w:lastRow="0" w:firstColumn="0" w:lastColumn="0" w:noHBand="0" w:noVBand="0"/>
      </w:tblPr>
      <w:tblGrid>
        <w:gridCol w:w="4815"/>
        <w:gridCol w:w="1843"/>
        <w:gridCol w:w="1843"/>
      </w:tblGrid>
      <w:tr w:rsidR="000756EB" w:rsidRPr="00D56B3C" w14:paraId="0284D069" w14:textId="77777777" w:rsidTr="005A7F30">
        <w:trPr>
          <w:trHeight w:val="60"/>
        </w:trPr>
        <w:tc>
          <w:tcPr>
            <w:tcW w:w="4815" w:type="dxa"/>
          </w:tcPr>
          <w:p w14:paraId="6B78F6FA" w14:textId="77777777" w:rsidR="000756EB" w:rsidRPr="00D56B3C" w:rsidRDefault="000756EB" w:rsidP="00D56B3C">
            <w:pPr>
              <w:pStyle w:val="TableColumnHeading"/>
            </w:pPr>
            <w:bookmarkStart w:id="19" w:name="ColumnTitles_6"/>
            <w:bookmarkEnd w:id="19"/>
          </w:p>
        </w:tc>
        <w:tc>
          <w:tcPr>
            <w:tcW w:w="1843" w:type="dxa"/>
          </w:tcPr>
          <w:p w14:paraId="1AA7C8D0" w14:textId="672DAFBC" w:rsidR="000756EB" w:rsidRPr="00D56B3C" w:rsidRDefault="004A4D88" w:rsidP="00D56B3C">
            <w:pPr>
              <w:pStyle w:val="TableColumnHeading"/>
              <w:jc w:val="right"/>
            </w:pPr>
            <w:r w:rsidRPr="00D56B3C">
              <w:t>2023</w:t>
            </w:r>
            <w:r w:rsidR="00D56B3C" w:rsidRPr="00D56B3C">
              <w:t xml:space="preserve"> ($</w:t>
            </w:r>
            <w:r w:rsidR="00D56B3C">
              <w:t> </w:t>
            </w:r>
            <w:r w:rsidR="00D56B3C" w:rsidRPr="00D56B3C">
              <w:t>thousand)</w:t>
            </w:r>
            <w:r w:rsidR="00A03629" w:rsidRPr="00D56B3C">
              <w:t xml:space="preserve"> </w:t>
            </w:r>
          </w:p>
        </w:tc>
        <w:tc>
          <w:tcPr>
            <w:tcW w:w="1843" w:type="dxa"/>
          </w:tcPr>
          <w:p w14:paraId="31CF8DEF" w14:textId="61A61A94" w:rsidR="000756EB" w:rsidRPr="00D56B3C" w:rsidRDefault="004A4D88" w:rsidP="00D56B3C">
            <w:pPr>
              <w:pStyle w:val="TableColumnHeading"/>
              <w:jc w:val="right"/>
            </w:pPr>
            <w:r w:rsidRPr="00D56B3C">
              <w:t>2022</w:t>
            </w:r>
            <w:r w:rsidR="00D56B3C" w:rsidRPr="00D56B3C">
              <w:t xml:space="preserve"> ($</w:t>
            </w:r>
            <w:r w:rsidR="00D56B3C">
              <w:t> </w:t>
            </w:r>
            <w:r w:rsidR="00D56B3C" w:rsidRPr="00D56B3C">
              <w:t>thousand)</w:t>
            </w:r>
          </w:p>
        </w:tc>
      </w:tr>
      <w:tr w:rsidR="000756EB" w:rsidRPr="00D56B3C" w14:paraId="3CA5D4F4" w14:textId="77777777" w:rsidTr="005A7F30">
        <w:trPr>
          <w:trHeight w:val="60"/>
        </w:trPr>
        <w:tc>
          <w:tcPr>
            <w:tcW w:w="4815" w:type="dxa"/>
          </w:tcPr>
          <w:p w14:paraId="3C3C03AB" w14:textId="22B7152B" w:rsidR="000756EB" w:rsidRPr="00D56B3C" w:rsidRDefault="004A4D88" w:rsidP="00D56B3C">
            <w:pPr>
              <w:pStyle w:val="TableCopy"/>
            </w:pPr>
            <w:r w:rsidRPr="00D56B3C">
              <w:t>Regulatory</w:t>
            </w:r>
            <w:r w:rsidR="00A03629" w:rsidRPr="00D56B3C">
              <w:t xml:space="preserve"> </w:t>
            </w:r>
            <w:r w:rsidRPr="00D56B3C">
              <w:t>charges,</w:t>
            </w:r>
            <w:r w:rsidR="00A03629" w:rsidRPr="00D56B3C">
              <w:t xml:space="preserve"> </w:t>
            </w:r>
            <w:proofErr w:type="gramStart"/>
            <w:r w:rsidRPr="00D56B3C">
              <w:t>fees</w:t>
            </w:r>
            <w:proofErr w:type="gramEnd"/>
            <w:r w:rsidR="00A03629" w:rsidRPr="00D56B3C">
              <w:t xml:space="preserve"> </w:t>
            </w:r>
            <w:r w:rsidRPr="00D56B3C">
              <w:t>and</w:t>
            </w:r>
            <w:r w:rsidR="00A03629" w:rsidRPr="00D56B3C">
              <w:t xml:space="preserve"> </w:t>
            </w:r>
            <w:r w:rsidRPr="00D56B3C">
              <w:t>fines</w:t>
            </w:r>
          </w:p>
        </w:tc>
        <w:tc>
          <w:tcPr>
            <w:tcW w:w="1843" w:type="dxa"/>
          </w:tcPr>
          <w:p w14:paraId="65658173" w14:textId="7B009818" w:rsidR="000756EB" w:rsidRPr="00D56B3C" w:rsidRDefault="004A4D88" w:rsidP="00D56B3C">
            <w:pPr>
              <w:pStyle w:val="TableCopy"/>
              <w:jc w:val="right"/>
            </w:pPr>
            <w:r w:rsidRPr="00D56B3C">
              <w:t>8,649</w:t>
            </w:r>
            <w:r w:rsidR="00A03629" w:rsidRPr="00D56B3C">
              <w:t xml:space="preserve"> </w:t>
            </w:r>
          </w:p>
        </w:tc>
        <w:tc>
          <w:tcPr>
            <w:tcW w:w="1843" w:type="dxa"/>
          </w:tcPr>
          <w:p w14:paraId="022410D1" w14:textId="522C02D8" w:rsidR="000756EB" w:rsidRPr="00D56B3C" w:rsidRDefault="004A4D88" w:rsidP="00D56B3C">
            <w:pPr>
              <w:pStyle w:val="TableCopy"/>
              <w:jc w:val="right"/>
            </w:pPr>
            <w:r w:rsidRPr="00D56B3C">
              <w:t>9,247</w:t>
            </w:r>
            <w:r w:rsidR="00A03629" w:rsidRPr="00D56B3C">
              <w:t xml:space="preserve"> </w:t>
            </w:r>
          </w:p>
        </w:tc>
      </w:tr>
      <w:tr w:rsidR="000756EB" w:rsidRPr="00D56B3C" w14:paraId="7B9FE901" w14:textId="77777777" w:rsidTr="005A7F30">
        <w:trPr>
          <w:trHeight w:val="60"/>
        </w:trPr>
        <w:tc>
          <w:tcPr>
            <w:tcW w:w="4815" w:type="dxa"/>
          </w:tcPr>
          <w:p w14:paraId="40E762DE" w14:textId="30A6F4D4" w:rsidR="000756EB" w:rsidRPr="00D56B3C" w:rsidRDefault="004A4D88" w:rsidP="00D56B3C">
            <w:pPr>
              <w:pStyle w:val="TableCopy"/>
            </w:pPr>
            <w:r w:rsidRPr="00D56B3C">
              <w:t>Interest</w:t>
            </w:r>
            <w:r w:rsidR="00A03629" w:rsidRPr="00D56B3C">
              <w:t xml:space="preserve"> </w:t>
            </w:r>
            <w:r w:rsidRPr="00D56B3C">
              <w:t>income</w:t>
            </w:r>
          </w:p>
        </w:tc>
        <w:tc>
          <w:tcPr>
            <w:tcW w:w="1843" w:type="dxa"/>
          </w:tcPr>
          <w:p w14:paraId="07C8C168" w14:textId="1B3E9B2A" w:rsidR="000756EB" w:rsidRPr="00D56B3C" w:rsidRDefault="004A4D88" w:rsidP="00D56B3C">
            <w:pPr>
              <w:pStyle w:val="TableCopy"/>
              <w:jc w:val="right"/>
            </w:pPr>
            <w:r w:rsidRPr="00D56B3C">
              <w:t>7,725</w:t>
            </w:r>
            <w:r w:rsidR="00A03629" w:rsidRPr="00D56B3C">
              <w:t xml:space="preserve"> </w:t>
            </w:r>
          </w:p>
        </w:tc>
        <w:tc>
          <w:tcPr>
            <w:tcW w:w="1843" w:type="dxa"/>
          </w:tcPr>
          <w:p w14:paraId="3BB075B1" w14:textId="05E6A520" w:rsidR="000756EB" w:rsidRPr="00D56B3C" w:rsidRDefault="004A4D88" w:rsidP="00D56B3C">
            <w:pPr>
              <w:pStyle w:val="TableCopy"/>
              <w:jc w:val="right"/>
            </w:pPr>
            <w:r w:rsidRPr="00D56B3C">
              <w:t>2,571</w:t>
            </w:r>
            <w:r w:rsidR="00A03629" w:rsidRPr="00D56B3C">
              <w:t xml:space="preserve"> </w:t>
            </w:r>
          </w:p>
        </w:tc>
      </w:tr>
      <w:tr w:rsidR="000756EB" w:rsidRPr="00D56B3C" w14:paraId="1E2F58BA" w14:textId="77777777" w:rsidTr="005A7F30">
        <w:trPr>
          <w:trHeight w:val="333"/>
        </w:trPr>
        <w:tc>
          <w:tcPr>
            <w:tcW w:w="4815" w:type="dxa"/>
          </w:tcPr>
          <w:p w14:paraId="40BAC62C" w14:textId="0F1FDC42" w:rsidR="000756EB" w:rsidRPr="00D56B3C" w:rsidRDefault="004A4D88" w:rsidP="00D56B3C">
            <w:pPr>
              <w:pStyle w:val="TableCopy"/>
            </w:pPr>
            <w:r w:rsidRPr="00D56B3C">
              <w:t>Miscellaneous</w:t>
            </w:r>
            <w:r w:rsidR="00A03629" w:rsidRPr="00D56B3C">
              <w:t xml:space="preserve"> </w:t>
            </w:r>
            <w:r w:rsidRPr="00D56B3C">
              <w:t>income</w:t>
            </w:r>
          </w:p>
        </w:tc>
        <w:tc>
          <w:tcPr>
            <w:tcW w:w="1843" w:type="dxa"/>
          </w:tcPr>
          <w:p w14:paraId="585154BC" w14:textId="55FECCE1" w:rsidR="000756EB" w:rsidRPr="00D56B3C" w:rsidRDefault="004A4D88" w:rsidP="00D56B3C">
            <w:pPr>
              <w:pStyle w:val="TableCopy"/>
              <w:jc w:val="right"/>
            </w:pPr>
            <w:r w:rsidRPr="00D56B3C">
              <w:t>3,536</w:t>
            </w:r>
            <w:r w:rsidR="00A03629" w:rsidRPr="00D56B3C">
              <w:t xml:space="preserve"> </w:t>
            </w:r>
          </w:p>
        </w:tc>
        <w:tc>
          <w:tcPr>
            <w:tcW w:w="1843" w:type="dxa"/>
          </w:tcPr>
          <w:p w14:paraId="432C8677" w14:textId="3E4E699F" w:rsidR="000756EB" w:rsidRPr="00D56B3C" w:rsidRDefault="004A4D88" w:rsidP="00D56B3C">
            <w:pPr>
              <w:pStyle w:val="TableCopy"/>
              <w:jc w:val="right"/>
            </w:pPr>
            <w:r w:rsidRPr="00D56B3C">
              <w:t>8,907</w:t>
            </w:r>
            <w:r w:rsidR="00A03629" w:rsidRPr="00D56B3C">
              <w:t xml:space="preserve"> </w:t>
            </w:r>
          </w:p>
        </w:tc>
      </w:tr>
      <w:tr w:rsidR="000756EB" w:rsidRPr="00D56B3C" w14:paraId="2E40BCFE" w14:textId="77777777" w:rsidTr="005A7F30">
        <w:trPr>
          <w:trHeight w:val="333"/>
        </w:trPr>
        <w:tc>
          <w:tcPr>
            <w:tcW w:w="4815" w:type="dxa"/>
          </w:tcPr>
          <w:p w14:paraId="196B94B7" w14:textId="0935F328" w:rsidR="000756EB" w:rsidRPr="00D56B3C" w:rsidRDefault="004A4D88" w:rsidP="00D56B3C">
            <w:pPr>
              <w:pStyle w:val="TableCopy"/>
              <w:rPr>
                <w:b/>
                <w:bCs/>
              </w:rPr>
            </w:pPr>
            <w:r w:rsidRPr="00D56B3C">
              <w:rPr>
                <w:b/>
                <w:bCs/>
              </w:rPr>
              <w:t>Total</w:t>
            </w:r>
            <w:r w:rsidR="00A03629" w:rsidRPr="00D56B3C">
              <w:rPr>
                <w:b/>
                <w:bCs/>
              </w:rPr>
              <w:t xml:space="preserve"> </w:t>
            </w:r>
            <w:r w:rsidRPr="00D56B3C">
              <w:rPr>
                <w:b/>
                <w:bCs/>
              </w:rPr>
              <w:t>other</w:t>
            </w:r>
            <w:r w:rsidR="00A03629" w:rsidRPr="00D56B3C">
              <w:rPr>
                <w:b/>
                <w:bCs/>
              </w:rPr>
              <w:t xml:space="preserve"> </w:t>
            </w:r>
            <w:r w:rsidRPr="00D56B3C">
              <w:rPr>
                <w:b/>
                <w:bCs/>
              </w:rPr>
              <w:t>income</w:t>
            </w:r>
          </w:p>
        </w:tc>
        <w:tc>
          <w:tcPr>
            <w:tcW w:w="1843" w:type="dxa"/>
          </w:tcPr>
          <w:p w14:paraId="4F34EC59" w14:textId="13379CB7" w:rsidR="000756EB" w:rsidRPr="00D56B3C" w:rsidRDefault="004A4D88" w:rsidP="00D56B3C">
            <w:pPr>
              <w:pStyle w:val="TableCopy"/>
              <w:jc w:val="right"/>
              <w:rPr>
                <w:b/>
                <w:bCs/>
              </w:rPr>
            </w:pPr>
            <w:r w:rsidRPr="00D56B3C">
              <w:rPr>
                <w:b/>
                <w:bCs/>
              </w:rPr>
              <w:t>19,910</w:t>
            </w:r>
            <w:r w:rsidR="00A03629" w:rsidRPr="00D56B3C">
              <w:rPr>
                <w:b/>
                <w:bCs/>
              </w:rPr>
              <w:t xml:space="preserve"> </w:t>
            </w:r>
          </w:p>
        </w:tc>
        <w:tc>
          <w:tcPr>
            <w:tcW w:w="1843" w:type="dxa"/>
          </w:tcPr>
          <w:p w14:paraId="3C5BF131" w14:textId="74A1D9C7" w:rsidR="000756EB" w:rsidRPr="00D56B3C" w:rsidRDefault="004A4D88" w:rsidP="00D56B3C">
            <w:pPr>
              <w:pStyle w:val="TableCopy"/>
              <w:jc w:val="right"/>
              <w:rPr>
                <w:b/>
                <w:bCs/>
              </w:rPr>
            </w:pPr>
            <w:r w:rsidRPr="00D56B3C">
              <w:rPr>
                <w:b/>
                <w:bCs/>
              </w:rPr>
              <w:t>20,725</w:t>
            </w:r>
            <w:r w:rsidR="00A03629" w:rsidRPr="00D56B3C">
              <w:rPr>
                <w:b/>
                <w:bCs/>
              </w:rPr>
              <w:t xml:space="preserve"> </w:t>
            </w:r>
          </w:p>
        </w:tc>
      </w:tr>
    </w:tbl>
    <w:p w14:paraId="049F2E19" w14:textId="77777777" w:rsidR="000756EB" w:rsidRDefault="000756EB" w:rsidP="00D56B3C"/>
    <w:p w14:paraId="69B8360B" w14:textId="51E9D027" w:rsidR="000756EB" w:rsidRDefault="004A4D88" w:rsidP="00D56B3C">
      <w:r>
        <w:t>Fines</w:t>
      </w:r>
      <w:r w:rsidR="00A03629">
        <w:t xml:space="preserve"> </w:t>
      </w:r>
      <w:r>
        <w:t>and</w:t>
      </w:r>
      <w:r w:rsidR="00A03629">
        <w:t xml:space="preserve"> </w:t>
      </w:r>
      <w:r>
        <w:t>regulatory</w:t>
      </w:r>
      <w:r w:rsidR="00A03629">
        <w:t xml:space="preserve"> </w:t>
      </w:r>
      <w:r>
        <w:t>fees</w:t>
      </w:r>
      <w:r w:rsidR="00A03629">
        <w:t xml:space="preserve"> </w:t>
      </w:r>
      <w:r>
        <w:t>are</w:t>
      </w:r>
      <w:r w:rsidR="00A03629">
        <w:t xml:space="preserve"> </w:t>
      </w:r>
      <w:r>
        <w:t>recognised</w:t>
      </w:r>
      <w:r w:rsidR="00A03629">
        <w:t xml:space="preserve"> </w:t>
      </w:r>
      <w:r>
        <w:t>when</w:t>
      </w:r>
      <w:r w:rsidR="00A03629">
        <w:t xml:space="preserve"> </w:t>
      </w:r>
      <w:r>
        <w:t>an</w:t>
      </w:r>
      <w:r w:rsidR="00A03629">
        <w:t xml:space="preserve"> </w:t>
      </w:r>
      <w:r>
        <w:t>invoice</w:t>
      </w:r>
      <w:r w:rsidR="00A03629">
        <w:t xml:space="preserve"> </w:t>
      </w:r>
      <w:r>
        <w:t>is</w:t>
      </w:r>
      <w:r w:rsidR="00A03629">
        <w:t xml:space="preserve"> </w:t>
      </w:r>
      <w:r>
        <w:t>issued,</w:t>
      </w:r>
      <w:r w:rsidR="00A03629">
        <w:t xml:space="preserve"> </w:t>
      </w:r>
      <w:r>
        <w:t>which</w:t>
      </w:r>
      <w:r w:rsidR="00A03629">
        <w:t xml:space="preserve"> </w:t>
      </w:r>
      <w:r>
        <w:t>establishes</w:t>
      </w:r>
      <w:r w:rsidR="00A03629">
        <w:t xml:space="preserve"> </w:t>
      </w:r>
      <w:r>
        <w:t>the</w:t>
      </w:r>
      <w:r w:rsidR="00A03629">
        <w:t xml:space="preserve"> </w:t>
      </w:r>
      <w:r>
        <w:t>entitlement</w:t>
      </w:r>
      <w:r w:rsidR="00A03629">
        <w:t xml:space="preserve"> </w:t>
      </w:r>
      <w:r>
        <w:t>to</w:t>
      </w:r>
      <w:r w:rsidR="00A03629">
        <w:t xml:space="preserve"> </w:t>
      </w:r>
      <w:r>
        <w:t>payment.</w:t>
      </w:r>
    </w:p>
    <w:p w14:paraId="5AFE3057" w14:textId="7D085AB7" w:rsidR="000756EB" w:rsidRDefault="004A4D88" w:rsidP="00D56B3C">
      <w:r>
        <w:t>Contributions</w:t>
      </w:r>
      <w:r w:rsidR="00A03629">
        <w:t xml:space="preserve"> </w:t>
      </w:r>
      <w:r>
        <w:t>of</w:t>
      </w:r>
      <w:r w:rsidR="00A03629">
        <w:t xml:space="preserve"> </w:t>
      </w:r>
      <w:r>
        <w:t>resources</w:t>
      </w:r>
      <w:r w:rsidR="00A03629">
        <w:t xml:space="preserve"> </w:t>
      </w:r>
      <w:r>
        <w:t>provided</w:t>
      </w:r>
      <w:r w:rsidR="00A03629">
        <w:t xml:space="preserve"> </w:t>
      </w:r>
      <w:r>
        <w:t>free</w:t>
      </w:r>
      <w:r w:rsidR="00A03629">
        <w:t xml:space="preserve"> </w:t>
      </w:r>
      <w:r>
        <w:t>of</w:t>
      </w:r>
      <w:r w:rsidR="00A03629">
        <w:t xml:space="preserve"> </w:t>
      </w:r>
      <w:r>
        <w:t>charge</w:t>
      </w:r>
      <w:r w:rsidR="00A03629">
        <w:t xml:space="preserve"> </w:t>
      </w:r>
      <w:r>
        <w:t>or</w:t>
      </w:r>
      <w:r w:rsidR="00A03629">
        <w:t xml:space="preserve"> </w:t>
      </w:r>
      <w:r>
        <w:t>for</w:t>
      </w:r>
      <w:r w:rsidR="00A03629">
        <w:t xml:space="preserve"> </w:t>
      </w:r>
      <w:r>
        <w:t>nominal</w:t>
      </w:r>
      <w:r w:rsidR="00A03629">
        <w:t xml:space="preserve"> </w:t>
      </w:r>
      <w:r>
        <w:t>consideration</w:t>
      </w:r>
      <w:r w:rsidR="00A03629">
        <w:t xml:space="preserve"> </w:t>
      </w:r>
      <w:r>
        <w:t>are</w:t>
      </w:r>
      <w:r w:rsidR="00A03629">
        <w:t xml:space="preserve"> </w:t>
      </w:r>
      <w:r>
        <w:t>recognised</w:t>
      </w:r>
      <w:r w:rsidR="00A03629">
        <w:t xml:space="preserve"> </w:t>
      </w:r>
      <w:r>
        <w:t>at</w:t>
      </w:r>
      <w:r w:rsidR="00A03629">
        <w:t xml:space="preserve"> </w:t>
      </w:r>
      <w:r>
        <w:t>their</w:t>
      </w:r>
      <w:r w:rsidR="00A03629">
        <w:rPr>
          <w:rFonts w:ascii="Cambria" w:hAnsi="Cambria" w:cs="Cambria"/>
        </w:rPr>
        <w:t xml:space="preserve"> </w:t>
      </w:r>
      <w:r>
        <w:t>fair</w:t>
      </w:r>
      <w:r w:rsidR="00A03629">
        <w:t xml:space="preserve"> </w:t>
      </w:r>
      <w:r>
        <w:t>value</w:t>
      </w:r>
      <w:r w:rsidR="00A03629">
        <w:t xml:space="preserve"> </w:t>
      </w:r>
      <w:r>
        <w:t>when</w:t>
      </w:r>
      <w:r w:rsidR="00A03629">
        <w:t xml:space="preserve"> </w:t>
      </w:r>
      <w:r>
        <w:t>the</w:t>
      </w:r>
      <w:r w:rsidR="00A03629">
        <w:t xml:space="preserve"> </w:t>
      </w:r>
      <w:r>
        <w:t>recipient</w:t>
      </w:r>
      <w:r w:rsidR="00A03629">
        <w:t xml:space="preserve"> </w:t>
      </w:r>
      <w:r>
        <w:t>obtains</w:t>
      </w:r>
      <w:r w:rsidR="00A03629">
        <w:t xml:space="preserve"> </w:t>
      </w:r>
      <w:r>
        <w:t>control</w:t>
      </w:r>
      <w:r w:rsidR="00A03629">
        <w:t xml:space="preserve"> </w:t>
      </w:r>
      <w:r>
        <w:t>over</w:t>
      </w:r>
      <w:r w:rsidR="00A03629">
        <w:t xml:space="preserve"> </w:t>
      </w:r>
      <w:r>
        <w:t>the</w:t>
      </w:r>
      <w:r w:rsidR="00A03629">
        <w:t xml:space="preserve"> </w:t>
      </w:r>
      <w:r>
        <w:t>resources,</w:t>
      </w:r>
      <w:r w:rsidR="00A03629">
        <w:t xml:space="preserve"> </w:t>
      </w:r>
      <w:r>
        <w:t>irrespective</w:t>
      </w:r>
      <w:r w:rsidR="00A03629">
        <w:t xml:space="preserve"> </w:t>
      </w:r>
      <w:r>
        <w:t>of</w:t>
      </w:r>
      <w:r w:rsidR="00A03629">
        <w:t xml:space="preserve"> </w:t>
      </w:r>
      <w:r>
        <w:t>whether</w:t>
      </w:r>
      <w:r w:rsidR="00A03629">
        <w:t xml:space="preserve"> </w:t>
      </w:r>
      <w:r>
        <w:t>restrictions</w:t>
      </w:r>
      <w:r w:rsidR="00A03629">
        <w:t xml:space="preserve"> </w:t>
      </w:r>
      <w:r>
        <w:t>or</w:t>
      </w:r>
      <w:r w:rsidR="00A03629">
        <w:t xml:space="preserve"> </w:t>
      </w:r>
      <w:r>
        <w:t>conditions</w:t>
      </w:r>
      <w:r w:rsidR="00A03629">
        <w:t xml:space="preserve"> </w:t>
      </w:r>
      <w:r>
        <w:t>are</w:t>
      </w:r>
      <w:r w:rsidR="00A03629">
        <w:t xml:space="preserve"> </w:t>
      </w:r>
      <w:r>
        <w:t>imposed</w:t>
      </w:r>
      <w:r w:rsidR="00A03629">
        <w:t xml:space="preserve"> </w:t>
      </w:r>
      <w:r>
        <w:t>over</w:t>
      </w:r>
      <w:r w:rsidR="00A03629">
        <w:t xml:space="preserve"> </w:t>
      </w:r>
      <w:r>
        <w:t>the</w:t>
      </w:r>
      <w:r w:rsidR="00A03629">
        <w:rPr>
          <w:rFonts w:ascii="Cambria" w:hAnsi="Cambria" w:cs="Cambria"/>
        </w:rPr>
        <w:t xml:space="preserve"> </w:t>
      </w:r>
      <w:r>
        <w:t>use</w:t>
      </w:r>
      <w:r w:rsidR="00A03629">
        <w:rPr>
          <w:rFonts w:ascii="Cambria" w:hAnsi="Cambria" w:cs="Cambria"/>
        </w:rPr>
        <w:t xml:space="preserve"> </w:t>
      </w:r>
      <w:r>
        <w:t>of</w:t>
      </w:r>
      <w:r w:rsidR="00A03629">
        <w:t xml:space="preserve"> </w:t>
      </w:r>
      <w:r>
        <w:t>the</w:t>
      </w:r>
      <w:r w:rsidR="00A03629">
        <w:t xml:space="preserve"> </w:t>
      </w:r>
      <w:r>
        <w:t>contributions.</w:t>
      </w:r>
    </w:p>
    <w:p w14:paraId="64916C78" w14:textId="62EF8F41" w:rsidR="000756EB" w:rsidRDefault="004A4D88" w:rsidP="00D56B3C">
      <w:pPr>
        <w:rPr>
          <w:rFonts w:ascii="VIC Light" w:hAnsi="VIC Light" w:cs="VIC Light"/>
        </w:rPr>
      </w:pPr>
      <w:r>
        <w:t>The</w:t>
      </w:r>
      <w:r w:rsidR="00A03629">
        <w:t xml:space="preserve"> </w:t>
      </w:r>
      <w:r>
        <w:t>exception</w:t>
      </w:r>
      <w:r w:rsidR="00A03629">
        <w:t xml:space="preserve"> </w:t>
      </w:r>
      <w:r>
        <w:t>to</w:t>
      </w:r>
      <w:r w:rsidR="00A03629">
        <w:t xml:space="preserve"> </w:t>
      </w:r>
      <w:r>
        <w:t>this</w:t>
      </w:r>
      <w:r w:rsidR="00A03629">
        <w:t xml:space="preserve"> </w:t>
      </w:r>
      <w:r>
        <w:t>would</w:t>
      </w:r>
      <w:r w:rsidR="00A03629">
        <w:t xml:space="preserve"> </w:t>
      </w:r>
      <w:r>
        <w:t>be</w:t>
      </w:r>
      <w:r w:rsidR="00A03629">
        <w:t xml:space="preserve"> </w:t>
      </w:r>
      <w:r>
        <w:t>when</w:t>
      </w:r>
      <w:r w:rsidR="00A03629">
        <w:t xml:space="preserve"> </w:t>
      </w:r>
      <w:r>
        <w:t>the</w:t>
      </w:r>
      <w:r w:rsidR="00A03629">
        <w:t xml:space="preserve"> </w:t>
      </w:r>
      <w:r>
        <w:t>resource</w:t>
      </w:r>
      <w:r w:rsidR="00A03629">
        <w:t xml:space="preserve"> </w:t>
      </w:r>
      <w:r>
        <w:t>is</w:t>
      </w:r>
      <w:r w:rsidR="00A03629">
        <w:t xml:space="preserve"> </w:t>
      </w:r>
      <w:r>
        <w:t>received</w:t>
      </w:r>
      <w:r w:rsidR="00A03629">
        <w:t xml:space="preserve"> </w:t>
      </w:r>
      <w:r>
        <w:t>from</w:t>
      </w:r>
      <w:r w:rsidR="00A03629">
        <w:t xml:space="preserve"> </w:t>
      </w:r>
      <w:r>
        <w:t>another</w:t>
      </w:r>
      <w:r w:rsidR="00A03629">
        <w:t xml:space="preserve"> </w:t>
      </w:r>
      <w:r>
        <w:t>government</w:t>
      </w:r>
      <w:r w:rsidR="00A03629">
        <w:t xml:space="preserve"> </w:t>
      </w:r>
      <w:r>
        <w:t>department</w:t>
      </w:r>
      <w:r w:rsidR="00A03629">
        <w:t xml:space="preserve"> </w:t>
      </w:r>
      <w:r>
        <w:t>(or</w:t>
      </w:r>
      <w:r w:rsidR="00A03629">
        <w:t xml:space="preserve"> </w:t>
      </w:r>
      <w:r>
        <w:t>agency)</w:t>
      </w:r>
      <w:r w:rsidR="00A03629">
        <w:t xml:space="preserve"> </w:t>
      </w:r>
      <w:r>
        <w:t>as</w:t>
      </w:r>
      <w:r w:rsidR="00A03629">
        <w:t xml:space="preserve"> </w:t>
      </w:r>
      <w:r>
        <w:t>a</w:t>
      </w:r>
      <w:r w:rsidR="00A03629">
        <w:t xml:space="preserve"> </w:t>
      </w:r>
      <w:r>
        <w:t>consequence</w:t>
      </w:r>
      <w:r w:rsidR="00A03629">
        <w:t xml:space="preserve"> </w:t>
      </w:r>
      <w:r>
        <w:t>of</w:t>
      </w:r>
      <w:r w:rsidR="00A03629">
        <w:t xml:space="preserve"> </w:t>
      </w:r>
      <w:r>
        <w:t>a</w:t>
      </w:r>
      <w:r w:rsidR="00A03629">
        <w:t xml:space="preserve"> </w:t>
      </w:r>
      <w:r>
        <w:t>restructuring</w:t>
      </w:r>
      <w:r w:rsidR="00A03629">
        <w:t xml:space="preserve"> </w:t>
      </w:r>
      <w:r>
        <w:t>of</w:t>
      </w:r>
      <w:r w:rsidR="00A03629">
        <w:rPr>
          <w:rFonts w:ascii="Cambria" w:hAnsi="Cambria" w:cs="Cambria"/>
        </w:rPr>
        <w:t xml:space="preserve"> </w:t>
      </w:r>
      <w:r>
        <w:t>administrative</w:t>
      </w:r>
      <w:r w:rsidR="00A03629">
        <w:t xml:space="preserve"> </w:t>
      </w:r>
      <w:r>
        <w:t>arrangements,</w:t>
      </w:r>
      <w:r w:rsidR="00A03629">
        <w:t xml:space="preserve"> </w:t>
      </w:r>
      <w:r>
        <w:t>in</w:t>
      </w:r>
      <w:r w:rsidR="00A03629">
        <w:t xml:space="preserve"> </w:t>
      </w:r>
      <w:r>
        <w:t>which</w:t>
      </w:r>
      <w:r w:rsidR="00A03629">
        <w:t xml:space="preserve"> </w:t>
      </w:r>
      <w:r>
        <w:t>case</w:t>
      </w:r>
      <w:r w:rsidR="00A03629">
        <w:t xml:space="preserve"> </w:t>
      </w:r>
      <w:r>
        <w:t>such</w:t>
      </w:r>
      <w:r w:rsidR="00A03629">
        <w:t xml:space="preserve"> </w:t>
      </w:r>
      <w:r>
        <w:t>a</w:t>
      </w:r>
      <w:r w:rsidR="00A03629">
        <w:rPr>
          <w:rFonts w:ascii="Cambria" w:hAnsi="Cambria" w:cs="Cambria"/>
        </w:rPr>
        <w:t xml:space="preserve"> </w:t>
      </w:r>
      <w:r>
        <w:t>transfer</w:t>
      </w:r>
      <w:r w:rsidR="00A03629">
        <w:t xml:space="preserve"> </w:t>
      </w:r>
      <w:r>
        <w:t>will</w:t>
      </w:r>
      <w:r w:rsidR="00A03629">
        <w:t xml:space="preserve"> </w:t>
      </w:r>
      <w:r>
        <w:t>be</w:t>
      </w:r>
      <w:r w:rsidR="00A03629">
        <w:t xml:space="preserve"> </w:t>
      </w:r>
      <w:r>
        <w:t>recognised</w:t>
      </w:r>
      <w:r w:rsidR="00A03629">
        <w:t xml:space="preserve"> </w:t>
      </w:r>
      <w:r>
        <w:t>at</w:t>
      </w:r>
      <w:r w:rsidR="00A03629">
        <w:t xml:space="preserve"> </w:t>
      </w:r>
      <w:proofErr w:type="gramStart"/>
      <w:r>
        <w:t>its</w:t>
      </w:r>
      <w:proofErr w:type="gramEnd"/>
      <w:r w:rsidR="00A03629">
        <w:t xml:space="preserve"> </w:t>
      </w:r>
      <w:r>
        <w:t>carrying</w:t>
      </w:r>
      <w:r w:rsidR="00A03629">
        <w:t xml:space="preserve"> </w:t>
      </w:r>
      <w:r>
        <w:t>value</w:t>
      </w:r>
      <w:r w:rsidR="00A03629">
        <w:t xml:space="preserve"> </w:t>
      </w:r>
      <w:r>
        <w:t>in</w:t>
      </w:r>
      <w:r w:rsidR="00A03629">
        <w:t xml:space="preserve"> </w:t>
      </w:r>
      <w:r>
        <w:t>the</w:t>
      </w:r>
      <w:r w:rsidR="00A03629">
        <w:t xml:space="preserve"> </w:t>
      </w:r>
      <w:r>
        <w:t>transferring</w:t>
      </w:r>
      <w:r w:rsidR="00A03629">
        <w:t xml:space="preserve"> </w:t>
      </w:r>
      <w:r>
        <w:t>department</w:t>
      </w:r>
      <w:r w:rsidR="00A03629">
        <w:t xml:space="preserve"> </w:t>
      </w:r>
      <w:r>
        <w:t>or</w:t>
      </w:r>
      <w:r w:rsidR="00A03629">
        <w:t xml:space="preserve"> </w:t>
      </w:r>
      <w:r>
        <w:t>agency</w:t>
      </w:r>
      <w:r w:rsidR="00A03629">
        <w:t xml:space="preserve"> </w:t>
      </w:r>
      <w:r>
        <w:t>as</w:t>
      </w:r>
      <w:r w:rsidR="00A03629">
        <w:t xml:space="preserve"> </w:t>
      </w:r>
      <w:r>
        <w:t>a</w:t>
      </w:r>
      <w:r w:rsidR="00A03629">
        <w:t xml:space="preserve"> </w:t>
      </w:r>
      <w:r>
        <w:t>capital</w:t>
      </w:r>
      <w:r w:rsidR="00A03629">
        <w:t xml:space="preserve"> </w:t>
      </w:r>
      <w:r>
        <w:t>contribution</w:t>
      </w:r>
      <w:r w:rsidR="00A03629">
        <w:t xml:space="preserve"> </w:t>
      </w:r>
      <w:r>
        <w:t>transfer.</w:t>
      </w:r>
    </w:p>
    <w:p w14:paraId="39FB22E4" w14:textId="54311EA9" w:rsidR="000756EB" w:rsidRDefault="004A4D88" w:rsidP="006B1F74">
      <w:pPr>
        <w:pStyle w:val="Heading2"/>
      </w:pPr>
      <w:bookmarkStart w:id="20" w:name="_Toc149911801"/>
      <w:r>
        <w:lastRenderedPageBreak/>
        <w:t>2.5</w:t>
      </w:r>
      <w:r w:rsidR="00DE38B5">
        <w:t xml:space="preserve"> </w:t>
      </w:r>
      <w:r>
        <w:t>Annotated</w:t>
      </w:r>
      <w:r w:rsidR="00A03629">
        <w:t xml:space="preserve"> </w:t>
      </w:r>
      <w:r>
        <w:t>income</w:t>
      </w:r>
      <w:bookmarkEnd w:id="20"/>
    </w:p>
    <w:p w14:paraId="727662DC" w14:textId="08883787" w:rsidR="000756EB" w:rsidRDefault="004A4D88" w:rsidP="006B1F74">
      <w:r w:rsidRPr="006B1F74">
        <w:t>DJSIR</w:t>
      </w:r>
      <w:r w:rsidR="00A03629" w:rsidRPr="006B1F74">
        <w:t xml:space="preserve"> </w:t>
      </w:r>
      <w:r w:rsidRPr="006B1F74">
        <w:t>is</w:t>
      </w:r>
      <w:r w:rsidR="00A03629" w:rsidRPr="006B1F74">
        <w:t xml:space="preserve"> </w:t>
      </w:r>
      <w:r w:rsidRPr="006B1F74">
        <w:t>permitted</w:t>
      </w:r>
      <w:r w:rsidR="00A03629" w:rsidRPr="006B1F74">
        <w:t xml:space="preserve"> </w:t>
      </w:r>
      <w:r w:rsidRPr="006B1F74">
        <w:t>under</w:t>
      </w:r>
      <w:r w:rsidR="00A03629" w:rsidRPr="006B1F74">
        <w:t xml:space="preserve"> </w:t>
      </w:r>
      <w:r w:rsidRPr="006B1F74">
        <w:t>section</w:t>
      </w:r>
      <w:r w:rsidR="00A03629" w:rsidRPr="006B1F74">
        <w:t xml:space="preserve"> </w:t>
      </w:r>
      <w:r w:rsidRPr="006B1F74">
        <w:t>29</w:t>
      </w:r>
      <w:r w:rsidR="00A03629" w:rsidRPr="006B1F74">
        <w:t xml:space="preserve"> </w:t>
      </w:r>
      <w:r w:rsidRPr="006B1F74">
        <w:t>of</w:t>
      </w:r>
      <w:r w:rsidR="00A03629" w:rsidRPr="006B1F74">
        <w:t xml:space="preserve"> </w:t>
      </w:r>
      <w:r w:rsidRPr="006B1F74">
        <w:t>the</w:t>
      </w:r>
      <w:r w:rsidR="00A03629">
        <w:rPr>
          <w:rFonts w:ascii="VIC" w:hAnsi="VIC" w:cs="VIC"/>
        </w:rPr>
        <w:t xml:space="preserve"> </w:t>
      </w:r>
      <w:r w:rsidRPr="006B1F74">
        <w:rPr>
          <w:i/>
          <w:iCs/>
        </w:rPr>
        <w:t>Financial</w:t>
      </w:r>
      <w:r w:rsidR="00A03629" w:rsidRPr="006B1F74">
        <w:rPr>
          <w:i/>
          <w:iCs/>
        </w:rPr>
        <w:t xml:space="preserve"> </w:t>
      </w:r>
      <w:r w:rsidRPr="006B1F74">
        <w:rPr>
          <w:i/>
          <w:iCs/>
        </w:rPr>
        <w:t>Management</w:t>
      </w:r>
      <w:r w:rsidR="00A03629" w:rsidRPr="006B1F74">
        <w:rPr>
          <w:i/>
          <w:iCs/>
        </w:rPr>
        <w:t xml:space="preserve"> </w:t>
      </w:r>
      <w:r w:rsidRPr="006B1F74">
        <w:rPr>
          <w:i/>
          <w:iCs/>
        </w:rPr>
        <w:t>Act</w:t>
      </w:r>
      <w:r w:rsidR="00A03629" w:rsidRPr="006B1F74">
        <w:rPr>
          <w:i/>
          <w:iCs/>
        </w:rPr>
        <w:t xml:space="preserve"> </w:t>
      </w:r>
      <w:r w:rsidRPr="006B1F74">
        <w:rPr>
          <w:i/>
          <w:iCs/>
        </w:rPr>
        <w:t>1994</w:t>
      </w:r>
      <w:r w:rsidR="00A03629">
        <w:t xml:space="preserve"> </w:t>
      </w:r>
      <w:r>
        <w:t>(FMA)</w:t>
      </w:r>
      <w:r w:rsidR="00A03629">
        <w:t xml:space="preserve"> </w:t>
      </w:r>
      <w:r>
        <w:t>to</w:t>
      </w:r>
      <w:r w:rsidR="00A03629">
        <w:t xml:space="preserve"> </w:t>
      </w:r>
      <w:r>
        <w:t>have</w:t>
      </w:r>
      <w:r w:rsidR="00A03629">
        <w:t xml:space="preserve"> </w:t>
      </w:r>
      <w:r>
        <w:t>certain</w:t>
      </w:r>
      <w:r w:rsidR="00A03629">
        <w:t xml:space="preserve"> </w:t>
      </w:r>
      <w:r>
        <w:t>income</w:t>
      </w:r>
      <w:r w:rsidR="00A03629">
        <w:t xml:space="preserve"> </w:t>
      </w:r>
      <w:r>
        <w:t>annotated</w:t>
      </w:r>
      <w:r w:rsidR="00A03629">
        <w:t xml:space="preserve"> </w:t>
      </w:r>
      <w:r>
        <w:t>to</w:t>
      </w:r>
      <w:r w:rsidR="00A03629">
        <w:t xml:space="preserve"> </w:t>
      </w:r>
      <w:r>
        <w:t>the</w:t>
      </w:r>
      <w:r w:rsidR="00A03629">
        <w:t xml:space="preserve"> </w:t>
      </w:r>
      <w:r>
        <w:t>annual</w:t>
      </w:r>
      <w:r w:rsidR="00A03629">
        <w:t xml:space="preserve"> </w:t>
      </w:r>
      <w:r>
        <w:t>appropriation.</w:t>
      </w:r>
      <w:r w:rsidR="00A03629">
        <w:t xml:space="preserve"> </w:t>
      </w:r>
      <w:r>
        <w:t>The</w:t>
      </w:r>
      <w:r w:rsidR="00A03629">
        <w:t xml:space="preserve"> </w:t>
      </w:r>
      <w:r>
        <w:t>income</w:t>
      </w:r>
      <w:r w:rsidR="00A03629">
        <w:t xml:space="preserve"> </w:t>
      </w:r>
      <w:r>
        <w:t>which</w:t>
      </w:r>
      <w:r w:rsidR="00A03629">
        <w:t xml:space="preserve"> </w:t>
      </w:r>
      <w:r>
        <w:t>forms</w:t>
      </w:r>
      <w:r w:rsidR="00A03629">
        <w:t xml:space="preserve"> </w:t>
      </w:r>
      <w:r>
        <w:t>part</w:t>
      </w:r>
      <w:r w:rsidR="00A03629">
        <w:t xml:space="preserve"> </w:t>
      </w:r>
      <w:r>
        <w:t>of</w:t>
      </w:r>
      <w:r w:rsidR="00A03629">
        <w:t xml:space="preserve"> </w:t>
      </w:r>
      <w:r>
        <w:t>a</w:t>
      </w:r>
      <w:r w:rsidR="00A03629">
        <w:t xml:space="preserve"> </w:t>
      </w:r>
      <w:r>
        <w:t>section</w:t>
      </w:r>
      <w:r w:rsidR="00A03629">
        <w:t xml:space="preserve"> </w:t>
      </w:r>
      <w:r>
        <w:t>29</w:t>
      </w:r>
      <w:r w:rsidR="00A03629">
        <w:t xml:space="preserve"> </w:t>
      </w:r>
      <w:r>
        <w:t>agreement</w:t>
      </w:r>
      <w:r w:rsidR="00A03629">
        <w:t xml:space="preserve"> </w:t>
      </w:r>
      <w:r>
        <w:t>is</w:t>
      </w:r>
      <w:r w:rsidR="00A03629">
        <w:t xml:space="preserve"> </w:t>
      </w:r>
      <w:r>
        <w:t>recognised</w:t>
      </w:r>
      <w:r w:rsidR="00A03629">
        <w:t xml:space="preserve"> </w:t>
      </w:r>
      <w:r>
        <w:t>by</w:t>
      </w:r>
      <w:r w:rsidR="00A03629">
        <w:t xml:space="preserve"> </w:t>
      </w:r>
      <w:r>
        <w:t>DJSIR</w:t>
      </w:r>
      <w:r w:rsidR="00A03629">
        <w:t xml:space="preserve"> </w:t>
      </w:r>
      <w:r>
        <w:t>as</w:t>
      </w:r>
      <w:r w:rsidR="00A03629">
        <w:t xml:space="preserve"> </w:t>
      </w:r>
      <w:r>
        <w:t>an</w:t>
      </w:r>
      <w:r w:rsidR="00A03629">
        <w:t xml:space="preserve"> </w:t>
      </w:r>
      <w:r>
        <w:t>administered</w:t>
      </w:r>
      <w:r w:rsidR="00A03629">
        <w:t xml:space="preserve"> </w:t>
      </w:r>
      <w:r>
        <w:t>item</w:t>
      </w:r>
      <w:r w:rsidR="00A03629">
        <w:t xml:space="preserve"> </w:t>
      </w:r>
      <w:r>
        <w:t>and</w:t>
      </w:r>
      <w:r w:rsidR="00A03629">
        <w:t xml:space="preserve"> </w:t>
      </w:r>
      <w:r>
        <w:t>the</w:t>
      </w:r>
      <w:r w:rsidR="00A03629">
        <w:t xml:space="preserve"> </w:t>
      </w:r>
      <w:r>
        <w:t>receipts</w:t>
      </w:r>
      <w:r w:rsidR="00A03629">
        <w:t xml:space="preserve"> </w:t>
      </w:r>
      <w:r>
        <w:t>paid</w:t>
      </w:r>
      <w:r w:rsidR="00A03629">
        <w:t xml:space="preserve"> </w:t>
      </w:r>
      <w:r>
        <w:t>into</w:t>
      </w:r>
      <w:r w:rsidR="00A03629">
        <w:t xml:space="preserve"> </w:t>
      </w:r>
      <w:r>
        <w:t>the</w:t>
      </w:r>
      <w:r w:rsidR="00A03629">
        <w:t xml:space="preserve"> </w:t>
      </w:r>
      <w:r>
        <w:t>consolidated</w:t>
      </w:r>
      <w:r w:rsidR="00A03629">
        <w:t xml:space="preserve"> </w:t>
      </w:r>
      <w:r>
        <w:t>fund.</w:t>
      </w:r>
      <w:r w:rsidR="00A03629">
        <w:t xml:space="preserve"> </w:t>
      </w:r>
      <w:r>
        <w:t>If</w:t>
      </w:r>
      <w:r w:rsidR="00A03629">
        <w:t xml:space="preserve"> </w:t>
      </w:r>
      <w:r>
        <w:t>a</w:t>
      </w:r>
      <w:r w:rsidR="00A03629">
        <w:t xml:space="preserve"> </w:t>
      </w:r>
      <w:r>
        <w:t>section</w:t>
      </w:r>
      <w:r w:rsidR="00A03629">
        <w:t xml:space="preserve"> </w:t>
      </w:r>
      <w:r>
        <w:t>29</w:t>
      </w:r>
      <w:r w:rsidR="00A03629">
        <w:t xml:space="preserve"> </w:t>
      </w:r>
      <w:r>
        <w:t>agreement</w:t>
      </w:r>
      <w:r w:rsidR="00A03629">
        <w:t xml:space="preserve"> </w:t>
      </w:r>
      <w:r>
        <w:t>is</w:t>
      </w:r>
      <w:r w:rsidR="00A03629">
        <w:t xml:space="preserve"> </w:t>
      </w:r>
      <w:r>
        <w:t>in</w:t>
      </w:r>
      <w:r w:rsidR="00A03629">
        <w:t xml:space="preserve"> </w:t>
      </w:r>
      <w:r>
        <w:t>place,</w:t>
      </w:r>
      <w:r w:rsidR="00A03629">
        <w:t xml:space="preserve"> </w:t>
      </w:r>
      <w:r>
        <w:t>the</w:t>
      </w:r>
      <w:r w:rsidR="00A03629">
        <w:t xml:space="preserve"> </w:t>
      </w:r>
      <w:r>
        <w:t>relevant</w:t>
      </w:r>
      <w:r w:rsidR="00A03629">
        <w:t xml:space="preserve"> </w:t>
      </w:r>
      <w:r>
        <w:t>appropriation</w:t>
      </w:r>
      <w:r w:rsidR="00A03629">
        <w:t xml:space="preserve"> </w:t>
      </w:r>
      <w:r>
        <w:t>item</w:t>
      </w:r>
      <w:r w:rsidR="00A03629">
        <w:t xml:space="preserve"> </w:t>
      </w:r>
      <w:r>
        <w:t>(Note</w:t>
      </w:r>
      <w:r w:rsidR="00A03629">
        <w:t xml:space="preserve"> </w:t>
      </w:r>
      <w:r>
        <w:t>2.3)</w:t>
      </w:r>
      <w:r w:rsidR="00A03629">
        <w:t xml:space="preserve"> </w:t>
      </w:r>
      <w:r>
        <w:t>will</w:t>
      </w:r>
      <w:r w:rsidR="00A03629">
        <w:t xml:space="preserve"> </w:t>
      </w:r>
      <w:r>
        <w:t>be</w:t>
      </w:r>
      <w:r w:rsidR="00A03629">
        <w:t xml:space="preserve"> </w:t>
      </w:r>
      <w:r>
        <w:t>increased</w:t>
      </w:r>
      <w:r w:rsidR="00A03629">
        <w:t xml:space="preserve"> </w:t>
      </w:r>
      <w:r>
        <w:t>by</w:t>
      </w:r>
      <w:r w:rsidR="00A03629">
        <w:t xml:space="preserve"> </w:t>
      </w:r>
      <w:r>
        <w:t>the</w:t>
      </w:r>
      <w:r w:rsidR="00A03629">
        <w:t xml:space="preserve"> </w:t>
      </w:r>
      <w:r>
        <w:t>equivalent</w:t>
      </w:r>
      <w:r w:rsidR="00A03629">
        <w:t xml:space="preserve"> </w:t>
      </w:r>
      <w:r>
        <w:t>amount</w:t>
      </w:r>
      <w:r w:rsidR="00A03629">
        <w:t xml:space="preserve"> </w:t>
      </w:r>
      <w:r>
        <w:t>at</w:t>
      </w:r>
      <w:r w:rsidR="00A03629">
        <w:t xml:space="preserve"> </w:t>
      </w:r>
      <w:r>
        <w:t>the</w:t>
      </w:r>
      <w:r w:rsidR="00A03629">
        <w:t xml:space="preserve"> </w:t>
      </w:r>
      <w:r>
        <w:t>point</w:t>
      </w:r>
      <w:r w:rsidR="00A03629">
        <w:t xml:space="preserve"> </w:t>
      </w:r>
      <w:r>
        <w:t>of</w:t>
      </w:r>
      <w:r w:rsidR="00A03629">
        <w:t xml:space="preserve"> </w:t>
      </w:r>
      <w:r>
        <w:t>income</w:t>
      </w:r>
      <w:r w:rsidR="00A03629">
        <w:t xml:space="preserve"> </w:t>
      </w:r>
      <w:r>
        <w:t>recognition.</w:t>
      </w:r>
    </w:p>
    <w:p w14:paraId="42BB908D" w14:textId="0D456AE2" w:rsidR="000756EB" w:rsidRDefault="004A4D88" w:rsidP="006B1F74">
      <w:r>
        <w:t>The</w:t>
      </w:r>
      <w:r w:rsidR="00A03629">
        <w:t xml:space="preserve"> </w:t>
      </w:r>
      <w:r>
        <w:t>following</w:t>
      </w:r>
      <w:r w:rsidR="00A03629">
        <w:t xml:space="preserve"> </w:t>
      </w:r>
      <w:r>
        <w:t>is</w:t>
      </w:r>
      <w:r w:rsidR="00A03629">
        <w:t xml:space="preserve"> </w:t>
      </w:r>
      <w:r>
        <w:t>a</w:t>
      </w:r>
      <w:r w:rsidR="00A03629">
        <w:t xml:space="preserve"> </w:t>
      </w:r>
      <w:r>
        <w:t>listing</w:t>
      </w:r>
      <w:r w:rsidR="00A03629">
        <w:t xml:space="preserve"> </w:t>
      </w:r>
      <w:r>
        <w:t>of</w:t>
      </w:r>
      <w:r w:rsidR="00A03629">
        <w:t xml:space="preserve"> </w:t>
      </w:r>
      <w:r>
        <w:t>the</w:t>
      </w:r>
      <w:r w:rsidR="00A03629">
        <w:t xml:space="preserve"> </w:t>
      </w:r>
      <w:r>
        <w:t>FMA</w:t>
      </w:r>
      <w:r w:rsidR="00A03629">
        <w:t xml:space="preserve"> </w:t>
      </w:r>
      <w:r>
        <w:t>section</w:t>
      </w:r>
      <w:r w:rsidR="00A03629">
        <w:t xml:space="preserve"> </w:t>
      </w:r>
      <w:r>
        <w:t>29</w:t>
      </w:r>
      <w:r w:rsidR="00A03629">
        <w:t xml:space="preserve"> </w:t>
      </w:r>
      <w:r>
        <w:t>annotated</w:t>
      </w:r>
      <w:r w:rsidR="00A03629">
        <w:t xml:space="preserve"> </w:t>
      </w:r>
      <w:r>
        <w:t>income</w:t>
      </w:r>
      <w:r w:rsidR="00A03629">
        <w:t xml:space="preserve"> </w:t>
      </w:r>
      <w:r>
        <w:t>agreements</w:t>
      </w:r>
      <w:r w:rsidR="00A03629">
        <w:t xml:space="preserve"> </w:t>
      </w:r>
      <w:r>
        <w:t>approved</w:t>
      </w:r>
      <w:r w:rsidR="00A03629">
        <w:t xml:space="preserve"> </w:t>
      </w:r>
      <w:r>
        <w:t>by</w:t>
      </w:r>
      <w:r w:rsidR="00A03629">
        <w:t xml:space="preserve"> </w:t>
      </w:r>
      <w:r>
        <w:t>the</w:t>
      </w:r>
      <w:r w:rsidR="00A03629">
        <w:t xml:space="preserve"> </w:t>
      </w:r>
      <w:r>
        <w:t>Treasurer.</w:t>
      </w:r>
      <w:r w:rsidR="00A03629">
        <w:t xml:space="preserve"> </w:t>
      </w:r>
      <w:r>
        <w:t>The</w:t>
      </w:r>
      <w:r w:rsidR="00A03629">
        <w:t xml:space="preserve"> </w:t>
      </w:r>
      <w:r>
        <w:t>annotated</w:t>
      </w:r>
      <w:r w:rsidR="00A03629">
        <w:t xml:space="preserve"> </w:t>
      </w:r>
      <w:r>
        <w:t>income</w:t>
      </w:r>
      <w:r w:rsidR="00A03629">
        <w:t xml:space="preserve"> </w:t>
      </w:r>
      <w:r>
        <w:t>amounts</w:t>
      </w:r>
      <w:r w:rsidR="00A03629">
        <w:t xml:space="preserve"> </w:t>
      </w:r>
      <w:r>
        <w:t>are</w:t>
      </w:r>
      <w:r w:rsidR="00A03629">
        <w:t xml:space="preserve"> </w:t>
      </w:r>
      <w:r>
        <w:t>not</w:t>
      </w:r>
      <w:r w:rsidR="00A03629">
        <w:t xml:space="preserve"> </w:t>
      </w:r>
      <w:r>
        <w:t>directly</w:t>
      </w:r>
      <w:r w:rsidR="00A03629">
        <w:t xml:space="preserve"> </w:t>
      </w:r>
      <w:r>
        <w:t>comparable</w:t>
      </w:r>
      <w:r w:rsidR="00A03629">
        <w:t xml:space="preserve"> </w:t>
      </w:r>
      <w:r>
        <w:t>due</w:t>
      </w:r>
      <w:r w:rsidR="00A03629">
        <w:t xml:space="preserve"> </w:t>
      </w:r>
      <w:r>
        <w:t>to</w:t>
      </w:r>
      <w:r w:rsidR="00A03629">
        <w:t xml:space="preserve"> </w:t>
      </w:r>
      <w:r>
        <w:t>the</w:t>
      </w:r>
      <w:r w:rsidR="00A03629">
        <w:t xml:space="preserve"> </w:t>
      </w:r>
      <w:r>
        <w:t>machinery</w:t>
      </w:r>
      <w:r w:rsidR="00A03629">
        <w:t xml:space="preserve"> </w:t>
      </w:r>
      <w:r>
        <w:t>of</w:t>
      </w:r>
      <w:r w:rsidR="00A03629">
        <w:t xml:space="preserve"> </w:t>
      </w:r>
      <w:r>
        <w:t>government</w:t>
      </w:r>
      <w:r w:rsidR="00A03629">
        <w:t xml:space="preserve"> </w:t>
      </w:r>
      <w:r>
        <w:t>changes</w:t>
      </w:r>
      <w:r w:rsidR="00A03629">
        <w:t xml:space="preserve"> </w:t>
      </w:r>
      <w:r>
        <w:t>effective</w:t>
      </w:r>
      <w:r w:rsidR="00A03629">
        <w:t xml:space="preserve"> </w:t>
      </w:r>
      <w:r>
        <w:t>1</w:t>
      </w:r>
      <w:r w:rsidR="00A03629">
        <w:t xml:space="preserve"> </w:t>
      </w:r>
      <w:r>
        <w:t>January</w:t>
      </w:r>
      <w:r w:rsidR="00A03629">
        <w:t xml:space="preserve"> </w:t>
      </w:r>
      <w:r>
        <w:t>2023.</w:t>
      </w:r>
    </w:p>
    <w:tbl>
      <w:tblPr>
        <w:tblStyle w:val="TableGrid"/>
        <w:tblW w:w="10201" w:type="dxa"/>
        <w:tblLayout w:type="fixed"/>
        <w:tblLook w:val="0020" w:firstRow="1" w:lastRow="0" w:firstColumn="0" w:lastColumn="0" w:noHBand="0" w:noVBand="0"/>
      </w:tblPr>
      <w:tblGrid>
        <w:gridCol w:w="6917"/>
        <w:gridCol w:w="1642"/>
        <w:gridCol w:w="1642"/>
      </w:tblGrid>
      <w:tr w:rsidR="000756EB" w:rsidRPr="006B1F74" w14:paraId="6FA6F03A" w14:textId="77777777" w:rsidTr="006B1F74">
        <w:trPr>
          <w:trHeight w:val="113"/>
          <w:tblHeader/>
        </w:trPr>
        <w:tc>
          <w:tcPr>
            <w:tcW w:w="6917" w:type="dxa"/>
          </w:tcPr>
          <w:p w14:paraId="334B5B1B" w14:textId="77777777" w:rsidR="000756EB" w:rsidRPr="006B1F74" w:rsidRDefault="000756EB" w:rsidP="006B1F74">
            <w:pPr>
              <w:pStyle w:val="TableColumnHeading"/>
            </w:pPr>
            <w:bookmarkStart w:id="21" w:name="ColumnTitles_7"/>
            <w:bookmarkEnd w:id="21"/>
          </w:p>
        </w:tc>
        <w:tc>
          <w:tcPr>
            <w:tcW w:w="1642" w:type="dxa"/>
          </w:tcPr>
          <w:p w14:paraId="6CF2EA74" w14:textId="090102A2" w:rsidR="000756EB" w:rsidRPr="006B1F74" w:rsidRDefault="006B1F74" w:rsidP="00DE6598">
            <w:pPr>
              <w:pStyle w:val="TableColumnHeading"/>
              <w:jc w:val="right"/>
            </w:pPr>
            <w:r w:rsidRPr="006B1F74">
              <w:t xml:space="preserve">Actual </w:t>
            </w:r>
            <w:r w:rsidR="004A4D88" w:rsidRPr="006B1F74">
              <w:t>2023</w:t>
            </w:r>
            <w:r w:rsidRPr="006B1F74">
              <w:t xml:space="preserve"> ($ thousand)</w:t>
            </w:r>
            <w:r w:rsidR="00A03629" w:rsidRPr="006B1F74">
              <w:t xml:space="preserve"> </w:t>
            </w:r>
          </w:p>
        </w:tc>
        <w:tc>
          <w:tcPr>
            <w:tcW w:w="1642" w:type="dxa"/>
          </w:tcPr>
          <w:p w14:paraId="3E196791" w14:textId="4067C907" w:rsidR="000756EB" w:rsidRPr="006B1F74" w:rsidRDefault="006B1F74" w:rsidP="00DE6598">
            <w:pPr>
              <w:pStyle w:val="TableColumnHeading"/>
              <w:jc w:val="right"/>
            </w:pPr>
            <w:r w:rsidRPr="006B1F74">
              <w:t xml:space="preserve">Actual </w:t>
            </w:r>
            <w:r w:rsidR="004A4D88" w:rsidRPr="006B1F74">
              <w:t>2022</w:t>
            </w:r>
            <w:r w:rsidRPr="006B1F74">
              <w:t xml:space="preserve"> ($ thousand)</w:t>
            </w:r>
          </w:p>
        </w:tc>
      </w:tr>
      <w:tr w:rsidR="000756EB" w:rsidRPr="006B1F74" w14:paraId="1F5D19D8" w14:textId="77777777" w:rsidTr="006B1F74">
        <w:trPr>
          <w:trHeight w:val="113"/>
        </w:trPr>
        <w:tc>
          <w:tcPr>
            <w:tcW w:w="6917" w:type="dxa"/>
          </w:tcPr>
          <w:p w14:paraId="725AD701" w14:textId="47E09224" w:rsidR="000756EB" w:rsidRPr="006B1F74" w:rsidRDefault="004A4D88" w:rsidP="006B1F74">
            <w:pPr>
              <w:pStyle w:val="TableHeading"/>
            </w:pPr>
            <w:r w:rsidRPr="006B1F74">
              <w:t>User</w:t>
            </w:r>
            <w:r w:rsidR="00A03629" w:rsidRPr="006B1F74">
              <w:t xml:space="preserve"> </w:t>
            </w:r>
            <w:r w:rsidRPr="006B1F74">
              <w:t>charges,</w:t>
            </w:r>
            <w:r w:rsidR="00A03629" w:rsidRPr="006B1F74">
              <w:t xml:space="preserve"> </w:t>
            </w:r>
            <w:r w:rsidRPr="006B1F74">
              <w:t>sale</w:t>
            </w:r>
            <w:r w:rsidR="00A03629" w:rsidRPr="006B1F74">
              <w:t xml:space="preserve"> </w:t>
            </w:r>
            <w:r w:rsidRPr="006B1F74">
              <w:t>of</w:t>
            </w:r>
            <w:r w:rsidR="00A03629" w:rsidRPr="006B1F74">
              <w:t xml:space="preserve"> </w:t>
            </w:r>
            <w:r w:rsidRPr="006B1F74">
              <w:t>goods</w:t>
            </w:r>
            <w:r w:rsidR="00A03629" w:rsidRPr="006B1F74">
              <w:t xml:space="preserve"> </w:t>
            </w:r>
            <w:r w:rsidRPr="006B1F74">
              <w:t>and</w:t>
            </w:r>
            <w:r w:rsidR="00A03629" w:rsidRPr="006B1F74">
              <w:t xml:space="preserve"> </w:t>
            </w:r>
            <w:r w:rsidRPr="006B1F74">
              <w:t>services</w:t>
            </w:r>
          </w:p>
        </w:tc>
        <w:tc>
          <w:tcPr>
            <w:tcW w:w="1642" w:type="dxa"/>
          </w:tcPr>
          <w:p w14:paraId="21F73DF9" w14:textId="77777777" w:rsidR="000756EB" w:rsidRPr="006B1F74" w:rsidRDefault="000756EB" w:rsidP="00DE6598">
            <w:pPr>
              <w:pStyle w:val="TableHeading"/>
              <w:jc w:val="right"/>
            </w:pPr>
          </w:p>
        </w:tc>
        <w:tc>
          <w:tcPr>
            <w:tcW w:w="1642" w:type="dxa"/>
          </w:tcPr>
          <w:p w14:paraId="25112FA2" w14:textId="77777777" w:rsidR="000756EB" w:rsidRPr="006B1F74" w:rsidRDefault="000756EB" w:rsidP="00DE6598">
            <w:pPr>
              <w:pStyle w:val="TableHeading"/>
              <w:jc w:val="right"/>
            </w:pPr>
          </w:p>
        </w:tc>
      </w:tr>
      <w:tr w:rsidR="000756EB" w:rsidRPr="006B1F74" w14:paraId="33157AE6" w14:textId="77777777" w:rsidTr="006B1F74">
        <w:trPr>
          <w:trHeight w:val="113"/>
        </w:trPr>
        <w:tc>
          <w:tcPr>
            <w:tcW w:w="6917" w:type="dxa"/>
          </w:tcPr>
          <w:p w14:paraId="51B52B97" w14:textId="5257D9FD" w:rsidR="000756EB" w:rsidRPr="006B1F74" w:rsidRDefault="004A4D88" w:rsidP="006B1F74">
            <w:pPr>
              <w:pStyle w:val="TableCopy"/>
            </w:pPr>
            <w:r w:rsidRPr="006B1F74">
              <w:t>Agriculture</w:t>
            </w:r>
            <w:r w:rsidR="00A03629" w:rsidRPr="006B1F74">
              <w:t xml:space="preserve"> </w:t>
            </w:r>
            <w:r w:rsidRPr="006B1F74">
              <w:t>and</w:t>
            </w:r>
            <w:r w:rsidR="00A03629" w:rsidRPr="006B1F74">
              <w:t xml:space="preserve"> </w:t>
            </w:r>
            <w:r w:rsidRPr="006B1F74">
              <w:t>Veterinary</w:t>
            </w:r>
            <w:r w:rsidR="00A03629" w:rsidRPr="006B1F74">
              <w:t xml:space="preserve"> </w:t>
            </w:r>
            <w:r w:rsidRPr="006B1F74">
              <w:t>Chemical</w:t>
            </w:r>
            <w:r w:rsidR="00A03629" w:rsidRPr="006B1F74">
              <w:t xml:space="preserve"> </w:t>
            </w:r>
            <w:r w:rsidRPr="006B1F74">
              <w:t>Permits</w:t>
            </w:r>
          </w:p>
        </w:tc>
        <w:tc>
          <w:tcPr>
            <w:tcW w:w="1642" w:type="dxa"/>
          </w:tcPr>
          <w:p w14:paraId="2E561B92" w14:textId="4384C156" w:rsidR="000756EB" w:rsidRPr="006B1F74" w:rsidRDefault="004A4D88" w:rsidP="00DE6598">
            <w:pPr>
              <w:pStyle w:val="TableCopy"/>
              <w:jc w:val="right"/>
            </w:pPr>
            <w:r w:rsidRPr="006B1F74">
              <w:t>1,088</w:t>
            </w:r>
          </w:p>
        </w:tc>
        <w:tc>
          <w:tcPr>
            <w:tcW w:w="1642" w:type="dxa"/>
          </w:tcPr>
          <w:p w14:paraId="386C701B" w14:textId="56F9D463" w:rsidR="000756EB" w:rsidRPr="006B1F74" w:rsidRDefault="004A4D88" w:rsidP="00DE6598">
            <w:pPr>
              <w:pStyle w:val="TableCopy"/>
              <w:jc w:val="right"/>
            </w:pPr>
            <w:r w:rsidRPr="006B1F74">
              <w:t>1,609</w:t>
            </w:r>
          </w:p>
        </w:tc>
      </w:tr>
      <w:tr w:rsidR="000756EB" w:rsidRPr="006B1F74" w14:paraId="5D9CEE90" w14:textId="77777777" w:rsidTr="006B1F74">
        <w:trPr>
          <w:trHeight w:val="113"/>
        </w:trPr>
        <w:tc>
          <w:tcPr>
            <w:tcW w:w="6917" w:type="dxa"/>
          </w:tcPr>
          <w:p w14:paraId="5A18A125" w14:textId="640AAD17" w:rsidR="000756EB" w:rsidRPr="006B1F74" w:rsidRDefault="004A4D88" w:rsidP="006B1F74">
            <w:pPr>
              <w:pStyle w:val="TableCopy"/>
            </w:pPr>
            <w:r w:rsidRPr="006B1F74">
              <w:t>Bioscience</w:t>
            </w:r>
            <w:r w:rsidR="00A03629" w:rsidRPr="006B1F74">
              <w:t xml:space="preserve"> </w:t>
            </w:r>
            <w:r w:rsidRPr="006B1F74">
              <w:t>Research</w:t>
            </w:r>
            <w:r w:rsidR="00A03629" w:rsidRPr="006B1F74">
              <w:t xml:space="preserve"> </w:t>
            </w:r>
            <w:r w:rsidRPr="006B1F74">
              <w:t>Centre</w:t>
            </w:r>
            <w:r w:rsidR="00A03629" w:rsidRPr="006B1F74">
              <w:t xml:space="preserve"> </w:t>
            </w:r>
            <w:r w:rsidRPr="006B1F74">
              <w:t>–</w:t>
            </w:r>
            <w:r w:rsidR="00A03629" w:rsidRPr="006B1F74">
              <w:t xml:space="preserve"> </w:t>
            </w:r>
            <w:r w:rsidRPr="006B1F74">
              <w:t>La</w:t>
            </w:r>
            <w:r w:rsidR="00A03629" w:rsidRPr="006B1F74">
              <w:t xml:space="preserve"> </w:t>
            </w:r>
            <w:r w:rsidRPr="006B1F74">
              <w:t>Trobe</w:t>
            </w:r>
            <w:r w:rsidR="00A03629" w:rsidRPr="006B1F74">
              <w:t xml:space="preserve"> </w:t>
            </w:r>
            <w:r w:rsidRPr="006B1F74">
              <w:t>contribution</w:t>
            </w:r>
            <w:r w:rsidR="00A03629" w:rsidRPr="006B1F74">
              <w:t xml:space="preserve"> </w:t>
            </w:r>
            <w:r w:rsidRPr="006B1F74">
              <w:t>to</w:t>
            </w:r>
            <w:r w:rsidR="00A03629" w:rsidRPr="006B1F74">
              <w:t xml:space="preserve"> </w:t>
            </w:r>
            <w:r w:rsidRPr="006B1F74">
              <w:t>quarterly</w:t>
            </w:r>
            <w:r w:rsidR="00A03629" w:rsidRPr="006B1F74">
              <w:t xml:space="preserve"> </w:t>
            </w:r>
            <w:r w:rsidRPr="006B1F74">
              <w:t>services</w:t>
            </w:r>
            <w:r w:rsidR="00A03629" w:rsidRPr="006B1F74">
              <w:t xml:space="preserve"> </w:t>
            </w:r>
            <w:r w:rsidRPr="006B1F74">
              <w:t>payments</w:t>
            </w:r>
          </w:p>
        </w:tc>
        <w:tc>
          <w:tcPr>
            <w:tcW w:w="1642" w:type="dxa"/>
          </w:tcPr>
          <w:p w14:paraId="7DEAEF3D" w14:textId="4955B321" w:rsidR="000756EB" w:rsidRPr="006B1F74" w:rsidRDefault="004A4D88" w:rsidP="00DE6598">
            <w:pPr>
              <w:pStyle w:val="TableCopy"/>
              <w:jc w:val="right"/>
            </w:pPr>
            <w:r w:rsidRPr="006B1F74">
              <w:t>779</w:t>
            </w:r>
          </w:p>
        </w:tc>
        <w:tc>
          <w:tcPr>
            <w:tcW w:w="1642" w:type="dxa"/>
          </w:tcPr>
          <w:p w14:paraId="38E8FF75" w14:textId="77C5D8AB" w:rsidR="000756EB" w:rsidRPr="006B1F74" w:rsidRDefault="004A4D88" w:rsidP="00DE6598">
            <w:pPr>
              <w:pStyle w:val="TableCopy"/>
              <w:jc w:val="right"/>
            </w:pPr>
            <w:r w:rsidRPr="006B1F74">
              <w:t>2,297</w:t>
            </w:r>
          </w:p>
        </w:tc>
      </w:tr>
      <w:tr w:rsidR="000756EB" w:rsidRPr="006B1F74" w14:paraId="72AC535D" w14:textId="77777777" w:rsidTr="006B1F74">
        <w:trPr>
          <w:trHeight w:val="113"/>
        </w:trPr>
        <w:tc>
          <w:tcPr>
            <w:tcW w:w="6917" w:type="dxa"/>
          </w:tcPr>
          <w:p w14:paraId="6878F9F4" w14:textId="5F032423" w:rsidR="000756EB" w:rsidRPr="006B1F74" w:rsidRDefault="004A4D88" w:rsidP="006B1F74">
            <w:pPr>
              <w:pStyle w:val="TableCopy"/>
            </w:pPr>
            <w:r w:rsidRPr="006B1F74">
              <w:t>Commercial</w:t>
            </w:r>
            <w:r w:rsidR="00A03629" w:rsidRPr="006B1F74">
              <w:t xml:space="preserve"> </w:t>
            </w:r>
            <w:r w:rsidRPr="006B1F74">
              <w:t>Forest</w:t>
            </w:r>
          </w:p>
        </w:tc>
        <w:tc>
          <w:tcPr>
            <w:tcW w:w="1642" w:type="dxa"/>
          </w:tcPr>
          <w:p w14:paraId="0419F836" w14:textId="766DDCCC" w:rsidR="000756EB" w:rsidRPr="006B1F74" w:rsidRDefault="004A4D88" w:rsidP="00DE6598">
            <w:pPr>
              <w:pStyle w:val="TableCopy"/>
              <w:jc w:val="right"/>
            </w:pPr>
            <w:r w:rsidRPr="006B1F74">
              <w:t>–</w:t>
            </w:r>
          </w:p>
        </w:tc>
        <w:tc>
          <w:tcPr>
            <w:tcW w:w="1642" w:type="dxa"/>
          </w:tcPr>
          <w:p w14:paraId="7353D8AD" w14:textId="6FBC69A1" w:rsidR="000756EB" w:rsidRPr="006B1F74" w:rsidRDefault="004A4D88" w:rsidP="00DE6598">
            <w:pPr>
              <w:pStyle w:val="TableCopy"/>
              <w:jc w:val="right"/>
            </w:pPr>
            <w:r w:rsidRPr="006B1F74">
              <w:t>442</w:t>
            </w:r>
          </w:p>
        </w:tc>
      </w:tr>
      <w:tr w:rsidR="000756EB" w:rsidRPr="006B1F74" w14:paraId="51273852" w14:textId="77777777" w:rsidTr="006B1F74">
        <w:trPr>
          <w:trHeight w:val="113"/>
        </w:trPr>
        <w:tc>
          <w:tcPr>
            <w:tcW w:w="6917" w:type="dxa"/>
          </w:tcPr>
          <w:p w14:paraId="580713FD" w14:textId="53C0C8E5" w:rsidR="000756EB" w:rsidRPr="006B1F74" w:rsidRDefault="004A4D88" w:rsidP="006B1F74">
            <w:pPr>
              <w:pStyle w:val="TableCopy"/>
            </w:pPr>
            <w:r w:rsidRPr="006B1F74">
              <w:t>Cooperative</w:t>
            </w:r>
            <w:r w:rsidR="00A03629" w:rsidRPr="006B1F74">
              <w:t xml:space="preserve"> </w:t>
            </w:r>
            <w:r w:rsidRPr="006B1F74">
              <w:t>Research</w:t>
            </w:r>
            <w:r w:rsidR="00A03629" w:rsidRPr="006B1F74">
              <w:t xml:space="preserve"> </w:t>
            </w:r>
            <w:r w:rsidRPr="006B1F74">
              <w:t>Centre</w:t>
            </w:r>
            <w:r w:rsidR="00A03629" w:rsidRPr="006B1F74">
              <w:t xml:space="preserve"> </w:t>
            </w:r>
            <w:r w:rsidRPr="006B1F74">
              <w:t>Contributions</w:t>
            </w:r>
          </w:p>
        </w:tc>
        <w:tc>
          <w:tcPr>
            <w:tcW w:w="1642" w:type="dxa"/>
          </w:tcPr>
          <w:p w14:paraId="2296BED5" w14:textId="2A2D3881" w:rsidR="000756EB" w:rsidRPr="006B1F74" w:rsidRDefault="004A4D88" w:rsidP="00DE6598">
            <w:pPr>
              <w:pStyle w:val="TableCopy"/>
              <w:jc w:val="right"/>
            </w:pPr>
            <w:r w:rsidRPr="006B1F74">
              <w:t>31</w:t>
            </w:r>
          </w:p>
        </w:tc>
        <w:tc>
          <w:tcPr>
            <w:tcW w:w="1642" w:type="dxa"/>
          </w:tcPr>
          <w:p w14:paraId="0C23B6C4" w14:textId="23DD7FD0" w:rsidR="000756EB" w:rsidRPr="006B1F74" w:rsidRDefault="004A4D88" w:rsidP="00DE6598">
            <w:pPr>
              <w:pStyle w:val="TableCopy"/>
              <w:jc w:val="right"/>
            </w:pPr>
            <w:r w:rsidRPr="006B1F74">
              <w:t>215</w:t>
            </w:r>
          </w:p>
        </w:tc>
      </w:tr>
      <w:tr w:rsidR="000756EB" w:rsidRPr="006B1F74" w14:paraId="06BEDE65" w14:textId="77777777" w:rsidTr="006B1F74">
        <w:trPr>
          <w:trHeight w:val="113"/>
        </w:trPr>
        <w:tc>
          <w:tcPr>
            <w:tcW w:w="6917" w:type="dxa"/>
          </w:tcPr>
          <w:p w14:paraId="68A887B0" w14:textId="3D190D10" w:rsidR="000756EB" w:rsidRPr="006B1F74" w:rsidRDefault="004A4D88" w:rsidP="006B1F74">
            <w:pPr>
              <w:pStyle w:val="TableCopy"/>
            </w:pPr>
            <w:r w:rsidRPr="006B1F74">
              <w:t>Fisheries</w:t>
            </w:r>
            <w:r w:rsidR="00A03629" w:rsidRPr="006B1F74">
              <w:t xml:space="preserve"> </w:t>
            </w:r>
            <w:r w:rsidRPr="006B1F74">
              <w:t>Cost</w:t>
            </w:r>
            <w:r w:rsidR="00A03629" w:rsidRPr="006B1F74">
              <w:t xml:space="preserve"> </w:t>
            </w:r>
            <w:r w:rsidRPr="006B1F74">
              <w:t>Recovery</w:t>
            </w:r>
          </w:p>
        </w:tc>
        <w:tc>
          <w:tcPr>
            <w:tcW w:w="1642" w:type="dxa"/>
          </w:tcPr>
          <w:p w14:paraId="246A6C57" w14:textId="037D04F7" w:rsidR="000756EB" w:rsidRPr="006B1F74" w:rsidRDefault="004A4D88" w:rsidP="00DE6598">
            <w:pPr>
              <w:pStyle w:val="TableCopy"/>
              <w:jc w:val="right"/>
            </w:pPr>
            <w:r w:rsidRPr="006B1F74">
              <w:t>2,027</w:t>
            </w:r>
          </w:p>
        </w:tc>
        <w:tc>
          <w:tcPr>
            <w:tcW w:w="1642" w:type="dxa"/>
          </w:tcPr>
          <w:p w14:paraId="21CB13AF" w14:textId="61ACAA76" w:rsidR="000756EB" w:rsidRPr="006B1F74" w:rsidRDefault="004A4D88" w:rsidP="00DE6598">
            <w:pPr>
              <w:pStyle w:val="TableCopy"/>
              <w:jc w:val="right"/>
            </w:pPr>
            <w:r w:rsidRPr="006B1F74">
              <w:t>–</w:t>
            </w:r>
          </w:p>
        </w:tc>
      </w:tr>
      <w:tr w:rsidR="000756EB" w:rsidRPr="006B1F74" w14:paraId="3C44C162" w14:textId="77777777" w:rsidTr="006B1F74">
        <w:trPr>
          <w:trHeight w:val="113"/>
        </w:trPr>
        <w:tc>
          <w:tcPr>
            <w:tcW w:w="6917" w:type="dxa"/>
          </w:tcPr>
          <w:p w14:paraId="6366768C" w14:textId="4EC52A76" w:rsidR="000756EB" w:rsidRPr="006B1F74" w:rsidRDefault="004A4D88" w:rsidP="006B1F74">
            <w:pPr>
              <w:pStyle w:val="TableCopy"/>
            </w:pPr>
            <w:r w:rsidRPr="006B1F74">
              <w:t>Fisheries</w:t>
            </w:r>
            <w:r w:rsidR="00A03629" w:rsidRPr="006B1F74">
              <w:t xml:space="preserve"> </w:t>
            </w:r>
            <w:r w:rsidRPr="006B1F74">
              <w:t>Research</w:t>
            </w:r>
            <w:r w:rsidR="00A03629" w:rsidRPr="006B1F74">
              <w:t xml:space="preserve"> </w:t>
            </w:r>
            <w:r w:rsidRPr="006B1F74">
              <w:t>and</w:t>
            </w:r>
            <w:r w:rsidR="00A03629" w:rsidRPr="006B1F74">
              <w:t xml:space="preserve"> </w:t>
            </w:r>
            <w:r w:rsidRPr="006B1F74">
              <w:t>Experimental</w:t>
            </w:r>
            <w:r w:rsidR="00A03629" w:rsidRPr="006B1F74">
              <w:t xml:space="preserve"> </w:t>
            </w:r>
            <w:r w:rsidRPr="006B1F74">
              <w:t>Projects</w:t>
            </w:r>
            <w:r w:rsidR="00A03629" w:rsidRPr="006B1F74">
              <w:t xml:space="preserve"> </w:t>
            </w:r>
            <w:r w:rsidRPr="006B1F74">
              <w:t>–</w:t>
            </w:r>
            <w:r w:rsidR="00A03629" w:rsidRPr="006B1F74">
              <w:t xml:space="preserve"> </w:t>
            </w:r>
            <w:r w:rsidRPr="006B1F74">
              <w:t>Industry</w:t>
            </w:r>
            <w:r w:rsidR="00A03629" w:rsidRPr="006B1F74">
              <w:t xml:space="preserve"> </w:t>
            </w:r>
            <w:r w:rsidRPr="006B1F74">
              <w:t>Contributions</w:t>
            </w:r>
          </w:p>
        </w:tc>
        <w:tc>
          <w:tcPr>
            <w:tcW w:w="1642" w:type="dxa"/>
          </w:tcPr>
          <w:p w14:paraId="6CDEB8FD" w14:textId="38144DB4" w:rsidR="000756EB" w:rsidRPr="006B1F74" w:rsidRDefault="004A4D88" w:rsidP="00DE6598">
            <w:pPr>
              <w:pStyle w:val="TableCopy"/>
              <w:jc w:val="right"/>
            </w:pPr>
            <w:r w:rsidRPr="006B1F74">
              <w:t>165</w:t>
            </w:r>
          </w:p>
        </w:tc>
        <w:tc>
          <w:tcPr>
            <w:tcW w:w="1642" w:type="dxa"/>
          </w:tcPr>
          <w:p w14:paraId="376BC3D6" w14:textId="59F6619D" w:rsidR="000756EB" w:rsidRPr="006B1F74" w:rsidRDefault="004A4D88" w:rsidP="00DE6598">
            <w:pPr>
              <w:pStyle w:val="TableCopy"/>
              <w:jc w:val="right"/>
            </w:pPr>
            <w:r w:rsidRPr="006B1F74">
              <w:t>–</w:t>
            </w:r>
          </w:p>
        </w:tc>
      </w:tr>
      <w:tr w:rsidR="000756EB" w:rsidRPr="006B1F74" w14:paraId="29D3A771" w14:textId="77777777" w:rsidTr="006B1F74">
        <w:trPr>
          <w:trHeight w:val="113"/>
        </w:trPr>
        <w:tc>
          <w:tcPr>
            <w:tcW w:w="6917" w:type="dxa"/>
          </w:tcPr>
          <w:p w14:paraId="34BBA1DF" w14:textId="4CFB9F17" w:rsidR="000756EB" w:rsidRPr="006B1F74" w:rsidRDefault="004A4D88" w:rsidP="006B1F74">
            <w:pPr>
              <w:pStyle w:val="TableCopy"/>
            </w:pPr>
            <w:r w:rsidRPr="006B1F74">
              <w:t>Fisheries</w:t>
            </w:r>
            <w:r w:rsidR="00A03629" w:rsidRPr="006B1F74">
              <w:t xml:space="preserve"> </w:t>
            </w:r>
            <w:r w:rsidRPr="006B1F74">
              <w:t>Third</w:t>
            </w:r>
            <w:r w:rsidR="00A03629" w:rsidRPr="006B1F74">
              <w:t xml:space="preserve"> </w:t>
            </w:r>
            <w:r w:rsidRPr="006B1F74">
              <w:t>Party</w:t>
            </w:r>
            <w:r w:rsidR="00A03629" w:rsidRPr="006B1F74">
              <w:t xml:space="preserve"> </w:t>
            </w:r>
            <w:r w:rsidRPr="006B1F74">
              <w:t>Rental</w:t>
            </w:r>
            <w:r w:rsidR="00A03629" w:rsidRPr="006B1F74">
              <w:t xml:space="preserve"> </w:t>
            </w:r>
            <w:r w:rsidRPr="006B1F74">
              <w:t>Revenue</w:t>
            </w:r>
          </w:p>
        </w:tc>
        <w:tc>
          <w:tcPr>
            <w:tcW w:w="1642" w:type="dxa"/>
          </w:tcPr>
          <w:p w14:paraId="1D3DB69D" w14:textId="5C0BA152" w:rsidR="000756EB" w:rsidRPr="006B1F74" w:rsidRDefault="004A4D88" w:rsidP="00DE6598">
            <w:pPr>
              <w:pStyle w:val="TableCopy"/>
              <w:jc w:val="right"/>
            </w:pPr>
            <w:r w:rsidRPr="006B1F74">
              <w:t>2,633</w:t>
            </w:r>
          </w:p>
        </w:tc>
        <w:tc>
          <w:tcPr>
            <w:tcW w:w="1642" w:type="dxa"/>
          </w:tcPr>
          <w:p w14:paraId="63936D44" w14:textId="2948E8B9" w:rsidR="000756EB" w:rsidRPr="006B1F74" w:rsidRDefault="004A4D88" w:rsidP="00DE6598">
            <w:pPr>
              <w:pStyle w:val="TableCopy"/>
              <w:jc w:val="right"/>
            </w:pPr>
            <w:r w:rsidRPr="006B1F74">
              <w:t>–</w:t>
            </w:r>
          </w:p>
        </w:tc>
      </w:tr>
      <w:tr w:rsidR="000756EB" w:rsidRPr="006B1F74" w14:paraId="04757F5F" w14:textId="77777777" w:rsidTr="006B1F74">
        <w:trPr>
          <w:trHeight w:val="113"/>
        </w:trPr>
        <w:tc>
          <w:tcPr>
            <w:tcW w:w="6917" w:type="dxa"/>
          </w:tcPr>
          <w:p w14:paraId="37CB5672" w14:textId="631AE54D" w:rsidR="000756EB" w:rsidRPr="006B1F74" w:rsidRDefault="004A4D88" w:rsidP="006B1F74">
            <w:pPr>
              <w:pStyle w:val="TableCopy"/>
            </w:pPr>
            <w:proofErr w:type="spellStart"/>
            <w:r w:rsidRPr="006B1F74">
              <w:t>FutureMAX</w:t>
            </w:r>
            <w:proofErr w:type="spellEnd"/>
            <w:r w:rsidR="00A03629" w:rsidRPr="006B1F74">
              <w:t xml:space="preserve"> </w:t>
            </w:r>
            <w:r w:rsidRPr="006B1F74">
              <w:t>biosecurity</w:t>
            </w:r>
            <w:r w:rsidR="00A03629" w:rsidRPr="006B1F74">
              <w:t xml:space="preserve"> </w:t>
            </w:r>
            <w:r w:rsidRPr="006B1F74">
              <w:t>technology</w:t>
            </w:r>
            <w:r w:rsidR="00A03629" w:rsidRPr="006B1F74">
              <w:t xml:space="preserve"> </w:t>
            </w:r>
            <w:r w:rsidRPr="006B1F74">
              <w:t>platform</w:t>
            </w:r>
          </w:p>
        </w:tc>
        <w:tc>
          <w:tcPr>
            <w:tcW w:w="1642" w:type="dxa"/>
          </w:tcPr>
          <w:p w14:paraId="0EC01654" w14:textId="6D14BA4D" w:rsidR="000756EB" w:rsidRPr="006B1F74" w:rsidRDefault="004A4D88" w:rsidP="00DE6598">
            <w:pPr>
              <w:pStyle w:val="TableCopy"/>
              <w:jc w:val="right"/>
            </w:pPr>
            <w:r w:rsidRPr="006B1F74">
              <w:t>54</w:t>
            </w:r>
          </w:p>
        </w:tc>
        <w:tc>
          <w:tcPr>
            <w:tcW w:w="1642" w:type="dxa"/>
          </w:tcPr>
          <w:p w14:paraId="7A254FDB" w14:textId="4CADA326" w:rsidR="000756EB" w:rsidRPr="006B1F74" w:rsidRDefault="004A4D88" w:rsidP="00DE6598">
            <w:pPr>
              <w:pStyle w:val="TableCopy"/>
              <w:jc w:val="right"/>
            </w:pPr>
            <w:r w:rsidRPr="006B1F74">
              <w:t>–</w:t>
            </w:r>
          </w:p>
        </w:tc>
      </w:tr>
      <w:tr w:rsidR="000756EB" w:rsidRPr="006B1F74" w14:paraId="749FE49B" w14:textId="77777777" w:rsidTr="006B1F74">
        <w:trPr>
          <w:trHeight w:val="113"/>
        </w:trPr>
        <w:tc>
          <w:tcPr>
            <w:tcW w:w="6917" w:type="dxa"/>
          </w:tcPr>
          <w:p w14:paraId="2AA407E6" w14:textId="205BC196" w:rsidR="000756EB" w:rsidRPr="006B1F74" w:rsidRDefault="004A4D88" w:rsidP="006B1F74">
            <w:pPr>
              <w:pStyle w:val="TableCopy"/>
            </w:pPr>
            <w:r w:rsidRPr="006B1F74">
              <w:t>Gardiner</w:t>
            </w:r>
            <w:r w:rsidR="00A03629" w:rsidRPr="006B1F74">
              <w:t xml:space="preserve"> </w:t>
            </w:r>
            <w:r w:rsidRPr="006B1F74">
              <w:t>Foundation</w:t>
            </w:r>
            <w:r w:rsidR="00A03629" w:rsidRPr="006B1F74">
              <w:t xml:space="preserve"> </w:t>
            </w:r>
            <w:r w:rsidRPr="006B1F74">
              <w:t>Contributions</w:t>
            </w:r>
          </w:p>
        </w:tc>
        <w:tc>
          <w:tcPr>
            <w:tcW w:w="1642" w:type="dxa"/>
          </w:tcPr>
          <w:p w14:paraId="71CFD8B8" w14:textId="37B3BD23" w:rsidR="000756EB" w:rsidRPr="006B1F74" w:rsidRDefault="004A4D88" w:rsidP="00DE6598">
            <w:pPr>
              <w:pStyle w:val="TableCopy"/>
              <w:jc w:val="right"/>
            </w:pPr>
            <w:r w:rsidRPr="006B1F74">
              <w:t>–</w:t>
            </w:r>
          </w:p>
        </w:tc>
        <w:tc>
          <w:tcPr>
            <w:tcW w:w="1642" w:type="dxa"/>
          </w:tcPr>
          <w:p w14:paraId="4DBA06B3" w14:textId="056BA935" w:rsidR="000756EB" w:rsidRPr="006B1F74" w:rsidRDefault="004A4D88" w:rsidP="00DE6598">
            <w:pPr>
              <w:pStyle w:val="TableCopy"/>
              <w:jc w:val="right"/>
            </w:pPr>
            <w:r w:rsidRPr="006B1F74">
              <w:t>34</w:t>
            </w:r>
          </w:p>
        </w:tc>
      </w:tr>
      <w:tr w:rsidR="000756EB" w:rsidRPr="006B1F74" w14:paraId="2052ADE9" w14:textId="77777777" w:rsidTr="006B1F74">
        <w:trPr>
          <w:trHeight w:val="113"/>
        </w:trPr>
        <w:tc>
          <w:tcPr>
            <w:tcW w:w="6917" w:type="dxa"/>
          </w:tcPr>
          <w:p w14:paraId="3511F782" w14:textId="600C7CDA" w:rsidR="000756EB" w:rsidRPr="006B1F74" w:rsidRDefault="004A4D88" w:rsidP="006B1F74">
            <w:pPr>
              <w:pStyle w:val="TableCopy"/>
            </w:pPr>
            <w:r w:rsidRPr="006B1F74">
              <w:t>Livestock</w:t>
            </w:r>
            <w:r w:rsidR="00A03629" w:rsidRPr="006B1F74">
              <w:t xml:space="preserve"> </w:t>
            </w:r>
            <w:r w:rsidRPr="006B1F74">
              <w:t>Electronic</w:t>
            </w:r>
            <w:r w:rsidR="00A03629" w:rsidRPr="006B1F74">
              <w:t xml:space="preserve"> </w:t>
            </w:r>
            <w:r w:rsidRPr="006B1F74">
              <w:t>Tags</w:t>
            </w:r>
          </w:p>
        </w:tc>
        <w:tc>
          <w:tcPr>
            <w:tcW w:w="1642" w:type="dxa"/>
          </w:tcPr>
          <w:p w14:paraId="0D5110F8" w14:textId="0E47004B" w:rsidR="000756EB" w:rsidRPr="006B1F74" w:rsidRDefault="004A4D88" w:rsidP="00DE6598">
            <w:pPr>
              <w:pStyle w:val="TableCopy"/>
              <w:jc w:val="right"/>
            </w:pPr>
            <w:r w:rsidRPr="006B1F74">
              <w:t>4,378</w:t>
            </w:r>
          </w:p>
        </w:tc>
        <w:tc>
          <w:tcPr>
            <w:tcW w:w="1642" w:type="dxa"/>
          </w:tcPr>
          <w:p w14:paraId="7A04AC4B" w14:textId="54E2ECE6" w:rsidR="000756EB" w:rsidRPr="006B1F74" w:rsidRDefault="004A4D88" w:rsidP="00DE6598">
            <w:pPr>
              <w:pStyle w:val="TableCopy"/>
              <w:jc w:val="right"/>
            </w:pPr>
            <w:r w:rsidRPr="006B1F74">
              <w:t>11,582</w:t>
            </w:r>
          </w:p>
        </w:tc>
      </w:tr>
      <w:tr w:rsidR="000756EB" w:rsidRPr="006B1F74" w14:paraId="02E5BBF7" w14:textId="77777777" w:rsidTr="006B1F74">
        <w:trPr>
          <w:trHeight w:val="113"/>
        </w:trPr>
        <w:tc>
          <w:tcPr>
            <w:tcW w:w="6917" w:type="dxa"/>
          </w:tcPr>
          <w:p w14:paraId="1EE69671" w14:textId="1355E7B7" w:rsidR="000756EB" w:rsidRPr="006B1F74" w:rsidRDefault="004A4D88" w:rsidP="006B1F74">
            <w:pPr>
              <w:pStyle w:val="TableCopy"/>
            </w:pPr>
            <w:r w:rsidRPr="006B1F74">
              <w:t>National</w:t>
            </w:r>
            <w:r w:rsidR="00A03629" w:rsidRPr="006B1F74">
              <w:t xml:space="preserve"> </w:t>
            </w:r>
            <w:r w:rsidRPr="006B1F74">
              <w:t>Bee</w:t>
            </w:r>
            <w:r w:rsidR="00A03629" w:rsidRPr="006B1F74">
              <w:t xml:space="preserve"> </w:t>
            </w:r>
            <w:r w:rsidRPr="006B1F74">
              <w:t>Pest</w:t>
            </w:r>
            <w:r w:rsidR="00A03629" w:rsidRPr="006B1F74">
              <w:t xml:space="preserve"> </w:t>
            </w:r>
            <w:r w:rsidRPr="006B1F74">
              <w:t>Surveillance</w:t>
            </w:r>
            <w:r w:rsidR="00A03629" w:rsidRPr="006B1F74">
              <w:t xml:space="preserve"> </w:t>
            </w:r>
            <w:r w:rsidRPr="006B1F74">
              <w:t>Program</w:t>
            </w:r>
          </w:p>
        </w:tc>
        <w:tc>
          <w:tcPr>
            <w:tcW w:w="1642" w:type="dxa"/>
          </w:tcPr>
          <w:p w14:paraId="0F263BE1" w14:textId="20A7217A" w:rsidR="000756EB" w:rsidRPr="006B1F74" w:rsidRDefault="004A4D88" w:rsidP="00DE6598">
            <w:pPr>
              <w:pStyle w:val="TableCopy"/>
              <w:jc w:val="right"/>
            </w:pPr>
            <w:r w:rsidRPr="006B1F74">
              <w:t>101</w:t>
            </w:r>
          </w:p>
        </w:tc>
        <w:tc>
          <w:tcPr>
            <w:tcW w:w="1642" w:type="dxa"/>
          </w:tcPr>
          <w:p w14:paraId="48D3DD83" w14:textId="46BC0AB4" w:rsidR="000756EB" w:rsidRPr="006B1F74" w:rsidRDefault="004A4D88" w:rsidP="00DE6598">
            <w:pPr>
              <w:pStyle w:val="TableCopy"/>
              <w:jc w:val="right"/>
            </w:pPr>
            <w:r w:rsidRPr="006B1F74">
              <w:t>144</w:t>
            </w:r>
          </w:p>
        </w:tc>
      </w:tr>
      <w:tr w:rsidR="000756EB" w:rsidRPr="006B1F74" w14:paraId="1B25561B" w14:textId="77777777" w:rsidTr="006B1F74">
        <w:trPr>
          <w:trHeight w:val="113"/>
        </w:trPr>
        <w:tc>
          <w:tcPr>
            <w:tcW w:w="6917" w:type="dxa"/>
          </w:tcPr>
          <w:p w14:paraId="4268B03F" w14:textId="5FEDAFE0" w:rsidR="000756EB" w:rsidRPr="006B1F74" w:rsidRDefault="004A4D88" w:rsidP="006B1F74">
            <w:pPr>
              <w:pStyle w:val="TableCopy"/>
            </w:pPr>
            <w:r w:rsidRPr="006B1F74">
              <w:t>National</w:t>
            </w:r>
            <w:r w:rsidR="00A03629" w:rsidRPr="006B1F74">
              <w:t xml:space="preserve"> </w:t>
            </w:r>
            <w:r w:rsidRPr="006B1F74">
              <w:t>Forest</w:t>
            </w:r>
            <w:r w:rsidR="00A03629" w:rsidRPr="006B1F74">
              <w:t xml:space="preserve"> </w:t>
            </w:r>
            <w:r w:rsidRPr="006B1F74">
              <w:t>Pest</w:t>
            </w:r>
            <w:r w:rsidR="00A03629" w:rsidRPr="006B1F74">
              <w:t xml:space="preserve"> </w:t>
            </w:r>
            <w:r w:rsidRPr="006B1F74">
              <w:t>Surveillance</w:t>
            </w:r>
            <w:r w:rsidR="00A03629" w:rsidRPr="006B1F74">
              <w:t xml:space="preserve"> </w:t>
            </w:r>
            <w:r w:rsidRPr="006B1F74">
              <w:t>Program</w:t>
            </w:r>
            <w:r w:rsidR="00A03629" w:rsidRPr="006B1F74">
              <w:t xml:space="preserve"> </w:t>
            </w:r>
          </w:p>
        </w:tc>
        <w:tc>
          <w:tcPr>
            <w:tcW w:w="1642" w:type="dxa"/>
          </w:tcPr>
          <w:p w14:paraId="453E3F99" w14:textId="36F37CE0" w:rsidR="000756EB" w:rsidRPr="006B1F74" w:rsidRDefault="004A4D88" w:rsidP="00DE6598">
            <w:pPr>
              <w:pStyle w:val="TableCopy"/>
              <w:jc w:val="right"/>
            </w:pPr>
            <w:r w:rsidRPr="006B1F74">
              <w:t>5</w:t>
            </w:r>
          </w:p>
        </w:tc>
        <w:tc>
          <w:tcPr>
            <w:tcW w:w="1642" w:type="dxa"/>
          </w:tcPr>
          <w:p w14:paraId="001AB1D8" w14:textId="469B580C" w:rsidR="000756EB" w:rsidRPr="006B1F74" w:rsidRDefault="004A4D88" w:rsidP="00DE6598">
            <w:pPr>
              <w:pStyle w:val="TableCopy"/>
              <w:jc w:val="right"/>
            </w:pPr>
            <w:r w:rsidRPr="006B1F74">
              <w:t>–</w:t>
            </w:r>
          </w:p>
        </w:tc>
      </w:tr>
      <w:tr w:rsidR="000756EB" w:rsidRPr="006B1F74" w14:paraId="00F66CD1" w14:textId="77777777" w:rsidTr="006B1F74">
        <w:trPr>
          <w:trHeight w:val="113"/>
        </w:trPr>
        <w:tc>
          <w:tcPr>
            <w:tcW w:w="6917" w:type="dxa"/>
          </w:tcPr>
          <w:p w14:paraId="02650ADA" w14:textId="446D13CE" w:rsidR="000756EB" w:rsidRPr="006B1F74" w:rsidRDefault="004A4D88" w:rsidP="006B1F74">
            <w:pPr>
              <w:pStyle w:val="TableCopy"/>
            </w:pPr>
            <w:r w:rsidRPr="006B1F74">
              <w:t>New</w:t>
            </w:r>
            <w:r w:rsidR="00A03629" w:rsidRPr="006B1F74">
              <w:t xml:space="preserve"> </w:t>
            </w:r>
            <w:r w:rsidRPr="006B1F74">
              <w:t>and</w:t>
            </w:r>
            <w:r w:rsidR="00A03629" w:rsidRPr="006B1F74">
              <w:t xml:space="preserve"> </w:t>
            </w:r>
            <w:r w:rsidRPr="006B1F74">
              <w:t>Emerging</w:t>
            </w:r>
            <w:r w:rsidR="00A03629" w:rsidRPr="006B1F74">
              <w:t xml:space="preserve"> </w:t>
            </w:r>
            <w:r w:rsidRPr="006B1F74">
              <w:t>Plant</w:t>
            </w:r>
            <w:r w:rsidR="00A03629" w:rsidRPr="006B1F74">
              <w:t xml:space="preserve"> </w:t>
            </w:r>
            <w:r w:rsidRPr="006B1F74">
              <w:t>Industries</w:t>
            </w:r>
          </w:p>
        </w:tc>
        <w:tc>
          <w:tcPr>
            <w:tcW w:w="1642" w:type="dxa"/>
          </w:tcPr>
          <w:p w14:paraId="795E022B" w14:textId="508D926F" w:rsidR="000756EB" w:rsidRPr="006B1F74" w:rsidRDefault="004A4D88" w:rsidP="00DE6598">
            <w:pPr>
              <w:pStyle w:val="TableCopy"/>
              <w:jc w:val="right"/>
            </w:pPr>
            <w:r w:rsidRPr="006B1F74">
              <w:t>2</w:t>
            </w:r>
          </w:p>
        </w:tc>
        <w:tc>
          <w:tcPr>
            <w:tcW w:w="1642" w:type="dxa"/>
          </w:tcPr>
          <w:p w14:paraId="26861593" w14:textId="62379080" w:rsidR="000756EB" w:rsidRPr="006B1F74" w:rsidRDefault="004A4D88" w:rsidP="00DE6598">
            <w:pPr>
              <w:pStyle w:val="TableCopy"/>
              <w:jc w:val="right"/>
            </w:pPr>
            <w:r w:rsidRPr="006B1F74">
              <w:t>21</w:t>
            </w:r>
          </w:p>
        </w:tc>
      </w:tr>
      <w:tr w:rsidR="000756EB" w:rsidRPr="006B1F74" w14:paraId="68C435E4" w14:textId="77777777" w:rsidTr="006B1F74">
        <w:trPr>
          <w:trHeight w:val="113"/>
        </w:trPr>
        <w:tc>
          <w:tcPr>
            <w:tcW w:w="6917" w:type="dxa"/>
          </w:tcPr>
          <w:p w14:paraId="08B93B30" w14:textId="6CA21B06" w:rsidR="000756EB" w:rsidRPr="006B1F74" w:rsidRDefault="004A4D88" w:rsidP="006B1F74">
            <w:pPr>
              <w:pStyle w:val="TableCopy"/>
            </w:pPr>
            <w:r w:rsidRPr="006B1F74">
              <w:t>New</w:t>
            </w:r>
            <w:r w:rsidR="00A03629" w:rsidRPr="006B1F74">
              <w:t xml:space="preserve"> </w:t>
            </w:r>
            <w:r w:rsidRPr="006B1F74">
              <w:t>Seasonal</w:t>
            </w:r>
            <w:r w:rsidR="00A03629" w:rsidRPr="006B1F74">
              <w:t xml:space="preserve"> </w:t>
            </w:r>
            <w:r w:rsidRPr="006B1F74">
              <w:t>Agriculture</w:t>
            </w:r>
            <w:r w:rsidR="00A03629" w:rsidRPr="006B1F74">
              <w:t xml:space="preserve"> </w:t>
            </w:r>
            <w:r w:rsidRPr="006B1F74">
              <w:t>Workforce</w:t>
            </w:r>
            <w:r w:rsidR="00A03629" w:rsidRPr="006B1F74">
              <w:t xml:space="preserve"> </w:t>
            </w:r>
            <w:r w:rsidRPr="006B1F74">
              <w:t>–</w:t>
            </w:r>
            <w:r w:rsidR="00A03629" w:rsidRPr="006B1F74">
              <w:t xml:space="preserve"> </w:t>
            </w:r>
            <w:r w:rsidRPr="006B1F74">
              <w:t>Industry</w:t>
            </w:r>
            <w:r w:rsidR="00A03629" w:rsidRPr="006B1F74">
              <w:t xml:space="preserve"> </w:t>
            </w:r>
            <w:r w:rsidRPr="006B1F74">
              <w:t>Contribution</w:t>
            </w:r>
          </w:p>
        </w:tc>
        <w:tc>
          <w:tcPr>
            <w:tcW w:w="1642" w:type="dxa"/>
          </w:tcPr>
          <w:p w14:paraId="452048D3" w14:textId="4EC4FAC3" w:rsidR="000756EB" w:rsidRPr="006B1F74" w:rsidRDefault="004A4D88" w:rsidP="00DE6598">
            <w:pPr>
              <w:pStyle w:val="TableCopy"/>
              <w:jc w:val="right"/>
            </w:pPr>
            <w:r w:rsidRPr="006B1F74">
              <w:t>–</w:t>
            </w:r>
          </w:p>
        </w:tc>
        <w:tc>
          <w:tcPr>
            <w:tcW w:w="1642" w:type="dxa"/>
          </w:tcPr>
          <w:p w14:paraId="0296A853" w14:textId="75D4E666" w:rsidR="000756EB" w:rsidRPr="006B1F74" w:rsidRDefault="004A4D88" w:rsidP="00DE6598">
            <w:pPr>
              <w:pStyle w:val="TableCopy"/>
              <w:jc w:val="right"/>
            </w:pPr>
            <w:r w:rsidRPr="006B1F74">
              <w:t>1,970</w:t>
            </w:r>
          </w:p>
        </w:tc>
      </w:tr>
      <w:tr w:rsidR="000756EB" w:rsidRPr="006B1F74" w14:paraId="3D2DF220" w14:textId="77777777" w:rsidTr="006B1F74">
        <w:trPr>
          <w:trHeight w:val="113"/>
        </w:trPr>
        <w:tc>
          <w:tcPr>
            <w:tcW w:w="6917" w:type="dxa"/>
          </w:tcPr>
          <w:p w14:paraId="4A545F72" w14:textId="33B39D40" w:rsidR="000756EB" w:rsidRPr="006B1F74" w:rsidRDefault="004A4D88" w:rsidP="006B1F74">
            <w:pPr>
              <w:pStyle w:val="TableCopy"/>
            </w:pPr>
            <w:r w:rsidRPr="006B1F74">
              <w:t>Paper</w:t>
            </w:r>
            <w:r w:rsidR="00A03629" w:rsidRPr="006B1F74">
              <w:t xml:space="preserve"> </w:t>
            </w:r>
            <w:r w:rsidRPr="006B1F74">
              <w:t>Australia</w:t>
            </w:r>
            <w:r w:rsidR="00A03629" w:rsidRPr="006B1F74">
              <w:t xml:space="preserve"> </w:t>
            </w:r>
            <w:r w:rsidRPr="006B1F74">
              <w:t>Pulpwood</w:t>
            </w:r>
            <w:r w:rsidR="00A03629" w:rsidRPr="006B1F74">
              <w:t xml:space="preserve"> </w:t>
            </w:r>
            <w:r w:rsidRPr="006B1F74">
              <w:t>Agreement</w:t>
            </w:r>
          </w:p>
        </w:tc>
        <w:tc>
          <w:tcPr>
            <w:tcW w:w="1642" w:type="dxa"/>
          </w:tcPr>
          <w:p w14:paraId="21DE6D4F" w14:textId="72F6130C" w:rsidR="000756EB" w:rsidRPr="006B1F74" w:rsidRDefault="004A4D88" w:rsidP="00DE6598">
            <w:pPr>
              <w:pStyle w:val="TableCopy"/>
              <w:jc w:val="right"/>
            </w:pPr>
            <w:r w:rsidRPr="006B1F74">
              <w:t>–</w:t>
            </w:r>
          </w:p>
        </w:tc>
        <w:tc>
          <w:tcPr>
            <w:tcW w:w="1642" w:type="dxa"/>
          </w:tcPr>
          <w:p w14:paraId="6D1441D1" w14:textId="6545B788" w:rsidR="000756EB" w:rsidRPr="006B1F74" w:rsidRDefault="004A4D88" w:rsidP="00DE6598">
            <w:pPr>
              <w:pStyle w:val="TableCopy"/>
              <w:jc w:val="right"/>
            </w:pPr>
            <w:r w:rsidRPr="006B1F74">
              <w:t>28,356</w:t>
            </w:r>
          </w:p>
        </w:tc>
      </w:tr>
      <w:tr w:rsidR="000756EB" w:rsidRPr="006B1F74" w14:paraId="2718C69B" w14:textId="77777777" w:rsidTr="006B1F74">
        <w:trPr>
          <w:trHeight w:val="113"/>
        </w:trPr>
        <w:tc>
          <w:tcPr>
            <w:tcW w:w="6917" w:type="dxa"/>
          </w:tcPr>
          <w:p w14:paraId="26AE9190" w14:textId="4DC4CB91" w:rsidR="000756EB" w:rsidRPr="006B1F74" w:rsidRDefault="004A4D88" w:rsidP="006B1F74">
            <w:pPr>
              <w:pStyle w:val="TableCopy"/>
            </w:pPr>
            <w:r w:rsidRPr="006B1F74">
              <w:lastRenderedPageBreak/>
              <w:t>Pest</w:t>
            </w:r>
            <w:r w:rsidR="00A03629" w:rsidRPr="006B1F74">
              <w:t xml:space="preserve"> </w:t>
            </w:r>
            <w:r w:rsidRPr="006B1F74">
              <w:t>and</w:t>
            </w:r>
            <w:r w:rsidR="00A03629" w:rsidRPr="006B1F74">
              <w:t xml:space="preserve"> </w:t>
            </w:r>
            <w:r w:rsidRPr="006B1F74">
              <w:t>Disease</w:t>
            </w:r>
            <w:r w:rsidR="00A03629" w:rsidRPr="006B1F74">
              <w:t xml:space="preserve"> </w:t>
            </w:r>
            <w:r w:rsidRPr="006B1F74">
              <w:t>Preparedness</w:t>
            </w:r>
            <w:r w:rsidR="00A03629" w:rsidRPr="006B1F74">
              <w:t xml:space="preserve"> </w:t>
            </w:r>
            <w:r w:rsidRPr="006B1F74">
              <w:t>and</w:t>
            </w:r>
            <w:r w:rsidR="00A03629" w:rsidRPr="006B1F74">
              <w:t xml:space="preserve"> </w:t>
            </w:r>
            <w:r w:rsidRPr="006B1F74">
              <w:t>Response</w:t>
            </w:r>
            <w:r w:rsidR="00A03629" w:rsidRPr="006B1F74">
              <w:t xml:space="preserve"> </w:t>
            </w:r>
            <w:r w:rsidRPr="006B1F74">
              <w:t>program</w:t>
            </w:r>
          </w:p>
        </w:tc>
        <w:tc>
          <w:tcPr>
            <w:tcW w:w="1642" w:type="dxa"/>
          </w:tcPr>
          <w:p w14:paraId="12131649" w14:textId="6C23C524" w:rsidR="000756EB" w:rsidRPr="006B1F74" w:rsidRDefault="004A4D88" w:rsidP="00DE6598">
            <w:pPr>
              <w:pStyle w:val="TableCopy"/>
              <w:jc w:val="right"/>
            </w:pPr>
            <w:r w:rsidRPr="006B1F74">
              <w:t>–</w:t>
            </w:r>
          </w:p>
        </w:tc>
        <w:tc>
          <w:tcPr>
            <w:tcW w:w="1642" w:type="dxa"/>
          </w:tcPr>
          <w:p w14:paraId="014AA140" w14:textId="334ED829" w:rsidR="000756EB" w:rsidRPr="006B1F74" w:rsidRDefault="004A4D88" w:rsidP="00DE6598">
            <w:pPr>
              <w:pStyle w:val="TableCopy"/>
              <w:jc w:val="right"/>
            </w:pPr>
            <w:r w:rsidRPr="006B1F74">
              <w:t>1,258</w:t>
            </w:r>
          </w:p>
        </w:tc>
      </w:tr>
      <w:tr w:rsidR="000756EB" w:rsidRPr="006B1F74" w14:paraId="03F8832C" w14:textId="77777777" w:rsidTr="006B1F74">
        <w:trPr>
          <w:trHeight w:val="113"/>
        </w:trPr>
        <w:tc>
          <w:tcPr>
            <w:tcW w:w="6917" w:type="dxa"/>
          </w:tcPr>
          <w:p w14:paraId="7C87DE2E" w14:textId="44C915BE" w:rsidR="000756EB" w:rsidRPr="006B1F74" w:rsidRDefault="004A4D88" w:rsidP="006B1F74">
            <w:pPr>
              <w:pStyle w:val="TableCopy"/>
            </w:pPr>
            <w:r w:rsidRPr="006B1F74">
              <w:t>Research</w:t>
            </w:r>
            <w:r w:rsidR="00A03629" w:rsidRPr="006B1F74">
              <w:t xml:space="preserve"> </w:t>
            </w:r>
            <w:r w:rsidRPr="006B1F74">
              <w:t>Activities</w:t>
            </w:r>
            <w:r w:rsidR="00A03629" w:rsidRPr="006B1F74">
              <w:t xml:space="preserve"> </w:t>
            </w:r>
            <w:r w:rsidRPr="006B1F74">
              <w:t>for</w:t>
            </w:r>
            <w:r w:rsidR="00A03629" w:rsidRPr="006B1F74">
              <w:t xml:space="preserve"> </w:t>
            </w:r>
            <w:r w:rsidRPr="006B1F74">
              <w:t>University</w:t>
            </w:r>
            <w:r w:rsidR="00A03629" w:rsidRPr="006B1F74">
              <w:t xml:space="preserve"> </w:t>
            </w:r>
            <w:r w:rsidRPr="006B1F74">
              <w:t>of</w:t>
            </w:r>
            <w:r w:rsidR="00A03629" w:rsidRPr="006B1F74">
              <w:t xml:space="preserve"> </w:t>
            </w:r>
            <w:r w:rsidRPr="006B1F74">
              <w:t>Melbourne</w:t>
            </w:r>
          </w:p>
        </w:tc>
        <w:tc>
          <w:tcPr>
            <w:tcW w:w="1642" w:type="dxa"/>
          </w:tcPr>
          <w:p w14:paraId="0363870F" w14:textId="67CFAB3A" w:rsidR="000756EB" w:rsidRPr="006B1F74" w:rsidRDefault="004A4D88" w:rsidP="00DE6598">
            <w:pPr>
              <w:pStyle w:val="TableCopy"/>
              <w:jc w:val="right"/>
            </w:pPr>
            <w:r w:rsidRPr="006B1F74">
              <w:t>–</w:t>
            </w:r>
          </w:p>
        </w:tc>
        <w:tc>
          <w:tcPr>
            <w:tcW w:w="1642" w:type="dxa"/>
          </w:tcPr>
          <w:p w14:paraId="1C40FB61" w14:textId="24E8C363" w:rsidR="000756EB" w:rsidRPr="006B1F74" w:rsidRDefault="004A4D88" w:rsidP="00DE6598">
            <w:pPr>
              <w:pStyle w:val="TableCopy"/>
              <w:jc w:val="right"/>
            </w:pPr>
            <w:r w:rsidRPr="006B1F74">
              <w:t>88</w:t>
            </w:r>
          </w:p>
        </w:tc>
      </w:tr>
      <w:tr w:rsidR="000756EB" w:rsidRPr="006B1F74" w14:paraId="6687F256" w14:textId="77777777" w:rsidTr="006B1F74">
        <w:trPr>
          <w:trHeight w:val="113"/>
        </w:trPr>
        <w:tc>
          <w:tcPr>
            <w:tcW w:w="6917" w:type="dxa"/>
          </w:tcPr>
          <w:p w14:paraId="6FCCD4AC" w14:textId="75F96B62" w:rsidR="000756EB" w:rsidRPr="006B1F74" w:rsidRDefault="004A4D88" w:rsidP="006B1F74">
            <w:pPr>
              <w:pStyle w:val="TableCopy"/>
            </w:pPr>
            <w:r w:rsidRPr="006B1F74">
              <w:t>Research</w:t>
            </w:r>
            <w:r w:rsidR="00A03629" w:rsidRPr="006B1F74">
              <w:t xml:space="preserve"> </w:t>
            </w:r>
            <w:r w:rsidRPr="006B1F74">
              <w:t>and</w:t>
            </w:r>
            <w:r w:rsidR="00A03629" w:rsidRPr="006B1F74">
              <w:t xml:space="preserve"> </w:t>
            </w:r>
            <w:r w:rsidRPr="006B1F74">
              <w:t>Development</w:t>
            </w:r>
            <w:r w:rsidR="00A03629" w:rsidRPr="006B1F74">
              <w:t xml:space="preserve"> </w:t>
            </w:r>
            <w:r w:rsidRPr="006B1F74">
              <w:t>Corporations</w:t>
            </w:r>
            <w:r w:rsidR="00A03629" w:rsidRPr="006B1F74">
              <w:t xml:space="preserve"> </w:t>
            </w:r>
            <w:r w:rsidRPr="006B1F74">
              <w:t>Contributions</w:t>
            </w:r>
          </w:p>
        </w:tc>
        <w:tc>
          <w:tcPr>
            <w:tcW w:w="1642" w:type="dxa"/>
          </w:tcPr>
          <w:p w14:paraId="2007B256" w14:textId="109C7559" w:rsidR="000756EB" w:rsidRPr="006B1F74" w:rsidRDefault="004A4D88" w:rsidP="00DE6598">
            <w:pPr>
              <w:pStyle w:val="TableCopy"/>
              <w:jc w:val="right"/>
            </w:pPr>
            <w:r w:rsidRPr="006B1F74">
              <w:t>11,721</w:t>
            </w:r>
          </w:p>
        </w:tc>
        <w:tc>
          <w:tcPr>
            <w:tcW w:w="1642" w:type="dxa"/>
          </w:tcPr>
          <w:p w14:paraId="62515DCA" w14:textId="5D4E9CA4" w:rsidR="000756EB" w:rsidRPr="006B1F74" w:rsidRDefault="004A4D88" w:rsidP="00DE6598">
            <w:pPr>
              <w:pStyle w:val="TableCopy"/>
              <w:jc w:val="right"/>
            </w:pPr>
            <w:r w:rsidRPr="006B1F74">
              <w:t>30,427</w:t>
            </w:r>
          </w:p>
        </w:tc>
      </w:tr>
      <w:tr w:rsidR="000756EB" w:rsidRPr="006B1F74" w14:paraId="7E29670B" w14:textId="77777777" w:rsidTr="006B1F74">
        <w:trPr>
          <w:trHeight w:val="113"/>
        </w:trPr>
        <w:tc>
          <w:tcPr>
            <w:tcW w:w="6917" w:type="dxa"/>
          </w:tcPr>
          <w:p w14:paraId="0868B2EC" w14:textId="3ABB8A14" w:rsidR="000756EB" w:rsidRPr="006B1F74" w:rsidRDefault="004A4D88" w:rsidP="006B1F74">
            <w:pPr>
              <w:pStyle w:val="TableCopy"/>
            </w:pPr>
            <w:r w:rsidRPr="006B1F74">
              <w:t>Research</w:t>
            </w:r>
            <w:r w:rsidR="00A03629" w:rsidRPr="006B1F74">
              <w:t xml:space="preserve"> </w:t>
            </w:r>
            <w:r w:rsidRPr="006B1F74">
              <w:t>and</w:t>
            </w:r>
            <w:r w:rsidR="00A03629" w:rsidRPr="006B1F74">
              <w:t xml:space="preserve"> </w:t>
            </w:r>
            <w:r w:rsidRPr="006B1F74">
              <w:t>Experimental</w:t>
            </w:r>
            <w:r w:rsidR="00A03629" w:rsidRPr="006B1F74">
              <w:t xml:space="preserve"> </w:t>
            </w:r>
            <w:r w:rsidRPr="006B1F74">
              <w:t>Projects</w:t>
            </w:r>
            <w:r w:rsidR="00A03629" w:rsidRPr="006B1F74">
              <w:t xml:space="preserve"> </w:t>
            </w:r>
            <w:r w:rsidRPr="006B1F74">
              <w:t>–</w:t>
            </w:r>
            <w:r w:rsidR="00A03629" w:rsidRPr="006B1F74">
              <w:t xml:space="preserve"> </w:t>
            </w:r>
            <w:r w:rsidRPr="006B1F74">
              <w:t>Industry</w:t>
            </w:r>
            <w:r w:rsidR="00A03629" w:rsidRPr="006B1F74">
              <w:t xml:space="preserve"> </w:t>
            </w:r>
            <w:r w:rsidRPr="006B1F74">
              <w:t>Contributions</w:t>
            </w:r>
          </w:p>
        </w:tc>
        <w:tc>
          <w:tcPr>
            <w:tcW w:w="1642" w:type="dxa"/>
          </w:tcPr>
          <w:p w14:paraId="33A4CDDE" w14:textId="2BDC1A18" w:rsidR="000756EB" w:rsidRPr="006B1F74" w:rsidRDefault="004A4D88" w:rsidP="00DE6598">
            <w:pPr>
              <w:pStyle w:val="TableCopy"/>
              <w:jc w:val="right"/>
            </w:pPr>
            <w:r w:rsidRPr="006B1F74">
              <w:t>3,664</w:t>
            </w:r>
          </w:p>
        </w:tc>
        <w:tc>
          <w:tcPr>
            <w:tcW w:w="1642" w:type="dxa"/>
          </w:tcPr>
          <w:p w14:paraId="547A9816" w14:textId="35E1CE61" w:rsidR="000756EB" w:rsidRPr="006B1F74" w:rsidRDefault="004A4D88" w:rsidP="00DE6598">
            <w:pPr>
              <w:pStyle w:val="TableCopy"/>
              <w:jc w:val="right"/>
            </w:pPr>
            <w:r w:rsidRPr="006B1F74">
              <w:t>7,294</w:t>
            </w:r>
          </w:p>
        </w:tc>
      </w:tr>
      <w:tr w:rsidR="000756EB" w:rsidRPr="006B1F74" w14:paraId="7F8880DE" w14:textId="77777777" w:rsidTr="006B1F74">
        <w:trPr>
          <w:trHeight w:val="113"/>
        </w:trPr>
        <w:tc>
          <w:tcPr>
            <w:tcW w:w="6917" w:type="dxa"/>
          </w:tcPr>
          <w:p w14:paraId="15631626" w14:textId="3DA40980" w:rsidR="000756EB" w:rsidRPr="006B1F74" w:rsidRDefault="004A4D88" w:rsidP="006B1F74">
            <w:pPr>
              <w:pStyle w:val="TableCopy"/>
            </w:pPr>
            <w:r w:rsidRPr="006B1F74">
              <w:t>Seafood</w:t>
            </w:r>
            <w:r w:rsidR="00A03629" w:rsidRPr="006B1F74">
              <w:t xml:space="preserve"> </w:t>
            </w:r>
            <w:r w:rsidRPr="006B1F74">
              <w:t>Industry</w:t>
            </w:r>
            <w:r w:rsidR="00A03629" w:rsidRPr="006B1F74">
              <w:t xml:space="preserve"> </w:t>
            </w:r>
            <w:r w:rsidRPr="006B1F74">
              <w:t>Bodies</w:t>
            </w:r>
            <w:r w:rsidR="00A03629" w:rsidRPr="006B1F74">
              <w:t xml:space="preserve"> </w:t>
            </w:r>
            <w:r w:rsidRPr="006B1F74">
              <w:t>Levy</w:t>
            </w:r>
          </w:p>
        </w:tc>
        <w:tc>
          <w:tcPr>
            <w:tcW w:w="1642" w:type="dxa"/>
          </w:tcPr>
          <w:p w14:paraId="15555ABE" w14:textId="32B739E7" w:rsidR="000756EB" w:rsidRPr="006B1F74" w:rsidRDefault="004A4D88" w:rsidP="00DE6598">
            <w:pPr>
              <w:pStyle w:val="TableCopy"/>
              <w:jc w:val="right"/>
            </w:pPr>
            <w:r w:rsidRPr="006B1F74">
              <w:t>840</w:t>
            </w:r>
          </w:p>
        </w:tc>
        <w:tc>
          <w:tcPr>
            <w:tcW w:w="1642" w:type="dxa"/>
          </w:tcPr>
          <w:p w14:paraId="0686E193" w14:textId="23C6AE60" w:rsidR="000756EB" w:rsidRPr="006B1F74" w:rsidRDefault="004A4D88" w:rsidP="00DE6598">
            <w:pPr>
              <w:pStyle w:val="TableCopy"/>
              <w:jc w:val="right"/>
            </w:pPr>
            <w:r w:rsidRPr="006B1F74">
              <w:t>–</w:t>
            </w:r>
          </w:p>
        </w:tc>
      </w:tr>
      <w:tr w:rsidR="000756EB" w:rsidRPr="006B1F74" w14:paraId="238B7C74" w14:textId="77777777" w:rsidTr="006B1F74">
        <w:trPr>
          <w:trHeight w:val="113"/>
        </w:trPr>
        <w:tc>
          <w:tcPr>
            <w:tcW w:w="6917" w:type="dxa"/>
          </w:tcPr>
          <w:p w14:paraId="32C4B4E4" w14:textId="5586A117" w:rsidR="000756EB" w:rsidRPr="006B1F74" w:rsidRDefault="004A4D88" w:rsidP="006B1F74">
            <w:pPr>
              <w:pStyle w:val="TableCopy"/>
            </w:pPr>
            <w:r w:rsidRPr="006B1F74">
              <w:t>Victorian</w:t>
            </w:r>
            <w:r w:rsidR="00A03629" w:rsidRPr="006B1F74">
              <w:t xml:space="preserve"> </w:t>
            </w:r>
            <w:r w:rsidRPr="006B1F74">
              <w:t>Racing</w:t>
            </w:r>
            <w:r w:rsidR="00A03629" w:rsidRPr="006B1F74">
              <w:t xml:space="preserve"> </w:t>
            </w:r>
            <w:r w:rsidRPr="006B1F74">
              <w:t>Tribunal</w:t>
            </w:r>
            <w:r w:rsidR="00A03629" w:rsidRPr="006B1F74">
              <w:t xml:space="preserve"> </w:t>
            </w:r>
            <w:r w:rsidRPr="006B1F74">
              <w:t>(VRT)</w:t>
            </w:r>
            <w:r w:rsidR="00A03629" w:rsidRPr="006B1F74">
              <w:t xml:space="preserve"> </w:t>
            </w:r>
            <w:r w:rsidRPr="006B1F74">
              <w:t>and</w:t>
            </w:r>
            <w:r w:rsidR="00A03629" w:rsidRPr="006B1F74">
              <w:t xml:space="preserve"> </w:t>
            </w:r>
            <w:r w:rsidRPr="006B1F74">
              <w:t>the</w:t>
            </w:r>
            <w:r w:rsidR="00A03629" w:rsidRPr="006B1F74">
              <w:t xml:space="preserve"> </w:t>
            </w:r>
            <w:r w:rsidRPr="006B1F74">
              <w:t>Victorian</w:t>
            </w:r>
            <w:r w:rsidR="00A03629" w:rsidRPr="006B1F74">
              <w:t xml:space="preserve"> </w:t>
            </w:r>
            <w:r w:rsidRPr="006B1F74">
              <w:t>Racing</w:t>
            </w:r>
            <w:r w:rsidR="00A03629" w:rsidRPr="006B1F74">
              <w:t xml:space="preserve"> </w:t>
            </w:r>
            <w:r w:rsidRPr="006B1F74">
              <w:t>Integrity</w:t>
            </w:r>
            <w:r w:rsidR="00A03629" w:rsidRPr="006B1F74">
              <w:t xml:space="preserve"> </w:t>
            </w:r>
            <w:r w:rsidRPr="006B1F74">
              <w:t>Board</w:t>
            </w:r>
            <w:r w:rsidR="00A03629" w:rsidRPr="006B1F74">
              <w:t xml:space="preserve"> </w:t>
            </w:r>
            <w:r w:rsidRPr="006B1F74">
              <w:t>(VRIB)</w:t>
            </w:r>
          </w:p>
        </w:tc>
        <w:tc>
          <w:tcPr>
            <w:tcW w:w="1642" w:type="dxa"/>
          </w:tcPr>
          <w:p w14:paraId="3F5C6C90" w14:textId="181C6B39" w:rsidR="000756EB" w:rsidRPr="006B1F74" w:rsidRDefault="004A4D88" w:rsidP="00DE6598">
            <w:pPr>
              <w:pStyle w:val="TableCopy"/>
              <w:jc w:val="right"/>
            </w:pPr>
            <w:r w:rsidRPr="006B1F74">
              <w:t>579</w:t>
            </w:r>
          </w:p>
        </w:tc>
        <w:tc>
          <w:tcPr>
            <w:tcW w:w="1642" w:type="dxa"/>
          </w:tcPr>
          <w:p w14:paraId="57BDB311" w14:textId="154A3516" w:rsidR="000756EB" w:rsidRPr="006B1F74" w:rsidRDefault="004A4D88" w:rsidP="00DE6598">
            <w:pPr>
              <w:pStyle w:val="TableCopy"/>
              <w:jc w:val="right"/>
            </w:pPr>
            <w:r w:rsidRPr="006B1F74">
              <w:t>1,041</w:t>
            </w:r>
          </w:p>
        </w:tc>
      </w:tr>
      <w:tr w:rsidR="000756EB" w:rsidRPr="006B1F74" w14:paraId="15F238FB" w14:textId="77777777" w:rsidTr="006B1F74">
        <w:trPr>
          <w:trHeight w:val="113"/>
        </w:trPr>
        <w:tc>
          <w:tcPr>
            <w:tcW w:w="6917" w:type="dxa"/>
          </w:tcPr>
          <w:p w14:paraId="3932297C" w14:textId="77777777" w:rsidR="000756EB" w:rsidRPr="006B1F74" w:rsidRDefault="000756EB" w:rsidP="006B1F74">
            <w:pPr>
              <w:pStyle w:val="TableCopy"/>
              <w:rPr>
                <w:b/>
                <w:bCs/>
              </w:rPr>
            </w:pPr>
          </w:p>
        </w:tc>
        <w:tc>
          <w:tcPr>
            <w:tcW w:w="1642" w:type="dxa"/>
          </w:tcPr>
          <w:p w14:paraId="546E4E7D" w14:textId="5AE35C7D" w:rsidR="000756EB" w:rsidRPr="006B1F74" w:rsidRDefault="004A4D88" w:rsidP="00DE6598">
            <w:pPr>
              <w:pStyle w:val="TableCopy"/>
              <w:jc w:val="right"/>
              <w:rPr>
                <w:b/>
                <w:bCs/>
              </w:rPr>
            </w:pPr>
            <w:r w:rsidRPr="006B1F74">
              <w:rPr>
                <w:b/>
                <w:bCs/>
              </w:rPr>
              <w:t>28,067</w:t>
            </w:r>
          </w:p>
        </w:tc>
        <w:tc>
          <w:tcPr>
            <w:tcW w:w="1642" w:type="dxa"/>
          </w:tcPr>
          <w:p w14:paraId="26C60673" w14:textId="5F601CE5" w:rsidR="000756EB" w:rsidRPr="006B1F74" w:rsidRDefault="004A4D88" w:rsidP="00DE6598">
            <w:pPr>
              <w:pStyle w:val="TableCopy"/>
              <w:jc w:val="right"/>
              <w:rPr>
                <w:b/>
                <w:bCs/>
              </w:rPr>
            </w:pPr>
            <w:r w:rsidRPr="006B1F74">
              <w:rPr>
                <w:b/>
                <w:bCs/>
              </w:rPr>
              <w:t>86,778</w:t>
            </w:r>
          </w:p>
        </w:tc>
      </w:tr>
      <w:tr w:rsidR="000756EB" w:rsidRPr="006B1F74" w14:paraId="69DA9E4A" w14:textId="77777777" w:rsidTr="006B1F74">
        <w:trPr>
          <w:trHeight w:val="113"/>
        </w:trPr>
        <w:tc>
          <w:tcPr>
            <w:tcW w:w="6917" w:type="dxa"/>
          </w:tcPr>
          <w:p w14:paraId="0880A870" w14:textId="66F80AE8" w:rsidR="000756EB" w:rsidRPr="006B1F74" w:rsidRDefault="004A4D88" w:rsidP="006B1F74">
            <w:pPr>
              <w:pStyle w:val="TableHeading"/>
            </w:pPr>
            <w:r w:rsidRPr="006B1F74">
              <w:t>Commonwealth</w:t>
            </w:r>
            <w:r w:rsidR="00A03629" w:rsidRPr="006B1F74">
              <w:t xml:space="preserve"> </w:t>
            </w:r>
            <w:r w:rsidRPr="006B1F74">
              <w:t>payments</w:t>
            </w:r>
          </w:p>
        </w:tc>
        <w:tc>
          <w:tcPr>
            <w:tcW w:w="1642" w:type="dxa"/>
          </w:tcPr>
          <w:p w14:paraId="4ACA8D74" w14:textId="77777777" w:rsidR="000756EB" w:rsidRPr="006B1F74" w:rsidRDefault="000756EB" w:rsidP="00DE6598">
            <w:pPr>
              <w:pStyle w:val="TableHeading"/>
              <w:jc w:val="right"/>
            </w:pPr>
          </w:p>
        </w:tc>
        <w:tc>
          <w:tcPr>
            <w:tcW w:w="1642" w:type="dxa"/>
          </w:tcPr>
          <w:p w14:paraId="57A180E4" w14:textId="77777777" w:rsidR="000756EB" w:rsidRPr="006B1F74" w:rsidRDefault="000756EB" w:rsidP="00DE6598">
            <w:pPr>
              <w:pStyle w:val="TableHeading"/>
              <w:jc w:val="right"/>
            </w:pPr>
          </w:p>
        </w:tc>
      </w:tr>
      <w:tr w:rsidR="000756EB" w:rsidRPr="006B1F74" w14:paraId="44DB3A94" w14:textId="77777777" w:rsidTr="006B1F74">
        <w:trPr>
          <w:trHeight w:val="113"/>
        </w:trPr>
        <w:tc>
          <w:tcPr>
            <w:tcW w:w="6917" w:type="dxa"/>
          </w:tcPr>
          <w:p w14:paraId="02F77991" w14:textId="209D8A0E" w:rsidR="000756EB" w:rsidRPr="006B1F74" w:rsidRDefault="004A4D88" w:rsidP="006B1F74">
            <w:pPr>
              <w:pStyle w:val="TableCopy"/>
            </w:pPr>
            <w:r w:rsidRPr="006B1F74">
              <w:t>Albury</w:t>
            </w:r>
            <w:r w:rsidR="00A03629" w:rsidRPr="006B1F74">
              <w:t xml:space="preserve"> </w:t>
            </w:r>
            <w:r w:rsidRPr="006B1F74">
              <w:t>Wodonga</w:t>
            </w:r>
            <w:r w:rsidR="00A03629" w:rsidRPr="006B1F74">
              <w:t xml:space="preserve"> </w:t>
            </w:r>
            <w:r w:rsidRPr="006B1F74">
              <w:t>Regional</w:t>
            </w:r>
            <w:r w:rsidR="00A03629" w:rsidRPr="006B1F74">
              <w:t xml:space="preserve"> </w:t>
            </w:r>
            <w:r w:rsidRPr="006B1F74">
              <w:t>Deal</w:t>
            </w:r>
          </w:p>
        </w:tc>
        <w:tc>
          <w:tcPr>
            <w:tcW w:w="1642" w:type="dxa"/>
          </w:tcPr>
          <w:p w14:paraId="6AFF6CBD" w14:textId="05417634" w:rsidR="000756EB" w:rsidRPr="006B1F74" w:rsidRDefault="004A4D88" w:rsidP="00DE6598">
            <w:pPr>
              <w:pStyle w:val="TableCopy"/>
              <w:jc w:val="right"/>
            </w:pPr>
            <w:r w:rsidRPr="006B1F74">
              <w:t>1,450</w:t>
            </w:r>
          </w:p>
        </w:tc>
        <w:tc>
          <w:tcPr>
            <w:tcW w:w="1642" w:type="dxa"/>
          </w:tcPr>
          <w:p w14:paraId="63FB9049" w14:textId="3B6069C7" w:rsidR="000756EB" w:rsidRPr="006B1F74" w:rsidRDefault="004A4D88" w:rsidP="00DE6598">
            <w:pPr>
              <w:pStyle w:val="TableCopy"/>
              <w:jc w:val="right"/>
            </w:pPr>
            <w:r w:rsidRPr="006B1F74">
              <w:t>215</w:t>
            </w:r>
          </w:p>
        </w:tc>
      </w:tr>
      <w:tr w:rsidR="000756EB" w:rsidRPr="006B1F74" w14:paraId="3A79987A" w14:textId="77777777" w:rsidTr="006B1F74">
        <w:trPr>
          <w:trHeight w:val="113"/>
        </w:trPr>
        <w:tc>
          <w:tcPr>
            <w:tcW w:w="6917" w:type="dxa"/>
          </w:tcPr>
          <w:p w14:paraId="2963157C" w14:textId="4039CCD8" w:rsidR="000756EB" w:rsidRPr="006B1F74" w:rsidRDefault="004A4D88" w:rsidP="006B1F74">
            <w:pPr>
              <w:pStyle w:val="TableCopy"/>
            </w:pPr>
            <w:r w:rsidRPr="006B1F74">
              <w:t>Australian</w:t>
            </w:r>
            <w:r w:rsidR="00A03629" w:rsidRPr="006B1F74">
              <w:t xml:space="preserve"> </w:t>
            </w:r>
            <w:proofErr w:type="spellStart"/>
            <w:r w:rsidRPr="006B1F74">
              <w:t>Teletrial</w:t>
            </w:r>
            <w:proofErr w:type="spellEnd"/>
            <w:r w:rsidR="00A03629" w:rsidRPr="006B1F74">
              <w:t xml:space="preserve"> </w:t>
            </w:r>
            <w:r w:rsidRPr="006B1F74">
              <w:t>Program</w:t>
            </w:r>
          </w:p>
        </w:tc>
        <w:tc>
          <w:tcPr>
            <w:tcW w:w="1642" w:type="dxa"/>
          </w:tcPr>
          <w:p w14:paraId="593C0818" w14:textId="7CC6DCAB" w:rsidR="000756EB" w:rsidRPr="006B1F74" w:rsidRDefault="004A4D88" w:rsidP="00DE6598">
            <w:pPr>
              <w:pStyle w:val="TableCopy"/>
              <w:jc w:val="right"/>
            </w:pPr>
            <w:r w:rsidRPr="006B1F74">
              <w:t>1,365</w:t>
            </w:r>
          </w:p>
        </w:tc>
        <w:tc>
          <w:tcPr>
            <w:tcW w:w="1642" w:type="dxa"/>
          </w:tcPr>
          <w:p w14:paraId="6F0F5696" w14:textId="740C831B" w:rsidR="000756EB" w:rsidRPr="006B1F74" w:rsidRDefault="004A4D88" w:rsidP="00DE6598">
            <w:pPr>
              <w:pStyle w:val="TableCopy"/>
              <w:jc w:val="right"/>
            </w:pPr>
            <w:r w:rsidRPr="006B1F74">
              <w:t>1,241</w:t>
            </w:r>
          </w:p>
        </w:tc>
      </w:tr>
      <w:tr w:rsidR="000756EB" w:rsidRPr="006B1F74" w14:paraId="5766458D" w14:textId="77777777" w:rsidTr="006B1F74">
        <w:trPr>
          <w:trHeight w:val="113"/>
        </w:trPr>
        <w:tc>
          <w:tcPr>
            <w:tcW w:w="6917" w:type="dxa"/>
          </w:tcPr>
          <w:p w14:paraId="65DB4E05" w14:textId="7EE25732" w:rsidR="000756EB" w:rsidRPr="006B1F74" w:rsidRDefault="004A4D88" w:rsidP="006B1F74">
            <w:pPr>
              <w:pStyle w:val="TableCopy"/>
            </w:pPr>
            <w:r w:rsidRPr="006B1F74">
              <w:t>Dairy</w:t>
            </w:r>
            <w:r w:rsidR="00A03629" w:rsidRPr="006B1F74">
              <w:t xml:space="preserve"> </w:t>
            </w:r>
            <w:r w:rsidRPr="006B1F74">
              <w:t>Sector</w:t>
            </w:r>
            <w:r w:rsidR="00A03629" w:rsidRPr="006B1F74">
              <w:t xml:space="preserve"> </w:t>
            </w:r>
            <w:r w:rsidRPr="006B1F74">
              <w:t>Digital</w:t>
            </w:r>
            <w:r w:rsidR="00A03629" w:rsidRPr="006B1F74">
              <w:t xml:space="preserve"> </w:t>
            </w:r>
            <w:r w:rsidRPr="006B1F74">
              <w:t>Export</w:t>
            </w:r>
            <w:r w:rsidR="00A03629" w:rsidRPr="006B1F74">
              <w:t xml:space="preserve"> </w:t>
            </w:r>
            <w:r w:rsidRPr="006B1F74">
              <w:t>Risk</w:t>
            </w:r>
            <w:r w:rsidR="00A03629" w:rsidRPr="006B1F74">
              <w:t xml:space="preserve"> </w:t>
            </w:r>
            <w:r w:rsidRPr="006B1F74">
              <w:t>Assurance</w:t>
            </w:r>
            <w:r w:rsidR="00A03629" w:rsidRPr="006B1F74">
              <w:t xml:space="preserve"> </w:t>
            </w:r>
            <w:r w:rsidRPr="006B1F74">
              <w:t>Diagnostic</w:t>
            </w:r>
          </w:p>
        </w:tc>
        <w:tc>
          <w:tcPr>
            <w:tcW w:w="1642" w:type="dxa"/>
          </w:tcPr>
          <w:p w14:paraId="294CFD85" w14:textId="0C602092" w:rsidR="000756EB" w:rsidRPr="006B1F74" w:rsidRDefault="004A4D88" w:rsidP="00DE6598">
            <w:pPr>
              <w:pStyle w:val="TableCopy"/>
              <w:jc w:val="right"/>
            </w:pPr>
            <w:r w:rsidRPr="006B1F74">
              <w:t>–</w:t>
            </w:r>
          </w:p>
        </w:tc>
        <w:tc>
          <w:tcPr>
            <w:tcW w:w="1642" w:type="dxa"/>
          </w:tcPr>
          <w:p w14:paraId="09A699C8" w14:textId="5ECE2826" w:rsidR="000756EB" w:rsidRPr="006B1F74" w:rsidRDefault="004A4D88" w:rsidP="00DE6598">
            <w:pPr>
              <w:pStyle w:val="TableCopy"/>
              <w:jc w:val="right"/>
            </w:pPr>
            <w:r w:rsidRPr="006B1F74">
              <w:t>150</w:t>
            </w:r>
          </w:p>
        </w:tc>
      </w:tr>
      <w:tr w:rsidR="000756EB" w:rsidRPr="006B1F74" w14:paraId="0B55CC3B" w14:textId="77777777" w:rsidTr="006B1F74">
        <w:trPr>
          <w:trHeight w:val="113"/>
        </w:trPr>
        <w:tc>
          <w:tcPr>
            <w:tcW w:w="6917" w:type="dxa"/>
          </w:tcPr>
          <w:p w14:paraId="09871F66" w14:textId="7ED7C9BE" w:rsidR="000756EB" w:rsidRPr="006B1F74" w:rsidRDefault="004A4D88" w:rsidP="006B1F74">
            <w:pPr>
              <w:pStyle w:val="TableCopy"/>
            </w:pPr>
            <w:r w:rsidRPr="006B1F74">
              <w:t>Encourage</w:t>
            </w:r>
            <w:r w:rsidR="00A03629" w:rsidRPr="006B1F74">
              <w:t xml:space="preserve"> </w:t>
            </w:r>
            <w:r w:rsidRPr="006B1F74">
              <w:t>more</w:t>
            </w:r>
            <w:r w:rsidR="00A03629" w:rsidRPr="006B1F74">
              <w:t xml:space="preserve"> </w:t>
            </w:r>
            <w:r w:rsidRPr="006B1F74">
              <w:t>clinical</w:t>
            </w:r>
            <w:r w:rsidR="00A03629" w:rsidRPr="006B1F74">
              <w:t xml:space="preserve"> </w:t>
            </w:r>
            <w:r w:rsidRPr="006B1F74">
              <w:t>trials</w:t>
            </w:r>
          </w:p>
        </w:tc>
        <w:tc>
          <w:tcPr>
            <w:tcW w:w="1642" w:type="dxa"/>
          </w:tcPr>
          <w:p w14:paraId="1FCC321F" w14:textId="25E732F7" w:rsidR="000756EB" w:rsidRPr="006B1F74" w:rsidRDefault="004A4D88" w:rsidP="00DE6598">
            <w:pPr>
              <w:pStyle w:val="TableCopy"/>
              <w:jc w:val="right"/>
            </w:pPr>
            <w:r w:rsidRPr="006B1F74">
              <w:t>4</w:t>
            </w:r>
          </w:p>
        </w:tc>
        <w:tc>
          <w:tcPr>
            <w:tcW w:w="1642" w:type="dxa"/>
          </w:tcPr>
          <w:p w14:paraId="77AB8D39" w14:textId="319AFC8E" w:rsidR="000756EB" w:rsidRPr="006B1F74" w:rsidRDefault="004A4D88" w:rsidP="00DE6598">
            <w:pPr>
              <w:pStyle w:val="TableCopy"/>
              <w:jc w:val="right"/>
            </w:pPr>
            <w:r w:rsidRPr="006B1F74">
              <w:t>88</w:t>
            </w:r>
          </w:p>
        </w:tc>
      </w:tr>
      <w:tr w:rsidR="000756EB" w:rsidRPr="006B1F74" w14:paraId="1327C107" w14:textId="77777777" w:rsidTr="006B1F74">
        <w:trPr>
          <w:trHeight w:val="113"/>
        </w:trPr>
        <w:tc>
          <w:tcPr>
            <w:tcW w:w="6917" w:type="dxa"/>
          </w:tcPr>
          <w:p w14:paraId="7588A51C" w14:textId="3F784AE1" w:rsidR="000756EB" w:rsidRPr="006B1F74" w:rsidRDefault="004A4D88" w:rsidP="006B1F74">
            <w:pPr>
              <w:pStyle w:val="TableCopy"/>
            </w:pPr>
            <w:r w:rsidRPr="006B1F74">
              <w:t>Farm</w:t>
            </w:r>
            <w:r w:rsidR="00A03629" w:rsidRPr="006B1F74">
              <w:t xml:space="preserve"> </w:t>
            </w:r>
            <w:r w:rsidRPr="006B1F74">
              <w:t>Forestry</w:t>
            </w:r>
            <w:r w:rsidR="00A03629" w:rsidRPr="006B1F74">
              <w:t xml:space="preserve"> </w:t>
            </w:r>
            <w:r w:rsidRPr="006B1F74">
              <w:t>Program</w:t>
            </w:r>
            <w:r w:rsidR="00A03629" w:rsidRPr="006B1F74">
              <w:t xml:space="preserve"> </w:t>
            </w:r>
            <w:r w:rsidRPr="006B1F74">
              <w:t>of</w:t>
            </w:r>
            <w:r w:rsidR="00A03629" w:rsidRPr="006B1F74">
              <w:t xml:space="preserve"> </w:t>
            </w:r>
            <w:r w:rsidRPr="006B1F74">
              <w:t>Works</w:t>
            </w:r>
          </w:p>
        </w:tc>
        <w:tc>
          <w:tcPr>
            <w:tcW w:w="1642" w:type="dxa"/>
          </w:tcPr>
          <w:p w14:paraId="16330D6C" w14:textId="6AA37A94" w:rsidR="000756EB" w:rsidRPr="006B1F74" w:rsidRDefault="004A4D88" w:rsidP="00DE6598">
            <w:pPr>
              <w:pStyle w:val="TableCopy"/>
              <w:jc w:val="right"/>
            </w:pPr>
            <w:r w:rsidRPr="006B1F74">
              <w:t>–</w:t>
            </w:r>
          </w:p>
        </w:tc>
        <w:tc>
          <w:tcPr>
            <w:tcW w:w="1642" w:type="dxa"/>
          </w:tcPr>
          <w:p w14:paraId="3F96B197" w14:textId="1CA263A6" w:rsidR="000756EB" w:rsidRPr="006B1F74" w:rsidRDefault="004A4D88" w:rsidP="00DE6598">
            <w:pPr>
              <w:pStyle w:val="TableCopy"/>
              <w:jc w:val="right"/>
            </w:pPr>
            <w:r w:rsidRPr="006B1F74">
              <w:t>250</w:t>
            </w:r>
          </w:p>
        </w:tc>
      </w:tr>
      <w:tr w:rsidR="000756EB" w:rsidRPr="006B1F74" w14:paraId="767C152D" w14:textId="77777777" w:rsidTr="006B1F74">
        <w:trPr>
          <w:trHeight w:val="113"/>
        </w:trPr>
        <w:tc>
          <w:tcPr>
            <w:tcW w:w="6917" w:type="dxa"/>
          </w:tcPr>
          <w:p w14:paraId="7724F4D8" w14:textId="09752780" w:rsidR="000756EB" w:rsidRPr="006B1F74" w:rsidRDefault="004A4D88" w:rsidP="006B1F74">
            <w:pPr>
              <w:pStyle w:val="TableCopy"/>
            </w:pPr>
            <w:r w:rsidRPr="006B1F74">
              <w:t>Future</w:t>
            </w:r>
            <w:r w:rsidR="00A03629" w:rsidRPr="006B1F74">
              <w:t xml:space="preserve"> </w:t>
            </w:r>
            <w:r w:rsidRPr="006B1F74">
              <w:t>Drought</w:t>
            </w:r>
            <w:r w:rsidR="00A03629" w:rsidRPr="006B1F74">
              <w:t xml:space="preserve"> </w:t>
            </w:r>
            <w:r w:rsidRPr="006B1F74">
              <w:t>Fund</w:t>
            </w:r>
            <w:r w:rsidR="00A03629" w:rsidRPr="006B1F74">
              <w:t xml:space="preserve"> </w:t>
            </w:r>
            <w:r w:rsidRPr="006B1F74">
              <w:t>–</w:t>
            </w:r>
            <w:r w:rsidR="00A03629" w:rsidRPr="006B1F74">
              <w:t xml:space="preserve"> </w:t>
            </w:r>
            <w:r w:rsidRPr="006B1F74">
              <w:t>Farm</w:t>
            </w:r>
            <w:r w:rsidR="00A03629" w:rsidRPr="006B1F74">
              <w:t xml:space="preserve"> </w:t>
            </w:r>
            <w:r w:rsidRPr="006B1F74">
              <w:t>Business</w:t>
            </w:r>
            <w:r w:rsidR="00A03629" w:rsidRPr="006B1F74">
              <w:t xml:space="preserve"> </w:t>
            </w:r>
            <w:r w:rsidRPr="006B1F74">
              <w:t>Resilience</w:t>
            </w:r>
          </w:p>
        </w:tc>
        <w:tc>
          <w:tcPr>
            <w:tcW w:w="1642" w:type="dxa"/>
          </w:tcPr>
          <w:p w14:paraId="5FD1F15C" w14:textId="1CD58FA7" w:rsidR="000756EB" w:rsidRPr="006B1F74" w:rsidRDefault="004A4D88" w:rsidP="00DE6598">
            <w:pPr>
              <w:pStyle w:val="TableCopy"/>
              <w:jc w:val="right"/>
            </w:pPr>
            <w:r w:rsidRPr="006B1F74">
              <w:t>44</w:t>
            </w:r>
          </w:p>
        </w:tc>
        <w:tc>
          <w:tcPr>
            <w:tcW w:w="1642" w:type="dxa"/>
          </w:tcPr>
          <w:p w14:paraId="14255009" w14:textId="140D0ECD" w:rsidR="000756EB" w:rsidRPr="006B1F74" w:rsidRDefault="004A4D88" w:rsidP="00DE6598">
            <w:pPr>
              <w:pStyle w:val="TableCopy"/>
              <w:jc w:val="right"/>
            </w:pPr>
            <w:r w:rsidRPr="006B1F74">
              <w:t>–</w:t>
            </w:r>
          </w:p>
        </w:tc>
      </w:tr>
      <w:tr w:rsidR="000756EB" w:rsidRPr="006B1F74" w14:paraId="7B6A1140" w14:textId="77777777" w:rsidTr="006B1F74">
        <w:trPr>
          <w:trHeight w:val="113"/>
        </w:trPr>
        <w:tc>
          <w:tcPr>
            <w:tcW w:w="6917" w:type="dxa"/>
          </w:tcPr>
          <w:p w14:paraId="11454A20" w14:textId="47DEDF32" w:rsidR="000756EB" w:rsidRPr="006B1F74" w:rsidRDefault="004A4D88" w:rsidP="006B1F74">
            <w:pPr>
              <w:pStyle w:val="TableCopy"/>
            </w:pPr>
            <w:r w:rsidRPr="006B1F74">
              <w:t>Geelong</w:t>
            </w:r>
            <w:r w:rsidR="00A03629" w:rsidRPr="006B1F74">
              <w:t xml:space="preserve"> </w:t>
            </w:r>
            <w:r w:rsidRPr="006B1F74">
              <w:t>City</w:t>
            </w:r>
            <w:r w:rsidR="00A03629" w:rsidRPr="006B1F74">
              <w:t xml:space="preserve"> </w:t>
            </w:r>
            <w:r w:rsidRPr="006B1F74">
              <w:t>Deal</w:t>
            </w:r>
          </w:p>
        </w:tc>
        <w:tc>
          <w:tcPr>
            <w:tcW w:w="1642" w:type="dxa"/>
          </w:tcPr>
          <w:p w14:paraId="2A395AF5" w14:textId="53FD8EAF" w:rsidR="000756EB" w:rsidRPr="006B1F74" w:rsidRDefault="004A4D88" w:rsidP="00DE6598">
            <w:pPr>
              <w:pStyle w:val="TableCopy"/>
              <w:jc w:val="right"/>
            </w:pPr>
            <w:r w:rsidRPr="006B1F74">
              <w:t>4,895</w:t>
            </w:r>
          </w:p>
        </w:tc>
        <w:tc>
          <w:tcPr>
            <w:tcW w:w="1642" w:type="dxa"/>
          </w:tcPr>
          <w:p w14:paraId="75633EB8" w14:textId="4157C2F7" w:rsidR="000756EB" w:rsidRPr="006B1F74" w:rsidRDefault="004A4D88" w:rsidP="00DE6598">
            <w:pPr>
              <w:pStyle w:val="TableCopy"/>
              <w:jc w:val="right"/>
            </w:pPr>
            <w:r w:rsidRPr="006B1F74">
              <w:t>19,016</w:t>
            </w:r>
          </w:p>
        </w:tc>
      </w:tr>
      <w:tr w:rsidR="000756EB" w:rsidRPr="006B1F74" w14:paraId="19C1D137" w14:textId="77777777" w:rsidTr="006B1F74">
        <w:trPr>
          <w:trHeight w:val="113"/>
        </w:trPr>
        <w:tc>
          <w:tcPr>
            <w:tcW w:w="6917" w:type="dxa"/>
          </w:tcPr>
          <w:p w14:paraId="2F24C08F" w14:textId="5E8E7277" w:rsidR="000756EB" w:rsidRPr="006B1F74" w:rsidRDefault="004A4D88" w:rsidP="006B1F74">
            <w:pPr>
              <w:pStyle w:val="TableCopy"/>
            </w:pPr>
            <w:r w:rsidRPr="006B1F74">
              <w:t>Infrastructure</w:t>
            </w:r>
            <w:r w:rsidR="00A03629" w:rsidRPr="006B1F74">
              <w:t xml:space="preserve"> </w:t>
            </w:r>
            <w:r w:rsidRPr="006B1F74">
              <w:t>Investment</w:t>
            </w:r>
            <w:r w:rsidR="00A03629" w:rsidRPr="006B1F74">
              <w:t xml:space="preserve"> </w:t>
            </w:r>
            <w:r w:rsidRPr="006B1F74">
              <w:t>Program</w:t>
            </w:r>
            <w:r w:rsidR="00A03629" w:rsidRPr="006B1F74">
              <w:t xml:space="preserve"> </w:t>
            </w:r>
            <w:r w:rsidRPr="006B1F74">
              <w:t>–</w:t>
            </w:r>
            <w:r w:rsidR="00A03629" w:rsidRPr="006B1F74">
              <w:t xml:space="preserve"> </w:t>
            </w:r>
            <w:r w:rsidRPr="006B1F74">
              <w:t>Rail</w:t>
            </w:r>
            <w:r w:rsidR="00A03629" w:rsidRPr="006B1F74">
              <w:t xml:space="preserve"> </w:t>
            </w:r>
            <w:r w:rsidRPr="006B1F74">
              <w:t>–</w:t>
            </w:r>
            <w:r w:rsidR="00A03629" w:rsidRPr="006B1F74">
              <w:t xml:space="preserve"> </w:t>
            </w:r>
            <w:r w:rsidRPr="006B1F74">
              <w:t>Ballarat</w:t>
            </w:r>
            <w:r w:rsidR="00A03629" w:rsidRPr="006B1F74">
              <w:t xml:space="preserve"> </w:t>
            </w:r>
            <w:r w:rsidRPr="006B1F74">
              <w:t>Freight</w:t>
            </w:r>
            <w:r w:rsidR="00A03629" w:rsidRPr="006B1F74">
              <w:t xml:space="preserve"> </w:t>
            </w:r>
            <w:r w:rsidRPr="006B1F74">
              <w:t>Hub</w:t>
            </w:r>
          </w:p>
        </w:tc>
        <w:tc>
          <w:tcPr>
            <w:tcW w:w="1642" w:type="dxa"/>
          </w:tcPr>
          <w:p w14:paraId="2FFBEE9D" w14:textId="5EDF4D14" w:rsidR="000756EB" w:rsidRPr="006B1F74" w:rsidRDefault="004A4D88" w:rsidP="00DE6598">
            <w:pPr>
              <w:pStyle w:val="TableCopy"/>
              <w:jc w:val="right"/>
            </w:pPr>
            <w:r w:rsidRPr="006B1F74">
              <w:t>894</w:t>
            </w:r>
          </w:p>
        </w:tc>
        <w:tc>
          <w:tcPr>
            <w:tcW w:w="1642" w:type="dxa"/>
          </w:tcPr>
          <w:p w14:paraId="6EFDCD81" w14:textId="18432FD1" w:rsidR="000756EB" w:rsidRPr="006B1F74" w:rsidRDefault="004A4D88" w:rsidP="00DE6598">
            <w:pPr>
              <w:pStyle w:val="TableCopy"/>
              <w:jc w:val="right"/>
            </w:pPr>
            <w:r w:rsidRPr="006B1F74">
              <w:t>–</w:t>
            </w:r>
          </w:p>
        </w:tc>
      </w:tr>
      <w:tr w:rsidR="000756EB" w:rsidRPr="006B1F74" w14:paraId="1DC60748" w14:textId="77777777" w:rsidTr="006B1F74">
        <w:trPr>
          <w:trHeight w:val="113"/>
        </w:trPr>
        <w:tc>
          <w:tcPr>
            <w:tcW w:w="6917" w:type="dxa"/>
          </w:tcPr>
          <w:p w14:paraId="3B83EE7E" w14:textId="5CE3DE15" w:rsidR="000756EB" w:rsidRPr="006B1F74" w:rsidRDefault="004A4D88" w:rsidP="006B1F74">
            <w:pPr>
              <w:pStyle w:val="TableCopy"/>
            </w:pPr>
            <w:proofErr w:type="spellStart"/>
            <w:r w:rsidRPr="006B1F74">
              <w:t>LaTrobe</w:t>
            </w:r>
            <w:proofErr w:type="spellEnd"/>
            <w:r w:rsidR="00A03629" w:rsidRPr="006B1F74">
              <w:t xml:space="preserve"> </w:t>
            </w:r>
            <w:r w:rsidRPr="006B1F74">
              <w:t>University</w:t>
            </w:r>
            <w:r w:rsidR="00A03629" w:rsidRPr="006B1F74">
              <w:t xml:space="preserve"> </w:t>
            </w:r>
            <w:r w:rsidRPr="006B1F74">
              <w:t>Sports</w:t>
            </w:r>
            <w:r w:rsidR="00A03629" w:rsidRPr="006B1F74">
              <w:t xml:space="preserve"> </w:t>
            </w:r>
            <w:r w:rsidRPr="006B1F74">
              <w:t>Park</w:t>
            </w:r>
            <w:r w:rsidR="00A03629" w:rsidRPr="006B1F74">
              <w:t xml:space="preserve"> </w:t>
            </w:r>
            <w:r w:rsidRPr="006B1F74">
              <w:t>Stage</w:t>
            </w:r>
            <w:r w:rsidR="00A03629" w:rsidRPr="006B1F74">
              <w:t xml:space="preserve"> </w:t>
            </w:r>
            <w:r w:rsidRPr="006B1F74">
              <w:t>3</w:t>
            </w:r>
            <w:r w:rsidR="00A03629" w:rsidRPr="006B1F74">
              <w:t xml:space="preserve"> </w:t>
            </w:r>
            <w:r w:rsidRPr="006B1F74">
              <w:t>(Home</w:t>
            </w:r>
            <w:r w:rsidR="00A03629" w:rsidRPr="006B1F74">
              <w:t xml:space="preserve"> </w:t>
            </w:r>
            <w:r w:rsidRPr="006B1F74">
              <w:t>of</w:t>
            </w:r>
            <w:r w:rsidR="00A03629" w:rsidRPr="006B1F74">
              <w:t xml:space="preserve"> </w:t>
            </w:r>
            <w:r w:rsidRPr="006B1F74">
              <w:t>the</w:t>
            </w:r>
            <w:r w:rsidR="00A03629" w:rsidRPr="006B1F74">
              <w:t xml:space="preserve"> </w:t>
            </w:r>
            <w:proofErr w:type="spellStart"/>
            <w:r w:rsidRPr="006B1F74">
              <w:t>Matildas</w:t>
            </w:r>
            <w:proofErr w:type="spellEnd"/>
            <w:r w:rsidRPr="006B1F74">
              <w:t>)</w:t>
            </w:r>
          </w:p>
        </w:tc>
        <w:tc>
          <w:tcPr>
            <w:tcW w:w="1642" w:type="dxa"/>
          </w:tcPr>
          <w:p w14:paraId="4F612480" w14:textId="648E2510" w:rsidR="000756EB" w:rsidRPr="006B1F74" w:rsidRDefault="004A4D88" w:rsidP="00DE6598">
            <w:pPr>
              <w:pStyle w:val="TableCopy"/>
              <w:jc w:val="right"/>
            </w:pPr>
            <w:r w:rsidRPr="006B1F74">
              <w:t>7,500</w:t>
            </w:r>
          </w:p>
        </w:tc>
        <w:tc>
          <w:tcPr>
            <w:tcW w:w="1642" w:type="dxa"/>
          </w:tcPr>
          <w:p w14:paraId="5CC21C56" w14:textId="35BEA845" w:rsidR="000756EB" w:rsidRPr="006B1F74" w:rsidRDefault="004A4D88" w:rsidP="00DE6598">
            <w:pPr>
              <w:pStyle w:val="TableCopy"/>
              <w:jc w:val="right"/>
            </w:pPr>
            <w:r w:rsidRPr="006B1F74">
              <w:t>–</w:t>
            </w:r>
          </w:p>
        </w:tc>
      </w:tr>
      <w:tr w:rsidR="000756EB" w:rsidRPr="006B1F74" w14:paraId="2402158D" w14:textId="77777777" w:rsidTr="006B1F74">
        <w:trPr>
          <w:trHeight w:val="113"/>
        </w:trPr>
        <w:tc>
          <w:tcPr>
            <w:tcW w:w="6917" w:type="dxa"/>
          </w:tcPr>
          <w:p w14:paraId="5112082F" w14:textId="1E840B66" w:rsidR="000756EB" w:rsidRPr="006B1F74" w:rsidRDefault="004A4D88" w:rsidP="006B1F74">
            <w:pPr>
              <w:pStyle w:val="TableCopy"/>
            </w:pPr>
            <w:r w:rsidRPr="006B1F74">
              <w:t>National</w:t>
            </w:r>
            <w:r w:rsidR="00A03629" w:rsidRPr="006B1F74">
              <w:t xml:space="preserve"> </w:t>
            </w:r>
            <w:r w:rsidRPr="006B1F74">
              <w:t>Plant</w:t>
            </w:r>
            <w:r w:rsidR="00A03629" w:rsidRPr="006B1F74">
              <w:t xml:space="preserve"> </w:t>
            </w:r>
            <w:r w:rsidRPr="006B1F74">
              <w:t>Health</w:t>
            </w:r>
            <w:r w:rsidR="00A03629" w:rsidRPr="006B1F74">
              <w:t xml:space="preserve"> </w:t>
            </w:r>
            <w:r w:rsidRPr="006B1F74">
              <w:t>Surveillance</w:t>
            </w:r>
            <w:r w:rsidR="00A03629" w:rsidRPr="006B1F74">
              <w:t xml:space="preserve"> </w:t>
            </w:r>
            <w:r w:rsidRPr="006B1F74">
              <w:t>Program</w:t>
            </w:r>
          </w:p>
        </w:tc>
        <w:tc>
          <w:tcPr>
            <w:tcW w:w="1642" w:type="dxa"/>
          </w:tcPr>
          <w:p w14:paraId="3BD0C14D" w14:textId="2CB5D926" w:rsidR="000756EB" w:rsidRPr="006B1F74" w:rsidRDefault="004A4D88" w:rsidP="00DE6598">
            <w:pPr>
              <w:pStyle w:val="TableCopy"/>
              <w:jc w:val="right"/>
            </w:pPr>
            <w:r w:rsidRPr="006B1F74">
              <w:t>–</w:t>
            </w:r>
          </w:p>
        </w:tc>
        <w:tc>
          <w:tcPr>
            <w:tcW w:w="1642" w:type="dxa"/>
          </w:tcPr>
          <w:p w14:paraId="529472B9" w14:textId="57585B8C" w:rsidR="000756EB" w:rsidRPr="006B1F74" w:rsidRDefault="004A4D88" w:rsidP="00DE6598">
            <w:pPr>
              <w:pStyle w:val="TableCopy"/>
              <w:jc w:val="right"/>
            </w:pPr>
            <w:r w:rsidRPr="006B1F74">
              <w:t>160</w:t>
            </w:r>
          </w:p>
        </w:tc>
      </w:tr>
      <w:tr w:rsidR="000756EB" w:rsidRPr="006B1F74" w14:paraId="11B6D33C" w14:textId="77777777" w:rsidTr="006B1F74">
        <w:trPr>
          <w:trHeight w:val="113"/>
        </w:trPr>
        <w:tc>
          <w:tcPr>
            <w:tcW w:w="6917" w:type="dxa"/>
          </w:tcPr>
          <w:p w14:paraId="7F017CBD" w14:textId="3BC54E09" w:rsidR="000756EB" w:rsidRPr="006B1F74" w:rsidRDefault="004A4D88" w:rsidP="006B1F74">
            <w:pPr>
              <w:pStyle w:val="TableCopy"/>
            </w:pPr>
            <w:r w:rsidRPr="006B1F74">
              <w:t>National</w:t>
            </w:r>
            <w:r w:rsidR="00A03629" w:rsidRPr="006B1F74">
              <w:t xml:space="preserve"> </w:t>
            </w:r>
            <w:r w:rsidRPr="006B1F74">
              <w:t>Skills</w:t>
            </w:r>
            <w:r w:rsidR="00A03629" w:rsidRPr="006B1F74">
              <w:t xml:space="preserve"> </w:t>
            </w:r>
            <w:r w:rsidRPr="006B1F74">
              <w:t>and</w:t>
            </w:r>
            <w:r w:rsidR="00A03629" w:rsidRPr="006B1F74">
              <w:t xml:space="preserve"> </w:t>
            </w:r>
            <w:r w:rsidRPr="006B1F74">
              <w:t>Workforce</w:t>
            </w:r>
            <w:r w:rsidR="00A03629" w:rsidRPr="006B1F74">
              <w:t xml:space="preserve"> </w:t>
            </w:r>
            <w:r w:rsidRPr="006B1F74">
              <w:t>Development</w:t>
            </w:r>
            <w:r w:rsidR="00A03629" w:rsidRPr="006B1F74">
              <w:t xml:space="preserve"> </w:t>
            </w:r>
            <w:r w:rsidRPr="006B1F74">
              <w:t>SPP</w:t>
            </w:r>
          </w:p>
        </w:tc>
        <w:tc>
          <w:tcPr>
            <w:tcW w:w="1642" w:type="dxa"/>
          </w:tcPr>
          <w:p w14:paraId="771B598A" w14:textId="73BCF468" w:rsidR="000756EB" w:rsidRPr="006B1F74" w:rsidRDefault="004A4D88" w:rsidP="00DE6598">
            <w:pPr>
              <w:pStyle w:val="TableCopy"/>
              <w:jc w:val="right"/>
            </w:pPr>
            <w:r w:rsidRPr="006B1F74">
              <w:t>198,870</w:t>
            </w:r>
          </w:p>
        </w:tc>
        <w:tc>
          <w:tcPr>
            <w:tcW w:w="1642" w:type="dxa"/>
          </w:tcPr>
          <w:p w14:paraId="6F46FF23" w14:textId="1A21B91D" w:rsidR="000756EB" w:rsidRPr="006B1F74" w:rsidRDefault="004A4D88" w:rsidP="00DE6598">
            <w:pPr>
              <w:pStyle w:val="TableCopy"/>
              <w:jc w:val="right"/>
            </w:pPr>
            <w:r w:rsidRPr="006B1F74">
              <w:t>–</w:t>
            </w:r>
          </w:p>
        </w:tc>
      </w:tr>
      <w:tr w:rsidR="000756EB" w:rsidRPr="006B1F74" w14:paraId="568FB882" w14:textId="77777777" w:rsidTr="006B1F74">
        <w:trPr>
          <w:trHeight w:val="113"/>
        </w:trPr>
        <w:tc>
          <w:tcPr>
            <w:tcW w:w="6917" w:type="dxa"/>
          </w:tcPr>
          <w:p w14:paraId="2DD25F78" w14:textId="1FFE8205" w:rsidR="000756EB" w:rsidRPr="006B1F74" w:rsidRDefault="004A4D88" w:rsidP="006B1F74">
            <w:pPr>
              <w:pStyle w:val="TableCopy"/>
            </w:pPr>
            <w:r w:rsidRPr="006B1F74">
              <w:t>On-farm</w:t>
            </w:r>
            <w:r w:rsidR="00A03629" w:rsidRPr="006B1F74">
              <w:t xml:space="preserve"> </w:t>
            </w:r>
            <w:r w:rsidRPr="006B1F74">
              <w:t>Emergency</w:t>
            </w:r>
            <w:r w:rsidR="00A03629" w:rsidRPr="006B1F74">
              <w:t xml:space="preserve"> </w:t>
            </w:r>
            <w:r w:rsidRPr="006B1F74">
              <w:t>Water</w:t>
            </w:r>
            <w:r w:rsidR="00A03629" w:rsidRPr="006B1F74">
              <w:t xml:space="preserve"> </w:t>
            </w:r>
            <w:r w:rsidRPr="006B1F74">
              <w:t>Infrastructure</w:t>
            </w:r>
            <w:r w:rsidR="00A03629" w:rsidRPr="006B1F74">
              <w:t xml:space="preserve"> </w:t>
            </w:r>
            <w:r w:rsidRPr="006B1F74">
              <w:t>Rebate</w:t>
            </w:r>
          </w:p>
        </w:tc>
        <w:tc>
          <w:tcPr>
            <w:tcW w:w="1642" w:type="dxa"/>
          </w:tcPr>
          <w:p w14:paraId="7AA53AAF" w14:textId="69693E02" w:rsidR="000756EB" w:rsidRPr="006B1F74" w:rsidRDefault="004A4D88" w:rsidP="00DE6598">
            <w:pPr>
              <w:pStyle w:val="TableCopy"/>
              <w:jc w:val="right"/>
            </w:pPr>
            <w:r w:rsidRPr="006B1F74">
              <w:t>–</w:t>
            </w:r>
          </w:p>
        </w:tc>
        <w:tc>
          <w:tcPr>
            <w:tcW w:w="1642" w:type="dxa"/>
          </w:tcPr>
          <w:p w14:paraId="2FC93F57" w14:textId="057CCE10" w:rsidR="000756EB" w:rsidRPr="006B1F74" w:rsidRDefault="004A4D88" w:rsidP="00DE6598">
            <w:pPr>
              <w:pStyle w:val="TableCopy"/>
              <w:jc w:val="right"/>
            </w:pPr>
            <w:r w:rsidRPr="006B1F74">
              <w:t>906</w:t>
            </w:r>
          </w:p>
        </w:tc>
      </w:tr>
      <w:tr w:rsidR="000756EB" w:rsidRPr="006B1F74" w14:paraId="0AF0B523" w14:textId="77777777" w:rsidTr="006B1F74">
        <w:trPr>
          <w:trHeight w:val="113"/>
        </w:trPr>
        <w:tc>
          <w:tcPr>
            <w:tcW w:w="6917" w:type="dxa"/>
          </w:tcPr>
          <w:p w14:paraId="62A62D24" w14:textId="634D7AF2" w:rsidR="000756EB" w:rsidRPr="006B1F74" w:rsidRDefault="004A4D88" w:rsidP="006B1F74">
            <w:pPr>
              <w:pStyle w:val="TableCopy"/>
            </w:pPr>
            <w:r w:rsidRPr="006B1F74">
              <w:t>Pest</w:t>
            </w:r>
            <w:r w:rsidR="00A03629" w:rsidRPr="006B1F74">
              <w:t xml:space="preserve"> </w:t>
            </w:r>
            <w:r w:rsidRPr="006B1F74">
              <w:t>and</w:t>
            </w:r>
            <w:r w:rsidR="00A03629" w:rsidRPr="006B1F74">
              <w:t xml:space="preserve"> </w:t>
            </w:r>
            <w:r w:rsidRPr="006B1F74">
              <w:t>Disease</w:t>
            </w:r>
            <w:r w:rsidR="00A03629" w:rsidRPr="006B1F74">
              <w:t xml:space="preserve"> </w:t>
            </w:r>
            <w:r w:rsidRPr="006B1F74">
              <w:t>Preparedness</w:t>
            </w:r>
            <w:r w:rsidR="00A03629" w:rsidRPr="006B1F74">
              <w:t xml:space="preserve"> </w:t>
            </w:r>
            <w:r w:rsidRPr="006B1F74">
              <w:t>and</w:t>
            </w:r>
            <w:r w:rsidR="00A03629" w:rsidRPr="006B1F74">
              <w:t xml:space="preserve"> </w:t>
            </w:r>
            <w:r w:rsidRPr="006B1F74">
              <w:t>Response</w:t>
            </w:r>
            <w:r w:rsidR="00A03629" w:rsidRPr="006B1F74">
              <w:t xml:space="preserve"> </w:t>
            </w:r>
            <w:r w:rsidRPr="006B1F74">
              <w:t>program</w:t>
            </w:r>
          </w:p>
        </w:tc>
        <w:tc>
          <w:tcPr>
            <w:tcW w:w="1642" w:type="dxa"/>
          </w:tcPr>
          <w:p w14:paraId="1C1E96B9" w14:textId="5240FCD9" w:rsidR="000756EB" w:rsidRPr="006B1F74" w:rsidRDefault="004A4D88" w:rsidP="00DE6598">
            <w:pPr>
              <w:pStyle w:val="TableCopy"/>
              <w:jc w:val="right"/>
            </w:pPr>
            <w:r w:rsidRPr="006B1F74">
              <w:t>–</w:t>
            </w:r>
          </w:p>
        </w:tc>
        <w:tc>
          <w:tcPr>
            <w:tcW w:w="1642" w:type="dxa"/>
          </w:tcPr>
          <w:p w14:paraId="5C88E61C" w14:textId="2230ED12" w:rsidR="000756EB" w:rsidRPr="006B1F74" w:rsidRDefault="004A4D88" w:rsidP="00DE6598">
            <w:pPr>
              <w:pStyle w:val="TableCopy"/>
              <w:jc w:val="right"/>
            </w:pPr>
            <w:r w:rsidRPr="006B1F74">
              <w:t>11,035</w:t>
            </w:r>
          </w:p>
        </w:tc>
      </w:tr>
      <w:tr w:rsidR="000756EB" w:rsidRPr="006B1F74" w14:paraId="4609CBE0" w14:textId="77777777" w:rsidTr="006B1F74">
        <w:trPr>
          <w:trHeight w:val="113"/>
        </w:trPr>
        <w:tc>
          <w:tcPr>
            <w:tcW w:w="6917" w:type="dxa"/>
          </w:tcPr>
          <w:p w14:paraId="4F61C7F2" w14:textId="73A49D41" w:rsidR="000756EB" w:rsidRPr="006B1F74" w:rsidRDefault="004A4D88" w:rsidP="006B1F74">
            <w:pPr>
              <w:pStyle w:val="TableCopy"/>
            </w:pPr>
            <w:r w:rsidRPr="006B1F74">
              <w:t>Plant</w:t>
            </w:r>
            <w:r w:rsidR="00A03629" w:rsidRPr="006B1F74">
              <w:t xml:space="preserve"> </w:t>
            </w:r>
            <w:r w:rsidRPr="006B1F74">
              <w:t>and</w:t>
            </w:r>
            <w:r w:rsidR="00A03629" w:rsidRPr="006B1F74">
              <w:t xml:space="preserve"> </w:t>
            </w:r>
            <w:r w:rsidRPr="006B1F74">
              <w:t>Exotic</w:t>
            </w:r>
            <w:r w:rsidR="00A03629" w:rsidRPr="006B1F74">
              <w:t xml:space="preserve"> </w:t>
            </w:r>
            <w:r w:rsidRPr="006B1F74">
              <w:t>Disease</w:t>
            </w:r>
            <w:r w:rsidR="00A03629" w:rsidRPr="006B1F74">
              <w:t xml:space="preserve"> </w:t>
            </w:r>
            <w:r w:rsidRPr="006B1F74">
              <w:t>Preparedness</w:t>
            </w:r>
            <w:r w:rsidR="00A03629" w:rsidRPr="006B1F74">
              <w:t xml:space="preserve"> </w:t>
            </w:r>
            <w:r w:rsidRPr="006B1F74">
              <w:t>and</w:t>
            </w:r>
            <w:r w:rsidR="00A03629" w:rsidRPr="006B1F74">
              <w:t xml:space="preserve"> </w:t>
            </w:r>
            <w:r w:rsidRPr="006B1F74">
              <w:t>Eradication</w:t>
            </w:r>
          </w:p>
        </w:tc>
        <w:tc>
          <w:tcPr>
            <w:tcW w:w="1642" w:type="dxa"/>
          </w:tcPr>
          <w:p w14:paraId="75406CA5" w14:textId="069F066D" w:rsidR="000756EB" w:rsidRPr="006B1F74" w:rsidRDefault="004A4D88" w:rsidP="00DE6598">
            <w:pPr>
              <w:pStyle w:val="TableCopy"/>
              <w:jc w:val="right"/>
            </w:pPr>
            <w:r w:rsidRPr="006B1F74">
              <w:t>–</w:t>
            </w:r>
          </w:p>
        </w:tc>
        <w:tc>
          <w:tcPr>
            <w:tcW w:w="1642" w:type="dxa"/>
          </w:tcPr>
          <w:p w14:paraId="4394FF0F" w14:textId="1DC63773" w:rsidR="000756EB" w:rsidRPr="006B1F74" w:rsidRDefault="004A4D88" w:rsidP="00DE6598">
            <w:pPr>
              <w:pStyle w:val="TableCopy"/>
              <w:jc w:val="right"/>
            </w:pPr>
            <w:r w:rsidRPr="006B1F74">
              <w:t>130</w:t>
            </w:r>
          </w:p>
        </w:tc>
      </w:tr>
      <w:tr w:rsidR="000756EB" w:rsidRPr="006B1F74" w14:paraId="39F7D55D" w14:textId="77777777" w:rsidTr="006B1F74">
        <w:trPr>
          <w:trHeight w:val="113"/>
        </w:trPr>
        <w:tc>
          <w:tcPr>
            <w:tcW w:w="6917" w:type="dxa"/>
          </w:tcPr>
          <w:p w14:paraId="00DF19A9" w14:textId="4B5712B0" w:rsidR="000756EB" w:rsidRPr="006B1F74" w:rsidRDefault="004A4D88" w:rsidP="006B1F74">
            <w:pPr>
              <w:pStyle w:val="TableCopy"/>
            </w:pPr>
            <w:r w:rsidRPr="006B1F74">
              <w:t>Support</w:t>
            </w:r>
            <w:r w:rsidR="00A03629" w:rsidRPr="006B1F74">
              <w:t xml:space="preserve"> </w:t>
            </w:r>
            <w:r w:rsidRPr="006B1F74">
              <w:t>for</w:t>
            </w:r>
            <w:r w:rsidR="00A03629" w:rsidRPr="006B1F74">
              <w:t xml:space="preserve"> </w:t>
            </w:r>
            <w:r w:rsidRPr="006B1F74">
              <w:t>businesses</w:t>
            </w:r>
            <w:r w:rsidR="00A03629" w:rsidRPr="006B1F74">
              <w:t xml:space="preserve"> </w:t>
            </w:r>
            <w:r w:rsidRPr="006B1F74">
              <w:t>impacted</w:t>
            </w:r>
            <w:r w:rsidR="00A03629" w:rsidRPr="006B1F74">
              <w:t xml:space="preserve"> </w:t>
            </w:r>
            <w:r w:rsidRPr="006B1F74">
              <w:t>by</w:t>
            </w:r>
            <w:r w:rsidR="00A03629" w:rsidRPr="006B1F74">
              <w:t xml:space="preserve"> </w:t>
            </w:r>
            <w:r w:rsidRPr="006B1F74">
              <w:t>COVID-19</w:t>
            </w:r>
            <w:r w:rsidR="00A03629" w:rsidRPr="006B1F74">
              <w:t xml:space="preserve"> </w:t>
            </w:r>
            <w:r w:rsidRPr="006B1F74">
              <w:t>lockdowns</w:t>
            </w:r>
          </w:p>
        </w:tc>
        <w:tc>
          <w:tcPr>
            <w:tcW w:w="1642" w:type="dxa"/>
          </w:tcPr>
          <w:p w14:paraId="09E80E3D" w14:textId="2AABE33F" w:rsidR="000756EB" w:rsidRPr="006B1F74" w:rsidRDefault="004A4D88" w:rsidP="00DE6598">
            <w:pPr>
              <w:pStyle w:val="TableCopy"/>
              <w:jc w:val="right"/>
            </w:pPr>
            <w:r w:rsidRPr="006B1F74">
              <w:t>–</w:t>
            </w:r>
          </w:p>
        </w:tc>
        <w:tc>
          <w:tcPr>
            <w:tcW w:w="1642" w:type="dxa"/>
          </w:tcPr>
          <w:p w14:paraId="2676E339" w14:textId="1F39B7FD" w:rsidR="000756EB" w:rsidRPr="006B1F74" w:rsidRDefault="004A4D88" w:rsidP="00DE6598">
            <w:pPr>
              <w:pStyle w:val="TableCopy"/>
              <w:jc w:val="right"/>
            </w:pPr>
            <w:r w:rsidRPr="006B1F74">
              <w:t>3,066,191</w:t>
            </w:r>
          </w:p>
        </w:tc>
      </w:tr>
      <w:tr w:rsidR="000756EB" w:rsidRPr="006B1F74" w14:paraId="2A9102DA" w14:textId="77777777" w:rsidTr="006B1F74">
        <w:trPr>
          <w:trHeight w:val="113"/>
        </w:trPr>
        <w:tc>
          <w:tcPr>
            <w:tcW w:w="6917" w:type="dxa"/>
          </w:tcPr>
          <w:p w14:paraId="73C13633" w14:textId="77777777" w:rsidR="000756EB" w:rsidRPr="006B1F74" w:rsidRDefault="000756EB" w:rsidP="006B1F74">
            <w:pPr>
              <w:pStyle w:val="TableCopy"/>
              <w:rPr>
                <w:b/>
                <w:bCs/>
              </w:rPr>
            </w:pPr>
          </w:p>
        </w:tc>
        <w:tc>
          <w:tcPr>
            <w:tcW w:w="1642" w:type="dxa"/>
          </w:tcPr>
          <w:p w14:paraId="564929C7" w14:textId="04541F0F" w:rsidR="000756EB" w:rsidRPr="006B1F74" w:rsidRDefault="004A4D88" w:rsidP="00DE6598">
            <w:pPr>
              <w:pStyle w:val="TableCopy"/>
              <w:jc w:val="right"/>
              <w:rPr>
                <w:b/>
                <w:bCs/>
              </w:rPr>
            </w:pPr>
            <w:r w:rsidRPr="006B1F74">
              <w:rPr>
                <w:b/>
                <w:bCs/>
              </w:rPr>
              <w:t>215,022</w:t>
            </w:r>
          </w:p>
        </w:tc>
        <w:tc>
          <w:tcPr>
            <w:tcW w:w="1642" w:type="dxa"/>
          </w:tcPr>
          <w:p w14:paraId="4FD49CD2" w14:textId="2A383421" w:rsidR="000756EB" w:rsidRPr="006B1F74" w:rsidRDefault="004A4D88" w:rsidP="00DE6598">
            <w:pPr>
              <w:pStyle w:val="TableCopy"/>
              <w:jc w:val="right"/>
              <w:rPr>
                <w:b/>
                <w:bCs/>
              </w:rPr>
            </w:pPr>
            <w:r w:rsidRPr="006B1F74">
              <w:rPr>
                <w:b/>
                <w:bCs/>
              </w:rPr>
              <w:t>3,099,382</w:t>
            </w:r>
          </w:p>
        </w:tc>
      </w:tr>
      <w:tr w:rsidR="000756EB" w:rsidRPr="006B1F74" w14:paraId="45280EE3" w14:textId="77777777" w:rsidTr="006B1F74">
        <w:trPr>
          <w:trHeight w:val="113"/>
        </w:trPr>
        <w:tc>
          <w:tcPr>
            <w:tcW w:w="6917" w:type="dxa"/>
          </w:tcPr>
          <w:p w14:paraId="18272184" w14:textId="744DDEF8" w:rsidR="000756EB" w:rsidRPr="006B1F74" w:rsidRDefault="004A4D88" w:rsidP="00DE6598">
            <w:pPr>
              <w:pStyle w:val="TableHeading"/>
            </w:pPr>
            <w:r w:rsidRPr="006B1F74">
              <w:t>Municipal</w:t>
            </w:r>
            <w:r w:rsidR="00A03629" w:rsidRPr="006B1F74">
              <w:t xml:space="preserve"> </w:t>
            </w:r>
            <w:r w:rsidRPr="006B1F74">
              <w:t>payments</w:t>
            </w:r>
          </w:p>
        </w:tc>
        <w:tc>
          <w:tcPr>
            <w:tcW w:w="1642" w:type="dxa"/>
          </w:tcPr>
          <w:p w14:paraId="303D80E6" w14:textId="77777777" w:rsidR="000756EB" w:rsidRPr="006B1F74" w:rsidRDefault="000756EB" w:rsidP="00DE6598">
            <w:pPr>
              <w:pStyle w:val="TableHeading"/>
              <w:jc w:val="right"/>
            </w:pPr>
          </w:p>
        </w:tc>
        <w:tc>
          <w:tcPr>
            <w:tcW w:w="1642" w:type="dxa"/>
          </w:tcPr>
          <w:p w14:paraId="4286B705" w14:textId="77777777" w:rsidR="000756EB" w:rsidRPr="006B1F74" w:rsidRDefault="000756EB" w:rsidP="00DE6598">
            <w:pPr>
              <w:pStyle w:val="TableHeading"/>
              <w:jc w:val="right"/>
            </w:pPr>
          </w:p>
        </w:tc>
      </w:tr>
      <w:tr w:rsidR="000756EB" w:rsidRPr="006B1F74" w14:paraId="60FBFC71" w14:textId="77777777" w:rsidTr="006B1F74">
        <w:trPr>
          <w:trHeight w:val="113"/>
        </w:trPr>
        <w:tc>
          <w:tcPr>
            <w:tcW w:w="6917" w:type="dxa"/>
          </w:tcPr>
          <w:p w14:paraId="2CCFECAA" w14:textId="5FA3DE3C" w:rsidR="000756EB" w:rsidRPr="006B1F74" w:rsidRDefault="004A4D88" w:rsidP="006B1F74">
            <w:pPr>
              <w:pStyle w:val="TableCopy"/>
            </w:pPr>
            <w:r w:rsidRPr="006B1F74">
              <w:t>Domestic</w:t>
            </w:r>
            <w:r w:rsidR="00A03629" w:rsidRPr="006B1F74">
              <w:t xml:space="preserve"> </w:t>
            </w:r>
            <w:r w:rsidRPr="006B1F74">
              <w:t>Animals</w:t>
            </w:r>
            <w:r w:rsidR="00A03629" w:rsidRPr="006B1F74">
              <w:t xml:space="preserve"> </w:t>
            </w:r>
            <w:r w:rsidRPr="006B1F74">
              <w:t>Act</w:t>
            </w:r>
          </w:p>
        </w:tc>
        <w:tc>
          <w:tcPr>
            <w:tcW w:w="1642" w:type="dxa"/>
          </w:tcPr>
          <w:p w14:paraId="3FB6F333" w14:textId="01FFEF96" w:rsidR="000756EB" w:rsidRPr="006B1F74" w:rsidRDefault="004A4D88" w:rsidP="00DE6598">
            <w:pPr>
              <w:pStyle w:val="TableCopy"/>
              <w:jc w:val="right"/>
            </w:pPr>
            <w:r w:rsidRPr="006B1F74">
              <w:t>–</w:t>
            </w:r>
          </w:p>
        </w:tc>
        <w:tc>
          <w:tcPr>
            <w:tcW w:w="1642" w:type="dxa"/>
          </w:tcPr>
          <w:p w14:paraId="689CC344" w14:textId="5296EC5D" w:rsidR="000756EB" w:rsidRPr="006B1F74" w:rsidRDefault="004A4D88" w:rsidP="00DE6598">
            <w:pPr>
              <w:pStyle w:val="TableCopy"/>
              <w:jc w:val="right"/>
            </w:pPr>
            <w:r w:rsidRPr="006B1F74">
              <w:t>1,018</w:t>
            </w:r>
          </w:p>
        </w:tc>
      </w:tr>
      <w:tr w:rsidR="000756EB" w:rsidRPr="006B1F74" w14:paraId="702463A5" w14:textId="77777777" w:rsidTr="006B1F74">
        <w:trPr>
          <w:trHeight w:val="113"/>
        </w:trPr>
        <w:tc>
          <w:tcPr>
            <w:tcW w:w="6917" w:type="dxa"/>
          </w:tcPr>
          <w:p w14:paraId="3E1054BE" w14:textId="5C80B29A" w:rsidR="000756EB" w:rsidRPr="006B1F74" w:rsidRDefault="004A4D88" w:rsidP="006B1F74">
            <w:pPr>
              <w:pStyle w:val="TableCopy"/>
            </w:pPr>
            <w:r w:rsidRPr="006B1F74">
              <w:t>Geelong</w:t>
            </w:r>
            <w:r w:rsidR="00A03629" w:rsidRPr="006B1F74">
              <w:t xml:space="preserve"> </w:t>
            </w:r>
            <w:r w:rsidRPr="006B1F74">
              <w:t>City</w:t>
            </w:r>
            <w:r w:rsidR="00A03629" w:rsidRPr="006B1F74">
              <w:t xml:space="preserve"> </w:t>
            </w:r>
            <w:r w:rsidRPr="006B1F74">
              <w:t>Deal</w:t>
            </w:r>
          </w:p>
        </w:tc>
        <w:tc>
          <w:tcPr>
            <w:tcW w:w="1642" w:type="dxa"/>
          </w:tcPr>
          <w:p w14:paraId="138FC0C3" w14:textId="457FBEAA" w:rsidR="000756EB" w:rsidRPr="006B1F74" w:rsidRDefault="004A4D88" w:rsidP="00DE6598">
            <w:pPr>
              <w:pStyle w:val="TableCopy"/>
              <w:jc w:val="right"/>
            </w:pPr>
            <w:r w:rsidRPr="006B1F74">
              <w:t>–</w:t>
            </w:r>
          </w:p>
        </w:tc>
        <w:tc>
          <w:tcPr>
            <w:tcW w:w="1642" w:type="dxa"/>
          </w:tcPr>
          <w:p w14:paraId="0CE2B41D" w14:textId="50C250FB" w:rsidR="000756EB" w:rsidRPr="006B1F74" w:rsidRDefault="004A4D88" w:rsidP="00DE6598">
            <w:pPr>
              <w:pStyle w:val="TableCopy"/>
              <w:jc w:val="right"/>
            </w:pPr>
            <w:r w:rsidRPr="006B1F74">
              <w:t>1,100</w:t>
            </w:r>
          </w:p>
        </w:tc>
      </w:tr>
      <w:tr w:rsidR="000756EB" w:rsidRPr="006B1F74" w14:paraId="49A09027" w14:textId="77777777" w:rsidTr="006B1F74">
        <w:trPr>
          <w:trHeight w:val="113"/>
        </w:trPr>
        <w:tc>
          <w:tcPr>
            <w:tcW w:w="6917" w:type="dxa"/>
          </w:tcPr>
          <w:p w14:paraId="3F0FAA1A" w14:textId="04E60F47" w:rsidR="000756EB" w:rsidRPr="006B1F74" w:rsidRDefault="004A4D88" w:rsidP="006B1F74">
            <w:pPr>
              <w:pStyle w:val="TableCopy"/>
            </w:pPr>
            <w:r w:rsidRPr="006B1F74">
              <w:t>State</w:t>
            </w:r>
            <w:r w:rsidR="00A03629" w:rsidRPr="006B1F74">
              <w:t xml:space="preserve"> </w:t>
            </w:r>
            <w:r w:rsidRPr="006B1F74">
              <w:t>Basketball</w:t>
            </w:r>
            <w:r w:rsidR="00A03629" w:rsidRPr="006B1F74">
              <w:t xml:space="preserve"> </w:t>
            </w:r>
            <w:r w:rsidRPr="006B1F74">
              <w:t>Centre</w:t>
            </w:r>
          </w:p>
        </w:tc>
        <w:tc>
          <w:tcPr>
            <w:tcW w:w="1642" w:type="dxa"/>
          </w:tcPr>
          <w:p w14:paraId="56FD7658" w14:textId="0A8AC1E1" w:rsidR="000756EB" w:rsidRPr="006B1F74" w:rsidRDefault="004A4D88" w:rsidP="00DE6598">
            <w:pPr>
              <w:pStyle w:val="TableCopy"/>
              <w:jc w:val="right"/>
            </w:pPr>
            <w:r w:rsidRPr="006B1F74">
              <w:t>–</w:t>
            </w:r>
          </w:p>
        </w:tc>
        <w:tc>
          <w:tcPr>
            <w:tcW w:w="1642" w:type="dxa"/>
          </w:tcPr>
          <w:p w14:paraId="54B1F212" w14:textId="083C78B5" w:rsidR="000756EB" w:rsidRPr="006B1F74" w:rsidRDefault="004A4D88" w:rsidP="00DE6598">
            <w:pPr>
              <w:pStyle w:val="TableCopy"/>
              <w:jc w:val="right"/>
            </w:pPr>
            <w:r w:rsidRPr="006B1F74">
              <w:t>25,400</w:t>
            </w:r>
          </w:p>
        </w:tc>
      </w:tr>
      <w:tr w:rsidR="000756EB" w:rsidRPr="006B1F74" w14:paraId="48B761D3" w14:textId="77777777" w:rsidTr="006B1F74">
        <w:trPr>
          <w:trHeight w:val="113"/>
        </w:trPr>
        <w:tc>
          <w:tcPr>
            <w:tcW w:w="6917" w:type="dxa"/>
          </w:tcPr>
          <w:p w14:paraId="2FC70C6C" w14:textId="77777777" w:rsidR="000756EB" w:rsidRPr="006B1F74" w:rsidRDefault="000756EB" w:rsidP="006B1F74">
            <w:pPr>
              <w:pStyle w:val="TableCopy"/>
            </w:pPr>
          </w:p>
        </w:tc>
        <w:tc>
          <w:tcPr>
            <w:tcW w:w="1642" w:type="dxa"/>
          </w:tcPr>
          <w:p w14:paraId="0234666D" w14:textId="07057BB2" w:rsidR="000756EB" w:rsidRPr="006B1F74" w:rsidRDefault="004A4D88" w:rsidP="00DE6598">
            <w:pPr>
              <w:pStyle w:val="TableCopy"/>
              <w:jc w:val="right"/>
            </w:pPr>
            <w:r w:rsidRPr="006B1F74">
              <w:t>–</w:t>
            </w:r>
          </w:p>
        </w:tc>
        <w:tc>
          <w:tcPr>
            <w:tcW w:w="1642" w:type="dxa"/>
          </w:tcPr>
          <w:p w14:paraId="2F4A193F" w14:textId="786702B3" w:rsidR="000756EB" w:rsidRPr="006B1F74" w:rsidRDefault="004A4D88" w:rsidP="00DE6598">
            <w:pPr>
              <w:pStyle w:val="TableCopy"/>
              <w:jc w:val="right"/>
            </w:pPr>
            <w:r w:rsidRPr="006B1F74">
              <w:t>27,518</w:t>
            </w:r>
          </w:p>
        </w:tc>
      </w:tr>
      <w:tr w:rsidR="000756EB" w:rsidRPr="00DE6598" w14:paraId="64635894" w14:textId="77777777" w:rsidTr="006B1F74">
        <w:trPr>
          <w:trHeight w:val="113"/>
        </w:trPr>
        <w:tc>
          <w:tcPr>
            <w:tcW w:w="6917" w:type="dxa"/>
          </w:tcPr>
          <w:p w14:paraId="01ECA3BD" w14:textId="13D4712B" w:rsidR="000756EB" w:rsidRPr="00DE6598" w:rsidRDefault="004A4D88" w:rsidP="006B1F74">
            <w:pPr>
              <w:pStyle w:val="TableCopy"/>
              <w:rPr>
                <w:b/>
                <w:bCs/>
              </w:rPr>
            </w:pPr>
            <w:r w:rsidRPr="00DE6598">
              <w:rPr>
                <w:b/>
                <w:bCs/>
              </w:rPr>
              <w:t>Total</w:t>
            </w:r>
            <w:r w:rsidR="00A03629" w:rsidRPr="00DE6598">
              <w:rPr>
                <w:b/>
                <w:bCs/>
              </w:rPr>
              <w:t xml:space="preserve"> </w:t>
            </w:r>
            <w:r w:rsidRPr="00DE6598">
              <w:rPr>
                <w:b/>
                <w:bCs/>
              </w:rPr>
              <w:t>annotated</w:t>
            </w:r>
            <w:r w:rsidR="00A03629" w:rsidRPr="00DE6598">
              <w:rPr>
                <w:b/>
                <w:bCs/>
              </w:rPr>
              <w:t xml:space="preserve"> </w:t>
            </w:r>
            <w:r w:rsidRPr="00DE6598">
              <w:rPr>
                <w:b/>
                <w:bCs/>
              </w:rPr>
              <w:t>income</w:t>
            </w:r>
            <w:r w:rsidR="00A03629" w:rsidRPr="00DE6598">
              <w:rPr>
                <w:b/>
                <w:bCs/>
              </w:rPr>
              <w:t xml:space="preserve"> </w:t>
            </w:r>
            <w:r w:rsidRPr="00DE6598">
              <w:rPr>
                <w:b/>
                <w:bCs/>
              </w:rPr>
              <w:t>agreements</w:t>
            </w:r>
          </w:p>
        </w:tc>
        <w:tc>
          <w:tcPr>
            <w:tcW w:w="1642" w:type="dxa"/>
          </w:tcPr>
          <w:p w14:paraId="6E522BE6" w14:textId="22DF7F38" w:rsidR="000756EB" w:rsidRPr="00DE6598" w:rsidRDefault="004A4D88" w:rsidP="00DE6598">
            <w:pPr>
              <w:pStyle w:val="TableCopy"/>
              <w:jc w:val="right"/>
              <w:rPr>
                <w:b/>
                <w:bCs/>
              </w:rPr>
            </w:pPr>
            <w:r w:rsidRPr="00DE6598">
              <w:rPr>
                <w:b/>
                <w:bCs/>
              </w:rPr>
              <w:t>243,089</w:t>
            </w:r>
          </w:p>
        </w:tc>
        <w:tc>
          <w:tcPr>
            <w:tcW w:w="1642" w:type="dxa"/>
          </w:tcPr>
          <w:p w14:paraId="616B1722" w14:textId="73205A49" w:rsidR="000756EB" w:rsidRPr="00DE6598" w:rsidRDefault="004A4D88" w:rsidP="00DE6598">
            <w:pPr>
              <w:pStyle w:val="TableCopy"/>
              <w:jc w:val="right"/>
              <w:rPr>
                <w:b/>
                <w:bCs/>
              </w:rPr>
            </w:pPr>
            <w:r w:rsidRPr="00DE6598">
              <w:rPr>
                <w:b/>
                <w:bCs/>
              </w:rPr>
              <w:t>3,213,678</w:t>
            </w:r>
          </w:p>
        </w:tc>
      </w:tr>
    </w:tbl>
    <w:p w14:paraId="411EA461" w14:textId="77777777" w:rsidR="000756EB" w:rsidRDefault="000756EB" w:rsidP="00DE6598"/>
    <w:p w14:paraId="4F94EACA" w14:textId="7F3F6BF9" w:rsidR="000756EB" w:rsidRPr="006B1F74" w:rsidRDefault="004A4D88" w:rsidP="006B1F74">
      <w:pPr>
        <w:pStyle w:val="Heading1"/>
      </w:pPr>
      <w:bookmarkStart w:id="22" w:name="_Toc149911802"/>
      <w:r w:rsidRPr="006B1F74">
        <w:lastRenderedPageBreak/>
        <w:t>3.</w:t>
      </w:r>
      <w:r w:rsidR="00A03629" w:rsidRPr="006B1F74">
        <w:t xml:space="preserve"> </w:t>
      </w:r>
      <w:r w:rsidRPr="006B1F74">
        <w:t>The</w:t>
      </w:r>
      <w:r w:rsidR="00A03629" w:rsidRPr="006B1F74">
        <w:t xml:space="preserve"> </w:t>
      </w:r>
      <w:r w:rsidRPr="006B1F74">
        <w:t>Cost</w:t>
      </w:r>
      <w:r w:rsidR="00A03629" w:rsidRPr="006B1F74">
        <w:t xml:space="preserve"> </w:t>
      </w:r>
      <w:r w:rsidRPr="006B1F74">
        <w:t>of</w:t>
      </w:r>
      <w:r w:rsidR="00A03629" w:rsidRPr="006B1F74">
        <w:t xml:space="preserve"> </w:t>
      </w:r>
      <w:r w:rsidRPr="006B1F74">
        <w:t>Delivering</w:t>
      </w:r>
      <w:r w:rsidR="00A03629" w:rsidRPr="006B1F74">
        <w:t xml:space="preserve"> </w:t>
      </w:r>
      <w:r w:rsidRPr="006B1F74">
        <w:t>Services</w:t>
      </w:r>
      <w:bookmarkEnd w:id="22"/>
    </w:p>
    <w:p w14:paraId="1F002126" w14:textId="77777777" w:rsidR="000756EB" w:rsidRDefault="004A4D88" w:rsidP="00DE6598">
      <w:pPr>
        <w:pStyle w:val="Heading2"/>
      </w:pPr>
      <w:bookmarkStart w:id="23" w:name="_Toc149911803"/>
      <w:r>
        <w:t>Introduction</w:t>
      </w:r>
      <w:bookmarkEnd w:id="23"/>
    </w:p>
    <w:p w14:paraId="63047982" w14:textId="64387D9A" w:rsidR="000756EB" w:rsidRDefault="004A4D88" w:rsidP="00DE6598">
      <w:r>
        <w:t>This</w:t>
      </w:r>
      <w:r w:rsidR="00A03629">
        <w:t xml:space="preserve"> </w:t>
      </w:r>
      <w:r>
        <w:t>section</w:t>
      </w:r>
      <w:r w:rsidR="00A03629">
        <w:t xml:space="preserve"> </w:t>
      </w:r>
      <w:r>
        <w:t>provides</w:t>
      </w:r>
      <w:r w:rsidR="00A03629">
        <w:t xml:space="preserve"> </w:t>
      </w:r>
      <w:r>
        <w:t>an</w:t>
      </w:r>
      <w:r w:rsidR="00A03629">
        <w:t xml:space="preserve"> </w:t>
      </w:r>
      <w:r>
        <w:t>account</w:t>
      </w:r>
      <w:r w:rsidR="00A03629">
        <w:t xml:space="preserve"> </w:t>
      </w:r>
      <w:r>
        <w:t>of</w:t>
      </w:r>
      <w:r w:rsidR="00A03629">
        <w:t xml:space="preserve"> </w:t>
      </w:r>
      <w:r>
        <w:t>the</w:t>
      </w:r>
      <w:r w:rsidR="00A03629">
        <w:t xml:space="preserve"> </w:t>
      </w:r>
      <w:r>
        <w:t>expenses</w:t>
      </w:r>
      <w:r w:rsidR="00A03629">
        <w:t xml:space="preserve"> </w:t>
      </w:r>
      <w:r>
        <w:t>incurred</w:t>
      </w:r>
      <w:r w:rsidR="00A03629">
        <w:t xml:space="preserve"> </w:t>
      </w:r>
      <w:r>
        <w:t>by</w:t>
      </w:r>
      <w:r w:rsidR="00A03629">
        <w:t xml:space="preserve"> </w:t>
      </w:r>
      <w:r>
        <w:t>DJSIR</w:t>
      </w:r>
      <w:r w:rsidR="00A03629">
        <w:t xml:space="preserve"> </w:t>
      </w:r>
      <w:r>
        <w:t>in</w:t>
      </w:r>
      <w:r w:rsidR="00A03629">
        <w:t xml:space="preserve"> </w:t>
      </w:r>
      <w:r>
        <w:t>delivering</w:t>
      </w:r>
      <w:r w:rsidR="00A03629">
        <w:t xml:space="preserve"> </w:t>
      </w:r>
      <w:r>
        <w:t>services</w:t>
      </w:r>
      <w:r w:rsidR="00A03629">
        <w:t xml:space="preserve"> </w:t>
      </w:r>
      <w:r>
        <w:t>and</w:t>
      </w:r>
      <w:r w:rsidR="00A03629">
        <w:rPr>
          <w:rFonts w:ascii="Cambria" w:hAnsi="Cambria" w:cs="Cambria"/>
        </w:rPr>
        <w:t xml:space="preserve"> </w:t>
      </w:r>
      <w:r>
        <w:t>outputs.</w:t>
      </w:r>
      <w:r w:rsidR="00A03629">
        <w:t xml:space="preserve"> </w:t>
      </w:r>
      <w:r>
        <w:t>In</w:t>
      </w:r>
      <w:r w:rsidR="00A03629">
        <w:t xml:space="preserve"> </w:t>
      </w:r>
      <w:r>
        <w:t>Note</w:t>
      </w:r>
      <w:r w:rsidR="00A03629">
        <w:t xml:space="preserve"> </w:t>
      </w:r>
      <w:r>
        <w:t>2</w:t>
      </w:r>
      <w:r w:rsidR="00A03629">
        <w:t xml:space="preserve"> </w:t>
      </w:r>
      <w:r>
        <w:t>–</w:t>
      </w:r>
      <w:r w:rsidR="00A03629">
        <w:t xml:space="preserve"> </w:t>
      </w:r>
      <w:r>
        <w:t>Funding</w:t>
      </w:r>
      <w:r w:rsidR="00A03629">
        <w:t xml:space="preserve"> </w:t>
      </w:r>
      <w:r>
        <w:t>delivery</w:t>
      </w:r>
      <w:r w:rsidR="00A03629">
        <w:t xml:space="preserve"> </w:t>
      </w:r>
      <w:r>
        <w:t>of</w:t>
      </w:r>
      <w:r w:rsidR="00A03629">
        <w:t xml:space="preserve"> </w:t>
      </w:r>
      <w:r>
        <w:t>our</w:t>
      </w:r>
      <w:r w:rsidR="00A03629">
        <w:t xml:space="preserve"> </w:t>
      </w:r>
      <w:r>
        <w:t>services,</w:t>
      </w:r>
      <w:r w:rsidR="00A03629">
        <w:t xml:space="preserve"> </w:t>
      </w:r>
      <w:r>
        <w:t>the</w:t>
      </w:r>
      <w:r w:rsidR="00A03629">
        <w:t xml:space="preserve"> </w:t>
      </w:r>
      <w:r>
        <w:t>funds</w:t>
      </w:r>
      <w:r w:rsidR="00A03629">
        <w:t xml:space="preserve"> </w:t>
      </w:r>
      <w:r>
        <w:t>that</w:t>
      </w:r>
      <w:r w:rsidR="00A03629">
        <w:t xml:space="preserve"> </w:t>
      </w:r>
      <w:r>
        <w:t>enable</w:t>
      </w:r>
      <w:r w:rsidR="00A03629">
        <w:t xml:space="preserve"> </w:t>
      </w:r>
      <w:r>
        <w:t>the</w:t>
      </w:r>
      <w:r w:rsidR="00A03629">
        <w:t xml:space="preserve"> </w:t>
      </w:r>
      <w:r>
        <w:t>provision</w:t>
      </w:r>
      <w:r w:rsidR="00A03629">
        <w:t xml:space="preserve"> </w:t>
      </w:r>
      <w:r>
        <w:t>of</w:t>
      </w:r>
      <w:r w:rsidR="00A03629">
        <w:t xml:space="preserve"> </w:t>
      </w:r>
      <w:r>
        <w:t>services</w:t>
      </w:r>
      <w:r w:rsidR="00A03629">
        <w:t xml:space="preserve"> </w:t>
      </w:r>
      <w:r>
        <w:t>were</w:t>
      </w:r>
      <w:r w:rsidR="00A03629">
        <w:t xml:space="preserve"> </w:t>
      </w:r>
      <w:r>
        <w:t>disclosed.</w:t>
      </w:r>
      <w:r w:rsidR="00A03629">
        <w:t xml:space="preserve"> </w:t>
      </w:r>
      <w:r>
        <w:t>Note</w:t>
      </w:r>
      <w:r w:rsidR="00A03629">
        <w:t xml:space="preserve"> </w:t>
      </w:r>
      <w:r>
        <w:t>4</w:t>
      </w:r>
      <w:r w:rsidR="00A03629">
        <w:t xml:space="preserve"> </w:t>
      </w:r>
      <w:r>
        <w:t>–</w:t>
      </w:r>
      <w:r w:rsidR="00A03629">
        <w:t xml:space="preserve"> </w:t>
      </w:r>
      <w:r>
        <w:t>Disaggregated</w:t>
      </w:r>
      <w:r w:rsidR="00A03629">
        <w:t xml:space="preserve"> </w:t>
      </w:r>
      <w:r>
        <w:t>financial</w:t>
      </w:r>
      <w:r w:rsidR="00A03629">
        <w:t xml:space="preserve"> </w:t>
      </w:r>
      <w:r>
        <w:t>information</w:t>
      </w:r>
      <w:r w:rsidR="00A03629">
        <w:t xml:space="preserve"> </w:t>
      </w:r>
      <w:r>
        <w:t>by</w:t>
      </w:r>
      <w:r w:rsidR="00A03629">
        <w:t xml:space="preserve"> </w:t>
      </w:r>
      <w:r>
        <w:t>output,</w:t>
      </w:r>
      <w:r w:rsidR="00A03629">
        <w:t xml:space="preserve"> </w:t>
      </w:r>
      <w:r>
        <w:t>discloses</w:t>
      </w:r>
      <w:r w:rsidR="00A03629">
        <w:t xml:space="preserve"> </w:t>
      </w:r>
      <w:r>
        <w:t>aggregated</w:t>
      </w:r>
      <w:r w:rsidR="00A03629">
        <w:t xml:space="preserve"> </w:t>
      </w:r>
      <w:r>
        <w:t>information</w:t>
      </w:r>
      <w:r w:rsidR="00A03629">
        <w:t xml:space="preserve"> </w:t>
      </w:r>
      <w:r>
        <w:t>in</w:t>
      </w:r>
      <w:r w:rsidR="00A03629">
        <w:t xml:space="preserve"> </w:t>
      </w:r>
      <w:r>
        <w:t>relation</w:t>
      </w:r>
      <w:r w:rsidR="00A03629">
        <w:rPr>
          <w:rFonts w:ascii="Cambria" w:hAnsi="Cambria" w:cs="Cambria"/>
        </w:rPr>
        <w:t xml:space="preserve"> </w:t>
      </w:r>
      <w:r>
        <w:t>to</w:t>
      </w:r>
      <w:r w:rsidR="00A03629">
        <w:t xml:space="preserve"> </w:t>
      </w:r>
      <w:r>
        <w:t>the</w:t>
      </w:r>
      <w:r w:rsidR="00A03629">
        <w:t xml:space="preserve"> </w:t>
      </w:r>
      <w:r>
        <w:t>income</w:t>
      </w:r>
      <w:r w:rsidR="00A03629">
        <w:t xml:space="preserve"> </w:t>
      </w:r>
      <w:r>
        <w:t>and</w:t>
      </w:r>
      <w:r w:rsidR="00A03629">
        <w:t xml:space="preserve"> </w:t>
      </w:r>
      <w:r>
        <w:t>expenses</w:t>
      </w:r>
      <w:r w:rsidR="00A03629">
        <w:t xml:space="preserve"> </w:t>
      </w:r>
      <w:r>
        <w:t>by</w:t>
      </w:r>
      <w:r w:rsidR="00A03629">
        <w:t xml:space="preserve"> </w:t>
      </w:r>
      <w:r>
        <w:t>output.</w:t>
      </w:r>
    </w:p>
    <w:p w14:paraId="3DB64DBD" w14:textId="77777777" w:rsidR="000756EB" w:rsidRDefault="004A4D88" w:rsidP="001E29DD">
      <w:pPr>
        <w:pStyle w:val="Heading3"/>
      </w:pPr>
      <w:r>
        <w:t>Structure</w:t>
      </w:r>
    </w:p>
    <w:p w14:paraId="15D11983" w14:textId="226CBF20" w:rsidR="000756EB" w:rsidRDefault="004A4D88" w:rsidP="00DE6598">
      <w:r>
        <w:t>3.1</w:t>
      </w:r>
      <w:r>
        <w:tab/>
        <w:t>Expenses</w:t>
      </w:r>
      <w:r w:rsidR="00A03629">
        <w:t xml:space="preserve"> </w:t>
      </w:r>
      <w:r>
        <w:t>incurred</w:t>
      </w:r>
      <w:r w:rsidR="00A03629">
        <w:t xml:space="preserve"> </w:t>
      </w:r>
      <w:r>
        <w:t>in</w:t>
      </w:r>
      <w:r w:rsidR="00A03629">
        <w:t xml:space="preserve"> </w:t>
      </w:r>
      <w:r>
        <w:t>delivery</w:t>
      </w:r>
      <w:r w:rsidR="00A03629">
        <w:t xml:space="preserve"> </w:t>
      </w:r>
      <w:r>
        <w:t>of</w:t>
      </w:r>
      <w:r w:rsidR="00A03629">
        <w:t xml:space="preserve"> </w:t>
      </w:r>
      <w:r>
        <w:t>services</w:t>
      </w:r>
    </w:p>
    <w:p w14:paraId="11CC85DE" w14:textId="5B48EA01" w:rsidR="000756EB" w:rsidRDefault="004A4D88" w:rsidP="00DE6598">
      <w:r>
        <w:t>3.2</w:t>
      </w:r>
      <w:r>
        <w:tab/>
        <w:t>Grant</w:t>
      </w:r>
      <w:r w:rsidR="00A03629">
        <w:t xml:space="preserve"> </w:t>
      </w:r>
      <w:r>
        <w:t>expenses</w:t>
      </w:r>
    </w:p>
    <w:p w14:paraId="6E384FDD" w14:textId="74453142" w:rsidR="000756EB" w:rsidRDefault="004A4D88" w:rsidP="00DE6598">
      <w:r>
        <w:t>3.3</w:t>
      </w:r>
      <w:r>
        <w:tab/>
        <w:t>Employee</w:t>
      </w:r>
      <w:r w:rsidR="00A03629">
        <w:t xml:space="preserve"> </w:t>
      </w:r>
      <w:r>
        <w:t>benefits</w:t>
      </w:r>
    </w:p>
    <w:p w14:paraId="015CD6A9" w14:textId="7B0FBA16" w:rsidR="000756EB" w:rsidRDefault="004A4D88" w:rsidP="00DE6598">
      <w:r>
        <w:t>3.4</w:t>
      </w:r>
      <w:r>
        <w:tab/>
        <w:t>Other</w:t>
      </w:r>
      <w:r w:rsidR="00A03629">
        <w:t xml:space="preserve"> </w:t>
      </w:r>
      <w:r>
        <w:t>operating</w:t>
      </w:r>
      <w:r w:rsidR="00A03629">
        <w:t xml:space="preserve"> </w:t>
      </w:r>
      <w:r>
        <w:t>expenses</w:t>
      </w:r>
    </w:p>
    <w:p w14:paraId="649BDB79" w14:textId="01AFBF97" w:rsidR="000756EB" w:rsidRDefault="004A4D88" w:rsidP="00DE6598">
      <w:pPr>
        <w:pStyle w:val="Heading2"/>
      </w:pPr>
      <w:bookmarkStart w:id="24" w:name="_Toc149911804"/>
      <w:r>
        <w:t>3.1</w:t>
      </w:r>
      <w:r w:rsidR="00DE38B5">
        <w:t xml:space="preserve"> </w:t>
      </w:r>
      <w:r>
        <w:t>Expenses</w:t>
      </w:r>
      <w:r w:rsidR="00A03629">
        <w:t xml:space="preserve"> </w:t>
      </w:r>
      <w:r>
        <w:t>incurred</w:t>
      </w:r>
      <w:r w:rsidR="00A03629">
        <w:t xml:space="preserve"> </w:t>
      </w:r>
      <w:r>
        <w:t>in</w:t>
      </w:r>
      <w:r w:rsidR="00A03629">
        <w:t xml:space="preserve"> </w:t>
      </w:r>
      <w:r>
        <w:t>delivery</w:t>
      </w:r>
      <w:r w:rsidR="00A03629">
        <w:t xml:space="preserve"> </w:t>
      </w:r>
      <w:r>
        <w:t>of</w:t>
      </w:r>
      <w:r w:rsidR="00A03629">
        <w:t xml:space="preserve"> </w:t>
      </w:r>
      <w:r>
        <w:t>services</w:t>
      </w:r>
      <w:bookmarkEnd w:id="24"/>
    </w:p>
    <w:tbl>
      <w:tblPr>
        <w:tblStyle w:val="TableGrid"/>
        <w:tblW w:w="10201" w:type="dxa"/>
        <w:tblLayout w:type="fixed"/>
        <w:tblLook w:val="0020" w:firstRow="1" w:lastRow="0" w:firstColumn="0" w:lastColumn="0" w:noHBand="0" w:noVBand="0"/>
      </w:tblPr>
      <w:tblGrid>
        <w:gridCol w:w="5783"/>
        <w:gridCol w:w="1134"/>
        <w:gridCol w:w="1642"/>
        <w:gridCol w:w="1642"/>
      </w:tblGrid>
      <w:tr w:rsidR="000756EB" w:rsidRPr="00B03D10" w14:paraId="56811360" w14:textId="77777777" w:rsidTr="00B03D10">
        <w:trPr>
          <w:trHeight w:val="60"/>
        </w:trPr>
        <w:tc>
          <w:tcPr>
            <w:tcW w:w="5783" w:type="dxa"/>
          </w:tcPr>
          <w:p w14:paraId="100D42D0" w14:textId="77777777" w:rsidR="000756EB" w:rsidRPr="00B03D10" w:rsidRDefault="000756EB" w:rsidP="00B03D10">
            <w:pPr>
              <w:pStyle w:val="TableColumnHeading"/>
            </w:pPr>
            <w:bookmarkStart w:id="25" w:name="ColumnTitles_8"/>
            <w:bookmarkEnd w:id="25"/>
          </w:p>
        </w:tc>
        <w:tc>
          <w:tcPr>
            <w:tcW w:w="1134" w:type="dxa"/>
          </w:tcPr>
          <w:p w14:paraId="67C8E8C5" w14:textId="77777777" w:rsidR="000756EB" w:rsidRPr="00B03D10" w:rsidRDefault="004A4D88" w:rsidP="00B03D10">
            <w:pPr>
              <w:pStyle w:val="TableColumnHeading"/>
              <w:jc w:val="right"/>
            </w:pPr>
            <w:r w:rsidRPr="00B03D10">
              <w:t>Note</w:t>
            </w:r>
          </w:p>
        </w:tc>
        <w:tc>
          <w:tcPr>
            <w:tcW w:w="1642" w:type="dxa"/>
          </w:tcPr>
          <w:p w14:paraId="2196CB26" w14:textId="7A13EAB6" w:rsidR="000756EB" w:rsidRPr="00B03D10" w:rsidRDefault="004A4D88" w:rsidP="00B03D10">
            <w:pPr>
              <w:pStyle w:val="TableColumnHeading"/>
              <w:jc w:val="right"/>
            </w:pPr>
            <w:r w:rsidRPr="00B03D10">
              <w:t>2023</w:t>
            </w:r>
            <w:r w:rsidR="00B03D10" w:rsidRPr="00B03D10">
              <w:t xml:space="preserve"> ($ thousand)</w:t>
            </w:r>
            <w:r w:rsidR="00A03629" w:rsidRPr="00B03D10">
              <w:t xml:space="preserve"> </w:t>
            </w:r>
          </w:p>
        </w:tc>
        <w:tc>
          <w:tcPr>
            <w:tcW w:w="1642" w:type="dxa"/>
          </w:tcPr>
          <w:p w14:paraId="30FC34C4" w14:textId="173B3B43" w:rsidR="000756EB" w:rsidRPr="00B03D10" w:rsidRDefault="004A4D88" w:rsidP="00B03D10">
            <w:pPr>
              <w:pStyle w:val="TableColumnHeading"/>
              <w:jc w:val="right"/>
            </w:pPr>
            <w:r w:rsidRPr="00B03D10">
              <w:t>2022</w:t>
            </w:r>
            <w:r w:rsidR="00B03D10" w:rsidRPr="00B03D10">
              <w:t xml:space="preserve"> ($ thousand)</w:t>
            </w:r>
          </w:p>
        </w:tc>
      </w:tr>
      <w:tr w:rsidR="000756EB" w:rsidRPr="00B03D10" w14:paraId="512A3542" w14:textId="77777777" w:rsidTr="00B03D10">
        <w:trPr>
          <w:trHeight w:val="60"/>
        </w:trPr>
        <w:tc>
          <w:tcPr>
            <w:tcW w:w="5783" w:type="dxa"/>
          </w:tcPr>
          <w:p w14:paraId="30D1315A" w14:textId="5B9D40EE" w:rsidR="000756EB" w:rsidRPr="00B03D10" w:rsidRDefault="004A4D88" w:rsidP="00B03D10">
            <w:pPr>
              <w:pStyle w:val="TableCopy"/>
            </w:pPr>
            <w:r w:rsidRPr="00B03D10">
              <w:t>Grant</w:t>
            </w:r>
            <w:r w:rsidR="00A03629" w:rsidRPr="00B03D10">
              <w:t xml:space="preserve"> </w:t>
            </w:r>
            <w:r w:rsidRPr="00B03D10">
              <w:t>expenses</w:t>
            </w:r>
          </w:p>
        </w:tc>
        <w:tc>
          <w:tcPr>
            <w:tcW w:w="1134" w:type="dxa"/>
          </w:tcPr>
          <w:p w14:paraId="645F1D9D" w14:textId="78DBEF0D" w:rsidR="000756EB" w:rsidRPr="00B03D10" w:rsidRDefault="004A4D88" w:rsidP="00B03D10">
            <w:pPr>
              <w:pStyle w:val="TableCopy"/>
              <w:jc w:val="right"/>
            </w:pPr>
            <w:r w:rsidRPr="00B03D10">
              <w:t>3.2</w:t>
            </w:r>
            <w:r w:rsidR="00A03629" w:rsidRPr="00B03D10">
              <w:t xml:space="preserve"> </w:t>
            </w:r>
          </w:p>
        </w:tc>
        <w:tc>
          <w:tcPr>
            <w:tcW w:w="1642" w:type="dxa"/>
          </w:tcPr>
          <w:p w14:paraId="2FFFFAA9" w14:textId="77777777" w:rsidR="000756EB" w:rsidRPr="00B03D10" w:rsidRDefault="004A4D88" w:rsidP="00B03D10">
            <w:pPr>
              <w:pStyle w:val="TableCopy"/>
              <w:jc w:val="right"/>
            </w:pPr>
            <w:r w:rsidRPr="00B03D10">
              <w:t>(2,926,786)</w:t>
            </w:r>
          </w:p>
        </w:tc>
        <w:tc>
          <w:tcPr>
            <w:tcW w:w="1642" w:type="dxa"/>
          </w:tcPr>
          <w:p w14:paraId="0A3FEB15" w14:textId="77777777" w:rsidR="000756EB" w:rsidRPr="00B03D10" w:rsidRDefault="004A4D88" w:rsidP="00B03D10">
            <w:pPr>
              <w:pStyle w:val="TableCopy"/>
              <w:jc w:val="right"/>
            </w:pPr>
            <w:r w:rsidRPr="00B03D10">
              <w:t>(9,892,275)</w:t>
            </w:r>
          </w:p>
        </w:tc>
      </w:tr>
      <w:tr w:rsidR="000756EB" w:rsidRPr="00B03D10" w14:paraId="40D1CBA2" w14:textId="77777777" w:rsidTr="00B03D10">
        <w:trPr>
          <w:trHeight w:val="60"/>
        </w:trPr>
        <w:tc>
          <w:tcPr>
            <w:tcW w:w="5783" w:type="dxa"/>
          </w:tcPr>
          <w:p w14:paraId="5B49FA65" w14:textId="3C332C47" w:rsidR="000756EB" w:rsidRPr="00B03D10" w:rsidRDefault="004A4D88" w:rsidP="00B03D10">
            <w:pPr>
              <w:pStyle w:val="TableCopy"/>
            </w:pPr>
            <w:r w:rsidRPr="00B03D10">
              <w:t>Employee</w:t>
            </w:r>
            <w:r w:rsidR="00A03629" w:rsidRPr="00B03D10">
              <w:t xml:space="preserve"> </w:t>
            </w:r>
            <w:r w:rsidRPr="00B03D10">
              <w:t>benefits</w:t>
            </w:r>
          </w:p>
        </w:tc>
        <w:tc>
          <w:tcPr>
            <w:tcW w:w="1134" w:type="dxa"/>
          </w:tcPr>
          <w:p w14:paraId="4017D13A" w14:textId="4D10829A" w:rsidR="000756EB" w:rsidRPr="00B03D10" w:rsidRDefault="004A4D88" w:rsidP="00B03D10">
            <w:pPr>
              <w:pStyle w:val="TableCopy"/>
              <w:jc w:val="right"/>
            </w:pPr>
            <w:r w:rsidRPr="00B03D10">
              <w:t>3.3</w:t>
            </w:r>
            <w:r w:rsidR="00A03629" w:rsidRPr="00B03D10">
              <w:t xml:space="preserve"> </w:t>
            </w:r>
          </w:p>
        </w:tc>
        <w:tc>
          <w:tcPr>
            <w:tcW w:w="1642" w:type="dxa"/>
          </w:tcPr>
          <w:p w14:paraId="6CC2846C" w14:textId="77777777" w:rsidR="000756EB" w:rsidRPr="00B03D10" w:rsidRDefault="004A4D88" w:rsidP="00B03D10">
            <w:pPr>
              <w:pStyle w:val="TableCopy"/>
              <w:jc w:val="right"/>
            </w:pPr>
            <w:r w:rsidRPr="00B03D10">
              <w:t>(488,156)</w:t>
            </w:r>
          </w:p>
        </w:tc>
        <w:tc>
          <w:tcPr>
            <w:tcW w:w="1642" w:type="dxa"/>
          </w:tcPr>
          <w:p w14:paraId="7D5F01B7" w14:textId="77777777" w:rsidR="000756EB" w:rsidRPr="00B03D10" w:rsidRDefault="004A4D88" w:rsidP="00B03D10">
            <w:pPr>
              <w:pStyle w:val="TableCopy"/>
              <w:jc w:val="right"/>
            </w:pPr>
            <w:r w:rsidRPr="00B03D10">
              <w:t>(577,228)</w:t>
            </w:r>
          </w:p>
        </w:tc>
      </w:tr>
      <w:tr w:rsidR="000756EB" w:rsidRPr="00B03D10" w14:paraId="54A5D2F4" w14:textId="77777777" w:rsidTr="00B03D10">
        <w:trPr>
          <w:trHeight w:val="60"/>
        </w:trPr>
        <w:tc>
          <w:tcPr>
            <w:tcW w:w="5783" w:type="dxa"/>
          </w:tcPr>
          <w:p w14:paraId="4B7DCCF5" w14:textId="701CEE3B" w:rsidR="000756EB" w:rsidRPr="00B03D10" w:rsidRDefault="004A4D88" w:rsidP="00B03D10">
            <w:pPr>
              <w:pStyle w:val="TableCopy"/>
            </w:pPr>
            <w:r w:rsidRPr="00B03D10">
              <w:t>Other</w:t>
            </w:r>
            <w:r w:rsidR="00A03629" w:rsidRPr="00B03D10">
              <w:t xml:space="preserve"> </w:t>
            </w:r>
            <w:r w:rsidRPr="00B03D10">
              <w:t>operating</w:t>
            </w:r>
            <w:r w:rsidR="00A03629" w:rsidRPr="00B03D10">
              <w:t xml:space="preserve"> </w:t>
            </w:r>
            <w:r w:rsidRPr="00B03D10">
              <w:t>expenses</w:t>
            </w:r>
          </w:p>
        </w:tc>
        <w:tc>
          <w:tcPr>
            <w:tcW w:w="1134" w:type="dxa"/>
          </w:tcPr>
          <w:p w14:paraId="342CBB4E" w14:textId="1FF60B62" w:rsidR="000756EB" w:rsidRPr="00B03D10" w:rsidRDefault="004A4D88" w:rsidP="00B03D10">
            <w:pPr>
              <w:pStyle w:val="TableCopy"/>
              <w:jc w:val="right"/>
            </w:pPr>
            <w:r w:rsidRPr="00B03D10">
              <w:t>3.4</w:t>
            </w:r>
            <w:r w:rsidR="00A03629" w:rsidRPr="00B03D10">
              <w:t xml:space="preserve"> </w:t>
            </w:r>
          </w:p>
        </w:tc>
        <w:tc>
          <w:tcPr>
            <w:tcW w:w="1642" w:type="dxa"/>
          </w:tcPr>
          <w:p w14:paraId="331A732F" w14:textId="77777777" w:rsidR="000756EB" w:rsidRPr="00B03D10" w:rsidRDefault="004A4D88" w:rsidP="00B03D10">
            <w:pPr>
              <w:pStyle w:val="TableCopy"/>
              <w:jc w:val="right"/>
            </w:pPr>
            <w:r w:rsidRPr="00B03D10">
              <w:t>(555,602)</w:t>
            </w:r>
          </w:p>
        </w:tc>
        <w:tc>
          <w:tcPr>
            <w:tcW w:w="1642" w:type="dxa"/>
          </w:tcPr>
          <w:p w14:paraId="18C18F5E" w14:textId="77777777" w:rsidR="000756EB" w:rsidRPr="00B03D10" w:rsidRDefault="004A4D88" w:rsidP="00B03D10">
            <w:pPr>
              <w:pStyle w:val="TableCopy"/>
              <w:jc w:val="right"/>
            </w:pPr>
            <w:r w:rsidRPr="00B03D10">
              <w:t>(454,254)</w:t>
            </w:r>
          </w:p>
        </w:tc>
      </w:tr>
      <w:tr w:rsidR="000756EB" w:rsidRPr="00B03D10" w14:paraId="7B616123" w14:textId="77777777" w:rsidTr="00B03D10">
        <w:trPr>
          <w:trHeight w:val="60"/>
        </w:trPr>
        <w:tc>
          <w:tcPr>
            <w:tcW w:w="5783" w:type="dxa"/>
          </w:tcPr>
          <w:p w14:paraId="789AB141" w14:textId="5CC17EB4" w:rsidR="000756EB" w:rsidRPr="00B03D10" w:rsidRDefault="004A4D88" w:rsidP="00B03D10">
            <w:pPr>
              <w:pStyle w:val="TableCopy"/>
              <w:rPr>
                <w:b/>
                <w:bCs/>
              </w:rPr>
            </w:pPr>
            <w:r w:rsidRPr="00B03D10">
              <w:rPr>
                <w:b/>
                <w:bCs/>
              </w:rPr>
              <w:t>Total</w:t>
            </w:r>
            <w:r w:rsidR="00A03629" w:rsidRPr="00B03D10">
              <w:rPr>
                <w:b/>
                <w:bCs/>
              </w:rPr>
              <w:t xml:space="preserve"> </w:t>
            </w:r>
            <w:r w:rsidRPr="00B03D10">
              <w:rPr>
                <w:b/>
                <w:bCs/>
              </w:rPr>
              <w:t>expenses</w:t>
            </w:r>
            <w:r w:rsidR="00A03629" w:rsidRPr="00B03D10">
              <w:rPr>
                <w:b/>
                <w:bCs/>
              </w:rPr>
              <w:t xml:space="preserve"> </w:t>
            </w:r>
            <w:r w:rsidRPr="00B03D10">
              <w:rPr>
                <w:b/>
                <w:bCs/>
              </w:rPr>
              <w:t>incurred</w:t>
            </w:r>
            <w:r w:rsidR="00A03629" w:rsidRPr="00B03D10">
              <w:rPr>
                <w:b/>
                <w:bCs/>
              </w:rPr>
              <w:t xml:space="preserve"> </w:t>
            </w:r>
            <w:r w:rsidRPr="00B03D10">
              <w:rPr>
                <w:b/>
                <w:bCs/>
              </w:rPr>
              <w:t>in</w:t>
            </w:r>
            <w:r w:rsidR="00A03629" w:rsidRPr="00B03D10">
              <w:rPr>
                <w:b/>
                <w:bCs/>
              </w:rPr>
              <w:t xml:space="preserve"> </w:t>
            </w:r>
            <w:r w:rsidRPr="00B03D10">
              <w:rPr>
                <w:b/>
                <w:bCs/>
              </w:rPr>
              <w:t>delivery</w:t>
            </w:r>
            <w:r w:rsidR="00A03629" w:rsidRPr="00B03D10">
              <w:rPr>
                <w:b/>
                <w:bCs/>
              </w:rPr>
              <w:t xml:space="preserve"> </w:t>
            </w:r>
            <w:r w:rsidRPr="00B03D10">
              <w:rPr>
                <w:b/>
                <w:bCs/>
              </w:rPr>
              <w:t>of</w:t>
            </w:r>
            <w:r w:rsidR="00A03629" w:rsidRPr="00B03D10">
              <w:rPr>
                <w:b/>
                <w:bCs/>
              </w:rPr>
              <w:t xml:space="preserve"> </w:t>
            </w:r>
            <w:r w:rsidRPr="00B03D10">
              <w:rPr>
                <w:b/>
                <w:bCs/>
              </w:rPr>
              <w:t>services</w:t>
            </w:r>
          </w:p>
        </w:tc>
        <w:tc>
          <w:tcPr>
            <w:tcW w:w="1134" w:type="dxa"/>
          </w:tcPr>
          <w:p w14:paraId="618F09EA" w14:textId="77777777" w:rsidR="000756EB" w:rsidRPr="00B03D10" w:rsidRDefault="000756EB" w:rsidP="00B03D10">
            <w:pPr>
              <w:pStyle w:val="TableCopy"/>
              <w:jc w:val="right"/>
              <w:rPr>
                <w:b/>
                <w:bCs/>
              </w:rPr>
            </w:pPr>
          </w:p>
        </w:tc>
        <w:tc>
          <w:tcPr>
            <w:tcW w:w="1642" w:type="dxa"/>
          </w:tcPr>
          <w:p w14:paraId="477C4739" w14:textId="77777777" w:rsidR="000756EB" w:rsidRPr="00B03D10" w:rsidRDefault="004A4D88" w:rsidP="00B03D10">
            <w:pPr>
              <w:pStyle w:val="TableCopy"/>
              <w:jc w:val="right"/>
              <w:rPr>
                <w:b/>
                <w:bCs/>
              </w:rPr>
            </w:pPr>
            <w:r w:rsidRPr="00B03D10">
              <w:rPr>
                <w:b/>
                <w:bCs/>
              </w:rPr>
              <w:t>(3,970,544)</w:t>
            </w:r>
          </w:p>
        </w:tc>
        <w:tc>
          <w:tcPr>
            <w:tcW w:w="1642" w:type="dxa"/>
          </w:tcPr>
          <w:p w14:paraId="05C54128" w14:textId="77777777" w:rsidR="000756EB" w:rsidRPr="00B03D10" w:rsidRDefault="004A4D88" w:rsidP="00B03D10">
            <w:pPr>
              <w:pStyle w:val="TableCopy"/>
              <w:jc w:val="right"/>
              <w:rPr>
                <w:b/>
                <w:bCs/>
              </w:rPr>
            </w:pPr>
            <w:r w:rsidRPr="00B03D10">
              <w:rPr>
                <w:b/>
                <w:bCs/>
              </w:rPr>
              <w:t>(10,923,757)</w:t>
            </w:r>
          </w:p>
        </w:tc>
      </w:tr>
    </w:tbl>
    <w:p w14:paraId="61D8721A" w14:textId="77777777" w:rsidR="000756EB" w:rsidRDefault="000756EB" w:rsidP="00B03D10"/>
    <w:p w14:paraId="479E28FC" w14:textId="6A44DD18" w:rsidR="000756EB" w:rsidRDefault="004A4D88" w:rsidP="00B03D10">
      <w:r>
        <w:t>The</w:t>
      </w:r>
      <w:r w:rsidR="00A03629">
        <w:t xml:space="preserve"> </w:t>
      </w:r>
      <w:r>
        <w:t>above</w:t>
      </w:r>
      <w:r w:rsidR="00A03629">
        <w:t xml:space="preserve"> </w:t>
      </w:r>
      <w:r>
        <w:t>table</w:t>
      </w:r>
      <w:r w:rsidR="00A03629">
        <w:t xml:space="preserve"> </w:t>
      </w:r>
      <w:r>
        <w:t>excludes</w:t>
      </w:r>
      <w:r w:rsidR="00A03629">
        <w:t xml:space="preserve"> </w:t>
      </w:r>
      <w:r>
        <w:t>depreciation</w:t>
      </w:r>
      <w:r w:rsidR="00A03629">
        <w:t xml:space="preserve"> </w:t>
      </w:r>
      <w:r>
        <w:t>and</w:t>
      </w:r>
      <w:r w:rsidR="00A03629">
        <w:t xml:space="preserve"> </w:t>
      </w:r>
      <w:r>
        <w:t>amortisation</w:t>
      </w:r>
      <w:r w:rsidR="00A03629">
        <w:t xml:space="preserve"> </w:t>
      </w:r>
      <w:r>
        <w:t>expenses</w:t>
      </w:r>
      <w:r w:rsidR="00A03629">
        <w:t xml:space="preserve"> </w:t>
      </w:r>
      <w:r>
        <w:t>which</w:t>
      </w:r>
      <w:r w:rsidR="00A03629">
        <w:t xml:space="preserve"> </w:t>
      </w:r>
      <w:r>
        <w:t>are</w:t>
      </w:r>
      <w:r w:rsidR="00A03629">
        <w:t xml:space="preserve"> </w:t>
      </w:r>
      <w:r>
        <w:t>separately</w:t>
      </w:r>
      <w:r w:rsidR="00A03629">
        <w:t xml:space="preserve"> </w:t>
      </w:r>
      <w:r>
        <w:t>shown</w:t>
      </w:r>
      <w:r w:rsidR="00A03629">
        <w:t xml:space="preserve"> </w:t>
      </w:r>
      <w:r>
        <w:t>in</w:t>
      </w:r>
      <w:r w:rsidR="00A03629">
        <w:t xml:space="preserve"> </w:t>
      </w:r>
      <w:r>
        <w:t>Note</w:t>
      </w:r>
      <w:r w:rsidR="00A03629">
        <w:t xml:space="preserve"> </w:t>
      </w:r>
      <w:r>
        <w:t>5.1.2.</w:t>
      </w:r>
    </w:p>
    <w:p w14:paraId="56DB34A0" w14:textId="209B64AE" w:rsidR="000756EB" w:rsidRDefault="004A4D88" w:rsidP="00B03D10">
      <w:pPr>
        <w:pStyle w:val="Heading2"/>
      </w:pPr>
      <w:bookmarkStart w:id="26" w:name="_Toc149911805"/>
      <w:r>
        <w:lastRenderedPageBreak/>
        <w:t>3.2</w:t>
      </w:r>
      <w:r w:rsidR="00DE38B5">
        <w:t xml:space="preserve"> </w:t>
      </w:r>
      <w:r>
        <w:t>Grant</w:t>
      </w:r>
      <w:r w:rsidR="00A03629">
        <w:t xml:space="preserve"> </w:t>
      </w:r>
      <w:r>
        <w:t>expenses</w:t>
      </w:r>
      <w:bookmarkEnd w:id="26"/>
    </w:p>
    <w:p w14:paraId="327ED137" w14:textId="53E9C239" w:rsidR="000756EB" w:rsidRPr="00B03D10" w:rsidRDefault="004A4D88" w:rsidP="00B03D10">
      <w:pPr>
        <w:pStyle w:val="Normalbeforebullets"/>
        <w:rPr>
          <w:b/>
          <w:bCs/>
        </w:rPr>
      </w:pPr>
      <w:r w:rsidRPr="00B03D10">
        <w:rPr>
          <w:b/>
          <w:bCs/>
        </w:rPr>
        <w:t>Grant</w:t>
      </w:r>
      <w:r w:rsidR="00A03629" w:rsidRPr="00B03D10">
        <w:rPr>
          <w:b/>
          <w:bCs/>
        </w:rPr>
        <w:t xml:space="preserve"> </w:t>
      </w:r>
      <w:r w:rsidRPr="00B03D10">
        <w:rPr>
          <w:b/>
          <w:bCs/>
        </w:rPr>
        <w:t>expenses</w:t>
      </w:r>
    </w:p>
    <w:tbl>
      <w:tblPr>
        <w:tblStyle w:val="TableGrid"/>
        <w:tblW w:w="10201" w:type="dxa"/>
        <w:tblLayout w:type="fixed"/>
        <w:tblLook w:val="0020" w:firstRow="1" w:lastRow="0" w:firstColumn="0" w:lastColumn="0" w:noHBand="0" w:noVBand="0"/>
      </w:tblPr>
      <w:tblGrid>
        <w:gridCol w:w="6917"/>
        <w:gridCol w:w="1642"/>
        <w:gridCol w:w="1642"/>
      </w:tblGrid>
      <w:tr w:rsidR="000756EB" w:rsidRPr="00B03D10" w14:paraId="733D20C0" w14:textId="77777777" w:rsidTr="008F4E24">
        <w:trPr>
          <w:cantSplit/>
          <w:tblHeader/>
        </w:trPr>
        <w:tc>
          <w:tcPr>
            <w:tcW w:w="6917" w:type="dxa"/>
          </w:tcPr>
          <w:p w14:paraId="31E863B4" w14:textId="77777777" w:rsidR="000756EB" w:rsidRPr="00B03D10" w:rsidRDefault="000756EB" w:rsidP="00B03D10">
            <w:pPr>
              <w:pStyle w:val="TableColumnHeading"/>
            </w:pPr>
            <w:bookmarkStart w:id="27" w:name="ColumnTitles_9"/>
            <w:bookmarkEnd w:id="27"/>
          </w:p>
        </w:tc>
        <w:tc>
          <w:tcPr>
            <w:tcW w:w="1642" w:type="dxa"/>
          </w:tcPr>
          <w:p w14:paraId="3B45BC25" w14:textId="2E29B260" w:rsidR="000756EB" w:rsidRPr="00B03D10" w:rsidRDefault="004A4D88" w:rsidP="008F4E24">
            <w:pPr>
              <w:pStyle w:val="TableColumnHeading"/>
              <w:jc w:val="right"/>
            </w:pPr>
            <w:r w:rsidRPr="00B03D10">
              <w:t>2023</w:t>
            </w:r>
            <w:r w:rsidR="00B03D10" w:rsidRPr="00B03D10">
              <w:t xml:space="preserve"> ($ thousand)</w:t>
            </w:r>
            <w:r w:rsidR="00A03629" w:rsidRPr="00B03D10">
              <w:t xml:space="preserve"> </w:t>
            </w:r>
          </w:p>
        </w:tc>
        <w:tc>
          <w:tcPr>
            <w:tcW w:w="1642" w:type="dxa"/>
          </w:tcPr>
          <w:p w14:paraId="7D4FA36A" w14:textId="518F4982" w:rsidR="000756EB" w:rsidRPr="00B03D10" w:rsidRDefault="004A4D88" w:rsidP="008F4E24">
            <w:pPr>
              <w:pStyle w:val="TableColumnHeading"/>
              <w:jc w:val="right"/>
            </w:pPr>
            <w:r w:rsidRPr="00B03D10">
              <w:t>2022</w:t>
            </w:r>
            <w:r w:rsidR="00B03D10" w:rsidRPr="00B03D10">
              <w:t xml:space="preserve"> ($ thousand)</w:t>
            </w:r>
          </w:p>
        </w:tc>
      </w:tr>
      <w:tr w:rsidR="000756EB" w:rsidRPr="00B03D10" w14:paraId="4CF05510" w14:textId="77777777" w:rsidTr="008F4E24">
        <w:trPr>
          <w:cantSplit/>
        </w:trPr>
        <w:tc>
          <w:tcPr>
            <w:tcW w:w="6917" w:type="dxa"/>
          </w:tcPr>
          <w:p w14:paraId="0B1E60B6" w14:textId="1CFDC4B4" w:rsidR="000756EB" w:rsidRPr="00B03D10" w:rsidRDefault="004A4D88" w:rsidP="00B03D10">
            <w:pPr>
              <w:pStyle w:val="TableHeading"/>
            </w:pPr>
            <w:r w:rsidRPr="00B03D10">
              <w:t>Grants</w:t>
            </w:r>
            <w:r w:rsidR="00A03629" w:rsidRPr="00B03D10">
              <w:t xml:space="preserve"> </w:t>
            </w:r>
            <w:r w:rsidRPr="00B03D10">
              <w:t>to</w:t>
            </w:r>
            <w:r w:rsidR="00A03629" w:rsidRPr="00B03D10">
              <w:t xml:space="preserve"> </w:t>
            </w:r>
            <w:r w:rsidRPr="00B03D10">
              <w:t>portfolio</w:t>
            </w:r>
            <w:r w:rsidR="00A03629" w:rsidRPr="00B03D10">
              <w:t xml:space="preserve"> </w:t>
            </w:r>
            <w:r w:rsidRPr="00B03D10">
              <w:t>agencies</w:t>
            </w:r>
          </w:p>
        </w:tc>
        <w:tc>
          <w:tcPr>
            <w:tcW w:w="1642" w:type="dxa"/>
          </w:tcPr>
          <w:p w14:paraId="2770DC71" w14:textId="77777777" w:rsidR="000756EB" w:rsidRPr="00B03D10" w:rsidRDefault="000756EB" w:rsidP="008F4E24">
            <w:pPr>
              <w:pStyle w:val="TableHeading"/>
              <w:jc w:val="right"/>
            </w:pPr>
          </w:p>
        </w:tc>
        <w:tc>
          <w:tcPr>
            <w:tcW w:w="1642" w:type="dxa"/>
          </w:tcPr>
          <w:p w14:paraId="2FC5A8FA" w14:textId="77777777" w:rsidR="000756EB" w:rsidRPr="00B03D10" w:rsidRDefault="000756EB" w:rsidP="008F4E24">
            <w:pPr>
              <w:pStyle w:val="TableHeading"/>
              <w:jc w:val="right"/>
            </w:pPr>
          </w:p>
        </w:tc>
      </w:tr>
      <w:tr w:rsidR="000756EB" w:rsidRPr="00B03D10" w14:paraId="27B04DF6" w14:textId="77777777" w:rsidTr="008F4E24">
        <w:trPr>
          <w:cantSplit/>
        </w:trPr>
        <w:tc>
          <w:tcPr>
            <w:tcW w:w="6917" w:type="dxa"/>
          </w:tcPr>
          <w:p w14:paraId="3AFC2346" w14:textId="12AA4FFF" w:rsidR="000756EB" w:rsidRPr="00B03D10" w:rsidRDefault="004A4D88" w:rsidP="008F4E24">
            <w:pPr>
              <w:pStyle w:val="TableCopy"/>
            </w:pPr>
            <w:r w:rsidRPr="00B03D10">
              <w:t>Creative</w:t>
            </w:r>
            <w:r w:rsidR="00A03629" w:rsidRPr="00B03D10">
              <w:t xml:space="preserve"> </w:t>
            </w:r>
            <w:r w:rsidRPr="00B03D10">
              <w:t>Victoria</w:t>
            </w:r>
            <w:r w:rsidR="00A03629" w:rsidRPr="00B03D10">
              <w:t xml:space="preserve"> </w:t>
            </w:r>
            <w:r w:rsidRPr="00B03D10">
              <w:t>agencies</w:t>
            </w:r>
          </w:p>
        </w:tc>
        <w:tc>
          <w:tcPr>
            <w:tcW w:w="1642" w:type="dxa"/>
          </w:tcPr>
          <w:p w14:paraId="75E213CF" w14:textId="77777777" w:rsidR="000756EB" w:rsidRPr="00B03D10" w:rsidRDefault="004A4D88" w:rsidP="008F4E24">
            <w:pPr>
              <w:pStyle w:val="TableCopy"/>
              <w:jc w:val="right"/>
            </w:pPr>
            <w:r w:rsidRPr="00B03D10">
              <w:t>(290,812)</w:t>
            </w:r>
          </w:p>
        </w:tc>
        <w:tc>
          <w:tcPr>
            <w:tcW w:w="1642" w:type="dxa"/>
          </w:tcPr>
          <w:p w14:paraId="7D1EF52A" w14:textId="77777777" w:rsidR="000756EB" w:rsidRPr="00B03D10" w:rsidRDefault="004A4D88" w:rsidP="008F4E24">
            <w:pPr>
              <w:pStyle w:val="TableCopy"/>
              <w:jc w:val="right"/>
            </w:pPr>
            <w:r w:rsidRPr="00B03D10">
              <w:t>(242,418)</w:t>
            </w:r>
          </w:p>
        </w:tc>
      </w:tr>
      <w:tr w:rsidR="000756EB" w:rsidRPr="00B03D10" w14:paraId="57A3589E" w14:textId="77777777" w:rsidTr="008F4E24">
        <w:trPr>
          <w:cantSplit/>
        </w:trPr>
        <w:tc>
          <w:tcPr>
            <w:tcW w:w="6917" w:type="dxa"/>
          </w:tcPr>
          <w:p w14:paraId="31AB9A07" w14:textId="5FA21B5A" w:rsidR="000756EB" w:rsidRPr="00B03D10" w:rsidRDefault="004A4D88" w:rsidP="008F4E24">
            <w:pPr>
              <w:pStyle w:val="TableCopy"/>
            </w:pPr>
            <w:r w:rsidRPr="00B03D10">
              <w:t>Visit</w:t>
            </w:r>
            <w:r w:rsidR="00A03629" w:rsidRPr="00B03D10">
              <w:t xml:space="preserve"> </w:t>
            </w:r>
            <w:r w:rsidRPr="00B03D10">
              <w:t>Victoria</w:t>
            </w:r>
          </w:p>
        </w:tc>
        <w:tc>
          <w:tcPr>
            <w:tcW w:w="1642" w:type="dxa"/>
          </w:tcPr>
          <w:p w14:paraId="1F40D935" w14:textId="77777777" w:rsidR="000756EB" w:rsidRPr="00B03D10" w:rsidRDefault="004A4D88" w:rsidP="008F4E24">
            <w:pPr>
              <w:pStyle w:val="TableCopy"/>
              <w:jc w:val="right"/>
            </w:pPr>
            <w:r w:rsidRPr="00B03D10">
              <w:t>(164,816)</w:t>
            </w:r>
          </w:p>
        </w:tc>
        <w:tc>
          <w:tcPr>
            <w:tcW w:w="1642" w:type="dxa"/>
          </w:tcPr>
          <w:p w14:paraId="15D997DB" w14:textId="77777777" w:rsidR="000756EB" w:rsidRPr="00B03D10" w:rsidRDefault="004A4D88" w:rsidP="008F4E24">
            <w:pPr>
              <w:pStyle w:val="TableCopy"/>
              <w:jc w:val="right"/>
            </w:pPr>
            <w:r w:rsidRPr="00B03D10">
              <w:t>(169,443)</w:t>
            </w:r>
          </w:p>
        </w:tc>
      </w:tr>
      <w:tr w:rsidR="000756EB" w:rsidRPr="00B03D10" w14:paraId="35C60B97" w14:textId="77777777" w:rsidTr="008F4E24">
        <w:trPr>
          <w:cantSplit/>
        </w:trPr>
        <w:tc>
          <w:tcPr>
            <w:tcW w:w="6917" w:type="dxa"/>
          </w:tcPr>
          <w:p w14:paraId="308B77BF" w14:textId="3F2588EF" w:rsidR="000756EB" w:rsidRPr="00B03D10" w:rsidRDefault="004A4D88" w:rsidP="008F4E24">
            <w:pPr>
              <w:pStyle w:val="TableCopy"/>
            </w:pPr>
            <w:r w:rsidRPr="00B03D10">
              <w:t>Training,</w:t>
            </w:r>
            <w:r w:rsidR="00A03629" w:rsidRPr="00B03D10">
              <w:t xml:space="preserve"> </w:t>
            </w:r>
            <w:r w:rsidRPr="00B03D10">
              <w:t>Skills</w:t>
            </w:r>
            <w:r w:rsidR="00A03629" w:rsidRPr="00B03D10">
              <w:t xml:space="preserve"> </w:t>
            </w:r>
            <w:r w:rsidRPr="00B03D10">
              <w:t>and</w:t>
            </w:r>
            <w:r w:rsidR="00A03629" w:rsidRPr="00B03D10">
              <w:t xml:space="preserve"> </w:t>
            </w:r>
            <w:r w:rsidRPr="00B03D10">
              <w:t>Higher</w:t>
            </w:r>
            <w:r w:rsidR="00A03629" w:rsidRPr="00B03D10">
              <w:t xml:space="preserve"> </w:t>
            </w:r>
            <w:r w:rsidRPr="00B03D10">
              <w:t>Education</w:t>
            </w:r>
            <w:r w:rsidR="00A03629" w:rsidRPr="00B03D10">
              <w:t xml:space="preserve"> </w:t>
            </w:r>
            <w:r w:rsidRPr="00B03D10">
              <w:t>services</w:t>
            </w:r>
            <w:r w:rsidR="00A03629" w:rsidRPr="00B03D10">
              <w:t xml:space="preserve"> </w:t>
            </w:r>
            <w:r w:rsidRPr="008F4E24">
              <w:rPr>
                <w:vertAlign w:val="superscript"/>
              </w:rPr>
              <w:t>(ii)</w:t>
            </w:r>
          </w:p>
        </w:tc>
        <w:tc>
          <w:tcPr>
            <w:tcW w:w="1642" w:type="dxa"/>
          </w:tcPr>
          <w:p w14:paraId="717DA5C3" w14:textId="77777777" w:rsidR="000756EB" w:rsidRPr="00B03D10" w:rsidRDefault="004A4D88" w:rsidP="008F4E24">
            <w:pPr>
              <w:pStyle w:val="TableCopy"/>
              <w:jc w:val="right"/>
            </w:pPr>
            <w:r w:rsidRPr="00B03D10">
              <w:t>(559,450)</w:t>
            </w:r>
          </w:p>
        </w:tc>
        <w:tc>
          <w:tcPr>
            <w:tcW w:w="1642" w:type="dxa"/>
          </w:tcPr>
          <w:p w14:paraId="7C4D1FB3" w14:textId="77777777" w:rsidR="000756EB" w:rsidRPr="00B03D10" w:rsidRDefault="004A4D88" w:rsidP="008F4E24">
            <w:pPr>
              <w:pStyle w:val="TableCopy"/>
              <w:jc w:val="right"/>
            </w:pPr>
            <w:r w:rsidRPr="00B03D10">
              <w:t>–</w:t>
            </w:r>
          </w:p>
        </w:tc>
      </w:tr>
      <w:tr w:rsidR="000756EB" w:rsidRPr="00B03D10" w14:paraId="7CF30BAB" w14:textId="77777777" w:rsidTr="008F4E24">
        <w:trPr>
          <w:cantSplit/>
        </w:trPr>
        <w:tc>
          <w:tcPr>
            <w:tcW w:w="6917" w:type="dxa"/>
          </w:tcPr>
          <w:p w14:paraId="09B7798C" w14:textId="2CC736EB" w:rsidR="000756EB" w:rsidRPr="00B03D10" w:rsidRDefault="004A4D88" w:rsidP="008F4E24">
            <w:pPr>
              <w:pStyle w:val="TableCopy"/>
            </w:pPr>
            <w:r w:rsidRPr="00B03D10">
              <w:t>Other</w:t>
            </w:r>
            <w:r w:rsidR="00A03629" w:rsidRPr="00B03D10">
              <w:t xml:space="preserve"> </w:t>
            </w:r>
            <w:r w:rsidRPr="00B03D10">
              <w:t>grants</w:t>
            </w:r>
            <w:r w:rsidR="00A03629" w:rsidRPr="00B03D10">
              <w:t xml:space="preserve"> </w:t>
            </w:r>
            <w:r w:rsidRPr="00B03D10">
              <w:t>to</w:t>
            </w:r>
            <w:r w:rsidR="00A03629" w:rsidRPr="00B03D10">
              <w:t xml:space="preserve"> </w:t>
            </w:r>
            <w:r w:rsidRPr="00B03D10">
              <w:t>portfolio</w:t>
            </w:r>
            <w:r w:rsidR="00A03629" w:rsidRPr="00B03D10">
              <w:t xml:space="preserve"> </w:t>
            </w:r>
            <w:r w:rsidRPr="00B03D10">
              <w:t>agencies</w:t>
            </w:r>
          </w:p>
        </w:tc>
        <w:tc>
          <w:tcPr>
            <w:tcW w:w="1642" w:type="dxa"/>
          </w:tcPr>
          <w:p w14:paraId="5EBEB398" w14:textId="77777777" w:rsidR="000756EB" w:rsidRPr="00B03D10" w:rsidRDefault="004A4D88" w:rsidP="008F4E24">
            <w:pPr>
              <w:pStyle w:val="TableCopy"/>
              <w:jc w:val="right"/>
            </w:pPr>
            <w:r w:rsidRPr="00B03D10">
              <w:t>(420,036)</w:t>
            </w:r>
          </w:p>
        </w:tc>
        <w:tc>
          <w:tcPr>
            <w:tcW w:w="1642" w:type="dxa"/>
          </w:tcPr>
          <w:p w14:paraId="54FCAFD9" w14:textId="77777777" w:rsidR="000756EB" w:rsidRPr="00B03D10" w:rsidRDefault="004A4D88" w:rsidP="008F4E24">
            <w:pPr>
              <w:pStyle w:val="TableCopy"/>
              <w:jc w:val="right"/>
            </w:pPr>
            <w:r w:rsidRPr="00B03D10">
              <w:t>(313,889)</w:t>
            </w:r>
          </w:p>
        </w:tc>
      </w:tr>
      <w:tr w:rsidR="000756EB" w:rsidRPr="00B03D10" w14:paraId="77B2270C" w14:textId="77777777" w:rsidTr="008F4E24">
        <w:trPr>
          <w:cantSplit/>
        </w:trPr>
        <w:tc>
          <w:tcPr>
            <w:tcW w:w="6917" w:type="dxa"/>
          </w:tcPr>
          <w:p w14:paraId="13139849" w14:textId="260FDA2F" w:rsidR="000756EB" w:rsidRPr="00B03D10" w:rsidRDefault="004A4D88" w:rsidP="008F4E24">
            <w:pPr>
              <w:pStyle w:val="TableCopy"/>
            </w:pPr>
            <w:r w:rsidRPr="00B03D10">
              <w:t>Total</w:t>
            </w:r>
            <w:r w:rsidR="00A03629" w:rsidRPr="00B03D10">
              <w:t xml:space="preserve"> </w:t>
            </w:r>
            <w:r w:rsidRPr="00B03D10">
              <w:t>grants</w:t>
            </w:r>
            <w:r w:rsidR="00A03629" w:rsidRPr="00B03D10">
              <w:t xml:space="preserve"> </w:t>
            </w:r>
            <w:r w:rsidRPr="00B03D10">
              <w:t>to</w:t>
            </w:r>
            <w:r w:rsidR="00A03629" w:rsidRPr="00B03D10">
              <w:t xml:space="preserve"> </w:t>
            </w:r>
            <w:r w:rsidRPr="00B03D10">
              <w:t>portfolio</w:t>
            </w:r>
            <w:r w:rsidR="00A03629" w:rsidRPr="00B03D10">
              <w:t xml:space="preserve"> </w:t>
            </w:r>
            <w:r w:rsidRPr="00B03D10">
              <w:t>agencies</w:t>
            </w:r>
          </w:p>
        </w:tc>
        <w:tc>
          <w:tcPr>
            <w:tcW w:w="1642" w:type="dxa"/>
          </w:tcPr>
          <w:p w14:paraId="71C5D10E" w14:textId="77777777" w:rsidR="000756EB" w:rsidRPr="00B03D10" w:rsidRDefault="004A4D88" w:rsidP="008F4E24">
            <w:pPr>
              <w:pStyle w:val="TableCopy"/>
              <w:jc w:val="right"/>
            </w:pPr>
            <w:r w:rsidRPr="00B03D10">
              <w:t>(1,435,114)</w:t>
            </w:r>
          </w:p>
        </w:tc>
        <w:tc>
          <w:tcPr>
            <w:tcW w:w="1642" w:type="dxa"/>
          </w:tcPr>
          <w:p w14:paraId="4CF1EA31" w14:textId="77777777" w:rsidR="000756EB" w:rsidRPr="00B03D10" w:rsidRDefault="004A4D88" w:rsidP="008F4E24">
            <w:pPr>
              <w:pStyle w:val="TableCopy"/>
              <w:jc w:val="right"/>
            </w:pPr>
            <w:r w:rsidRPr="00B03D10">
              <w:t>(725,750)</w:t>
            </w:r>
          </w:p>
        </w:tc>
      </w:tr>
      <w:tr w:rsidR="000756EB" w:rsidRPr="00B03D10" w14:paraId="3516F161" w14:textId="77777777" w:rsidTr="008F4E24">
        <w:trPr>
          <w:cantSplit/>
        </w:trPr>
        <w:tc>
          <w:tcPr>
            <w:tcW w:w="6917" w:type="dxa"/>
          </w:tcPr>
          <w:p w14:paraId="089101FB" w14:textId="665F187B" w:rsidR="000756EB" w:rsidRPr="00B03D10" w:rsidRDefault="004A4D88" w:rsidP="008F4E24">
            <w:pPr>
              <w:pStyle w:val="TableCopy"/>
            </w:pPr>
            <w:r w:rsidRPr="00B03D10">
              <w:t>Grants</w:t>
            </w:r>
            <w:r w:rsidR="00A03629" w:rsidRPr="00B03D10">
              <w:t xml:space="preserve"> </w:t>
            </w:r>
            <w:r w:rsidRPr="00B03D10">
              <w:t>to</w:t>
            </w:r>
            <w:r w:rsidR="00A03629" w:rsidRPr="00B03D10">
              <w:t xml:space="preserve"> </w:t>
            </w:r>
            <w:r w:rsidRPr="00B03D10">
              <w:t>local</w:t>
            </w:r>
            <w:r w:rsidR="00A03629" w:rsidRPr="00B03D10">
              <w:t xml:space="preserve"> </w:t>
            </w:r>
            <w:r w:rsidRPr="00B03D10">
              <w:t>government</w:t>
            </w:r>
            <w:r w:rsidR="00A03629" w:rsidRPr="00B03D10">
              <w:t xml:space="preserve"> </w:t>
            </w:r>
          </w:p>
        </w:tc>
        <w:tc>
          <w:tcPr>
            <w:tcW w:w="1642" w:type="dxa"/>
          </w:tcPr>
          <w:p w14:paraId="3E05AF29" w14:textId="77777777" w:rsidR="000756EB" w:rsidRPr="00B03D10" w:rsidRDefault="000756EB" w:rsidP="008F4E24">
            <w:pPr>
              <w:pStyle w:val="TableCopy"/>
              <w:jc w:val="right"/>
            </w:pPr>
          </w:p>
        </w:tc>
        <w:tc>
          <w:tcPr>
            <w:tcW w:w="1642" w:type="dxa"/>
          </w:tcPr>
          <w:p w14:paraId="7B1D7B7A" w14:textId="77777777" w:rsidR="000756EB" w:rsidRPr="00B03D10" w:rsidRDefault="000756EB" w:rsidP="008F4E24">
            <w:pPr>
              <w:pStyle w:val="TableCopy"/>
              <w:jc w:val="right"/>
            </w:pPr>
          </w:p>
        </w:tc>
      </w:tr>
      <w:tr w:rsidR="000756EB" w:rsidRPr="00B03D10" w14:paraId="5D32A11D" w14:textId="77777777" w:rsidTr="008F4E24">
        <w:trPr>
          <w:cantSplit/>
        </w:trPr>
        <w:tc>
          <w:tcPr>
            <w:tcW w:w="6917" w:type="dxa"/>
          </w:tcPr>
          <w:p w14:paraId="4C36EC08" w14:textId="113D22F5" w:rsidR="000756EB" w:rsidRPr="00B03D10" w:rsidRDefault="004A4D88" w:rsidP="008F4E24">
            <w:pPr>
              <w:pStyle w:val="TableCopy"/>
            </w:pPr>
            <w:r w:rsidRPr="00B03D10">
              <w:t>Local</w:t>
            </w:r>
            <w:r w:rsidR="00A03629" w:rsidRPr="00B03D10">
              <w:t xml:space="preserve"> </w:t>
            </w:r>
            <w:r w:rsidRPr="00B03D10">
              <w:t>government</w:t>
            </w:r>
            <w:r w:rsidR="00A03629" w:rsidRPr="00B03D10">
              <w:t xml:space="preserve"> </w:t>
            </w:r>
            <w:r w:rsidRPr="00B03D10">
              <w:t>(ii)</w:t>
            </w:r>
          </w:p>
        </w:tc>
        <w:tc>
          <w:tcPr>
            <w:tcW w:w="1642" w:type="dxa"/>
          </w:tcPr>
          <w:p w14:paraId="7209C7EB" w14:textId="77777777" w:rsidR="000756EB" w:rsidRPr="00B03D10" w:rsidRDefault="004A4D88" w:rsidP="008F4E24">
            <w:pPr>
              <w:pStyle w:val="TableCopy"/>
              <w:jc w:val="right"/>
            </w:pPr>
            <w:r w:rsidRPr="00B03D10">
              <w:t>(301,226)</w:t>
            </w:r>
          </w:p>
        </w:tc>
        <w:tc>
          <w:tcPr>
            <w:tcW w:w="1642" w:type="dxa"/>
          </w:tcPr>
          <w:p w14:paraId="7C477A7A" w14:textId="77777777" w:rsidR="000756EB" w:rsidRPr="00B03D10" w:rsidRDefault="004A4D88" w:rsidP="008F4E24">
            <w:pPr>
              <w:pStyle w:val="TableCopy"/>
              <w:jc w:val="right"/>
            </w:pPr>
            <w:r w:rsidRPr="00B03D10">
              <w:t>(398,316)</w:t>
            </w:r>
          </w:p>
        </w:tc>
      </w:tr>
      <w:tr w:rsidR="000756EB" w:rsidRPr="008F4E24" w14:paraId="012C7884" w14:textId="77777777" w:rsidTr="008F4E24">
        <w:trPr>
          <w:cantSplit/>
        </w:trPr>
        <w:tc>
          <w:tcPr>
            <w:tcW w:w="6917" w:type="dxa"/>
          </w:tcPr>
          <w:p w14:paraId="7A5BCD0B" w14:textId="6902E9EB" w:rsidR="000756EB" w:rsidRPr="008F4E24" w:rsidRDefault="004A4D88" w:rsidP="008F4E24">
            <w:pPr>
              <w:pStyle w:val="TableCopy"/>
              <w:rPr>
                <w:b/>
                <w:bCs/>
              </w:rPr>
            </w:pPr>
            <w:r w:rsidRPr="008F4E24">
              <w:rPr>
                <w:b/>
                <w:bCs/>
              </w:rPr>
              <w:t>Total</w:t>
            </w:r>
            <w:r w:rsidR="00A03629" w:rsidRPr="008F4E24">
              <w:rPr>
                <w:b/>
                <w:bCs/>
              </w:rPr>
              <w:t xml:space="preserve"> </w:t>
            </w:r>
            <w:r w:rsidRPr="008F4E24">
              <w:rPr>
                <w:b/>
                <w:bCs/>
              </w:rPr>
              <w:t>grants</w:t>
            </w:r>
            <w:r w:rsidR="00A03629" w:rsidRPr="008F4E24">
              <w:rPr>
                <w:b/>
                <w:bCs/>
              </w:rPr>
              <w:t xml:space="preserve"> </w:t>
            </w:r>
            <w:r w:rsidRPr="008F4E24">
              <w:rPr>
                <w:b/>
                <w:bCs/>
              </w:rPr>
              <w:t>to</w:t>
            </w:r>
            <w:r w:rsidR="00A03629" w:rsidRPr="008F4E24">
              <w:rPr>
                <w:b/>
                <w:bCs/>
              </w:rPr>
              <w:t xml:space="preserve"> </w:t>
            </w:r>
            <w:r w:rsidRPr="008F4E24">
              <w:rPr>
                <w:b/>
                <w:bCs/>
              </w:rPr>
              <w:t>local</w:t>
            </w:r>
            <w:r w:rsidR="00A03629" w:rsidRPr="008F4E24">
              <w:rPr>
                <w:b/>
                <w:bCs/>
              </w:rPr>
              <w:t xml:space="preserve"> </w:t>
            </w:r>
            <w:r w:rsidRPr="008F4E24">
              <w:rPr>
                <w:b/>
                <w:bCs/>
              </w:rPr>
              <w:t>government</w:t>
            </w:r>
          </w:p>
        </w:tc>
        <w:tc>
          <w:tcPr>
            <w:tcW w:w="1642" w:type="dxa"/>
          </w:tcPr>
          <w:p w14:paraId="2ED61456" w14:textId="77777777" w:rsidR="000756EB" w:rsidRPr="008F4E24" w:rsidRDefault="004A4D88" w:rsidP="008F4E24">
            <w:pPr>
              <w:pStyle w:val="TableCopy"/>
              <w:jc w:val="right"/>
              <w:rPr>
                <w:b/>
                <w:bCs/>
              </w:rPr>
            </w:pPr>
            <w:r w:rsidRPr="008F4E24">
              <w:rPr>
                <w:b/>
                <w:bCs/>
              </w:rPr>
              <w:t>(301,226)</w:t>
            </w:r>
          </w:p>
        </w:tc>
        <w:tc>
          <w:tcPr>
            <w:tcW w:w="1642" w:type="dxa"/>
          </w:tcPr>
          <w:p w14:paraId="65D6EC19" w14:textId="77777777" w:rsidR="000756EB" w:rsidRPr="008F4E24" w:rsidRDefault="004A4D88" w:rsidP="008F4E24">
            <w:pPr>
              <w:pStyle w:val="TableCopy"/>
              <w:jc w:val="right"/>
              <w:rPr>
                <w:b/>
                <w:bCs/>
              </w:rPr>
            </w:pPr>
            <w:r w:rsidRPr="008F4E24">
              <w:rPr>
                <w:b/>
                <w:bCs/>
              </w:rPr>
              <w:t>(398,316)</w:t>
            </w:r>
          </w:p>
        </w:tc>
      </w:tr>
      <w:tr w:rsidR="000756EB" w:rsidRPr="00B03D10" w14:paraId="6D596FCA" w14:textId="77777777" w:rsidTr="008F4E24">
        <w:trPr>
          <w:cantSplit/>
        </w:trPr>
        <w:tc>
          <w:tcPr>
            <w:tcW w:w="6917" w:type="dxa"/>
          </w:tcPr>
          <w:p w14:paraId="221815FB" w14:textId="3FD76A40" w:rsidR="000756EB" w:rsidRPr="00B03D10" w:rsidRDefault="004A4D88" w:rsidP="008F4E24">
            <w:pPr>
              <w:pStyle w:val="TableHeading"/>
            </w:pPr>
            <w:r w:rsidRPr="00B03D10">
              <w:t>Grants</w:t>
            </w:r>
            <w:r w:rsidR="00A03629" w:rsidRPr="00B03D10">
              <w:t xml:space="preserve"> </w:t>
            </w:r>
            <w:r w:rsidRPr="00B03D10">
              <w:t>and</w:t>
            </w:r>
            <w:r w:rsidR="00A03629" w:rsidRPr="00B03D10">
              <w:t xml:space="preserve"> </w:t>
            </w:r>
            <w:r w:rsidRPr="00B03D10">
              <w:t>other</w:t>
            </w:r>
            <w:r w:rsidR="00A03629" w:rsidRPr="00B03D10">
              <w:t xml:space="preserve"> </w:t>
            </w:r>
            <w:r w:rsidRPr="00B03D10">
              <w:t>transfers</w:t>
            </w:r>
            <w:r w:rsidR="00A03629" w:rsidRPr="00B03D10">
              <w:t xml:space="preserve"> </w:t>
            </w:r>
            <w:r w:rsidRPr="00B03D10">
              <w:t>to</w:t>
            </w:r>
            <w:r w:rsidR="00A03629" w:rsidRPr="00B03D10">
              <w:t xml:space="preserve"> </w:t>
            </w:r>
            <w:r w:rsidRPr="00B03D10">
              <w:t>state</w:t>
            </w:r>
            <w:r w:rsidR="00A03629" w:rsidRPr="00B03D10">
              <w:t xml:space="preserve"> </w:t>
            </w:r>
            <w:r w:rsidRPr="00B03D10">
              <w:t>government</w:t>
            </w:r>
            <w:r w:rsidR="00A03629" w:rsidRPr="00B03D10">
              <w:t xml:space="preserve"> </w:t>
            </w:r>
            <w:r w:rsidRPr="00B03D10">
              <w:t>departments</w:t>
            </w:r>
            <w:r w:rsidR="00A03629" w:rsidRPr="00B03D10">
              <w:t xml:space="preserve"> </w:t>
            </w:r>
            <w:r w:rsidRPr="00B03D10">
              <w:t>and</w:t>
            </w:r>
            <w:r w:rsidR="00A03629" w:rsidRPr="00B03D10">
              <w:t xml:space="preserve"> </w:t>
            </w:r>
            <w:r w:rsidRPr="00B03D10">
              <w:t>associated</w:t>
            </w:r>
            <w:r w:rsidR="00A03629" w:rsidRPr="00B03D10">
              <w:t xml:space="preserve"> </w:t>
            </w:r>
            <w:r w:rsidRPr="00B03D10">
              <w:t>entities</w:t>
            </w:r>
            <w:r w:rsidR="00A03629" w:rsidRPr="00B03D10">
              <w:t xml:space="preserve"> </w:t>
            </w:r>
            <w:r w:rsidRPr="00B03D10">
              <w:t>outside</w:t>
            </w:r>
            <w:r w:rsidR="00A03629" w:rsidRPr="00B03D10">
              <w:t xml:space="preserve"> </w:t>
            </w:r>
            <w:r w:rsidRPr="00B03D10">
              <w:t>portfolio</w:t>
            </w:r>
          </w:p>
        </w:tc>
        <w:tc>
          <w:tcPr>
            <w:tcW w:w="1642" w:type="dxa"/>
          </w:tcPr>
          <w:p w14:paraId="110FF03D" w14:textId="77777777" w:rsidR="000756EB" w:rsidRPr="00B03D10" w:rsidRDefault="000756EB" w:rsidP="008F4E24">
            <w:pPr>
              <w:pStyle w:val="TableHeading"/>
              <w:jc w:val="right"/>
            </w:pPr>
          </w:p>
        </w:tc>
        <w:tc>
          <w:tcPr>
            <w:tcW w:w="1642" w:type="dxa"/>
          </w:tcPr>
          <w:p w14:paraId="2B802007" w14:textId="77777777" w:rsidR="000756EB" w:rsidRPr="00B03D10" w:rsidRDefault="000756EB" w:rsidP="008F4E24">
            <w:pPr>
              <w:pStyle w:val="TableHeading"/>
              <w:jc w:val="right"/>
            </w:pPr>
          </w:p>
        </w:tc>
      </w:tr>
      <w:tr w:rsidR="000756EB" w:rsidRPr="00B03D10" w14:paraId="6FB86BC9" w14:textId="77777777" w:rsidTr="008F4E24">
        <w:trPr>
          <w:cantSplit/>
        </w:trPr>
        <w:tc>
          <w:tcPr>
            <w:tcW w:w="6917" w:type="dxa"/>
          </w:tcPr>
          <w:p w14:paraId="1B228645" w14:textId="592A4DAD" w:rsidR="000756EB" w:rsidRPr="00B03D10" w:rsidRDefault="004A4D88" w:rsidP="008F4E24">
            <w:pPr>
              <w:pStyle w:val="TableCopy"/>
            </w:pPr>
            <w:r w:rsidRPr="00B03D10">
              <w:t>Other</w:t>
            </w:r>
            <w:r w:rsidR="00A03629" w:rsidRPr="00B03D10">
              <w:t xml:space="preserve"> </w:t>
            </w:r>
            <w:r w:rsidRPr="00B03D10">
              <w:t>state</w:t>
            </w:r>
            <w:r w:rsidR="00A03629" w:rsidRPr="00B03D10">
              <w:t xml:space="preserve"> </w:t>
            </w:r>
            <w:r w:rsidRPr="00B03D10">
              <w:t>government</w:t>
            </w:r>
            <w:r w:rsidR="00A03629" w:rsidRPr="00B03D10">
              <w:t xml:space="preserve"> </w:t>
            </w:r>
            <w:r w:rsidRPr="00B03D10">
              <w:t>departments</w:t>
            </w:r>
            <w:r w:rsidR="00A03629" w:rsidRPr="00B03D10">
              <w:t xml:space="preserve"> </w:t>
            </w:r>
            <w:r w:rsidRPr="00B03D10">
              <w:t>and</w:t>
            </w:r>
            <w:r w:rsidR="00A03629" w:rsidRPr="00B03D10">
              <w:t xml:space="preserve"> </w:t>
            </w:r>
            <w:r w:rsidRPr="00B03D10">
              <w:t>associated</w:t>
            </w:r>
            <w:r w:rsidR="00A03629" w:rsidRPr="00B03D10">
              <w:t xml:space="preserve"> </w:t>
            </w:r>
            <w:r w:rsidRPr="00B03D10">
              <w:t>entities</w:t>
            </w:r>
            <w:r w:rsidR="00A03629" w:rsidRPr="00B03D10">
              <w:t xml:space="preserve"> </w:t>
            </w:r>
            <w:r w:rsidRPr="008F4E24">
              <w:rPr>
                <w:vertAlign w:val="superscript"/>
              </w:rPr>
              <w:t>(ii)</w:t>
            </w:r>
          </w:p>
        </w:tc>
        <w:tc>
          <w:tcPr>
            <w:tcW w:w="1642" w:type="dxa"/>
          </w:tcPr>
          <w:p w14:paraId="1685B3E6" w14:textId="77777777" w:rsidR="000756EB" w:rsidRPr="00B03D10" w:rsidRDefault="004A4D88" w:rsidP="008F4E24">
            <w:pPr>
              <w:pStyle w:val="TableCopy"/>
              <w:jc w:val="right"/>
            </w:pPr>
            <w:r w:rsidRPr="00B03D10">
              <w:t>(62,496)</w:t>
            </w:r>
          </w:p>
        </w:tc>
        <w:tc>
          <w:tcPr>
            <w:tcW w:w="1642" w:type="dxa"/>
          </w:tcPr>
          <w:p w14:paraId="22534630" w14:textId="77777777" w:rsidR="000756EB" w:rsidRPr="00B03D10" w:rsidRDefault="004A4D88" w:rsidP="008F4E24">
            <w:pPr>
              <w:pStyle w:val="TableCopy"/>
              <w:jc w:val="right"/>
            </w:pPr>
            <w:r w:rsidRPr="00B03D10">
              <w:t>(114,388)</w:t>
            </w:r>
          </w:p>
        </w:tc>
      </w:tr>
      <w:tr w:rsidR="000756EB" w:rsidRPr="008F4E24" w14:paraId="36904807" w14:textId="77777777" w:rsidTr="008F4E24">
        <w:trPr>
          <w:cantSplit/>
        </w:trPr>
        <w:tc>
          <w:tcPr>
            <w:tcW w:w="6917" w:type="dxa"/>
          </w:tcPr>
          <w:p w14:paraId="110C01BF" w14:textId="0EBFCDD3" w:rsidR="000756EB" w:rsidRPr="008F4E24" w:rsidRDefault="004A4D88" w:rsidP="008F4E24">
            <w:pPr>
              <w:pStyle w:val="TableCopy"/>
              <w:rPr>
                <w:b/>
                <w:bCs/>
              </w:rPr>
            </w:pPr>
            <w:r w:rsidRPr="008F4E24">
              <w:rPr>
                <w:b/>
                <w:bCs/>
              </w:rPr>
              <w:t>Total</w:t>
            </w:r>
            <w:r w:rsidR="00A03629" w:rsidRPr="008F4E24">
              <w:rPr>
                <w:b/>
                <w:bCs/>
              </w:rPr>
              <w:t xml:space="preserve"> </w:t>
            </w:r>
            <w:r w:rsidRPr="008F4E24">
              <w:rPr>
                <w:b/>
                <w:bCs/>
              </w:rPr>
              <w:t>grants</w:t>
            </w:r>
            <w:r w:rsidR="00A03629" w:rsidRPr="008F4E24">
              <w:rPr>
                <w:b/>
                <w:bCs/>
              </w:rPr>
              <w:t xml:space="preserve"> </w:t>
            </w:r>
            <w:r w:rsidRPr="008F4E24">
              <w:rPr>
                <w:b/>
                <w:bCs/>
              </w:rPr>
              <w:t>and</w:t>
            </w:r>
            <w:r w:rsidR="00A03629" w:rsidRPr="008F4E24">
              <w:rPr>
                <w:b/>
                <w:bCs/>
              </w:rPr>
              <w:t xml:space="preserve"> </w:t>
            </w:r>
            <w:r w:rsidRPr="008F4E24">
              <w:rPr>
                <w:b/>
                <w:bCs/>
              </w:rPr>
              <w:t>other</w:t>
            </w:r>
            <w:r w:rsidR="00A03629" w:rsidRPr="008F4E24">
              <w:rPr>
                <w:b/>
                <w:bCs/>
              </w:rPr>
              <w:t xml:space="preserve"> </w:t>
            </w:r>
            <w:r w:rsidRPr="008F4E24">
              <w:rPr>
                <w:b/>
                <w:bCs/>
              </w:rPr>
              <w:t>transfers</w:t>
            </w:r>
            <w:r w:rsidR="00A03629" w:rsidRPr="008F4E24">
              <w:rPr>
                <w:b/>
                <w:bCs/>
              </w:rPr>
              <w:t xml:space="preserve"> </w:t>
            </w:r>
            <w:r w:rsidRPr="008F4E24">
              <w:rPr>
                <w:b/>
                <w:bCs/>
              </w:rPr>
              <w:t>to</w:t>
            </w:r>
            <w:r w:rsidR="00A03629" w:rsidRPr="008F4E24">
              <w:rPr>
                <w:b/>
                <w:bCs/>
              </w:rPr>
              <w:t xml:space="preserve"> </w:t>
            </w:r>
            <w:r w:rsidRPr="008F4E24">
              <w:rPr>
                <w:b/>
                <w:bCs/>
              </w:rPr>
              <w:t>state</w:t>
            </w:r>
            <w:r w:rsidR="00A03629" w:rsidRPr="008F4E24">
              <w:rPr>
                <w:b/>
                <w:bCs/>
              </w:rPr>
              <w:t xml:space="preserve"> </w:t>
            </w:r>
            <w:r w:rsidRPr="008F4E24">
              <w:rPr>
                <w:b/>
                <w:bCs/>
              </w:rPr>
              <w:t>government</w:t>
            </w:r>
            <w:r w:rsidR="00A03629" w:rsidRPr="008F4E24">
              <w:rPr>
                <w:b/>
                <w:bCs/>
              </w:rPr>
              <w:t xml:space="preserve"> </w:t>
            </w:r>
            <w:r w:rsidRPr="008F4E24">
              <w:rPr>
                <w:b/>
                <w:bCs/>
              </w:rPr>
              <w:t>departments</w:t>
            </w:r>
            <w:r w:rsidR="00A03629" w:rsidRPr="008F4E24">
              <w:rPr>
                <w:b/>
                <w:bCs/>
              </w:rPr>
              <w:t xml:space="preserve"> </w:t>
            </w:r>
            <w:r w:rsidRPr="008F4E24">
              <w:rPr>
                <w:b/>
                <w:bCs/>
              </w:rPr>
              <w:t>and</w:t>
            </w:r>
            <w:r w:rsidR="00A03629" w:rsidRPr="008F4E24">
              <w:rPr>
                <w:b/>
                <w:bCs/>
              </w:rPr>
              <w:t xml:space="preserve"> </w:t>
            </w:r>
            <w:r w:rsidRPr="008F4E24">
              <w:rPr>
                <w:b/>
                <w:bCs/>
              </w:rPr>
              <w:t>associated</w:t>
            </w:r>
            <w:r w:rsidR="00A03629" w:rsidRPr="008F4E24">
              <w:rPr>
                <w:b/>
                <w:bCs/>
              </w:rPr>
              <w:t xml:space="preserve"> </w:t>
            </w:r>
            <w:r w:rsidRPr="008F4E24">
              <w:rPr>
                <w:b/>
                <w:bCs/>
              </w:rPr>
              <w:t>entities</w:t>
            </w:r>
            <w:r w:rsidR="00A03629" w:rsidRPr="008F4E24">
              <w:rPr>
                <w:b/>
                <w:bCs/>
              </w:rPr>
              <w:t xml:space="preserve"> </w:t>
            </w:r>
            <w:r w:rsidRPr="008F4E24">
              <w:rPr>
                <w:b/>
                <w:bCs/>
              </w:rPr>
              <w:t>outside</w:t>
            </w:r>
            <w:r w:rsidR="00A03629" w:rsidRPr="008F4E24">
              <w:rPr>
                <w:b/>
                <w:bCs/>
              </w:rPr>
              <w:t xml:space="preserve"> </w:t>
            </w:r>
            <w:r w:rsidRPr="008F4E24">
              <w:rPr>
                <w:b/>
                <w:bCs/>
              </w:rPr>
              <w:t>portfolio</w:t>
            </w:r>
          </w:p>
        </w:tc>
        <w:tc>
          <w:tcPr>
            <w:tcW w:w="1642" w:type="dxa"/>
          </w:tcPr>
          <w:p w14:paraId="14ABBC74" w14:textId="77777777" w:rsidR="000756EB" w:rsidRPr="008F4E24" w:rsidRDefault="004A4D88" w:rsidP="008F4E24">
            <w:pPr>
              <w:pStyle w:val="TableCopy"/>
              <w:jc w:val="right"/>
              <w:rPr>
                <w:b/>
                <w:bCs/>
              </w:rPr>
            </w:pPr>
            <w:r w:rsidRPr="008F4E24">
              <w:rPr>
                <w:b/>
                <w:bCs/>
              </w:rPr>
              <w:t>(62,496)</w:t>
            </w:r>
          </w:p>
        </w:tc>
        <w:tc>
          <w:tcPr>
            <w:tcW w:w="1642" w:type="dxa"/>
          </w:tcPr>
          <w:p w14:paraId="1B696D3C" w14:textId="77777777" w:rsidR="000756EB" w:rsidRPr="008F4E24" w:rsidRDefault="004A4D88" w:rsidP="008F4E24">
            <w:pPr>
              <w:pStyle w:val="TableCopy"/>
              <w:jc w:val="right"/>
              <w:rPr>
                <w:b/>
                <w:bCs/>
              </w:rPr>
            </w:pPr>
            <w:r w:rsidRPr="008F4E24">
              <w:rPr>
                <w:b/>
                <w:bCs/>
              </w:rPr>
              <w:t>(114,388)</w:t>
            </w:r>
          </w:p>
        </w:tc>
      </w:tr>
      <w:tr w:rsidR="000756EB" w:rsidRPr="00B03D10" w14:paraId="6EE9DEC6" w14:textId="77777777" w:rsidTr="008F4E24">
        <w:trPr>
          <w:cantSplit/>
        </w:trPr>
        <w:tc>
          <w:tcPr>
            <w:tcW w:w="6917" w:type="dxa"/>
          </w:tcPr>
          <w:p w14:paraId="5827F4FB" w14:textId="6048CC74" w:rsidR="000756EB" w:rsidRPr="00B03D10" w:rsidRDefault="004A4D88" w:rsidP="008F4E24">
            <w:pPr>
              <w:pStyle w:val="TableHeading"/>
            </w:pPr>
            <w:r w:rsidRPr="00B03D10">
              <w:t>Grants</w:t>
            </w:r>
            <w:r w:rsidR="00A03629" w:rsidRPr="00B03D10">
              <w:t xml:space="preserve"> </w:t>
            </w:r>
            <w:r w:rsidRPr="00B03D10">
              <w:t>to</w:t>
            </w:r>
            <w:r w:rsidR="00A03629" w:rsidRPr="00B03D10">
              <w:t xml:space="preserve"> </w:t>
            </w:r>
            <w:r w:rsidRPr="00B03D10">
              <w:t>external</w:t>
            </w:r>
            <w:r w:rsidR="00A03629" w:rsidRPr="00B03D10">
              <w:t xml:space="preserve"> </w:t>
            </w:r>
            <w:r w:rsidRPr="00B03D10">
              <w:t>organisations</w:t>
            </w:r>
            <w:r w:rsidR="00A03629" w:rsidRPr="00B03D10">
              <w:t xml:space="preserve"> </w:t>
            </w:r>
            <w:r w:rsidRPr="00B03D10">
              <w:t>and</w:t>
            </w:r>
            <w:r w:rsidR="00A03629" w:rsidRPr="00B03D10">
              <w:t xml:space="preserve"> </w:t>
            </w:r>
            <w:r w:rsidRPr="00B03D10">
              <w:t>individuals</w:t>
            </w:r>
          </w:p>
        </w:tc>
        <w:tc>
          <w:tcPr>
            <w:tcW w:w="1642" w:type="dxa"/>
          </w:tcPr>
          <w:p w14:paraId="0FEE231E" w14:textId="77777777" w:rsidR="000756EB" w:rsidRPr="00B03D10" w:rsidRDefault="000756EB" w:rsidP="008F4E24">
            <w:pPr>
              <w:pStyle w:val="TableHeading"/>
              <w:jc w:val="right"/>
            </w:pPr>
          </w:p>
        </w:tc>
        <w:tc>
          <w:tcPr>
            <w:tcW w:w="1642" w:type="dxa"/>
          </w:tcPr>
          <w:p w14:paraId="3DC5F8E3" w14:textId="77777777" w:rsidR="000756EB" w:rsidRPr="00B03D10" w:rsidRDefault="000756EB" w:rsidP="008F4E24">
            <w:pPr>
              <w:pStyle w:val="TableHeading"/>
              <w:jc w:val="right"/>
            </w:pPr>
          </w:p>
        </w:tc>
      </w:tr>
      <w:tr w:rsidR="000756EB" w:rsidRPr="00B03D10" w14:paraId="6EE79C83" w14:textId="77777777" w:rsidTr="008F4E24">
        <w:trPr>
          <w:cantSplit/>
        </w:trPr>
        <w:tc>
          <w:tcPr>
            <w:tcW w:w="6917" w:type="dxa"/>
          </w:tcPr>
          <w:p w14:paraId="1D14489E" w14:textId="2427C022" w:rsidR="000756EB" w:rsidRPr="00B03D10" w:rsidRDefault="004A4D88" w:rsidP="008F4E24">
            <w:pPr>
              <w:pStyle w:val="TableCopy"/>
            </w:pPr>
            <w:r w:rsidRPr="00B03D10">
              <w:t>Circuit</w:t>
            </w:r>
            <w:r w:rsidR="00A03629" w:rsidRPr="00B03D10">
              <w:t xml:space="preserve"> </w:t>
            </w:r>
            <w:r w:rsidRPr="00B03D10">
              <w:t>Breaker</w:t>
            </w:r>
            <w:r w:rsidR="00A03629" w:rsidRPr="00B03D10">
              <w:t xml:space="preserve"> </w:t>
            </w:r>
            <w:r w:rsidRPr="00B03D10">
              <w:t>Business</w:t>
            </w:r>
            <w:r w:rsidR="00A03629" w:rsidRPr="00B03D10">
              <w:t xml:space="preserve"> </w:t>
            </w:r>
            <w:r w:rsidRPr="00B03D10">
              <w:t>Support</w:t>
            </w:r>
            <w:r w:rsidR="00A03629" w:rsidRPr="00B03D10">
              <w:t xml:space="preserve"> </w:t>
            </w:r>
            <w:r w:rsidRPr="00B03D10">
              <w:t>Packages</w:t>
            </w:r>
            <w:r w:rsidR="00A03629" w:rsidRPr="00B03D10">
              <w:t xml:space="preserve"> </w:t>
            </w:r>
            <w:r w:rsidRPr="008F4E24">
              <w:rPr>
                <w:vertAlign w:val="superscript"/>
              </w:rPr>
              <w:t>(</w:t>
            </w:r>
            <w:proofErr w:type="spellStart"/>
            <w:r w:rsidRPr="008F4E24">
              <w:rPr>
                <w:vertAlign w:val="superscript"/>
              </w:rPr>
              <w:t>i</w:t>
            </w:r>
            <w:proofErr w:type="spellEnd"/>
            <w:r w:rsidRPr="008F4E24">
              <w:rPr>
                <w:vertAlign w:val="superscript"/>
              </w:rPr>
              <w:t>)</w:t>
            </w:r>
          </w:p>
        </w:tc>
        <w:tc>
          <w:tcPr>
            <w:tcW w:w="1642" w:type="dxa"/>
          </w:tcPr>
          <w:p w14:paraId="2E32A473" w14:textId="77777777" w:rsidR="000756EB" w:rsidRPr="00B03D10" w:rsidRDefault="004A4D88" w:rsidP="008F4E24">
            <w:pPr>
              <w:pStyle w:val="TableCopy"/>
              <w:jc w:val="right"/>
            </w:pPr>
            <w:r w:rsidRPr="00B03D10">
              <w:t>–</w:t>
            </w:r>
          </w:p>
        </w:tc>
        <w:tc>
          <w:tcPr>
            <w:tcW w:w="1642" w:type="dxa"/>
          </w:tcPr>
          <w:p w14:paraId="67DB9B74" w14:textId="77777777" w:rsidR="000756EB" w:rsidRPr="00B03D10" w:rsidRDefault="004A4D88" w:rsidP="008F4E24">
            <w:pPr>
              <w:pStyle w:val="TableCopy"/>
              <w:jc w:val="right"/>
            </w:pPr>
            <w:r w:rsidRPr="00B03D10">
              <w:t>(6,941,538)</w:t>
            </w:r>
          </w:p>
        </w:tc>
      </w:tr>
      <w:tr w:rsidR="000756EB" w:rsidRPr="00B03D10" w14:paraId="482C9EF6" w14:textId="77777777" w:rsidTr="008F4E24">
        <w:trPr>
          <w:cantSplit/>
        </w:trPr>
        <w:tc>
          <w:tcPr>
            <w:tcW w:w="6917" w:type="dxa"/>
          </w:tcPr>
          <w:p w14:paraId="466C3298" w14:textId="7D60297C" w:rsidR="000756EB" w:rsidRPr="00B03D10" w:rsidRDefault="004A4D88" w:rsidP="008F4E24">
            <w:pPr>
              <w:pStyle w:val="TableCopy"/>
            </w:pPr>
            <w:r w:rsidRPr="00B03D10">
              <w:t>Business</w:t>
            </w:r>
            <w:r w:rsidR="00A03629" w:rsidRPr="00B03D10">
              <w:t xml:space="preserve"> </w:t>
            </w:r>
            <w:r w:rsidRPr="00B03D10">
              <w:t>Support</w:t>
            </w:r>
            <w:r w:rsidR="00A03629" w:rsidRPr="00B03D10">
              <w:t xml:space="preserve"> </w:t>
            </w:r>
            <w:r w:rsidRPr="008F4E24">
              <w:rPr>
                <w:vertAlign w:val="superscript"/>
              </w:rPr>
              <w:t>(</w:t>
            </w:r>
            <w:proofErr w:type="spellStart"/>
            <w:r w:rsidRPr="008F4E24">
              <w:rPr>
                <w:vertAlign w:val="superscript"/>
              </w:rPr>
              <w:t>i</w:t>
            </w:r>
            <w:proofErr w:type="spellEnd"/>
            <w:r w:rsidRPr="008F4E24">
              <w:rPr>
                <w:vertAlign w:val="superscript"/>
              </w:rPr>
              <w:t>)</w:t>
            </w:r>
          </w:p>
        </w:tc>
        <w:tc>
          <w:tcPr>
            <w:tcW w:w="1642" w:type="dxa"/>
          </w:tcPr>
          <w:p w14:paraId="3FDDC55D" w14:textId="77777777" w:rsidR="000756EB" w:rsidRPr="00B03D10" w:rsidRDefault="004A4D88" w:rsidP="008F4E24">
            <w:pPr>
              <w:pStyle w:val="TableCopy"/>
              <w:jc w:val="right"/>
            </w:pPr>
            <w:r w:rsidRPr="00B03D10">
              <w:t>–</w:t>
            </w:r>
          </w:p>
        </w:tc>
        <w:tc>
          <w:tcPr>
            <w:tcW w:w="1642" w:type="dxa"/>
          </w:tcPr>
          <w:p w14:paraId="39E959F3" w14:textId="77777777" w:rsidR="000756EB" w:rsidRPr="00B03D10" w:rsidRDefault="004A4D88" w:rsidP="008F4E24">
            <w:pPr>
              <w:pStyle w:val="TableCopy"/>
              <w:jc w:val="right"/>
            </w:pPr>
            <w:r w:rsidRPr="00B03D10">
              <w:t>(39,040)</w:t>
            </w:r>
          </w:p>
        </w:tc>
      </w:tr>
      <w:tr w:rsidR="000756EB" w:rsidRPr="00B03D10" w14:paraId="061CE0D9" w14:textId="77777777" w:rsidTr="008F4E24">
        <w:trPr>
          <w:cantSplit/>
        </w:trPr>
        <w:tc>
          <w:tcPr>
            <w:tcW w:w="6917" w:type="dxa"/>
          </w:tcPr>
          <w:p w14:paraId="72DB1B7B" w14:textId="2B085FDC" w:rsidR="000756EB" w:rsidRPr="00B03D10" w:rsidRDefault="004A4D88" w:rsidP="008F4E24">
            <w:pPr>
              <w:pStyle w:val="TableCopy"/>
            </w:pPr>
            <w:r w:rsidRPr="00B03D10">
              <w:t>Flood</w:t>
            </w:r>
            <w:r w:rsidR="00A03629" w:rsidRPr="00B03D10">
              <w:t xml:space="preserve"> </w:t>
            </w:r>
            <w:r w:rsidRPr="00B03D10">
              <w:t>Recovery</w:t>
            </w:r>
          </w:p>
        </w:tc>
        <w:tc>
          <w:tcPr>
            <w:tcW w:w="1642" w:type="dxa"/>
          </w:tcPr>
          <w:p w14:paraId="5ABA2EE6" w14:textId="77777777" w:rsidR="000756EB" w:rsidRPr="00B03D10" w:rsidRDefault="004A4D88" w:rsidP="008F4E24">
            <w:pPr>
              <w:pStyle w:val="TableCopy"/>
              <w:jc w:val="right"/>
            </w:pPr>
            <w:r w:rsidRPr="00B03D10">
              <w:t>(33,000)</w:t>
            </w:r>
          </w:p>
        </w:tc>
        <w:tc>
          <w:tcPr>
            <w:tcW w:w="1642" w:type="dxa"/>
          </w:tcPr>
          <w:p w14:paraId="33A61914" w14:textId="77777777" w:rsidR="000756EB" w:rsidRPr="00B03D10" w:rsidRDefault="004A4D88" w:rsidP="008F4E24">
            <w:pPr>
              <w:pStyle w:val="TableCopy"/>
              <w:jc w:val="right"/>
            </w:pPr>
            <w:r w:rsidRPr="00B03D10">
              <w:t>–</w:t>
            </w:r>
          </w:p>
        </w:tc>
      </w:tr>
      <w:tr w:rsidR="000756EB" w:rsidRPr="00B03D10" w14:paraId="056AA782" w14:textId="77777777" w:rsidTr="008F4E24">
        <w:trPr>
          <w:cantSplit/>
        </w:trPr>
        <w:tc>
          <w:tcPr>
            <w:tcW w:w="6917" w:type="dxa"/>
          </w:tcPr>
          <w:p w14:paraId="1CEA8A60" w14:textId="301576AB" w:rsidR="000756EB" w:rsidRPr="00B03D10" w:rsidRDefault="004A4D88" w:rsidP="008F4E24">
            <w:pPr>
              <w:pStyle w:val="TableCopy"/>
            </w:pPr>
            <w:r w:rsidRPr="00B03D10">
              <w:t>Coronavirus</w:t>
            </w:r>
            <w:r w:rsidR="00A03629" w:rsidRPr="00B03D10">
              <w:t xml:space="preserve"> </w:t>
            </w:r>
            <w:r w:rsidRPr="00B03D10">
              <w:t>(COVID-19)</w:t>
            </w:r>
            <w:r w:rsidR="00A03629" w:rsidRPr="00B03D10">
              <w:t xml:space="preserve"> </w:t>
            </w:r>
            <w:r w:rsidRPr="00B03D10">
              <w:t>direct</w:t>
            </w:r>
            <w:r w:rsidR="00A03629" w:rsidRPr="00B03D10">
              <w:t xml:space="preserve"> </w:t>
            </w:r>
            <w:r w:rsidRPr="00B03D10">
              <w:t>response</w:t>
            </w:r>
            <w:r w:rsidR="00A03629" w:rsidRPr="00B03D10">
              <w:t xml:space="preserve"> </w:t>
            </w:r>
            <w:r w:rsidRPr="008F4E24">
              <w:rPr>
                <w:vertAlign w:val="superscript"/>
              </w:rPr>
              <w:t>(</w:t>
            </w:r>
            <w:proofErr w:type="spellStart"/>
            <w:r w:rsidRPr="008F4E24">
              <w:rPr>
                <w:vertAlign w:val="superscript"/>
              </w:rPr>
              <w:t>i</w:t>
            </w:r>
            <w:proofErr w:type="spellEnd"/>
            <w:r w:rsidRPr="008F4E24">
              <w:rPr>
                <w:vertAlign w:val="superscript"/>
              </w:rPr>
              <w:t>)</w:t>
            </w:r>
          </w:p>
        </w:tc>
        <w:tc>
          <w:tcPr>
            <w:tcW w:w="1642" w:type="dxa"/>
          </w:tcPr>
          <w:p w14:paraId="6CCB386C" w14:textId="77777777" w:rsidR="000756EB" w:rsidRPr="00B03D10" w:rsidRDefault="004A4D88" w:rsidP="008F4E24">
            <w:pPr>
              <w:pStyle w:val="TableCopy"/>
              <w:jc w:val="right"/>
            </w:pPr>
            <w:r w:rsidRPr="00B03D10">
              <w:t>–</w:t>
            </w:r>
          </w:p>
        </w:tc>
        <w:tc>
          <w:tcPr>
            <w:tcW w:w="1642" w:type="dxa"/>
          </w:tcPr>
          <w:p w14:paraId="4B40863D" w14:textId="77777777" w:rsidR="000756EB" w:rsidRPr="00B03D10" w:rsidRDefault="004A4D88" w:rsidP="008F4E24">
            <w:pPr>
              <w:pStyle w:val="TableCopy"/>
              <w:jc w:val="right"/>
            </w:pPr>
            <w:r w:rsidRPr="00B03D10">
              <w:t>(481,717)</w:t>
            </w:r>
          </w:p>
        </w:tc>
      </w:tr>
      <w:tr w:rsidR="000756EB" w:rsidRPr="00B03D10" w14:paraId="69EC408E" w14:textId="77777777" w:rsidTr="008F4E24">
        <w:trPr>
          <w:cantSplit/>
        </w:trPr>
        <w:tc>
          <w:tcPr>
            <w:tcW w:w="6917" w:type="dxa"/>
          </w:tcPr>
          <w:p w14:paraId="67A8D56E" w14:textId="772B7A8A" w:rsidR="000756EB" w:rsidRPr="00B03D10" w:rsidRDefault="004A4D88" w:rsidP="008F4E24">
            <w:pPr>
              <w:pStyle w:val="TableCopy"/>
            </w:pPr>
            <w:r w:rsidRPr="00B03D10">
              <w:t>Working</w:t>
            </w:r>
            <w:r w:rsidR="00A03629" w:rsidRPr="00B03D10">
              <w:t xml:space="preserve"> </w:t>
            </w:r>
            <w:r w:rsidRPr="00B03D10">
              <w:t>for</w:t>
            </w:r>
            <w:r w:rsidR="00A03629" w:rsidRPr="00B03D10">
              <w:t xml:space="preserve"> </w:t>
            </w:r>
            <w:r w:rsidRPr="00B03D10">
              <w:t>Victoria</w:t>
            </w:r>
            <w:r w:rsidR="00A03629" w:rsidRPr="00B03D10">
              <w:t xml:space="preserve"> </w:t>
            </w:r>
            <w:r w:rsidRPr="008F4E24">
              <w:rPr>
                <w:vertAlign w:val="superscript"/>
              </w:rPr>
              <w:t>(</w:t>
            </w:r>
            <w:proofErr w:type="spellStart"/>
            <w:r w:rsidRPr="008F4E24">
              <w:rPr>
                <w:vertAlign w:val="superscript"/>
              </w:rPr>
              <w:t>i</w:t>
            </w:r>
            <w:proofErr w:type="spellEnd"/>
            <w:r w:rsidRPr="008F4E24">
              <w:rPr>
                <w:vertAlign w:val="superscript"/>
              </w:rPr>
              <w:t>)</w:t>
            </w:r>
          </w:p>
        </w:tc>
        <w:tc>
          <w:tcPr>
            <w:tcW w:w="1642" w:type="dxa"/>
          </w:tcPr>
          <w:p w14:paraId="5310C76F" w14:textId="77777777" w:rsidR="000756EB" w:rsidRPr="00B03D10" w:rsidRDefault="004A4D88" w:rsidP="008F4E24">
            <w:pPr>
              <w:pStyle w:val="TableCopy"/>
              <w:jc w:val="right"/>
            </w:pPr>
            <w:r w:rsidRPr="00B03D10">
              <w:t>–</w:t>
            </w:r>
          </w:p>
        </w:tc>
        <w:tc>
          <w:tcPr>
            <w:tcW w:w="1642" w:type="dxa"/>
          </w:tcPr>
          <w:p w14:paraId="45BFCB6F" w14:textId="77777777" w:rsidR="000756EB" w:rsidRPr="00B03D10" w:rsidRDefault="004A4D88" w:rsidP="008F4E24">
            <w:pPr>
              <w:pStyle w:val="TableCopy"/>
              <w:jc w:val="right"/>
            </w:pPr>
            <w:r w:rsidRPr="00B03D10">
              <w:t>(6,413)</w:t>
            </w:r>
          </w:p>
        </w:tc>
      </w:tr>
      <w:tr w:rsidR="000756EB" w:rsidRPr="00B03D10" w14:paraId="6D7B148D" w14:textId="77777777" w:rsidTr="008F4E24">
        <w:trPr>
          <w:cantSplit/>
        </w:trPr>
        <w:tc>
          <w:tcPr>
            <w:tcW w:w="6917" w:type="dxa"/>
          </w:tcPr>
          <w:p w14:paraId="2775829F" w14:textId="4B9C3CB8" w:rsidR="000756EB" w:rsidRPr="00B03D10" w:rsidRDefault="004A4D88" w:rsidP="008F4E24">
            <w:pPr>
              <w:pStyle w:val="TableCopy"/>
            </w:pPr>
            <w:r w:rsidRPr="00B03D10">
              <w:t>Financial</w:t>
            </w:r>
            <w:r w:rsidR="00A03629" w:rsidRPr="00B03D10">
              <w:t xml:space="preserve"> </w:t>
            </w:r>
            <w:r w:rsidRPr="00B03D10">
              <w:t>Assistance</w:t>
            </w:r>
            <w:r w:rsidR="00A03629" w:rsidRPr="00B03D10">
              <w:t xml:space="preserve"> </w:t>
            </w:r>
            <w:r w:rsidRPr="00B03D10">
              <w:t>for</w:t>
            </w:r>
            <w:r w:rsidR="00A03629" w:rsidRPr="00B03D10">
              <w:t xml:space="preserve"> </w:t>
            </w:r>
            <w:r w:rsidRPr="00B03D10">
              <w:t>sport</w:t>
            </w:r>
            <w:r w:rsidR="00A03629" w:rsidRPr="00B03D10">
              <w:t xml:space="preserve"> </w:t>
            </w:r>
            <w:r w:rsidRPr="00B03D10">
              <w:t>due</w:t>
            </w:r>
            <w:r w:rsidR="00A03629" w:rsidRPr="00B03D10">
              <w:t xml:space="preserve"> </w:t>
            </w:r>
            <w:r w:rsidRPr="00B03D10">
              <w:t>to</w:t>
            </w:r>
            <w:r w:rsidR="00A03629" w:rsidRPr="00B03D10">
              <w:t xml:space="preserve"> </w:t>
            </w:r>
            <w:r w:rsidRPr="00B03D10">
              <w:t>the</w:t>
            </w:r>
            <w:r w:rsidR="00A03629" w:rsidRPr="00B03D10">
              <w:t xml:space="preserve"> </w:t>
            </w:r>
            <w:r w:rsidRPr="00B03D10">
              <w:t>impact</w:t>
            </w:r>
            <w:r w:rsidR="00A03629" w:rsidRPr="00B03D10">
              <w:t xml:space="preserve"> </w:t>
            </w:r>
            <w:r w:rsidRPr="00B03D10">
              <w:t>of</w:t>
            </w:r>
            <w:r w:rsidR="00A03629" w:rsidRPr="00B03D10">
              <w:t xml:space="preserve"> </w:t>
            </w:r>
            <w:r w:rsidRPr="00B03D10">
              <w:t>COVID-19</w:t>
            </w:r>
            <w:r w:rsidR="00A03629" w:rsidRPr="00B03D10">
              <w:t xml:space="preserve"> </w:t>
            </w:r>
            <w:r w:rsidRPr="008F4E24">
              <w:rPr>
                <w:vertAlign w:val="superscript"/>
              </w:rPr>
              <w:t>(</w:t>
            </w:r>
            <w:proofErr w:type="spellStart"/>
            <w:r w:rsidRPr="008F4E24">
              <w:rPr>
                <w:vertAlign w:val="superscript"/>
              </w:rPr>
              <w:t>i</w:t>
            </w:r>
            <w:proofErr w:type="spellEnd"/>
            <w:r w:rsidRPr="008F4E24">
              <w:rPr>
                <w:vertAlign w:val="superscript"/>
              </w:rPr>
              <w:t>)</w:t>
            </w:r>
          </w:p>
        </w:tc>
        <w:tc>
          <w:tcPr>
            <w:tcW w:w="1642" w:type="dxa"/>
          </w:tcPr>
          <w:p w14:paraId="6220CAFA" w14:textId="77777777" w:rsidR="000756EB" w:rsidRPr="00B03D10" w:rsidRDefault="004A4D88" w:rsidP="008F4E24">
            <w:pPr>
              <w:pStyle w:val="TableCopy"/>
              <w:jc w:val="right"/>
            </w:pPr>
            <w:r w:rsidRPr="00B03D10">
              <w:t>–</w:t>
            </w:r>
          </w:p>
        </w:tc>
        <w:tc>
          <w:tcPr>
            <w:tcW w:w="1642" w:type="dxa"/>
          </w:tcPr>
          <w:p w14:paraId="1F17C206" w14:textId="77777777" w:rsidR="000756EB" w:rsidRPr="00B03D10" w:rsidRDefault="004A4D88" w:rsidP="008F4E24">
            <w:pPr>
              <w:pStyle w:val="TableCopy"/>
              <w:jc w:val="right"/>
            </w:pPr>
            <w:r w:rsidRPr="00B03D10">
              <w:t>(150,000)</w:t>
            </w:r>
          </w:p>
        </w:tc>
      </w:tr>
      <w:tr w:rsidR="000756EB" w:rsidRPr="00B03D10" w14:paraId="3BCEDF10" w14:textId="77777777" w:rsidTr="008F4E24">
        <w:trPr>
          <w:cantSplit/>
        </w:trPr>
        <w:tc>
          <w:tcPr>
            <w:tcW w:w="6917" w:type="dxa"/>
          </w:tcPr>
          <w:p w14:paraId="25D06427" w14:textId="3F1B9596" w:rsidR="000756EB" w:rsidRPr="00B03D10" w:rsidRDefault="004A4D88" w:rsidP="008F4E24">
            <w:pPr>
              <w:pStyle w:val="TableCopy"/>
            </w:pPr>
            <w:r w:rsidRPr="00B03D10">
              <w:t>Other</w:t>
            </w:r>
            <w:r w:rsidR="00A03629" w:rsidRPr="00B03D10">
              <w:t xml:space="preserve"> </w:t>
            </w:r>
            <w:r w:rsidRPr="00B03D10">
              <w:t>coronavirus</w:t>
            </w:r>
            <w:r w:rsidR="00A03629" w:rsidRPr="00B03D10">
              <w:t xml:space="preserve"> </w:t>
            </w:r>
            <w:r w:rsidRPr="00B03D10">
              <w:t>(COVID-19)</w:t>
            </w:r>
            <w:r w:rsidR="00A03629" w:rsidRPr="00B03D10">
              <w:t xml:space="preserve"> </w:t>
            </w:r>
            <w:r w:rsidRPr="00B03D10">
              <w:t>grants</w:t>
            </w:r>
            <w:r w:rsidR="00A03629" w:rsidRPr="00B03D10">
              <w:t xml:space="preserve"> </w:t>
            </w:r>
            <w:r w:rsidRPr="008F4E24">
              <w:rPr>
                <w:vertAlign w:val="superscript"/>
              </w:rPr>
              <w:t>(</w:t>
            </w:r>
            <w:proofErr w:type="spellStart"/>
            <w:r w:rsidRPr="008F4E24">
              <w:rPr>
                <w:vertAlign w:val="superscript"/>
              </w:rPr>
              <w:t>i</w:t>
            </w:r>
            <w:proofErr w:type="spellEnd"/>
            <w:r w:rsidRPr="008F4E24">
              <w:rPr>
                <w:vertAlign w:val="superscript"/>
              </w:rPr>
              <w:t>)</w:t>
            </w:r>
          </w:p>
        </w:tc>
        <w:tc>
          <w:tcPr>
            <w:tcW w:w="1642" w:type="dxa"/>
          </w:tcPr>
          <w:p w14:paraId="469EFA9E" w14:textId="77777777" w:rsidR="000756EB" w:rsidRPr="00B03D10" w:rsidRDefault="004A4D88" w:rsidP="008F4E24">
            <w:pPr>
              <w:pStyle w:val="TableCopy"/>
              <w:jc w:val="right"/>
            </w:pPr>
            <w:r w:rsidRPr="00B03D10">
              <w:t>–</w:t>
            </w:r>
          </w:p>
        </w:tc>
        <w:tc>
          <w:tcPr>
            <w:tcW w:w="1642" w:type="dxa"/>
          </w:tcPr>
          <w:p w14:paraId="5C01600E" w14:textId="77777777" w:rsidR="000756EB" w:rsidRPr="00B03D10" w:rsidRDefault="004A4D88" w:rsidP="008F4E24">
            <w:pPr>
              <w:pStyle w:val="TableCopy"/>
              <w:jc w:val="right"/>
            </w:pPr>
            <w:r w:rsidRPr="00B03D10">
              <w:t>(24,673)</w:t>
            </w:r>
          </w:p>
        </w:tc>
      </w:tr>
      <w:tr w:rsidR="000756EB" w:rsidRPr="00B03D10" w14:paraId="68F426F6" w14:textId="77777777" w:rsidTr="008F4E24">
        <w:trPr>
          <w:cantSplit/>
        </w:trPr>
        <w:tc>
          <w:tcPr>
            <w:tcW w:w="6917" w:type="dxa"/>
          </w:tcPr>
          <w:p w14:paraId="0A504AD3" w14:textId="651F6964" w:rsidR="000756EB" w:rsidRPr="00B03D10" w:rsidRDefault="004A4D88" w:rsidP="008F4E24">
            <w:pPr>
              <w:pStyle w:val="TableCopy"/>
            </w:pPr>
            <w:r w:rsidRPr="00B03D10">
              <w:lastRenderedPageBreak/>
              <w:t>Other</w:t>
            </w:r>
            <w:r w:rsidR="00A03629" w:rsidRPr="00B03D10">
              <w:t xml:space="preserve"> </w:t>
            </w:r>
            <w:r w:rsidRPr="00B03D10">
              <w:t>non-government</w:t>
            </w:r>
            <w:r w:rsidR="00A03629" w:rsidRPr="00B03D10">
              <w:t xml:space="preserve"> </w:t>
            </w:r>
            <w:r w:rsidRPr="00B03D10">
              <w:t>agencies</w:t>
            </w:r>
          </w:p>
        </w:tc>
        <w:tc>
          <w:tcPr>
            <w:tcW w:w="1642" w:type="dxa"/>
          </w:tcPr>
          <w:p w14:paraId="4553243E" w14:textId="77777777" w:rsidR="000756EB" w:rsidRPr="00B03D10" w:rsidRDefault="004A4D88" w:rsidP="008F4E24">
            <w:pPr>
              <w:pStyle w:val="TableCopy"/>
              <w:jc w:val="right"/>
            </w:pPr>
            <w:r w:rsidRPr="00B03D10">
              <w:t>(1,094,951)</w:t>
            </w:r>
          </w:p>
        </w:tc>
        <w:tc>
          <w:tcPr>
            <w:tcW w:w="1642" w:type="dxa"/>
          </w:tcPr>
          <w:p w14:paraId="21A24314" w14:textId="77777777" w:rsidR="000756EB" w:rsidRPr="00B03D10" w:rsidRDefault="004A4D88" w:rsidP="008F4E24">
            <w:pPr>
              <w:pStyle w:val="TableCopy"/>
              <w:jc w:val="right"/>
            </w:pPr>
            <w:r w:rsidRPr="00B03D10">
              <w:t>(1,010,440)</w:t>
            </w:r>
          </w:p>
        </w:tc>
      </w:tr>
      <w:tr w:rsidR="000756EB" w:rsidRPr="008F4E24" w14:paraId="7F46AE97" w14:textId="77777777" w:rsidTr="008F4E24">
        <w:trPr>
          <w:cantSplit/>
        </w:trPr>
        <w:tc>
          <w:tcPr>
            <w:tcW w:w="6917" w:type="dxa"/>
          </w:tcPr>
          <w:p w14:paraId="79879D41" w14:textId="6F9F7E82" w:rsidR="000756EB" w:rsidRPr="008F4E24" w:rsidRDefault="004A4D88" w:rsidP="008F4E24">
            <w:pPr>
              <w:pStyle w:val="TableCopy"/>
              <w:rPr>
                <w:b/>
                <w:bCs/>
              </w:rPr>
            </w:pPr>
            <w:r w:rsidRPr="008F4E24">
              <w:rPr>
                <w:b/>
                <w:bCs/>
              </w:rPr>
              <w:t>Total</w:t>
            </w:r>
            <w:r w:rsidR="00A03629" w:rsidRPr="008F4E24">
              <w:rPr>
                <w:b/>
                <w:bCs/>
              </w:rPr>
              <w:t xml:space="preserve"> </w:t>
            </w:r>
            <w:r w:rsidRPr="008F4E24">
              <w:rPr>
                <w:b/>
                <w:bCs/>
              </w:rPr>
              <w:t>grants</w:t>
            </w:r>
            <w:r w:rsidR="00A03629" w:rsidRPr="008F4E24">
              <w:rPr>
                <w:b/>
                <w:bCs/>
              </w:rPr>
              <w:t xml:space="preserve"> </w:t>
            </w:r>
            <w:r w:rsidRPr="008F4E24">
              <w:rPr>
                <w:b/>
                <w:bCs/>
              </w:rPr>
              <w:t>to</w:t>
            </w:r>
            <w:r w:rsidR="00A03629" w:rsidRPr="008F4E24">
              <w:rPr>
                <w:b/>
                <w:bCs/>
              </w:rPr>
              <w:t xml:space="preserve"> </w:t>
            </w:r>
            <w:r w:rsidRPr="008F4E24">
              <w:rPr>
                <w:b/>
                <w:bCs/>
              </w:rPr>
              <w:t>external</w:t>
            </w:r>
            <w:r w:rsidR="00A03629" w:rsidRPr="008F4E24">
              <w:rPr>
                <w:b/>
                <w:bCs/>
              </w:rPr>
              <w:t xml:space="preserve"> </w:t>
            </w:r>
            <w:r w:rsidRPr="008F4E24">
              <w:rPr>
                <w:b/>
                <w:bCs/>
              </w:rPr>
              <w:t>organisations</w:t>
            </w:r>
            <w:r w:rsidR="00A03629" w:rsidRPr="008F4E24">
              <w:rPr>
                <w:b/>
                <w:bCs/>
              </w:rPr>
              <w:t xml:space="preserve"> </w:t>
            </w:r>
            <w:r w:rsidRPr="008F4E24">
              <w:rPr>
                <w:b/>
                <w:bCs/>
              </w:rPr>
              <w:t>and</w:t>
            </w:r>
            <w:r w:rsidR="00A03629" w:rsidRPr="008F4E24">
              <w:rPr>
                <w:b/>
                <w:bCs/>
              </w:rPr>
              <w:t xml:space="preserve"> </w:t>
            </w:r>
            <w:r w:rsidRPr="008F4E24">
              <w:rPr>
                <w:b/>
                <w:bCs/>
              </w:rPr>
              <w:t>individuals</w:t>
            </w:r>
          </w:p>
        </w:tc>
        <w:tc>
          <w:tcPr>
            <w:tcW w:w="1642" w:type="dxa"/>
          </w:tcPr>
          <w:p w14:paraId="62A8CA69" w14:textId="77777777" w:rsidR="000756EB" w:rsidRPr="008F4E24" w:rsidRDefault="004A4D88" w:rsidP="008F4E24">
            <w:pPr>
              <w:pStyle w:val="TableCopy"/>
              <w:jc w:val="right"/>
              <w:rPr>
                <w:b/>
                <w:bCs/>
              </w:rPr>
            </w:pPr>
            <w:r w:rsidRPr="008F4E24">
              <w:rPr>
                <w:b/>
                <w:bCs/>
              </w:rPr>
              <w:t>(1,127,951)</w:t>
            </w:r>
          </w:p>
        </w:tc>
        <w:tc>
          <w:tcPr>
            <w:tcW w:w="1642" w:type="dxa"/>
          </w:tcPr>
          <w:p w14:paraId="006A0B78" w14:textId="77777777" w:rsidR="000756EB" w:rsidRPr="008F4E24" w:rsidRDefault="004A4D88" w:rsidP="008F4E24">
            <w:pPr>
              <w:pStyle w:val="TableCopy"/>
              <w:jc w:val="right"/>
              <w:rPr>
                <w:b/>
                <w:bCs/>
              </w:rPr>
            </w:pPr>
            <w:r w:rsidRPr="008F4E24">
              <w:rPr>
                <w:b/>
                <w:bCs/>
              </w:rPr>
              <w:t>(8,653,821)</w:t>
            </w:r>
          </w:p>
        </w:tc>
      </w:tr>
      <w:tr w:rsidR="000756EB" w:rsidRPr="008F4E24" w14:paraId="45CD61E0" w14:textId="77777777" w:rsidTr="008F4E24">
        <w:trPr>
          <w:cantSplit/>
        </w:trPr>
        <w:tc>
          <w:tcPr>
            <w:tcW w:w="6917" w:type="dxa"/>
          </w:tcPr>
          <w:p w14:paraId="55A4D94E" w14:textId="79E39730" w:rsidR="000756EB" w:rsidRPr="008F4E24" w:rsidRDefault="004A4D88" w:rsidP="008F4E24">
            <w:pPr>
              <w:pStyle w:val="TableCopy"/>
              <w:rPr>
                <w:b/>
                <w:bCs/>
              </w:rPr>
            </w:pPr>
            <w:r w:rsidRPr="008F4E24">
              <w:rPr>
                <w:b/>
                <w:bCs/>
              </w:rPr>
              <w:t>Total</w:t>
            </w:r>
            <w:r w:rsidR="00A03629" w:rsidRPr="008F4E24">
              <w:rPr>
                <w:b/>
                <w:bCs/>
              </w:rPr>
              <w:t xml:space="preserve"> </w:t>
            </w:r>
            <w:r w:rsidRPr="008F4E24">
              <w:rPr>
                <w:b/>
                <w:bCs/>
              </w:rPr>
              <w:t>grants</w:t>
            </w:r>
            <w:r w:rsidR="00A03629" w:rsidRPr="008F4E24">
              <w:rPr>
                <w:b/>
                <w:bCs/>
              </w:rPr>
              <w:t xml:space="preserve"> </w:t>
            </w:r>
            <w:r w:rsidRPr="008F4E24">
              <w:rPr>
                <w:b/>
                <w:bCs/>
              </w:rPr>
              <w:t>and</w:t>
            </w:r>
            <w:r w:rsidR="00A03629" w:rsidRPr="008F4E24">
              <w:rPr>
                <w:b/>
                <w:bCs/>
              </w:rPr>
              <w:t xml:space="preserve"> </w:t>
            </w:r>
            <w:r w:rsidRPr="008F4E24">
              <w:rPr>
                <w:b/>
                <w:bCs/>
              </w:rPr>
              <w:t>other</w:t>
            </w:r>
            <w:r w:rsidR="00A03629" w:rsidRPr="008F4E24">
              <w:rPr>
                <w:b/>
                <w:bCs/>
              </w:rPr>
              <w:t xml:space="preserve"> </w:t>
            </w:r>
            <w:r w:rsidRPr="008F4E24">
              <w:rPr>
                <w:b/>
                <w:bCs/>
              </w:rPr>
              <w:t>transfers</w:t>
            </w:r>
          </w:p>
        </w:tc>
        <w:tc>
          <w:tcPr>
            <w:tcW w:w="1642" w:type="dxa"/>
          </w:tcPr>
          <w:p w14:paraId="303176B4" w14:textId="77777777" w:rsidR="000756EB" w:rsidRPr="008F4E24" w:rsidRDefault="004A4D88" w:rsidP="008F4E24">
            <w:pPr>
              <w:pStyle w:val="TableCopy"/>
              <w:jc w:val="right"/>
              <w:rPr>
                <w:b/>
                <w:bCs/>
              </w:rPr>
            </w:pPr>
            <w:r w:rsidRPr="008F4E24">
              <w:rPr>
                <w:b/>
                <w:bCs/>
              </w:rPr>
              <w:t>(2,926,786)</w:t>
            </w:r>
          </w:p>
        </w:tc>
        <w:tc>
          <w:tcPr>
            <w:tcW w:w="1642" w:type="dxa"/>
          </w:tcPr>
          <w:p w14:paraId="74A3AA69" w14:textId="77777777" w:rsidR="000756EB" w:rsidRPr="008F4E24" w:rsidRDefault="004A4D88" w:rsidP="008F4E24">
            <w:pPr>
              <w:pStyle w:val="TableCopy"/>
              <w:jc w:val="right"/>
              <w:rPr>
                <w:b/>
                <w:bCs/>
              </w:rPr>
            </w:pPr>
            <w:r w:rsidRPr="008F4E24">
              <w:rPr>
                <w:b/>
                <w:bCs/>
              </w:rPr>
              <w:t>(9,892,275)</w:t>
            </w:r>
          </w:p>
        </w:tc>
      </w:tr>
    </w:tbl>
    <w:p w14:paraId="089ABD85" w14:textId="5A69B133" w:rsidR="008F4E24" w:rsidRDefault="008F4E24" w:rsidP="008F4E24">
      <w:pPr>
        <w:pStyle w:val="FootnoteText"/>
        <w:spacing w:before="120"/>
      </w:pPr>
      <w:r>
        <w:t>(</w:t>
      </w:r>
      <w:proofErr w:type="spellStart"/>
      <w:r>
        <w:t>i</w:t>
      </w:r>
      <w:proofErr w:type="spellEnd"/>
      <w:r>
        <w:t>) The various Circuit Breaker Support Packages and COVID-19 business support grant programs, only relates to FY2021–22, no</w:t>
      </w:r>
      <w:r>
        <w:rPr>
          <w:rFonts w:ascii="Cambria" w:hAnsi="Cambria" w:cs="Cambria"/>
        </w:rPr>
        <w:t xml:space="preserve"> </w:t>
      </w:r>
      <w:r>
        <w:t>such</w:t>
      </w:r>
      <w:r>
        <w:rPr>
          <w:rFonts w:ascii="Cambria" w:hAnsi="Cambria" w:cs="Cambria"/>
        </w:rPr>
        <w:t xml:space="preserve"> </w:t>
      </w:r>
      <w:r>
        <w:t>grants</w:t>
      </w:r>
      <w:r>
        <w:rPr>
          <w:rFonts w:ascii="Cambria" w:hAnsi="Cambria" w:cs="Cambria"/>
        </w:rPr>
        <w:t xml:space="preserve"> </w:t>
      </w:r>
      <w:r>
        <w:t>were available in FY2022–23.</w:t>
      </w:r>
    </w:p>
    <w:p w14:paraId="4720A415" w14:textId="0FE15FBF" w:rsidR="000756EB" w:rsidRDefault="008F4E24" w:rsidP="008F4E24">
      <w:pPr>
        <w:pStyle w:val="FootnoteText"/>
        <w:spacing w:after="280"/>
      </w:pPr>
      <w:r>
        <w:t xml:space="preserve">(ii) The grants payments disclosed in 2022–23 and 2021–22 </w:t>
      </w:r>
      <w:proofErr w:type="gramStart"/>
      <w:r>
        <w:t>are</w:t>
      </w:r>
      <w:proofErr w:type="gramEnd"/>
      <w:r>
        <w:t xml:space="preserve"> not directly comparable due to the machinery of government changes effective 1 January 2023. They include TAFE and other education services grants transferred in from Department of Education; and</w:t>
      </w:r>
      <w:r>
        <w:rPr>
          <w:rFonts w:ascii="Cambria" w:hAnsi="Cambria" w:cs="Cambria"/>
        </w:rPr>
        <w:t xml:space="preserve"> </w:t>
      </w:r>
      <w:r>
        <w:t>local</w:t>
      </w:r>
      <w:r>
        <w:rPr>
          <w:rFonts w:ascii="Cambria" w:hAnsi="Cambria" w:cs="Cambria"/>
        </w:rPr>
        <w:t xml:space="preserve"> </w:t>
      </w:r>
      <w:r>
        <w:t>government grants transferred out to Department of Government Services.</w:t>
      </w:r>
    </w:p>
    <w:p w14:paraId="1FFB578F" w14:textId="0FC54158" w:rsidR="000756EB" w:rsidRDefault="004A4D88" w:rsidP="008F4E24">
      <w:r>
        <w:t>Grant</w:t>
      </w:r>
      <w:r w:rsidR="00A03629">
        <w:t xml:space="preserve"> </w:t>
      </w:r>
      <w:r>
        <w:t>expenses</w:t>
      </w:r>
      <w:r w:rsidR="00A03629">
        <w:t xml:space="preserve"> </w:t>
      </w:r>
      <w:r>
        <w:t>are</w:t>
      </w:r>
      <w:r w:rsidR="00A03629">
        <w:t xml:space="preserve"> </w:t>
      </w:r>
      <w:r>
        <w:t>contributions</w:t>
      </w:r>
      <w:r w:rsidR="00A03629">
        <w:t xml:space="preserve"> </w:t>
      </w:r>
      <w:r>
        <w:t>of</w:t>
      </w:r>
      <w:r w:rsidR="00A03629">
        <w:t xml:space="preserve"> </w:t>
      </w:r>
      <w:r>
        <w:t>DJSIR’s</w:t>
      </w:r>
      <w:r w:rsidR="00A03629">
        <w:t xml:space="preserve"> </w:t>
      </w:r>
      <w:r>
        <w:t>resources</w:t>
      </w:r>
      <w:r w:rsidR="00A03629">
        <w:t xml:space="preserve"> </w:t>
      </w:r>
      <w:r>
        <w:t>to</w:t>
      </w:r>
      <w:r w:rsidR="00A03629">
        <w:t xml:space="preserve"> </w:t>
      </w:r>
      <w:r>
        <w:t>another</w:t>
      </w:r>
      <w:r w:rsidR="00A03629">
        <w:t xml:space="preserve"> </w:t>
      </w:r>
      <w:r>
        <w:t>party</w:t>
      </w:r>
      <w:r w:rsidR="00A03629">
        <w:t xml:space="preserve"> </w:t>
      </w:r>
      <w:r>
        <w:t>for</w:t>
      </w:r>
      <w:r w:rsidR="00A03629">
        <w:t xml:space="preserve"> </w:t>
      </w:r>
      <w:r>
        <w:t>specific</w:t>
      </w:r>
      <w:r w:rsidR="00A03629">
        <w:t xml:space="preserve"> </w:t>
      </w:r>
      <w:r>
        <w:t>or</w:t>
      </w:r>
      <w:r w:rsidR="00A03629">
        <w:t xml:space="preserve"> </w:t>
      </w:r>
      <w:r>
        <w:t>general</w:t>
      </w:r>
      <w:r w:rsidR="00A03629">
        <w:t xml:space="preserve"> </w:t>
      </w:r>
      <w:r>
        <w:t>purposes</w:t>
      </w:r>
      <w:r w:rsidR="00A03629">
        <w:t xml:space="preserve"> </w:t>
      </w:r>
      <w:r>
        <w:t>where</w:t>
      </w:r>
      <w:r w:rsidR="00A03629">
        <w:t xml:space="preserve"> </w:t>
      </w:r>
      <w:r>
        <w:t>there</w:t>
      </w:r>
      <w:r w:rsidR="00A03629">
        <w:t xml:space="preserve"> </w:t>
      </w:r>
      <w:r>
        <w:t>is</w:t>
      </w:r>
      <w:r w:rsidR="00A03629">
        <w:t xml:space="preserve"> </w:t>
      </w:r>
      <w:r>
        <w:t>no</w:t>
      </w:r>
      <w:r w:rsidR="00A03629">
        <w:t xml:space="preserve"> </w:t>
      </w:r>
      <w:r>
        <w:t>expectation</w:t>
      </w:r>
      <w:r w:rsidR="00A03629">
        <w:t xml:space="preserve"> </w:t>
      </w:r>
      <w:r>
        <w:t>that</w:t>
      </w:r>
      <w:r w:rsidR="00A03629">
        <w:t xml:space="preserve"> </w:t>
      </w:r>
      <w:r>
        <w:t>the</w:t>
      </w:r>
      <w:r w:rsidR="00A03629">
        <w:t xml:space="preserve"> </w:t>
      </w:r>
      <w:r>
        <w:t>amount</w:t>
      </w:r>
      <w:r w:rsidR="00A03629">
        <w:t xml:space="preserve"> </w:t>
      </w:r>
      <w:r>
        <w:t>will</w:t>
      </w:r>
      <w:r w:rsidR="00A03629">
        <w:t xml:space="preserve"> </w:t>
      </w:r>
      <w:r>
        <w:t>be</w:t>
      </w:r>
      <w:r w:rsidR="00A03629">
        <w:t xml:space="preserve"> </w:t>
      </w:r>
      <w:r>
        <w:t>repaid</w:t>
      </w:r>
      <w:r w:rsidR="00A03629">
        <w:t xml:space="preserve"> </w:t>
      </w:r>
      <w:r>
        <w:t>in</w:t>
      </w:r>
      <w:r w:rsidR="00A03629">
        <w:t xml:space="preserve"> </w:t>
      </w:r>
      <w:r>
        <w:t>equal</w:t>
      </w:r>
      <w:r w:rsidR="00A03629">
        <w:t xml:space="preserve"> </w:t>
      </w:r>
      <w:r>
        <w:t>value</w:t>
      </w:r>
      <w:r w:rsidR="00A03629">
        <w:t xml:space="preserve"> </w:t>
      </w:r>
      <w:r>
        <w:t>(either</w:t>
      </w:r>
      <w:r w:rsidR="00A03629">
        <w:t xml:space="preserve"> </w:t>
      </w:r>
      <w:r>
        <w:t>by</w:t>
      </w:r>
      <w:r w:rsidR="00A03629">
        <w:t xml:space="preserve"> </w:t>
      </w:r>
      <w:r>
        <w:t>money,</w:t>
      </w:r>
      <w:r w:rsidR="00A03629">
        <w:t xml:space="preserve"> </w:t>
      </w:r>
      <w:proofErr w:type="gramStart"/>
      <w:r>
        <w:t>goods</w:t>
      </w:r>
      <w:proofErr w:type="gramEnd"/>
      <w:r w:rsidR="00A03629">
        <w:t xml:space="preserve"> </w:t>
      </w:r>
      <w:r>
        <w:t>or</w:t>
      </w:r>
      <w:r w:rsidR="00A03629">
        <w:t xml:space="preserve"> </w:t>
      </w:r>
      <w:r>
        <w:t>services).</w:t>
      </w:r>
    </w:p>
    <w:p w14:paraId="085AC1D3" w14:textId="52EBF318" w:rsidR="000756EB" w:rsidRDefault="004A4D88" w:rsidP="008F4E24">
      <w:r>
        <w:t>Grants</w:t>
      </w:r>
      <w:r w:rsidR="00A03629">
        <w:t xml:space="preserve"> </w:t>
      </w:r>
      <w:r>
        <w:t>can</w:t>
      </w:r>
      <w:r w:rsidR="00A03629">
        <w:t xml:space="preserve"> </w:t>
      </w:r>
      <w:r>
        <w:t>either</w:t>
      </w:r>
      <w:r w:rsidR="00A03629">
        <w:t xml:space="preserve"> </w:t>
      </w:r>
      <w:r>
        <w:t>be</w:t>
      </w:r>
      <w:r w:rsidR="00A03629">
        <w:t xml:space="preserve"> </w:t>
      </w:r>
      <w:r>
        <w:t>operating</w:t>
      </w:r>
      <w:r w:rsidR="00A03629">
        <w:t xml:space="preserve"> </w:t>
      </w:r>
      <w:r>
        <w:t>or</w:t>
      </w:r>
      <w:r w:rsidR="00A03629">
        <w:t xml:space="preserve"> </w:t>
      </w:r>
      <w:r>
        <w:t>capital</w:t>
      </w:r>
      <w:r w:rsidR="00A03629">
        <w:t xml:space="preserve"> </w:t>
      </w:r>
      <w:r>
        <w:t>in</w:t>
      </w:r>
      <w:r w:rsidR="00A03629">
        <w:t xml:space="preserve"> </w:t>
      </w:r>
      <w:r>
        <w:t>nature.</w:t>
      </w:r>
      <w:r w:rsidR="00A03629">
        <w:t xml:space="preserve"> </w:t>
      </w:r>
      <w:r>
        <w:t>Grants</w:t>
      </w:r>
      <w:r w:rsidR="00A03629">
        <w:t xml:space="preserve"> </w:t>
      </w:r>
      <w:r>
        <w:t>can</w:t>
      </w:r>
      <w:r w:rsidR="00A03629">
        <w:t xml:space="preserve"> </w:t>
      </w:r>
      <w:r>
        <w:t>be</w:t>
      </w:r>
      <w:r w:rsidR="00A03629">
        <w:t xml:space="preserve"> </w:t>
      </w:r>
      <w:r>
        <w:t>paid</w:t>
      </w:r>
      <w:r w:rsidR="00A03629">
        <w:t xml:space="preserve"> </w:t>
      </w:r>
      <w:r>
        <w:t>as</w:t>
      </w:r>
      <w:r w:rsidR="00A03629">
        <w:t xml:space="preserve"> </w:t>
      </w:r>
      <w:proofErr w:type="gramStart"/>
      <w:r>
        <w:t>general</w:t>
      </w:r>
      <w:r w:rsidR="00A03629">
        <w:t xml:space="preserve"> </w:t>
      </w:r>
      <w:r>
        <w:t>purpose</w:t>
      </w:r>
      <w:proofErr w:type="gramEnd"/>
      <w:r w:rsidR="00A03629">
        <w:t xml:space="preserve"> </w:t>
      </w:r>
      <w:r>
        <w:t>grants,</w:t>
      </w:r>
      <w:r w:rsidR="00A03629">
        <w:t xml:space="preserve"> </w:t>
      </w:r>
      <w:r>
        <w:t>which</w:t>
      </w:r>
      <w:r w:rsidR="00A03629">
        <w:t xml:space="preserve"> </w:t>
      </w:r>
      <w:r>
        <w:t>refer</w:t>
      </w:r>
      <w:r w:rsidR="00A03629">
        <w:t xml:space="preserve"> </w:t>
      </w:r>
      <w:r>
        <w:t>to</w:t>
      </w:r>
      <w:r w:rsidR="00A03629">
        <w:t xml:space="preserve"> </w:t>
      </w:r>
      <w:r>
        <w:t>grants</w:t>
      </w:r>
      <w:r w:rsidR="00A03629">
        <w:t xml:space="preserve"> </w:t>
      </w:r>
      <w:r>
        <w:t>that</w:t>
      </w:r>
      <w:r w:rsidR="00A03629">
        <w:t xml:space="preserve"> </w:t>
      </w:r>
      <w:r>
        <w:t>are</w:t>
      </w:r>
      <w:r w:rsidR="00A03629">
        <w:t xml:space="preserve"> </w:t>
      </w:r>
      <w:r>
        <w:t>not</w:t>
      </w:r>
      <w:r w:rsidR="00A03629">
        <w:t xml:space="preserve"> </w:t>
      </w:r>
      <w:r>
        <w:t>subject</w:t>
      </w:r>
      <w:r w:rsidR="00A03629">
        <w:t xml:space="preserve"> </w:t>
      </w:r>
      <w:r>
        <w:t>to</w:t>
      </w:r>
      <w:r w:rsidR="00A03629">
        <w:t xml:space="preserve"> </w:t>
      </w:r>
      <w:r>
        <w:t>conditions</w:t>
      </w:r>
      <w:r w:rsidR="00A03629">
        <w:t xml:space="preserve"> </w:t>
      </w:r>
      <w:r>
        <w:t>regarding</w:t>
      </w:r>
      <w:r w:rsidR="00A03629">
        <w:t xml:space="preserve"> </w:t>
      </w:r>
      <w:r>
        <w:t>their</w:t>
      </w:r>
      <w:r w:rsidR="00A03629">
        <w:t xml:space="preserve"> </w:t>
      </w:r>
      <w:r>
        <w:t>use.</w:t>
      </w:r>
      <w:r w:rsidR="00A03629">
        <w:t xml:space="preserve"> </w:t>
      </w:r>
      <w:r>
        <w:t>Alternatively,</w:t>
      </w:r>
      <w:r w:rsidR="00A03629">
        <w:t xml:space="preserve"> </w:t>
      </w:r>
      <w:r>
        <w:t>they</w:t>
      </w:r>
      <w:r w:rsidR="00A03629">
        <w:t xml:space="preserve"> </w:t>
      </w:r>
      <w:r>
        <w:t>may</w:t>
      </w:r>
      <w:r w:rsidR="00A03629">
        <w:t xml:space="preserve"> </w:t>
      </w:r>
      <w:r>
        <w:t>be</w:t>
      </w:r>
      <w:r w:rsidR="00A03629">
        <w:t xml:space="preserve"> </w:t>
      </w:r>
      <w:r>
        <w:t>paid</w:t>
      </w:r>
      <w:r w:rsidR="00A03629">
        <w:t xml:space="preserve"> </w:t>
      </w:r>
      <w:r>
        <w:t>as</w:t>
      </w:r>
      <w:r w:rsidR="00A03629">
        <w:t xml:space="preserve"> </w:t>
      </w:r>
      <w:r>
        <w:t>specific</w:t>
      </w:r>
      <w:r w:rsidR="00A03629">
        <w:t xml:space="preserve"> </w:t>
      </w:r>
      <w:r>
        <w:t>purpose</w:t>
      </w:r>
      <w:r w:rsidR="00A03629">
        <w:t xml:space="preserve"> </w:t>
      </w:r>
      <w:r>
        <w:t>grants</w:t>
      </w:r>
      <w:r w:rsidR="00A03629">
        <w:t xml:space="preserve"> </w:t>
      </w:r>
      <w:r>
        <w:t>which</w:t>
      </w:r>
      <w:r w:rsidR="00A03629">
        <w:t xml:space="preserve"> </w:t>
      </w:r>
      <w:r>
        <w:t>are</w:t>
      </w:r>
      <w:r w:rsidR="00A03629">
        <w:t xml:space="preserve"> </w:t>
      </w:r>
      <w:r>
        <w:t>paid</w:t>
      </w:r>
      <w:r w:rsidR="00A03629">
        <w:t xml:space="preserve"> </w:t>
      </w:r>
      <w:r>
        <w:t>for</w:t>
      </w:r>
      <w:r w:rsidR="00A03629">
        <w:t xml:space="preserve"> </w:t>
      </w:r>
      <w:r>
        <w:t>a</w:t>
      </w:r>
      <w:r w:rsidR="00A03629">
        <w:t xml:space="preserve"> </w:t>
      </w:r>
      <w:r>
        <w:t>particular</w:t>
      </w:r>
      <w:r w:rsidR="00A03629">
        <w:t xml:space="preserve"> </w:t>
      </w:r>
      <w:r>
        <w:t>purpose</w:t>
      </w:r>
      <w:r w:rsidR="00A03629">
        <w:t xml:space="preserve"> </w:t>
      </w:r>
      <w:r>
        <w:t>and/or</w:t>
      </w:r>
      <w:r w:rsidR="00A03629">
        <w:t xml:space="preserve"> </w:t>
      </w:r>
      <w:r>
        <w:t>have</w:t>
      </w:r>
      <w:r w:rsidR="00A03629">
        <w:t xml:space="preserve"> </w:t>
      </w:r>
      <w:r>
        <w:t>conditions</w:t>
      </w:r>
      <w:r w:rsidR="00A03629">
        <w:t xml:space="preserve"> </w:t>
      </w:r>
      <w:r>
        <w:t>attached</w:t>
      </w:r>
      <w:r w:rsidR="00A03629">
        <w:t xml:space="preserve"> </w:t>
      </w:r>
      <w:r>
        <w:t>regarding</w:t>
      </w:r>
      <w:r w:rsidR="00A03629">
        <w:t xml:space="preserve"> </w:t>
      </w:r>
      <w:r>
        <w:t>their</w:t>
      </w:r>
      <w:r w:rsidR="00A03629">
        <w:t xml:space="preserve"> </w:t>
      </w:r>
      <w:r>
        <w:t>use.</w:t>
      </w:r>
    </w:p>
    <w:p w14:paraId="1CCA69F6" w14:textId="67E2E992" w:rsidR="000756EB" w:rsidRDefault="004A4D88" w:rsidP="008F4E24">
      <w:r>
        <w:t>Grant</w:t>
      </w:r>
      <w:r w:rsidR="00A03629">
        <w:t xml:space="preserve"> </w:t>
      </w:r>
      <w:r>
        <w:t>expenses</w:t>
      </w:r>
      <w:r w:rsidR="00A03629">
        <w:t xml:space="preserve"> </w:t>
      </w:r>
      <w:r>
        <w:t>are</w:t>
      </w:r>
      <w:r w:rsidR="00A03629">
        <w:t xml:space="preserve"> </w:t>
      </w:r>
      <w:r>
        <w:t>recognised</w:t>
      </w:r>
      <w:r w:rsidR="00A03629">
        <w:t xml:space="preserve"> </w:t>
      </w:r>
      <w:r>
        <w:t>in</w:t>
      </w:r>
      <w:r w:rsidR="00A03629">
        <w:t xml:space="preserve"> </w:t>
      </w:r>
      <w:r>
        <w:t>the</w:t>
      </w:r>
      <w:r w:rsidR="00A03629">
        <w:t xml:space="preserve"> </w:t>
      </w:r>
      <w:r>
        <w:t>reporting</w:t>
      </w:r>
      <w:r w:rsidR="00A03629">
        <w:t xml:space="preserve"> </w:t>
      </w:r>
      <w:r>
        <w:t>period</w:t>
      </w:r>
      <w:r w:rsidR="00A03629">
        <w:t xml:space="preserve"> </w:t>
      </w:r>
      <w:r>
        <w:t>in</w:t>
      </w:r>
      <w:r w:rsidR="00A03629">
        <w:t xml:space="preserve"> </w:t>
      </w:r>
      <w:r>
        <w:t>which</w:t>
      </w:r>
      <w:r w:rsidR="00A03629">
        <w:t xml:space="preserve"> </w:t>
      </w:r>
      <w:r>
        <w:t>they</w:t>
      </w:r>
      <w:r w:rsidR="00A03629">
        <w:t xml:space="preserve"> </w:t>
      </w:r>
      <w:r>
        <w:t>are</w:t>
      </w:r>
      <w:r w:rsidR="00A03629">
        <w:t xml:space="preserve"> </w:t>
      </w:r>
      <w:r>
        <w:t>paid</w:t>
      </w:r>
      <w:r w:rsidR="00A03629">
        <w:t xml:space="preserve"> </w:t>
      </w:r>
      <w:r>
        <w:t>or</w:t>
      </w:r>
      <w:r w:rsidR="00A03629">
        <w:t xml:space="preserve"> </w:t>
      </w:r>
      <w:r>
        <w:t>payable.</w:t>
      </w:r>
      <w:r w:rsidR="00A03629">
        <w:t xml:space="preserve"> </w:t>
      </w:r>
      <w:r>
        <w:t>Grants</w:t>
      </w:r>
      <w:r w:rsidR="00A03629">
        <w:t xml:space="preserve"> </w:t>
      </w:r>
      <w:r>
        <w:t>can</w:t>
      </w:r>
      <w:r w:rsidR="00A03629">
        <w:t xml:space="preserve"> </w:t>
      </w:r>
      <w:r>
        <w:t>take</w:t>
      </w:r>
      <w:r w:rsidR="00A03629">
        <w:t xml:space="preserve"> </w:t>
      </w:r>
      <w:r>
        <w:t>the</w:t>
      </w:r>
      <w:r w:rsidR="00A03629">
        <w:rPr>
          <w:rFonts w:ascii="Cambria" w:hAnsi="Cambria" w:cs="Cambria"/>
        </w:rPr>
        <w:t xml:space="preserve"> </w:t>
      </w:r>
      <w:r>
        <w:t>form</w:t>
      </w:r>
      <w:r w:rsidR="00A03629">
        <w:t xml:space="preserve"> </w:t>
      </w:r>
      <w:r>
        <w:t>of</w:t>
      </w:r>
      <w:r w:rsidR="00A03629">
        <w:t xml:space="preserve"> </w:t>
      </w:r>
      <w:r>
        <w:t>money,</w:t>
      </w:r>
      <w:r w:rsidR="00A03629">
        <w:t xml:space="preserve"> </w:t>
      </w:r>
      <w:r>
        <w:t>assets,</w:t>
      </w:r>
      <w:r w:rsidR="00A03629">
        <w:t xml:space="preserve"> </w:t>
      </w:r>
      <w:r>
        <w:t>goods,</w:t>
      </w:r>
      <w:r w:rsidR="00A03629">
        <w:t xml:space="preserve"> </w:t>
      </w:r>
      <w:proofErr w:type="gramStart"/>
      <w:r>
        <w:t>services</w:t>
      </w:r>
      <w:proofErr w:type="gramEnd"/>
      <w:r w:rsidR="00A03629">
        <w:t xml:space="preserve"> </w:t>
      </w:r>
      <w:r>
        <w:t>or</w:t>
      </w:r>
      <w:r w:rsidR="00A03629">
        <w:t xml:space="preserve"> </w:t>
      </w:r>
      <w:r>
        <w:t>forgiveness</w:t>
      </w:r>
      <w:r w:rsidR="00A03629">
        <w:t xml:space="preserve"> </w:t>
      </w:r>
      <w:r>
        <w:t>of</w:t>
      </w:r>
      <w:r w:rsidR="00A03629">
        <w:t xml:space="preserve"> </w:t>
      </w:r>
      <w:r>
        <w:t>liabilities.</w:t>
      </w:r>
    </w:p>
    <w:p w14:paraId="1C4FBF96" w14:textId="55DC8B62" w:rsidR="000756EB" w:rsidRDefault="004A4D88" w:rsidP="008F4E24">
      <w:pPr>
        <w:pStyle w:val="Heading2"/>
      </w:pPr>
      <w:bookmarkStart w:id="28" w:name="_Toc149911806"/>
      <w:r>
        <w:t>3.3</w:t>
      </w:r>
      <w:r w:rsidR="00DE38B5">
        <w:t xml:space="preserve"> </w:t>
      </w:r>
      <w:r>
        <w:t>Employee</w:t>
      </w:r>
      <w:r w:rsidR="00A03629">
        <w:t xml:space="preserve"> </w:t>
      </w:r>
      <w:r>
        <w:t>benefits</w:t>
      </w:r>
      <w:bookmarkEnd w:id="28"/>
    </w:p>
    <w:p w14:paraId="3A75A054" w14:textId="24664351" w:rsidR="000756EB" w:rsidRDefault="004A4D88" w:rsidP="008F4E24">
      <w:pPr>
        <w:pStyle w:val="Heading3"/>
      </w:pPr>
      <w:r>
        <w:t>3.3.1</w:t>
      </w:r>
      <w:r w:rsidR="00DE38B5">
        <w:t xml:space="preserve"> </w:t>
      </w:r>
      <w:r>
        <w:t>Employee</w:t>
      </w:r>
      <w:r w:rsidR="00A03629">
        <w:t xml:space="preserve"> </w:t>
      </w:r>
      <w:r>
        <w:t>benefits</w:t>
      </w:r>
      <w:r w:rsidR="00A03629">
        <w:t xml:space="preserve"> </w:t>
      </w:r>
      <w:r>
        <w:t>in</w:t>
      </w:r>
      <w:r w:rsidR="00A03629">
        <w:t xml:space="preserve"> </w:t>
      </w:r>
      <w:r>
        <w:t>the</w:t>
      </w:r>
      <w:r w:rsidR="00A03629">
        <w:t xml:space="preserve"> </w:t>
      </w:r>
      <w:r>
        <w:t>comprehensive</w:t>
      </w:r>
      <w:r w:rsidR="00A03629">
        <w:t xml:space="preserve"> </w:t>
      </w:r>
      <w:r>
        <w:t>operating</w:t>
      </w:r>
      <w:r w:rsidR="00A03629">
        <w:t xml:space="preserve"> </w:t>
      </w:r>
      <w:r>
        <w:t>statement</w:t>
      </w:r>
    </w:p>
    <w:p w14:paraId="4D949141" w14:textId="51FEAE60" w:rsidR="000756EB" w:rsidRPr="008F4E24" w:rsidRDefault="004A4D88" w:rsidP="008F4E24">
      <w:pPr>
        <w:pStyle w:val="Normalbeforebullets"/>
        <w:rPr>
          <w:b/>
          <w:bCs/>
        </w:rPr>
      </w:pPr>
      <w:r w:rsidRPr="008F4E24">
        <w:rPr>
          <w:b/>
          <w:bCs/>
        </w:rPr>
        <w:t>Employee</w:t>
      </w:r>
      <w:r w:rsidR="00A03629" w:rsidRPr="008F4E24">
        <w:rPr>
          <w:b/>
          <w:bCs/>
        </w:rPr>
        <w:t xml:space="preserve"> </w:t>
      </w:r>
      <w:r w:rsidRPr="008F4E24">
        <w:rPr>
          <w:b/>
          <w:bCs/>
        </w:rPr>
        <w:t>benefits</w:t>
      </w:r>
    </w:p>
    <w:tbl>
      <w:tblPr>
        <w:tblStyle w:val="TableGrid"/>
        <w:tblW w:w="10201" w:type="dxa"/>
        <w:tblLayout w:type="fixed"/>
        <w:tblLook w:val="0020" w:firstRow="1" w:lastRow="0" w:firstColumn="0" w:lastColumn="0" w:noHBand="0" w:noVBand="0"/>
      </w:tblPr>
      <w:tblGrid>
        <w:gridCol w:w="6917"/>
        <w:gridCol w:w="1642"/>
        <w:gridCol w:w="1642"/>
      </w:tblGrid>
      <w:tr w:rsidR="000756EB" w:rsidRPr="007848B1" w14:paraId="54E834F2" w14:textId="77777777" w:rsidTr="007848B1">
        <w:trPr>
          <w:cantSplit/>
          <w:tblHeader/>
        </w:trPr>
        <w:tc>
          <w:tcPr>
            <w:tcW w:w="6917" w:type="dxa"/>
          </w:tcPr>
          <w:p w14:paraId="4D1CDE6B" w14:textId="77777777" w:rsidR="000756EB" w:rsidRPr="007848B1" w:rsidRDefault="000756EB" w:rsidP="007848B1">
            <w:pPr>
              <w:pStyle w:val="TableColumnHeading"/>
            </w:pPr>
            <w:bookmarkStart w:id="29" w:name="ColumnTitles_10"/>
            <w:bookmarkEnd w:id="29"/>
          </w:p>
        </w:tc>
        <w:tc>
          <w:tcPr>
            <w:tcW w:w="1642" w:type="dxa"/>
          </w:tcPr>
          <w:p w14:paraId="678D9020" w14:textId="54FCE4F4" w:rsidR="000756EB" w:rsidRPr="007848B1" w:rsidRDefault="004A4D88" w:rsidP="007848B1">
            <w:pPr>
              <w:pStyle w:val="TableColumnHeading"/>
              <w:jc w:val="right"/>
            </w:pPr>
            <w:r w:rsidRPr="007848B1">
              <w:t>2023</w:t>
            </w:r>
            <w:r w:rsidR="008F4E24" w:rsidRPr="007848B1">
              <w:t xml:space="preserve"> ($ thousand)</w:t>
            </w:r>
          </w:p>
        </w:tc>
        <w:tc>
          <w:tcPr>
            <w:tcW w:w="1642" w:type="dxa"/>
          </w:tcPr>
          <w:p w14:paraId="3CDF12FC" w14:textId="04E83FD5" w:rsidR="000756EB" w:rsidRPr="007848B1" w:rsidRDefault="004A4D88" w:rsidP="007848B1">
            <w:pPr>
              <w:pStyle w:val="TableColumnHeading"/>
              <w:jc w:val="right"/>
            </w:pPr>
            <w:r w:rsidRPr="007848B1">
              <w:t>2022</w:t>
            </w:r>
            <w:r w:rsidR="008F4E24" w:rsidRPr="007848B1">
              <w:t xml:space="preserve"> ($ thousand)</w:t>
            </w:r>
          </w:p>
        </w:tc>
      </w:tr>
      <w:tr w:rsidR="000756EB" w:rsidRPr="007848B1" w14:paraId="6F53510D" w14:textId="77777777" w:rsidTr="007848B1">
        <w:trPr>
          <w:cantSplit/>
        </w:trPr>
        <w:tc>
          <w:tcPr>
            <w:tcW w:w="6917" w:type="dxa"/>
          </w:tcPr>
          <w:p w14:paraId="6B441B3A" w14:textId="1DA06624" w:rsidR="000756EB" w:rsidRPr="007848B1" w:rsidRDefault="004A4D88" w:rsidP="007848B1">
            <w:pPr>
              <w:pStyle w:val="TableCopy"/>
            </w:pPr>
            <w:r w:rsidRPr="007848B1">
              <w:t>Salaries</w:t>
            </w:r>
            <w:r w:rsidR="00A03629" w:rsidRPr="007848B1">
              <w:t xml:space="preserve"> </w:t>
            </w:r>
            <w:r w:rsidRPr="007848B1">
              <w:t>and</w:t>
            </w:r>
            <w:r w:rsidR="00A03629" w:rsidRPr="007848B1">
              <w:t xml:space="preserve"> </w:t>
            </w:r>
            <w:r w:rsidRPr="007848B1">
              <w:t>wages,</w:t>
            </w:r>
            <w:r w:rsidR="00A03629" w:rsidRPr="007848B1">
              <w:t xml:space="preserve"> </w:t>
            </w:r>
            <w:r w:rsidRPr="007848B1">
              <w:t>annual</w:t>
            </w:r>
            <w:r w:rsidR="00A03629" w:rsidRPr="007848B1">
              <w:t xml:space="preserve"> </w:t>
            </w:r>
            <w:r w:rsidRPr="007848B1">
              <w:t>leave,</w:t>
            </w:r>
            <w:r w:rsidR="00A03629" w:rsidRPr="007848B1">
              <w:t xml:space="preserve"> </w:t>
            </w:r>
            <w:r w:rsidRPr="007848B1">
              <w:t>long</w:t>
            </w:r>
            <w:r w:rsidR="00A03629" w:rsidRPr="007848B1">
              <w:t xml:space="preserve"> </w:t>
            </w:r>
            <w:r w:rsidRPr="007848B1">
              <w:t>service</w:t>
            </w:r>
            <w:r w:rsidR="00A03629" w:rsidRPr="007848B1">
              <w:t xml:space="preserve"> </w:t>
            </w:r>
            <w:r w:rsidRPr="007848B1">
              <w:t>leave</w:t>
            </w:r>
            <w:r w:rsidR="00A03629" w:rsidRPr="007848B1">
              <w:t xml:space="preserve"> </w:t>
            </w:r>
            <w:r w:rsidRPr="007848B1">
              <w:t>and</w:t>
            </w:r>
            <w:r w:rsidR="00A03629" w:rsidRPr="007848B1">
              <w:t xml:space="preserve"> </w:t>
            </w:r>
            <w:r w:rsidRPr="007848B1">
              <w:t>on-costs</w:t>
            </w:r>
          </w:p>
        </w:tc>
        <w:tc>
          <w:tcPr>
            <w:tcW w:w="1642" w:type="dxa"/>
          </w:tcPr>
          <w:p w14:paraId="2ED56ED1" w14:textId="77777777" w:rsidR="000756EB" w:rsidRPr="007848B1" w:rsidRDefault="004A4D88" w:rsidP="007848B1">
            <w:pPr>
              <w:pStyle w:val="TableCopy"/>
              <w:jc w:val="right"/>
            </w:pPr>
            <w:r w:rsidRPr="007848B1">
              <w:t>(447,441)</w:t>
            </w:r>
          </w:p>
        </w:tc>
        <w:tc>
          <w:tcPr>
            <w:tcW w:w="1642" w:type="dxa"/>
          </w:tcPr>
          <w:p w14:paraId="4D090D62" w14:textId="77777777" w:rsidR="000756EB" w:rsidRPr="007848B1" w:rsidRDefault="004A4D88" w:rsidP="007848B1">
            <w:pPr>
              <w:pStyle w:val="TableCopy"/>
              <w:jc w:val="right"/>
            </w:pPr>
            <w:r w:rsidRPr="007848B1">
              <w:t>(513,742)</w:t>
            </w:r>
          </w:p>
        </w:tc>
      </w:tr>
      <w:tr w:rsidR="000756EB" w:rsidRPr="007848B1" w14:paraId="1C737ACD" w14:textId="77777777" w:rsidTr="007848B1">
        <w:trPr>
          <w:cantSplit/>
        </w:trPr>
        <w:tc>
          <w:tcPr>
            <w:tcW w:w="6917" w:type="dxa"/>
          </w:tcPr>
          <w:p w14:paraId="6A594180" w14:textId="6BF83F6C" w:rsidR="000756EB" w:rsidRPr="007848B1" w:rsidRDefault="004A4D88" w:rsidP="007848B1">
            <w:pPr>
              <w:pStyle w:val="TableCopy"/>
            </w:pPr>
            <w:r w:rsidRPr="007848B1">
              <w:t>Termination</w:t>
            </w:r>
            <w:r w:rsidR="00A03629" w:rsidRPr="007848B1">
              <w:t xml:space="preserve"> </w:t>
            </w:r>
            <w:r w:rsidRPr="007848B1">
              <w:t>benefits</w:t>
            </w:r>
          </w:p>
        </w:tc>
        <w:tc>
          <w:tcPr>
            <w:tcW w:w="1642" w:type="dxa"/>
          </w:tcPr>
          <w:p w14:paraId="7D32CD59" w14:textId="77777777" w:rsidR="000756EB" w:rsidRPr="007848B1" w:rsidRDefault="004A4D88" w:rsidP="007848B1">
            <w:pPr>
              <w:pStyle w:val="TableCopy"/>
              <w:jc w:val="right"/>
            </w:pPr>
            <w:r w:rsidRPr="007848B1">
              <w:t>(6,290)</w:t>
            </w:r>
          </w:p>
        </w:tc>
        <w:tc>
          <w:tcPr>
            <w:tcW w:w="1642" w:type="dxa"/>
          </w:tcPr>
          <w:p w14:paraId="20FCC738" w14:textId="77777777" w:rsidR="000756EB" w:rsidRPr="007848B1" w:rsidRDefault="004A4D88" w:rsidP="007848B1">
            <w:pPr>
              <w:pStyle w:val="TableCopy"/>
              <w:jc w:val="right"/>
            </w:pPr>
            <w:r w:rsidRPr="007848B1">
              <w:t>(17,066)</w:t>
            </w:r>
          </w:p>
        </w:tc>
      </w:tr>
      <w:tr w:rsidR="000756EB" w:rsidRPr="007848B1" w14:paraId="0397B03A" w14:textId="77777777" w:rsidTr="007848B1">
        <w:trPr>
          <w:cantSplit/>
        </w:trPr>
        <w:tc>
          <w:tcPr>
            <w:tcW w:w="6917" w:type="dxa"/>
          </w:tcPr>
          <w:p w14:paraId="153ABA94" w14:textId="706D0CBD" w:rsidR="000756EB" w:rsidRPr="007848B1" w:rsidRDefault="004A4D88" w:rsidP="007848B1">
            <w:pPr>
              <w:pStyle w:val="TableCopy"/>
            </w:pPr>
            <w:r w:rsidRPr="007848B1">
              <w:t>Defined</w:t>
            </w:r>
            <w:r w:rsidR="00A03629" w:rsidRPr="007848B1">
              <w:t xml:space="preserve"> </w:t>
            </w:r>
            <w:r w:rsidRPr="007848B1">
              <w:t>contribution</w:t>
            </w:r>
            <w:r w:rsidR="00A03629" w:rsidRPr="007848B1">
              <w:t xml:space="preserve"> </w:t>
            </w:r>
            <w:r w:rsidRPr="007848B1">
              <w:t>superannuation</w:t>
            </w:r>
            <w:r w:rsidR="00A03629" w:rsidRPr="007848B1">
              <w:t xml:space="preserve"> </w:t>
            </w:r>
            <w:r w:rsidRPr="007848B1">
              <w:t>expense</w:t>
            </w:r>
          </w:p>
        </w:tc>
        <w:tc>
          <w:tcPr>
            <w:tcW w:w="1642" w:type="dxa"/>
          </w:tcPr>
          <w:p w14:paraId="09148AC6" w14:textId="77777777" w:rsidR="000756EB" w:rsidRPr="007848B1" w:rsidRDefault="004A4D88" w:rsidP="007848B1">
            <w:pPr>
              <w:pStyle w:val="TableCopy"/>
              <w:jc w:val="right"/>
            </w:pPr>
            <w:r w:rsidRPr="007848B1">
              <w:t>(33,509)</w:t>
            </w:r>
          </w:p>
        </w:tc>
        <w:tc>
          <w:tcPr>
            <w:tcW w:w="1642" w:type="dxa"/>
          </w:tcPr>
          <w:p w14:paraId="741C7A96" w14:textId="77777777" w:rsidR="000756EB" w:rsidRPr="007848B1" w:rsidRDefault="004A4D88" w:rsidP="007848B1">
            <w:pPr>
              <w:pStyle w:val="TableCopy"/>
              <w:jc w:val="right"/>
            </w:pPr>
            <w:r w:rsidRPr="007848B1">
              <w:t>(44,238)</w:t>
            </w:r>
          </w:p>
        </w:tc>
      </w:tr>
      <w:tr w:rsidR="000756EB" w:rsidRPr="007848B1" w14:paraId="6E7069BE" w14:textId="77777777" w:rsidTr="007848B1">
        <w:trPr>
          <w:cantSplit/>
        </w:trPr>
        <w:tc>
          <w:tcPr>
            <w:tcW w:w="6917" w:type="dxa"/>
          </w:tcPr>
          <w:p w14:paraId="6D504B8D" w14:textId="4F86DEF5" w:rsidR="000756EB" w:rsidRPr="007848B1" w:rsidRDefault="004A4D88" w:rsidP="007848B1">
            <w:pPr>
              <w:pStyle w:val="TableCopy"/>
              <w:keepNext/>
            </w:pPr>
            <w:r w:rsidRPr="007848B1">
              <w:lastRenderedPageBreak/>
              <w:t>Defined</w:t>
            </w:r>
            <w:r w:rsidR="00A03629" w:rsidRPr="007848B1">
              <w:t xml:space="preserve"> </w:t>
            </w:r>
            <w:r w:rsidRPr="007848B1">
              <w:t>benefit</w:t>
            </w:r>
            <w:r w:rsidR="00A03629" w:rsidRPr="007848B1">
              <w:t xml:space="preserve"> </w:t>
            </w:r>
            <w:r w:rsidRPr="007848B1">
              <w:t>superannuation</w:t>
            </w:r>
            <w:r w:rsidR="00A03629" w:rsidRPr="007848B1">
              <w:t xml:space="preserve"> </w:t>
            </w:r>
            <w:r w:rsidRPr="007848B1">
              <w:t>expense</w:t>
            </w:r>
          </w:p>
        </w:tc>
        <w:tc>
          <w:tcPr>
            <w:tcW w:w="1642" w:type="dxa"/>
          </w:tcPr>
          <w:p w14:paraId="3C6F600D" w14:textId="77777777" w:rsidR="000756EB" w:rsidRPr="007848B1" w:rsidRDefault="004A4D88" w:rsidP="007848B1">
            <w:pPr>
              <w:pStyle w:val="TableCopy"/>
              <w:keepNext/>
              <w:jc w:val="right"/>
            </w:pPr>
            <w:r w:rsidRPr="007848B1">
              <w:t>(916)</w:t>
            </w:r>
          </w:p>
        </w:tc>
        <w:tc>
          <w:tcPr>
            <w:tcW w:w="1642" w:type="dxa"/>
          </w:tcPr>
          <w:p w14:paraId="17C4A812" w14:textId="77777777" w:rsidR="000756EB" w:rsidRPr="007848B1" w:rsidRDefault="004A4D88" w:rsidP="007848B1">
            <w:pPr>
              <w:pStyle w:val="TableCopy"/>
              <w:keepNext/>
              <w:jc w:val="right"/>
            </w:pPr>
            <w:r w:rsidRPr="007848B1">
              <w:t>(2,183)</w:t>
            </w:r>
          </w:p>
        </w:tc>
      </w:tr>
      <w:tr w:rsidR="000756EB" w:rsidRPr="007848B1" w14:paraId="1D5831D3" w14:textId="77777777" w:rsidTr="007848B1">
        <w:trPr>
          <w:cantSplit/>
        </w:trPr>
        <w:tc>
          <w:tcPr>
            <w:tcW w:w="6917" w:type="dxa"/>
          </w:tcPr>
          <w:p w14:paraId="6995887F" w14:textId="5DA28B84" w:rsidR="000756EB" w:rsidRPr="007848B1" w:rsidRDefault="004A4D88" w:rsidP="007848B1">
            <w:pPr>
              <w:pStyle w:val="TableCopy"/>
              <w:rPr>
                <w:b/>
                <w:bCs/>
              </w:rPr>
            </w:pPr>
            <w:r w:rsidRPr="007848B1">
              <w:rPr>
                <w:b/>
                <w:bCs/>
              </w:rPr>
              <w:t>Total</w:t>
            </w:r>
            <w:r w:rsidR="00A03629" w:rsidRPr="007848B1">
              <w:rPr>
                <w:b/>
                <w:bCs/>
              </w:rPr>
              <w:t xml:space="preserve"> </w:t>
            </w:r>
            <w:r w:rsidRPr="007848B1">
              <w:rPr>
                <w:b/>
                <w:bCs/>
              </w:rPr>
              <w:t>employee</w:t>
            </w:r>
            <w:r w:rsidR="00A03629" w:rsidRPr="007848B1">
              <w:rPr>
                <w:b/>
                <w:bCs/>
              </w:rPr>
              <w:t xml:space="preserve"> </w:t>
            </w:r>
            <w:r w:rsidRPr="007848B1">
              <w:rPr>
                <w:b/>
                <w:bCs/>
              </w:rPr>
              <w:t>benefits</w:t>
            </w:r>
          </w:p>
        </w:tc>
        <w:tc>
          <w:tcPr>
            <w:tcW w:w="1642" w:type="dxa"/>
          </w:tcPr>
          <w:p w14:paraId="28A24E53" w14:textId="77777777" w:rsidR="000756EB" w:rsidRPr="007848B1" w:rsidRDefault="004A4D88" w:rsidP="007848B1">
            <w:pPr>
              <w:pStyle w:val="TableCopy"/>
              <w:jc w:val="right"/>
              <w:rPr>
                <w:b/>
                <w:bCs/>
              </w:rPr>
            </w:pPr>
            <w:r w:rsidRPr="007848B1">
              <w:rPr>
                <w:b/>
                <w:bCs/>
              </w:rPr>
              <w:t>(488,156)</w:t>
            </w:r>
          </w:p>
        </w:tc>
        <w:tc>
          <w:tcPr>
            <w:tcW w:w="1642" w:type="dxa"/>
          </w:tcPr>
          <w:p w14:paraId="75A385FD" w14:textId="77777777" w:rsidR="000756EB" w:rsidRPr="007848B1" w:rsidRDefault="004A4D88" w:rsidP="007848B1">
            <w:pPr>
              <w:pStyle w:val="TableCopy"/>
              <w:jc w:val="right"/>
              <w:rPr>
                <w:b/>
                <w:bCs/>
              </w:rPr>
            </w:pPr>
            <w:r w:rsidRPr="007848B1">
              <w:rPr>
                <w:b/>
                <w:bCs/>
              </w:rPr>
              <w:t>(577,228)</w:t>
            </w:r>
          </w:p>
        </w:tc>
      </w:tr>
    </w:tbl>
    <w:p w14:paraId="5B7C2951" w14:textId="77777777" w:rsidR="000756EB" w:rsidRDefault="000756EB" w:rsidP="007848B1"/>
    <w:p w14:paraId="4549F512" w14:textId="19B2FFC5" w:rsidR="000756EB" w:rsidRDefault="004A4D88" w:rsidP="007848B1">
      <w:r>
        <w:t>Employee</w:t>
      </w:r>
      <w:r w:rsidR="00A03629">
        <w:t xml:space="preserve"> </w:t>
      </w:r>
      <w:r>
        <w:t>expenses</w:t>
      </w:r>
      <w:r w:rsidR="00A03629">
        <w:t xml:space="preserve"> </w:t>
      </w:r>
      <w:r>
        <w:t>include</w:t>
      </w:r>
      <w:r w:rsidR="00A03629">
        <w:t xml:space="preserve"> </w:t>
      </w:r>
      <w:r>
        <w:t>all</w:t>
      </w:r>
      <w:r w:rsidR="00A03629">
        <w:t xml:space="preserve"> </w:t>
      </w:r>
      <w:r>
        <w:t>costs</w:t>
      </w:r>
      <w:r w:rsidR="00A03629">
        <w:t xml:space="preserve"> </w:t>
      </w:r>
      <w:r>
        <w:t>related</w:t>
      </w:r>
      <w:r w:rsidR="00A03629">
        <w:t xml:space="preserve"> </w:t>
      </w:r>
      <w:r>
        <w:t>to</w:t>
      </w:r>
      <w:r w:rsidR="00A03629">
        <w:t xml:space="preserve"> </w:t>
      </w:r>
      <w:r>
        <w:t>employment</w:t>
      </w:r>
      <w:r w:rsidR="00A03629">
        <w:t xml:space="preserve"> </w:t>
      </w:r>
      <w:r>
        <w:t>including</w:t>
      </w:r>
      <w:r w:rsidR="00A03629">
        <w:t xml:space="preserve"> </w:t>
      </w:r>
      <w:r>
        <w:t>wages</w:t>
      </w:r>
      <w:r w:rsidR="00A03629">
        <w:t xml:space="preserve"> </w:t>
      </w:r>
      <w:r>
        <w:t>and</w:t>
      </w:r>
      <w:r w:rsidR="00A03629">
        <w:t xml:space="preserve"> </w:t>
      </w:r>
      <w:r>
        <w:t>salaries,</w:t>
      </w:r>
      <w:r w:rsidR="00A03629">
        <w:t xml:space="preserve"> </w:t>
      </w:r>
      <w:r>
        <w:t>fringe</w:t>
      </w:r>
      <w:r w:rsidR="00A03629">
        <w:t xml:space="preserve"> </w:t>
      </w:r>
      <w:r>
        <w:t>benefits</w:t>
      </w:r>
      <w:r w:rsidR="00A03629">
        <w:t xml:space="preserve"> </w:t>
      </w:r>
      <w:r>
        <w:t>tax,</w:t>
      </w:r>
      <w:r w:rsidR="00A03629">
        <w:t xml:space="preserve"> </w:t>
      </w:r>
      <w:r>
        <w:t>leave</w:t>
      </w:r>
      <w:r w:rsidR="00A03629">
        <w:t xml:space="preserve"> </w:t>
      </w:r>
      <w:r>
        <w:t>entitlements,</w:t>
      </w:r>
      <w:r w:rsidR="00A03629">
        <w:t xml:space="preserve"> </w:t>
      </w:r>
      <w:r>
        <w:t>termination</w:t>
      </w:r>
      <w:r w:rsidR="00A03629">
        <w:t xml:space="preserve"> </w:t>
      </w:r>
      <w:r>
        <w:t>payments</w:t>
      </w:r>
      <w:r w:rsidR="00A03629">
        <w:t xml:space="preserve"> </w:t>
      </w:r>
      <w:r>
        <w:t>and</w:t>
      </w:r>
      <w:r w:rsidR="00A03629">
        <w:t xml:space="preserve"> </w:t>
      </w:r>
      <w:proofErr w:type="spellStart"/>
      <w:r>
        <w:t>WorkCover</w:t>
      </w:r>
      <w:proofErr w:type="spellEnd"/>
      <w:r w:rsidR="00A03629">
        <w:t xml:space="preserve"> </w:t>
      </w:r>
      <w:r>
        <w:t>premiums.</w:t>
      </w:r>
    </w:p>
    <w:p w14:paraId="414B9BEA" w14:textId="5DB059F3" w:rsidR="000756EB" w:rsidRDefault="004A4D88" w:rsidP="007848B1">
      <w:r>
        <w:t>The</w:t>
      </w:r>
      <w:r w:rsidR="00A03629">
        <w:t xml:space="preserve"> </w:t>
      </w:r>
      <w:r>
        <w:t>amount</w:t>
      </w:r>
      <w:r w:rsidR="00A03629">
        <w:t xml:space="preserve"> </w:t>
      </w:r>
      <w:r>
        <w:t>recognised</w:t>
      </w:r>
      <w:r w:rsidR="00A03629">
        <w:t xml:space="preserve"> </w:t>
      </w:r>
      <w:r>
        <w:t>in</w:t>
      </w:r>
      <w:r w:rsidR="00A03629">
        <w:t xml:space="preserve"> </w:t>
      </w:r>
      <w:r>
        <w:t>the</w:t>
      </w:r>
      <w:r w:rsidR="00A03629">
        <w:t xml:space="preserve"> </w:t>
      </w:r>
      <w:r>
        <w:t>comprehensive</w:t>
      </w:r>
      <w:r w:rsidR="00A03629">
        <w:t xml:space="preserve"> </w:t>
      </w:r>
      <w:r>
        <w:t>operating</w:t>
      </w:r>
      <w:r w:rsidR="00A03629">
        <w:t xml:space="preserve"> </w:t>
      </w:r>
      <w:r>
        <w:t>statement</w:t>
      </w:r>
      <w:r w:rsidR="00A03629">
        <w:t xml:space="preserve"> </w:t>
      </w:r>
      <w:r>
        <w:t>in</w:t>
      </w:r>
      <w:r w:rsidR="00A03629">
        <w:t xml:space="preserve"> </w:t>
      </w:r>
      <w:r>
        <w:t>relation</w:t>
      </w:r>
      <w:r w:rsidR="00A03629">
        <w:t xml:space="preserve"> </w:t>
      </w:r>
      <w:r>
        <w:t>to</w:t>
      </w:r>
      <w:r w:rsidR="00A03629">
        <w:t xml:space="preserve"> </w:t>
      </w:r>
      <w:r>
        <w:t>superannuation</w:t>
      </w:r>
      <w:r w:rsidR="00A03629">
        <w:t xml:space="preserve"> </w:t>
      </w:r>
      <w:r>
        <w:t>is</w:t>
      </w:r>
      <w:r w:rsidR="00A03629">
        <w:t xml:space="preserve"> </w:t>
      </w:r>
      <w:r>
        <w:t>employer</w:t>
      </w:r>
      <w:r w:rsidR="00A03629">
        <w:t xml:space="preserve"> </w:t>
      </w:r>
      <w:r>
        <w:t>contributions</w:t>
      </w:r>
      <w:r w:rsidR="00A03629">
        <w:t xml:space="preserve"> </w:t>
      </w:r>
      <w:r>
        <w:t>for</w:t>
      </w:r>
      <w:r w:rsidR="00A03629">
        <w:t xml:space="preserve"> </w:t>
      </w:r>
      <w:r>
        <w:t>members</w:t>
      </w:r>
      <w:r w:rsidR="00A03629">
        <w:t xml:space="preserve"> </w:t>
      </w:r>
      <w:r>
        <w:t>of</w:t>
      </w:r>
      <w:r w:rsidR="00A03629">
        <w:t xml:space="preserve"> </w:t>
      </w:r>
      <w:r>
        <w:t>both</w:t>
      </w:r>
      <w:r w:rsidR="00A03629">
        <w:t xml:space="preserve"> </w:t>
      </w:r>
      <w:r>
        <w:t>defined</w:t>
      </w:r>
      <w:r w:rsidR="00A03629">
        <w:t xml:space="preserve"> </w:t>
      </w:r>
      <w:r>
        <w:t>benefit</w:t>
      </w:r>
      <w:r w:rsidR="00A03629">
        <w:t xml:space="preserve"> </w:t>
      </w:r>
      <w:r>
        <w:t>and</w:t>
      </w:r>
      <w:r w:rsidR="00A03629">
        <w:t xml:space="preserve"> </w:t>
      </w:r>
      <w:r>
        <w:t>defined</w:t>
      </w:r>
      <w:r w:rsidR="00A03629">
        <w:t xml:space="preserve"> </w:t>
      </w:r>
      <w:r>
        <w:t>contribution</w:t>
      </w:r>
      <w:r w:rsidR="00A03629">
        <w:t xml:space="preserve"> </w:t>
      </w:r>
      <w:r>
        <w:t>superannuation</w:t>
      </w:r>
      <w:r w:rsidR="00A03629">
        <w:t xml:space="preserve"> </w:t>
      </w:r>
      <w:r>
        <w:t>plans</w:t>
      </w:r>
      <w:r w:rsidR="00A03629">
        <w:t xml:space="preserve"> </w:t>
      </w:r>
      <w:r>
        <w:t>that</w:t>
      </w:r>
      <w:r w:rsidR="00A03629">
        <w:t xml:space="preserve"> </w:t>
      </w:r>
      <w:r>
        <w:t>are</w:t>
      </w:r>
      <w:r w:rsidR="00A03629">
        <w:t xml:space="preserve"> </w:t>
      </w:r>
      <w:r>
        <w:t>paid</w:t>
      </w:r>
      <w:r w:rsidR="00A03629">
        <w:t xml:space="preserve"> </w:t>
      </w:r>
      <w:r>
        <w:t>or</w:t>
      </w:r>
      <w:r w:rsidR="00A03629">
        <w:t xml:space="preserve"> </w:t>
      </w:r>
      <w:r>
        <w:t>payable</w:t>
      </w:r>
      <w:r w:rsidR="00A03629">
        <w:t xml:space="preserve"> </w:t>
      </w:r>
      <w:r>
        <w:t>during</w:t>
      </w:r>
      <w:r w:rsidR="00A03629">
        <w:t xml:space="preserve"> </w:t>
      </w:r>
      <w:r>
        <w:t>the</w:t>
      </w:r>
      <w:r w:rsidR="00A03629">
        <w:t xml:space="preserve"> </w:t>
      </w:r>
      <w:r>
        <w:t>reporting</w:t>
      </w:r>
      <w:r w:rsidR="00A03629">
        <w:t xml:space="preserve"> </w:t>
      </w:r>
      <w:r>
        <w:t>period.</w:t>
      </w:r>
    </w:p>
    <w:p w14:paraId="0CA93AD3" w14:textId="0025DB5C" w:rsidR="000756EB" w:rsidRDefault="004A4D88" w:rsidP="007848B1">
      <w:r>
        <w:t>Termination</w:t>
      </w:r>
      <w:r w:rsidR="00A03629">
        <w:t xml:space="preserve"> </w:t>
      </w:r>
      <w:r>
        <w:t>benefits</w:t>
      </w:r>
      <w:r w:rsidR="00A03629">
        <w:t xml:space="preserve"> </w:t>
      </w:r>
      <w:r>
        <w:t>are</w:t>
      </w:r>
      <w:r w:rsidR="00A03629">
        <w:t xml:space="preserve"> </w:t>
      </w:r>
      <w:r>
        <w:t>payable</w:t>
      </w:r>
      <w:r w:rsidR="00A03629">
        <w:t xml:space="preserve"> </w:t>
      </w:r>
      <w:r>
        <w:t>when</w:t>
      </w:r>
      <w:r w:rsidR="00A03629">
        <w:t xml:space="preserve"> </w:t>
      </w:r>
      <w:r>
        <w:t>employment</w:t>
      </w:r>
      <w:r w:rsidR="00A03629">
        <w:t xml:space="preserve"> </w:t>
      </w:r>
      <w:r>
        <w:t>is</w:t>
      </w:r>
      <w:r w:rsidR="00A03629">
        <w:t xml:space="preserve"> </w:t>
      </w:r>
      <w:r>
        <w:t>terminated</w:t>
      </w:r>
      <w:r w:rsidR="00A03629">
        <w:t xml:space="preserve"> </w:t>
      </w:r>
      <w:r>
        <w:t>before</w:t>
      </w:r>
      <w:r w:rsidR="00A03629">
        <w:t xml:space="preserve"> </w:t>
      </w:r>
      <w:r>
        <w:t>normal</w:t>
      </w:r>
      <w:r w:rsidR="00A03629">
        <w:t xml:space="preserve"> </w:t>
      </w:r>
      <w:r>
        <w:t>retirement</w:t>
      </w:r>
      <w:r w:rsidR="00A03629">
        <w:t xml:space="preserve"> </w:t>
      </w:r>
      <w:r>
        <w:t>date,</w:t>
      </w:r>
      <w:r w:rsidR="00A03629">
        <w:t xml:space="preserve"> </w:t>
      </w:r>
      <w:r>
        <w:t>or</w:t>
      </w:r>
      <w:r w:rsidR="00A03629">
        <w:t xml:space="preserve"> </w:t>
      </w:r>
      <w:r>
        <w:t>when</w:t>
      </w:r>
      <w:r w:rsidR="00A03629">
        <w:t xml:space="preserve"> </w:t>
      </w:r>
      <w:r>
        <w:t>an</w:t>
      </w:r>
      <w:r w:rsidR="00A03629">
        <w:rPr>
          <w:rFonts w:ascii="Cambria" w:hAnsi="Cambria" w:cs="Cambria"/>
        </w:rPr>
        <w:t xml:space="preserve"> </w:t>
      </w:r>
      <w:r>
        <w:t>employee</w:t>
      </w:r>
      <w:r w:rsidR="00A03629">
        <w:t xml:space="preserve"> </w:t>
      </w:r>
      <w:r>
        <w:t>accepts</w:t>
      </w:r>
      <w:r w:rsidR="00A03629">
        <w:t xml:space="preserve"> </w:t>
      </w:r>
      <w:r>
        <w:t>an</w:t>
      </w:r>
      <w:r w:rsidR="00A03629">
        <w:t xml:space="preserve"> </w:t>
      </w:r>
      <w:r>
        <w:t>offer</w:t>
      </w:r>
      <w:r w:rsidR="00A03629">
        <w:t xml:space="preserve"> </w:t>
      </w:r>
      <w:r>
        <w:t>of</w:t>
      </w:r>
      <w:r w:rsidR="00A03629">
        <w:t xml:space="preserve"> </w:t>
      </w:r>
      <w:r>
        <w:t>benefits</w:t>
      </w:r>
      <w:r w:rsidR="00A03629">
        <w:t xml:space="preserve"> </w:t>
      </w:r>
      <w:r>
        <w:t>in</w:t>
      </w:r>
      <w:r w:rsidR="00A03629">
        <w:t xml:space="preserve"> </w:t>
      </w:r>
      <w:r>
        <w:t>exchange</w:t>
      </w:r>
      <w:r w:rsidR="00A03629">
        <w:t xml:space="preserve"> </w:t>
      </w:r>
      <w:r>
        <w:t>for</w:t>
      </w:r>
      <w:r w:rsidR="00A03629">
        <w:t xml:space="preserve"> </w:t>
      </w:r>
      <w:r>
        <w:t>the</w:t>
      </w:r>
      <w:r w:rsidR="00A03629">
        <w:t xml:space="preserve"> </w:t>
      </w:r>
      <w:r>
        <w:t>termination</w:t>
      </w:r>
      <w:r w:rsidR="00A03629">
        <w:t xml:space="preserve"> </w:t>
      </w:r>
      <w:r>
        <w:t>of</w:t>
      </w:r>
      <w:r w:rsidR="00A03629">
        <w:t xml:space="preserve"> </w:t>
      </w:r>
      <w:r>
        <w:t>employment.</w:t>
      </w:r>
      <w:r w:rsidR="00A03629">
        <w:t xml:space="preserve"> </w:t>
      </w:r>
      <w:r>
        <w:t>Termination</w:t>
      </w:r>
      <w:r w:rsidR="00A03629">
        <w:t xml:space="preserve"> </w:t>
      </w:r>
      <w:r>
        <w:t>benefits</w:t>
      </w:r>
      <w:r w:rsidR="00A03629">
        <w:t xml:space="preserve"> </w:t>
      </w:r>
      <w:r>
        <w:t>are</w:t>
      </w:r>
      <w:r w:rsidR="00A03629">
        <w:t xml:space="preserve"> </w:t>
      </w:r>
      <w:r>
        <w:t>recognised</w:t>
      </w:r>
      <w:r w:rsidR="00A03629">
        <w:t xml:space="preserve"> </w:t>
      </w:r>
      <w:r>
        <w:t>when</w:t>
      </w:r>
      <w:r w:rsidR="00A03629">
        <w:t xml:space="preserve"> </w:t>
      </w:r>
      <w:r>
        <w:t>DJSIR</w:t>
      </w:r>
      <w:r w:rsidR="00A03629">
        <w:t xml:space="preserve"> </w:t>
      </w:r>
      <w:r>
        <w:t>is</w:t>
      </w:r>
      <w:r w:rsidR="00A03629">
        <w:t xml:space="preserve"> </w:t>
      </w:r>
      <w:r>
        <w:t>demonstrably</w:t>
      </w:r>
      <w:r w:rsidR="00A03629">
        <w:t xml:space="preserve"> </w:t>
      </w:r>
      <w:r>
        <w:t>committed</w:t>
      </w:r>
      <w:r w:rsidR="00A03629">
        <w:t xml:space="preserve"> </w:t>
      </w:r>
      <w:r>
        <w:t>to</w:t>
      </w:r>
      <w:r w:rsidR="00A03629">
        <w:t xml:space="preserve"> </w:t>
      </w:r>
      <w:r>
        <w:t>terminating</w:t>
      </w:r>
      <w:r w:rsidR="00A03629">
        <w:t xml:space="preserve"> </w:t>
      </w:r>
      <w:r>
        <w:t>the</w:t>
      </w:r>
      <w:r w:rsidR="00A03629">
        <w:t xml:space="preserve"> </w:t>
      </w:r>
      <w:r>
        <w:t>employment</w:t>
      </w:r>
      <w:r w:rsidR="00A03629">
        <w:t xml:space="preserve"> </w:t>
      </w:r>
      <w:r>
        <w:t>of</w:t>
      </w:r>
      <w:r w:rsidR="00A03629">
        <w:t xml:space="preserve"> </w:t>
      </w:r>
      <w:r>
        <w:t>current</w:t>
      </w:r>
      <w:r w:rsidR="00A03629">
        <w:t xml:space="preserve"> </w:t>
      </w:r>
      <w:r>
        <w:t>employees</w:t>
      </w:r>
      <w:r w:rsidR="00A03629">
        <w:t xml:space="preserve"> </w:t>
      </w:r>
      <w:r>
        <w:t>according</w:t>
      </w:r>
      <w:r w:rsidR="00A03629">
        <w:t xml:space="preserve"> </w:t>
      </w:r>
      <w:r>
        <w:t>to</w:t>
      </w:r>
      <w:r w:rsidR="00A03629">
        <w:t xml:space="preserve"> </w:t>
      </w:r>
      <w:r>
        <w:t>a</w:t>
      </w:r>
      <w:r w:rsidR="00A03629">
        <w:t xml:space="preserve"> </w:t>
      </w:r>
      <w:r>
        <w:t>detailed</w:t>
      </w:r>
      <w:r w:rsidR="00A03629">
        <w:t xml:space="preserve"> </w:t>
      </w:r>
      <w:r>
        <w:t>formal</w:t>
      </w:r>
      <w:r w:rsidR="00A03629">
        <w:t xml:space="preserve"> </w:t>
      </w:r>
      <w:r>
        <w:t>plan</w:t>
      </w:r>
      <w:r w:rsidR="00A03629">
        <w:t xml:space="preserve"> </w:t>
      </w:r>
      <w:r>
        <w:t>without</w:t>
      </w:r>
      <w:r w:rsidR="00A03629">
        <w:t xml:space="preserve"> </w:t>
      </w:r>
      <w:r>
        <w:t>possibility</w:t>
      </w:r>
      <w:r w:rsidR="00A03629">
        <w:t xml:space="preserve"> </w:t>
      </w:r>
      <w:r>
        <w:t>of</w:t>
      </w:r>
      <w:r w:rsidR="00A03629">
        <w:t xml:space="preserve"> </w:t>
      </w:r>
      <w:r>
        <w:t>withdrawal</w:t>
      </w:r>
      <w:r w:rsidR="00A03629">
        <w:t xml:space="preserve"> </w:t>
      </w:r>
      <w:r>
        <w:t>or</w:t>
      </w:r>
      <w:r w:rsidR="00A03629">
        <w:t xml:space="preserve"> </w:t>
      </w:r>
      <w:r>
        <w:t>providing</w:t>
      </w:r>
      <w:r w:rsidR="00A03629">
        <w:t xml:space="preserve"> </w:t>
      </w:r>
      <w:r>
        <w:t>termination</w:t>
      </w:r>
      <w:r w:rsidR="00A03629">
        <w:t xml:space="preserve"> </w:t>
      </w:r>
      <w:r>
        <w:t>benefits</w:t>
      </w:r>
      <w:r w:rsidR="00A03629">
        <w:t xml:space="preserve"> </w:t>
      </w:r>
      <w:proofErr w:type="gramStart"/>
      <w:r>
        <w:t>as</w:t>
      </w:r>
      <w:r w:rsidR="00A03629">
        <w:t xml:space="preserve"> </w:t>
      </w:r>
      <w:r>
        <w:t>a</w:t>
      </w:r>
      <w:r w:rsidR="00A03629">
        <w:t xml:space="preserve"> </w:t>
      </w:r>
      <w:r>
        <w:t>result</w:t>
      </w:r>
      <w:r w:rsidR="00A03629">
        <w:t xml:space="preserve"> </w:t>
      </w:r>
      <w:r>
        <w:t>of</w:t>
      </w:r>
      <w:proofErr w:type="gramEnd"/>
      <w:r w:rsidR="00A03629">
        <w:t xml:space="preserve"> </w:t>
      </w:r>
      <w:r>
        <w:t>an</w:t>
      </w:r>
      <w:r w:rsidR="00A03629">
        <w:t xml:space="preserve"> </w:t>
      </w:r>
      <w:r>
        <w:t>offer</w:t>
      </w:r>
      <w:r w:rsidR="00A03629">
        <w:t xml:space="preserve"> </w:t>
      </w:r>
      <w:r>
        <w:t>made</w:t>
      </w:r>
      <w:r w:rsidR="00A03629">
        <w:t xml:space="preserve"> </w:t>
      </w:r>
      <w:r>
        <w:t>to</w:t>
      </w:r>
      <w:r w:rsidR="00A03629">
        <w:t xml:space="preserve"> </w:t>
      </w:r>
      <w:r>
        <w:t>encourage</w:t>
      </w:r>
      <w:r w:rsidR="00A03629">
        <w:t xml:space="preserve"> </w:t>
      </w:r>
      <w:r>
        <w:t>voluntary</w:t>
      </w:r>
      <w:r w:rsidR="00A03629">
        <w:t xml:space="preserve"> </w:t>
      </w:r>
      <w:r>
        <w:t>redundancy.</w:t>
      </w:r>
      <w:r w:rsidR="00A03629">
        <w:t xml:space="preserve"> </w:t>
      </w:r>
      <w:r>
        <w:t>The</w:t>
      </w:r>
      <w:r w:rsidR="00A03629">
        <w:t xml:space="preserve"> </w:t>
      </w:r>
      <w:r>
        <w:t>Early</w:t>
      </w:r>
      <w:r w:rsidR="00A03629">
        <w:t xml:space="preserve"> </w:t>
      </w:r>
      <w:r>
        <w:t>Retirement</w:t>
      </w:r>
      <w:r w:rsidR="00A03629">
        <w:t xml:space="preserve"> </w:t>
      </w:r>
      <w:r>
        <w:t>Scheme</w:t>
      </w:r>
      <w:r w:rsidR="00A03629">
        <w:t xml:space="preserve"> </w:t>
      </w:r>
      <w:r>
        <w:t>(voluntary)</w:t>
      </w:r>
      <w:r w:rsidR="00A03629">
        <w:t xml:space="preserve"> </w:t>
      </w:r>
      <w:r>
        <w:t>payment</w:t>
      </w:r>
      <w:r w:rsidR="00A03629">
        <w:t xml:space="preserve"> </w:t>
      </w:r>
      <w:r>
        <w:t>to</w:t>
      </w:r>
      <w:r w:rsidR="00A03629">
        <w:t xml:space="preserve"> </w:t>
      </w:r>
      <w:r>
        <w:t>eligible</w:t>
      </w:r>
      <w:r w:rsidR="00A03629">
        <w:t xml:space="preserve"> </w:t>
      </w:r>
      <w:r>
        <w:t>employees</w:t>
      </w:r>
      <w:r w:rsidR="00A03629">
        <w:t xml:space="preserve"> </w:t>
      </w:r>
      <w:r>
        <w:t>who</w:t>
      </w:r>
      <w:r w:rsidR="00A03629">
        <w:t xml:space="preserve"> </w:t>
      </w:r>
      <w:r>
        <w:t>sought</w:t>
      </w:r>
      <w:r w:rsidR="00A03629">
        <w:t xml:space="preserve"> </w:t>
      </w:r>
      <w:r>
        <w:t>to</w:t>
      </w:r>
      <w:r w:rsidR="00A03629">
        <w:t xml:space="preserve"> </w:t>
      </w:r>
      <w:r>
        <w:t>retire</w:t>
      </w:r>
      <w:r w:rsidR="00A03629">
        <w:t xml:space="preserve"> </w:t>
      </w:r>
      <w:r>
        <w:t>early</w:t>
      </w:r>
      <w:r w:rsidR="00A03629">
        <w:t xml:space="preserve"> </w:t>
      </w:r>
      <w:r>
        <w:t>that</w:t>
      </w:r>
      <w:r w:rsidR="00A03629">
        <w:t xml:space="preserve"> </w:t>
      </w:r>
      <w:r>
        <w:t>was</w:t>
      </w:r>
      <w:r w:rsidR="00A03629">
        <w:t xml:space="preserve"> </w:t>
      </w:r>
      <w:r>
        <w:t>implemented</w:t>
      </w:r>
      <w:r w:rsidR="00A03629">
        <w:t xml:space="preserve"> </w:t>
      </w:r>
      <w:r>
        <w:t>in</w:t>
      </w:r>
      <w:r w:rsidR="00A03629">
        <w:t xml:space="preserve"> </w:t>
      </w:r>
      <w:r>
        <w:t>2021–22</w:t>
      </w:r>
      <w:r w:rsidR="00A03629">
        <w:t xml:space="preserve"> </w:t>
      </w:r>
      <w:r>
        <w:t>was</w:t>
      </w:r>
      <w:r w:rsidR="00A03629">
        <w:t xml:space="preserve"> </w:t>
      </w:r>
      <w:r>
        <w:t>finalised</w:t>
      </w:r>
      <w:r w:rsidR="00A03629">
        <w:t xml:space="preserve"> </w:t>
      </w:r>
      <w:r>
        <w:t>in</w:t>
      </w:r>
      <w:r w:rsidR="00A03629">
        <w:t xml:space="preserve"> </w:t>
      </w:r>
      <w:r>
        <w:t>2022–23.</w:t>
      </w:r>
    </w:p>
    <w:p w14:paraId="534269D2" w14:textId="35E2AFC3" w:rsidR="000756EB" w:rsidRDefault="004A4D88" w:rsidP="007848B1">
      <w:pPr>
        <w:pStyle w:val="Heading3"/>
      </w:pPr>
      <w:r>
        <w:t>3.3.2</w:t>
      </w:r>
      <w:r w:rsidR="00DE38B5">
        <w:t xml:space="preserve"> </w:t>
      </w:r>
      <w:r>
        <w:t>Employee</w:t>
      </w:r>
      <w:r w:rsidR="00A03629">
        <w:t xml:space="preserve"> </w:t>
      </w:r>
      <w:r>
        <w:t>benefits</w:t>
      </w:r>
      <w:r w:rsidR="00A03629">
        <w:t xml:space="preserve"> </w:t>
      </w:r>
      <w:r>
        <w:t>in</w:t>
      </w:r>
      <w:r w:rsidR="00A03629">
        <w:t xml:space="preserve"> </w:t>
      </w:r>
      <w:r>
        <w:t>the</w:t>
      </w:r>
      <w:r w:rsidR="00A03629">
        <w:t xml:space="preserve"> </w:t>
      </w:r>
      <w:r>
        <w:t>balance</w:t>
      </w:r>
      <w:r w:rsidR="00A03629">
        <w:t xml:space="preserve"> </w:t>
      </w:r>
      <w:r>
        <w:t>sheet</w:t>
      </w:r>
    </w:p>
    <w:p w14:paraId="35E28DD5" w14:textId="4B540ECC" w:rsidR="000756EB" w:rsidRDefault="004A4D88" w:rsidP="007848B1">
      <w:r>
        <w:t>Provision</w:t>
      </w:r>
      <w:r w:rsidR="00A03629">
        <w:t xml:space="preserve"> </w:t>
      </w:r>
      <w:r>
        <w:t>is</w:t>
      </w:r>
      <w:r w:rsidR="00A03629">
        <w:t xml:space="preserve"> </w:t>
      </w:r>
      <w:r>
        <w:t>made</w:t>
      </w:r>
      <w:r w:rsidR="00A03629">
        <w:t xml:space="preserve"> </w:t>
      </w:r>
      <w:r>
        <w:t>for</w:t>
      </w:r>
      <w:r w:rsidR="00A03629">
        <w:t xml:space="preserve"> </w:t>
      </w:r>
      <w:r>
        <w:t>benefits</w:t>
      </w:r>
      <w:r w:rsidR="00A03629">
        <w:t xml:space="preserve"> </w:t>
      </w:r>
      <w:r>
        <w:t>accruing</w:t>
      </w:r>
      <w:r w:rsidR="00A03629">
        <w:t xml:space="preserve"> </w:t>
      </w:r>
      <w:r>
        <w:t>to</w:t>
      </w:r>
      <w:r w:rsidR="00A03629">
        <w:t xml:space="preserve"> </w:t>
      </w:r>
      <w:r>
        <w:t>employees</w:t>
      </w:r>
      <w:r w:rsidR="00A03629">
        <w:t xml:space="preserve"> </w:t>
      </w:r>
      <w:r>
        <w:t>in</w:t>
      </w:r>
      <w:r w:rsidR="00A03629">
        <w:t xml:space="preserve"> </w:t>
      </w:r>
      <w:r>
        <w:t>respect</w:t>
      </w:r>
      <w:r w:rsidR="00A03629">
        <w:t xml:space="preserve"> </w:t>
      </w:r>
      <w:r>
        <w:t>of</w:t>
      </w:r>
      <w:r w:rsidR="00A03629">
        <w:t xml:space="preserve"> </w:t>
      </w:r>
      <w:r>
        <w:t>wages</w:t>
      </w:r>
      <w:r w:rsidR="00A03629">
        <w:t xml:space="preserve"> </w:t>
      </w:r>
      <w:r>
        <w:t>and</w:t>
      </w:r>
      <w:r w:rsidR="00A03629">
        <w:t xml:space="preserve"> </w:t>
      </w:r>
      <w:r>
        <w:t>salaries,</w:t>
      </w:r>
      <w:r w:rsidR="00A03629">
        <w:t xml:space="preserve"> </w:t>
      </w:r>
      <w:r>
        <w:t>annual</w:t>
      </w:r>
      <w:r w:rsidR="00A03629">
        <w:t xml:space="preserve"> </w:t>
      </w:r>
      <w:proofErr w:type="gramStart"/>
      <w:r>
        <w:t>leave</w:t>
      </w:r>
      <w:proofErr w:type="gramEnd"/>
      <w:r w:rsidR="00A03629">
        <w:t xml:space="preserve"> </w:t>
      </w:r>
      <w:r>
        <w:t>and</w:t>
      </w:r>
      <w:r w:rsidR="00A03629">
        <w:t xml:space="preserve"> </w:t>
      </w:r>
      <w:r>
        <w:t>long</w:t>
      </w:r>
      <w:r w:rsidR="00A03629">
        <w:t xml:space="preserve"> </w:t>
      </w:r>
      <w:r>
        <w:t>service</w:t>
      </w:r>
      <w:r w:rsidR="00A03629">
        <w:t xml:space="preserve"> </w:t>
      </w:r>
      <w:r>
        <w:t>leave</w:t>
      </w:r>
      <w:r w:rsidR="00A03629">
        <w:t xml:space="preserve"> </w:t>
      </w:r>
      <w:r>
        <w:t>(LSL)</w:t>
      </w:r>
      <w:r w:rsidR="00A03629">
        <w:t xml:space="preserve"> </w:t>
      </w:r>
      <w:r>
        <w:t>for</w:t>
      </w:r>
      <w:r w:rsidR="00A03629">
        <w:t xml:space="preserve"> </w:t>
      </w:r>
      <w:r>
        <w:t>services</w:t>
      </w:r>
      <w:r w:rsidR="00A03629">
        <w:t xml:space="preserve"> </w:t>
      </w:r>
      <w:r>
        <w:t>rendered</w:t>
      </w:r>
      <w:r w:rsidR="00A03629">
        <w:t xml:space="preserve"> </w:t>
      </w:r>
      <w:r>
        <w:t>to</w:t>
      </w:r>
      <w:r w:rsidR="00A03629">
        <w:t xml:space="preserve"> </w:t>
      </w:r>
      <w:r>
        <w:t>the</w:t>
      </w:r>
      <w:r w:rsidR="00A03629">
        <w:t xml:space="preserve"> </w:t>
      </w:r>
      <w:r>
        <w:t>reporting</w:t>
      </w:r>
      <w:r w:rsidR="00A03629">
        <w:t xml:space="preserve"> </w:t>
      </w:r>
      <w:r>
        <w:t>date</w:t>
      </w:r>
      <w:r w:rsidR="00A03629">
        <w:t xml:space="preserve"> </w:t>
      </w:r>
      <w:r>
        <w:t>and</w:t>
      </w:r>
      <w:r w:rsidR="00A03629">
        <w:t xml:space="preserve"> </w:t>
      </w:r>
      <w:r>
        <w:t>recorded</w:t>
      </w:r>
      <w:r w:rsidR="00A03629">
        <w:t xml:space="preserve"> </w:t>
      </w:r>
      <w:r>
        <w:t>as</w:t>
      </w:r>
      <w:r w:rsidR="00A03629">
        <w:t xml:space="preserve"> </w:t>
      </w:r>
      <w:r>
        <w:t>an</w:t>
      </w:r>
      <w:r w:rsidR="00A03629">
        <w:t xml:space="preserve"> </w:t>
      </w:r>
      <w:r>
        <w:t>expense</w:t>
      </w:r>
      <w:r w:rsidR="00A03629">
        <w:t xml:space="preserve"> </w:t>
      </w:r>
      <w:r>
        <w:t>during</w:t>
      </w:r>
      <w:r w:rsidR="00A03629">
        <w:t xml:space="preserve"> </w:t>
      </w:r>
      <w:r>
        <w:t>the</w:t>
      </w:r>
      <w:r w:rsidR="00A03629">
        <w:t xml:space="preserve"> </w:t>
      </w:r>
      <w:r>
        <w:t>period</w:t>
      </w:r>
      <w:r w:rsidR="00A03629">
        <w:t xml:space="preserve"> </w:t>
      </w:r>
      <w:r>
        <w:t>the</w:t>
      </w:r>
      <w:r w:rsidR="00A03629">
        <w:t xml:space="preserve"> </w:t>
      </w:r>
      <w:r>
        <w:t>services</w:t>
      </w:r>
      <w:r w:rsidR="00A03629">
        <w:t xml:space="preserve"> </w:t>
      </w:r>
      <w:r>
        <w:t>are</w:t>
      </w:r>
      <w:r w:rsidR="00A03629">
        <w:t xml:space="preserve"> </w:t>
      </w:r>
      <w:r>
        <w:t>delivered.</w:t>
      </w:r>
    </w:p>
    <w:p w14:paraId="4F67F779" w14:textId="21F2EE83" w:rsidR="000756EB" w:rsidRPr="007848B1" w:rsidRDefault="004A4D88" w:rsidP="007848B1">
      <w:pPr>
        <w:pStyle w:val="Normalbeforebullets"/>
        <w:rPr>
          <w:b/>
          <w:bCs/>
        </w:rPr>
      </w:pPr>
      <w:r w:rsidRPr="007848B1">
        <w:rPr>
          <w:b/>
          <w:bCs/>
        </w:rPr>
        <w:t>Provision</w:t>
      </w:r>
      <w:r w:rsidR="00A03629" w:rsidRPr="007848B1">
        <w:rPr>
          <w:b/>
          <w:bCs/>
        </w:rPr>
        <w:t xml:space="preserve"> </w:t>
      </w:r>
      <w:r w:rsidRPr="007848B1">
        <w:rPr>
          <w:b/>
          <w:bCs/>
        </w:rPr>
        <w:t>for</w:t>
      </w:r>
      <w:r w:rsidR="00A03629" w:rsidRPr="007848B1">
        <w:rPr>
          <w:b/>
          <w:bCs/>
        </w:rPr>
        <w:t xml:space="preserve"> </w:t>
      </w:r>
      <w:r w:rsidRPr="007848B1">
        <w:rPr>
          <w:b/>
          <w:bCs/>
        </w:rPr>
        <w:t>employee</w:t>
      </w:r>
      <w:r w:rsidR="00A03629" w:rsidRPr="007848B1">
        <w:rPr>
          <w:b/>
          <w:bCs/>
        </w:rPr>
        <w:t xml:space="preserve"> </w:t>
      </w:r>
      <w:r w:rsidRPr="007848B1">
        <w:rPr>
          <w:b/>
          <w:bCs/>
        </w:rPr>
        <w:t>benefits</w:t>
      </w:r>
    </w:p>
    <w:tbl>
      <w:tblPr>
        <w:tblStyle w:val="TableGrid"/>
        <w:tblW w:w="10201" w:type="dxa"/>
        <w:tblLayout w:type="fixed"/>
        <w:tblLook w:val="0020" w:firstRow="1" w:lastRow="0" w:firstColumn="0" w:lastColumn="0" w:noHBand="0" w:noVBand="0"/>
      </w:tblPr>
      <w:tblGrid>
        <w:gridCol w:w="6922"/>
        <w:gridCol w:w="1639"/>
        <w:gridCol w:w="1640"/>
      </w:tblGrid>
      <w:tr w:rsidR="000756EB" w:rsidRPr="00313B2D" w14:paraId="2C012554" w14:textId="77777777" w:rsidTr="00313B2D">
        <w:trPr>
          <w:trHeight w:val="113"/>
          <w:tblHeader/>
        </w:trPr>
        <w:tc>
          <w:tcPr>
            <w:tcW w:w="6922" w:type="dxa"/>
          </w:tcPr>
          <w:p w14:paraId="19F7AB5C" w14:textId="77777777" w:rsidR="000756EB" w:rsidRPr="00313B2D" w:rsidRDefault="000756EB" w:rsidP="00313B2D">
            <w:pPr>
              <w:pStyle w:val="TableColumnHeading"/>
            </w:pPr>
            <w:bookmarkStart w:id="30" w:name="ColumnTitles_11"/>
            <w:bookmarkEnd w:id="30"/>
          </w:p>
        </w:tc>
        <w:tc>
          <w:tcPr>
            <w:tcW w:w="1639" w:type="dxa"/>
          </w:tcPr>
          <w:p w14:paraId="4D75A902" w14:textId="242635DA" w:rsidR="000756EB" w:rsidRPr="00313B2D" w:rsidRDefault="004A4D88" w:rsidP="00313B2D">
            <w:pPr>
              <w:pStyle w:val="TableColumnHeading"/>
              <w:jc w:val="right"/>
            </w:pPr>
            <w:r w:rsidRPr="00313B2D">
              <w:t>2023</w:t>
            </w:r>
            <w:r w:rsidR="007848B1" w:rsidRPr="00313B2D">
              <w:t xml:space="preserve"> ($ thousand)</w:t>
            </w:r>
            <w:r w:rsidR="00A03629" w:rsidRPr="00313B2D">
              <w:t xml:space="preserve"> </w:t>
            </w:r>
          </w:p>
        </w:tc>
        <w:tc>
          <w:tcPr>
            <w:tcW w:w="1640" w:type="dxa"/>
          </w:tcPr>
          <w:p w14:paraId="35E1A198" w14:textId="3555CF9D" w:rsidR="000756EB" w:rsidRPr="00313B2D" w:rsidRDefault="004A4D88" w:rsidP="00313B2D">
            <w:pPr>
              <w:pStyle w:val="TableColumnHeading"/>
              <w:jc w:val="right"/>
            </w:pPr>
            <w:r w:rsidRPr="00313B2D">
              <w:t>2022</w:t>
            </w:r>
            <w:r w:rsidR="007848B1" w:rsidRPr="00313B2D">
              <w:t xml:space="preserve"> ($ thousand)</w:t>
            </w:r>
          </w:p>
        </w:tc>
      </w:tr>
      <w:tr w:rsidR="000756EB" w:rsidRPr="00313B2D" w14:paraId="34A77CBD" w14:textId="77777777" w:rsidTr="007848B1">
        <w:trPr>
          <w:trHeight w:val="113"/>
        </w:trPr>
        <w:tc>
          <w:tcPr>
            <w:tcW w:w="6922" w:type="dxa"/>
          </w:tcPr>
          <w:p w14:paraId="4301CA94" w14:textId="48433253" w:rsidR="000756EB" w:rsidRPr="00313B2D" w:rsidRDefault="004A4D88" w:rsidP="00313B2D">
            <w:pPr>
              <w:pStyle w:val="TableHeading"/>
            </w:pPr>
            <w:r w:rsidRPr="00313B2D">
              <w:t>Current</w:t>
            </w:r>
            <w:r w:rsidR="00A03629" w:rsidRPr="00313B2D">
              <w:t xml:space="preserve"> </w:t>
            </w:r>
            <w:r w:rsidRPr="00313B2D">
              <w:t>provisions</w:t>
            </w:r>
          </w:p>
        </w:tc>
        <w:tc>
          <w:tcPr>
            <w:tcW w:w="1639" w:type="dxa"/>
          </w:tcPr>
          <w:p w14:paraId="36C5590C" w14:textId="77777777" w:rsidR="000756EB" w:rsidRPr="00313B2D" w:rsidRDefault="000756EB" w:rsidP="00313B2D">
            <w:pPr>
              <w:pStyle w:val="TableHeading"/>
              <w:jc w:val="right"/>
            </w:pPr>
          </w:p>
        </w:tc>
        <w:tc>
          <w:tcPr>
            <w:tcW w:w="1640" w:type="dxa"/>
          </w:tcPr>
          <w:p w14:paraId="4BF5ED90" w14:textId="77777777" w:rsidR="000756EB" w:rsidRPr="00313B2D" w:rsidRDefault="000756EB" w:rsidP="00313B2D">
            <w:pPr>
              <w:pStyle w:val="TableHeading"/>
              <w:jc w:val="right"/>
            </w:pPr>
          </w:p>
        </w:tc>
      </w:tr>
      <w:tr w:rsidR="000756EB" w:rsidRPr="00313B2D" w14:paraId="0B856640" w14:textId="77777777" w:rsidTr="007848B1">
        <w:trPr>
          <w:trHeight w:val="113"/>
        </w:trPr>
        <w:tc>
          <w:tcPr>
            <w:tcW w:w="6922" w:type="dxa"/>
          </w:tcPr>
          <w:p w14:paraId="186926D2" w14:textId="708A6109" w:rsidR="000756EB" w:rsidRPr="00313B2D" w:rsidRDefault="004A4D88" w:rsidP="00313B2D">
            <w:pPr>
              <w:pStyle w:val="TableHeading"/>
            </w:pPr>
            <w:r w:rsidRPr="00313B2D">
              <w:t>Employee</w:t>
            </w:r>
            <w:r w:rsidR="00A03629" w:rsidRPr="00313B2D">
              <w:t xml:space="preserve"> </w:t>
            </w:r>
            <w:r w:rsidRPr="00313B2D">
              <w:t>benefits</w:t>
            </w:r>
            <w:r w:rsidR="00A03629" w:rsidRPr="00313B2D">
              <w:t xml:space="preserve"> </w:t>
            </w:r>
          </w:p>
        </w:tc>
        <w:tc>
          <w:tcPr>
            <w:tcW w:w="1639" w:type="dxa"/>
          </w:tcPr>
          <w:p w14:paraId="1502F6B2" w14:textId="77777777" w:rsidR="000756EB" w:rsidRPr="00313B2D" w:rsidRDefault="000756EB" w:rsidP="00313B2D">
            <w:pPr>
              <w:pStyle w:val="TableHeading"/>
              <w:jc w:val="right"/>
            </w:pPr>
          </w:p>
        </w:tc>
        <w:tc>
          <w:tcPr>
            <w:tcW w:w="1640" w:type="dxa"/>
          </w:tcPr>
          <w:p w14:paraId="2DBECB2E" w14:textId="77777777" w:rsidR="000756EB" w:rsidRPr="00313B2D" w:rsidRDefault="000756EB" w:rsidP="00313B2D">
            <w:pPr>
              <w:pStyle w:val="TableHeading"/>
              <w:jc w:val="right"/>
            </w:pPr>
          </w:p>
        </w:tc>
      </w:tr>
      <w:tr w:rsidR="000756EB" w:rsidRPr="00313B2D" w14:paraId="608DE60D" w14:textId="77777777" w:rsidTr="007848B1">
        <w:trPr>
          <w:trHeight w:val="113"/>
        </w:trPr>
        <w:tc>
          <w:tcPr>
            <w:tcW w:w="6922" w:type="dxa"/>
          </w:tcPr>
          <w:p w14:paraId="17B0641E" w14:textId="7167A466" w:rsidR="000756EB" w:rsidRPr="00313B2D" w:rsidRDefault="004A4D88" w:rsidP="00313B2D">
            <w:pPr>
              <w:pStyle w:val="TableHeading"/>
            </w:pPr>
            <w:r w:rsidRPr="00313B2D">
              <w:t>Annual</w:t>
            </w:r>
            <w:r w:rsidR="00A03629" w:rsidRPr="00313B2D">
              <w:t xml:space="preserve"> </w:t>
            </w:r>
            <w:r w:rsidRPr="00313B2D">
              <w:t>leave</w:t>
            </w:r>
          </w:p>
        </w:tc>
        <w:tc>
          <w:tcPr>
            <w:tcW w:w="1639" w:type="dxa"/>
          </w:tcPr>
          <w:p w14:paraId="64FD9595" w14:textId="77777777" w:rsidR="000756EB" w:rsidRPr="00313B2D" w:rsidRDefault="000756EB" w:rsidP="00313B2D">
            <w:pPr>
              <w:pStyle w:val="TableHeading"/>
              <w:jc w:val="right"/>
            </w:pPr>
          </w:p>
        </w:tc>
        <w:tc>
          <w:tcPr>
            <w:tcW w:w="1640" w:type="dxa"/>
          </w:tcPr>
          <w:p w14:paraId="6F60684B" w14:textId="77777777" w:rsidR="000756EB" w:rsidRPr="00313B2D" w:rsidRDefault="000756EB" w:rsidP="00313B2D">
            <w:pPr>
              <w:pStyle w:val="TableHeading"/>
              <w:jc w:val="right"/>
            </w:pPr>
          </w:p>
        </w:tc>
      </w:tr>
      <w:tr w:rsidR="000756EB" w:rsidRPr="00313B2D" w14:paraId="6F1786F9" w14:textId="77777777" w:rsidTr="007848B1">
        <w:trPr>
          <w:trHeight w:val="113"/>
        </w:trPr>
        <w:tc>
          <w:tcPr>
            <w:tcW w:w="6922" w:type="dxa"/>
          </w:tcPr>
          <w:p w14:paraId="3EBF74A3" w14:textId="51FD0DBF" w:rsidR="000756EB" w:rsidRPr="00313B2D" w:rsidRDefault="004A4D88" w:rsidP="00313B2D">
            <w:pPr>
              <w:pStyle w:val="TableCopy"/>
            </w:pPr>
            <w:r w:rsidRPr="00313B2D">
              <w:t>–</w:t>
            </w:r>
            <w:r w:rsidR="00A03629" w:rsidRPr="00313B2D">
              <w:t xml:space="preserve"> </w:t>
            </w:r>
            <w:r w:rsidRPr="00313B2D">
              <w:t>Unconditional</w:t>
            </w:r>
            <w:r w:rsidR="00A03629" w:rsidRPr="00313B2D">
              <w:t xml:space="preserve"> </w:t>
            </w:r>
            <w:r w:rsidRPr="00313B2D">
              <w:t>and</w:t>
            </w:r>
            <w:r w:rsidR="00A03629" w:rsidRPr="00313B2D">
              <w:t xml:space="preserve"> </w:t>
            </w:r>
            <w:r w:rsidRPr="00313B2D">
              <w:t>expected</w:t>
            </w:r>
            <w:r w:rsidR="00A03629" w:rsidRPr="00313B2D">
              <w:t xml:space="preserve"> </w:t>
            </w:r>
            <w:r w:rsidRPr="00313B2D">
              <w:t>to</w:t>
            </w:r>
            <w:r w:rsidR="00A03629" w:rsidRPr="00313B2D">
              <w:t xml:space="preserve"> </w:t>
            </w:r>
            <w:r w:rsidRPr="00313B2D">
              <w:t>wholly</w:t>
            </w:r>
            <w:r w:rsidR="00A03629" w:rsidRPr="00313B2D">
              <w:t xml:space="preserve"> </w:t>
            </w:r>
            <w:r w:rsidRPr="00313B2D">
              <w:t>settle</w:t>
            </w:r>
            <w:r w:rsidR="00A03629" w:rsidRPr="00313B2D">
              <w:t xml:space="preserve"> </w:t>
            </w:r>
            <w:r w:rsidRPr="00313B2D">
              <w:t>within</w:t>
            </w:r>
            <w:r w:rsidR="00A03629" w:rsidRPr="00313B2D">
              <w:t xml:space="preserve"> </w:t>
            </w:r>
            <w:r w:rsidRPr="00313B2D">
              <w:t>12</w:t>
            </w:r>
            <w:r w:rsidR="00A03629" w:rsidRPr="00313B2D">
              <w:t xml:space="preserve"> </w:t>
            </w:r>
            <w:r w:rsidRPr="00313B2D">
              <w:t>months</w:t>
            </w:r>
          </w:p>
        </w:tc>
        <w:tc>
          <w:tcPr>
            <w:tcW w:w="1639" w:type="dxa"/>
          </w:tcPr>
          <w:p w14:paraId="51EA6AFA" w14:textId="0858D63E" w:rsidR="000756EB" w:rsidRPr="00313B2D" w:rsidRDefault="004A4D88" w:rsidP="00313B2D">
            <w:pPr>
              <w:pStyle w:val="TableCopy"/>
              <w:jc w:val="right"/>
            </w:pPr>
            <w:r w:rsidRPr="00313B2D">
              <w:t>14,621</w:t>
            </w:r>
            <w:r w:rsidR="00A03629" w:rsidRPr="00313B2D">
              <w:t xml:space="preserve"> </w:t>
            </w:r>
          </w:p>
        </w:tc>
        <w:tc>
          <w:tcPr>
            <w:tcW w:w="1640" w:type="dxa"/>
          </w:tcPr>
          <w:p w14:paraId="2916E9E4" w14:textId="05310A05" w:rsidR="000756EB" w:rsidRPr="00313B2D" w:rsidRDefault="004A4D88" w:rsidP="00313B2D">
            <w:pPr>
              <w:pStyle w:val="TableCopy"/>
              <w:jc w:val="right"/>
            </w:pPr>
            <w:r w:rsidRPr="00313B2D">
              <w:t>23,888</w:t>
            </w:r>
            <w:r w:rsidR="00A03629" w:rsidRPr="00313B2D">
              <w:t xml:space="preserve"> </w:t>
            </w:r>
          </w:p>
        </w:tc>
      </w:tr>
      <w:tr w:rsidR="000756EB" w:rsidRPr="00313B2D" w14:paraId="5C2D6638" w14:textId="77777777" w:rsidTr="007848B1">
        <w:trPr>
          <w:trHeight w:val="113"/>
        </w:trPr>
        <w:tc>
          <w:tcPr>
            <w:tcW w:w="6922" w:type="dxa"/>
          </w:tcPr>
          <w:p w14:paraId="74A1F2AB" w14:textId="328DCA9A" w:rsidR="000756EB" w:rsidRPr="00313B2D" w:rsidRDefault="004A4D88" w:rsidP="00313B2D">
            <w:pPr>
              <w:pStyle w:val="TableCopy"/>
            </w:pPr>
            <w:r w:rsidRPr="00313B2D">
              <w:t>–</w:t>
            </w:r>
            <w:r w:rsidR="00A03629" w:rsidRPr="00313B2D">
              <w:t xml:space="preserve"> </w:t>
            </w:r>
            <w:r w:rsidRPr="00313B2D">
              <w:t>Unconditional</w:t>
            </w:r>
            <w:r w:rsidR="00A03629" w:rsidRPr="00313B2D">
              <w:t xml:space="preserve"> </w:t>
            </w:r>
            <w:r w:rsidRPr="00313B2D">
              <w:t>and</w:t>
            </w:r>
            <w:r w:rsidR="00A03629" w:rsidRPr="00313B2D">
              <w:t xml:space="preserve"> </w:t>
            </w:r>
            <w:r w:rsidRPr="00313B2D">
              <w:t>expected</w:t>
            </w:r>
            <w:r w:rsidR="00A03629" w:rsidRPr="00313B2D">
              <w:t xml:space="preserve"> </w:t>
            </w:r>
            <w:r w:rsidRPr="00313B2D">
              <w:t>to</w:t>
            </w:r>
            <w:r w:rsidR="00A03629" w:rsidRPr="00313B2D">
              <w:t xml:space="preserve"> </w:t>
            </w:r>
            <w:r w:rsidRPr="00313B2D">
              <w:t>wholly</w:t>
            </w:r>
            <w:r w:rsidR="00A03629" w:rsidRPr="00313B2D">
              <w:t xml:space="preserve"> </w:t>
            </w:r>
            <w:r w:rsidRPr="00313B2D">
              <w:t>settle</w:t>
            </w:r>
            <w:r w:rsidR="00A03629" w:rsidRPr="00313B2D">
              <w:t xml:space="preserve"> </w:t>
            </w:r>
            <w:r w:rsidRPr="00313B2D">
              <w:t>after</w:t>
            </w:r>
            <w:r w:rsidR="00A03629" w:rsidRPr="00313B2D">
              <w:t xml:space="preserve"> </w:t>
            </w:r>
            <w:r w:rsidRPr="00313B2D">
              <w:t>12</w:t>
            </w:r>
            <w:r w:rsidR="00A03629" w:rsidRPr="00313B2D">
              <w:t xml:space="preserve"> </w:t>
            </w:r>
            <w:r w:rsidRPr="00313B2D">
              <w:t>months</w:t>
            </w:r>
          </w:p>
        </w:tc>
        <w:tc>
          <w:tcPr>
            <w:tcW w:w="1639" w:type="dxa"/>
          </w:tcPr>
          <w:p w14:paraId="03E77FD6" w14:textId="61FE2223" w:rsidR="000756EB" w:rsidRPr="00313B2D" w:rsidRDefault="004A4D88" w:rsidP="00313B2D">
            <w:pPr>
              <w:pStyle w:val="TableCopy"/>
              <w:jc w:val="right"/>
            </w:pPr>
            <w:r w:rsidRPr="00313B2D">
              <w:t>12,887</w:t>
            </w:r>
            <w:r w:rsidR="00A03629" w:rsidRPr="00313B2D">
              <w:t xml:space="preserve"> </w:t>
            </w:r>
          </w:p>
        </w:tc>
        <w:tc>
          <w:tcPr>
            <w:tcW w:w="1640" w:type="dxa"/>
          </w:tcPr>
          <w:p w14:paraId="631FF601" w14:textId="11EC94F6" w:rsidR="000756EB" w:rsidRPr="00313B2D" w:rsidRDefault="004A4D88" w:rsidP="00313B2D">
            <w:pPr>
              <w:pStyle w:val="TableCopy"/>
              <w:jc w:val="right"/>
            </w:pPr>
            <w:r w:rsidRPr="00313B2D">
              <w:t>21,224</w:t>
            </w:r>
            <w:r w:rsidR="00A03629" w:rsidRPr="00313B2D">
              <w:t xml:space="preserve"> </w:t>
            </w:r>
          </w:p>
        </w:tc>
      </w:tr>
      <w:tr w:rsidR="000756EB" w:rsidRPr="00313B2D" w14:paraId="27FF27A3" w14:textId="77777777" w:rsidTr="007848B1">
        <w:trPr>
          <w:trHeight w:val="113"/>
        </w:trPr>
        <w:tc>
          <w:tcPr>
            <w:tcW w:w="6922" w:type="dxa"/>
          </w:tcPr>
          <w:p w14:paraId="54B754B9" w14:textId="6C1BDAF9" w:rsidR="000756EB" w:rsidRPr="00313B2D" w:rsidRDefault="004A4D88" w:rsidP="00313B2D">
            <w:pPr>
              <w:pStyle w:val="TableHeading"/>
            </w:pPr>
            <w:r w:rsidRPr="00313B2D">
              <w:lastRenderedPageBreak/>
              <w:t>Long</w:t>
            </w:r>
            <w:r w:rsidR="00A03629" w:rsidRPr="00313B2D">
              <w:t xml:space="preserve"> </w:t>
            </w:r>
            <w:r w:rsidRPr="00313B2D">
              <w:t>service</w:t>
            </w:r>
            <w:r w:rsidR="00A03629" w:rsidRPr="00313B2D">
              <w:t xml:space="preserve"> </w:t>
            </w:r>
            <w:r w:rsidRPr="00313B2D">
              <w:t>leave</w:t>
            </w:r>
          </w:p>
        </w:tc>
        <w:tc>
          <w:tcPr>
            <w:tcW w:w="1639" w:type="dxa"/>
          </w:tcPr>
          <w:p w14:paraId="183A2A01" w14:textId="77777777" w:rsidR="000756EB" w:rsidRPr="00313B2D" w:rsidRDefault="000756EB" w:rsidP="00313B2D">
            <w:pPr>
              <w:pStyle w:val="TableHeading"/>
              <w:jc w:val="right"/>
            </w:pPr>
          </w:p>
        </w:tc>
        <w:tc>
          <w:tcPr>
            <w:tcW w:w="1640" w:type="dxa"/>
          </w:tcPr>
          <w:p w14:paraId="0A6A3851" w14:textId="77777777" w:rsidR="000756EB" w:rsidRPr="00313B2D" w:rsidRDefault="000756EB" w:rsidP="00313B2D">
            <w:pPr>
              <w:pStyle w:val="TableHeading"/>
              <w:jc w:val="right"/>
            </w:pPr>
          </w:p>
        </w:tc>
      </w:tr>
      <w:tr w:rsidR="000756EB" w:rsidRPr="00313B2D" w14:paraId="68F7067F" w14:textId="77777777" w:rsidTr="007848B1">
        <w:trPr>
          <w:trHeight w:val="113"/>
        </w:trPr>
        <w:tc>
          <w:tcPr>
            <w:tcW w:w="6922" w:type="dxa"/>
          </w:tcPr>
          <w:p w14:paraId="02A05223" w14:textId="0A1BBA14" w:rsidR="000756EB" w:rsidRPr="00313B2D" w:rsidRDefault="004A4D88" w:rsidP="00313B2D">
            <w:pPr>
              <w:pStyle w:val="TableCopy"/>
            </w:pPr>
            <w:r w:rsidRPr="00313B2D">
              <w:t>–</w:t>
            </w:r>
            <w:r w:rsidR="00A03629" w:rsidRPr="00313B2D">
              <w:t xml:space="preserve"> </w:t>
            </w:r>
            <w:r w:rsidRPr="00313B2D">
              <w:t>Unconditional</w:t>
            </w:r>
            <w:r w:rsidR="00A03629" w:rsidRPr="00313B2D">
              <w:t xml:space="preserve"> </w:t>
            </w:r>
            <w:r w:rsidRPr="00313B2D">
              <w:t>and</w:t>
            </w:r>
            <w:r w:rsidR="00A03629" w:rsidRPr="00313B2D">
              <w:t xml:space="preserve"> </w:t>
            </w:r>
            <w:r w:rsidRPr="00313B2D">
              <w:t>expected</w:t>
            </w:r>
            <w:r w:rsidR="00A03629" w:rsidRPr="00313B2D">
              <w:t xml:space="preserve"> </w:t>
            </w:r>
            <w:r w:rsidRPr="00313B2D">
              <w:t>to</w:t>
            </w:r>
            <w:r w:rsidR="00A03629" w:rsidRPr="00313B2D">
              <w:t xml:space="preserve"> </w:t>
            </w:r>
            <w:r w:rsidRPr="00313B2D">
              <w:t>wholly</w:t>
            </w:r>
            <w:r w:rsidR="00A03629" w:rsidRPr="00313B2D">
              <w:t xml:space="preserve"> </w:t>
            </w:r>
            <w:r w:rsidRPr="00313B2D">
              <w:t>settle</w:t>
            </w:r>
            <w:r w:rsidR="00A03629" w:rsidRPr="00313B2D">
              <w:t xml:space="preserve"> </w:t>
            </w:r>
            <w:r w:rsidRPr="00313B2D">
              <w:t>within</w:t>
            </w:r>
            <w:r w:rsidR="00A03629" w:rsidRPr="00313B2D">
              <w:t xml:space="preserve"> </w:t>
            </w:r>
            <w:r w:rsidRPr="00313B2D">
              <w:t>12</w:t>
            </w:r>
            <w:r w:rsidR="00A03629" w:rsidRPr="00313B2D">
              <w:t xml:space="preserve"> </w:t>
            </w:r>
            <w:r w:rsidRPr="00313B2D">
              <w:t>months</w:t>
            </w:r>
          </w:p>
        </w:tc>
        <w:tc>
          <w:tcPr>
            <w:tcW w:w="1639" w:type="dxa"/>
          </w:tcPr>
          <w:p w14:paraId="5B7BCBD9" w14:textId="71D604E6" w:rsidR="000756EB" w:rsidRPr="00313B2D" w:rsidRDefault="004A4D88" w:rsidP="00313B2D">
            <w:pPr>
              <w:pStyle w:val="TableCopy"/>
              <w:jc w:val="right"/>
            </w:pPr>
            <w:r w:rsidRPr="00313B2D">
              <w:t>4,680</w:t>
            </w:r>
            <w:r w:rsidR="00A03629" w:rsidRPr="00313B2D">
              <w:t xml:space="preserve"> </w:t>
            </w:r>
          </w:p>
        </w:tc>
        <w:tc>
          <w:tcPr>
            <w:tcW w:w="1640" w:type="dxa"/>
          </w:tcPr>
          <w:p w14:paraId="37483A72" w14:textId="65E3F9A7" w:rsidR="000756EB" w:rsidRPr="00313B2D" w:rsidRDefault="004A4D88" w:rsidP="00313B2D">
            <w:pPr>
              <w:pStyle w:val="TableCopy"/>
              <w:jc w:val="right"/>
            </w:pPr>
            <w:r w:rsidRPr="00313B2D">
              <w:t>9,859</w:t>
            </w:r>
            <w:r w:rsidR="00A03629" w:rsidRPr="00313B2D">
              <w:t xml:space="preserve"> </w:t>
            </w:r>
          </w:p>
        </w:tc>
      </w:tr>
      <w:tr w:rsidR="000756EB" w:rsidRPr="00313B2D" w14:paraId="64185FBE" w14:textId="77777777" w:rsidTr="007848B1">
        <w:trPr>
          <w:trHeight w:val="113"/>
        </w:trPr>
        <w:tc>
          <w:tcPr>
            <w:tcW w:w="6922" w:type="dxa"/>
          </w:tcPr>
          <w:p w14:paraId="67C1233B" w14:textId="3C009D86" w:rsidR="000756EB" w:rsidRPr="00313B2D" w:rsidRDefault="004A4D88" w:rsidP="00313B2D">
            <w:pPr>
              <w:pStyle w:val="TableCopy"/>
            </w:pPr>
            <w:r w:rsidRPr="00313B2D">
              <w:t>–</w:t>
            </w:r>
            <w:r w:rsidR="00A03629" w:rsidRPr="00313B2D">
              <w:t xml:space="preserve"> </w:t>
            </w:r>
            <w:r w:rsidRPr="00313B2D">
              <w:t>Unconditional</w:t>
            </w:r>
            <w:r w:rsidR="00A03629" w:rsidRPr="00313B2D">
              <w:t xml:space="preserve"> </w:t>
            </w:r>
            <w:r w:rsidRPr="00313B2D">
              <w:t>and</w:t>
            </w:r>
            <w:r w:rsidR="00A03629" w:rsidRPr="00313B2D">
              <w:t xml:space="preserve"> </w:t>
            </w:r>
            <w:r w:rsidRPr="00313B2D">
              <w:t>expected</w:t>
            </w:r>
            <w:r w:rsidR="00A03629" w:rsidRPr="00313B2D">
              <w:t xml:space="preserve"> </w:t>
            </w:r>
            <w:r w:rsidRPr="00313B2D">
              <w:t>to</w:t>
            </w:r>
            <w:r w:rsidR="00A03629" w:rsidRPr="00313B2D">
              <w:t xml:space="preserve"> </w:t>
            </w:r>
            <w:r w:rsidRPr="00313B2D">
              <w:t>wholly</w:t>
            </w:r>
            <w:r w:rsidR="00A03629" w:rsidRPr="00313B2D">
              <w:t xml:space="preserve"> </w:t>
            </w:r>
            <w:r w:rsidRPr="00313B2D">
              <w:t>settle</w:t>
            </w:r>
            <w:r w:rsidR="00A03629" w:rsidRPr="00313B2D">
              <w:t xml:space="preserve"> </w:t>
            </w:r>
            <w:r w:rsidRPr="00313B2D">
              <w:t>after</w:t>
            </w:r>
            <w:r w:rsidR="00A03629" w:rsidRPr="00313B2D">
              <w:t xml:space="preserve"> </w:t>
            </w:r>
            <w:r w:rsidRPr="00313B2D">
              <w:t>12</w:t>
            </w:r>
            <w:r w:rsidR="00A03629" w:rsidRPr="00313B2D">
              <w:t xml:space="preserve"> </w:t>
            </w:r>
            <w:r w:rsidRPr="00313B2D">
              <w:t>months</w:t>
            </w:r>
          </w:p>
        </w:tc>
        <w:tc>
          <w:tcPr>
            <w:tcW w:w="1639" w:type="dxa"/>
          </w:tcPr>
          <w:p w14:paraId="77717A41" w14:textId="0D5F3486" w:rsidR="000756EB" w:rsidRPr="00313B2D" w:rsidRDefault="004A4D88" w:rsidP="00313B2D">
            <w:pPr>
              <w:pStyle w:val="TableCopy"/>
              <w:jc w:val="right"/>
            </w:pPr>
            <w:r w:rsidRPr="00313B2D">
              <w:t>22,893</w:t>
            </w:r>
            <w:r w:rsidR="00A03629" w:rsidRPr="00313B2D">
              <w:t xml:space="preserve"> </w:t>
            </w:r>
          </w:p>
        </w:tc>
        <w:tc>
          <w:tcPr>
            <w:tcW w:w="1640" w:type="dxa"/>
          </w:tcPr>
          <w:p w14:paraId="576BF810" w14:textId="6C5BA355" w:rsidR="000756EB" w:rsidRPr="00313B2D" w:rsidRDefault="004A4D88" w:rsidP="00313B2D">
            <w:pPr>
              <w:pStyle w:val="TableCopy"/>
              <w:jc w:val="right"/>
            </w:pPr>
            <w:r w:rsidRPr="00313B2D">
              <w:t>47,305</w:t>
            </w:r>
            <w:r w:rsidR="00A03629" w:rsidRPr="00313B2D">
              <w:t xml:space="preserve"> </w:t>
            </w:r>
          </w:p>
        </w:tc>
      </w:tr>
      <w:tr w:rsidR="000756EB" w:rsidRPr="00313B2D" w14:paraId="5FB2EAE3" w14:textId="77777777" w:rsidTr="007848B1">
        <w:trPr>
          <w:trHeight w:val="113"/>
        </w:trPr>
        <w:tc>
          <w:tcPr>
            <w:tcW w:w="6922" w:type="dxa"/>
          </w:tcPr>
          <w:p w14:paraId="161DE560" w14:textId="77777777" w:rsidR="000756EB" w:rsidRPr="00313B2D" w:rsidRDefault="000756EB" w:rsidP="00313B2D">
            <w:pPr>
              <w:pStyle w:val="TableCopy"/>
              <w:rPr>
                <w:b/>
                <w:bCs/>
              </w:rPr>
            </w:pPr>
          </w:p>
        </w:tc>
        <w:tc>
          <w:tcPr>
            <w:tcW w:w="1639" w:type="dxa"/>
          </w:tcPr>
          <w:p w14:paraId="13F55631" w14:textId="1E00D888" w:rsidR="000756EB" w:rsidRPr="00313B2D" w:rsidRDefault="004A4D88" w:rsidP="00313B2D">
            <w:pPr>
              <w:pStyle w:val="TableCopy"/>
              <w:jc w:val="right"/>
              <w:rPr>
                <w:b/>
                <w:bCs/>
              </w:rPr>
            </w:pPr>
            <w:r w:rsidRPr="00313B2D">
              <w:rPr>
                <w:b/>
                <w:bCs/>
              </w:rPr>
              <w:t>55,081</w:t>
            </w:r>
            <w:r w:rsidR="00A03629" w:rsidRPr="00313B2D">
              <w:rPr>
                <w:b/>
                <w:bCs/>
              </w:rPr>
              <w:t xml:space="preserve"> </w:t>
            </w:r>
          </w:p>
        </w:tc>
        <w:tc>
          <w:tcPr>
            <w:tcW w:w="1640" w:type="dxa"/>
          </w:tcPr>
          <w:p w14:paraId="45F83FC3" w14:textId="39EFB65D" w:rsidR="000756EB" w:rsidRPr="00313B2D" w:rsidRDefault="004A4D88" w:rsidP="00313B2D">
            <w:pPr>
              <w:pStyle w:val="TableCopy"/>
              <w:jc w:val="right"/>
              <w:rPr>
                <w:b/>
                <w:bCs/>
              </w:rPr>
            </w:pPr>
            <w:r w:rsidRPr="00313B2D">
              <w:rPr>
                <w:b/>
                <w:bCs/>
              </w:rPr>
              <w:t>102,276</w:t>
            </w:r>
            <w:r w:rsidR="00A03629" w:rsidRPr="00313B2D">
              <w:rPr>
                <w:b/>
                <w:bCs/>
              </w:rPr>
              <w:t xml:space="preserve"> </w:t>
            </w:r>
          </w:p>
        </w:tc>
      </w:tr>
      <w:tr w:rsidR="000756EB" w:rsidRPr="00313B2D" w14:paraId="64919E7C" w14:textId="77777777" w:rsidTr="007848B1">
        <w:trPr>
          <w:trHeight w:val="113"/>
        </w:trPr>
        <w:tc>
          <w:tcPr>
            <w:tcW w:w="6922" w:type="dxa"/>
          </w:tcPr>
          <w:p w14:paraId="6DE9F881" w14:textId="38B644FD" w:rsidR="000756EB" w:rsidRPr="00313B2D" w:rsidRDefault="004A4D88" w:rsidP="00313B2D">
            <w:pPr>
              <w:pStyle w:val="TableHeading"/>
            </w:pPr>
            <w:r w:rsidRPr="00313B2D">
              <w:t>Provisions</w:t>
            </w:r>
            <w:r w:rsidR="00A03629" w:rsidRPr="00313B2D">
              <w:t xml:space="preserve"> </w:t>
            </w:r>
            <w:r w:rsidRPr="00313B2D">
              <w:t>related</w:t>
            </w:r>
            <w:r w:rsidR="00A03629" w:rsidRPr="00313B2D">
              <w:t xml:space="preserve"> </w:t>
            </w:r>
            <w:r w:rsidRPr="00313B2D">
              <w:t>to</w:t>
            </w:r>
            <w:r w:rsidR="00A03629" w:rsidRPr="00313B2D">
              <w:t xml:space="preserve"> </w:t>
            </w:r>
            <w:r w:rsidRPr="00313B2D">
              <w:t>employee</w:t>
            </w:r>
            <w:r w:rsidR="00A03629" w:rsidRPr="00313B2D">
              <w:t xml:space="preserve"> </w:t>
            </w:r>
            <w:r w:rsidRPr="00313B2D">
              <w:t>benefit</w:t>
            </w:r>
            <w:r w:rsidR="00A03629" w:rsidRPr="00313B2D">
              <w:t xml:space="preserve"> </w:t>
            </w:r>
            <w:r w:rsidRPr="00313B2D">
              <w:t>on-costs</w:t>
            </w:r>
          </w:p>
        </w:tc>
        <w:tc>
          <w:tcPr>
            <w:tcW w:w="1639" w:type="dxa"/>
          </w:tcPr>
          <w:p w14:paraId="43EF583C" w14:textId="77777777" w:rsidR="000756EB" w:rsidRPr="00313B2D" w:rsidRDefault="000756EB" w:rsidP="00313B2D">
            <w:pPr>
              <w:pStyle w:val="TableHeading"/>
              <w:jc w:val="right"/>
            </w:pPr>
          </w:p>
        </w:tc>
        <w:tc>
          <w:tcPr>
            <w:tcW w:w="1640" w:type="dxa"/>
          </w:tcPr>
          <w:p w14:paraId="5018DAE0" w14:textId="77777777" w:rsidR="000756EB" w:rsidRPr="00313B2D" w:rsidRDefault="000756EB" w:rsidP="00313B2D">
            <w:pPr>
              <w:pStyle w:val="TableHeading"/>
              <w:jc w:val="right"/>
            </w:pPr>
          </w:p>
        </w:tc>
      </w:tr>
      <w:tr w:rsidR="000756EB" w:rsidRPr="00313B2D" w14:paraId="2C8516F3" w14:textId="77777777" w:rsidTr="007848B1">
        <w:trPr>
          <w:trHeight w:val="113"/>
        </w:trPr>
        <w:tc>
          <w:tcPr>
            <w:tcW w:w="6922" w:type="dxa"/>
          </w:tcPr>
          <w:p w14:paraId="4179F674" w14:textId="36E2BB1E" w:rsidR="000756EB" w:rsidRPr="00313B2D" w:rsidRDefault="004A4D88" w:rsidP="00313B2D">
            <w:pPr>
              <w:pStyle w:val="TableCopy"/>
            </w:pPr>
            <w:r w:rsidRPr="00313B2D">
              <w:t>–</w:t>
            </w:r>
            <w:r w:rsidR="00A03629" w:rsidRPr="00313B2D">
              <w:t xml:space="preserve"> </w:t>
            </w:r>
            <w:r w:rsidRPr="00313B2D">
              <w:t>Unconditional</w:t>
            </w:r>
            <w:r w:rsidR="00A03629" w:rsidRPr="00313B2D">
              <w:t xml:space="preserve"> </w:t>
            </w:r>
            <w:r w:rsidRPr="00313B2D">
              <w:t>and</w:t>
            </w:r>
            <w:r w:rsidR="00A03629" w:rsidRPr="00313B2D">
              <w:t xml:space="preserve"> </w:t>
            </w:r>
            <w:r w:rsidRPr="00313B2D">
              <w:t>expected</w:t>
            </w:r>
            <w:r w:rsidR="00A03629" w:rsidRPr="00313B2D">
              <w:t xml:space="preserve"> </w:t>
            </w:r>
            <w:r w:rsidRPr="00313B2D">
              <w:t>to</w:t>
            </w:r>
            <w:r w:rsidR="00A03629" w:rsidRPr="00313B2D">
              <w:t xml:space="preserve"> </w:t>
            </w:r>
            <w:r w:rsidRPr="00313B2D">
              <w:t>wholly</w:t>
            </w:r>
            <w:r w:rsidR="00A03629" w:rsidRPr="00313B2D">
              <w:t xml:space="preserve"> </w:t>
            </w:r>
            <w:r w:rsidRPr="00313B2D">
              <w:t>settle</w:t>
            </w:r>
            <w:r w:rsidR="00A03629" w:rsidRPr="00313B2D">
              <w:t xml:space="preserve"> </w:t>
            </w:r>
            <w:r w:rsidRPr="00313B2D">
              <w:t>within</w:t>
            </w:r>
            <w:r w:rsidR="00A03629" w:rsidRPr="00313B2D">
              <w:t xml:space="preserve"> </w:t>
            </w:r>
            <w:r w:rsidRPr="00313B2D">
              <w:t>12</w:t>
            </w:r>
            <w:r w:rsidR="00A03629" w:rsidRPr="00313B2D">
              <w:t xml:space="preserve"> </w:t>
            </w:r>
            <w:r w:rsidRPr="00313B2D">
              <w:t>months</w:t>
            </w:r>
          </w:p>
        </w:tc>
        <w:tc>
          <w:tcPr>
            <w:tcW w:w="1639" w:type="dxa"/>
          </w:tcPr>
          <w:p w14:paraId="7EF0A032" w14:textId="05FB7F6E" w:rsidR="000756EB" w:rsidRPr="00313B2D" w:rsidRDefault="004A4D88" w:rsidP="00313B2D">
            <w:pPr>
              <w:pStyle w:val="TableCopy"/>
              <w:jc w:val="right"/>
            </w:pPr>
            <w:r w:rsidRPr="00313B2D">
              <w:t>3,219</w:t>
            </w:r>
            <w:r w:rsidR="00A03629" w:rsidRPr="00313B2D">
              <w:t xml:space="preserve"> </w:t>
            </w:r>
          </w:p>
        </w:tc>
        <w:tc>
          <w:tcPr>
            <w:tcW w:w="1640" w:type="dxa"/>
          </w:tcPr>
          <w:p w14:paraId="703E991E" w14:textId="68A0D33B" w:rsidR="000756EB" w:rsidRPr="00313B2D" w:rsidRDefault="004A4D88" w:rsidP="00313B2D">
            <w:pPr>
              <w:pStyle w:val="TableCopy"/>
              <w:jc w:val="right"/>
            </w:pPr>
            <w:r w:rsidRPr="00313B2D">
              <w:t>5,383</w:t>
            </w:r>
            <w:r w:rsidR="00A03629" w:rsidRPr="00313B2D">
              <w:t xml:space="preserve"> </w:t>
            </w:r>
          </w:p>
        </w:tc>
      </w:tr>
      <w:tr w:rsidR="000756EB" w:rsidRPr="00313B2D" w14:paraId="037C7627" w14:textId="77777777" w:rsidTr="007848B1">
        <w:trPr>
          <w:trHeight w:val="113"/>
        </w:trPr>
        <w:tc>
          <w:tcPr>
            <w:tcW w:w="6922" w:type="dxa"/>
          </w:tcPr>
          <w:p w14:paraId="08CE3648" w14:textId="29192E08" w:rsidR="000756EB" w:rsidRPr="00313B2D" w:rsidRDefault="004A4D88" w:rsidP="00313B2D">
            <w:pPr>
              <w:pStyle w:val="TableCopy"/>
            </w:pPr>
            <w:r w:rsidRPr="00313B2D">
              <w:t>–</w:t>
            </w:r>
            <w:r w:rsidR="00A03629" w:rsidRPr="00313B2D">
              <w:t xml:space="preserve"> </w:t>
            </w:r>
            <w:r w:rsidRPr="00313B2D">
              <w:t>Unconditional</w:t>
            </w:r>
            <w:r w:rsidR="00A03629" w:rsidRPr="00313B2D">
              <w:t xml:space="preserve"> </w:t>
            </w:r>
            <w:r w:rsidRPr="00313B2D">
              <w:t>and</w:t>
            </w:r>
            <w:r w:rsidR="00A03629" w:rsidRPr="00313B2D">
              <w:t xml:space="preserve"> </w:t>
            </w:r>
            <w:r w:rsidRPr="00313B2D">
              <w:t>expected</w:t>
            </w:r>
            <w:r w:rsidR="00A03629" w:rsidRPr="00313B2D">
              <w:t xml:space="preserve"> </w:t>
            </w:r>
            <w:r w:rsidRPr="00313B2D">
              <w:t>to</w:t>
            </w:r>
            <w:r w:rsidR="00A03629" w:rsidRPr="00313B2D">
              <w:t xml:space="preserve"> </w:t>
            </w:r>
            <w:r w:rsidRPr="00313B2D">
              <w:t>wholly</w:t>
            </w:r>
            <w:r w:rsidR="00A03629" w:rsidRPr="00313B2D">
              <w:t xml:space="preserve"> </w:t>
            </w:r>
            <w:r w:rsidRPr="00313B2D">
              <w:t>settle</w:t>
            </w:r>
            <w:r w:rsidR="00A03629" w:rsidRPr="00313B2D">
              <w:t xml:space="preserve"> </w:t>
            </w:r>
            <w:r w:rsidRPr="00313B2D">
              <w:t>after</w:t>
            </w:r>
            <w:r w:rsidR="00A03629" w:rsidRPr="00313B2D">
              <w:t xml:space="preserve"> </w:t>
            </w:r>
            <w:r w:rsidRPr="00313B2D">
              <w:t>12</w:t>
            </w:r>
            <w:r w:rsidR="00A03629" w:rsidRPr="00313B2D">
              <w:t xml:space="preserve"> </w:t>
            </w:r>
            <w:r w:rsidRPr="00313B2D">
              <w:t>months</w:t>
            </w:r>
          </w:p>
        </w:tc>
        <w:tc>
          <w:tcPr>
            <w:tcW w:w="1639" w:type="dxa"/>
          </w:tcPr>
          <w:p w14:paraId="6A051F00" w14:textId="31C71692" w:rsidR="000756EB" w:rsidRPr="00313B2D" w:rsidRDefault="004A4D88" w:rsidP="00313B2D">
            <w:pPr>
              <w:pStyle w:val="TableCopy"/>
              <w:jc w:val="right"/>
            </w:pPr>
            <w:r w:rsidRPr="00313B2D">
              <w:t>5,865</w:t>
            </w:r>
            <w:r w:rsidR="00A03629" w:rsidRPr="00313B2D">
              <w:t xml:space="preserve"> </w:t>
            </w:r>
          </w:p>
        </w:tc>
        <w:tc>
          <w:tcPr>
            <w:tcW w:w="1640" w:type="dxa"/>
          </w:tcPr>
          <w:p w14:paraId="618341B4" w14:textId="165E5F4A" w:rsidR="000756EB" w:rsidRPr="00313B2D" w:rsidRDefault="004A4D88" w:rsidP="00313B2D">
            <w:pPr>
              <w:pStyle w:val="TableCopy"/>
              <w:jc w:val="right"/>
            </w:pPr>
            <w:r w:rsidRPr="00313B2D">
              <w:t>10,869</w:t>
            </w:r>
            <w:r w:rsidR="00A03629" w:rsidRPr="00313B2D">
              <w:t xml:space="preserve"> </w:t>
            </w:r>
          </w:p>
        </w:tc>
      </w:tr>
      <w:tr w:rsidR="000756EB" w:rsidRPr="00313B2D" w14:paraId="42962204" w14:textId="77777777" w:rsidTr="007848B1">
        <w:trPr>
          <w:trHeight w:val="113"/>
        </w:trPr>
        <w:tc>
          <w:tcPr>
            <w:tcW w:w="6922" w:type="dxa"/>
          </w:tcPr>
          <w:p w14:paraId="58CD6EE3" w14:textId="77777777" w:rsidR="000756EB" w:rsidRPr="00313B2D" w:rsidRDefault="000756EB" w:rsidP="00313B2D">
            <w:pPr>
              <w:pStyle w:val="TableCopy"/>
              <w:rPr>
                <w:b/>
                <w:bCs/>
              </w:rPr>
            </w:pPr>
          </w:p>
        </w:tc>
        <w:tc>
          <w:tcPr>
            <w:tcW w:w="1639" w:type="dxa"/>
          </w:tcPr>
          <w:p w14:paraId="5C23E78F" w14:textId="16D44129" w:rsidR="000756EB" w:rsidRPr="00313B2D" w:rsidRDefault="004A4D88" w:rsidP="00313B2D">
            <w:pPr>
              <w:pStyle w:val="TableCopy"/>
              <w:jc w:val="right"/>
              <w:rPr>
                <w:b/>
                <w:bCs/>
              </w:rPr>
            </w:pPr>
            <w:r w:rsidRPr="00313B2D">
              <w:rPr>
                <w:b/>
                <w:bCs/>
              </w:rPr>
              <w:t>9,085</w:t>
            </w:r>
            <w:r w:rsidR="00A03629" w:rsidRPr="00313B2D">
              <w:rPr>
                <w:b/>
                <w:bCs/>
              </w:rPr>
              <w:t xml:space="preserve"> </w:t>
            </w:r>
          </w:p>
        </w:tc>
        <w:tc>
          <w:tcPr>
            <w:tcW w:w="1640" w:type="dxa"/>
          </w:tcPr>
          <w:p w14:paraId="687744C5" w14:textId="5BB8F9EB" w:rsidR="000756EB" w:rsidRPr="00313B2D" w:rsidRDefault="004A4D88" w:rsidP="00313B2D">
            <w:pPr>
              <w:pStyle w:val="TableCopy"/>
              <w:jc w:val="right"/>
              <w:rPr>
                <w:b/>
                <w:bCs/>
              </w:rPr>
            </w:pPr>
            <w:r w:rsidRPr="00313B2D">
              <w:rPr>
                <w:b/>
                <w:bCs/>
              </w:rPr>
              <w:t>16,252</w:t>
            </w:r>
            <w:r w:rsidR="00A03629" w:rsidRPr="00313B2D">
              <w:rPr>
                <w:b/>
                <w:bCs/>
              </w:rPr>
              <w:t xml:space="preserve"> </w:t>
            </w:r>
          </w:p>
        </w:tc>
      </w:tr>
      <w:tr w:rsidR="000756EB" w:rsidRPr="00313B2D" w14:paraId="4C2D0BA2" w14:textId="77777777" w:rsidTr="007848B1">
        <w:trPr>
          <w:trHeight w:val="113"/>
        </w:trPr>
        <w:tc>
          <w:tcPr>
            <w:tcW w:w="6922" w:type="dxa"/>
          </w:tcPr>
          <w:p w14:paraId="14A3D53D" w14:textId="6FA8B0B7" w:rsidR="000756EB" w:rsidRPr="00313B2D" w:rsidRDefault="004A4D88" w:rsidP="00313B2D">
            <w:pPr>
              <w:pStyle w:val="TableCopy"/>
              <w:rPr>
                <w:b/>
                <w:bCs/>
              </w:rPr>
            </w:pPr>
            <w:r w:rsidRPr="00313B2D">
              <w:rPr>
                <w:b/>
                <w:bCs/>
              </w:rPr>
              <w:t>Total</w:t>
            </w:r>
            <w:r w:rsidR="00A03629" w:rsidRPr="00313B2D">
              <w:rPr>
                <w:b/>
                <w:bCs/>
              </w:rPr>
              <w:t xml:space="preserve"> </w:t>
            </w:r>
            <w:r w:rsidRPr="00313B2D">
              <w:rPr>
                <w:b/>
                <w:bCs/>
              </w:rPr>
              <w:t>current</w:t>
            </w:r>
            <w:r w:rsidR="00A03629" w:rsidRPr="00313B2D">
              <w:rPr>
                <w:b/>
                <w:bCs/>
              </w:rPr>
              <w:t xml:space="preserve"> </w:t>
            </w:r>
            <w:r w:rsidRPr="00313B2D">
              <w:rPr>
                <w:b/>
                <w:bCs/>
              </w:rPr>
              <w:t>provisions</w:t>
            </w:r>
          </w:p>
        </w:tc>
        <w:tc>
          <w:tcPr>
            <w:tcW w:w="1639" w:type="dxa"/>
          </w:tcPr>
          <w:p w14:paraId="6C383A35" w14:textId="7F03EE86" w:rsidR="000756EB" w:rsidRPr="00313B2D" w:rsidRDefault="004A4D88" w:rsidP="00313B2D">
            <w:pPr>
              <w:pStyle w:val="TableCopy"/>
              <w:jc w:val="right"/>
              <w:rPr>
                <w:b/>
                <w:bCs/>
              </w:rPr>
            </w:pPr>
            <w:r w:rsidRPr="00313B2D">
              <w:rPr>
                <w:b/>
                <w:bCs/>
              </w:rPr>
              <w:t>64,166</w:t>
            </w:r>
            <w:r w:rsidR="00A03629" w:rsidRPr="00313B2D">
              <w:rPr>
                <w:b/>
                <w:bCs/>
              </w:rPr>
              <w:t xml:space="preserve"> </w:t>
            </w:r>
          </w:p>
        </w:tc>
        <w:tc>
          <w:tcPr>
            <w:tcW w:w="1640" w:type="dxa"/>
          </w:tcPr>
          <w:p w14:paraId="441DF42C" w14:textId="11307ADA" w:rsidR="000756EB" w:rsidRPr="00313B2D" w:rsidRDefault="004A4D88" w:rsidP="00313B2D">
            <w:pPr>
              <w:pStyle w:val="TableCopy"/>
              <w:jc w:val="right"/>
              <w:rPr>
                <w:b/>
                <w:bCs/>
              </w:rPr>
            </w:pPr>
            <w:r w:rsidRPr="00313B2D">
              <w:rPr>
                <w:b/>
                <w:bCs/>
              </w:rPr>
              <w:t>118,528</w:t>
            </w:r>
            <w:r w:rsidR="00A03629" w:rsidRPr="00313B2D">
              <w:rPr>
                <w:b/>
                <w:bCs/>
              </w:rPr>
              <w:t xml:space="preserve"> </w:t>
            </w:r>
          </w:p>
        </w:tc>
      </w:tr>
      <w:tr w:rsidR="000756EB" w:rsidRPr="00313B2D" w14:paraId="5B5B7AA5" w14:textId="77777777" w:rsidTr="007848B1">
        <w:trPr>
          <w:trHeight w:val="113"/>
        </w:trPr>
        <w:tc>
          <w:tcPr>
            <w:tcW w:w="6922" w:type="dxa"/>
          </w:tcPr>
          <w:p w14:paraId="772422E9" w14:textId="045BB7CF" w:rsidR="000756EB" w:rsidRPr="00313B2D" w:rsidRDefault="004A4D88" w:rsidP="00313B2D">
            <w:pPr>
              <w:pStyle w:val="TableHeading"/>
            </w:pPr>
            <w:r w:rsidRPr="00313B2D">
              <w:t>Non-current</w:t>
            </w:r>
            <w:r w:rsidR="00A03629" w:rsidRPr="00313B2D">
              <w:t xml:space="preserve"> </w:t>
            </w:r>
            <w:r w:rsidRPr="00313B2D">
              <w:t>provisions</w:t>
            </w:r>
          </w:p>
        </w:tc>
        <w:tc>
          <w:tcPr>
            <w:tcW w:w="1639" w:type="dxa"/>
          </w:tcPr>
          <w:p w14:paraId="405C3569" w14:textId="77777777" w:rsidR="000756EB" w:rsidRPr="00313B2D" w:rsidRDefault="000756EB" w:rsidP="00313B2D">
            <w:pPr>
              <w:pStyle w:val="TableHeading"/>
              <w:jc w:val="right"/>
            </w:pPr>
          </w:p>
        </w:tc>
        <w:tc>
          <w:tcPr>
            <w:tcW w:w="1640" w:type="dxa"/>
          </w:tcPr>
          <w:p w14:paraId="2C79E539" w14:textId="77777777" w:rsidR="000756EB" w:rsidRPr="00313B2D" w:rsidRDefault="000756EB" w:rsidP="00313B2D">
            <w:pPr>
              <w:pStyle w:val="TableHeading"/>
              <w:jc w:val="right"/>
            </w:pPr>
          </w:p>
        </w:tc>
      </w:tr>
      <w:tr w:rsidR="000756EB" w:rsidRPr="00313B2D" w14:paraId="5B36B486" w14:textId="77777777" w:rsidTr="007848B1">
        <w:trPr>
          <w:trHeight w:val="113"/>
        </w:trPr>
        <w:tc>
          <w:tcPr>
            <w:tcW w:w="6922" w:type="dxa"/>
          </w:tcPr>
          <w:p w14:paraId="5F7CFBF5" w14:textId="63A090B0" w:rsidR="000756EB" w:rsidRPr="00313B2D" w:rsidRDefault="004A4D88" w:rsidP="00313B2D">
            <w:pPr>
              <w:pStyle w:val="TableCopy"/>
            </w:pPr>
            <w:r w:rsidRPr="00313B2D">
              <w:t>Employee</w:t>
            </w:r>
            <w:r w:rsidR="00A03629" w:rsidRPr="00313B2D">
              <w:t xml:space="preserve"> </w:t>
            </w:r>
            <w:r w:rsidRPr="00313B2D">
              <w:t>benefits</w:t>
            </w:r>
            <w:r w:rsidR="00A03629" w:rsidRPr="00313B2D">
              <w:t xml:space="preserve"> </w:t>
            </w:r>
            <w:r w:rsidRPr="00313B2D">
              <w:t>–</w:t>
            </w:r>
            <w:r w:rsidR="00A03629" w:rsidRPr="00313B2D">
              <w:t xml:space="preserve"> </w:t>
            </w:r>
            <w:r w:rsidRPr="00313B2D">
              <w:t>long</w:t>
            </w:r>
            <w:r w:rsidR="00A03629" w:rsidRPr="00313B2D">
              <w:t xml:space="preserve"> </w:t>
            </w:r>
            <w:r w:rsidRPr="00313B2D">
              <w:t>service</w:t>
            </w:r>
            <w:r w:rsidR="00A03629" w:rsidRPr="00313B2D">
              <w:t xml:space="preserve"> </w:t>
            </w:r>
            <w:r w:rsidRPr="00313B2D">
              <w:t>leave</w:t>
            </w:r>
          </w:p>
        </w:tc>
        <w:tc>
          <w:tcPr>
            <w:tcW w:w="1639" w:type="dxa"/>
          </w:tcPr>
          <w:p w14:paraId="58DAD50C" w14:textId="03C7A957" w:rsidR="000756EB" w:rsidRPr="00313B2D" w:rsidRDefault="004A4D88" w:rsidP="00313B2D">
            <w:pPr>
              <w:pStyle w:val="TableCopy"/>
              <w:jc w:val="right"/>
            </w:pPr>
            <w:r w:rsidRPr="00313B2D">
              <w:t>13,451</w:t>
            </w:r>
            <w:r w:rsidR="00A03629" w:rsidRPr="00313B2D">
              <w:t xml:space="preserve"> </w:t>
            </w:r>
          </w:p>
        </w:tc>
        <w:tc>
          <w:tcPr>
            <w:tcW w:w="1640" w:type="dxa"/>
          </w:tcPr>
          <w:p w14:paraId="5E2C0E8A" w14:textId="3CC98840" w:rsidR="000756EB" w:rsidRPr="00313B2D" w:rsidRDefault="004A4D88" w:rsidP="00313B2D">
            <w:pPr>
              <w:pStyle w:val="TableCopy"/>
              <w:jc w:val="right"/>
            </w:pPr>
            <w:r w:rsidRPr="00313B2D">
              <w:t>14,280</w:t>
            </w:r>
            <w:r w:rsidR="00A03629" w:rsidRPr="00313B2D">
              <w:t xml:space="preserve"> </w:t>
            </w:r>
          </w:p>
        </w:tc>
      </w:tr>
      <w:tr w:rsidR="000756EB" w:rsidRPr="00313B2D" w14:paraId="7037B00C" w14:textId="77777777" w:rsidTr="007848B1">
        <w:trPr>
          <w:trHeight w:val="113"/>
        </w:trPr>
        <w:tc>
          <w:tcPr>
            <w:tcW w:w="6922" w:type="dxa"/>
          </w:tcPr>
          <w:p w14:paraId="5CB86433" w14:textId="651739E5" w:rsidR="000756EB" w:rsidRPr="00313B2D" w:rsidRDefault="004A4D88" w:rsidP="00313B2D">
            <w:pPr>
              <w:pStyle w:val="TableCopy"/>
            </w:pPr>
            <w:r w:rsidRPr="00313B2D">
              <w:t>Provisions</w:t>
            </w:r>
            <w:r w:rsidR="00A03629" w:rsidRPr="00313B2D">
              <w:t xml:space="preserve"> </w:t>
            </w:r>
            <w:r w:rsidRPr="00313B2D">
              <w:t>for</w:t>
            </w:r>
            <w:r w:rsidR="00A03629" w:rsidRPr="00313B2D">
              <w:t xml:space="preserve"> </w:t>
            </w:r>
            <w:r w:rsidRPr="00313B2D">
              <w:t>on-costs</w:t>
            </w:r>
          </w:p>
        </w:tc>
        <w:tc>
          <w:tcPr>
            <w:tcW w:w="1639" w:type="dxa"/>
          </w:tcPr>
          <w:p w14:paraId="28E8EB78" w14:textId="0A58BCC0" w:rsidR="000756EB" w:rsidRPr="00313B2D" w:rsidRDefault="004A4D88" w:rsidP="00313B2D">
            <w:pPr>
              <w:pStyle w:val="TableCopy"/>
              <w:jc w:val="right"/>
            </w:pPr>
            <w:r w:rsidRPr="00313B2D">
              <w:t>2,198</w:t>
            </w:r>
            <w:r w:rsidR="00A03629" w:rsidRPr="00313B2D">
              <w:t xml:space="preserve"> </w:t>
            </w:r>
          </w:p>
        </w:tc>
        <w:tc>
          <w:tcPr>
            <w:tcW w:w="1640" w:type="dxa"/>
          </w:tcPr>
          <w:p w14:paraId="0A9E2680" w14:textId="07045A36" w:rsidR="000756EB" w:rsidRPr="00313B2D" w:rsidRDefault="004A4D88" w:rsidP="00313B2D">
            <w:pPr>
              <w:pStyle w:val="TableCopy"/>
              <w:jc w:val="right"/>
            </w:pPr>
            <w:r w:rsidRPr="00313B2D">
              <w:t>2,251</w:t>
            </w:r>
            <w:r w:rsidR="00A03629" w:rsidRPr="00313B2D">
              <w:t xml:space="preserve"> </w:t>
            </w:r>
          </w:p>
        </w:tc>
      </w:tr>
      <w:tr w:rsidR="000756EB" w:rsidRPr="00313B2D" w14:paraId="06BFD110" w14:textId="77777777" w:rsidTr="007848B1">
        <w:trPr>
          <w:trHeight w:val="113"/>
        </w:trPr>
        <w:tc>
          <w:tcPr>
            <w:tcW w:w="6922" w:type="dxa"/>
          </w:tcPr>
          <w:p w14:paraId="2369BB5D" w14:textId="3AA51261" w:rsidR="000756EB" w:rsidRPr="00313B2D" w:rsidRDefault="004A4D88" w:rsidP="00313B2D">
            <w:pPr>
              <w:pStyle w:val="TableCopy"/>
              <w:rPr>
                <w:b/>
                <w:bCs/>
              </w:rPr>
            </w:pPr>
            <w:r w:rsidRPr="00313B2D">
              <w:rPr>
                <w:b/>
                <w:bCs/>
              </w:rPr>
              <w:t>Total</w:t>
            </w:r>
            <w:r w:rsidR="00A03629" w:rsidRPr="00313B2D">
              <w:rPr>
                <w:b/>
                <w:bCs/>
              </w:rPr>
              <w:t xml:space="preserve"> </w:t>
            </w:r>
            <w:r w:rsidRPr="00313B2D">
              <w:rPr>
                <w:b/>
                <w:bCs/>
              </w:rPr>
              <w:t>non-current</w:t>
            </w:r>
            <w:r w:rsidR="00A03629" w:rsidRPr="00313B2D">
              <w:rPr>
                <w:b/>
                <w:bCs/>
              </w:rPr>
              <w:t xml:space="preserve"> </w:t>
            </w:r>
            <w:r w:rsidRPr="00313B2D">
              <w:rPr>
                <w:b/>
                <w:bCs/>
              </w:rPr>
              <w:t>provisions</w:t>
            </w:r>
          </w:p>
        </w:tc>
        <w:tc>
          <w:tcPr>
            <w:tcW w:w="1639" w:type="dxa"/>
          </w:tcPr>
          <w:p w14:paraId="2A45B421" w14:textId="5B1E7B02" w:rsidR="000756EB" w:rsidRPr="00313B2D" w:rsidRDefault="004A4D88" w:rsidP="00313B2D">
            <w:pPr>
              <w:pStyle w:val="TableCopy"/>
              <w:jc w:val="right"/>
              <w:rPr>
                <w:b/>
                <w:bCs/>
              </w:rPr>
            </w:pPr>
            <w:r w:rsidRPr="00313B2D">
              <w:rPr>
                <w:b/>
                <w:bCs/>
              </w:rPr>
              <w:t>15,649</w:t>
            </w:r>
            <w:r w:rsidR="00A03629" w:rsidRPr="00313B2D">
              <w:rPr>
                <w:b/>
                <w:bCs/>
              </w:rPr>
              <w:t xml:space="preserve"> </w:t>
            </w:r>
          </w:p>
        </w:tc>
        <w:tc>
          <w:tcPr>
            <w:tcW w:w="1640" w:type="dxa"/>
          </w:tcPr>
          <w:p w14:paraId="4F1C2B8E" w14:textId="3442223A" w:rsidR="000756EB" w:rsidRPr="00313B2D" w:rsidRDefault="004A4D88" w:rsidP="00313B2D">
            <w:pPr>
              <w:pStyle w:val="TableCopy"/>
              <w:jc w:val="right"/>
              <w:rPr>
                <w:b/>
                <w:bCs/>
              </w:rPr>
            </w:pPr>
            <w:r w:rsidRPr="00313B2D">
              <w:rPr>
                <w:b/>
                <w:bCs/>
              </w:rPr>
              <w:t>16,531</w:t>
            </w:r>
            <w:r w:rsidR="00A03629" w:rsidRPr="00313B2D">
              <w:rPr>
                <w:b/>
                <w:bCs/>
              </w:rPr>
              <w:t xml:space="preserve"> </w:t>
            </w:r>
          </w:p>
        </w:tc>
      </w:tr>
      <w:tr w:rsidR="000756EB" w:rsidRPr="00313B2D" w14:paraId="04E7069B" w14:textId="77777777" w:rsidTr="007848B1">
        <w:trPr>
          <w:trHeight w:val="113"/>
        </w:trPr>
        <w:tc>
          <w:tcPr>
            <w:tcW w:w="6922" w:type="dxa"/>
          </w:tcPr>
          <w:p w14:paraId="07C40A90" w14:textId="38010CF6" w:rsidR="000756EB" w:rsidRPr="00313B2D" w:rsidRDefault="004A4D88" w:rsidP="00313B2D">
            <w:pPr>
              <w:pStyle w:val="TableCopy"/>
              <w:rPr>
                <w:b/>
                <w:bCs/>
              </w:rPr>
            </w:pPr>
            <w:r w:rsidRPr="00313B2D">
              <w:rPr>
                <w:b/>
                <w:bCs/>
              </w:rPr>
              <w:t>Total</w:t>
            </w:r>
            <w:r w:rsidR="00A03629" w:rsidRPr="00313B2D">
              <w:rPr>
                <w:b/>
                <w:bCs/>
              </w:rPr>
              <w:t xml:space="preserve"> </w:t>
            </w:r>
            <w:r w:rsidRPr="00313B2D">
              <w:rPr>
                <w:b/>
                <w:bCs/>
              </w:rPr>
              <w:t>provisions</w:t>
            </w:r>
            <w:r w:rsidR="00A03629" w:rsidRPr="00313B2D">
              <w:rPr>
                <w:b/>
                <w:bCs/>
              </w:rPr>
              <w:t xml:space="preserve"> </w:t>
            </w:r>
            <w:r w:rsidRPr="00313B2D">
              <w:rPr>
                <w:b/>
                <w:bCs/>
              </w:rPr>
              <w:t>for</w:t>
            </w:r>
            <w:r w:rsidR="00A03629" w:rsidRPr="00313B2D">
              <w:rPr>
                <w:b/>
                <w:bCs/>
              </w:rPr>
              <w:t xml:space="preserve"> </w:t>
            </w:r>
            <w:r w:rsidRPr="00313B2D">
              <w:rPr>
                <w:b/>
                <w:bCs/>
              </w:rPr>
              <w:t>employee</w:t>
            </w:r>
            <w:r w:rsidR="00A03629" w:rsidRPr="00313B2D">
              <w:rPr>
                <w:b/>
                <w:bCs/>
              </w:rPr>
              <w:t xml:space="preserve"> </w:t>
            </w:r>
            <w:r w:rsidRPr="00313B2D">
              <w:rPr>
                <w:b/>
                <w:bCs/>
              </w:rPr>
              <w:t>benefits</w:t>
            </w:r>
            <w:r w:rsidR="00A03629" w:rsidRPr="00313B2D">
              <w:rPr>
                <w:b/>
                <w:bCs/>
              </w:rPr>
              <w:t xml:space="preserve"> </w:t>
            </w:r>
            <w:r w:rsidRPr="00313B2D">
              <w:rPr>
                <w:b/>
                <w:bCs/>
              </w:rPr>
              <w:t>(</w:t>
            </w:r>
            <w:proofErr w:type="spellStart"/>
            <w:r w:rsidRPr="00313B2D">
              <w:rPr>
                <w:b/>
                <w:bCs/>
              </w:rPr>
              <w:t>i</w:t>
            </w:r>
            <w:proofErr w:type="spellEnd"/>
            <w:r w:rsidRPr="00313B2D">
              <w:rPr>
                <w:b/>
                <w:bCs/>
              </w:rPr>
              <w:t>)</w:t>
            </w:r>
          </w:p>
        </w:tc>
        <w:tc>
          <w:tcPr>
            <w:tcW w:w="1639" w:type="dxa"/>
          </w:tcPr>
          <w:p w14:paraId="06D5EF30" w14:textId="113BBB93" w:rsidR="000756EB" w:rsidRPr="00313B2D" w:rsidRDefault="004A4D88" w:rsidP="00313B2D">
            <w:pPr>
              <w:pStyle w:val="TableCopy"/>
              <w:jc w:val="right"/>
              <w:rPr>
                <w:b/>
                <w:bCs/>
              </w:rPr>
            </w:pPr>
            <w:r w:rsidRPr="00313B2D">
              <w:rPr>
                <w:b/>
                <w:bCs/>
              </w:rPr>
              <w:t>79,815</w:t>
            </w:r>
            <w:r w:rsidR="00A03629" w:rsidRPr="00313B2D">
              <w:rPr>
                <w:b/>
                <w:bCs/>
              </w:rPr>
              <w:t xml:space="preserve"> </w:t>
            </w:r>
          </w:p>
        </w:tc>
        <w:tc>
          <w:tcPr>
            <w:tcW w:w="1640" w:type="dxa"/>
          </w:tcPr>
          <w:p w14:paraId="5845B2BE" w14:textId="44BBCA24" w:rsidR="000756EB" w:rsidRPr="00313B2D" w:rsidRDefault="004A4D88" w:rsidP="00313B2D">
            <w:pPr>
              <w:pStyle w:val="TableCopy"/>
              <w:jc w:val="right"/>
              <w:rPr>
                <w:b/>
                <w:bCs/>
              </w:rPr>
            </w:pPr>
            <w:r w:rsidRPr="00313B2D">
              <w:rPr>
                <w:b/>
                <w:bCs/>
              </w:rPr>
              <w:t>135,059</w:t>
            </w:r>
            <w:r w:rsidR="00A03629" w:rsidRPr="00313B2D">
              <w:rPr>
                <w:b/>
                <w:bCs/>
              </w:rPr>
              <w:t xml:space="preserve"> </w:t>
            </w:r>
          </w:p>
        </w:tc>
      </w:tr>
    </w:tbl>
    <w:p w14:paraId="57248E46" w14:textId="7F5561DF" w:rsidR="000756EB" w:rsidRDefault="00313B2D" w:rsidP="00313B2D">
      <w:pPr>
        <w:pStyle w:val="FootnoteText"/>
        <w:spacing w:before="120" w:after="200"/>
      </w:pPr>
      <w:r w:rsidRPr="00313B2D">
        <w:t>(</w:t>
      </w:r>
      <w:proofErr w:type="spellStart"/>
      <w:r w:rsidRPr="00313B2D">
        <w:t>i</w:t>
      </w:r>
      <w:proofErr w:type="spellEnd"/>
      <w:r w:rsidRPr="00313B2D">
        <w:t>)</w:t>
      </w:r>
      <w:r>
        <w:t xml:space="preserve"> </w:t>
      </w:r>
      <w:r w:rsidRPr="00313B2D">
        <w:t xml:space="preserve">The provisions for employee benefits disclosed in 2022–23 and 2021–22 </w:t>
      </w:r>
      <w:proofErr w:type="gramStart"/>
      <w:r w:rsidRPr="00313B2D">
        <w:t>are</w:t>
      </w:r>
      <w:proofErr w:type="gramEnd"/>
      <w:r w:rsidRPr="00313B2D">
        <w:t xml:space="preserve"> not directly comparable due to the machinery of government changes effective 1 January 2023.</w:t>
      </w:r>
    </w:p>
    <w:p w14:paraId="30730818" w14:textId="647DBB65" w:rsidR="000756EB" w:rsidRDefault="004A4D88" w:rsidP="00313B2D">
      <w:r>
        <w:t>Wages</w:t>
      </w:r>
      <w:r w:rsidR="00A03629">
        <w:t xml:space="preserve"> </w:t>
      </w:r>
      <w:r>
        <w:t>and</w:t>
      </w:r>
      <w:r w:rsidR="00A03629">
        <w:t xml:space="preserve"> </w:t>
      </w:r>
      <w:r>
        <w:t>salaries,</w:t>
      </w:r>
      <w:r w:rsidR="00A03629">
        <w:t xml:space="preserve"> </w:t>
      </w:r>
      <w:r>
        <w:t>annual</w:t>
      </w:r>
      <w:r w:rsidR="00A03629">
        <w:t xml:space="preserve"> </w:t>
      </w:r>
      <w:proofErr w:type="gramStart"/>
      <w:r>
        <w:t>leave</w:t>
      </w:r>
      <w:proofErr w:type="gramEnd"/>
      <w:r w:rsidR="00A03629">
        <w:t xml:space="preserve"> </w:t>
      </w:r>
      <w:r>
        <w:t>and</w:t>
      </w:r>
      <w:r w:rsidR="00A03629">
        <w:t xml:space="preserve"> </w:t>
      </w:r>
      <w:r>
        <w:t>sick</w:t>
      </w:r>
      <w:r w:rsidR="00A03629">
        <w:t xml:space="preserve"> </w:t>
      </w:r>
      <w:r>
        <w:t>leave:</w:t>
      </w:r>
      <w:r w:rsidR="00A03629">
        <w:t xml:space="preserve"> </w:t>
      </w:r>
      <w:r>
        <w:t>Liabilities</w:t>
      </w:r>
      <w:r w:rsidR="00A03629">
        <w:t xml:space="preserve"> </w:t>
      </w:r>
      <w:r>
        <w:t>for</w:t>
      </w:r>
      <w:r w:rsidR="00A03629">
        <w:t xml:space="preserve"> </w:t>
      </w:r>
      <w:r>
        <w:t>wages</w:t>
      </w:r>
      <w:r w:rsidR="00A03629">
        <w:t xml:space="preserve"> </w:t>
      </w:r>
      <w:r>
        <w:t>and</w:t>
      </w:r>
      <w:r w:rsidR="00A03629">
        <w:t xml:space="preserve"> </w:t>
      </w:r>
      <w:r>
        <w:t>salaries</w:t>
      </w:r>
      <w:r w:rsidR="00A03629">
        <w:t xml:space="preserve"> </w:t>
      </w:r>
      <w:r>
        <w:t>(including</w:t>
      </w:r>
      <w:r w:rsidR="00A03629">
        <w:t xml:space="preserve"> </w:t>
      </w:r>
      <w:r>
        <w:t>non-monetary</w:t>
      </w:r>
      <w:r w:rsidR="00A03629">
        <w:t xml:space="preserve"> </w:t>
      </w:r>
      <w:r>
        <w:t>benefits,</w:t>
      </w:r>
      <w:r w:rsidR="00A03629">
        <w:t xml:space="preserve"> </w:t>
      </w:r>
      <w:r>
        <w:t>annual</w:t>
      </w:r>
      <w:r w:rsidR="00A03629">
        <w:t xml:space="preserve"> </w:t>
      </w:r>
      <w:r>
        <w:t>leave</w:t>
      </w:r>
      <w:r w:rsidR="00A03629">
        <w:t xml:space="preserve"> </w:t>
      </w:r>
      <w:r>
        <w:t>and</w:t>
      </w:r>
      <w:r w:rsidR="00A03629">
        <w:t xml:space="preserve"> </w:t>
      </w:r>
      <w:r>
        <w:t>on-costs)</w:t>
      </w:r>
      <w:r w:rsidR="00A03629">
        <w:t xml:space="preserve"> </w:t>
      </w:r>
      <w:r>
        <w:t>are</w:t>
      </w:r>
      <w:r w:rsidR="00A03629">
        <w:t xml:space="preserve"> </w:t>
      </w:r>
      <w:r>
        <w:t>recognised</w:t>
      </w:r>
      <w:r w:rsidR="00A03629">
        <w:t xml:space="preserve"> </w:t>
      </w:r>
      <w:r>
        <w:t>as</w:t>
      </w:r>
      <w:r w:rsidR="00A03629">
        <w:t xml:space="preserve"> </w:t>
      </w:r>
      <w:r>
        <w:t>part</w:t>
      </w:r>
      <w:r w:rsidR="00A03629">
        <w:t xml:space="preserve"> </w:t>
      </w:r>
      <w:r>
        <w:t>of</w:t>
      </w:r>
      <w:r w:rsidR="00A03629">
        <w:t xml:space="preserve"> </w:t>
      </w:r>
      <w:r>
        <w:t>the</w:t>
      </w:r>
      <w:r w:rsidR="00A03629">
        <w:t xml:space="preserve"> </w:t>
      </w:r>
      <w:r>
        <w:t>employee</w:t>
      </w:r>
      <w:r w:rsidR="00A03629">
        <w:t xml:space="preserve"> </w:t>
      </w:r>
      <w:r>
        <w:t>benefit</w:t>
      </w:r>
      <w:r w:rsidR="00A03629">
        <w:t xml:space="preserve"> </w:t>
      </w:r>
      <w:r>
        <w:t>provision</w:t>
      </w:r>
      <w:r w:rsidR="00A03629">
        <w:t xml:space="preserve"> </w:t>
      </w:r>
      <w:r>
        <w:t>as</w:t>
      </w:r>
      <w:r w:rsidR="00A03629">
        <w:t xml:space="preserve"> </w:t>
      </w:r>
      <w:r>
        <w:t>current</w:t>
      </w:r>
      <w:r w:rsidR="00A03629">
        <w:t xml:space="preserve"> </w:t>
      </w:r>
      <w:r>
        <w:t>liabilities,</w:t>
      </w:r>
      <w:r w:rsidR="00A03629">
        <w:t xml:space="preserve"> </w:t>
      </w:r>
      <w:r>
        <w:t>because</w:t>
      </w:r>
      <w:r w:rsidR="00A03629">
        <w:t xml:space="preserve"> </w:t>
      </w:r>
      <w:r>
        <w:t>DJSIR</w:t>
      </w:r>
      <w:r w:rsidR="00A03629">
        <w:t xml:space="preserve"> </w:t>
      </w:r>
      <w:r>
        <w:t>does</w:t>
      </w:r>
      <w:r w:rsidR="00A03629">
        <w:t xml:space="preserve"> </w:t>
      </w:r>
      <w:r>
        <w:t>not</w:t>
      </w:r>
      <w:r w:rsidR="00A03629">
        <w:t xml:space="preserve"> </w:t>
      </w:r>
      <w:r>
        <w:t>have</w:t>
      </w:r>
      <w:r w:rsidR="00A03629">
        <w:t xml:space="preserve"> </w:t>
      </w:r>
      <w:r>
        <w:t>an</w:t>
      </w:r>
      <w:r w:rsidR="00A03629">
        <w:t xml:space="preserve"> </w:t>
      </w:r>
      <w:r>
        <w:t>unconditional</w:t>
      </w:r>
      <w:r w:rsidR="00A03629">
        <w:t xml:space="preserve"> </w:t>
      </w:r>
      <w:r>
        <w:t>right</w:t>
      </w:r>
      <w:r w:rsidR="00A03629">
        <w:t xml:space="preserve"> </w:t>
      </w:r>
      <w:r>
        <w:t>to</w:t>
      </w:r>
      <w:r w:rsidR="00A03629">
        <w:t xml:space="preserve"> </w:t>
      </w:r>
      <w:r>
        <w:t>defer</w:t>
      </w:r>
      <w:r w:rsidR="00A03629">
        <w:t xml:space="preserve"> </w:t>
      </w:r>
      <w:r>
        <w:t>settlements</w:t>
      </w:r>
      <w:r w:rsidR="00A03629">
        <w:t xml:space="preserve"> </w:t>
      </w:r>
      <w:r>
        <w:t>of</w:t>
      </w:r>
      <w:r w:rsidR="00A03629">
        <w:t xml:space="preserve"> </w:t>
      </w:r>
      <w:r>
        <w:t>these</w:t>
      </w:r>
      <w:r w:rsidR="00A03629">
        <w:t xml:space="preserve"> </w:t>
      </w:r>
      <w:r>
        <w:t>liabilities.</w:t>
      </w:r>
    </w:p>
    <w:p w14:paraId="480A5370" w14:textId="4632619D" w:rsidR="000756EB" w:rsidRDefault="004A4D88" w:rsidP="00313B2D">
      <w:r>
        <w:t>The</w:t>
      </w:r>
      <w:r w:rsidR="00A03629">
        <w:t xml:space="preserve"> </w:t>
      </w:r>
      <w:r>
        <w:t>liability</w:t>
      </w:r>
      <w:r w:rsidR="00A03629">
        <w:t xml:space="preserve"> </w:t>
      </w:r>
      <w:r>
        <w:t>for</w:t>
      </w:r>
      <w:r w:rsidR="00A03629">
        <w:t xml:space="preserve"> </w:t>
      </w:r>
      <w:r>
        <w:t>salaries</w:t>
      </w:r>
      <w:r w:rsidR="00A03629">
        <w:t xml:space="preserve"> </w:t>
      </w:r>
      <w:r>
        <w:t>and</w:t>
      </w:r>
      <w:r w:rsidR="00A03629">
        <w:t xml:space="preserve"> </w:t>
      </w:r>
      <w:r>
        <w:t>wages</w:t>
      </w:r>
      <w:r w:rsidR="00A03629">
        <w:t xml:space="preserve"> </w:t>
      </w:r>
      <w:r>
        <w:t>are</w:t>
      </w:r>
      <w:r w:rsidR="00A03629">
        <w:t xml:space="preserve"> </w:t>
      </w:r>
      <w:r>
        <w:t>recognised</w:t>
      </w:r>
      <w:r w:rsidR="00A03629">
        <w:t xml:space="preserve"> </w:t>
      </w:r>
      <w:r>
        <w:t>in</w:t>
      </w:r>
      <w:r w:rsidR="00A03629">
        <w:t xml:space="preserve"> </w:t>
      </w:r>
      <w:r>
        <w:t>the</w:t>
      </w:r>
      <w:r w:rsidR="00A03629">
        <w:t xml:space="preserve"> </w:t>
      </w:r>
      <w:r>
        <w:t>balance</w:t>
      </w:r>
      <w:r w:rsidR="00A03629">
        <w:t xml:space="preserve"> </w:t>
      </w:r>
      <w:r>
        <w:t>sheet</w:t>
      </w:r>
      <w:r w:rsidR="00A03629">
        <w:t xml:space="preserve"> </w:t>
      </w:r>
      <w:r>
        <w:t>at</w:t>
      </w:r>
      <w:r w:rsidR="00A03629">
        <w:t xml:space="preserve"> </w:t>
      </w:r>
      <w:r>
        <w:t>remuneration</w:t>
      </w:r>
      <w:r w:rsidR="00A03629">
        <w:t xml:space="preserve"> </w:t>
      </w:r>
      <w:r>
        <w:t>rates</w:t>
      </w:r>
      <w:r w:rsidR="00A03629">
        <w:t xml:space="preserve"> </w:t>
      </w:r>
      <w:r>
        <w:t>which</w:t>
      </w:r>
      <w:r w:rsidR="00A03629">
        <w:t xml:space="preserve"> </w:t>
      </w:r>
      <w:r>
        <w:t>are</w:t>
      </w:r>
      <w:r w:rsidR="00A03629">
        <w:t xml:space="preserve"> </w:t>
      </w:r>
      <w:r>
        <w:t>current</w:t>
      </w:r>
      <w:r w:rsidR="00A03629">
        <w:t xml:space="preserve"> </w:t>
      </w:r>
      <w:r>
        <w:t>at</w:t>
      </w:r>
      <w:r w:rsidR="00A03629">
        <w:t xml:space="preserve"> </w:t>
      </w:r>
      <w:r>
        <w:t>the</w:t>
      </w:r>
      <w:r w:rsidR="00A03629">
        <w:t xml:space="preserve"> </w:t>
      </w:r>
      <w:r>
        <w:t>reporting</w:t>
      </w:r>
      <w:r w:rsidR="00A03629">
        <w:t xml:space="preserve"> </w:t>
      </w:r>
      <w:r>
        <w:t>date.</w:t>
      </w:r>
      <w:r w:rsidR="00A03629">
        <w:t xml:space="preserve"> </w:t>
      </w:r>
      <w:r>
        <w:t>As</w:t>
      </w:r>
      <w:r w:rsidR="00A03629">
        <w:t xml:space="preserve"> </w:t>
      </w:r>
      <w:r>
        <w:t>DJSIR</w:t>
      </w:r>
      <w:r w:rsidR="00A03629">
        <w:t xml:space="preserve"> </w:t>
      </w:r>
      <w:r>
        <w:t>expects</w:t>
      </w:r>
      <w:r w:rsidR="00A03629">
        <w:t xml:space="preserve"> </w:t>
      </w:r>
      <w:r>
        <w:t>the</w:t>
      </w:r>
      <w:r w:rsidR="00A03629">
        <w:t xml:space="preserve"> </w:t>
      </w:r>
      <w:r>
        <w:t>liabilities</w:t>
      </w:r>
      <w:r w:rsidR="00A03629">
        <w:t xml:space="preserve"> </w:t>
      </w:r>
      <w:r>
        <w:t>to</w:t>
      </w:r>
      <w:r w:rsidR="00A03629">
        <w:t xml:space="preserve"> </w:t>
      </w:r>
      <w:r>
        <w:t>be</w:t>
      </w:r>
      <w:r w:rsidR="00A03629">
        <w:t xml:space="preserve"> </w:t>
      </w:r>
      <w:r>
        <w:t>wholly</w:t>
      </w:r>
      <w:r w:rsidR="00A03629">
        <w:t xml:space="preserve"> </w:t>
      </w:r>
      <w:r>
        <w:t>settled</w:t>
      </w:r>
      <w:r w:rsidR="00A03629">
        <w:t xml:space="preserve"> </w:t>
      </w:r>
      <w:r>
        <w:t>within</w:t>
      </w:r>
      <w:r w:rsidR="00A03629">
        <w:t xml:space="preserve"> </w:t>
      </w:r>
      <w:r>
        <w:t>12</w:t>
      </w:r>
      <w:r w:rsidR="00A03629">
        <w:t xml:space="preserve"> </w:t>
      </w:r>
      <w:r>
        <w:t>months</w:t>
      </w:r>
      <w:r w:rsidR="00A03629">
        <w:t xml:space="preserve"> </w:t>
      </w:r>
      <w:r>
        <w:t>of</w:t>
      </w:r>
      <w:r w:rsidR="00A03629">
        <w:t xml:space="preserve"> </w:t>
      </w:r>
      <w:r>
        <w:t>reporting</w:t>
      </w:r>
      <w:r w:rsidR="00A03629">
        <w:t xml:space="preserve"> </w:t>
      </w:r>
      <w:r>
        <w:t>date,</w:t>
      </w:r>
      <w:r w:rsidR="00A03629">
        <w:t xml:space="preserve"> </w:t>
      </w:r>
      <w:r>
        <w:t>they</w:t>
      </w:r>
      <w:r w:rsidR="00A03629">
        <w:t xml:space="preserve"> </w:t>
      </w:r>
      <w:r>
        <w:t>are</w:t>
      </w:r>
      <w:r w:rsidR="00A03629">
        <w:t xml:space="preserve"> </w:t>
      </w:r>
      <w:r>
        <w:t>measured</w:t>
      </w:r>
      <w:r w:rsidR="00A03629">
        <w:t xml:space="preserve"> </w:t>
      </w:r>
      <w:r>
        <w:t>at</w:t>
      </w:r>
      <w:r w:rsidR="00A03629">
        <w:t xml:space="preserve"> </w:t>
      </w:r>
      <w:r>
        <w:t>undiscounted</w:t>
      </w:r>
      <w:r w:rsidR="00A03629">
        <w:t xml:space="preserve"> </w:t>
      </w:r>
      <w:r>
        <w:t>amounts.</w:t>
      </w:r>
    </w:p>
    <w:p w14:paraId="4F2FDDE8" w14:textId="57858273" w:rsidR="000756EB" w:rsidRDefault="004A4D88" w:rsidP="00313B2D">
      <w:r>
        <w:t>The</w:t>
      </w:r>
      <w:r w:rsidR="00A03629">
        <w:t xml:space="preserve"> </w:t>
      </w:r>
      <w:r>
        <w:t>annual</w:t>
      </w:r>
      <w:r w:rsidR="00A03629">
        <w:t xml:space="preserve"> </w:t>
      </w:r>
      <w:r>
        <w:t>leave</w:t>
      </w:r>
      <w:r w:rsidR="00A03629">
        <w:t xml:space="preserve"> </w:t>
      </w:r>
      <w:r>
        <w:t>liability</w:t>
      </w:r>
      <w:r w:rsidR="00A03629">
        <w:t xml:space="preserve"> </w:t>
      </w:r>
      <w:r>
        <w:t>is</w:t>
      </w:r>
      <w:r w:rsidR="00A03629">
        <w:t xml:space="preserve"> </w:t>
      </w:r>
      <w:r>
        <w:t>classified</w:t>
      </w:r>
      <w:r w:rsidR="00A03629">
        <w:t xml:space="preserve"> </w:t>
      </w:r>
      <w:r>
        <w:t>as</w:t>
      </w:r>
      <w:r w:rsidR="00A03629">
        <w:t xml:space="preserve"> </w:t>
      </w:r>
      <w:r>
        <w:t>a</w:t>
      </w:r>
      <w:r w:rsidR="00A03629">
        <w:t xml:space="preserve"> </w:t>
      </w:r>
      <w:r>
        <w:t>current</w:t>
      </w:r>
      <w:r w:rsidR="00A03629">
        <w:t xml:space="preserve"> </w:t>
      </w:r>
      <w:r>
        <w:t>liability</w:t>
      </w:r>
      <w:r w:rsidR="00A03629">
        <w:t xml:space="preserve"> </w:t>
      </w:r>
      <w:r>
        <w:t>and</w:t>
      </w:r>
      <w:r w:rsidR="00A03629">
        <w:t xml:space="preserve"> </w:t>
      </w:r>
      <w:r>
        <w:t>measured</w:t>
      </w:r>
      <w:r w:rsidR="00A03629">
        <w:t xml:space="preserve"> </w:t>
      </w:r>
      <w:r>
        <w:t>at</w:t>
      </w:r>
      <w:r w:rsidR="00A03629">
        <w:t xml:space="preserve"> </w:t>
      </w:r>
      <w:r>
        <w:t>the</w:t>
      </w:r>
      <w:r w:rsidR="00A03629">
        <w:t xml:space="preserve"> </w:t>
      </w:r>
      <w:r>
        <w:t>undiscounted</w:t>
      </w:r>
      <w:r w:rsidR="00A03629">
        <w:t xml:space="preserve"> </w:t>
      </w:r>
      <w:r>
        <w:t>amount</w:t>
      </w:r>
      <w:r w:rsidR="00A03629">
        <w:t xml:space="preserve"> </w:t>
      </w:r>
      <w:r>
        <w:t>expected</w:t>
      </w:r>
      <w:r w:rsidR="00A03629">
        <w:t xml:space="preserve"> </w:t>
      </w:r>
      <w:r>
        <w:t>to</w:t>
      </w:r>
      <w:r w:rsidR="00A03629">
        <w:t xml:space="preserve"> </w:t>
      </w:r>
      <w:r>
        <w:t>be</w:t>
      </w:r>
      <w:r w:rsidR="00A03629">
        <w:t xml:space="preserve"> </w:t>
      </w:r>
      <w:r>
        <w:t>paid,</w:t>
      </w:r>
      <w:r w:rsidR="00A03629">
        <w:t xml:space="preserve"> </w:t>
      </w:r>
      <w:r>
        <w:t>as</w:t>
      </w:r>
      <w:r w:rsidR="00A03629">
        <w:t xml:space="preserve"> </w:t>
      </w:r>
      <w:r>
        <w:t>DJSIR</w:t>
      </w:r>
      <w:r w:rsidR="00A03629">
        <w:t xml:space="preserve"> </w:t>
      </w:r>
      <w:r>
        <w:t>does</w:t>
      </w:r>
      <w:r w:rsidR="00A03629">
        <w:t xml:space="preserve"> </w:t>
      </w:r>
      <w:r>
        <w:t>not</w:t>
      </w:r>
      <w:r w:rsidR="00A03629">
        <w:t xml:space="preserve"> </w:t>
      </w:r>
      <w:r>
        <w:t>have</w:t>
      </w:r>
      <w:r w:rsidR="00A03629">
        <w:t xml:space="preserve"> </w:t>
      </w:r>
      <w:r>
        <w:t>an</w:t>
      </w:r>
      <w:r w:rsidR="00A03629">
        <w:t xml:space="preserve"> </w:t>
      </w:r>
      <w:r>
        <w:t>unconditional</w:t>
      </w:r>
      <w:r w:rsidR="00A03629">
        <w:t xml:space="preserve"> </w:t>
      </w:r>
      <w:r>
        <w:t>right</w:t>
      </w:r>
      <w:r w:rsidR="00A03629">
        <w:t xml:space="preserve"> </w:t>
      </w:r>
      <w:r>
        <w:t>to</w:t>
      </w:r>
      <w:r w:rsidR="00A03629">
        <w:t xml:space="preserve"> </w:t>
      </w:r>
      <w:r>
        <w:t>defer</w:t>
      </w:r>
      <w:r w:rsidR="00A03629">
        <w:t xml:space="preserve"> </w:t>
      </w:r>
      <w:r>
        <w:t>settlement</w:t>
      </w:r>
      <w:r w:rsidR="00A03629">
        <w:t xml:space="preserve"> </w:t>
      </w:r>
      <w:r>
        <w:t>of</w:t>
      </w:r>
      <w:r w:rsidR="00A03629">
        <w:t xml:space="preserve"> </w:t>
      </w:r>
      <w:r>
        <w:t>the</w:t>
      </w:r>
      <w:r w:rsidR="00A03629">
        <w:t xml:space="preserve"> </w:t>
      </w:r>
      <w:r>
        <w:t>liability</w:t>
      </w:r>
      <w:r w:rsidR="00A03629">
        <w:t xml:space="preserve"> </w:t>
      </w:r>
      <w:r>
        <w:t>for</w:t>
      </w:r>
      <w:r w:rsidR="00A03629">
        <w:t xml:space="preserve"> </w:t>
      </w:r>
      <w:r>
        <w:t>at</w:t>
      </w:r>
      <w:r w:rsidR="00A03629">
        <w:rPr>
          <w:rFonts w:ascii="Cambria" w:hAnsi="Cambria" w:cs="Cambria"/>
        </w:rPr>
        <w:t xml:space="preserve"> </w:t>
      </w:r>
      <w:r>
        <w:t>least</w:t>
      </w:r>
      <w:r w:rsidR="00A03629">
        <w:t xml:space="preserve"> </w:t>
      </w:r>
      <w:r>
        <w:t>12</w:t>
      </w:r>
      <w:r w:rsidR="00A03629">
        <w:t xml:space="preserve"> </w:t>
      </w:r>
      <w:r>
        <w:t>months</w:t>
      </w:r>
      <w:r w:rsidR="00A03629">
        <w:t xml:space="preserve"> </w:t>
      </w:r>
      <w:r>
        <w:t>after</w:t>
      </w:r>
      <w:r w:rsidR="00A03629">
        <w:t xml:space="preserve"> </w:t>
      </w:r>
      <w:r>
        <w:t>the</w:t>
      </w:r>
      <w:r w:rsidR="00A03629">
        <w:t xml:space="preserve"> </w:t>
      </w:r>
      <w:r>
        <w:t>end</w:t>
      </w:r>
      <w:r w:rsidR="00A03629">
        <w:t xml:space="preserve"> </w:t>
      </w:r>
      <w:r>
        <w:t>of</w:t>
      </w:r>
      <w:r w:rsidR="00A03629">
        <w:t xml:space="preserve"> </w:t>
      </w:r>
      <w:r>
        <w:t>the</w:t>
      </w:r>
      <w:r w:rsidR="00A03629">
        <w:t xml:space="preserve"> </w:t>
      </w:r>
      <w:r>
        <w:t>reporting</w:t>
      </w:r>
      <w:r w:rsidR="00A03629">
        <w:t xml:space="preserve"> </w:t>
      </w:r>
      <w:r>
        <w:t>period.</w:t>
      </w:r>
      <w:r w:rsidR="00A03629">
        <w:t xml:space="preserve"> </w:t>
      </w:r>
    </w:p>
    <w:p w14:paraId="7A60EE89" w14:textId="08F7AA24" w:rsidR="000756EB" w:rsidRDefault="004A4D88" w:rsidP="00313B2D">
      <w:r>
        <w:t>No</w:t>
      </w:r>
      <w:r w:rsidR="00A03629">
        <w:t xml:space="preserve"> </w:t>
      </w:r>
      <w:r>
        <w:t>provision</w:t>
      </w:r>
      <w:r w:rsidR="00A03629">
        <w:t xml:space="preserve"> </w:t>
      </w:r>
      <w:r>
        <w:t>has</w:t>
      </w:r>
      <w:r w:rsidR="00A03629">
        <w:t xml:space="preserve"> </w:t>
      </w:r>
      <w:r>
        <w:t>been</w:t>
      </w:r>
      <w:r w:rsidR="00A03629">
        <w:t xml:space="preserve"> </w:t>
      </w:r>
      <w:r>
        <w:t>made</w:t>
      </w:r>
      <w:r w:rsidR="00A03629">
        <w:t xml:space="preserve"> </w:t>
      </w:r>
      <w:r>
        <w:t>for</w:t>
      </w:r>
      <w:r w:rsidR="00A03629">
        <w:t xml:space="preserve"> </w:t>
      </w:r>
      <w:r>
        <w:t>sick</w:t>
      </w:r>
      <w:r w:rsidR="00A03629">
        <w:t xml:space="preserve"> </w:t>
      </w:r>
      <w:r>
        <w:t>leave</w:t>
      </w:r>
      <w:r w:rsidR="00A03629">
        <w:t xml:space="preserve"> </w:t>
      </w:r>
      <w:r>
        <w:t>as</w:t>
      </w:r>
      <w:r w:rsidR="00A03629">
        <w:t xml:space="preserve"> </w:t>
      </w:r>
      <w:r>
        <w:t>all</w:t>
      </w:r>
      <w:r w:rsidR="00A03629">
        <w:t xml:space="preserve"> </w:t>
      </w:r>
      <w:r>
        <w:t>sick</w:t>
      </w:r>
      <w:r w:rsidR="00A03629">
        <w:t xml:space="preserve"> </w:t>
      </w:r>
      <w:r>
        <w:t>leave</w:t>
      </w:r>
      <w:r w:rsidR="00A03629">
        <w:t xml:space="preserve"> </w:t>
      </w:r>
      <w:r>
        <w:t>is</w:t>
      </w:r>
      <w:r w:rsidR="00A03629">
        <w:t xml:space="preserve"> </w:t>
      </w:r>
      <w:r>
        <w:t>non-vesting</w:t>
      </w:r>
      <w:r w:rsidR="00A03629">
        <w:t xml:space="preserve"> </w:t>
      </w:r>
      <w:r>
        <w:t>and</w:t>
      </w:r>
      <w:r w:rsidR="00A03629">
        <w:t xml:space="preserve"> </w:t>
      </w:r>
      <w:r>
        <w:t>it</w:t>
      </w:r>
      <w:r w:rsidR="00A03629">
        <w:t xml:space="preserve"> </w:t>
      </w:r>
      <w:r>
        <w:t>is</w:t>
      </w:r>
      <w:r w:rsidR="00A03629">
        <w:t xml:space="preserve"> </w:t>
      </w:r>
      <w:r>
        <w:t>not</w:t>
      </w:r>
      <w:r w:rsidR="00A03629">
        <w:t xml:space="preserve"> </w:t>
      </w:r>
      <w:r>
        <w:t>considered</w:t>
      </w:r>
      <w:r w:rsidR="00A03629">
        <w:t xml:space="preserve"> </w:t>
      </w:r>
      <w:r>
        <w:t>probable</w:t>
      </w:r>
      <w:r w:rsidR="00A03629">
        <w:t xml:space="preserve"> </w:t>
      </w:r>
      <w:r>
        <w:t>that</w:t>
      </w:r>
      <w:r w:rsidR="00A03629">
        <w:t xml:space="preserve"> </w:t>
      </w:r>
      <w:r>
        <w:t>the</w:t>
      </w:r>
      <w:r w:rsidR="00A03629">
        <w:t xml:space="preserve"> </w:t>
      </w:r>
      <w:r>
        <w:t>average</w:t>
      </w:r>
      <w:r w:rsidR="00A03629">
        <w:t xml:space="preserve"> </w:t>
      </w:r>
      <w:r>
        <w:t>sick</w:t>
      </w:r>
      <w:r w:rsidR="00A03629">
        <w:t xml:space="preserve"> </w:t>
      </w:r>
      <w:r>
        <w:t>leave</w:t>
      </w:r>
      <w:r w:rsidR="00A03629">
        <w:t xml:space="preserve"> </w:t>
      </w:r>
      <w:r>
        <w:t>taken</w:t>
      </w:r>
      <w:r w:rsidR="00A03629">
        <w:t xml:space="preserve"> </w:t>
      </w:r>
      <w:r>
        <w:t>in</w:t>
      </w:r>
      <w:r w:rsidR="00A03629">
        <w:t xml:space="preserve"> </w:t>
      </w:r>
      <w:r>
        <w:t>the</w:t>
      </w:r>
      <w:r w:rsidR="00A03629">
        <w:t xml:space="preserve"> </w:t>
      </w:r>
      <w:r>
        <w:t>future</w:t>
      </w:r>
      <w:r w:rsidR="00A03629">
        <w:t xml:space="preserve"> </w:t>
      </w:r>
      <w:r>
        <w:t>will</w:t>
      </w:r>
      <w:r w:rsidR="00A03629">
        <w:t xml:space="preserve"> </w:t>
      </w:r>
      <w:r>
        <w:t>be</w:t>
      </w:r>
      <w:r w:rsidR="00A03629">
        <w:t xml:space="preserve"> </w:t>
      </w:r>
      <w:r>
        <w:t>greater</w:t>
      </w:r>
      <w:r w:rsidR="00A03629">
        <w:t xml:space="preserve"> </w:t>
      </w:r>
      <w:r>
        <w:t>than</w:t>
      </w:r>
      <w:r w:rsidR="00A03629">
        <w:t xml:space="preserve"> </w:t>
      </w:r>
      <w:r>
        <w:t>the</w:t>
      </w:r>
      <w:r w:rsidR="00A03629">
        <w:t xml:space="preserve"> </w:t>
      </w:r>
      <w:r>
        <w:lastRenderedPageBreak/>
        <w:t>benefits</w:t>
      </w:r>
      <w:r w:rsidR="00A03629">
        <w:t xml:space="preserve"> </w:t>
      </w:r>
      <w:r>
        <w:t>accrued</w:t>
      </w:r>
      <w:r w:rsidR="00A03629">
        <w:t xml:space="preserve"> </w:t>
      </w:r>
      <w:r>
        <w:t>in</w:t>
      </w:r>
      <w:r w:rsidR="00A03629">
        <w:t xml:space="preserve"> </w:t>
      </w:r>
      <w:r>
        <w:t>the</w:t>
      </w:r>
      <w:r w:rsidR="00A03629">
        <w:t xml:space="preserve"> </w:t>
      </w:r>
      <w:r>
        <w:t>future.</w:t>
      </w:r>
      <w:r w:rsidR="00A03629">
        <w:t xml:space="preserve"> </w:t>
      </w:r>
      <w:r>
        <w:t>As</w:t>
      </w:r>
      <w:r w:rsidR="00A03629">
        <w:t xml:space="preserve"> </w:t>
      </w:r>
      <w:r>
        <w:t>sick</w:t>
      </w:r>
      <w:r w:rsidR="00A03629">
        <w:t xml:space="preserve"> </w:t>
      </w:r>
      <w:r>
        <w:t>leave</w:t>
      </w:r>
      <w:r w:rsidR="00A03629">
        <w:t xml:space="preserve"> </w:t>
      </w:r>
      <w:r>
        <w:t>is</w:t>
      </w:r>
      <w:r w:rsidR="00A03629">
        <w:t xml:space="preserve"> </w:t>
      </w:r>
      <w:r>
        <w:t>non-vesting,</w:t>
      </w:r>
      <w:r w:rsidR="00A03629">
        <w:t xml:space="preserve"> </w:t>
      </w:r>
      <w:r>
        <w:t>an</w:t>
      </w:r>
      <w:r w:rsidR="00A03629">
        <w:t xml:space="preserve"> </w:t>
      </w:r>
      <w:r>
        <w:t>expense</w:t>
      </w:r>
      <w:r w:rsidR="00A03629">
        <w:t xml:space="preserve"> </w:t>
      </w:r>
      <w:r>
        <w:t>is</w:t>
      </w:r>
      <w:r w:rsidR="00A03629">
        <w:t xml:space="preserve"> </w:t>
      </w:r>
      <w:r>
        <w:t>recognised</w:t>
      </w:r>
      <w:r w:rsidR="00A03629">
        <w:t xml:space="preserve"> </w:t>
      </w:r>
      <w:r>
        <w:t>in</w:t>
      </w:r>
      <w:r w:rsidR="00A03629">
        <w:t xml:space="preserve"> </w:t>
      </w:r>
      <w:r>
        <w:t>the</w:t>
      </w:r>
      <w:r w:rsidR="00A03629">
        <w:t xml:space="preserve"> </w:t>
      </w:r>
      <w:r>
        <w:t>comprehensive</w:t>
      </w:r>
      <w:r w:rsidR="00A03629">
        <w:t xml:space="preserve"> </w:t>
      </w:r>
      <w:r>
        <w:t>operating</w:t>
      </w:r>
      <w:r w:rsidR="00A03629">
        <w:t xml:space="preserve"> </w:t>
      </w:r>
      <w:r>
        <w:t>statement</w:t>
      </w:r>
      <w:r w:rsidR="00A03629">
        <w:t xml:space="preserve"> </w:t>
      </w:r>
      <w:r>
        <w:t>as</w:t>
      </w:r>
      <w:r w:rsidR="00A03629">
        <w:t xml:space="preserve"> </w:t>
      </w:r>
      <w:r>
        <w:t>it</w:t>
      </w:r>
      <w:r w:rsidR="00A03629">
        <w:t xml:space="preserve"> </w:t>
      </w:r>
      <w:r>
        <w:t>is</w:t>
      </w:r>
      <w:r w:rsidR="00A03629">
        <w:t xml:space="preserve"> </w:t>
      </w:r>
      <w:r>
        <w:t>taken.</w:t>
      </w:r>
    </w:p>
    <w:p w14:paraId="73ABF521" w14:textId="1441B08F" w:rsidR="000756EB" w:rsidRDefault="004A4D88" w:rsidP="00313B2D">
      <w:r>
        <w:t>Employment</w:t>
      </w:r>
      <w:r w:rsidR="00A03629">
        <w:t xml:space="preserve"> </w:t>
      </w:r>
      <w:r>
        <w:t>on-costs</w:t>
      </w:r>
      <w:r w:rsidR="00A03629">
        <w:t xml:space="preserve"> </w:t>
      </w:r>
      <w:r>
        <w:t>such</w:t>
      </w:r>
      <w:r w:rsidR="00A03629">
        <w:t xml:space="preserve"> </w:t>
      </w:r>
      <w:r>
        <w:t>as</w:t>
      </w:r>
      <w:r w:rsidR="00A03629">
        <w:t xml:space="preserve"> </w:t>
      </w:r>
      <w:r>
        <w:t>payroll</w:t>
      </w:r>
      <w:r w:rsidR="00A03629">
        <w:t xml:space="preserve"> </w:t>
      </w:r>
      <w:r>
        <w:t>tax,</w:t>
      </w:r>
      <w:r w:rsidR="00A03629">
        <w:t xml:space="preserve"> </w:t>
      </w:r>
      <w:r>
        <w:t>workers</w:t>
      </w:r>
      <w:r w:rsidR="00A03629">
        <w:rPr>
          <w:rFonts w:ascii="Cambria" w:hAnsi="Cambria" w:cs="Cambria"/>
        </w:rPr>
        <w:t xml:space="preserve"> </w:t>
      </w:r>
      <w:r>
        <w:t>compensation,</w:t>
      </w:r>
      <w:r w:rsidR="00A03629">
        <w:t xml:space="preserve"> </w:t>
      </w:r>
      <w:r>
        <w:t>mental</w:t>
      </w:r>
      <w:r w:rsidR="00A03629">
        <w:t xml:space="preserve"> </w:t>
      </w:r>
      <w:r>
        <w:t>health</w:t>
      </w:r>
      <w:r w:rsidR="00A03629">
        <w:t xml:space="preserve"> </w:t>
      </w:r>
      <w:r>
        <w:t>and</w:t>
      </w:r>
      <w:r w:rsidR="00A03629">
        <w:t xml:space="preserve"> </w:t>
      </w:r>
      <w:r>
        <w:t>well-being</w:t>
      </w:r>
      <w:r w:rsidR="00A03629">
        <w:t xml:space="preserve"> </w:t>
      </w:r>
      <w:r>
        <w:t>surcharge</w:t>
      </w:r>
      <w:r w:rsidR="00A03629">
        <w:t xml:space="preserve"> </w:t>
      </w:r>
      <w:r>
        <w:t>and</w:t>
      </w:r>
      <w:r w:rsidR="00A03629">
        <w:t xml:space="preserve"> </w:t>
      </w:r>
      <w:r>
        <w:t>superannuation</w:t>
      </w:r>
      <w:r w:rsidR="00A03629">
        <w:t xml:space="preserve"> </w:t>
      </w:r>
      <w:r>
        <w:t>are</w:t>
      </w:r>
      <w:r w:rsidR="00A03629">
        <w:t xml:space="preserve"> </w:t>
      </w:r>
      <w:r>
        <w:t>not</w:t>
      </w:r>
      <w:r w:rsidR="00A03629">
        <w:t xml:space="preserve"> </w:t>
      </w:r>
      <w:r>
        <w:t>employee</w:t>
      </w:r>
      <w:r w:rsidR="00A03629">
        <w:t xml:space="preserve"> </w:t>
      </w:r>
      <w:r>
        <w:t>benefits.</w:t>
      </w:r>
      <w:r w:rsidR="00A03629">
        <w:t xml:space="preserve"> </w:t>
      </w:r>
      <w:r>
        <w:t>They</w:t>
      </w:r>
      <w:r w:rsidR="00A03629">
        <w:t xml:space="preserve"> </w:t>
      </w:r>
      <w:r>
        <w:t>are</w:t>
      </w:r>
      <w:r w:rsidR="00A03629">
        <w:t xml:space="preserve"> </w:t>
      </w:r>
      <w:r>
        <w:t>disclosed</w:t>
      </w:r>
      <w:r w:rsidR="00A03629">
        <w:t xml:space="preserve"> </w:t>
      </w:r>
      <w:r>
        <w:t>separately</w:t>
      </w:r>
      <w:r w:rsidR="00A03629">
        <w:t xml:space="preserve"> </w:t>
      </w:r>
      <w:r>
        <w:t>as</w:t>
      </w:r>
      <w:r w:rsidR="00A03629">
        <w:rPr>
          <w:rFonts w:ascii="Cambria" w:hAnsi="Cambria" w:cs="Cambria"/>
        </w:rPr>
        <w:t xml:space="preserve"> </w:t>
      </w:r>
      <w:r>
        <w:t>a</w:t>
      </w:r>
      <w:r w:rsidR="00A03629">
        <w:t xml:space="preserve"> </w:t>
      </w:r>
      <w:r>
        <w:t>component</w:t>
      </w:r>
      <w:r w:rsidR="00A03629">
        <w:t xml:space="preserve"> </w:t>
      </w:r>
      <w:r>
        <w:t>of</w:t>
      </w:r>
      <w:r w:rsidR="00A03629">
        <w:t xml:space="preserve"> </w:t>
      </w:r>
      <w:r>
        <w:t>the</w:t>
      </w:r>
      <w:r w:rsidR="00A03629">
        <w:t xml:space="preserve"> </w:t>
      </w:r>
      <w:r>
        <w:t>provision</w:t>
      </w:r>
      <w:r w:rsidR="00A03629">
        <w:t xml:space="preserve"> </w:t>
      </w:r>
      <w:r>
        <w:t>for</w:t>
      </w:r>
      <w:r w:rsidR="00A03629">
        <w:t xml:space="preserve"> </w:t>
      </w:r>
      <w:r>
        <w:t>employee</w:t>
      </w:r>
      <w:r w:rsidR="00A03629">
        <w:t xml:space="preserve"> </w:t>
      </w:r>
      <w:r>
        <w:t>benefits</w:t>
      </w:r>
      <w:r w:rsidR="00A03629">
        <w:t xml:space="preserve"> </w:t>
      </w:r>
      <w:r>
        <w:t>when</w:t>
      </w:r>
      <w:r w:rsidR="00A03629">
        <w:t xml:space="preserve"> </w:t>
      </w:r>
      <w:r>
        <w:t>the</w:t>
      </w:r>
      <w:r w:rsidR="00A03629">
        <w:t xml:space="preserve"> </w:t>
      </w:r>
      <w:r>
        <w:t>employment</w:t>
      </w:r>
      <w:r w:rsidR="00A03629">
        <w:t xml:space="preserve"> </w:t>
      </w:r>
      <w:r>
        <w:t>to</w:t>
      </w:r>
      <w:r w:rsidR="00A03629">
        <w:t xml:space="preserve"> </w:t>
      </w:r>
      <w:r>
        <w:t>which</w:t>
      </w:r>
      <w:r w:rsidR="00A03629">
        <w:t xml:space="preserve"> </w:t>
      </w:r>
      <w:r>
        <w:t>they</w:t>
      </w:r>
      <w:r w:rsidR="00A03629">
        <w:t xml:space="preserve"> </w:t>
      </w:r>
      <w:r>
        <w:t>relate</w:t>
      </w:r>
      <w:r w:rsidR="00A03629">
        <w:rPr>
          <w:rFonts w:ascii="Cambria" w:hAnsi="Cambria" w:cs="Cambria"/>
        </w:rPr>
        <w:t xml:space="preserve"> </w:t>
      </w:r>
      <w:r>
        <w:t>has</w:t>
      </w:r>
      <w:r w:rsidR="00A03629">
        <w:t xml:space="preserve"> </w:t>
      </w:r>
      <w:r>
        <w:t>occurred.</w:t>
      </w:r>
    </w:p>
    <w:p w14:paraId="26E7DA77" w14:textId="273C3387" w:rsidR="000756EB" w:rsidRDefault="004A4D88" w:rsidP="00313B2D">
      <w:r>
        <w:t>Unconditional</w:t>
      </w:r>
      <w:r w:rsidR="00A03629">
        <w:t xml:space="preserve"> </w:t>
      </w:r>
      <w:r>
        <w:t>LSL</w:t>
      </w:r>
      <w:r w:rsidR="00A03629">
        <w:t xml:space="preserve"> </w:t>
      </w:r>
      <w:r>
        <w:t>is</w:t>
      </w:r>
      <w:r w:rsidR="00A03629">
        <w:t xml:space="preserve"> </w:t>
      </w:r>
      <w:r>
        <w:t>disclosed</w:t>
      </w:r>
      <w:r w:rsidR="00A03629">
        <w:t xml:space="preserve"> </w:t>
      </w:r>
      <w:r>
        <w:t>as</w:t>
      </w:r>
      <w:r w:rsidR="00A03629">
        <w:t xml:space="preserve"> </w:t>
      </w:r>
      <w:r>
        <w:t>a</w:t>
      </w:r>
      <w:r w:rsidR="00A03629">
        <w:t xml:space="preserve"> </w:t>
      </w:r>
      <w:r>
        <w:t>current</w:t>
      </w:r>
      <w:r w:rsidR="00A03629">
        <w:t xml:space="preserve"> </w:t>
      </w:r>
      <w:r>
        <w:t>liability;</w:t>
      </w:r>
      <w:r w:rsidR="00A03629">
        <w:t xml:space="preserve"> </w:t>
      </w:r>
      <w:r>
        <w:t>even</w:t>
      </w:r>
      <w:r w:rsidR="00A03629">
        <w:t xml:space="preserve"> </w:t>
      </w:r>
      <w:r>
        <w:t>where</w:t>
      </w:r>
      <w:r w:rsidR="00A03629">
        <w:t xml:space="preserve"> </w:t>
      </w:r>
      <w:r>
        <w:t>DJSIR</w:t>
      </w:r>
      <w:r w:rsidR="00A03629">
        <w:t xml:space="preserve"> </w:t>
      </w:r>
      <w:r>
        <w:t>does</w:t>
      </w:r>
      <w:r w:rsidR="00A03629">
        <w:t xml:space="preserve"> </w:t>
      </w:r>
      <w:r>
        <w:t>not</w:t>
      </w:r>
      <w:r w:rsidR="00A03629">
        <w:t xml:space="preserve"> </w:t>
      </w:r>
      <w:r>
        <w:t>expect</w:t>
      </w:r>
      <w:r w:rsidR="00A03629">
        <w:t xml:space="preserve"> </w:t>
      </w:r>
      <w:r>
        <w:t>to</w:t>
      </w:r>
      <w:r w:rsidR="00A03629">
        <w:t xml:space="preserve"> </w:t>
      </w:r>
      <w:r>
        <w:t>settle</w:t>
      </w:r>
      <w:r w:rsidR="00A03629">
        <w:t xml:space="preserve"> </w:t>
      </w:r>
      <w:r>
        <w:t>the</w:t>
      </w:r>
      <w:r w:rsidR="00A03629">
        <w:t xml:space="preserve"> </w:t>
      </w:r>
      <w:r>
        <w:t>liability</w:t>
      </w:r>
      <w:r w:rsidR="00A03629">
        <w:t xml:space="preserve"> </w:t>
      </w:r>
      <w:r>
        <w:t>within</w:t>
      </w:r>
      <w:r w:rsidR="00A03629">
        <w:t xml:space="preserve"> </w:t>
      </w:r>
      <w:r>
        <w:t>12</w:t>
      </w:r>
      <w:r w:rsidR="00A03629">
        <w:t xml:space="preserve"> </w:t>
      </w:r>
      <w:r>
        <w:t>months</w:t>
      </w:r>
      <w:r w:rsidR="00A03629">
        <w:t xml:space="preserve"> </w:t>
      </w:r>
      <w:r>
        <w:t>because</w:t>
      </w:r>
      <w:r w:rsidR="00A03629">
        <w:t xml:space="preserve"> </w:t>
      </w:r>
      <w:r>
        <w:t>it</w:t>
      </w:r>
      <w:r w:rsidR="00A03629">
        <w:t xml:space="preserve"> </w:t>
      </w:r>
      <w:r>
        <w:t>will</w:t>
      </w:r>
      <w:r w:rsidR="00A03629">
        <w:t xml:space="preserve"> </w:t>
      </w:r>
      <w:r>
        <w:t>not</w:t>
      </w:r>
      <w:r w:rsidR="00A03629">
        <w:t xml:space="preserve"> </w:t>
      </w:r>
      <w:r>
        <w:t>have</w:t>
      </w:r>
      <w:r w:rsidR="00A03629">
        <w:t xml:space="preserve"> </w:t>
      </w:r>
      <w:r>
        <w:t>the</w:t>
      </w:r>
      <w:r w:rsidR="00A03629">
        <w:t xml:space="preserve"> </w:t>
      </w:r>
      <w:r>
        <w:t>unconditional</w:t>
      </w:r>
      <w:r w:rsidR="00A03629">
        <w:t xml:space="preserve"> </w:t>
      </w:r>
      <w:r>
        <w:t>right</w:t>
      </w:r>
      <w:r w:rsidR="00A03629">
        <w:t xml:space="preserve"> </w:t>
      </w:r>
      <w:r>
        <w:t>to</w:t>
      </w:r>
      <w:r w:rsidR="00A03629">
        <w:t xml:space="preserve"> </w:t>
      </w:r>
      <w:r>
        <w:t>defer</w:t>
      </w:r>
      <w:r w:rsidR="00A03629">
        <w:t xml:space="preserve"> </w:t>
      </w:r>
      <w:r>
        <w:t>the</w:t>
      </w:r>
      <w:r w:rsidR="00A03629">
        <w:t xml:space="preserve"> </w:t>
      </w:r>
      <w:r>
        <w:t>settlement</w:t>
      </w:r>
      <w:r w:rsidR="00A03629">
        <w:t xml:space="preserve"> </w:t>
      </w:r>
      <w:r>
        <w:t>of</w:t>
      </w:r>
      <w:r w:rsidR="00A03629">
        <w:t xml:space="preserve"> </w:t>
      </w:r>
      <w:r>
        <w:t>the</w:t>
      </w:r>
      <w:r w:rsidR="00A03629">
        <w:t xml:space="preserve"> </w:t>
      </w:r>
      <w:r>
        <w:t>entitlement</w:t>
      </w:r>
      <w:r w:rsidR="00A03629">
        <w:t xml:space="preserve"> </w:t>
      </w:r>
      <w:r>
        <w:t>should</w:t>
      </w:r>
      <w:r w:rsidR="00A03629">
        <w:t xml:space="preserve"> </w:t>
      </w:r>
      <w:r>
        <w:t>an</w:t>
      </w:r>
      <w:r w:rsidR="00A03629">
        <w:t xml:space="preserve"> </w:t>
      </w:r>
      <w:r>
        <w:t>employee</w:t>
      </w:r>
      <w:r w:rsidR="00A03629">
        <w:t xml:space="preserve"> </w:t>
      </w:r>
      <w:r>
        <w:t>take</w:t>
      </w:r>
      <w:r w:rsidR="00A03629">
        <w:t xml:space="preserve"> </w:t>
      </w:r>
      <w:r>
        <w:t>leave</w:t>
      </w:r>
      <w:r w:rsidR="00A03629">
        <w:t xml:space="preserve"> </w:t>
      </w:r>
      <w:r>
        <w:t>within</w:t>
      </w:r>
      <w:r w:rsidR="00A03629">
        <w:t xml:space="preserve"> </w:t>
      </w:r>
      <w:r>
        <w:t>12</w:t>
      </w:r>
      <w:r w:rsidR="00A03629">
        <w:rPr>
          <w:rFonts w:ascii="Cambria" w:hAnsi="Cambria" w:cs="Cambria"/>
        </w:rPr>
        <w:t xml:space="preserve"> </w:t>
      </w:r>
      <w:r>
        <w:t>months.</w:t>
      </w:r>
    </w:p>
    <w:p w14:paraId="27B4DB3A" w14:textId="7DAC37B3" w:rsidR="000756EB" w:rsidRDefault="004A4D88" w:rsidP="00313B2D">
      <w:pPr>
        <w:pStyle w:val="Normalbeforebullets"/>
      </w:pPr>
      <w:r>
        <w:t>The</w:t>
      </w:r>
      <w:r w:rsidR="00A03629">
        <w:t xml:space="preserve"> </w:t>
      </w:r>
      <w:r>
        <w:t>components</w:t>
      </w:r>
      <w:r w:rsidR="00A03629">
        <w:t xml:space="preserve"> </w:t>
      </w:r>
      <w:r>
        <w:t>of</w:t>
      </w:r>
      <w:r w:rsidR="00A03629">
        <w:t xml:space="preserve"> </w:t>
      </w:r>
      <w:r>
        <w:t>this</w:t>
      </w:r>
      <w:r w:rsidR="00A03629">
        <w:t xml:space="preserve"> </w:t>
      </w:r>
      <w:r>
        <w:t>current</w:t>
      </w:r>
      <w:r w:rsidR="00A03629">
        <w:t xml:space="preserve"> </w:t>
      </w:r>
      <w:r>
        <w:t>LSL</w:t>
      </w:r>
      <w:r w:rsidR="00A03629">
        <w:t xml:space="preserve"> </w:t>
      </w:r>
      <w:r>
        <w:t>liability</w:t>
      </w:r>
      <w:r w:rsidR="00A03629">
        <w:t xml:space="preserve"> </w:t>
      </w:r>
      <w:r>
        <w:t>are</w:t>
      </w:r>
      <w:r w:rsidR="00A03629">
        <w:rPr>
          <w:rFonts w:ascii="Cambria" w:hAnsi="Cambria" w:cs="Cambria"/>
        </w:rPr>
        <w:t xml:space="preserve"> </w:t>
      </w:r>
      <w:r>
        <w:t>measured</w:t>
      </w:r>
      <w:r w:rsidR="00A03629">
        <w:t xml:space="preserve"> </w:t>
      </w:r>
      <w:r>
        <w:t>at:</w:t>
      </w:r>
    </w:p>
    <w:p w14:paraId="604B0B4C" w14:textId="63B98C63" w:rsidR="000756EB" w:rsidRDefault="004A4D88" w:rsidP="00313B2D">
      <w:pPr>
        <w:pStyle w:val="Bullet"/>
      </w:pPr>
      <w:r>
        <w:t>undiscounted</w:t>
      </w:r>
      <w:r w:rsidR="00A03629">
        <w:t xml:space="preserve"> </w:t>
      </w:r>
      <w:r>
        <w:t>value</w:t>
      </w:r>
      <w:r w:rsidR="00A03629">
        <w:t xml:space="preserve"> </w:t>
      </w:r>
      <w:r>
        <w:t>–</w:t>
      </w:r>
      <w:r w:rsidR="00A03629">
        <w:t xml:space="preserve"> </w:t>
      </w:r>
      <w:r>
        <w:t>if</w:t>
      </w:r>
      <w:r w:rsidR="00A03629">
        <w:t xml:space="preserve"> </w:t>
      </w:r>
      <w:r>
        <w:t>DJSIR</w:t>
      </w:r>
      <w:r w:rsidR="00A03629">
        <w:t xml:space="preserve"> </w:t>
      </w:r>
      <w:r>
        <w:t>expects</w:t>
      </w:r>
      <w:r w:rsidR="00A03629">
        <w:t xml:space="preserve"> </w:t>
      </w:r>
      <w:r>
        <w:t>to</w:t>
      </w:r>
      <w:r w:rsidR="00A03629">
        <w:rPr>
          <w:rFonts w:ascii="Cambria" w:hAnsi="Cambria" w:cs="Cambria"/>
        </w:rPr>
        <w:t xml:space="preserve"> </w:t>
      </w:r>
      <w:r>
        <w:t>wholly</w:t>
      </w:r>
      <w:r w:rsidR="00A03629">
        <w:rPr>
          <w:rFonts w:ascii="Cambria" w:hAnsi="Cambria" w:cs="Cambria"/>
        </w:rPr>
        <w:t xml:space="preserve"> </w:t>
      </w:r>
      <w:r>
        <w:t>settle</w:t>
      </w:r>
      <w:r w:rsidR="00A03629">
        <w:t xml:space="preserve"> </w:t>
      </w:r>
      <w:r>
        <w:t>within</w:t>
      </w:r>
      <w:r w:rsidR="00A03629">
        <w:t xml:space="preserve"> </w:t>
      </w:r>
      <w:r>
        <w:t>12</w:t>
      </w:r>
      <w:r w:rsidR="00A03629">
        <w:t xml:space="preserve"> </w:t>
      </w:r>
      <w:r>
        <w:t>months;</w:t>
      </w:r>
      <w:r w:rsidR="00A03629">
        <w:t xml:space="preserve"> </w:t>
      </w:r>
      <w:r>
        <w:t>or</w:t>
      </w:r>
    </w:p>
    <w:p w14:paraId="39FD4A89" w14:textId="31E3EA39" w:rsidR="000756EB" w:rsidRDefault="004A4D88" w:rsidP="00313B2D">
      <w:pPr>
        <w:pStyle w:val="Bulletlast"/>
      </w:pPr>
      <w:r>
        <w:t>present</w:t>
      </w:r>
      <w:r w:rsidR="00A03629">
        <w:t xml:space="preserve"> </w:t>
      </w:r>
      <w:r>
        <w:t>value</w:t>
      </w:r>
      <w:r w:rsidR="00A03629">
        <w:t xml:space="preserve"> </w:t>
      </w:r>
      <w:r>
        <w:t>–</w:t>
      </w:r>
      <w:r w:rsidR="00A03629">
        <w:t xml:space="preserve"> </w:t>
      </w:r>
      <w:r>
        <w:t>if</w:t>
      </w:r>
      <w:r w:rsidR="00A03629">
        <w:t xml:space="preserve"> </w:t>
      </w:r>
      <w:r>
        <w:t>DJSIR</w:t>
      </w:r>
      <w:r w:rsidR="00A03629">
        <w:t xml:space="preserve"> </w:t>
      </w:r>
      <w:r>
        <w:t>does</w:t>
      </w:r>
      <w:r w:rsidR="00A03629">
        <w:t xml:space="preserve"> </w:t>
      </w:r>
      <w:r>
        <w:t>not</w:t>
      </w:r>
      <w:r w:rsidR="00A03629">
        <w:t xml:space="preserve"> </w:t>
      </w:r>
      <w:r>
        <w:t>expect</w:t>
      </w:r>
      <w:r w:rsidR="00A03629">
        <w:t xml:space="preserve"> </w:t>
      </w:r>
      <w:r>
        <w:t>to</w:t>
      </w:r>
      <w:r w:rsidR="00A03629">
        <w:rPr>
          <w:rFonts w:ascii="Cambria" w:hAnsi="Cambria" w:cs="Cambria"/>
        </w:rPr>
        <w:t xml:space="preserve"> </w:t>
      </w:r>
      <w:r>
        <w:t>wholly</w:t>
      </w:r>
      <w:r w:rsidR="00A03629">
        <w:rPr>
          <w:rFonts w:ascii="Cambria" w:hAnsi="Cambria" w:cs="Cambria"/>
        </w:rPr>
        <w:t xml:space="preserve"> </w:t>
      </w:r>
      <w:r>
        <w:t>settle</w:t>
      </w:r>
      <w:r w:rsidR="00A03629">
        <w:t xml:space="preserve"> </w:t>
      </w:r>
      <w:r>
        <w:t>within</w:t>
      </w:r>
      <w:r w:rsidR="00A03629">
        <w:t xml:space="preserve"> </w:t>
      </w:r>
      <w:r>
        <w:t>12</w:t>
      </w:r>
      <w:r w:rsidR="00A03629">
        <w:t xml:space="preserve"> </w:t>
      </w:r>
      <w:r>
        <w:t>months.</w:t>
      </w:r>
    </w:p>
    <w:p w14:paraId="45214123" w14:textId="425AD09D" w:rsidR="000756EB" w:rsidRDefault="004A4D88" w:rsidP="00313B2D">
      <w:r>
        <w:t>Conditional</w:t>
      </w:r>
      <w:r w:rsidR="00A03629">
        <w:t xml:space="preserve"> </w:t>
      </w:r>
      <w:r>
        <w:t>LSL</w:t>
      </w:r>
      <w:r w:rsidR="00A03629">
        <w:t xml:space="preserve"> </w:t>
      </w:r>
      <w:r>
        <w:t>is</w:t>
      </w:r>
      <w:r w:rsidR="00A03629">
        <w:t xml:space="preserve"> </w:t>
      </w:r>
      <w:r>
        <w:t>disclosed</w:t>
      </w:r>
      <w:r w:rsidR="00A03629">
        <w:t xml:space="preserve"> </w:t>
      </w:r>
      <w:r>
        <w:t>as</w:t>
      </w:r>
      <w:r w:rsidR="00A03629">
        <w:t xml:space="preserve"> </w:t>
      </w:r>
      <w:r>
        <w:t>a</w:t>
      </w:r>
      <w:r w:rsidR="00A03629">
        <w:t xml:space="preserve"> </w:t>
      </w:r>
      <w:r>
        <w:t>non-current</w:t>
      </w:r>
      <w:r w:rsidR="00A03629">
        <w:t xml:space="preserve"> </w:t>
      </w:r>
      <w:r>
        <w:t>liability.</w:t>
      </w:r>
      <w:r w:rsidR="00A03629">
        <w:t xml:space="preserve"> </w:t>
      </w:r>
      <w:r>
        <w:t>There</w:t>
      </w:r>
      <w:r w:rsidR="00A03629">
        <w:t xml:space="preserve"> </w:t>
      </w:r>
      <w:r>
        <w:t>is</w:t>
      </w:r>
      <w:r w:rsidR="00A03629">
        <w:t xml:space="preserve"> </w:t>
      </w:r>
      <w:r>
        <w:t>a</w:t>
      </w:r>
      <w:r w:rsidR="00A03629">
        <w:t xml:space="preserve"> </w:t>
      </w:r>
      <w:r>
        <w:t>conditional</w:t>
      </w:r>
      <w:r w:rsidR="00A03629">
        <w:t xml:space="preserve"> </w:t>
      </w:r>
      <w:r>
        <w:t>right</w:t>
      </w:r>
      <w:r w:rsidR="00A03629">
        <w:t xml:space="preserve"> </w:t>
      </w:r>
      <w:r>
        <w:t>to</w:t>
      </w:r>
      <w:r w:rsidR="00A03629">
        <w:t xml:space="preserve"> </w:t>
      </w:r>
      <w:r>
        <w:t>defer</w:t>
      </w:r>
      <w:r w:rsidR="00A03629">
        <w:t xml:space="preserve"> </w:t>
      </w:r>
      <w:r>
        <w:t>the</w:t>
      </w:r>
      <w:r w:rsidR="00A03629">
        <w:t xml:space="preserve"> </w:t>
      </w:r>
      <w:r>
        <w:t>settlement</w:t>
      </w:r>
      <w:r w:rsidR="00A03629">
        <w:t xml:space="preserve"> </w:t>
      </w:r>
      <w:r>
        <w:t>of</w:t>
      </w:r>
      <w:r w:rsidR="00A03629">
        <w:t xml:space="preserve"> </w:t>
      </w:r>
      <w:r>
        <w:t>the</w:t>
      </w:r>
      <w:r w:rsidR="00A03629">
        <w:t xml:space="preserve"> </w:t>
      </w:r>
      <w:r>
        <w:t>entitlement</w:t>
      </w:r>
      <w:r w:rsidR="00A03629">
        <w:t xml:space="preserve"> </w:t>
      </w:r>
      <w:r>
        <w:t>until</w:t>
      </w:r>
      <w:r w:rsidR="00A03629">
        <w:t xml:space="preserve"> </w:t>
      </w:r>
      <w:r>
        <w:t>the</w:t>
      </w:r>
      <w:r w:rsidR="00A03629">
        <w:t xml:space="preserve"> </w:t>
      </w:r>
      <w:r>
        <w:t>employee</w:t>
      </w:r>
      <w:r w:rsidR="00A03629">
        <w:t xml:space="preserve"> </w:t>
      </w:r>
      <w:r>
        <w:t>has</w:t>
      </w:r>
      <w:r w:rsidR="00A03629">
        <w:rPr>
          <w:rFonts w:ascii="Cambria" w:hAnsi="Cambria" w:cs="Cambria"/>
        </w:rPr>
        <w:t xml:space="preserve"> </w:t>
      </w:r>
      <w:r>
        <w:t>completed</w:t>
      </w:r>
      <w:r w:rsidR="00A03629">
        <w:t xml:space="preserve"> </w:t>
      </w:r>
      <w:r>
        <w:t>the</w:t>
      </w:r>
      <w:r w:rsidR="00A03629">
        <w:t xml:space="preserve"> </w:t>
      </w:r>
      <w:r>
        <w:t>requisite</w:t>
      </w:r>
      <w:r w:rsidR="00A03629">
        <w:t xml:space="preserve"> </w:t>
      </w:r>
      <w:r>
        <w:t>years</w:t>
      </w:r>
      <w:r w:rsidR="00A03629">
        <w:t xml:space="preserve"> </w:t>
      </w:r>
      <w:r>
        <w:t>of</w:t>
      </w:r>
      <w:r w:rsidR="00A03629">
        <w:t xml:space="preserve"> </w:t>
      </w:r>
      <w:r>
        <w:t>service.</w:t>
      </w:r>
      <w:r w:rsidR="00A03629">
        <w:t xml:space="preserve"> </w:t>
      </w:r>
      <w:r>
        <w:t>This</w:t>
      </w:r>
      <w:r w:rsidR="00A03629">
        <w:rPr>
          <w:rFonts w:ascii="Cambria" w:hAnsi="Cambria" w:cs="Cambria"/>
        </w:rPr>
        <w:t xml:space="preserve"> </w:t>
      </w:r>
      <w:r>
        <w:t>non-current</w:t>
      </w:r>
      <w:r w:rsidR="00A03629">
        <w:t xml:space="preserve"> </w:t>
      </w:r>
      <w:r>
        <w:t>LSL</w:t>
      </w:r>
      <w:r w:rsidR="00A03629">
        <w:t xml:space="preserve"> </w:t>
      </w:r>
      <w:r>
        <w:t>is</w:t>
      </w:r>
      <w:r w:rsidR="00A03629">
        <w:t xml:space="preserve"> </w:t>
      </w:r>
      <w:r>
        <w:t>measured</w:t>
      </w:r>
      <w:r w:rsidR="00A03629">
        <w:t xml:space="preserve"> </w:t>
      </w:r>
      <w:r>
        <w:t>at</w:t>
      </w:r>
      <w:r w:rsidR="00A03629">
        <w:t xml:space="preserve"> </w:t>
      </w:r>
      <w:r>
        <w:t>present</w:t>
      </w:r>
      <w:r w:rsidR="00A03629">
        <w:t xml:space="preserve"> </w:t>
      </w:r>
      <w:r>
        <w:t>value.</w:t>
      </w:r>
    </w:p>
    <w:p w14:paraId="27CCAD9D" w14:textId="00F624FD" w:rsidR="000756EB" w:rsidRDefault="004A4D88" w:rsidP="00313B2D">
      <w:r>
        <w:t>Any</w:t>
      </w:r>
      <w:r w:rsidR="00A03629">
        <w:t xml:space="preserve"> </w:t>
      </w:r>
      <w:r>
        <w:t>gain</w:t>
      </w:r>
      <w:r w:rsidR="00A03629">
        <w:t xml:space="preserve"> </w:t>
      </w:r>
      <w:r>
        <w:t>or</w:t>
      </w:r>
      <w:r w:rsidR="00A03629">
        <w:t xml:space="preserve"> </w:t>
      </w:r>
      <w:r>
        <w:t>loss</w:t>
      </w:r>
      <w:r w:rsidR="00A03629">
        <w:t xml:space="preserve"> </w:t>
      </w:r>
      <w:r>
        <w:t>following</w:t>
      </w:r>
      <w:r w:rsidR="00A03629">
        <w:t xml:space="preserve"> </w:t>
      </w:r>
      <w:r>
        <w:t>revaluation</w:t>
      </w:r>
      <w:r w:rsidR="00A03629">
        <w:t xml:space="preserve"> </w:t>
      </w:r>
      <w:r>
        <w:t>of</w:t>
      </w:r>
      <w:r w:rsidR="00A03629">
        <w:t xml:space="preserve"> </w:t>
      </w:r>
      <w:r>
        <w:t>the</w:t>
      </w:r>
      <w:r w:rsidR="00A03629">
        <w:t xml:space="preserve"> </w:t>
      </w:r>
      <w:r>
        <w:t>present</w:t>
      </w:r>
      <w:r w:rsidR="00A03629">
        <w:t xml:space="preserve"> </w:t>
      </w:r>
      <w:r>
        <w:t>value</w:t>
      </w:r>
      <w:r w:rsidR="00A03629">
        <w:t xml:space="preserve"> </w:t>
      </w:r>
      <w:r>
        <w:t>of</w:t>
      </w:r>
      <w:r w:rsidR="00A03629">
        <w:t xml:space="preserve"> </w:t>
      </w:r>
      <w:r>
        <w:t>non-current</w:t>
      </w:r>
      <w:r w:rsidR="00A03629">
        <w:t xml:space="preserve"> </w:t>
      </w:r>
      <w:r>
        <w:t>LSL</w:t>
      </w:r>
      <w:r w:rsidR="00A03629">
        <w:t xml:space="preserve"> </w:t>
      </w:r>
      <w:r>
        <w:t>liability</w:t>
      </w:r>
      <w:r w:rsidR="00A03629">
        <w:t xml:space="preserve"> </w:t>
      </w:r>
      <w:r>
        <w:t>is</w:t>
      </w:r>
      <w:r w:rsidR="00A03629">
        <w:t xml:space="preserve"> </w:t>
      </w:r>
      <w:r>
        <w:t>recognised</w:t>
      </w:r>
      <w:r w:rsidR="00A03629">
        <w:t xml:space="preserve"> </w:t>
      </w:r>
      <w:r>
        <w:t>as</w:t>
      </w:r>
      <w:r w:rsidR="00A03629">
        <w:t xml:space="preserve"> </w:t>
      </w:r>
      <w:r>
        <w:t>a</w:t>
      </w:r>
      <w:r w:rsidR="00A03629">
        <w:t xml:space="preserve"> </w:t>
      </w:r>
      <w:r>
        <w:t>transaction,</w:t>
      </w:r>
      <w:r w:rsidR="00A03629">
        <w:t xml:space="preserve"> </w:t>
      </w:r>
      <w:r>
        <w:t>except</w:t>
      </w:r>
      <w:r w:rsidR="00A03629">
        <w:t xml:space="preserve"> </w:t>
      </w:r>
      <w:r>
        <w:t>to</w:t>
      </w:r>
      <w:r w:rsidR="00A03629">
        <w:t xml:space="preserve"> </w:t>
      </w:r>
      <w:r>
        <w:t>the</w:t>
      </w:r>
      <w:r w:rsidR="00A03629">
        <w:t xml:space="preserve"> </w:t>
      </w:r>
      <w:r>
        <w:t>extent</w:t>
      </w:r>
      <w:r w:rsidR="00A03629">
        <w:t xml:space="preserve"> </w:t>
      </w:r>
      <w:r>
        <w:t>that</w:t>
      </w:r>
      <w:r w:rsidR="00A03629">
        <w:t xml:space="preserve"> </w:t>
      </w:r>
      <w:r>
        <w:t>a</w:t>
      </w:r>
      <w:r w:rsidR="00A03629">
        <w:t xml:space="preserve"> </w:t>
      </w:r>
      <w:r>
        <w:t>gain</w:t>
      </w:r>
      <w:r w:rsidR="00A03629">
        <w:t xml:space="preserve"> </w:t>
      </w:r>
      <w:r>
        <w:t>or</w:t>
      </w:r>
      <w:r w:rsidR="00A03629">
        <w:t xml:space="preserve"> </w:t>
      </w:r>
      <w:r>
        <w:t>loss</w:t>
      </w:r>
      <w:r w:rsidR="00A03629">
        <w:t xml:space="preserve"> </w:t>
      </w:r>
      <w:r>
        <w:t>arises</w:t>
      </w:r>
      <w:r w:rsidR="00A03629">
        <w:t xml:space="preserve"> </w:t>
      </w:r>
      <w:r>
        <w:t>due</w:t>
      </w:r>
      <w:r w:rsidR="00A03629">
        <w:t xml:space="preserve"> </w:t>
      </w:r>
      <w:r>
        <w:t>to</w:t>
      </w:r>
      <w:r w:rsidR="00A03629">
        <w:t xml:space="preserve"> </w:t>
      </w:r>
      <w:r>
        <w:t>changes</w:t>
      </w:r>
      <w:r w:rsidR="00A03629">
        <w:t xml:space="preserve"> </w:t>
      </w:r>
      <w:r>
        <w:t>in</w:t>
      </w:r>
      <w:r w:rsidR="00A03629">
        <w:t xml:space="preserve"> </w:t>
      </w:r>
      <w:r>
        <w:t>bond</w:t>
      </w:r>
      <w:r w:rsidR="00A03629">
        <w:t xml:space="preserve"> </w:t>
      </w:r>
      <w:r>
        <w:t>interest</w:t>
      </w:r>
      <w:r w:rsidR="00A03629">
        <w:t xml:space="preserve"> </w:t>
      </w:r>
      <w:r>
        <w:t>rates</w:t>
      </w:r>
      <w:r w:rsidR="00A03629">
        <w:t xml:space="preserve"> </w:t>
      </w:r>
      <w:r>
        <w:t>for</w:t>
      </w:r>
      <w:r w:rsidR="00A03629">
        <w:t xml:space="preserve"> </w:t>
      </w:r>
      <w:r>
        <w:t>which</w:t>
      </w:r>
      <w:r w:rsidR="00A03629">
        <w:t xml:space="preserve"> </w:t>
      </w:r>
      <w:r>
        <w:t>it</w:t>
      </w:r>
      <w:r w:rsidR="00A03629">
        <w:t xml:space="preserve"> </w:t>
      </w:r>
      <w:r>
        <w:t>is</w:t>
      </w:r>
      <w:r w:rsidR="00A03629">
        <w:t xml:space="preserve"> </w:t>
      </w:r>
      <w:r>
        <w:t>then</w:t>
      </w:r>
      <w:r w:rsidR="00A03629">
        <w:t xml:space="preserve"> </w:t>
      </w:r>
      <w:r>
        <w:t>recognised</w:t>
      </w:r>
      <w:r w:rsidR="00A03629">
        <w:t xml:space="preserve"> </w:t>
      </w:r>
      <w:r>
        <w:t>as</w:t>
      </w:r>
      <w:r w:rsidR="00A03629">
        <w:t xml:space="preserve"> </w:t>
      </w:r>
      <w:r>
        <w:t>an</w:t>
      </w:r>
      <w:r w:rsidR="00A03629">
        <w:t xml:space="preserve"> </w:t>
      </w:r>
      <w:r>
        <w:t>‘other</w:t>
      </w:r>
      <w:r w:rsidR="00A03629">
        <w:t xml:space="preserve"> </w:t>
      </w:r>
      <w:r>
        <w:t>economic</w:t>
      </w:r>
      <w:r w:rsidR="00A03629">
        <w:t xml:space="preserve"> </w:t>
      </w:r>
      <w:r>
        <w:t>flow’</w:t>
      </w:r>
      <w:r w:rsidR="00A03629">
        <w:t xml:space="preserve"> </w:t>
      </w:r>
      <w:r>
        <w:t>in</w:t>
      </w:r>
      <w:r w:rsidR="00A03629">
        <w:t xml:space="preserve"> </w:t>
      </w:r>
      <w:r>
        <w:t>the</w:t>
      </w:r>
      <w:r w:rsidR="00A03629">
        <w:t xml:space="preserve"> </w:t>
      </w:r>
      <w:r>
        <w:t>net</w:t>
      </w:r>
      <w:r w:rsidR="00A03629">
        <w:t xml:space="preserve"> </w:t>
      </w:r>
      <w:r>
        <w:t>result.</w:t>
      </w:r>
    </w:p>
    <w:p w14:paraId="722D27F7" w14:textId="6FA0D70B" w:rsidR="000756EB" w:rsidRDefault="004A4D88" w:rsidP="00313B2D">
      <w:pPr>
        <w:pStyle w:val="Heading3"/>
      </w:pPr>
      <w:r>
        <w:t>3.3.3</w:t>
      </w:r>
      <w:r w:rsidR="00DE38B5">
        <w:t xml:space="preserve"> </w:t>
      </w:r>
      <w:r>
        <w:t>Superannuation</w:t>
      </w:r>
      <w:r w:rsidR="00A03629">
        <w:t xml:space="preserve"> </w:t>
      </w:r>
      <w:r>
        <w:t>contributions</w:t>
      </w:r>
    </w:p>
    <w:p w14:paraId="496316F5" w14:textId="17436CDC" w:rsidR="000756EB" w:rsidRDefault="004A4D88" w:rsidP="00313B2D">
      <w:r>
        <w:t>Employees</w:t>
      </w:r>
      <w:r w:rsidR="00A03629">
        <w:t xml:space="preserve"> </w:t>
      </w:r>
      <w:r>
        <w:t>of</w:t>
      </w:r>
      <w:r w:rsidR="00A03629">
        <w:t xml:space="preserve"> </w:t>
      </w:r>
      <w:r>
        <w:t>DJSIR</w:t>
      </w:r>
      <w:r w:rsidR="00A03629">
        <w:t xml:space="preserve"> </w:t>
      </w:r>
      <w:r>
        <w:t>are</w:t>
      </w:r>
      <w:r w:rsidR="00A03629">
        <w:t xml:space="preserve"> </w:t>
      </w:r>
      <w:r>
        <w:t>entitled</w:t>
      </w:r>
      <w:r w:rsidR="00A03629">
        <w:t xml:space="preserve"> </w:t>
      </w:r>
      <w:r>
        <w:t>to</w:t>
      </w:r>
      <w:r w:rsidR="00A03629">
        <w:t xml:space="preserve"> </w:t>
      </w:r>
      <w:r>
        <w:t>receive</w:t>
      </w:r>
      <w:r w:rsidR="00A03629">
        <w:t xml:space="preserve"> </w:t>
      </w:r>
      <w:r>
        <w:t>superannuation</w:t>
      </w:r>
      <w:r w:rsidR="00A03629">
        <w:t xml:space="preserve"> </w:t>
      </w:r>
      <w:r>
        <w:t>benefits</w:t>
      </w:r>
      <w:r w:rsidR="00A03629">
        <w:t xml:space="preserve"> </w:t>
      </w:r>
      <w:r>
        <w:t>and</w:t>
      </w:r>
      <w:r w:rsidR="00A03629">
        <w:t xml:space="preserve"> </w:t>
      </w:r>
      <w:r>
        <w:t>DJSIR</w:t>
      </w:r>
      <w:r w:rsidR="00A03629">
        <w:t xml:space="preserve"> </w:t>
      </w:r>
      <w:r>
        <w:t>contributes</w:t>
      </w:r>
      <w:r w:rsidR="00A03629">
        <w:t xml:space="preserve"> </w:t>
      </w:r>
      <w:r>
        <w:t>to</w:t>
      </w:r>
      <w:r w:rsidR="00A03629">
        <w:t xml:space="preserve"> </w:t>
      </w:r>
      <w:r>
        <w:t>both</w:t>
      </w:r>
      <w:r w:rsidR="00A03629">
        <w:t xml:space="preserve"> </w:t>
      </w:r>
      <w:r>
        <w:t>defined</w:t>
      </w:r>
      <w:r w:rsidR="00A03629">
        <w:t xml:space="preserve"> </w:t>
      </w:r>
      <w:r>
        <w:t>benefit</w:t>
      </w:r>
      <w:r w:rsidR="00A03629">
        <w:t xml:space="preserve"> </w:t>
      </w:r>
      <w:r>
        <w:t>and</w:t>
      </w:r>
      <w:r w:rsidR="00A03629">
        <w:t xml:space="preserve"> </w:t>
      </w:r>
      <w:r>
        <w:t>defined</w:t>
      </w:r>
      <w:r w:rsidR="00A03629">
        <w:t xml:space="preserve"> </w:t>
      </w:r>
      <w:r>
        <w:t>contribution</w:t>
      </w:r>
      <w:r w:rsidR="00A03629">
        <w:t xml:space="preserve"> </w:t>
      </w:r>
      <w:r>
        <w:t>plans.</w:t>
      </w:r>
      <w:r w:rsidR="00A03629">
        <w:t xml:space="preserve"> </w:t>
      </w:r>
      <w:r>
        <w:t>The</w:t>
      </w:r>
      <w:r w:rsidR="00A03629">
        <w:t xml:space="preserve"> </w:t>
      </w:r>
      <w:r>
        <w:t>defined</w:t>
      </w:r>
      <w:r w:rsidR="00A03629">
        <w:t xml:space="preserve"> </w:t>
      </w:r>
      <w:r>
        <w:t>benefit</w:t>
      </w:r>
      <w:r w:rsidR="00A03629">
        <w:t xml:space="preserve"> </w:t>
      </w:r>
      <w:r>
        <w:t>plans</w:t>
      </w:r>
      <w:r w:rsidR="00A03629">
        <w:t xml:space="preserve"> </w:t>
      </w:r>
      <w:r>
        <w:t>provide</w:t>
      </w:r>
      <w:r w:rsidR="00A03629">
        <w:t xml:space="preserve"> </w:t>
      </w:r>
      <w:r>
        <w:t>benefits</w:t>
      </w:r>
      <w:r w:rsidR="00A03629">
        <w:t xml:space="preserve"> </w:t>
      </w:r>
      <w:r>
        <w:t>based</w:t>
      </w:r>
      <w:r w:rsidR="00A03629">
        <w:t xml:space="preserve"> </w:t>
      </w:r>
      <w:r>
        <w:t>on</w:t>
      </w:r>
      <w:r w:rsidR="00A03629">
        <w:t xml:space="preserve"> </w:t>
      </w:r>
      <w:r>
        <w:t>years</w:t>
      </w:r>
      <w:r w:rsidR="00A03629">
        <w:t xml:space="preserve"> </w:t>
      </w:r>
      <w:r>
        <w:t>of</w:t>
      </w:r>
      <w:r w:rsidR="00A03629">
        <w:t xml:space="preserve"> </w:t>
      </w:r>
      <w:r>
        <w:t>service</w:t>
      </w:r>
      <w:r w:rsidR="00A03629">
        <w:t xml:space="preserve"> </w:t>
      </w:r>
      <w:r>
        <w:t>and</w:t>
      </w:r>
      <w:r w:rsidR="00A03629">
        <w:t xml:space="preserve"> </w:t>
      </w:r>
      <w:r>
        <w:t>final</w:t>
      </w:r>
      <w:r w:rsidR="00A03629">
        <w:t xml:space="preserve"> </w:t>
      </w:r>
      <w:r>
        <w:t>average</w:t>
      </w:r>
      <w:r w:rsidR="00A03629">
        <w:t xml:space="preserve"> </w:t>
      </w:r>
      <w:r>
        <w:t>salary.</w:t>
      </w:r>
    </w:p>
    <w:p w14:paraId="797481F4" w14:textId="0C878B2E" w:rsidR="000756EB" w:rsidRDefault="004A4D88" w:rsidP="00313B2D">
      <w:r>
        <w:t>Superannuation</w:t>
      </w:r>
      <w:r w:rsidR="00A03629">
        <w:t xml:space="preserve"> </w:t>
      </w:r>
      <w:r>
        <w:t>contributions</w:t>
      </w:r>
      <w:r w:rsidR="00A03629">
        <w:t xml:space="preserve"> </w:t>
      </w:r>
      <w:r>
        <w:t>paid</w:t>
      </w:r>
      <w:r w:rsidR="00A03629">
        <w:t xml:space="preserve"> </w:t>
      </w:r>
      <w:r>
        <w:t>or</w:t>
      </w:r>
      <w:r w:rsidR="00A03629">
        <w:t xml:space="preserve"> </w:t>
      </w:r>
      <w:r>
        <w:t>payable</w:t>
      </w:r>
      <w:r w:rsidR="00A03629">
        <w:t xml:space="preserve"> </w:t>
      </w:r>
      <w:r>
        <w:t>for</w:t>
      </w:r>
      <w:r w:rsidR="00A03629">
        <w:t xml:space="preserve"> </w:t>
      </w:r>
      <w:r>
        <w:t>the</w:t>
      </w:r>
      <w:r w:rsidR="00A03629">
        <w:t xml:space="preserve"> </w:t>
      </w:r>
      <w:r>
        <w:t>reporting</w:t>
      </w:r>
      <w:r w:rsidR="00A03629">
        <w:t xml:space="preserve"> </w:t>
      </w:r>
      <w:r>
        <w:t>period</w:t>
      </w:r>
      <w:r w:rsidR="00A03629">
        <w:t xml:space="preserve"> </w:t>
      </w:r>
      <w:r>
        <w:t>are</w:t>
      </w:r>
      <w:r w:rsidR="00A03629">
        <w:t xml:space="preserve"> </w:t>
      </w:r>
      <w:r>
        <w:t>included</w:t>
      </w:r>
      <w:r w:rsidR="00A03629">
        <w:t xml:space="preserve"> </w:t>
      </w:r>
      <w:r>
        <w:t>as</w:t>
      </w:r>
      <w:r w:rsidR="00A03629">
        <w:t xml:space="preserve"> </w:t>
      </w:r>
      <w:r>
        <w:t>part</w:t>
      </w:r>
      <w:r w:rsidR="00A03629">
        <w:t xml:space="preserve"> </w:t>
      </w:r>
      <w:r>
        <w:t>of</w:t>
      </w:r>
      <w:r w:rsidR="00A03629">
        <w:t xml:space="preserve"> </w:t>
      </w:r>
      <w:r>
        <w:t>employee</w:t>
      </w:r>
      <w:r w:rsidR="00A03629">
        <w:t xml:space="preserve"> </w:t>
      </w:r>
      <w:r>
        <w:t>benefits</w:t>
      </w:r>
      <w:r w:rsidR="00A03629">
        <w:t xml:space="preserve"> </w:t>
      </w:r>
      <w:r>
        <w:t>in</w:t>
      </w:r>
      <w:r w:rsidR="00A03629">
        <w:t xml:space="preserve"> </w:t>
      </w:r>
      <w:r>
        <w:t>the</w:t>
      </w:r>
      <w:r w:rsidR="00A03629">
        <w:t xml:space="preserve"> </w:t>
      </w:r>
      <w:r>
        <w:t>comprehensive</w:t>
      </w:r>
      <w:r w:rsidR="00A03629">
        <w:t xml:space="preserve"> </w:t>
      </w:r>
      <w:r>
        <w:t>operating</w:t>
      </w:r>
      <w:r w:rsidR="00A03629">
        <w:rPr>
          <w:rFonts w:ascii="Cambria" w:hAnsi="Cambria" w:cs="Cambria"/>
        </w:rPr>
        <w:t xml:space="preserve"> </w:t>
      </w:r>
      <w:r>
        <w:t>statement</w:t>
      </w:r>
      <w:r w:rsidR="00A03629">
        <w:t xml:space="preserve"> </w:t>
      </w:r>
      <w:r>
        <w:t>of</w:t>
      </w:r>
      <w:r w:rsidR="00A03629">
        <w:t xml:space="preserve"> </w:t>
      </w:r>
      <w:r>
        <w:t>DJSIR.</w:t>
      </w:r>
    </w:p>
    <w:p w14:paraId="05AA5C63" w14:textId="0FA36034" w:rsidR="000756EB" w:rsidRDefault="004A4D88" w:rsidP="00313B2D">
      <w:r>
        <w:t>DJSIR</w:t>
      </w:r>
      <w:r w:rsidR="00A03629">
        <w:t xml:space="preserve"> </w:t>
      </w:r>
      <w:r>
        <w:t>does</w:t>
      </w:r>
      <w:r w:rsidR="00A03629">
        <w:t xml:space="preserve"> </w:t>
      </w:r>
      <w:r>
        <w:t>not</w:t>
      </w:r>
      <w:r w:rsidR="00A03629">
        <w:t xml:space="preserve"> </w:t>
      </w:r>
      <w:r>
        <w:t>recognise</w:t>
      </w:r>
      <w:r w:rsidR="00A03629">
        <w:t xml:space="preserve"> </w:t>
      </w:r>
      <w:r>
        <w:t>any</w:t>
      </w:r>
      <w:r w:rsidR="00A03629">
        <w:t xml:space="preserve"> </w:t>
      </w:r>
      <w:r>
        <w:t>liability</w:t>
      </w:r>
      <w:r w:rsidR="00A03629">
        <w:t xml:space="preserve"> </w:t>
      </w:r>
      <w:r>
        <w:t>in</w:t>
      </w:r>
      <w:r w:rsidR="00A03629">
        <w:t xml:space="preserve"> </w:t>
      </w:r>
      <w:r>
        <w:t>respect</w:t>
      </w:r>
      <w:r w:rsidR="00A03629">
        <w:t xml:space="preserve"> </w:t>
      </w:r>
      <w:r>
        <w:t>of</w:t>
      </w:r>
      <w:r w:rsidR="00A03629">
        <w:t xml:space="preserve"> </w:t>
      </w:r>
      <w:r>
        <w:t>the</w:t>
      </w:r>
      <w:r w:rsidR="00A03629">
        <w:t xml:space="preserve"> </w:t>
      </w:r>
      <w:r>
        <w:t>defined</w:t>
      </w:r>
      <w:r w:rsidR="00A03629">
        <w:t xml:space="preserve"> </w:t>
      </w:r>
      <w:r>
        <w:t>benefit</w:t>
      </w:r>
      <w:r w:rsidR="00A03629">
        <w:t xml:space="preserve"> </w:t>
      </w:r>
      <w:r>
        <w:t>plans</w:t>
      </w:r>
      <w:r w:rsidR="00A03629">
        <w:t xml:space="preserve"> </w:t>
      </w:r>
      <w:r>
        <w:t>because</w:t>
      </w:r>
      <w:r w:rsidR="00A03629">
        <w:t xml:space="preserve"> </w:t>
      </w:r>
      <w:r>
        <w:t>the</w:t>
      </w:r>
      <w:r w:rsidR="00A03629">
        <w:t xml:space="preserve"> </w:t>
      </w:r>
      <w:r>
        <w:t>entity</w:t>
      </w:r>
      <w:r w:rsidR="00A03629">
        <w:t xml:space="preserve"> </w:t>
      </w:r>
      <w:r>
        <w:t>has</w:t>
      </w:r>
      <w:r w:rsidR="00A03629">
        <w:t xml:space="preserve"> </w:t>
      </w:r>
      <w:r>
        <w:t>no</w:t>
      </w:r>
      <w:r w:rsidR="00A03629">
        <w:t xml:space="preserve"> </w:t>
      </w:r>
      <w:r>
        <w:t>legal</w:t>
      </w:r>
      <w:r w:rsidR="00A03629">
        <w:t xml:space="preserve"> </w:t>
      </w:r>
      <w:r>
        <w:t>or</w:t>
      </w:r>
      <w:r w:rsidR="00A03629">
        <w:t xml:space="preserve"> </w:t>
      </w:r>
      <w:r>
        <w:t>constructive</w:t>
      </w:r>
      <w:r w:rsidR="00A03629">
        <w:t xml:space="preserve"> </w:t>
      </w:r>
      <w:r>
        <w:t>obligation</w:t>
      </w:r>
      <w:r w:rsidR="00A03629">
        <w:t xml:space="preserve"> </w:t>
      </w:r>
      <w:r>
        <w:t>to</w:t>
      </w:r>
      <w:r w:rsidR="00A03629">
        <w:t xml:space="preserve"> </w:t>
      </w:r>
      <w:r>
        <w:t>pay</w:t>
      </w:r>
      <w:r w:rsidR="00A03629">
        <w:t xml:space="preserve"> </w:t>
      </w:r>
      <w:r>
        <w:t>future</w:t>
      </w:r>
      <w:r w:rsidR="00A03629">
        <w:t xml:space="preserve"> </w:t>
      </w:r>
      <w:r>
        <w:t>benefits</w:t>
      </w:r>
      <w:r w:rsidR="00A03629">
        <w:t xml:space="preserve"> </w:t>
      </w:r>
      <w:r>
        <w:t>relating</w:t>
      </w:r>
      <w:r w:rsidR="00A03629">
        <w:t xml:space="preserve"> </w:t>
      </w:r>
      <w:r>
        <w:t>to</w:t>
      </w:r>
      <w:r w:rsidR="00A03629">
        <w:t xml:space="preserve"> </w:t>
      </w:r>
      <w:r>
        <w:t>its</w:t>
      </w:r>
      <w:r w:rsidR="00A03629">
        <w:t xml:space="preserve"> </w:t>
      </w:r>
      <w:r>
        <w:t>employees;</w:t>
      </w:r>
      <w:r w:rsidR="00A03629">
        <w:t xml:space="preserve"> </w:t>
      </w:r>
      <w:r>
        <w:t>its</w:t>
      </w:r>
      <w:r w:rsidR="00A03629">
        <w:t xml:space="preserve"> </w:t>
      </w:r>
      <w:r>
        <w:t>only</w:t>
      </w:r>
      <w:r w:rsidR="00A03629">
        <w:t xml:space="preserve"> </w:t>
      </w:r>
      <w:r>
        <w:t>obligation</w:t>
      </w:r>
      <w:r w:rsidR="00A03629">
        <w:t xml:space="preserve"> </w:t>
      </w:r>
      <w:r>
        <w:t>is</w:t>
      </w:r>
      <w:r w:rsidR="00A03629">
        <w:t xml:space="preserve"> </w:t>
      </w:r>
      <w:r>
        <w:t>to</w:t>
      </w:r>
      <w:r w:rsidR="00A03629">
        <w:t xml:space="preserve"> </w:t>
      </w:r>
      <w:r>
        <w:t>pay</w:t>
      </w:r>
      <w:r w:rsidR="00A03629">
        <w:t xml:space="preserve"> </w:t>
      </w:r>
      <w:r>
        <w:t>superannuation</w:t>
      </w:r>
      <w:r w:rsidR="00A03629">
        <w:t xml:space="preserve"> </w:t>
      </w:r>
      <w:r>
        <w:t>contributions</w:t>
      </w:r>
      <w:r w:rsidR="00A03629">
        <w:t xml:space="preserve"> </w:t>
      </w:r>
      <w:r>
        <w:t>as</w:t>
      </w:r>
      <w:r w:rsidR="00A03629">
        <w:t xml:space="preserve"> </w:t>
      </w:r>
      <w:r>
        <w:t>they</w:t>
      </w:r>
      <w:r w:rsidR="00A03629">
        <w:t xml:space="preserve"> </w:t>
      </w:r>
      <w:r>
        <w:t>fall</w:t>
      </w:r>
      <w:r w:rsidR="00A03629">
        <w:t xml:space="preserve"> </w:t>
      </w:r>
      <w:r>
        <w:t>due.</w:t>
      </w:r>
      <w:r w:rsidR="00A03629">
        <w:t xml:space="preserve"> </w:t>
      </w:r>
      <w:r>
        <w:t>The</w:t>
      </w:r>
      <w:r w:rsidR="00A03629">
        <w:t xml:space="preserve"> </w:t>
      </w:r>
      <w:r>
        <w:t>Department</w:t>
      </w:r>
      <w:r w:rsidR="00A03629">
        <w:t xml:space="preserve"> </w:t>
      </w:r>
      <w:r>
        <w:t>of</w:t>
      </w:r>
      <w:r w:rsidR="00A03629">
        <w:t xml:space="preserve"> </w:t>
      </w:r>
      <w:r>
        <w:t>Treasury</w:t>
      </w:r>
      <w:r w:rsidR="00A03629">
        <w:t xml:space="preserve"> </w:t>
      </w:r>
      <w:r>
        <w:t>and</w:t>
      </w:r>
      <w:r w:rsidR="00A03629">
        <w:t xml:space="preserve"> </w:t>
      </w:r>
      <w:r>
        <w:t>Finance</w:t>
      </w:r>
      <w:r w:rsidR="00A03629">
        <w:t xml:space="preserve"> </w:t>
      </w:r>
      <w:r>
        <w:t>recognises</w:t>
      </w:r>
      <w:r w:rsidR="00A03629">
        <w:t xml:space="preserve"> </w:t>
      </w:r>
      <w:r>
        <w:t>and</w:t>
      </w:r>
      <w:r w:rsidR="00A03629">
        <w:t xml:space="preserve"> </w:t>
      </w:r>
      <w:r>
        <w:t>discloses</w:t>
      </w:r>
      <w:r w:rsidR="00A03629">
        <w:t xml:space="preserve"> </w:t>
      </w:r>
      <w:r>
        <w:t>the</w:t>
      </w:r>
      <w:r w:rsidR="00A03629">
        <w:t xml:space="preserve"> </w:t>
      </w:r>
      <w:r>
        <w:t>State’s</w:t>
      </w:r>
      <w:r w:rsidR="00A03629">
        <w:t xml:space="preserve"> </w:t>
      </w:r>
      <w:r>
        <w:t>defined</w:t>
      </w:r>
      <w:r w:rsidR="00A03629">
        <w:t xml:space="preserve"> </w:t>
      </w:r>
      <w:r>
        <w:t>benefit</w:t>
      </w:r>
      <w:r w:rsidR="00A03629">
        <w:t xml:space="preserve"> </w:t>
      </w:r>
      <w:r>
        <w:t>liabilities</w:t>
      </w:r>
      <w:r w:rsidR="00A03629">
        <w:t xml:space="preserve"> </w:t>
      </w:r>
      <w:r>
        <w:t>in</w:t>
      </w:r>
      <w:r w:rsidR="00A03629">
        <w:t xml:space="preserve"> </w:t>
      </w:r>
      <w:r>
        <w:t>its</w:t>
      </w:r>
      <w:r w:rsidR="00A03629">
        <w:t xml:space="preserve"> </w:t>
      </w:r>
      <w:r>
        <w:t>financial</w:t>
      </w:r>
      <w:r w:rsidR="00A03629">
        <w:t xml:space="preserve"> </w:t>
      </w:r>
      <w:r>
        <w:t>statements</w:t>
      </w:r>
      <w:r w:rsidR="00A03629">
        <w:t xml:space="preserve"> </w:t>
      </w:r>
      <w:r>
        <w:t>as</w:t>
      </w:r>
      <w:r w:rsidR="00A03629">
        <w:t xml:space="preserve"> </w:t>
      </w:r>
      <w:r>
        <w:t>an</w:t>
      </w:r>
      <w:r w:rsidR="00A03629">
        <w:t xml:space="preserve"> </w:t>
      </w:r>
      <w:r>
        <w:t>administered</w:t>
      </w:r>
      <w:r w:rsidR="00A03629">
        <w:t xml:space="preserve"> </w:t>
      </w:r>
      <w:r>
        <w:t>liability.</w:t>
      </w:r>
    </w:p>
    <w:p w14:paraId="73A7076C" w14:textId="4C0136A2" w:rsidR="000756EB" w:rsidRDefault="004A4D88" w:rsidP="00313B2D">
      <w:pPr>
        <w:pStyle w:val="Normalbeforebullets"/>
      </w:pPr>
      <w:r>
        <w:lastRenderedPageBreak/>
        <w:t>The</w:t>
      </w:r>
      <w:r w:rsidR="00A03629">
        <w:t xml:space="preserve"> </w:t>
      </w:r>
      <w:r>
        <w:t>name,</w:t>
      </w:r>
      <w:r w:rsidR="00A03629">
        <w:t xml:space="preserve"> </w:t>
      </w:r>
      <w:r>
        <w:t>details</w:t>
      </w:r>
      <w:r w:rsidR="00A03629">
        <w:t xml:space="preserve"> </w:t>
      </w:r>
      <w:r>
        <w:t>and</w:t>
      </w:r>
      <w:r w:rsidR="00A03629">
        <w:t xml:space="preserve"> </w:t>
      </w:r>
      <w:r>
        <w:t>amounts</w:t>
      </w:r>
      <w:r w:rsidR="00A03629">
        <w:t xml:space="preserve"> </w:t>
      </w:r>
      <w:r>
        <w:t>expensed</w:t>
      </w:r>
      <w:r w:rsidR="00A03629">
        <w:t xml:space="preserve"> </w:t>
      </w:r>
      <w:r>
        <w:t>in</w:t>
      </w:r>
      <w:r w:rsidR="00A03629">
        <w:t xml:space="preserve"> </w:t>
      </w:r>
      <w:r>
        <w:t>relation</w:t>
      </w:r>
      <w:r w:rsidR="00A03629">
        <w:t xml:space="preserve"> </w:t>
      </w:r>
      <w:r>
        <w:t>to</w:t>
      </w:r>
      <w:r w:rsidR="00A03629">
        <w:t xml:space="preserve"> </w:t>
      </w:r>
      <w:r>
        <w:t>the</w:t>
      </w:r>
      <w:r w:rsidR="00A03629">
        <w:t xml:space="preserve"> </w:t>
      </w:r>
      <w:r>
        <w:t>major</w:t>
      </w:r>
      <w:r w:rsidR="00A03629">
        <w:t xml:space="preserve"> </w:t>
      </w:r>
      <w:r>
        <w:t>employee</w:t>
      </w:r>
      <w:r w:rsidR="00A03629">
        <w:t xml:space="preserve"> </w:t>
      </w:r>
      <w:r>
        <w:t>superannuation</w:t>
      </w:r>
      <w:r w:rsidR="00A03629">
        <w:t xml:space="preserve"> </w:t>
      </w:r>
      <w:r>
        <w:t>funds</w:t>
      </w:r>
      <w:r w:rsidR="00A03629">
        <w:t xml:space="preserve"> </w:t>
      </w:r>
      <w:r>
        <w:t>and</w:t>
      </w:r>
      <w:r w:rsidR="00A03629">
        <w:t xml:space="preserve"> </w:t>
      </w:r>
      <w:r>
        <w:t>contributions</w:t>
      </w:r>
      <w:r w:rsidR="00A03629">
        <w:t xml:space="preserve"> </w:t>
      </w:r>
      <w:r>
        <w:t>made</w:t>
      </w:r>
      <w:r w:rsidR="00A03629">
        <w:t xml:space="preserve"> </w:t>
      </w:r>
      <w:r>
        <w:t>by</w:t>
      </w:r>
      <w:r w:rsidR="00A03629">
        <w:t xml:space="preserve"> </w:t>
      </w:r>
      <w:r>
        <w:t>DJSIR</w:t>
      </w:r>
      <w:r w:rsidR="00A03629">
        <w:t xml:space="preserve"> </w:t>
      </w:r>
      <w:r>
        <w:t>are</w:t>
      </w:r>
      <w:r w:rsidR="00A03629">
        <w:t xml:space="preserve"> </w:t>
      </w:r>
      <w:r>
        <w:t>as</w:t>
      </w:r>
      <w:r w:rsidR="00A03629">
        <w:t xml:space="preserve"> </w:t>
      </w:r>
      <w:r>
        <w:t>follows:</w:t>
      </w:r>
    </w:p>
    <w:tbl>
      <w:tblPr>
        <w:tblStyle w:val="TableGrid"/>
        <w:tblW w:w="10201" w:type="dxa"/>
        <w:tblLayout w:type="fixed"/>
        <w:tblLook w:val="0020" w:firstRow="1" w:lastRow="0" w:firstColumn="0" w:lastColumn="0" w:noHBand="0" w:noVBand="0"/>
      </w:tblPr>
      <w:tblGrid>
        <w:gridCol w:w="6236"/>
        <w:gridCol w:w="1982"/>
        <w:gridCol w:w="1983"/>
      </w:tblGrid>
      <w:tr w:rsidR="000756EB" w:rsidRPr="00C170EE" w14:paraId="381F4C26" w14:textId="77777777" w:rsidTr="00C170EE">
        <w:trPr>
          <w:cantSplit/>
        </w:trPr>
        <w:tc>
          <w:tcPr>
            <w:tcW w:w="6236" w:type="dxa"/>
          </w:tcPr>
          <w:p w14:paraId="59AF4826" w14:textId="77777777" w:rsidR="000756EB" w:rsidRPr="00C170EE" w:rsidRDefault="000756EB" w:rsidP="00C170EE">
            <w:pPr>
              <w:pStyle w:val="TableColumnHeading"/>
            </w:pPr>
            <w:bookmarkStart w:id="31" w:name="ColumnTitles_12"/>
            <w:bookmarkEnd w:id="31"/>
          </w:p>
        </w:tc>
        <w:tc>
          <w:tcPr>
            <w:tcW w:w="1982" w:type="dxa"/>
          </w:tcPr>
          <w:p w14:paraId="346FBAB0" w14:textId="4AEE2374" w:rsidR="000756EB" w:rsidRPr="00C170EE" w:rsidRDefault="00313B2D" w:rsidP="00C170EE">
            <w:pPr>
              <w:pStyle w:val="TableColumnHeading"/>
              <w:jc w:val="right"/>
            </w:pPr>
            <w:r w:rsidRPr="00C170EE">
              <w:t xml:space="preserve">Paid contribution for the period </w:t>
            </w:r>
            <w:r w:rsidRPr="00614829">
              <w:rPr>
                <w:rStyle w:val="FootnotereferencessuperscriptMisc"/>
              </w:rPr>
              <w:t>(ii)</w:t>
            </w:r>
            <w:r w:rsidR="00C170EE" w:rsidRPr="00614829">
              <w:rPr>
                <w:rStyle w:val="FootnotereferencessuperscriptMisc"/>
                <w:vertAlign w:val="baseline"/>
              </w:rPr>
              <w:t xml:space="preserve"> </w:t>
            </w:r>
            <w:r w:rsidR="004A4D88" w:rsidRPr="00C170EE">
              <w:t>2023</w:t>
            </w:r>
            <w:r w:rsidR="00C170EE" w:rsidRPr="00C170EE">
              <w:t xml:space="preserve"> ($ thousand)</w:t>
            </w:r>
            <w:r w:rsidR="00A03629" w:rsidRPr="00C170EE">
              <w:t xml:space="preserve"> </w:t>
            </w:r>
          </w:p>
        </w:tc>
        <w:tc>
          <w:tcPr>
            <w:tcW w:w="1983" w:type="dxa"/>
          </w:tcPr>
          <w:p w14:paraId="3D59C675" w14:textId="04D137E4" w:rsidR="000756EB" w:rsidRPr="00C170EE" w:rsidRDefault="00313B2D" w:rsidP="00C170EE">
            <w:pPr>
              <w:pStyle w:val="TableColumnHeading"/>
              <w:jc w:val="right"/>
            </w:pPr>
            <w:r w:rsidRPr="00C170EE">
              <w:t xml:space="preserve">Paid contribution for the period </w:t>
            </w:r>
            <w:r w:rsidRPr="00614829">
              <w:rPr>
                <w:rStyle w:val="FootnotereferencessuperscriptMisc"/>
              </w:rPr>
              <w:t>(ii)</w:t>
            </w:r>
            <w:r w:rsidR="00C170EE" w:rsidRPr="00614829">
              <w:rPr>
                <w:rStyle w:val="FootnotereferencessuperscriptMisc"/>
                <w:vertAlign w:val="baseline"/>
              </w:rPr>
              <w:t xml:space="preserve"> </w:t>
            </w:r>
            <w:r w:rsidR="004A4D88" w:rsidRPr="00C170EE">
              <w:t>2022</w:t>
            </w:r>
            <w:r w:rsidR="00C170EE" w:rsidRPr="00C170EE">
              <w:t xml:space="preserve"> ($ thousand)</w:t>
            </w:r>
          </w:p>
        </w:tc>
      </w:tr>
      <w:tr w:rsidR="000756EB" w:rsidRPr="00C170EE" w14:paraId="0F0931E2" w14:textId="77777777" w:rsidTr="00C170EE">
        <w:trPr>
          <w:cantSplit/>
        </w:trPr>
        <w:tc>
          <w:tcPr>
            <w:tcW w:w="6236" w:type="dxa"/>
          </w:tcPr>
          <w:p w14:paraId="23B918E3" w14:textId="77777777" w:rsidR="000756EB" w:rsidRPr="00C170EE" w:rsidRDefault="004A4D88" w:rsidP="00C170EE">
            <w:pPr>
              <w:pStyle w:val="TableHeading"/>
            </w:pPr>
            <w:r w:rsidRPr="00C170EE">
              <w:t>Fund</w:t>
            </w:r>
          </w:p>
        </w:tc>
        <w:tc>
          <w:tcPr>
            <w:tcW w:w="1982" w:type="dxa"/>
          </w:tcPr>
          <w:p w14:paraId="0EFC7018" w14:textId="77777777" w:rsidR="000756EB" w:rsidRPr="00C170EE" w:rsidRDefault="000756EB" w:rsidP="00C170EE">
            <w:pPr>
              <w:pStyle w:val="TableHeading"/>
              <w:jc w:val="right"/>
            </w:pPr>
          </w:p>
        </w:tc>
        <w:tc>
          <w:tcPr>
            <w:tcW w:w="1983" w:type="dxa"/>
          </w:tcPr>
          <w:p w14:paraId="056501F8" w14:textId="77777777" w:rsidR="000756EB" w:rsidRPr="00C170EE" w:rsidRDefault="000756EB" w:rsidP="00C170EE">
            <w:pPr>
              <w:pStyle w:val="TableHeading"/>
              <w:jc w:val="right"/>
            </w:pPr>
          </w:p>
        </w:tc>
      </w:tr>
      <w:tr w:rsidR="000756EB" w:rsidRPr="00C170EE" w14:paraId="67CF26F5" w14:textId="77777777" w:rsidTr="00C170EE">
        <w:trPr>
          <w:cantSplit/>
        </w:trPr>
        <w:tc>
          <w:tcPr>
            <w:tcW w:w="6236" w:type="dxa"/>
          </w:tcPr>
          <w:p w14:paraId="6ECB53B6" w14:textId="4DBC9B79" w:rsidR="000756EB" w:rsidRPr="00C170EE" w:rsidRDefault="004A4D88" w:rsidP="00C170EE">
            <w:pPr>
              <w:pStyle w:val="TableHeading"/>
            </w:pPr>
            <w:r w:rsidRPr="00C170EE">
              <w:t>Defined</w:t>
            </w:r>
            <w:r w:rsidR="00A03629" w:rsidRPr="00C170EE">
              <w:t xml:space="preserve"> </w:t>
            </w:r>
            <w:r w:rsidRPr="00C170EE">
              <w:t>benefit</w:t>
            </w:r>
            <w:r w:rsidR="00A03629" w:rsidRPr="00C170EE">
              <w:t xml:space="preserve"> </w:t>
            </w:r>
            <w:r w:rsidRPr="00C170EE">
              <w:t>plans</w:t>
            </w:r>
            <w:r w:rsidR="00A03629" w:rsidRPr="00C170EE">
              <w:t xml:space="preserve"> </w:t>
            </w:r>
            <w:r w:rsidRPr="00C170EE">
              <w:rPr>
                <w:vertAlign w:val="superscript"/>
              </w:rPr>
              <w:t>(</w:t>
            </w:r>
            <w:proofErr w:type="spellStart"/>
            <w:r w:rsidRPr="00C170EE">
              <w:rPr>
                <w:vertAlign w:val="superscript"/>
              </w:rPr>
              <w:t>i</w:t>
            </w:r>
            <w:proofErr w:type="spellEnd"/>
            <w:r w:rsidRPr="00C170EE">
              <w:rPr>
                <w:vertAlign w:val="superscript"/>
              </w:rPr>
              <w:t>)</w:t>
            </w:r>
          </w:p>
        </w:tc>
        <w:tc>
          <w:tcPr>
            <w:tcW w:w="1982" w:type="dxa"/>
          </w:tcPr>
          <w:p w14:paraId="09575832" w14:textId="77777777" w:rsidR="000756EB" w:rsidRPr="00C170EE" w:rsidRDefault="000756EB" w:rsidP="00C170EE">
            <w:pPr>
              <w:pStyle w:val="TableHeading"/>
              <w:jc w:val="right"/>
            </w:pPr>
          </w:p>
        </w:tc>
        <w:tc>
          <w:tcPr>
            <w:tcW w:w="1983" w:type="dxa"/>
          </w:tcPr>
          <w:p w14:paraId="76DF1901" w14:textId="77777777" w:rsidR="000756EB" w:rsidRPr="00C170EE" w:rsidRDefault="000756EB" w:rsidP="00C170EE">
            <w:pPr>
              <w:pStyle w:val="TableHeading"/>
              <w:jc w:val="right"/>
            </w:pPr>
          </w:p>
        </w:tc>
      </w:tr>
      <w:tr w:rsidR="000756EB" w:rsidRPr="00C170EE" w14:paraId="7553EC9A" w14:textId="77777777" w:rsidTr="00C170EE">
        <w:trPr>
          <w:cantSplit/>
        </w:trPr>
        <w:tc>
          <w:tcPr>
            <w:tcW w:w="6236" w:type="dxa"/>
          </w:tcPr>
          <w:p w14:paraId="11167EEA" w14:textId="34006839" w:rsidR="000756EB" w:rsidRPr="00C170EE" w:rsidRDefault="004A4D88" w:rsidP="00C170EE">
            <w:pPr>
              <w:pStyle w:val="TableCopy"/>
            </w:pPr>
            <w:r w:rsidRPr="00C170EE">
              <w:t>State</w:t>
            </w:r>
            <w:r w:rsidR="00A03629" w:rsidRPr="00C170EE">
              <w:t xml:space="preserve"> </w:t>
            </w:r>
            <w:r w:rsidRPr="00C170EE">
              <w:t>Superannuation</w:t>
            </w:r>
            <w:r w:rsidR="00A03629" w:rsidRPr="00C170EE">
              <w:t xml:space="preserve"> </w:t>
            </w:r>
            <w:r w:rsidRPr="00C170EE">
              <w:t>Fund</w:t>
            </w:r>
            <w:r w:rsidR="00A03629" w:rsidRPr="00C170EE">
              <w:t xml:space="preserve"> </w:t>
            </w:r>
            <w:r w:rsidRPr="00C170EE">
              <w:t>–</w:t>
            </w:r>
            <w:r w:rsidR="00A03629" w:rsidRPr="00C170EE">
              <w:t xml:space="preserve"> </w:t>
            </w:r>
            <w:r w:rsidRPr="00C170EE">
              <w:t>revised</w:t>
            </w:r>
            <w:r w:rsidR="00A03629" w:rsidRPr="00C170EE">
              <w:t xml:space="preserve"> </w:t>
            </w:r>
            <w:r w:rsidRPr="00C170EE">
              <w:t>and</w:t>
            </w:r>
            <w:r w:rsidR="00A03629" w:rsidRPr="00C170EE">
              <w:t xml:space="preserve"> </w:t>
            </w:r>
            <w:r w:rsidRPr="00C170EE">
              <w:t>new</w:t>
            </w:r>
          </w:p>
        </w:tc>
        <w:tc>
          <w:tcPr>
            <w:tcW w:w="1982" w:type="dxa"/>
          </w:tcPr>
          <w:p w14:paraId="270F9ECA" w14:textId="77777777" w:rsidR="000756EB" w:rsidRPr="00C170EE" w:rsidRDefault="004A4D88" w:rsidP="00C170EE">
            <w:pPr>
              <w:pStyle w:val="TableCopy"/>
              <w:jc w:val="right"/>
            </w:pPr>
            <w:r w:rsidRPr="00C170EE">
              <w:t>(916)</w:t>
            </w:r>
          </w:p>
        </w:tc>
        <w:tc>
          <w:tcPr>
            <w:tcW w:w="1983" w:type="dxa"/>
          </w:tcPr>
          <w:p w14:paraId="1D4B85AD" w14:textId="77777777" w:rsidR="000756EB" w:rsidRPr="00C170EE" w:rsidRDefault="004A4D88" w:rsidP="00C170EE">
            <w:pPr>
              <w:pStyle w:val="TableCopy"/>
              <w:jc w:val="right"/>
            </w:pPr>
            <w:r w:rsidRPr="00C170EE">
              <w:t>(2,184)</w:t>
            </w:r>
          </w:p>
        </w:tc>
      </w:tr>
      <w:tr w:rsidR="000756EB" w:rsidRPr="00C170EE" w14:paraId="18862242" w14:textId="77777777" w:rsidTr="00C170EE">
        <w:trPr>
          <w:cantSplit/>
        </w:trPr>
        <w:tc>
          <w:tcPr>
            <w:tcW w:w="6236" w:type="dxa"/>
          </w:tcPr>
          <w:p w14:paraId="2FA8B6F9" w14:textId="2AFB3309" w:rsidR="000756EB" w:rsidRPr="00C170EE" w:rsidRDefault="004A4D88" w:rsidP="00C170EE">
            <w:pPr>
              <w:pStyle w:val="TableHeading"/>
            </w:pPr>
            <w:r w:rsidRPr="00C170EE">
              <w:t>Defined</w:t>
            </w:r>
            <w:r w:rsidR="00A03629" w:rsidRPr="00C170EE">
              <w:t xml:space="preserve"> </w:t>
            </w:r>
            <w:r w:rsidRPr="00C170EE">
              <w:t>contribution</w:t>
            </w:r>
            <w:r w:rsidR="00A03629" w:rsidRPr="00C170EE">
              <w:t xml:space="preserve"> </w:t>
            </w:r>
            <w:r w:rsidRPr="00C170EE">
              <w:t>plans</w:t>
            </w:r>
          </w:p>
        </w:tc>
        <w:tc>
          <w:tcPr>
            <w:tcW w:w="1982" w:type="dxa"/>
          </w:tcPr>
          <w:p w14:paraId="76803F00" w14:textId="77777777" w:rsidR="000756EB" w:rsidRPr="00C170EE" w:rsidRDefault="000756EB" w:rsidP="00C170EE">
            <w:pPr>
              <w:pStyle w:val="TableHeading"/>
              <w:jc w:val="right"/>
            </w:pPr>
          </w:p>
        </w:tc>
        <w:tc>
          <w:tcPr>
            <w:tcW w:w="1983" w:type="dxa"/>
          </w:tcPr>
          <w:p w14:paraId="30FDED52" w14:textId="77777777" w:rsidR="000756EB" w:rsidRPr="00C170EE" w:rsidRDefault="000756EB" w:rsidP="00C170EE">
            <w:pPr>
              <w:pStyle w:val="TableHeading"/>
              <w:jc w:val="right"/>
            </w:pPr>
          </w:p>
        </w:tc>
      </w:tr>
      <w:tr w:rsidR="000756EB" w:rsidRPr="00C170EE" w14:paraId="07CB5334" w14:textId="77777777" w:rsidTr="00C170EE">
        <w:trPr>
          <w:cantSplit/>
        </w:trPr>
        <w:tc>
          <w:tcPr>
            <w:tcW w:w="6236" w:type="dxa"/>
          </w:tcPr>
          <w:p w14:paraId="6CDCEBAE" w14:textId="4B5199FB" w:rsidR="000756EB" w:rsidRPr="00C170EE" w:rsidRDefault="004A4D88" w:rsidP="00C170EE">
            <w:pPr>
              <w:pStyle w:val="TableCopy"/>
            </w:pPr>
            <w:r w:rsidRPr="00C170EE">
              <w:t>Aware</w:t>
            </w:r>
            <w:r w:rsidR="00A03629" w:rsidRPr="00C170EE">
              <w:t xml:space="preserve"> </w:t>
            </w:r>
            <w:r w:rsidRPr="00C170EE">
              <w:t>Super</w:t>
            </w:r>
          </w:p>
        </w:tc>
        <w:tc>
          <w:tcPr>
            <w:tcW w:w="1982" w:type="dxa"/>
          </w:tcPr>
          <w:p w14:paraId="724A6AC5" w14:textId="77777777" w:rsidR="000756EB" w:rsidRPr="00C170EE" w:rsidRDefault="004A4D88" w:rsidP="00C170EE">
            <w:pPr>
              <w:pStyle w:val="TableCopy"/>
              <w:jc w:val="right"/>
            </w:pPr>
            <w:r w:rsidRPr="00C170EE">
              <w:t>(18,790)</w:t>
            </w:r>
          </w:p>
        </w:tc>
        <w:tc>
          <w:tcPr>
            <w:tcW w:w="1983" w:type="dxa"/>
          </w:tcPr>
          <w:p w14:paraId="2BEEEB73" w14:textId="77777777" w:rsidR="000756EB" w:rsidRPr="00C170EE" w:rsidRDefault="004A4D88" w:rsidP="00C170EE">
            <w:pPr>
              <w:pStyle w:val="TableCopy"/>
              <w:jc w:val="right"/>
            </w:pPr>
            <w:r w:rsidRPr="00C170EE">
              <w:t>(23,016)</w:t>
            </w:r>
          </w:p>
        </w:tc>
      </w:tr>
      <w:tr w:rsidR="000756EB" w:rsidRPr="00C170EE" w14:paraId="7FE2DF1D" w14:textId="77777777" w:rsidTr="00C170EE">
        <w:trPr>
          <w:cantSplit/>
        </w:trPr>
        <w:tc>
          <w:tcPr>
            <w:tcW w:w="6236" w:type="dxa"/>
          </w:tcPr>
          <w:p w14:paraId="1E439CC1" w14:textId="0485CEAA" w:rsidR="000756EB" w:rsidRPr="00C170EE" w:rsidRDefault="004A4D88" w:rsidP="00C170EE">
            <w:pPr>
              <w:pStyle w:val="TableCopy"/>
            </w:pPr>
            <w:r w:rsidRPr="00C170EE">
              <w:t>Australian</w:t>
            </w:r>
            <w:r w:rsidR="00A03629" w:rsidRPr="00C170EE">
              <w:t xml:space="preserve"> </w:t>
            </w:r>
            <w:r w:rsidRPr="00C170EE">
              <w:t>Super</w:t>
            </w:r>
          </w:p>
        </w:tc>
        <w:tc>
          <w:tcPr>
            <w:tcW w:w="1982" w:type="dxa"/>
          </w:tcPr>
          <w:p w14:paraId="22E147B2" w14:textId="77777777" w:rsidR="000756EB" w:rsidRPr="00C170EE" w:rsidRDefault="004A4D88" w:rsidP="00C170EE">
            <w:pPr>
              <w:pStyle w:val="TableCopy"/>
              <w:jc w:val="right"/>
            </w:pPr>
            <w:r w:rsidRPr="00C170EE">
              <w:t>(4,142)</w:t>
            </w:r>
          </w:p>
        </w:tc>
        <w:tc>
          <w:tcPr>
            <w:tcW w:w="1983" w:type="dxa"/>
          </w:tcPr>
          <w:p w14:paraId="37883841" w14:textId="77777777" w:rsidR="000756EB" w:rsidRPr="00C170EE" w:rsidRDefault="004A4D88" w:rsidP="00C170EE">
            <w:pPr>
              <w:pStyle w:val="TableCopy"/>
              <w:jc w:val="right"/>
            </w:pPr>
            <w:r w:rsidRPr="00C170EE">
              <w:t>(4,376)</w:t>
            </w:r>
          </w:p>
        </w:tc>
      </w:tr>
      <w:tr w:rsidR="000756EB" w:rsidRPr="00C170EE" w14:paraId="3A7A11F6" w14:textId="77777777" w:rsidTr="00C170EE">
        <w:trPr>
          <w:cantSplit/>
        </w:trPr>
        <w:tc>
          <w:tcPr>
            <w:tcW w:w="6236" w:type="dxa"/>
          </w:tcPr>
          <w:p w14:paraId="3D966302" w14:textId="2CB2705B" w:rsidR="000756EB" w:rsidRPr="00C170EE" w:rsidRDefault="004A4D88" w:rsidP="00C170EE">
            <w:pPr>
              <w:pStyle w:val="TableCopy"/>
            </w:pPr>
            <w:r w:rsidRPr="00C170EE">
              <w:t>Other</w:t>
            </w:r>
            <w:r w:rsidR="00A03629" w:rsidRPr="00C170EE">
              <w:t xml:space="preserve"> </w:t>
            </w:r>
            <w:r w:rsidRPr="00C170EE">
              <w:rPr>
                <w:vertAlign w:val="superscript"/>
              </w:rPr>
              <w:t>(iii)</w:t>
            </w:r>
          </w:p>
        </w:tc>
        <w:tc>
          <w:tcPr>
            <w:tcW w:w="1982" w:type="dxa"/>
          </w:tcPr>
          <w:p w14:paraId="4D6106C9" w14:textId="77777777" w:rsidR="000756EB" w:rsidRPr="00C170EE" w:rsidRDefault="004A4D88" w:rsidP="00C170EE">
            <w:pPr>
              <w:pStyle w:val="TableCopy"/>
              <w:jc w:val="right"/>
            </w:pPr>
            <w:r w:rsidRPr="00C170EE">
              <w:t>(14,719)</w:t>
            </w:r>
          </w:p>
        </w:tc>
        <w:tc>
          <w:tcPr>
            <w:tcW w:w="1983" w:type="dxa"/>
          </w:tcPr>
          <w:p w14:paraId="1E4E3CAA" w14:textId="77777777" w:rsidR="000756EB" w:rsidRPr="00C170EE" w:rsidRDefault="004A4D88" w:rsidP="00C170EE">
            <w:pPr>
              <w:pStyle w:val="TableCopy"/>
              <w:jc w:val="right"/>
            </w:pPr>
            <w:r w:rsidRPr="00C170EE">
              <w:t>(16,846)</w:t>
            </w:r>
          </w:p>
        </w:tc>
      </w:tr>
      <w:tr w:rsidR="000756EB" w:rsidRPr="00C170EE" w14:paraId="62086C52" w14:textId="77777777" w:rsidTr="00C170EE">
        <w:trPr>
          <w:cantSplit/>
        </w:trPr>
        <w:tc>
          <w:tcPr>
            <w:tcW w:w="6236" w:type="dxa"/>
          </w:tcPr>
          <w:p w14:paraId="780FD9CA" w14:textId="77777777" w:rsidR="000756EB" w:rsidRPr="00C170EE" w:rsidRDefault="004A4D88" w:rsidP="00C170EE">
            <w:pPr>
              <w:pStyle w:val="TableCopy"/>
              <w:rPr>
                <w:b/>
                <w:bCs/>
              </w:rPr>
            </w:pPr>
            <w:r w:rsidRPr="00C170EE">
              <w:rPr>
                <w:b/>
                <w:bCs/>
              </w:rPr>
              <w:t>Total</w:t>
            </w:r>
          </w:p>
        </w:tc>
        <w:tc>
          <w:tcPr>
            <w:tcW w:w="1982" w:type="dxa"/>
          </w:tcPr>
          <w:p w14:paraId="132308E8" w14:textId="77777777" w:rsidR="000756EB" w:rsidRPr="00C170EE" w:rsidRDefault="004A4D88" w:rsidP="00C170EE">
            <w:pPr>
              <w:pStyle w:val="TableCopy"/>
              <w:jc w:val="right"/>
              <w:rPr>
                <w:b/>
                <w:bCs/>
              </w:rPr>
            </w:pPr>
            <w:r w:rsidRPr="00C170EE">
              <w:rPr>
                <w:b/>
                <w:bCs/>
              </w:rPr>
              <w:t>(38,567)</w:t>
            </w:r>
          </w:p>
        </w:tc>
        <w:tc>
          <w:tcPr>
            <w:tcW w:w="1983" w:type="dxa"/>
          </w:tcPr>
          <w:p w14:paraId="42195CC3" w14:textId="77777777" w:rsidR="000756EB" w:rsidRPr="00C170EE" w:rsidRDefault="004A4D88" w:rsidP="00C170EE">
            <w:pPr>
              <w:pStyle w:val="TableCopy"/>
              <w:jc w:val="right"/>
              <w:rPr>
                <w:b/>
                <w:bCs/>
              </w:rPr>
            </w:pPr>
            <w:r w:rsidRPr="00C170EE">
              <w:rPr>
                <w:b/>
                <w:bCs/>
              </w:rPr>
              <w:t>(46,422)</w:t>
            </w:r>
          </w:p>
        </w:tc>
      </w:tr>
    </w:tbl>
    <w:p w14:paraId="529288CE" w14:textId="56689077" w:rsidR="00C170EE" w:rsidRDefault="00C170EE" w:rsidP="00C170EE">
      <w:pPr>
        <w:pStyle w:val="FootnoteText"/>
        <w:spacing w:before="120"/>
      </w:pPr>
      <w:r>
        <w:t>(</w:t>
      </w:r>
      <w:proofErr w:type="spellStart"/>
      <w:r>
        <w:t>i</w:t>
      </w:r>
      <w:proofErr w:type="spellEnd"/>
      <w:r>
        <w:t>) The basis for determining the level of contributions is determined by the various actuaries of the defined benefit superannuation plans.</w:t>
      </w:r>
    </w:p>
    <w:p w14:paraId="5A972A57" w14:textId="08B669E7" w:rsidR="00C170EE" w:rsidRDefault="00C170EE" w:rsidP="00C170EE">
      <w:pPr>
        <w:pStyle w:val="FootnoteText"/>
      </w:pPr>
      <w:r>
        <w:t>(ii) There were no outstanding contributions at 30 June 2023 (</w:t>
      </w:r>
      <w:proofErr w:type="gramStart"/>
      <w:r>
        <w:t>2022:Nil</w:t>
      </w:r>
      <w:proofErr w:type="gramEnd"/>
      <w:r>
        <w:t>)</w:t>
      </w:r>
    </w:p>
    <w:p w14:paraId="5AA9DBE2" w14:textId="74402DD5" w:rsidR="000756EB" w:rsidRDefault="00C170EE" w:rsidP="00C170EE">
      <w:pPr>
        <w:pStyle w:val="FootnoteText"/>
        <w:spacing w:after="280"/>
      </w:pPr>
      <w:r>
        <w:t>(iii) There are no material balances over 10% within other superannuation funds.</w:t>
      </w:r>
    </w:p>
    <w:p w14:paraId="660615B8" w14:textId="67BE427A" w:rsidR="000756EB" w:rsidRDefault="004A4D88" w:rsidP="00C170EE">
      <w:pPr>
        <w:pStyle w:val="Heading2"/>
      </w:pPr>
      <w:bookmarkStart w:id="32" w:name="_Toc149911807"/>
      <w:r>
        <w:t>3.4</w:t>
      </w:r>
      <w:r w:rsidR="00DE38B5">
        <w:t xml:space="preserve"> </w:t>
      </w:r>
      <w:r>
        <w:t>Other</w:t>
      </w:r>
      <w:r w:rsidR="00A03629">
        <w:t xml:space="preserve"> </w:t>
      </w:r>
      <w:r>
        <w:t>operating</w:t>
      </w:r>
      <w:r w:rsidR="00A03629">
        <w:t xml:space="preserve"> </w:t>
      </w:r>
      <w:r>
        <w:t>expenses</w:t>
      </w:r>
      <w:bookmarkEnd w:id="32"/>
    </w:p>
    <w:p w14:paraId="127C2AC2" w14:textId="6A89372A" w:rsidR="000756EB" w:rsidRPr="00C170EE" w:rsidRDefault="004A4D88" w:rsidP="00C170EE">
      <w:pPr>
        <w:pStyle w:val="Normalbeforebullets"/>
        <w:rPr>
          <w:b/>
          <w:bCs/>
        </w:rPr>
      </w:pPr>
      <w:r w:rsidRPr="00C170EE">
        <w:rPr>
          <w:b/>
          <w:bCs/>
        </w:rPr>
        <w:t>Total</w:t>
      </w:r>
      <w:r w:rsidR="00A03629" w:rsidRPr="00C170EE">
        <w:rPr>
          <w:b/>
          <w:bCs/>
        </w:rPr>
        <w:t xml:space="preserve"> </w:t>
      </w:r>
      <w:r w:rsidRPr="00C170EE">
        <w:rPr>
          <w:b/>
          <w:bCs/>
        </w:rPr>
        <w:t>other</w:t>
      </w:r>
      <w:r w:rsidR="00A03629" w:rsidRPr="00C170EE">
        <w:rPr>
          <w:b/>
          <w:bCs/>
        </w:rPr>
        <w:t xml:space="preserve"> </w:t>
      </w:r>
      <w:r w:rsidRPr="00C170EE">
        <w:rPr>
          <w:b/>
          <w:bCs/>
        </w:rPr>
        <w:t>operating</w:t>
      </w:r>
      <w:r w:rsidR="00A03629" w:rsidRPr="00C170EE">
        <w:rPr>
          <w:b/>
          <w:bCs/>
        </w:rPr>
        <w:t xml:space="preserve"> </w:t>
      </w:r>
      <w:r w:rsidRPr="00C170EE">
        <w:rPr>
          <w:b/>
          <w:bCs/>
        </w:rPr>
        <w:t>expenses</w:t>
      </w:r>
    </w:p>
    <w:tbl>
      <w:tblPr>
        <w:tblStyle w:val="TableGrid"/>
        <w:tblW w:w="10201" w:type="dxa"/>
        <w:tblLayout w:type="fixed"/>
        <w:tblLook w:val="0020" w:firstRow="1" w:lastRow="0" w:firstColumn="0" w:lastColumn="0" w:noHBand="0" w:noVBand="0"/>
      </w:tblPr>
      <w:tblGrid>
        <w:gridCol w:w="6236"/>
        <w:gridCol w:w="1982"/>
        <w:gridCol w:w="1983"/>
      </w:tblGrid>
      <w:tr w:rsidR="000756EB" w:rsidRPr="00C170EE" w14:paraId="489863ED" w14:textId="77777777" w:rsidTr="00B265FD">
        <w:trPr>
          <w:cantSplit/>
          <w:tblHeader/>
        </w:trPr>
        <w:tc>
          <w:tcPr>
            <w:tcW w:w="6236" w:type="dxa"/>
          </w:tcPr>
          <w:p w14:paraId="22434EBE" w14:textId="77777777" w:rsidR="000756EB" w:rsidRPr="00C170EE" w:rsidRDefault="000756EB" w:rsidP="00B265FD">
            <w:pPr>
              <w:pStyle w:val="TableColumnHeading"/>
            </w:pPr>
            <w:bookmarkStart w:id="33" w:name="ColumnTitles_13"/>
            <w:bookmarkEnd w:id="33"/>
          </w:p>
        </w:tc>
        <w:tc>
          <w:tcPr>
            <w:tcW w:w="1982" w:type="dxa"/>
          </w:tcPr>
          <w:p w14:paraId="0B308BB8" w14:textId="17B570F3" w:rsidR="000756EB" w:rsidRPr="00C170EE" w:rsidRDefault="004A4D88" w:rsidP="00B265FD">
            <w:pPr>
              <w:pStyle w:val="TableColumnHeading"/>
              <w:jc w:val="right"/>
            </w:pPr>
            <w:r w:rsidRPr="00C170EE">
              <w:t>2023</w:t>
            </w:r>
            <w:r w:rsidR="00B265FD">
              <w:t xml:space="preserve"> </w:t>
            </w:r>
            <w:r w:rsidRPr="00B265FD">
              <w:rPr>
                <w:vertAlign w:val="superscript"/>
              </w:rPr>
              <w:t>(</w:t>
            </w:r>
            <w:proofErr w:type="spellStart"/>
            <w:r w:rsidRPr="00B265FD">
              <w:rPr>
                <w:vertAlign w:val="superscript"/>
              </w:rPr>
              <w:t>i</w:t>
            </w:r>
            <w:proofErr w:type="spellEnd"/>
            <w:r w:rsidRPr="00B265FD">
              <w:rPr>
                <w:vertAlign w:val="superscript"/>
              </w:rPr>
              <w:t>)</w:t>
            </w:r>
            <w:r w:rsidR="00B265FD">
              <w:rPr>
                <w:vertAlign w:val="superscript"/>
              </w:rPr>
              <w:t xml:space="preserve"> </w:t>
            </w:r>
            <w:r w:rsidR="00B265FD" w:rsidRPr="00C170EE">
              <w:t>($</w:t>
            </w:r>
            <w:r w:rsidR="00B265FD">
              <w:t> </w:t>
            </w:r>
            <w:r w:rsidR="00B265FD" w:rsidRPr="00C170EE">
              <w:t>thousand)</w:t>
            </w:r>
          </w:p>
        </w:tc>
        <w:tc>
          <w:tcPr>
            <w:tcW w:w="1983" w:type="dxa"/>
          </w:tcPr>
          <w:p w14:paraId="606CCA43" w14:textId="566FBD13" w:rsidR="000756EB" w:rsidRPr="00C170EE" w:rsidRDefault="004A4D88" w:rsidP="00B265FD">
            <w:pPr>
              <w:pStyle w:val="TableColumnHeading"/>
              <w:jc w:val="right"/>
            </w:pPr>
            <w:r w:rsidRPr="00C170EE">
              <w:t>2022</w:t>
            </w:r>
            <w:r w:rsidR="00B265FD">
              <w:t xml:space="preserve"> </w:t>
            </w:r>
            <w:r w:rsidR="00B265FD" w:rsidRPr="00C170EE">
              <w:t>($</w:t>
            </w:r>
            <w:r w:rsidR="00B265FD">
              <w:t> </w:t>
            </w:r>
            <w:r w:rsidR="00B265FD" w:rsidRPr="00C170EE">
              <w:t>thousand)</w:t>
            </w:r>
          </w:p>
        </w:tc>
      </w:tr>
      <w:tr w:rsidR="000756EB" w:rsidRPr="00C170EE" w14:paraId="1D1019BF" w14:textId="77777777" w:rsidTr="00B265FD">
        <w:trPr>
          <w:cantSplit/>
        </w:trPr>
        <w:tc>
          <w:tcPr>
            <w:tcW w:w="6236" w:type="dxa"/>
          </w:tcPr>
          <w:p w14:paraId="193E510B" w14:textId="34B83629" w:rsidR="000756EB" w:rsidRPr="00C170EE" w:rsidRDefault="004A4D88" w:rsidP="00B265FD">
            <w:pPr>
              <w:pStyle w:val="TableHeading"/>
            </w:pPr>
            <w:r w:rsidRPr="00C170EE">
              <w:t>Supplies</w:t>
            </w:r>
            <w:r w:rsidR="00A03629" w:rsidRPr="00C170EE">
              <w:t xml:space="preserve"> </w:t>
            </w:r>
            <w:r w:rsidRPr="00C170EE">
              <w:t>and</w:t>
            </w:r>
            <w:r w:rsidR="00A03629" w:rsidRPr="00C170EE">
              <w:t xml:space="preserve"> </w:t>
            </w:r>
            <w:r w:rsidRPr="00C170EE">
              <w:t>services</w:t>
            </w:r>
          </w:p>
        </w:tc>
        <w:tc>
          <w:tcPr>
            <w:tcW w:w="1982" w:type="dxa"/>
          </w:tcPr>
          <w:p w14:paraId="06B7D397" w14:textId="77777777" w:rsidR="000756EB" w:rsidRPr="00C170EE" w:rsidRDefault="000756EB" w:rsidP="00B265FD">
            <w:pPr>
              <w:pStyle w:val="TableHeading"/>
              <w:jc w:val="right"/>
            </w:pPr>
          </w:p>
        </w:tc>
        <w:tc>
          <w:tcPr>
            <w:tcW w:w="1983" w:type="dxa"/>
          </w:tcPr>
          <w:p w14:paraId="553CEAFF" w14:textId="77777777" w:rsidR="000756EB" w:rsidRPr="00C170EE" w:rsidRDefault="000756EB" w:rsidP="00B265FD">
            <w:pPr>
              <w:pStyle w:val="TableHeading"/>
              <w:jc w:val="right"/>
            </w:pPr>
          </w:p>
        </w:tc>
      </w:tr>
      <w:tr w:rsidR="000756EB" w:rsidRPr="00C170EE" w14:paraId="5114152B" w14:textId="77777777" w:rsidTr="00B265FD">
        <w:trPr>
          <w:cantSplit/>
        </w:trPr>
        <w:tc>
          <w:tcPr>
            <w:tcW w:w="6236" w:type="dxa"/>
          </w:tcPr>
          <w:p w14:paraId="0DB87773" w14:textId="32E89A44" w:rsidR="000756EB" w:rsidRPr="00C170EE" w:rsidRDefault="004A4D88" w:rsidP="00B265FD">
            <w:pPr>
              <w:pStyle w:val="TableCopy"/>
            </w:pPr>
            <w:r w:rsidRPr="00C170EE">
              <w:t>Contracts</w:t>
            </w:r>
            <w:r w:rsidR="00A03629" w:rsidRPr="00C170EE">
              <w:t xml:space="preserve"> </w:t>
            </w:r>
            <w:r w:rsidRPr="00C170EE">
              <w:t>and</w:t>
            </w:r>
            <w:r w:rsidR="00A03629" w:rsidRPr="00C170EE">
              <w:t xml:space="preserve"> </w:t>
            </w:r>
            <w:r w:rsidRPr="00C170EE">
              <w:t>services</w:t>
            </w:r>
            <w:r w:rsidR="00A03629" w:rsidRPr="00C170EE">
              <w:t xml:space="preserve"> </w:t>
            </w:r>
          </w:p>
        </w:tc>
        <w:tc>
          <w:tcPr>
            <w:tcW w:w="1982" w:type="dxa"/>
          </w:tcPr>
          <w:p w14:paraId="78CB400E" w14:textId="77777777" w:rsidR="000756EB" w:rsidRPr="00C170EE" w:rsidRDefault="004A4D88" w:rsidP="00B265FD">
            <w:pPr>
              <w:pStyle w:val="TableCopy"/>
              <w:jc w:val="right"/>
            </w:pPr>
            <w:r w:rsidRPr="00C170EE">
              <w:t>(14,085)</w:t>
            </w:r>
          </w:p>
        </w:tc>
        <w:tc>
          <w:tcPr>
            <w:tcW w:w="1983" w:type="dxa"/>
          </w:tcPr>
          <w:p w14:paraId="28654BA7" w14:textId="77777777" w:rsidR="000756EB" w:rsidRPr="00C170EE" w:rsidRDefault="004A4D88" w:rsidP="00B265FD">
            <w:pPr>
              <w:pStyle w:val="TableCopy"/>
              <w:jc w:val="right"/>
            </w:pPr>
            <w:r w:rsidRPr="00C170EE">
              <w:t>(24,579)</w:t>
            </w:r>
          </w:p>
        </w:tc>
      </w:tr>
      <w:tr w:rsidR="000756EB" w:rsidRPr="00C170EE" w14:paraId="38FB3D0F" w14:textId="77777777" w:rsidTr="00B265FD">
        <w:trPr>
          <w:cantSplit/>
        </w:trPr>
        <w:tc>
          <w:tcPr>
            <w:tcW w:w="6236" w:type="dxa"/>
          </w:tcPr>
          <w:p w14:paraId="0A7CE1C0" w14:textId="4499C9F7" w:rsidR="000756EB" w:rsidRPr="00C170EE" w:rsidRDefault="004A4D88" w:rsidP="00B265FD">
            <w:pPr>
              <w:pStyle w:val="TableCopy"/>
            </w:pPr>
            <w:r w:rsidRPr="00C170EE">
              <w:t>Consultants</w:t>
            </w:r>
            <w:r w:rsidR="00A03629" w:rsidRPr="00C170EE">
              <w:t xml:space="preserve"> </w:t>
            </w:r>
            <w:r w:rsidRPr="00C170EE">
              <w:t>and</w:t>
            </w:r>
            <w:r w:rsidR="00A03629" w:rsidRPr="00C170EE">
              <w:t xml:space="preserve"> </w:t>
            </w:r>
            <w:r w:rsidRPr="00C170EE">
              <w:t>professional</w:t>
            </w:r>
            <w:r w:rsidR="00A03629" w:rsidRPr="00C170EE">
              <w:t xml:space="preserve"> </w:t>
            </w:r>
            <w:r w:rsidRPr="00C170EE">
              <w:t>services</w:t>
            </w:r>
          </w:p>
        </w:tc>
        <w:tc>
          <w:tcPr>
            <w:tcW w:w="1982" w:type="dxa"/>
          </w:tcPr>
          <w:p w14:paraId="73ED2F08" w14:textId="77777777" w:rsidR="000756EB" w:rsidRPr="00C170EE" w:rsidRDefault="004A4D88" w:rsidP="00B265FD">
            <w:pPr>
              <w:pStyle w:val="TableCopy"/>
              <w:jc w:val="right"/>
            </w:pPr>
            <w:r w:rsidRPr="00C170EE">
              <w:t>(85,349)</w:t>
            </w:r>
          </w:p>
        </w:tc>
        <w:tc>
          <w:tcPr>
            <w:tcW w:w="1983" w:type="dxa"/>
          </w:tcPr>
          <w:p w14:paraId="6D322D28" w14:textId="77777777" w:rsidR="000756EB" w:rsidRPr="00C170EE" w:rsidRDefault="004A4D88" w:rsidP="00B265FD">
            <w:pPr>
              <w:pStyle w:val="TableCopy"/>
              <w:jc w:val="right"/>
            </w:pPr>
            <w:r w:rsidRPr="00C170EE">
              <w:t>(109,372)</w:t>
            </w:r>
          </w:p>
        </w:tc>
      </w:tr>
      <w:tr w:rsidR="000756EB" w:rsidRPr="00C170EE" w14:paraId="06F46407" w14:textId="77777777" w:rsidTr="00B265FD">
        <w:trPr>
          <w:cantSplit/>
        </w:trPr>
        <w:tc>
          <w:tcPr>
            <w:tcW w:w="6236" w:type="dxa"/>
          </w:tcPr>
          <w:p w14:paraId="19624716" w14:textId="460A4FF4" w:rsidR="000756EB" w:rsidRPr="00C170EE" w:rsidRDefault="004A4D88" w:rsidP="00B265FD">
            <w:pPr>
              <w:pStyle w:val="TableCopy"/>
            </w:pPr>
            <w:r w:rsidRPr="00C170EE">
              <w:t>Service</w:t>
            </w:r>
            <w:r w:rsidR="00A03629" w:rsidRPr="00C170EE">
              <w:t xml:space="preserve"> </w:t>
            </w:r>
            <w:r w:rsidRPr="00C170EE">
              <w:t>Contracts</w:t>
            </w:r>
            <w:r w:rsidR="00A03629" w:rsidRPr="00C170EE">
              <w:t xml:space="preserve"> </w:t>
            </w:r>
            <w:r w:rsidRPr="00B265FD">
              <w:rPr>
                <w:vertAlign w:val="superscript"/>
              </w:rPr>
              <w:t>(ii)</w:t>
            </w:r>
          </w:p>
        </w:tc>
        <w:tc>
          <w:tcPr>
            <w:tcW w:w="1982" w:type="dxa"/>
          </w:tcPr>
          <w:p w14:paraId="6A4DDA47" w14:textId="77777777" w:rsidR="000756EB" w:rsidRPr="00C170EE" w:rsidRDefault="004A4D88" w:rsidP="00B265FD">
            <w:pPr>
              <w:pStyle w:val="TableCopy"/>
              <w:jc w:val="right"/>
            </w:pPr>
            <w:r w:rsidRPr="00C170EE">
              <w:t>(245,659)</w:t>
            </w:r>
          </w:p>
        </w:tc>
        <w:tc>
          <w:tcPr>
            <w:tcW w:w="1983" w:type="dxa"/>
          </w:tcPr>
          <w:p w14:paraId="47BBB3FA" w14:textId="77777777" w:rsidR="000756EB" w:rsidRPr="00C170EE" w:rsidRDefault="004A4D88" w:rsidP="00B265FD">
            <w:pPr>
              <w:pStyle w:val="TableCopy"/>
              <w:jc w:val="right"/>
            </w:pPr>
            <w:r w:rsidRPr="00C170EE">
              <w:t>–</w:t>
            </w:r>
          </w:p>
        </w:tc>
      </w:tr>
      <w:tr w:rsidR="000756EB" w:rsidRPr="00C170EE" w14:paraId="045FAEA2" w14:textId="77777777" w:rsidTr="00B265FD">
        <w:trPr>
          <w:cantSplit/>
        </w:trPr>
        <w:tc>
          <w:tcPr>
            <w:tcW w:w="6236" w:type="dxa"/>
          </w:tcPr>
          <w:p w14:paraId="68AE0ABA" w14:textId="696F338E" w:rsidR="000756EB" w:rsidRPr="00C170EE" w:rsidRDefault="004A4D88" w:rsidP="00B265FD">
            <w:pPr>
              <w:pStyle w:val="TableCopy"/>
            </w:pPr>
            <w:r w:rsidRPr="00C170EE">
              <w:t>Computer</w:t>
            </w:r>
            <w:r w:rsidR="00A03629" w:rsidRPr="00C170EE">
              <w:t xml:space="preserve"> </w:t>
            </w:r>
            <w:r w:rsidRPr="00C170EE">
              <w:t>services</w:t>
            </w:r>
            <w:r w:rsidR="00A03629" w:rsidRPr="00C170EE">
              <w:t xml:space="preserve"> </w:t>
            </w:r>
            <w:r w:rsidRPr="00C170EE">
              <w:t>and</w:t>
            </w:r>
            <w:r w:rsidR="00A03629" w:rsidRPr="00C170EE">
              <w:t xml:space="preserve"> </w:t>
            </w:r>
            <w:r w:rsidRPr="00C170EE">
              <w:t>equipment</w:t>
            </w:r>
          </w:p>
        </w:tc>
        <w:tc>
          <w:tcPr>
            <w:tcW w:w="1982" w:type="dxa"/>
          </w:tcPr>
          <w:p w14:paraId="77DE6586" w14:textId="77777777" w:rsidR="000756EB" w:rsidRPr="00C170EE" w:rsidRDefault="004A4D88" w:rsidP="00B265FD">
            <w:pPr>
              <w:pStyle w:val="TableCopy"/>
              <w:jc w:val="right"/>
            </w:pPr>
            <w:r w:rsidRPr="00C170EE">
              <w:t>(18,210)</w:t>
            </w:r>
          </w:p>
        </w:tc>
        <w:tc>
          <w:tcPr>
            <w:tcW w:w="1983" w:type="dxa"/>
          </w:tcPr>
          <w:p w14:paraId="29E9AB5C" w14:textId="77777777" w:rsidR="000756EB" w:rsidRPr="00C170EE" w:rsidRDefault="004A4D88" w:rsidP="00B265FD">
            <w:pPr>
              <w:pStyle w:val="TableCopy"/>
              <w:jc w:val="right"/>
            </w:pPr>
            <w:r w:rsidRPr="00C170EE">
              <w:t>(12,445)</w:t>
            </w:r>
          </w:p>
        </w:tc>
      </w:tr>
      <w:tr w:rsidR="000756EB" w:rsidRPr="00C170EE" w14:paraId="22EE71B9" w14:textId="77777777" w:rsidTr="00B265FD">
        <w:trPr>
          <w:cantSplit/>
        </w:trPr>
        <w:tc>
          <w:tcPr>
            <w:tcW w:w="6236" w:type="dxa"/>
          </w:tcPr>
          <w:p w14:paraId="65BB37E5" w14:textId="75E64930" w:rsidR="000756EB" w:rsidRPr="00C170EE" w:rsidRDefault="004A4D88" w:rsidP="00B265FD">
            <w:pPr>
              <w:pStyle w:val="TableCopy"/>
            </w:pPr>
            <w:r w:rsidRPr="00C170EE">
              <w:t>Accommodation</w:t>
            </w:r>
            <w:r w:rsidR="00A03629" w:rsidRPr="00C170EE">
              <w:t xml:space="preserve"> </w:t>
            </w:r>
          </w:p>
        </w:tc>
        <w:tc>
          <w:tcPr>
            <w:tcW w:w="1982" w:type="dxa"/>
          </w:tcPr>
          <w:p w14:paraId="5A5C2B20" w14:textId="77777777" w:rsidR="000756EB" w:rsidRPr="00C170EE" w:rsidRDefault="004A4D88" w:rsidP="00B265FD">
            <w:pPr>
              <w:pStyle w:val="TableCopy"/>
              <w:jc w:val="right"/>
            </w:pPr>
            <w:r w:rsidRPr="00C170EE">
              <w:t>(45,510)</w:t>
            </w:r>
          </w:p>
        </w:tc>
        <w:tc>
          <w:tcPr>
            <w:tcW w:w="1983" w:type="dxa"/>
          </w:tcPr>
          <w:p w14:paraId="1CEF49C9" w14:textId="77777777" w:rsidR="000756EB" w:rsidRPr="00C170EE" w:rsidRDefault="004A4D88" w:rsidP="00B265FD">
            <w:pPr>
              <w:pStyle w:val="TableCopy"/>
              <w:jc w:val="right"/>
            </w:pPr>
            <w:r w:rsidRPr="00C170EE">
              <w:t>(75,405)</w:t>
            </w:r>
          </w:p>
        </w:tc>
      </w:tr>
      <w:tr w:rsidR="000756EB" w:rsidRPr="00C170EE" w14:paraId="31644988" w14:textId="77777777" w:rsidTr="00B265FD">
        <w:trPr>
          <w:cantSplit/>
        </w:trPr>
        <w:tc>
          <w:tcPr>
            <w:tcW w:w="6236" w:type="dxa"/>
          </w:tcPr>
          <w:p w14:paraId="308D878C" w14:textId="48F23484" w:rsidR="000756EB" w:rsidRPr="00C170EE" w:rsidRDefault="004A4D88" w:rsidP="00B265FD">
            <w:pPr>
              <w:pStyle w:val="TableCopy"/>
            </w:pPr>
            <w:r w:rsidRPr="00C170EE">
              <w:lastRenderedPageBreak/>
              <w:t>Marketing</w:t>
            </w:r>
            <w:r w:rsidR="00A03629" w:rsidRPr="00C170EE">
              <w:t xml:space="preserve"> </w:t>
            </w:r>
            <w:r w:rsidRPr="00C170EE">
              <w:t>and</w:t>
            </w:r>
            <w:r w:rsidR="00A03629" w:rsidRPr="00C170EE">
              <w:t xml:space="preserve"> </w:t>
            </w:r>
            <w:r w:rsidRPr="00C170EE">
              <w:t>media</w:t>
            </w:r>
            <w:r w:rsidR="00A03629" w:rsidRPr="00C170EE">
              <w:t xml:space="preserve"> </w:t>
            </w:r>
          </w:p>
        </w:tc>
        <w:tc>
          <w:tcPr>
            <w:tcW w:w="1982" w:type="dxa"/>
          </w:tcPr>
          <w:p w14:paraId="4095C852" w14:textId="77777777" w:rsidR="000756EB" w:rsidRPr="00C170EE" w:rsidRDefault="004A4D88" w:rsidP="00B265FD">
            <w:pPr>
              <w:pStyle w:val="TableCopy"/>
              <w:jc w:val="right"/>
            </w:pPr>
            <w:r w:rsidRPr="00C170EE">
              <w:t>(24,567)</w:t>
            </w:r>
          </w:p>
        </w:tc>
        <w:tc>
          <w:tcPr>
            <w:tcW w:w="1983" w:type="dxa"/>
          </w:tcPr>
          <w:p w14:paraId="4D32D00C" w14:textId="77777777" w:rsidR="000756EB" w:rsidRPr="00C170EE" w:rsidRDefault="004A4D88" w:rsidP="00B265FD">
            <w:pPr>
              <w:pStyle w:val="TableCopy"/>
              <w:jc w:val="right"/>
            </w:pPr>
            <w:r w:rsidRPr="00C170EE">
              <w:t>(40,443)</w:t>
            </w:r>
          </w:p>
        </w:tc>
      </w:tr>
      <w:tr w:rsidR="000756EB" w:rsidRPr="00C170EE" w14:paraId="1AEF0069" w14:textId="77777777" w:rsidTr="00B265FD">
        <w:trPr>
          <w:cantSplit/>
        </w:trPr>
        <w:tc>
          <w:tcPr>
            <w:tcW w:w="6236" w:type="dxa"/>
          </w:tcPr>
          <w:p w14:paraId="6F65B2D5" w14:textId="42CDB57D" w:rsidR="000756EB" w:rsidRPr="00C170EE" w:rsidRDefault="004A4D88" w:rsidP="00B265FD">
            <w:pPr>
              <w:pStyle w:val="TableCopy"/>
            </w:pPr>
            <w:r w:rsidRPr="00C170EE">
              <w:t>Laboratory,</w:t>
            </w:r>
            <w:r w:rsidR="00A03629" w:rsidRPr="00C170EE">
              <w:t xml:space="preserve"> </w:t>
            </w:r>
            <w:proofErr w:type="gramStart"/>
            <w:r w:rsidRPr="00C170EE">
              <w:t>farm</w:t>
            </w:r>
            <w:proofErr w:type="gramEnd"/>
            <w:r w:rsidR="00A03629" w:rsidRPr="00C170EE">
              <w:t xml:space="preserve"> </w:t>
            </w:r>
            <w:r w:rsidRPr="00C170EE">
              <w:t>and</w:t>
            </w:r>
            <w:r w:rsidR="00A03629" w:rsidRPr="00C170EE">
              <w:t xml:space="preserve"> </w:t>
            </w:r>
            <w:r w:rsidRPr="00C170EE">
              <w:t>livestock</w:t>
            </w:r>
            <w:r w:rsidR="00A03629" w:rsidRPr="00C170EE">
              <w:t xml:space="preserve"> </w:t>
            </w:r>
          </w:p>
        </w:tc>
        <w:tc>
          <w:tcPr>
            <w:tcW w:w="1982" w:type="dxa"/>
          </w:tcPr>
          <w:p w14:paraId="2B8A79B6" w14:textId="77777777" w:rsidR="000756EB" w:rsidRPr="00C170EE" w:rsidRDefault="004A4D88" w:rsidP="00B265FD">
            <w:pPr>
              <w:pStyle w:val="TableCopy"/>
              <w:jc w:val="right"/>
            </w:pPr>
            <w:r w:rsidRPr="00C170EE">
              <w:t>(16,756)</w:t>
            </w:r>
          </w:p>
        </w:tc>
        <w:tc>
          <w:tcPr>
            <w:tcW w:w="1983" w:type="dxa"/>
          </w:tcPr>
          <w:p w14:paraId="7A6BF6FB" w14:textId="77777777" w:rsidR="000756EB" w:rsidRPr="00C170EE" w:rsidRDefault="004A4D88" w:rsidP="00B265FD">
            <w:pPr>
              <w:pStyle w:val="TableCopy"/>
              <w:jc w:val="right"/>
            </w:pPr>
            <w:r w:rsidRPr="00C170EE">
              <w:t>(39,357)</w:t>
            </w:r>
          </w:p>
        </w:tc>
      </w:tr>
      <w:tr w:rsidR="000756EB" w:rsidRPr="00C170EE" w14:paraId="6D255DA6" w14:textId="77777777" w:rsidTr="00B265FD">
        <w:trPr>
          <w:cantSplit/>
        </w:trPr>
        <w:tc>
          <w:tcPr>
            <w:tcW w:w="6236" w:type="dxa"/>
          </w:tcPr>
          <w:p w14:paraId="5DEF6E1F" w14:textId="01AC741E" w:rsidR="000756EB" w:rsidRPr="00C170EE" w:rsidRDefault="004A4D88" w:rsidP="00B265FD">
            <w:pPr>
              <w:pStyle w:val="TableCopy"/>
            </w:pPr>
            <w:r w:rsidRPr="00C170EE">
              <w:t>Travel</w:t>
            </w:r>
            <w:r w:rsidR="00A03629" w:rsidRPr="00C170EE">
              <w:t xml:space="preserve"> </w:t>
            </w:r>
            <w:r w:rsidRPr="00C170EE">
              <w:t>expenses</w:t>
            </w:r>
          </w:p>
        </w:tc>
        <w:tc>
          <w:tcPr>
            <w:tcW w:w="1982" w:type="dxa"/>
          </w:tcPr>
          <w:p w14:paraId="45607B05" w14:textId="77777777" w:rsidR="000756EB" w:rsidRPr="00C170EE" w:rsidRDefault="004A4D88" w:rsidP="00B265FD">
            <w:pPr>
              <w:pStyle w:val="TableCopy"/>
              <w:jc w:val="right"/>
            </w:pPr>
            <w:r w:rsidRPr="00C170EE">
              <w:t>(7,934)</w:t>
            </w:r>
          </w:p>
        </w:tc>
        <w:tc>
          <w:tcPr>
            <w:tcW w:w="1983" w:type="dxa"/>
          </w:tcPr>
          <w:p w14:paraId="215C4DE7" w14:textId="77777777" w:rsidR="000756EB" w:rsidRPr="00C170EE" w:rsidRDefault="004A4D88" w:rsidP="00B265FD">
            <w:pPr>
              <w:pStyle w:val="TableCopy"/>
              <w:jc w:val="right"/>
            </w:pPr>
            <w:r w:rsidRPr="00C170EE">
              <w:t>(4,191)</w:t>
            </w:r>
          </w:p>
        </w:tc>
      </w:tr>
      <w:tr w:rsidR="000756EB" w:rsidRPr="00C170EE" w14:paraId="49934DE1" w14:textId="77777777" w:rsidTr="00B265FD">
        <w:trPr>
          <w:cantSplit/>
        </w:trPr>
        <w:tc>
          <w:tcPr>
            <w:tcW w:w="6236" w:type="dxa"/>
          </w:tcPr>
          <w:p w14:paraId="4D869520" w14:textId="398E9E18" w:rsidR="000756EB" w:rsidRPr="00C170EE" w:rsidRDefault="004A4D88" w:rsidP="00B265FD">
            <w:pPr>
              <w:pStyle w:val="TableCopy"/>
            </w:pPr>
            <w:r w:rsidRPr="00C170EE">
              <w:t>Administrative</w:t>
            </w:r>
            <w:r w:rsidR="00A03629" w:rsidRPr="00C170EE">
              <w:t xml:space="preserve"> </w:t>
            </w:r>
            <w:r w:rsidRPr="00C170EE">
              <w:t>expenses</w:t>
            </w:r>
            <w:r w:rsidR="00A03629" w:rsidRPr="00C170EE">
              <w:t xml:space="preserve"> </w:t>
            </w:r>
            <w:r w:rsidRPr="00B265FD">
              <w:rPr>
                <w:vertAlign w:val="superscript"/>
              </w:rPr>
              <w:t>(iii)</w:t>
            </w:r>
          </w:p>
        </w:tc>
        <w:tc>
          <w:tcPr>
            <w:tcW w:w="1982" w:type="dxa"/>
          </w:tcPr>
          <w:p w14:paraId="3F13D526" w14:textId="77777777" w:rsidR="000756EB" w:rsidRPr="00C170EE" w:rsidRDefault="004A4D88" w:rsidP="00B265FD">
            <w:pPr>
              <w:pStyle w:val="TableCopy"/>
              <w:jc w:val="right"/>
            </w:pPr>
            <w:r w:rsidRPr="00C170EE">
              <w:t>(84,066)</w:t>
            </w:r>
          </w:p>
        </w:tc>
        <w:tc>
          <w:tcPr>
            <w:tcW w:w="1983" w:type="dxa"/>
          </w:tcPr>
          <w:p w14:paraId="76E4FB8D" w14:textId="77777777" w:rsidR="000756EB" w:rsidRPr="00C170EE" w:rsidRDefault="004A4D88" w:rsidP="00B265FD">
            <w:pPr>
              <w:pStyle w:val="TableCopy"/>
              <w:jc w:val="right"/>
            </w:pPr>
            <w:r w:rsidRPr="00C170EE">
              <w:t>(122,241)</w:t>
            </w:r>
          </w:p>
        </w:tc>
      </w:tr>
      <w:tr w:rsidR="000756EB" w:rsidRPr="00C170EE" w14:paraId="15048859" w14:textId="77777777" w:rsidTr="00B265FD">
        <w:trPr>
          <w:cantSplit/>
        </w:trPr>
        <w:tc>
          <w:tcPr>
            <w:tcW w:w="6236" w:type="dxa"/>
          </w:tcPr>
          <w:p w14:paraId="331F7BBE" w14:textId="3FF248C0" w:rsidR="000756EB" w:rsidRPr="00C170EE" w:rsidRDefault="004A4D88" w:rsidP="00B265FD">
            <w:pPr>
              <w:pStyle w:val="TableHeading"/>
            </w:pPr>
            <w:r w:rsidRPr="00C170EE">
              <w:t>Other</w:t>
            </w:r>
            <w:r w:rsidR="00A03629" w:rsidRPr="00C170EE">
              <w:t xml:space="preserve"> </w:t>
            </w:r>
          </w:p>
        </w:tc>
        <w:tc>
          <w:tcPr>
            <w:tcW w:w="1982" w:type="dxa"/>
          </w:tcPr>
          <w:p w14:paraId="59DAFB0B" w14:textId="77777777" w:rsidR="000756EB" w:rsidRPr="00C170EE" w:rsidRDefault="000756EB" w:rsidP="00B265FD">
            <w:pPr>
              <w:pStyle w:val="TableHeading"/>
              <w:jc w:val="right"/>
            </w:pPr>
          </w:p>
        </w:tc>
        <w:tc>
          <w:tcPr>
            <w:tcW w:w="1983" w:type="dxa"/>
          </w:tcPr>
          <w:p w14:paraId="40DDB8BA" w14:textId="77777777" w:rsidR="000756EB" w:rsidRPr="00C170EE" w:rsidRDefault="000756EB" w:rsidP="00B265FD">
            <w:pPr>
              <w:pStyle w:val="TableHeading"/>
              <w:jc w:val="right"/>
            </w:pPr>
          </w:p>
        </w:tc>
      </w:tr>
      <w:tr w:rsidR="000756EB" w:rsidRPr="00C170EE" w14:paraId="372A78C6" w14:textId="77777777" w:rsidTr="00B265FD">
        <w:trPr>
          <w:cantSplit/>
        </w:trPr>
        <w:tc>
          <w:tcPr>
            <w:tcW w:w="6236" w:type="dxa"/>
          </w:tcPr>
          <w:p w14:paraId="69EF6A76" w14:textId="712535B5" w:rsidR="000756EB" w:rsidRPr="00C170EE" w:rsidRDefault="004A4D88" w:rsidP="00B265FD">
            <w:pPr>
              <w:pStyle w:val="TableCopy"/>
            </w:pPr>
            <w:r w:rsidRPr="00C170EE">
              <w:t>Interest</w:t>
            </w:r>
            <w:r w:rsidR="00A03629" w:rsidRPr="00C170EE">
              <w:t xml:space="preserve"> </w:t>
            </w:r>
            <w:r w:rsidRPr="00C170EE">
              <w:t>expense</w:t>
            </w:r>
          </w:p>
        </w:tc>
        <w:tc>
          <w:tcPr>
            <w:tcW w:w="1982" w:type="dxa"/>
          </w:tcPr>
          <w:p w14:paraId="20D4308C" w14:textId="77777777" w:rsidR="000756EB" w:rsidRPr="00C170EE" w:rsidRDefault="004A4D88" w:rsidP="00B265FD">
            <w:pPr>
              <w:pStyle w:val="TableCopy"/>
              <w:jc w:val="right"/>
            </w:pPr>
            <w:r w:rsidRPr="00C170EE">
              <w:t>(13,466)</w:t>
            </w:r>
          </w:p>
        </w:tc>
        <w:tc>
          <w:tcPr>
            <w:tcW w:w="1983" w:type="dxa"/>
          </w:tcPr>
          <w:p w14:paraId="0757321F" w14:textId="77777777" w:rsidR="000756EB" w:rsidRPr="00C170EE" w:rsidRDefault="004A4D88" w:rsidP="00B265FD">
            <w:pPr>
              <w:pStyle w:val="TableCopy"/>
              <w:jc w:val="right"/>
            </w:pPr>
            <w:r w:rsidRPr="00C170EE">
              <w:t>(26,221)</w:t>
            </w:r>
          </w:p>
        </w:tc>
      </w:tr>
      <w:tr w:rsidR="000756EB" w:rsidRPr="00B265FD" w14:paraId="413331FF" w14:textId="77777777" w:rsidTr="00B265FD">
        <w:trPr>
          <w:cantSplit/>
        </w:trPr>
        <w:tc>
          <w:tcPr>
            <w:tcW w:w="6236" w:type="dxa"/>
          </w:tcPr>
          <w:p w14:paraId="73680F88" w14:textId="4C0783E9" w:rsidR="000756EB" w:rsidRPr="00B265FD" w:rsidRDefault="004A4D88" w:rsidP="00B265FD">
            <w:pPr>
              <w:pStyle w:val="TableCopy"/>
              <w:rPr>
                <w:b/>
                <w:bCs/>
              </w:rPr>
            </w:pPr>
            <w:r w:rsidRPr="00B265FD">
              <w:rPr>
                <w:b/>
                <w:bCs/>
              </w:rPr>
              <w:t>Total</w:t>
            </w:r>
            <w:r w:rsidR="00A03629" w:rsidRPr="00B265FD">
              <w:rPr>
                <w:b/>
                <w:bCs/>
              </w:rPr>
              <w:t xml:space="preserve"> </w:t>
            </w:r>
            <w:r w:rsidRPr="00B265FD">
              <w:rPr>
                <w:b/>
                <w:bCs/>
              </w:rPr>
              <w:t>other</w:t>
            </w:r>
            <w:r w:rsidR="00A03629" w:rsidRPr="00B265FD">
              <w:rPr>
                <w:b/>
                <w:bCs/>
              </w:rPr>
              <w:t xml:space="preserve"> </w:t>
            </w:r>
            <w:r w:rsidRPr="00B265FD">
              <w:rPr>
                <w:b/>
                <w:bCs/>
              </w:rPr>
              <w:t>operating</w:t>
            </w:r>
            <w:r w:rsidR="00A03629" w:rsidRPr="00B265FD">
              <w:rPr>
                <w:b/>
                <w:bCs/>
              </w:rPr>
              <w:t xml:space="preserve"> </w:t>
            </w:r>
            <w:r w:rsidRPr="00B265FD">
              <w:rPr>
                <w:b/>
                <w:bCs/>
              </w:rPr>
              <w:t>expenses</w:t>
            </w:r>
          </w:p>
        </w:tc>
        <w:tc>
          <w:tcPr>
            <w:tcW w:w="1982" w:type="dxa"/>
          </w:tcPr>
          <w:p w14:paraId="7A28B8CF" w14:textId="77777777" w:rsidR="000756EB" w:rsidRPr="00B265FD" w:rsidRDefault="004A4D88" w:rsidP="00B265FD">
            <w:pPr>
              <w:pStyle w:val="TableCopy"/>
              <w:jc w:val="right"/>
              <w:rPr>
                <w:b/>
                <w:bCs/>
              </w:rPr>
            </w:pPr>
            <w:r w:rsidRPr="00B265FD">
              <w:rPr>
                <w:b/>
                <w:bCs/>
              </w:rPr>
              <w:t>(555,602)</w:t>
            </w:r>
          </w:p>
        </w:tc>
        <w:tc>
          <w:tcPr>
            <w:tcW w:w="1983" w:type="dxa"/>
          </w:tcPr>
          <w:p w14:paraId="0746C654" w14:textId="77777777" w:rsidR="000756EB" w:rsidRPr="00B265FD" w:rsidRDefault="004A4D88" w:rsidP="00B265FD">
            <w:pPr>
              <w:pStyle w:val="TableCopy"/>
              <w:jc w:val="right"/>
              <w:rPr>
                <w:b/>
                <w:bCs/>
              </w:rPr>
            </w:pPr>
            <w:r w:rsidRPr="00B265FD">
              <w:rPr>
                <w:b/>
                <w:bCs/>
              </w:rPr>
              <w:t>(454,254)</w:t>
            </w:r>
          </w:p>
        </w:tc>
      </w:tr>
    </w:tbl>
    <w:p w14:paraId="20B5CE71" w14:textId="2B61A7E7" w:rsidR="00B265FD" w:rsidRPr="00C170EE" w:rsidRDefault="00B265FD" w:rsidP="00B265FD">
      <w:pPr>
        <w:pStyle w:val="FootnoteText"/>
        <w:spacing w:before="120"/>
      </w:pPr>
      <w:r w:rsidRPr="00C170EE">
        <w:t>(</w:t>
      </w:r>
      <w:proofErr w:type="spellStart"/>
      <w:r w:rsidRPr="00C170EE">
        <w:t>i</w:t>
      </w:r>
      <w:proofErr w:type="spellEnd"/>
      <w:r w:rsidRPr="00C170EE">
        <w:t>)</w:t>
      </w:r>
      <w:r>
        <w:t xml:space="preserve"> </w:t>
      </w:r>
      <w:r w:rsidRPr="00C170EE">
        <w:t xml:space="preserve">The operating expenses payments disclosed in 2022–23 and 2021–22 </w:t>
      </w:r>
      <w:proofErr w:type="gramStart"/>
      <w:r w:rsidRPr="00C170EE">
        <w:t>are</w:t>
      </w:r>
      <w:proofErr w:type="gramEnd"/>
      <w:r w:rsidRPr="00C170EE">
        <w:t xml:space="preserve"> not directly comparable due to the machinery of government changes effective 1 January 2023. These relate to TAFE and other education services transferred in from Department of Education; and agriculture and resources services transferred out to Department of Energy, Environment and Climate Action.</w:t>
      </w:r>
    </w:p>
    <w:p w14:paraId="79BD7BD2" w14:textId="4908FE15" w:rsidR="00B265FD" w:rsidRPr="00C170EE" w:rsidRDefault="00B265FD" w:rsidP="00B265FD">
      <w:pPr>
        <w:pStyle w:val="FootnoteText"/>
      </w:pPr>
      <w:r w:rsidRPr="00C170EE">
        <w:t>(ii)</w:t>
      </w:r>
      <w:r>
        <w:t xml:space="preserve"> </w:t>
      </w:r>
      <w:r w:rsidRPr="00C170EE">
        <w:t xml:space="preserve">The Education and Training Reform Act 2006 (Vic) sets out how the fund vocational education and training (VET) in the State of Victoria. The Act gives the Secretary the power to enter VET Funding Contracts with registered training organisations and to make payments for VET. </w:t>
      </w:r>
      <w:proofErr w:type="gramStart"/>
      <w:r w:rsidRPr="00C170EE">
        <w:t>The Skills First program,</w:t>
      </w:r>
      <w:proofErr w:type="gramEnd"/>
      <w:r w:rsidRPr="00C170EE">
        <w:t xml:space="preserve"> uses the VET Funding Contract to contract with registered training organisations to deliver government-subsidised training to individuals.</w:t>
      </w:r>
    </w:p>
    <w:p w14:paraId="43946AA3" w14:textId="75441F06" w:rsidR="000756EB" w:rsidRDefault="00B265FD" w:rsidP="00B265FD">
      <w:pPr>
        <w:pStyle w:val="FootnoteText"/>
        <w:spacing w:after="280"/>
      </w:pPr>
      <w:r w:rsidRPr="00C170EE">
        <w:t xml:space="preserve">(iii) Administrative expenses </w:t>
      </w:r>
      <w:proofErr w:type="gramStart"/>
      <w:r w:rsidRPr="00C170EE">
        <w:t>includes</w:t>
      </w:r>
      <w:proofErr w:type="gramEnd"/>
      <w:r w:rsidRPr="00C170EE">
        <w:t xml:space="preserve"> ex-gratia expenses (Note 9.1).</w:t>
      </w:r>
    </w:p>
    <w:p w14:paraId="2FCBD3B2" w14:textId="07C87268" w:rsidR="000756EB" w:rsidRDefault="004A4D88" w:rsidP="00B265FD">
      <w:r>
        <w:t>Other</w:t>
      </w:r>
      <w:r w:rsidR="00A03629">
        <w:t xml:space="preserve"> </w:t>
      </w:r>
      <w:r>
        <w:t>operating</w:t>
      </w:r>
      <w:r w:rsidR="00A03629">
        <w:t xml:space="preserve"> </w:t>
      </w:r>
      <w:r>
        <w:t>expenses</w:t>
      </w:r>
      <w:r w:rsidR="00A03629">
        <w:t xml:space="preserve"> </w:t>
      </w:r>
      <w:r>
        <w:t>generally</w:t>
      </w:r>
      <w:r w:rsidR="00A03629">
        <w:t xml:space="preserve"> </w:t>
      </w:r>
      <w:r>
        <w:t>represent</w:t>
      </w:r>
      <w:r w:rsidR="00A03629">
        <w:t xml:space="preserve"> </w:t>
      </w:r>
      <w:r>
        <w:t>the</w:t>
      </w:r>
      <w:r w:rsidR="00A03629">
        <w:t xml:space="preserve"> </w:t>
      </w:r>
      <w:r>
        <w:t>day-to-day</w:t>
      </w:r>
      <w:r w:rsidR="00A03629">
        <w:t xml:space="preserve"> </w:t>
      </w:r>
      <w:r>
        <w:t>running</w:t>
      </w:r>
      <w:r w:rsidR="00A03629">
        <w:t xml:space="preserve"> </w:t>
      </w:r>
      <w:r>
        <w:t>costs</w:t>
      </w:r>
      <w:r w:rsidR="00A03629">
        <w:t xml:space="preserve"> </w:t>
      </w:r>
      <w:r>
        <w:t>incurred</w:t>
      </w:r>
      <w:r w:rsidR="00A03629">
        <w:t xml:space="preserve"> </w:t>
      </w:r>
      <w:r>
        <w:t>in</w:t>
      </w:r>
      <w:r w:rsidR="00A03629">
        <w:t xml:space="preserve"> </w:t>
      </w:r>
      <w:r>
        <w:t>normal</w:t>
      </w:r>
      <w:r w:rsidR="00A03629">
        <w:t xml:space="preserve"> </w:t>
      </w:r>
      <w:r>
        <w:t>operations.</w:t>
      </w:r>
      <w:r w:rsidR="00A03629">
        <w:t xml:space="preserve"> </w:t>
      </w:r>
      <w:r>
        <w:t>It</w:t>
      </w:r>
      <w:r w:rsidR="00A03629">
        <w:rPr>
          <w:rFonts w:ascii="Cambria" w:hAnsi="Cambria" w:cs="Cambria"/>
        </w:rPr>
        <w:t xml:space="preserve"> </w:t>
      </w:r>
      <w:r>
        <w:t>also</w:t>
      </w:r>
      <w:r w:rsidR="00A03629">
        <w:t xml:space="preserve"> </w:t>
      </w:r>
      <w:r>
        <w:t>includes</w:t>
      </w:r>
      <w:r w:rsidR="00A03629">
        <w:t xml:space="preserve"> </w:t>
      </w:r>
      <w:r>
        <w:t>bad</w:t>
      </w:r>
      <w:r w:rsidR="00A03629">
        <w:t xml:space="preserve"> </w:t>
      </w:r>
      <w:r>
        <w:t>debts</w:t>
      </w:r>
      <w:r w:rsidR="00A03629">
        <w:t xml:space="preserve"> </w:t>
      </w:r>
      <w:r>
        <w:t>expense</w:t>
      </w:r>
      <w:r w:rsidR="00A03629">
        <w:t xml:space="preserve"> </w:t>
      </w:r>
      <w:r>
        <w:t>from</w:t>
      </w:r>
      <w:r w:rsidR="00A03629">
        <w:t xml:space="preserve"> </w:t>
      </w:r>
      <w:r>
        <w:t>transactions</w:t>
      </w:r>
      <w:r w:rsidR="00A03629">
        <w:t xml:space="preserve"> </w:t>
      </w:r>
      <w:r>
        <w:t>that</w:t>
      </w:r>
      <w:r w:rsidR="00A03629">
        <w:t xml:space="preserve"> </w:t>
      </w:r>
      <w:r>
        <w:t>are</w:t>
      </w:r>
      <w:r w:rsidR="00A03629">
        <w:t xml:space="preserve"> </w:t>
      </w:r>
      <w:r>
        <w:t>mutually</w:t>
      </w:r>
      <w:r w:rsidR="00A03629">
        <w:t xml:space="preserve"> </w:t>
      </w:r>
      <w:r>
        <w:t>agreed.</w:t>
      </w:r>
    </w:p>
    <w:p w14:paraId="39851D65" w14:textId="1C8C4F92" w:rsidR="000756EB" w:rsidRDefault="004A4D88" w:rsidP="00B265FD">
      <w:r>
        <w:t>Supplies</w:t>
      </w:r>
      <w:r w:rsidR="00A03629">
        <w:t xml:space="preserve"> </w:t>
      </w:r>
      <w:r>
        <w:t>and</w:t>
      </w:r>
      <w:r w:rsidR="00A03629">
        <w:t xml:space="preserve"> </w:t>
      </w:r>
      <w:r>
        <w:t>services</w:t>
      </w:r>
      <w:r w:rsidR="00A03629">
        <w:t xml:space="preserve"> </w:t>
      </w:r>
      <w:r>
        <w:t>are</w:t>
      </w:r>
      <w:r w:rsidR="00A03629">
        <w:t xml:space="preserve"> </w:t>
      </w:r>
      <w:r>
        <w:t>recognised</w:t>
      </w:r>
      <w:r w:rsidR="00A03629">
        <w:t xml:space="preserve"> </w:t>
      </w:r>
      <w:r>
        <w:t>as</w:t>
      </w:r>
      <w:r w:rsidR="00A03629">
        <w:t xml:space="preserve"> </w:t>
      </w:r>
      <w:r>
        <w:t>an</w:t>
      </w:r>
      <w:r w:rsidR="00A03629">
        <w:t xml:space="preserve"> </w:t>
      </w:r>
      <w:r>
        <w:t>expense</w:t>
      </w:r>
      <w:r w:rsidR="00A03629">
        <w:t xml:space="preserve"> </w:t>
      </w:r>
      <w:r>
        <w:t>in</w:t>
      </w:r>
      <w:r w:rsidR="00A03629">
        <w:t xml:space="preserve"> </w:t>
      </w:r>
      <w:r>
        <w:t>the</w:t>
      </w:r>
      <w:r w:rsidR="00A03629">
        <w:t xml:space="preserve"> </w:t>
      </w:r>
      <w:r>
        <w:t>reporting</w:t>
      </w:r>
      <w:r w:rsidR="00A03629">
        <w:t xml:space="preserve"> </w:t>
      </w:r>
      <w:r>
        <w:t>period</w:t>
      </w:r>
      <w:r w:rsidR="00A03629">
        <w:t xml:space="preserve"> </w:t>
      </w:r>
      <w:r>
        <w:t>in</w:t>
      </w:r>
      <w:r w:rsidR="00A03629">
        <w:t xml:space="preserve"> </w:t>
      </w:r>
      <w:r>
        <w:t>which</w:t>
      </w:r>
      <w:r w:rsidR="00A03629">
        <w:t xml:space="preserve"> </w:t>
      </w:r>
      <w:r>
        <w:t>they</w:t>
      </w:r>
      <w:r w:rsidR="00A03629">
        <w:t xml:space="preserve"> </w:t>
      </w:r>
      <w:r>
        <w:t>are</w:t>
      </w:r>
      <w:r w:rsidR="00A03629">
        <w:t xml:space="preserve"> </w:t>
      </w:r>
      <w:r>
        <w:t>incurred.</w:t>
      </w:r>
      <w:r w:rsidR="00A03629">
        <w:t xml:space="preserve"> </w:t>
      </w:r>
      <w:r>
        <w:t>The</w:t>
      </w:r>
      <w:r w:rsidR="00A03629">
        <w:rPr>
          <w:rFonts w:ascii="Cambria" w:hAnsi="Cambria" w:cs="Cambria"/>
        </w:rPr>
        <w:t xml:space="preserve"> </w:t>
      </w:r>
      <w:r>
        <w:t>carrying</w:t>
      </w:r>
      <w:r w:rsidR="00A03629">
        <w:t xml:space="preserve"> </w:t>
      </w:r>
      <w:r>
        <w:t>amounts</w:t>
      </w:r>
      <w:r w:rsidR="00A03629">
        <w:t xml:space="preserve"> </w:t>
      </w:r>
      <w:r>
        <w:t>of</w:t>
      </w:r>
      <w:r w:rsidR="00A03629">
        <w:t xml:space="preserve"> </w:t>
      </w:r>
      <w:r>
        <w:t>any</w:t>
      </w:r>
      <w:r w:rsidR="00A03629">
        <w:t xml:space="preserve"> </w:t>
      </w:r>
      <w:r>
        <w:t>inventories</w:t>
      </w:r>
      <w:r w:rsidR="00A03629">
        <w:t xml:space="preserve"> </w:t>
      </w:r>
      <w:r>
        <w:t>held</w:t>
      </w:r>
      <w:r w:rsidR="00A03629">
        <w:t xml:space="preserve"> </w:t>
      </w:r>
      <w:r>
        <w:t>for</w:t>
      </w:r>
      <w:r w:rsidR="00A03629">
        <w:t xml:space="preserve"> </w:t>
      </w:r>
      <w:r>
        <w:t>distribution</w:t>
      </w:r>
      <w:r w:rsidR="00A03629">
        <w:t xml:space="preserve"> </w:t>
      </w:r>
      <w:r>
        <w:t>are</w:t>
      </w:r>
      <w:r w:rsidR="00A03629">
        <w:t xml:space="preserve"> </w:t>
      </w:r>
      <w:r>
        <w:t>expensed</w:t>
      </w:r>
      <w:r w:rsidR="00A03629">
        <w:t xml:space="preserve"> </w:t>
      </w:r>
      <w:r>
        <w:t>when</w:t>
      </w:r>
      <w:r w:rsidR="00A03629">
        <w:t xml:space="preserve"> </w:t>
      </w:r>
      <w:r>
        <w:t>the</w:t>
      </w:r>
      <w:r w:rsidR="00A03629">
        <w:t xml:space="preserve"> </w:t>
      </w:r>
      <w:r>
        <w:t>inventories</w:t>
      </w:r>
      <w:r w:rsidR="00A03629">
        <w:t xml:space="preserve"> </w:t>
      </w:r>
      <w:r>
        <w:t>are</w:t>
      </w:r>
      <w:r w:rsidR="00A03629">
        <w:t xml:space="preserve"> </w:t>
      </w:r>
      <w:r>
        <w:t>distributed.</w:t>
      </w:r>
    </w:p>
    <w:p w14:paraId="42C57B57" w14:textId="04A56ECB" w:rsidR="000756EB" w:rsidRDefault="004A4D88" w:rsidP="00B265FD">
      <w:r>
        <w:t>Interest</w:t>
      </w:r>
      <w:r w:rsidR="00A03629">
        <w:t xml:space="preserve"> </w:t>
      </w:r>
      <w:r>
        <w:t>expense</w:t>
      </w:r>
      <w:r w:rsidR="00A03629">
        <w:t xml:space="preserve"> </w:t>
      </w:r>
      <w:r>
        <w:t>is</w:t>
      </w:r>
      <w:r w:rsidR="00A03629">
        <w:t xml:space="preserve"> </w:t>
      </w:r>
      <w:r>
        <w:t>recognised</w:t>
      </w:r>
      <w:r w:rsidR="00A03629">
        <w:t xml:space="preserve"> </w:t>
      </w:r>
      <w:r>
        <w:t>as</w:t>
      </w:r>
      <w:r w:rsidR="00A03629">
        <w:t xml:space="preserve"> </w:t>
      </w:r>
      <w:r>
        <w:t>an</w:t>
      </w:r>
      <w:r w:rsidR="00A03629">
        <w:t xml:space="preserve"> </w:t>
      </w:r>
      <w:r>
        <w:t>expense</w:t>
      </w:r>
      <w:r w:rsidR="00A03629">
        <w:t xml:space="preserve"> </w:t>
      </w:r>
      <w:r>
        <w:t>in</w:t>
      </w:r>
      <w:r w:rsidR="00A03629">
        <w:t xml:space="preserve"> </w:t>
      </w:r>
      <w:r>
        <w:t>the</w:t>
      </w:r>
      <w:r w:rsidR="00A03629">
        <w:t xml:space="preserve"> </w:t>
      </w:r>
      <w:r>
        <w:t>period</w:t>
      </w:r>
      <w:r w:rsidR="00A03629">
        <w:t xml:space="preserve"> </w:t>
      </w:r>
      <w:r>
        <w:t>in</w:t>
      </w:r>
      <w:r w:rsidR="00A03629">
        <w:t xml:space="preserve"> </w:t>
      </w:r>
      <w:r>
        <w:t>which</w:t>
      </w:r>
      <w:r w:rsidR="00A03629">
        <w:t xml:space="preserve"> </w:t>
      </w:r>
      <w:r>
        <w:t>it</w:t>
      </w:r>
      <w:r w:rsidR="00A03629">
        <w:t xml:space="preserve"> </w:t>
      </w:r>
      <w:r>
        <w:t>is</w:t>
      </w:r>
      <w:r w:rsidR="00A03629">
        <w:t xml:space="preserve"> </w:t>
      </w:r>
      <w:r>
        <w:t>incurred.</w:t>
      </w:r>
    </w:p>
    <w:p w14:paraId="498F8B86" w14:textId="2EAB00BF" w:rsidR="000756EB" w:rsidRDefault="004A4D88" w:rsidP="00B265FD">
      <w:pPr>
        <w:pStyle w:val="Heading1"/>
      </w:pPr>
      <w:bookmarkStart w:id="34" w:name="_Toc149911808"/>
      <w:r>
        <w:lastRenderedPageBreak/>
        <w:t>4.</w:t>
      </w:r>
      <w:r w:rsidR="00A03629">
        <w:t xml:space="preserve"> </w:t>
      </w:r>
      <w:r>
        <w:t>Disaggregated</w:t>
      </w:r>
      <w:r w:rsidR="00A03629">
        <w:t xml:space="preserve"> </w:t>
      </w:r>
      <w:r>
        <w:t>Financial</w:t>
      </w:r>
      <w:r w:rsidR="00A03629">
        <w:t xml:space="preserve"> </w:t>
      </w:r>
      <w:r>
        <w:t>Information</w:t>
      </w:r>
      <w:r w:rsidR="00A03629">
        <w:rPr>
          <w:rFonts w:ascii="Cambria" w:hAnsi="Cambria" w:cs="Cambria"/>
        </w:rPr>
        <w:t xml:space="preserve"> </w:t>
      </w:r>
      <w:r>
        <w:t>by</w:t>
      </w:r>
      <w:r w:rsidR="00A03629">
        <w:rPr>
          <w:rFonts w:ascii="Cambria" w:hAnsi="Cambria" w:cs="Cambria"/>
        </w:rPr>
        <w:t xml:space="preserve"> </w:t>
      </w:r>
      <w:r>
        <w:t>Output</w:t>
      </w:r>
      <w:bookmarkEnd w:id="34"/>
    </w:p>
    <w:p w14:paraId="22E87BAF" w14:textId="77777777" w:rsidR="000756EB" w:rsidRDefault="004A4D88" w:rsidP="00B265FD">
      <w:pPr>
        <w:pStyle w:val="Heading2"/>
      </w:pPr>
      <w:bookmarkStart w:id="35" w:name="_Toc149911809"/>
      <w:r>
        <w:t>Introduction</w:t>
      </w:r>
      <w:bookmarkEnd w:id="35"/>
    </w:p>
    <w:p w14:paraId="4BDDA08C" w14:textId="294867F8" w:rsidR="000756EB" w:rsidRDefault="004A4D88" w:rsidP="00B265FD">
      <w:r>
        <w:t>DJSIR</w:t>
      </w:r>
      <w:r w:rsidR="00A03629">
        <w:t xml:space="preserve"> </w:t>
      </w:r>
      <w:r>
        <w:t>is</w:t>
      </w:r>
      <w:r w:rsidR="00A03629">
        <w:t xml:space="preserve"> </w:t>
      </w:r>
      <w:r>
        <w:t>predominantly</w:t>
      </w:r>
      <w:r w:rsidR="00A03629">
        <w:t xml:space="preserve"> </w:t>
      </w:r>
      <w:r>
        <w:t>funded</w:t>
      </w:r>
      <w:r w:rsidR="00A03629">
        <w:t xml:space="preserve"> </w:t>
      </w:r>
      <w:r>
        <w:t>by</w:t>
      </w:r>
      <w:r w:rsidR="00A03629">
        <w:t xml:space="preserve"> </w:t>
      </w:r>
      <w:r>
        <w:t>accrual</w:t>
      </w:r>
      <w:r w:rsidR="00A03629">
        <w:t xml:space="preserve"> </w:t>
      </w:r>
      <w:r>
        <w:t>based</w:t>
      </w:r>
      <w:r w:rsidR="00A03629">
        <w:t xml:space="preserve"> </w:t>
      </w:r>
      <w:r>
        <w:t>parliamentary</w:t>
      </w:r>
      <w:r w:rsidR="00A03629">
        <w:t xml:space="preserve"> </w:t>
      </w:r>
      <w:r>
        <w:t>appropriations</w:t>
      </w:r>
      <w:r w:rsidR="00A03629">
        <w:t xml:space="preserve"> </w:t>
      </w:r>
      <w:r>
        <w:t>for</w:t>
      </w:r>
      <w:r w:rsidR="00A03629">
        <w:t xml:space="preserve"> </w:t>
      </w:r>
      <w:r>
        <w:t>the</w:t>
      </w:r>
      <w:r w:rsidR="00A03629">
        <w:t xml:space="preserve"> </w:t>
      </w:r>
      <w:r>
        <w:t>provision</w:t>
      </w:r>
      <w:r w:rsidR="00A03629">
        <w:t xml:space="preserve"> </w:t>
      </w:r>
      <w:r>
        <w:t>of</w:t>
      </w:r>
      <w:r w:rsidR="00A03629">
        <w:t xml:space="preserve"> </w:t>
      </w:r>
      <w:r>
        <w:t>outputs.</w:t>
      </w:r>
      <w:r w:rsidR="00A03629">
        <w:t xml:space="preserve"> </w:t>
      </w:r>
      <w:r>
        <w:t>This</w:t>
      </w:r>
      <w:r w:rsidR="00A03629">
        <w:t xml:space="preserve"> </w:t>
      </w:r>
      <w:r>
        <w:t>section</w:t>
      </w:r>
      <w:r w:rsidR="00A03629">
        <w:t xml:space="preserve"> </w:t>
      </w:r>
      <w:r>
        <w:t>provides</w:t>
      </w:r>
      <w:r w:rsidR="00A03629">
        <w:t xml:space="preserve"> </w:t>
      </w:r>
      <w:r>
        <w:t>a</w:t>
      </w:r>
      <w:r w:rsidR="00A03629">
        <w:t xml:space="preserve"> </w:t>
      </w:r>
      <w:r>
        <w:t>description</w:t>
      </w:r>
      <w:r w:rsidR="00A03629">
        <w:t xml:space="preserve"> </w:t>
      </w:r>
      <w:r>
        <w:t>of</w:t>
      </w:r>
      <w:r w:rsidR="00A03629">
        <w:t xml:space="preserve"> </w:t>
      </w:r>
      <w:r>
        <w:t>the</w:t>
      </w:r>
      <w:r w:rsidR="00A03629">
        <w:t xml:space="preserve"> </w:t>
      </w:r>
      <w:r>
        <w:t>departmental</w:t>
      </w:r>
      <w:r w:rsidR="00A03629">
        <w:t xml:space="preserve"> </w:t>
      </w:r>
      <w:r>
        <w:t>outputs</w:t>
      </w:r>
      <w:r w:rsidR="00A03629">
        <w:t xml:space="preserve"> </w:t>
      </w:r>
      <w:r>
        <w:t>performed</w:t>
      </w:r>
      <w:r w:rsidR="00A03629">
        <w:t xml:space="preserve"> </w:t>
      </w:r>
      <w:r>
        <w:t>during</w:t>
      </w:r>
      <w:r w:rsidR="00A03629">
        <w:t xml:space="preserve"> </w:t>
      </w:r>
      <w:r>
        <w:t>the</w:t>
      </w:r>
      <w:r w:rsidR="00A03629">
        <w:t xml:space="preserve"> </w:t>
      </w:r>
      <w:r>
        <w:t>year</w:t>
      </w:r>
      <w:r w:rsidR="00A03629">
        <w:t xml:space="preserve"> </w:t>
      </w:r>
      <w:r>
        <w:t>ended</w:t>
      </w:r>
      <w:r w:rsidR="00A03629">
        <w:t xml:space="preserve"> </w:t>
      </w:r>
      <w:r>
        <w:t>30</w:t>
      </w:r>
      <w:r w:rsidR="00A03629">
        <w:t xml:space="preserve"> </w:t>
      </w:r>
      <w:r>
        <w:t>June</w:t>
      </w:r>
      <w:r w:rsidR="00A03629">
        <w:t xml:space="preserve"> </w:t>
      </w:r>
      <w:r>
        <w:t>2023</w:t>
      </w:r>
      <w:r w:rsidR="00A03629">
        <w:t xml:space="preserve"> </w:t>
      </w:r>
      <w:r>
        <w:t>along</w:t>
      </w:r>
      <w:r w:rsidR="00A03629">
        <w:t xml:space="preserve"> </w:t>
      </w:r>
      <w:r>
        <w:t>with</w:t>
      </w:r>
      <w:r w:rsidR="00A03629">
        <w:t xml:space="preserve"> </w:t>
      </w:r>
      <w:r>
        <w:t>the</w:t>
      </w:r>
      <w:r w:rsidR="00A03629">
        <w:t xml:space="preserve"> </w:t>
      </w:r>
      <w:r>
        <w:t>objectives</w:t>
      </w:r>
      <w:r w:rsidR="00A03629">
        <w:t xml:space="preserve"> </w:t>
      </w:r>
      <w:r>
        <w:t>of</w:t>
      </w:r>
      <w:r w:rsidR="00A03629">
        <w:t xml:space="preserve"> </w:t>
      </w:r>
      <w:r>
        <w:t>those</w:t>
      </w:r>
      <w:r w:rsidR="00A03629">
        <w:t xml:space="preserve"> </w:t>
      </w:r>
      <w:r>
        <w:t>outputs.</w:t>
      </w:r>
    </w:p>
    <w:p w14:paraId="1064E8A3" w14:textId="4690DEDA" w:rsidR="000756EB" w:rsidRDefault="004A4D88" w:rsidP="00B265FD">
      <w:r>
        <w:t>This</w:t>
      </w:r>
      <w:r w:rsidR="00A03629">
        <w:t xml:space="preserve"> </w:t>
      </w:r>
      <w:r>
        <w:t>section</w:t>
      </w:r>
      <w:r w:rsidR="00A03629">
        <w:t xml:space="preserve"> </w:t>
      </w:r>
      <w:r>
        <w:t>disaggregates</w:t>
      </w:r>
      <w:r w:rsidR="00A03629">
        <w:t xml:space="preserve"> </w:t>
      </w:r>
      <w:r>
        <w:t>revenue</w:t>
      </w:r>
      <w:r w:rsidR="00A03629">
        <w:t xml:space="preserve"> </w:t>
      </w:r>
      <w:r>
        <w:t>and</w:t>
      </w:r>
      <w:r w:rsidR="00A03629">
        <w:t xml:space="preserve"> </w:t>
      </w:r>
      <w:r>
        <w:t>income</w:t>
      </w:r>
      <w:r w:rsidR="00A03629">
        <w:t xml:space="preserve"> </w:t>
      </w:r>
      <w:r>
        <w:t>that</w:t>
      </w:r>
      <w:r w:rsidR="00A03629">
        <w:t xml:space="preserve"> </w:t>
      </w:r>
      <w:r>
        <w:t>enables</w:t>
      </w:r>
      <w:r w:rsidR="00A03629">
        <w:t xml:space="preserve"> </w:t>
      </w:r>
      <w:r>
        <w:t>the</w:t>
      </w:r>
      <w:r w:rsidR="00A03629">
        <w:t xml:space="preserve"> </w:t>
      </w:r>
      <w:r>
        <w:t>delivery</w:t>
      </w:r>
      <w:r w:rsidR="00A03629">
        <w:t xml:space="preserve"> </w:t>
      </w:r>
      <w:r>
        <w:t>of</w:t>
      </w:r>
      <w:r w:rsidR="00A03629">
        <w:t xml:space="preserve"> </w:t>
      </w:r>
      <w:r>
        <w:t>service</w:t>
      </w:r>
      <w:r w:rsidR="00A03629">
        <w:t xml:space="preserve"> </w:t>
      </w:r>
      <w:r>
        <w:t>(described</w:t>
      </w:r>
      <w:r w:rsidR="00A03629">
        <w:t xml:space="preserve"> </w:t>
      </w:r>
      <w:r>
        <w:t>in</w:t>
      </w:r>
      <w:r w:rsidR="00A03629">
        <w:t xml:space="preserve"> </w:t>
      </w:r>
      <w:r>
        <w:t>Note</w:t>
      </w:r>
      <w:r w:rsidR="00A03629">
        <w:t xml:space="preserve"> </w:t>
      </w:r>
      <w:r>
        <w:t>2</w:t>
      </w:r>
      <w:r w:rsidR="00A03629">
        <w:t xml:space="preserve"> </w:t>
      </w:r>
      <w:r>
        <w:t>–</w:t>
      </w:r>
      <w:r w:rsidR="00A03629">
        <w:t xml:space="preserve"> </w:t>
      </w:r>
      <w:r>
        <w:t>Funding</w:t>
      </w:r>
      <w:r w:rsidR="00A03629">
        <w:t xml:space="preserve"> </w:t>
      </w:r>
      <w:r>
        <w:t>delivery</w:t>
      </w:r>
      <w:r w:rsidR="00A03629">
        <w:t xml:space="preserve"> </w:t>
      </w:r>
      <w:r>
        <w:t>of</w:t>
      </w:r>
      <w:r w:rsidR="00A03629">
        <w:t xml:space="preserve"> </w:t>
      </w:r>
      <w:r>
        <w:t>our</w:t>
      </w:r>
      <w:r w:rsidR="00A03629">
        <w:t xml:space="preserve"> </w:t>
      </w:r>
      <w:r>
        <w:t>services)</w:t>
      </w:r>
      <w:r w:rsidR="00A03629">
        <w:t xml:space="preserve"> </w:t>
      </w:r>
      <w:r>
        <w:t>by</w:t>
      </w:r>
      <w:r w:rsidR="00A03629">
        <w:t xml:space="preserve"> </w:t>
      </w:r>
      <w:r>
        <w:t>output</w:t>
      </w:r>
      <w:r w:rsidR="00A03629">
        <w:t xml:space="preserve"> </w:t>
      </w:r>
      <w:r>
        <w:t>and</w:t>
      </w:r>
      <w:r w:rsidR="00A03629">
        <w:t xml:space="preserve"> </w:t>
      </w:r>
      <w:r>
        <w:t>records</w:t>
      </w:r>
      <w:r w:rsidR="00A03629">
        <w:t xml:space="preserve"> </w:t>
      </w:r>
      <w:r>
        <w:t>the</w:t>
      </w:r>
      <w:r w:rsidR="00A03629">
        <w:t xml:space="preserve"> </w:t>
      </w:r>
      <w:r>
        <w:t>allocation</w:t>
      </w:r>
      <w:r w:rsidR="00A03629">
        <w:t xml:space="preserve"> </w:t>
      </w:r>
      <w:r>
        <w:t>of</w:t>
      </w:r>
      <w:r w:rsidR="00A03629">
        <w:t xml:space="preserve"> </w:t>
      </w:r>
      <w:r>
        <w:t>expenses</w:t>
      </w:r>
      <w:r w:rsidR="00A03629">
        <w:t xml:space="preserve"> </w:t>
      </w:r>
      <w:r>
        <w:t>incurred</w:t>
      </w:r>
      <w:r w:rsidR="00A03629">
        <w:t xml:space="preserve"> </w:t>
      </w:r>
      <w:r>
        <w:t>(described</w:t>
      </w:r>
      <w:r w:rsidR="00A03629">
        <w:t xml:space="preserve"> </w:t>
      </w:r>
      <w:r>
        <w:t>in</w:t>
      </w:r>
      <w:r w:rsidR="00A03629">
        <w:t xml:space="preserve"> </w:t>
      </w:r>
      <w:r>
        <w:t>Note</w:t>
      </w:r>
      <w:r w:rsidR="00A03629">
        <w:rPr>
          <w:rFonts w:ascii="Cambria" w:hAnsi="Cambria" w:cs="Cambria"/>
        </w:rPr>
        <w:t xml:space="preserve"> </w:t>
      </w:r>
      <w:r>
        <w:t>3</w:t>
      </w:r>
      <w:r w:rsidR="00A03629">
        <w:t xml:space="preserve"> </w:t>
      </w:r>
      <w:r>
        <w:t>–</w:t>
      </w:r>
      <w:r w:rsidR="00A03629">
        <w:t xml:space="preserve"> </w:t>
      </w:r>
      <w:r>
        <w:t>The</w:t>
      </w:r>
      <w:r w:rsidR="00A03629">
        <w:t xml:space="preserve"> </w:t>
      </w:r>
      <w:r>
        <w:t>cost</w:t>
      </w:r>
      <w:r w:rsidR="00A03629">
        <w:t xml:space="preserve"> </w:t>
      </w:r>
      <w:r>
        <w:t>of</w:t>
      </w:r>
      <w:r w:rsidR="00A03629">
        <w:t xml:space="preserve"> </w:t>
      </w:r>
      <w:r>
        <w:t>delivering</w:t>
      </w:r>
      <w:r w:rsidR="00A03629">
        <w:t xml:space="preserve"> </w:t>
      </w:r>
      <w:r>
        <w:t>services)</w:t>
      </w:r>
      <w:r w:rsidR="00A03629">
        <w:t xml:space="preserve"> </w:t>
      </w:r>
      <w:r>
        <w:t>also</w:t>
      </w:r>
      <w:r w:rsidR="00A03629">
        <w:t xml:space="preserve"> </w:t>
      </w:r>
      <w:r>
        <w:t>by</w:t>
      </w:r>
      <w:r w:rsidR="00A03629">
        <w:t xml:space="preserve"> </w:t>
      </w:r>
      <w:r>
        <w:t>output.</w:t>
      </w:r>
    </w:p>
    <w:p w14:paraId="0A3D7D86" w14:textId="56A38F8B" w:rsidR="000756EB" w:rsidRDefault="004A4D88" w:rsidP="00B265FD">
      <w:r>
        <w:t>It</w:t>
      </w:r>
      <w:r w:rsidR="00A03629">
        <w:t xml:space="preserve"> </w:t>
      </w:r>
      <w:r>
        <w:t>provides</w:t>
      </w:r>
      <w:r w:rsidR="00A03629">
        <w:t xml:space="preserve"> </w:t>
      </w:r>
      <w:r>
        <w:t>information</w:t>
      </w:r>
      <w:r w:rsidR="00A03629">
        <w:t xml:space="preserve"> </w:t>
      </w:r>
      <w:r>
        <w:t>on</w:t>
      </w:r>
      <w:r w:rsidR="00A03629">
        <w:t xml:space="preserve"> </w:t>
      </w:r>
      <w:r>
        <w:t>controlled</w:t>
      </w:r>
      <w:r w:rsidR="00A03629">
        <w:t xml:space="preserve"> </w:t>
      </w:r>
      <w:r>
        <w:t>and</w:t>
      </w:r>
      <w:r w:rsidR="00A03629">
        <w:t xml:space="preserve"> </w:t>
      </w:r>
      <w:r>
        <w:t>administered</w:t>
      </w:r>
      <w:r w:rsidR="00A03629">
        <w:t xml:space="preserve"> </w:t>
      </w:r>
      <w:r>
        <w:t>items</w:t>
      </w:r>
      <w:r w:rsidR="00A03629">
        <w:t xml:space="preserve"> </w:t>
      </w:r>
      <w:r>
        <w:t>in</w:t>
      </w:r>
      <w:r w:rsidR="00A03629">
        <w:t xml:space="preserve"> </w:t>
      </w:r>
      <w:r>
        <w:t>connection</w:t>
      </w:r>
      <w:r w:rsidR="00A03629">
        <w:t xml:space="preserve"> </w:t>
      </w:r>
      <w:r>
        <w:t>with</w:t>
      </w:r>
      <w:r w:rsidR="00A03629">
        <w:t xml:space="preserve"> </w:t>
      </w:r>
      <w:r>
        <w:t>these</w:t>
      </w:r>
      <w:r w:rsidR="00A03629">
        <w:t xml:space="preserve"> </w:t>
      </w:r>
      <w:r>
        <w:t>outputs.</w:t>
      </w:r>
    </w:p>
    <w:p w14:paraId="74053C04" w14:textId="77777777" w:rsidR="000756EB" w:rsidRDefault="004A4D88" w:rsidP="001E29DD">
      <w:pPr>
        <w:pStyle w:val="Heading3"/>
      </w:pPr>
      <w:r>
        <w:t>Structure</w:t>
      </w:r>
    </w:p>
    <w:p w14:paraId="07DC6A74" w14:textId="6EC36AEE" w:rsidR="000756EB" w:rsidRDefault="004A4D88" w:rsidP="00B265FD">
      <w:r>
        <w:t>4.1</w:t>
      </w:r>
      <w:r>
        <w:tab/>
        <w:t>Departmental</w:t>
      </w:r>
      <w:r w:rsidR="00A03629">
        <w:t xml:space="preserve"> </w:t>
      </w:r>
      <w:r>
        <w:t>outputs</w:t>
      </w:r>
    </w:p>
    <w:p w14:paraId="2DECA781" w14:textId="03147D4F" w:rsidR="000756EB" w:rsidRDefault="004A4D88" w:rsidP="00B265FD">
      <w:r>
        <w:t>4.2</w:t>
      </w:r>
      <w:r>
        <w:tab/>
        <w:t>Administered</w:t>
      </w:r>
      <w:r w:rsidR="00A03629">
        <w:t xml:space="preserve"> </w:t>
      </w:r>
      <w:r>
        <w:t>items</w:t>
      </w:r>
    </w:p>
    <w:p w14:paraId="6AE2BEA7" w14:textId="030E3BD3" w:rsidR="000756EB" w:rsidRDefault="004A4D88" w:rsidP="00B265FD">
      <w:r>
        <w:t>4.3</w:t>
      </w:r>
      <w:r>
        <w:tab/>
        <w:t>Restructuring</w:t>
      </w:r>
      <w:r w:rsidR="00A03629">
        <w:t xml:space="preserve"> </w:t>
      </w:r>
      <w:r>
        <w:t>of</w:t>
      </w:r>
      <w:r w:rsidR="00A03629">
        <w:t xml:space="preserve"> </w:t>
      </w:r>
      <w:r>
        <w:t>administrative</w:t>
      </w:r>
      <w:r w:rsidR="00A03629">
        <w:t xml:space="preserve"> </w:t>
      </w:r>
      <w:r>
        <w:t>arrangements</w:t>
      </w:r>
    </w:p>
    <w:p w14:paraId="17B8EEC0" w14:textId="26B74A8D" w:rsidR="000756EB" w:rsidRDefault="004A4D88" w:rsidP="00B265FD">
      <w:pPr>
        <w:pStyle w:val="Heading2"/>
      </w:pPr>
      <w:bookmarkStart w:id="36" w:name="_Toc149911810"/>
      <w:r>
        <w:t>4.1</w:t>
      </w:r>
      <w:r w:rsidR="00DE38B5">
        <w:t xml:space="preserve"> </w:t>
      </w:r>
      <w:r>
        <w:t>Departmental</w:t>
      </w:r>
      <w:r w:rsidR="00A03629">
        <w:t xml:space="preserve"> </w:t>
      </w:r>
      <w:r>
        <w:t>outputs</w:t>
      </w:r>
      <w:bookmarkEnd w:id="36"/>
    </w:p>
    <w:p w14:paraId="2CAC0CC0" w14:textId="16D992CD" w:rsidR="000756EB" w:rsidRDefault="004A4D88" w:rsidP="00B265FD">
      <w:pPr>
        <w:pStyle w:val="Heading3"/>
      </w:pPr>
      <w:r>
        <w:t>4.1.1</w:t>
      </w:r>
      <w:r w:rsidR="00DE38B5">
        <w:t xml:space="preserve"> </w:t>
      </w:r>
      <w:r>
        <w:t>Departmental</w:t>
      </w:r>
      <w:r w:rsidR="00A03629">
        <w:t xml:space="preserve"> </w:t>
      </w:r>
      <w:r>
        <w:t>outputs</w:t>
      </w:r>
      <w:r w:rsidR="00A03629">
        <w:t xml:space="preserve"> </w:t>
      </w:r>
      <w:r>
        <w:t>objectives</w:t>
      </w:r>
    </w:p>
    <w:p w14:paraId="5F71E2C9" w14:textId="3F968B01" w:rsidR="000756EB" w:rsidRPr="00B5500D" w:rsidRDefault="004A4D88" w:rsidP="00B5500D">
      <w:pPr>
        <w:pStyle w:val="Normalbeforebullets"/>
        <w:rPr>
          <w:b/>
          <w:bCs/>
        </w:rPr>
      </w:pPr>
      <w:r w:rsidRPr="00B5500D">
        <w:rPr>
          <w:b/>
          <w:bCs/>
        </w:rPr>
        <w:t>Departmental</w:t>
      </w:r>
      <w:r w:rsidR="00A03629" w:rsidRPr="00B5500D">
        <w:rPr>
          <w:b/>
          <w:bCs/>
        </w:rPr>
        <w:t xml:space="preserve"> </w:t>
      </w:r>
      <w:r w:rsidRPr="00B5500D">
        <w:rPr>
          <w:b/>
          <w:bCs/>
        </w:rPr>
        <w:t>mission</w:t>
      </w:r>
      <w:r w:rsidR="00A03629" w:rsidRPr="00B5500D">
        <w:rPr>
          <w:b/>
          <w:bCs/>
        </w:rPr>
        <w:t xml:space="preserve"> </w:t>
      </w:r>
      <w:r w:rsidRPr="00B5500D">
        <w:rPr>
          <w:b/>
          <w:bCs/>
        </w:rPr>
        <w:t>statement</w:t>
      </w:r>
      <w:r w:rsidR="00A03629" w:rsidRPr="00B5500D">
        <w:rPr>
          <w:b/>
          <w:bCs/>
        </w:rPr>
        <w:t xml:space="preserve"> </w:t>
      </w:r>
    </w:p>
    <w:p w14:paraId="2F162C56" w14:textId="25B358AE" w:rsidR="000756EB" w:rsidRDefault="004A4D88" w:rsidP="00B265FD">
      <w:r>
        <w:t>DJSIR</w:t>
      </w:r>
      <w:r w:rsidR="00A03629">
        <w:t xml:space="preserve"> </w:t>
      </w:r>
      <w:r>
        <w:t>is</w:t>
      </w:r>
      <w:r w:rsidR="00A03629">
        <w:t xml:space="preserve"> </w:t>
      </w:r>
      <w:r>
        <w:t>focused</w:t>
      </w:r>
      <w:r w:rsidR="00A03629">
        <w:t xml:space="preserve"> </w:t>
      </w:r>
      <w:r>
        <w:t>on</w:t>
      </w:r>
      <w:r w:rsidR="00A03629">
        <w:t xml:space="preserve"> </w:t>
      </w:r>
      <w:r>
        <w:t>growing</w:t>
      </w:r>
      <w:r w:rsidR="00A03629">
        <w:t xml:space="preserve"> </w:t>
      </w:r>
      <w:r>
        <w:t>our</w:t>
      </w:r>
      <w:r w:rsidR="00A03629">
        <w:t xml:space="preserve"> </w:t>
      </w:r>
      <w:proofErr w:type="gramStart"/>
      <w:r>
        <w:t>State’s</w:t>
      </w:r>
      <w:proofErr w:type="gramEnd"/>
      <w:r w:rsidR="00A03629">
        <w:t xml:space="preserve"> </w:t>
      </w:r>
      <w:r>
        <w:t>economy</w:t>
      </w:r>
      <w:r w:rsidR="00A03629">
        <w:t xml:space="preserve"> </w:t>
      </w:r>
      <w:r>
        <w:t>and</w:t>
      </w:r>
      <w:r w:rsidR="00A03629">
        <w:t xml:space="preserve"> </w:t>
      </w:r>
      <w:r>
        <w:t>ensuring</w:t>
      </w:r>
      <w:r w:rsidR="00A03629">
        <w:t xml:space="preserve"> </w:t>
      </w:r>
      <w:r>
        <w:t>it</w:t>
      </w:r>
      <w:r w:rsidR="00A03629">
        <w:t xml:space="preserve"> </w:t>
      </w:r>
      <w:r>
        <w:t>benefits</w:t>
      </w:r>
      <w:r w:rsidR="00A03629">
        <w:t xml:space="preserve"> </w:t>
      </w:r>
      <w:r>
        <w:t>all</w:t>
      </w:r>
      <w:r w:rsidR="00A03629">
        <w:t xml:space="preserve"> </w:t>
      </w:r>
      <w:r>
        <w:t>Victorians</w:t>
      </w:r>
      <w:r w:rsidR="00A03629">
        <w:t xml:space="preserve"> </w:t>
      </w:r>
      <w:r>
        <w:t>–</w:t>
      </w:r>
      <w:r w:rsidR="00A03629">
        <w:t xml:space="preserve"> </w:t>
      </w:r>
      <w:r>
        <w:t>by</w:t>
      </w:r>
      <w:r w:rsidR="00A03629">
        <w:t xml:space="preserve"> </w:t>
      </w:r>
      <w:r>
        <w:t>creating</w:t>
      </w:r>
      <w:r w:rsidR="00A03629">
        <w:t xml:space="preserve"> </w:t>
      </w:r>
      <w:r>
        <w:t>more</w:t>
      </w:r>
      <w:r w:rsidR="00A03629">
        <w:t xml:space="preserve"> </w:t>
      </w:r>
      <w:r>
        <w:t>jobs</w:t>
      </w:r>
      <w:r w:rsidR="00A03629">
        <w:t xml:space="preserve"> </w:t>
      </w:r>
      <w:r>
        <w:t>for</w:t>
      </w:r>
      <w:r w:rsidR="00A03629">
        <w:t xml:space="preserve"> </w:t>
      </w:r>
      <w:r>
        <w:t>more</w:t>
      </w:r>
      <w:r w:rsidR="00A03629">
        <w:t xml:space="preserve"> </w:t>
      </w:r>
      <w:r>
        <w:t>people,</w:t>
      </w:r>
      <w:r w:rsidR="00A03629">
        <w:t xml:space="preserve"> </w:t>
      </w:r>
      <w:r>
        <w:t>building</w:t>
      </w:r>
      <w:r w:rsidR="00A03629">
        <w:t xml:space="preserve"> </w:t>
      </w:r>
      <w:r>
        <w:t>thriving</w:t>
      </w:r>
      <w:r w:rsidR="00A03629">
        <w:t xml:space="preserve"> </w:t>
      </w:r>
      <w:r>
        <w:t>places</w:t>
      </w:r>
      <w:r w:rsidR="00A03629">
        <w:t xml:space="preserve"> </w:t>
      </w:r>
      <w:r>
        <w:t>and</w:t>
      </w:r>
      <w:r w:rsidR="00A03629">
        <w:t xml:space="preserve"> </w:t>
      </w:r>
      <w:r>
        <w:t>regions,</w:t>
      </w:r>
      <w:r w:rsidR="00A03629">
        <w:t xml:space="preserve"> </w:t>
      </w:r>
      <w:r>
        <w:t>and</w:t>
      </w:r>
      <w:r w:rsidR="00A03629">
        <w:t xml:space="preserve"> </w:t>
      </w:r>
      <w:r>
        <w:t>supporting</w:t>
      </w:r>
      <w:r w:rsidR="00A03629">
        <w:t xml:space="preserve"> </w:t>
      </w:r>
      <w:r>
        <w:t>inclusive</w:t>
      </w:r>
      <w:r w:rsidR="00A03629">
        <w:t xml:space="preserve"> </w:t>
      </w:r>
      <w:r>
        <w:t>communities.</w:t>
      </w:r>
    </w:p>
    <w:p w14:paraId="00AFA7A1" w14:textId="295C1496" w:rsidR="000756EB" w:rsidRDefault="004A4D88" w:rsidP="00B265FD">
      <w:pPr>
        <w:pStyle w:val="Normalbeforebullets"/>
      </w:pPr>
      <w:r>
        <w:t>DJSIR</w:t>
      </w:r>
      <w:r w:rsidR="00A03629">
        <w:t xml:space="preserve"> </w:t>
      </w:r>
      <w:r>
        <w:t>had</w:t>
      </w:r>
      <w:r w:rsidR="00A03629">
        <w:t xml:space="preserve"> </w:t>
      </w:r>
      <w:r>
        <w:t>the</w:t>
      </w:r>
      <w:r w:rsidR="00A03629">
        <w:t xml:space="preserve"> </w:t>
      </w:r>
      <w:r>
        <w:t>following</w:t>
      </w:r>
      <w:r w:rsidR="00A03629">
        <w:t xml:space="preserve"> </w:t>
      </w:r>
      <w:r>
        <w:t>departmental</w:t>
      </w:r>
      <w:r w:rsidR="00A03629">
        <w:t xml:space="preserve"> </w:t>
      </w:r>
      <w:r>
        <w:t>outputs</w:t>
      </w:r>
      <w:r w:rsidR="00A03629">
        <w:t xml:space="preserve"> </w:t>
      </w:r>
      <w:r>
        <w:t>as</w:t>
      </w:r>
      <w:r w:rsidR="00A03629">
        <w:t xml:space="preserve"> </w:t>
      </w:r>
      <w:proofErr w:type="gramStart"/>
      <w:r>
        <w:t>at</w:t>
      </w:r>
      <w:proofErr w:type="gramEnd"/>
      <w:r w:rsidR="00A03629">
        <w:t xml:space="preserve"> </w:t>
      </w:r>
      <w:r>
        <w:t>30</w:t>
      </w:r>
      <w:r w:rsidR="00A03629">
        <w:t xml:space="preserve"> </w:t>
      </w:r>
      <w:r>
        <w:t>June</w:t>
      </w:r>
      <w:r w:rsidR="00A03629">
        <w:t xml:space="preserve"> </w:t>
      </w:r>
      <w:r>
        <w:t>2023.</w:t>
      </w:r>
      <w:r w:rsidR="00A03629">
        <w:t xml:space="preserve"> </w:t>
      </w:r>
      <w:r>
        <w:t>These</w:t>
      </w:r>
      <w:r w:rsidR="00A03629">
        <w:t xml:space="preserve"> </w:t>
      </w:r>
      <w:r>
        <w:t>departmental</w:t>
      </w:r>
      <w:r w:rsidR="00A03629">
        <w:t xml:space="preserve"> </w:t>
      </w:r>
      <w:r>
        <w:t>outputs</w:t>
      </w:r>
      <w:r w:rsidR="00A03629">
        <w:t xml:space="preserve"> </w:t>
      </w:r>
      <w:r>
        <w:t>are</w:t>
      </w:r>
      <w:r w:rsidR="00A03629">
        <w:t xml:space="preserve"> </w:t>
      </w:r>
      <w:r>
        <w:t>reflected</w:t>
      </w:r>
      <w:r w:rsidR="00A03629">
        <w:t xml:space="preserve"> </w:t>
      </w:r>
      <w:r>
        <w:t>in</w:t>
      </w:r>
      <w:r w:rsidR="00A03629">
        <w:t xml:space="preserve"> </w:t>
      </w:r>
      <w:r>
        <w:t>the</w:t>
      </w:r>
      <w:r w:rsidR="00A03629">
        <w:t xml:space="preserve"> </w:t>
      </w:r>
      <w:r>
        <w:t>2023–24</w:t>
      </w:r>
      <w:r w:rsidR="00A03629">
        <w:t xml:space="preserve"> </w:t>
      </w:r>
      <w:r>
        <w:t>Budget</w:t>
      </w:r>
      <w:r w:rsidR="00A03629">
        <w:t xml:space="preserve"> </w:t>
      </w:r>
      <w:r>
        <w:t>Paper</w:t>
      </w:r>
      <w:r w:rsidR="00A03629">
        <w:t xml:space="preserve"> </w:t>
      </w:r>
      <w:r>
        <w:t>3:</w:t>
      </w:r>
    </w:p>
    <w:p w14:paraId="6DBE6A6E" w14:textId="3CFA5860" w:rsidR="000756EB" w:rsidRDefault="004A4D88" w:rsidP="00B265FD">
      <w:pPr>
        <w:pStyle w:val="Bullet"/>
      </w:pPr>
      <w:r>
        <w:t>Creative</w:t>
      </w:r>
      <w:r w:rsidR="00A03629">
        <w:t xml:space="preserve"> </w:t>
      </w:r>
      <w:r>
        <w:t>Industries</w:t>
      </w:r>
      <w:r w:rsidR="00A03629">
        <w:t xml:space="preserve"> </w:t>
      </w:r>
      <w:r>
        <w:t>Access,</w:t>
      </w:r>
      <w:r w:rsidR="00A03629">
        <w:t xml:space="preserve"> </w:t>
      </w:r>
      <w:proofErr w:type="gramStart"/>
      <w:r>
        <w:t>Development</w:t>
      </w:r>
      <w:proofErr w:type="gramEnd"/>
      <w:r w:rsidR="00A03629">
        <w:t xml:space="preserve"> </w:t>
      </w:r>
      <w:r>
        <w:t>and</w:t>
      </w:r>
      <w:r w:rsidR="00A03629">
        <w:rPr>
          <w:rFonts w:ascii="Cambria" w:hAnsi="Cambria" w:cs="Cambria"/>
        </w:rPr>
        <w:t xml:space="preserve"> </w:t>
      </w:r>
      <w:r>
        <w:t>Innovation</w:t>
      </w:r>
    </w:p>
    <w:p w14:paraId="3D05FED7" w14:textId="1264C65D" w:rsidR="000756EB" w:rsidRDefault="004A4D88" w:rsidP="00B265FD">
      <w:pPr>
        <w:pStyle w:val="Bullet"/>
      </w:pPr>
      <w:r>
        <w:t>Creative</w:t>
      </w:r>
      <w:r w:rsidR="00A03629">
        <w:t xml:space="preserve"> </w:t>
      </w:r>
      <w:r>
        <w:t>Industries</w:t>
      </w:r>
      <w:r w:rsidR="00A03629">
        <w:t xml:space="preserve"> </w:t>
      </w:r>
      <w:r>
        <w:t>Portfolio</w:t>
      </w:r>
      <w:r w:rsidR="00A03629">
        <w:t xml:space="preserve"> </w:t>
      </w:r>
      <w:r>
        <w:t>Agencies</w:t>
      </w:r>
    </w:p>
    <w:p w14:paraId="2A0E4D4E" w14:textId="71E1817A" w:rsidR="000756EB" w:rsidRDefault="004A4D88" w:rsidP="00B265FD">
      <w:pPr>
        <w:pStyle w:val="Bullet"/>
      </w:pPr>
      <w:r>
        <w:t>Cultural</w:t>
      </w:r>
      <w:r w:rsidR="00A03629">
        <w:t xml:space="preserve"> </w:t>
      </w:r>
      <w:r>
        <w:t>Infrastructure</w:t>
      </w:r>
      <w:r w:rsidR="00A03629">
        <w:t xml:space="preserve"> </w:t>
      </w:r>
      <w:r>
        <w:t>and</w:t>
      </w:r>
      <w:r w:rsidR="00A03629">
        <w:t xml:space="preserve"> </w:t>
      </w:r>
      <w:r>
        <w:t>Facilities</w:t>
      </w:r>
    </w:p>
    <w:p w14:paraId="01B882F4" w14:textId="01463428" w:rsidR="000756EB" w:rsidRDefault="004A4D88" w:rsidP="00B265FD">
      <w:pPr>
        <w:pStyle w:val="Bullet"/>
      </w:pPr>
      <w:r>
        <w:t>Industry,</w:t>
      </w:r>
      <w:r w:rsidR="00A03629">
        <w:t xml:space="preserve"> </w:t>
      </w:r>
      <w:r>
        <w:t>Innovation</w:t>
      </w:r>
      <w:r w:rsidR="00A03629">
        <w:t xml:space="preserve"> </w:t>
      </w:r>
      <w:r>
        <w:t>and</w:t>
      </w:r>
      <w:r w:rsidR="00A03629">
        <w:t xml:space="preserve"> </w:t>
      </w:r>
      <w:r>
        <w:t>Small</w:t>
      </w:r>
      <w:r w:rsidR="00A03629">
        <w:t xml:space="preserve"> </w:t>
      </w:r>
      <w:r>
        <w:t>Business</w:t>
      </w:r>
    </w:p>
    <w:p w14:paraId="1E848769" w14:textId="77777777" w:rsidR="000756EB" w:rsidRDefault="004A4D88" w:rsidP="00B265FD">
      <w:pPr>
        <w:pStyle w:val="Bullet"/>
      </w:pPr>
      <w:r>
        <w:t>Jobs</w:t>
      </w:r>
    </w:p>
    <w:p w14:paraId="5D4B8689" w14:textId="57C0DCA8" w:rsidR="000756EB" w:rsidRDefault="004A4D88" w:rsidP="00B265FD">
      <w:pPr>
        <w:pStyle w:val="Bullet"/>
      </w:pPr>
      <w:r>
        <w:t>Suburban</w:t>
      </w:r>
      <w:r w:rsidR="00A03629">
        <w:t xml:space="preserve"> </w:t>
      </w:r>
      <w:r>
        <w:t>Development</w:t>
      </w:r>
    </w:p>
    <w:p w14:paraId="357519E0" w14:textId="0CA0C552" w:rsidR="000756EB" w:rsidRDefault="004A4D88" w:rsidP="00B265FD">
      <w:pPr>
        <w:pStyle w:val="Bullet"/>
      </w:pPr>
      <w:r>
        <w:lastRenderedPageBreak/>
        <w:t>Regional</w:t>
      </w:r>
      <w:r w:rsidR="00A03629">
        <w:t xml:space="preserve"> </w:t>
      </w:r>
      <w:r>
        <w:t>Development</w:t>
      </w:r>
    </w:p>
    <w:p w14:paraId="686E73A0" w14:textId="3ED2FF51" w:rsidR="000756EB" w:rsidRDefault="004A4D88" w:rsidP="00B265FD">
      <w:pPr>
        <w:pStyle w:val="Bullet"/>
      </w:pPr>
      <w:r>
        <w:t>Sport</w:t>
      </w:r>
      <w:r w:rsidR="00A03629">
        <w:t xml:space="preserve"> </w:t>
      </w:r>
      <w:r>
        <w:t>and</w:t>
      </w:r>
      <w:r w:rsidR="00A03629">
        <w:t xml:space="preserve"> </w:t>
      </w:r>
      <w:r>
        <w:t>Recreation</w:t>
      </w:r>
    </w:p>
    <w:p w14:paraId="7056A560" w14:textId="700B6638" w:rsidR="000756EB" w:rsidRDefault="004A4D88" w:rsidP="00B265FD">
      <w:pPr>
        <w:pStyle w:val="Bullet"/>
      </w:pPr>
      <w:r>
        <w:t>Trade</w:t>
      </w:r>
      <w:r w:rsidR="00A03629">
        <w:t xml:space="preserve"> </w:t>
      </w:r>
      <w:r>
        <w:t>and</w:t>
      </w:r>
      <w:r w:rsidR="00A03629">
        <w:t xml:space="preserve"> </w:t>
      </w:r>
      <w:r>
        <w:t>Investment</w:t>
      </w:r>
    </w:p>
    <w:p w14:paraId="4713556D" w14:textId="762E3C33" w:rsidR="000756EB" w:rsidRDefault="004A4D88" w:rsidP="00B265FD">
      <w:pPr>
        <w:pStyle w:val="Bullet"/>
      </w:pPr>
      <w:r>
        <w:t>Tourism</w:t>
      </w:r>
      <w:r w:rsidR="00A03629">
        <w:t xml:space="preserve"> </w:t>
      </w:r>
      <w:r>
        <w:t>and</w:t>
      </w:r>
      <w:r w:rsidR="00A03629">
        <w:t xml:space="preserve"> </w:t>
      </w:r>
      <w:r>
        <w:t>Major</w:t>
      </w:r>
      <w:r w:rsidR="00A03629">
        <w:t xml:space="preserve"> </w:t>
      </w:r>
      <w:r>
        <w:t>events</w:t>
      </w:r>
    </w:p>
    <w:p w14:paraId="4BC112AF" w14:textId="46BA69BE" w:rsidR="000756EB" w:rsidRDefault="004A4D88" w:rsidP="00B265FD">
      <w:pPr>
        <w:pStyle w:val="Bullet"/>
      </w:pPr>
      <w:r>
        <w:t>Fishing,</w:t>
      </w:r>
      <w:r w:rsidR="00A03629">
        <w:t xml:space="preserve"> </w:t>
      </w:r>
      <w:r>
        <w:t>Boating</w:t>
      </w:r>
      <w:r w:rsidR="00A03629">
        <w:t xml:space="preserve"> </w:t>
      </w:r>
      <w:r>
        <w:t>and</w:t>
      </w:r>
      <w:r w:rsidR="00A03629">
        <w:t xml:space="preserve"> </w:t>
      </w:r>
      <w:r>
        <w:t>Game</w:t>
      </w:r>
      <w:r w:rsidR="00A03629">
        <w:t xml:space="preserve"> </w:t>
      </w:r>
      <w:r>
        <w:t>Management</w:t>
      </w:r>
    </w:p>
    <w:p w14:paraId="48F6A67B" w14:textId="4EE5D478" w:rsidR="000756EB" w:rsidRDefault="004A4D88" w:rsidP="00B265FD">
      <w:pPr>
        <w:pStyle w:val="Bulletlast"/>
      </w:pPr>
      <w:r>
        <w:t>Training,</w:t>
      </w:r>
      <w:r w:rsidR="00A03629">
        <w:t xml:space="preserve"> </w:t>
      </w:r>
      <w:r>
        <w:t>Higher</w:t>
      </w:r>
      <w:r w:rsidR="00A03629">
        <w:t xml:space="preserve"> </w:t>
      </w:r>
      <w:r>
        <w:t>Education</w:t>
      </w:r>
      <w:r w:rsidR="00A03629">
        <w:t xml:space="preserve"> </w:t>
      </w:r>
      <w:r>
        <w:t>and</w:t>
      </w:r>
      <w:r w:rsidR="00A03629">
        <w:t xml:space="preserve"> </w:t>
      </w:r>
      <w:r>
        <w:t>Workforce</w:t>
      </w:r>
      <w:r w:rsidR="00A03629">
        <w:t xml:space="preserve"> </w:t>
      </w:r>
      <w:r>
        <w:t>Development</w:t>
      </w:r>
    </w:p>
    <w:p w14:paraId="395D8D88" w14:textId="47FB66B8" w:rsidR="000756EB" w:rsidRDefault="004A4D88" w:rsidP="00B265FD">
      <w:pPr>
        <w:pStyle w:val="Normalbeforebullets"/>
      </w:pPr>
      <w:r>
        <w:t>Effective</w:t>
      </w:r>
      <w:r w:rsidR="00A03629">
        <w:t xml:space="preserve"> </w:t>
      </w:r>
      <w:r>
        <w:t>1</w:t>
      </w:r>
      <w:r w:rsidR="00A03629">
        <w:t xml:space="preserve"> </w:t>
      </w:r>
      <w:r>
        <w:t>January</w:t>
      </w:r>
      <w:r w:rsidR="00A03629">
        <w:t xml:space="preserve"> </w:t>
      </w:r>
      <w:r>
        <w:t>2023,</w:t>
      </w:r>
      <w:r w:rsidR="00A03629">
        <w:t xml:space="preserve"> </w:t>
      </w:r>
      <w:proofErr w:type="gramStart"/>
      <w:r>
        <w:t>as</w:t>
      </w:r>
      <w:r w:rsidR="00A03629">
        <w:t xml:space="preserve"> </w:t>
      </w:r>
      <w:r>
        <w:t>a</w:t>
      </w:r>
      <w:r w:rsidR="00A03629">
        <w:t xml:space="preserve"> </w:t>
      </w:r>
      <w:r>
        <w:t>result</w:t>
      </w:r>
      <w:r w:rsidR="00A03629">
        <w:t xml:space="preserve"> </w:t>
      </w:r>
      <w:r>
        <w:t>of</w:t>
      </w:r>
      <w:proofErr w:type="gramEnd"/>
      <w:r w:rsidR="00A03629">
        <w:t xml:space="preserve"> </w:t>
      </w:r>
      <w:r>
        <w:t>the</w:t>
      </w:r>
      <w:r w:rsidR="00A03629">
        <w:t xml:space="preserve"> </w:t>
      </w:r>
      <w:r>
        <w:t>machinery</w:t>
      </w:r>
      <w:r w:rsidR="00A03629">
        <w:t xml:space="preserve"> </w:t>
      </w:r>
      <w:r>
        <w:t>of</w:t>
      </w:r>
      <w:r w:rsidR="00A03629">
        <w:t xml:space="preserve"> </w:t>
      </w:r>
      <w:r>
        <w:t>government</w:t>
      </w:r>
      <w:r w:rsidR="00A03629">
        <w:t xml:space="preserve"> </w:t>
      </w:r>
      <w:r>
        <w:t>changes,</w:t>
      </w:r>
      <w:r w:rsidR="00A03629">
        <w:t xml:space="preserve"> </w:t>
      </w:r>
      <w:r>
        <w:t>DJSIR</w:t>
      </w:r>
      <w:r w:rsidR="00A03629">
        <w:t xml:space="preserve"> </w:t>
      </w:r>
      <w:r>
        <w:t>relinquished</w:t>
      </w:r>
      <w:r w:rsidR="00A03629">
        <w:t xml:space="preserve"> </w:t>
      </w:r>
      <w:r>
        <w:t>the</w:t>
      </w:r>
      <w:r w:rsidR="00A03629">
        <w:t xml:space="preserve"> </w:t>
      </w:r>
      <w:r>
        <w:t>following</w:t>
      </w:r>
      <w:r w:rsidR="00A03629">
        <w:t xml:space="preserve"> </w:t>
      </w:r>
      <w:r>
        <w:t>functions:</w:t>
      </w:r>
    </w:p>
    <w:p w14:paraId="550B73DF" w14:textId="77777777" w:rsidR="000756EB" w:rsidRDefault="004A4D88" w:rsidP="00B265FD">
      <w:pPr>
        <w:pStyle w:val="Bullet"/>
      </w:pPr>
      <w:r>
        <w:t>Agriculture</w:t>
      </w:r>
    </w:p>
    <w:p w14:paraId="33690735" w14:textId="77777777" w:rsidR="000756EB" w:rsidRDefault="004A4D88" w:rsidP="00B265FD">
      <w:pPr>
        <w:pStyle w:val="Bullet"/>
      </w:pPr>
      <w:r>
        <w:t>Forestry</w:t>
      </w:r>
    </w:p>
    <w:p w14:paraId="5F4643E2" w14:textId="77777777" w:rsidR="000756EB" w:rsidRDefault="004A4D88" w:rsidP="00B265FD">
      <w:pPr>
        <w:pStyle w:val="Bullet"/>
      </w:pPr>
      <w:r>
        <w:t>Resources</w:t>
      </w:r>
    </w:p>
    <w:p w14:paraId="25A727D2" w14:textId="71CB2941" w:rsidR="000756EB" w:rsidRDefault="004A4D88" w:rsidP="00B265FD">
      <w:pPr>
        <w:pStyle w:val="Bullet"/>
      </w:pPr>
      <w:r>
        <w:t>Local</w:t>
      </w:r>
      <w:r w:rsidR="00A03629">
        <w:t xml:space="preserve"> </w:t>
      </w:r>
      <w:r>
        <w:t>Government</w:t>
      </w:r>
      <w:r w:rsidR="00A03629">
        <w:t xml:space="preserve"> </w:t>
      </w:r>
      <w:r>
        <w:t>Victoria</w:t>
      </w:r>
    </w:p>
    <w:p w14:paraId="18AF5A4A" w14:textId="3F7B9B4A" w:rsidR="000756EB" w:rsidRDefault="004A4D88" w:rsidP="00B265FD">
      <w:pPr>
        <w:pStyle w:val="Bullet"/>
      </w:pPr>
      <w:r>
        <w:t>Social</w:t>
      </w:r>
      <w:r w:rsidR="00A03629">
        <w:t xml:space="preserve"> </w:t>
      </w:r>
      <w:r>
        <w:t>Procurement</w:t>
      </w:r>
    </w:p>
    <w:p w14:paraId="1A2788CD" w14:textId="2CF0E55B" w:rsidR="000756EB" w:rsidRDefault="004A4D88" w:rsidP="00B265FD">
      <w:pPr>
        <w:pStyle w:val="Bullet"/>
      </w:pPr>
      <w:r>
        <w:t>Telecommunications</w:t>
      </w:r>
      <w:r w:rsidR="00A03629">
        <w:t xml:space="preserve"> </w:t>
      </w:r>
      <w:r>
        <w:t>Policy</w:t>
      </w:r>
      <w:r w:rsidR="00A03629">
        <w:t xml:space="preserve"> </w:t>
      </w:r>
      <w:r>
        <w:t>and</w:t>
      </w:r>
      <w:r w:rsidR="00A03629">
        <w:t xml:space="preserve"> </w:t>
      </w:r>
      <w:r>
        <w:t>Connecting</w:t>
      </w:r>
      <w:r w:rsidR="00A03629">
        <w:rPr>
          <w:rFonts w:ascii="Cambria" w:hAnsi="Cambria" w:cs="Cambria"/>
        </w:rPr>
        <w:t xml:space="preserve"> </w:t>
      </w:r>
      <w:r>
        <w:t>Victoria</w:t>
      </w:r>
    </w:p>
    <w:p w14:paraId="79B7D19F" w14:textId="49A77589" w:rsidR="000756EB" w:rsidRDefault="004A4D88" w:rsidP="00B265FD">
      <w:pPr>
        <w:pStyle w:val="Bullet"/>
      </w:pPr>
      <w:r>
        <w:t>Grant</w:t>
      </w:r>
      <w:r w:rsidR="00A03629">
        <w:t xml:space="preserve"> </w:t>
      </w:r>
      <w:r>
        <w:t>Program</w:t>
      </w:r>
      <w:r w:rsidR="00A03629">
        <w:t xml:space="preserve"> </w:t>
      </w:r>
      <w:r>
        <w:t>Centre</w:t>
      </w:r>
    </w:p>
    <w:p w14:paraId="1BF1C6F6" w14:textId="2ABFF545" w:rsidR="000756EB" w:rsidRDefault="004A4D88" w:rsidP="00B265FD">
      <w:pPr>
        <w:pStyle w:val="Bullet"/>
      </w:pPr>
      <w:r>
        <w:t>Medical</w:t>
      </w:r>
      <w:r w:rsidR="00A03629">
        <w:t xml:space="preserve"> </w:t>
      </w:r>
      <w:r>
        <w:t>Research</w:t>
      </w:r>
    </w:p>
    <w:p w14:paraId="256A8B22" w14:textId="43621791" w:rsidR="000756EB" w:rsidRDefault="004A4D88" w:rsidP="00B265FD">
      <w:pPr>
        <w:pStyle w:val="Bullet"/>
      </w:pPr>
      <w:r>
        <w:t>Business</w:t>
      </w:r>
      <w:r w:rsidR="00A03629">
        <w:t xml:space="preserve"> </w:t>
      </w:r>
      <w:r>
        <w:t>Precincts</w:t>
      </w:r>
      <w:r w:rsidR="00A03629">
        <w:t xml:space="preserve"> </w:t>
      </w:r>
      <w:r>
        <w:t>(policy</w:t>
      </w:r>
      <w:r w:rsidR="00A03629">
        <w:t xml:space="preserve"> </w:t>
      </w:r>
      <w:r>
        <w:t>and</w:t>
      </w:r>
      <w:r w:rsidR="00A03629">
        <w:t xml:space="preserve"> </w:t>
      </w:r>
      <w:r>
        <w:t>delivery)</w:t>
      </w:r>
    </w:p>
    <w:p w14:paraId="036860EF" w14:textId="77777777" w:rsidR="000756EB" w:rsidRDefault="004A4D88" w:rsidP="00B265FD">
      <w:pPr>
        <w:pStyle w:val="Bulletlast"/>
      </w:pPr>
      <w:r>
        <w:t>Racing</w:t>
      </w:r>
    </w:p>
    <w:p w14:paraId="565B7289" w14:textId="2AA92CC6" w:rsidR="000756EB" w:rsidRDefault="004A4D88" w:rsidP="00B265FD">
      <w:pPr>
        <w:pStyle w:val="Normalbeforebullets"/>
      </w:pPr>
      <w:r>
        <w:t>And</w:t>
      </w:r>
      <w:r w:rsidR="00A03629">
        <w:t xml:space="preserve"> </w:t>
      </w:r>
      <w:r>
        <w:t>assumed</w:t>
      </w:r>
      <w:r w:rsidR="00A03629">
        <w:t xml:space="preserve"> </w:t>
      </w:r>
      <w:r>
        <w:t>the</w:t>
      </w:r>
      <w:r w:rsidR="00A03629">
        <w:t xml:space="preserve"> </w:t>
      </w:r>
      <w:r>
        <w:t>following</w:t>
      </w:r>
      <w:r w:rsidR="00A03629">
        <w:t xml:space="preserve"> </w:t>
      </w:r>
      <w:r>
        <w:t>functions:</w:t>
      </w:r>
    </w:p>
    <w:p w14:paraId="0D45D713" w14:textId="31838A0A" w:rsidR="000756EB" w:rsidRDefault="004A4D88" w:rsidP="00B265FD">
      <w:pPr>
        <w:pStyle w:val="Bullet"/>
      </w:pPr>
      <w:r>
        <w:t>Training,</w:t>
      </w:r>
      <w:r w:rsidR="00A03629">
        <w:t xml:space="preserve"> </w:t>
      </w:r>
      <w:r>
        <w:t>Skills</w:t>
      </w:r>
      <w:r w:rsidR="00A03629">
        <w:t xml:space="preserve"> </w:t>
      </w:r>
      <w:r>
        <w:t>and</w:t>
      </w:r>
      <w:r w:rsidR="00A03629">
        <w:t xml:space="preserve"> </w:t>
      </w:r>
      <w:r>
        <w:t>Higher</w:t>
      </w:r>
      <w:r w:rsidR="00A03629">
        <w:t xml:space="preserve"> </w:t>
      </w:r>
      <w:r>
        <w:t>Education</w:t>
      </w:r>
    </w:p>
    <w:p w14:paraId="4B58BD8E" w14:textId="019B1AD1" w:rsidR="000756EB" w:rsidRDefault="004A4D88" w:rsidP="00B265FD">
      <w:pPr>
        <w:pStyle w:val="Bullet"/>
      </w:pPr>
      <w:r>
        <w:t>Invest</w:t>
      </w:r>
      <w:r w:rsidR="00A03629">
        <w:t xml:space="preserve"> </w:t>
      </w:r>
      <w:r>
        <w:t>Victoria</w:t>
      </w:r>
    </w:p>
    <w:p w14:paraId="266CDFA2" w14:textId="03950CBD" w:rsidR="000756EB" w:rsidRDefault="004A4D88" w:rsidP="00B265FD">
      <w:pPr>
        <w:pStyle w:val="Bullet"/>
      </w:pPr>
      <w:r>
        <w:t>Victorian</w:t>
      </w:r>
      <w:r w:rsidR="00A03629">
        <w:t xml:space="preserve"> </w:t>
      </w:r>
      <w:r>
        <w:t>Fisheries</w:t>
      </w:r>
      <w:r w:rsidR="00A03629">
        <w:t xml:space="preserve"> </w:t>
      </w:r>
      <w:r>
        <w:t>Authority</w:t>
      </w:r>
    </w:p>
    <w:p w14:paraId="39CC04AC" w14:textId="72A549D1" w:rsidR="000756EB" w:rsidRDefault="004A4D88" w:rsidP="00B265FD">
      <w:pPr>
        <w:pStyle w:val="Bulletlast"/>
      </w:pPr>
      <w:r>
        <w:t>Social</w:t>
      </w:r>
      <w:r w:rsidR="00A03629">
        <w:t xml:space="preserve"> </w:t>
      </w:r>
      <w:r>
        <w:t>Services</w:t>
      </w:r>
      <w:r w:rsidR="00A03629">
        <w:t xml:space="preserve"> </w:t>
      </w:r>
      <w:r>
        <w:t>Workforce</w:t>
      </w:r>
      <w:r w:rsidR="00A03629">
        <w:t xml:space="preserve"> </w:t>
      </w:r>
      <w:r>
        <w:t>Reform</w:t>
      </w:r>
    </w:p>
    <w:p w14:paraId="62DC0483" w14:textId="76F725BC" w:rsidR="000756EB" w:rsidRPr="001D52B1" w:rsidRDefault="004A4D88" w:rsidP="001D52B1">
      <w:pPr>
        <w:pStyle w:val="Normalbeforebullets"/>
        <w:rPr>
          <w:b/>
          <w:bCs/>
        </w:rPr>
      </w:pPr>
      <w:r w:rsidRPr="001D52B1">
        <w:rPr>
          <w:b/>
          <w:bCs/>
        </w:rPr>
        <w:t>Objectives</w:t>
      </w:r>
      <w:r w:rsidR="00A03629" w:rsidRPr="001D52B1">
        <w:rPr>
          <w:b/>
          <w:bCs/>
        </w:rPr>
        <w:t xml:space="preserve"> </w:t>
      </w:r>
      <w:r w:rsidRPr="001D52B1">
        <w:rPr>
          <w:b/>
          <w:bCs/>
        </w:rPr>
        <w:t>and</w:t>
      </w:r>
      <w:r w:rsidR="00A03629" w:rsidRPr="001D52B1">
        <w:rPr>
          <w:b/>
          <w:bCs/>
        </w:rPr>
        <w:t xml:space="preserve"> </w:t>
      </w:r>
      <w:r w:rsidRPr="001D52B1">
        <w:rPr>
          <w:b/>
          <w:bCs/>
        </w:rPr>
        <w:t>descriptions</w:t>
      </w:r>
    </w:p>
    <w:p w14:paraId="2DA6011D" w14:textId="27CAAC7A" w:rsidR="000756EB" w:rsidRDefault="004A4D88" w:rsidP="001D52B1">
      <w:r>
        <w:t>The</w:t>
      </w:r>
      <w:r w:rsidR="00A03629">
        <w:t xml:space="preserve"> </w:t>
      </w:r>
      <w:r>
        <w:t>objectives</w:t>
      </w:r>
      <w:r w:rsidR="00A03629">
        <w:t xml:space="preserve"> </w:t>
      </w:r>
      <w:r>
        <w:t>and</w:t>
      </w:r>
      <w:r w:rsidR="00A03629">
        <w:t xml:space="preserve"> </w:t>
      </w:r>
      <w:r>
        <w:t>descriptions</w:t>
      </w:r>
      <w:r w:rsidR="00A03629">
        <w:t xml:space="preserve"> </w:t>
      </w:r>
      <w:r>
        <w:t>of</w:t>
      </w:r>
      <w:r w:rsidR="00A03629">
        <w:t xml:space="preserve"> </w:t>
      </w:r>
      <w:r>
        <w:t>the</w:t>
      </w:r>
      <w:r w:rsidR="00A03629">
        <w:t xml:space="preserve"> </w:t>
      </w:r>
      <w:r>
        <w:t>departmental</w:t>
      </w:r>
      <w:r w:rsidR="00A03629">
        <w:t xml:space="preserve"> </w:t>
      </w:r>
      <w:r>
        <w:t>outputs</w:t>
      </w:r>
      <w:r w:rsidR="00A03629">
        <w:t xml:space="preserve"> </w:t>
      </w:r>
      <w:r>
        <w:t>performed</w:t>
      </w:r>
      <w:r w:rsidR="00A03629">
        <w:t xml:space="preserve"> </w:t>
      </w:r>
      <w:r>
        <w:t>during</w:t>
      </w:r>
      <w:r w:rsidR="00A03629">
        <w:t xml:space="preserve"> </w:t>
      </w:r>
      <w:r>
        <w:t>the</w:t>
      </w:r>
      <w:r w:rsidR="00A03629">
        <w:t xml:space="preserve"> </w:t>
      </w:r>
      <w:r>
        <w:t>financial</w:t>
      </w:r>
      <w:r w:rsidR="00A03629">
        <w:t xml:space="preserve"> </w:t>
      </w:r>
      <w:r>
        <w:t>year</w:t>
      </w:r>
      <w:r w:rsidR="00A03629">
        <w:t xml:space="preserve"> </w:t>
      </w:r>
      <w:r>
        <w:t>ended</w:t>
      </w:r>
      <w:r w:rsidR="00A03629">
        <w:t xml:space="preserve"> </w:t>
      </w:r>
      <w:r>
        <w:t>30</w:t>
      </w:r>
      <w:r w:rsidR="00A03629">
        <w:t xml:space="preserve"> </w:t>
      </w:r>
      <w:r>
        <w:t>June</w:t>
      </w:r>
      <w:r w:rsidR="00A03629">
        <w:t xml:space="preserve"> </w:t>
      </w:r>
      <w:r>
        <w:t>2023</w:t>
      </w:r>
      <w:r w:rsidR="00A03629">
        <w:t xml:space="preserve"> </w:t>
      </w:r>
      <w:r>
        <w:t>are</w:t>
      </w:r>
      <w:r w:rsidR="00A03629">
        <w:t xml:space="preserve"> </w:t>
      </w:r>
      <w:r>
        <w:t>summarised</w:t>
      </w:r>
      <w:r w:rsidR="00A03629">
        <w:t xml:space="preserve"> </w:t>
      </w:r>
      <w:r>
        <w:t>in</w:t>
      </w:r>
      <w:r w:rsidR="00A03629">
        <w:t xml:space="preserve"> </w:t>
      </w:r>
      <w:r>
        <w:t>Note</w:t>
      </w:r>
      <w:r w:rsidR="00A03629">
        <w:t xml:space="preserve"> </w:t>
      </w:r>
      <w:r>
        <w:t>9.13</w:t>
      </w:r>
      <w:r w:rsidR="00A03629">
        <w:t xml:space="preserve"> </w:t>
      </w:r>
      <w:r>
        <w:t>–</w:t>
      </w:r>
      <w:r w:rsidR="00A03629">
        <w:t xml:space="preserve"> </w:t>
      </w:r>
      <w:r>
        <w:t>Output</w:t>
      </w:r>
      <w:r w:rsidR="00A03629">
        <w:t xml:space="preserve"> </w:t>
      </w:r>
      <w:r>
        <w:t>objectives</w:t>
      </w:r>
      <w:r w:rsidR="00A03629">
        <w:t xml:space="preserve"> </w:t>
      </w:r>
      <w:r>
        <w:t>and</w:t>
      </w:r>
      <w:r w:rsidR="00A03629">
        <w:t xml:space="preserve"> </w:t>
      </w:r>
      <w:r>
        <w:t>descriptions.</w:t>
      </w:r>
      <w:r w:rsidR="00A03629">
        <w:t xml:space="preserve"> </w:t>
      </w:r>
    </w:p>
    <w:p w14:paraId="06629166" w14:textId="77777777" w:rsidR="001D52B1" w:rsidRDefault="001D52B1" w:rsidP="001D52B1">
      <w:pPr>
        <w:pStyle w:val="Heading3"/>
        <w:sectPr w:rsidR="001D52B1" w:rsidSect="00D76126">
          <w:pgSz w:w="11906" w:h="16838" w:code="9"/>
          <w:pgMar w:top="1134" w:right="851" w:bottom="1134" w:left="851" w:header="397" w:footer="397" w:gutter="0"/>
          <w:cols w:space="720"/>
          <w:noEndnote/>
        </w:sectPr>
      </w:pPr>
    </w:p>
    <w:p w14:paraId="5485821C" w14:textId="6C79714F" w:rsidR="000756EB" w:rsidRDefault="004A4D88" w:rsidP="00FE7999">
      <w:pPr>
        <w:pStyle w:val="Heading3"/>
      </w:pPr>
      <w:r>
        <w:lastRenderedPageBreak/>
        <w:t>4.1.2</w:t>
      </w:r>
      <w:r w:rsidR="00DE38B5">
        <w:t xml:space="preserve"> </w:t>
      </w:r>
      <w:r>
        <w:t>Departmental</w:t>
      </w:r>
      <w:r w:rsidR="00A03629">
        <w:t xml:space="preserve"> </w:t>
      </w:r>
      <w:r>
        <w:t>outputs:</w:t>
      </w:r>
      <w:r w:rsidR="00A03629">
        <w:t xml:space="preserve"> </w:t>
      </w:r>
      <w:r>
        <w:t>Controlled</w:t>
      </w:r>
      <w:r w:rsidR="00A03629">
        <w:t xml:space="preserve"> </w:t>
      </w:r>
      <w:r>
        <w:t>revenue</w:t>
      </w:r>
      <w:r w:rsidR="00A03629">
        <w:t xml:space="preserve"> </w:t>
      </w:r>
      <w:r>
        <w:t>and</w:t>
      </w:r>
      <w:r w:rsidR="00A03629">
        <w:t xml:space="preserve"> </w:t>
      </w:r>
      <w:r>
        <w:t>income</w:t>
      </w:r>
      <w:r w:rsidR="00A03629">
        <w:t xml:space="preserve"> </w:t>
      </w:r>
      <w:r>
        <w:t>and</w:t>
      </w:r>
      <w:r w:rsidR="00A03629">
        <w:t xml:space="preserve"> </w:t>
      </w:r>
      <w:r>
        <w:t>expenses</w:t>
      </w:r>
      <w:r w:rsidR="00A03629">
        <w:t xml:space="preserve"> </w:t>
      </w:r>
      <w:r>
        <w:t>for</w:t>
      </w:r>
      <w:r w:rsidR="00A03629">
        <w:t xml:space="preserve"> </w:t>
      </w:r>
      <w:r>
        <w:t>the</w:t>
      </w:r>
      <w:r w:rsidR="00A03629">
        <w:t xml:space="preserve"> </w:t>
      </w:r>
      <w:r>
        <w:t>year</w:t>
      </w:r>
      <w:r w:rsidR="00A03629">
        <w:t xml:space="preserve"> </w:t>
      </w:r>
      <w:r>
        <w:t>ended</w:t>
      </w:r>
      <w:r w:rsidR="00A03629">
        <w:t xml:space="preserve"> </w:t>
      </w:r>
      <w:r>
        <w:t>30</w:t>
      </w:r>
      <w:r w:rsidR="00A03629">
        <w:t xml:space="preserve"> </w:t>
      </w:r>
      <w:r>
        <w:t>June</w:t>
      </w:r>
      <w:r w:rsidR="00A03629">
        <w:t xml:space="preserve"> </w:t>
      </w:r>
      <w:r>
        <w:t>2023</w:t>
      </w:r>
      <w:r w:rsidR="00A03629">
        <w:t xml:space="preserve"> </w:t>
      </w:r>
      <w:r>
        <w:t>Department</w:t>
      </w:r>
      <w:r w:rsidR="00A03629">
        <w:t xml:space="preserve"> </w:t>
      </w:r>
      <w:r>
        <w:t>of</w:t>
      </w:r>
      <w:r w:rsidR="00A03629">
        <w:t xml:space="preserve"> </w:t>
      </w:r>
      <w:r>
        <w:t>Jobs,</w:t>
      </w:r>
      <w:r w:rsidR="00A03629">
        <w:t xml:space="preserve"> </w:t>
      </w:r>
      <w:r>
        <w:t>Skills,</w:t>
      </w:r>
      <w:r w:rsidR="00A03629">
        <w:t xml:space="preserve"> </w:t>
      </w:r>
      <w:r>
        <w:t>Industry</w:t>
      </w:r>
      <w:r w:rsidR="00A03629">
        <w:t xml:space="preserve"> </w:t>
      </w:r>
      <w:r>
        <w:t>and</w:t>
      </w:r>
      <w:r w:rsidR="00A03629">
        <w:t xml:space="preserve"> </w:t>
      </w:r>
      <w:r>
        <w:t>Regions</w:t>
      </w:r>
      <w:r w:rsidR="00A03629">
        <w:t xml:space="preserve"> </w:t>
      </w:r>
      <w:r>
        <w:t>Outputs</w:t>
      </w:r>
    </w:p>
    <w:tbl>
      <w:tblPr>
        <w:tblStyle w:val="TableGrid"/>
        <w:tblW w:w="15021" w:type="dxa"/>
        <w:tblLayout w:type="fixed"/>
        <w:tblLook w:val="0020" w:firstRow="1" w:lastRow="0" w:firstColumn="0" w:lastColumn="0" w:noHBand="0" w:noVBand="0"/>
      </w:tblPr>
      <w:tblGrid>
        <w:gridCol w:w="2689"/>
        <w:gridCol w:w="1417"/>
        <w:gridCol w:w="1418"/>
        <w:gridCol w:w="1134"/>
        <w:gridCol w:w="1134"/>
        <w:gridCol w:w="1134"/>
        <w:gridCol w:w="1134"/>
        <w:gridCol w:w="1276"/>
        <w:gridCol w:w="1417"/>
        <w:gridCol w:w="1134"/>
        <w:gridCol w:w="1134"/>
      </w:tblGrid>
      <w:tr w:rsidR="000354B6" w:rsidRPr="000354B6" w14:paraId="7A1124AF" w14:textId="77777777" w:rsidTr="004A7D55">
        <w:trPr>
          <w:cantSplit/>
          <w:tblHeader/>
        </w:trPr>
        <w:tc>
          <w:tcPr>
            <w:tcW w:w="2689" w:type="dxa"/>
          </w:tcPr>
          <w:p w14:paraId="1849404C" w14:textId="77777777" w:rsidR="001D52B1" w:rsidRPr="000354B6" w:rsidRDefault="001D52B1" w:rsidP="000354B6">
            <w:pPr>
              <w:pStyle w:val="TableColumnHeading"/>
              <w:rPr>
                <w:sz w:val="20"/>
                <w:szCs w:val="28"/>
              </w:rPr>
            </w:pPr>
            <w:bookmarkStart w:id="37" w:name="ColumnTitles_14"/>
            <w:bookmarkEnd w:id="37"/>
          </w:p>
        </w:tc>
        <w:tc>
          <w:tcPr>
            <w:tcW w:w="1417" w:type="dxa"/>
          </w:tcPr>
          <w:p w14:paraId="4D345EBA" w14:textId="22B545FF" w:rsidR="001D52B1" w:rsidRPr="000354B6" w:rsidRDefault="000354B6" w:rsidP="004A7D55">
            <w:pPr>
              <w:pStyle w:val="TableColumnHeading"/>
              <w:jc w:val="right"/>
              <w:rPr>
                <w:sz w:val="20"/>
                <w:szCs w:val="28"/>
              </w:rPr>
            </w:pPr>
            <w:r w:rsidRPr="000354B6">
              <w:rPr>
                <w:sz w:val="20"/>
                <w:szCs w:val="28"/>
              </w:rPr>
              <w:t xml:space="preserve">Creative Industries Access, </w:t>
            </w:r>
            <w:proofErr w:type="gramStart"/>
            <w:r w:rsidRPr="000354B6">
              <w:rPr>
                <w:sz w:val="20"/>
                <w:szCs w:val="28"/>
              </w:rPr>
              <w:t>Development</w:t>
            </w:r>
            <w:proofErr w:type="gramEnd"/>
            <w:r w:rsidRPr="000354B6">
              <w:rPr>
                <w:sz w:val="20"/>
                <w:szCs w:val="28"/>
              </w:rPr>
              <w:t xml:space="preserve"> and Innovation </w:t>
            </w:r>
            <w:r w:rsidR="001D52B1" w:rsidRPr="000354B6">
              <w:rPr>
                <w:sz w:val="20"/>
                <w:szCs w:val="28"/>
              </w:rPr>
              <w:t>2023</w:t>
            </w:r>
            <w:r w:rsidRPr="000354B6">
              <w:rPr>
                <w:sz w:val="20"/>
                <w:szCs w:val="28"/>
              </w:rPr>
              <w:t xml:space="preserve"> ($</w:t>
            </w:r>
            <w:r w:rsidR="005A7F30">
              <w:rPr>
                <w:sz w:val="20"/>
                <w:szCs w:val="28"/>
              </w:rPr>
              <w:t> </w:t>
            </w:r>
            <w:r w:rsidRPr="000354B6">
              <w:rPr>
                <w:sz w:val="20"/>
                <w:szCs w:val="28"/>
              </w:rPr>
              <w:t>thousand)</w:t>
            </w:r>
            <w:r w:rsidR="001D52B1" w:rsidRPr="000354B6">
              <w:rPr>
                <w:sz w:val="20"/>
                <w:szCs w:val="28"/>
              </w:rPr>
              <w:t xml:space="preserve"> </w:t>
            </w:r>
          </w:p>
        </w:tc>
        <w:tc>
          <w:tcPr>
            <w:tcW w:w="1418" w:type="dxa"/>
          </w:tcPr>
          <w:p w14:paraId="6D22EB78" w14:textId="1E02D182" w:rsidR="001D52B1" w:rsidRPr="000354B6" w:rsidRDefault="000354B6" w:rsidP="004A7D55">
            <w:pPr>
              <w:pStyle w:val="TableColumnHeading"/>
              <w:jc w:val="right"/>
              <w:rPr>
                <w:sz w:val="20"/>
                <w:szCs w:val="28"/>
              </w:rPr>
            </w:pPr>
            <w:r w:rsidRPr="000354B6">
              <w:rPr>
                <w:sz w:val="20"/>
                <w:szCs w:val="28"/>
              </w:rPr>
              <w:t xml:space="preserve">Creative Industries Access, </w:t>
            </w:r>
            <w:proofErr w:type="gramStart"/>
            <w:r w:rsidRPr="000354B6">
              <w:rPr>
                <w:sz w:val="20"/>
                <w:szCs w:val="28"/>
              </w:rPr>
              <w:t>Development</w:t>
            </w:r>
            <w:proofErr w:type="gramEnd"/>
            <w:r w:rsidRPr="000354B6">
              <w:rPr>
                <w:sz w:val="20"/>
                <w:szCs w:val="28"/>
              </w:rPr>
              <w:t xml:space="preserve"> and Innovation </w:t>
            </w:r>
            <w:r w:rsidR="001D52B1" w:rsidRPr="000354B6">
              <w:rPr>
                <w:sz w:val="20"/>
                <w:szCs w:val="28"/>
              </w:rPr>
              <w:t>2022</w:t>
            </w:r>
            <w:r w:rsidRPr="000354B6">
              <w:rPr>
                <w:sz w:val="20"/>
                <w:szCs w:val="28"/>
              </w:rPr>
              <w:t xml:space="preserve"> ($</w:t>
            </w:r>
            <w:r w:rsidR="005A7F30">
              <w:rPr>
                <w:sz w:val="20"/>
                <w:szCs w:val="28"/>
              </w:rPr>
              <w:t> </w:t>
            </w:r>
            <w:r w:rsidRPr="000354B6">
              <w:rPr>
                <w:sz w:val="20"/>
                <w:szCs w:val="28"/>
              </w:rPr>
              <w:t>thousand)</w:t>
            </w:r>
          </w:p>
        </w:tc>
        <w:tc>
          <w:tcPr>
            <w:tcW w:w="1134" w:type="dxa"/>
          </w:tcPr>
          <w:p w14:paraId="5BC613C9" w14:textId="6867E9CF" w:rsidR="001D52B1" w:rsidRPr="000354B6" w:rsidRDefault="000354B6" w:rsidP="004A7D55">
            <w:pPr>
              <w:pStyle w:val="TableColumnHeading"/>
              <w:jc w:val="right"/>
              <w:rPr>
                <w:sz w:val="20"/>
                <w:szCs w:val="28"/>
              </w:rPr>
            </w:pPr>
            <w:r w:rsidRPr="000354B6">
              <w:rPr>
                <w:sz w:val="20"/>
                <w:szCs w:val="28"/>
              </w:rPr>
              <w:t xml:space="preserve">Creative Industries Portfolio Agencies </w:t>
            </w:r>
            <w:r w:rsidR="001D52B1" w:rsidRPr="000354B6">
              <w:rPr>
                <w:sz w:val="20"/>
                <w:szCs w:val="28"/>
              </w:rPr>
              <w:t>2023</w:t>
            </w:r>
            <w:r w:rsidRPr="000354B6">
              <w:rPr>
                <w:sz w:val="20"/>
                <w:szCs w:val="28"/>
              </w:rPr>
              <w:t xml:space="preserve"> ($ thousand)</w:t>
            </w:r>
            <w:r w:rsidR="001D52B1" w:rsidRPr="000354B6">
              <w:rPr>
                <w:sz w:val="20"/>
                <w:szCs w:val="28"/>
              </w:rPr>
              <w:t xml:space="preserve"> </w:t>
            </w:r>
          </w:p>
        </w:tc>
        <w:tc>
          <w:tcPr>
            <w:tcW w:w="1134" w:type="dxa"/>
          </w:tcPr>
          <w:p w14:paraId="58F1F13E" w14:textId="23534213" w:rsidR="001D52B1" w:rsidRPr="000354B6" w:rsidRDefault="000354B6" w:rsidP="004A7D55">
            <w:pPr>
              <w:pStyle w:val="TableColumnHeading"/>
              <w:jc w:val="right"/>
              <w:rPr>
                <w:sz w:val="20"/>
                <w:szCs w:val="28"/>
              </w:rPr>
            </w:pPr>
            <w:r w:rsidRPr="000354B6">
              <w:rPr>
                <w:sz w:val="20"/>
                <w:szCs w:val="28"/>
              </w:rPr>
              <w:t xml:space="preserve">Creative Industries Portfolio Agencies </w:t>
            </w:r>
            <w:r w:rsidR="001D52B1" w:rsidRPr="000354B6">
              <w:rPr>
                <w:sz w:val="20"/>
                <w:szCs w:val="28"/>
              </w:rPr>
              <w:t>2022</w:t>
            </w:r>
            <w:r w:rsidRPr="000354B6">
              <w:rPr>
                <w:sz w:val="20"/>
                <w:szCs w:val="28"/>
              </w:rPr>
              <w:t xml:space="preserve"> ($ thousand)</w:t>
            </w:r>
          </w:p>
        </w:tc>
        <w:tc>
          <w:tcPr>
            <w:tcW w:w="1134" w:type="dxa"/>
          </w:tcPr>
          <w:p w14:paraId="54C0AE97" w14:textId="7B74FDE7" w:rsidR="001D52B1" w:rsidRPr="000354B6" w:rsidRDefault="000354B6" w:rsidP="004A7D55">
            <w:pPr>
              <w:pStyle w:val="TableColumnHeading"/>
              <w:jc w:val="right"/>
              <w:rPr>
                <w:sz w:val="20"/>
                <w:szCs w:val="28"/>
              </w:rPr>
            </w:pPr>
            <w:r w:rsidRPr="000354B6">
              <w:rPr>
                <w:sz w:val="20"/>
                <w:szCs w:val="28"/>
              </w:rPr>
              <w:t>Cultural Infra</w:t>
            </w:r>
            <w:r w:rsidR="00F56D2C">
              <w:rPr>
                <w:sz w:val="20"/>
                <w:szCs w:val="28"/>
              </w:rPr>
              <w:t>-</w:t>
            </w:r>
            <w:r w:rsidRPr="000354B6">
              <w:rPr>
                <w:sz w:val="20"/>
                <w:szCs w:val="28"/>
              </w:rPr>
              <w:t xml:space="preserve">structure and Facilities </w:t>
            </w:r>
            <w:r w:rsidR="001D52B1" w:rsidRPr="000354B6">
              <w:rPr>
                <w:sz w:val="20"/>
                <w:szCs w:val="28"/>
              </w:rPr>
              <w:t>2023</w:t>
            </w:r>
            <w:r w:rsidRPr="000354B6">
              <w:rPr>
                <w:sz w:val="20"/>
                <w:szCs w:val="28"/>
              </w:rPr>
              <w:t xml:space="preserve"> ($ thousand)</w:t>
            </w:r>
            <w:r w:rsidR="001D52B1" w:rsidRPr="000354B6">
              <w:rPr>
                <w:sz w:val="20"/>
                <w:szCs w:val="28"/>
              </w:rPr>
              <w:t xml:space="preserve"> </w:t>
            </w:r>
          </w:p>
        </w:tc>
        <w:tc>
          <w:tcPr>
            <w:tcW w:w="1134" w:type="dxa"/>
          </w:tcPr>
          <w:p w14:paraId="7EF6B33D" w14:textId="523D87F2" w:rsidR="001D52B1" w:rsidRPr="000354B6" w:rsidRDefault="000354B6" w:rsidP="004A7D55">
            <w:pPr>
              <w:pStyle w:val="TableColumnHeading"/>
              <w:jc w:val="right"/>
              <w:rPr>
                <w:sz w:val="20"/>
                <w:szCs w:val="28"/>
              </w:rPr>
            </w:pPr>
            <w:r w:rsidRPr="000354B6">
              <w:rPr>
                <w:sz w:val="20"/>
                <w:szCs w:val="28"/>
              </w:rPr>
              <w:t>Cultural Infra</w:t>
            </w:r>
            <w:r w:rsidR="00F56D2C">
              <w:rPr>
                <w:sz w:val="20"/>
                <w:szCs w:val="28"/>
              </w:rPr>
              <w:t>-</w:t>
            </w:r>
            <w:r w:rsidRPr="000354B6">
              <w:rPr>
                <w:sz w:val="20"/>
                <w:szCs w:val="28"/>
              </w:rPr>
              <w:t xml:space="preserve">structure and Facilities </w:t>
            </w:r>
            <w:r w:rsidR="001D52B1" w:rsidRPr="000354B6">
              <w:rPr>
                <w:sz w:val="20"/>
                <w:szCs w:val="28"/>
              </w:rPr>
              <w:t>2022</w:t>
            </w:r>
            <w:r w:rsidRPr="000354B6">
              <w:rPr>
                <w:sz w:val="20"/>
                <w:szCs w:val="28"/>
              </w:rPr>
              <w:t xml:space="preserve"> ($ thousand)</w:t>
            </w:r>
          </w:p>
        </w:tc>
        <w:tc>
          <w:tcPr>
            <w:tcW w:w="1276" w:type="dxa"/>
          </w:tcPr>
          <w:p w14:paraId="594729F0" w14:textId="503DF96A" w:rsidR="001D52B1" w:rsidRPr="000354B6" w:rsidRDefault="000354B6" w:rsidP="004A7D55">
            <w:pPr>
              <w:pStyle w:val="TableColumnHeading"/>
              <w:jc w:val="right"/>
              <w:rPr>
                <w:sz w:val="20"/>
                <w:szCs w:val="28"/>
              </w:rPr>
            </w:pPr>
            <w:r w:rsidRPr="000354B6">
              <w:rPr>
                <w:sz w:val="20"/>
                <w:szCs w:val="28"/>
              </w:rPr>
              <w:t xml:space="preserve">Industry, Innovation, and Small Business </w:t>
            </w:r>
            <w:r w:rsidR="001D52B1" w:rsidRPr="000354B6">
              <w:rPr>
                <w:sz w:val="20"/>
                <w:szCs w:val="28"/>
              </w:rPr>
              <w:t>2023</w:t>
            </w:r>
            <w:r w:rsidRPr="000354B6">
              <w:rPr>
                <w:sz w:val="20"/>
                <w:szCs w:val="28"/>
              </w:rPr>
              <w:t xml:space="preserve"> ($</w:t>
            </w:r>
            <w:r w:rsidR="005A7F30">
              <w:rPr>
                <w:sz w:val="20"/>
                <w:szCs w:val="28"/>
              </w:rPr>
              <w:t> </w:t>
            </w:r>
            <w:r w:rsidRPr="000354B6">
              <w:rPr>
                <w:sz w:val="20"/>
                <w:szCs w:val="28"/>
              </w:rPr>
              <w:t>thousand)</w:t>
            </w:r>
            <w:r w:rsidR="001D52B1" w:rsidRPr="000354B6">
              <w:rPr>
                <w:sz w:val="20"/>
                <w:szCs w:val="28"/>
              </w:rPr>
              <w:t xml:space="preserve"> </w:t>
            </w:r>
          </w:p>
        </w:tc>
        <w:tc>
          <w:tcPr>
            <w:tcW w:w="1417" w:type="dxa"/>
          </w:tcPr>
          <w:p w14:paraId="1A20C2EB" w14:textId="438AD700" w:rsidR="001D52B1" w:rsidRPr="000354B6" w:rsidRDefault="000354B6" w:rsidP="004A7D55">
            <w:pPr>
              <w:pStyle w:val="TableColumnHeading"/>
              <w:jc w:val="right"/>
              <w:rPr>
                <w:sz w:val="20"/>
                <w:szCs w:val="28"/>
              </w:rPr>
            </w:pPr>
            <w:r w:rsidRPr="000354B6">
              <w:rPr>
                <w:sz w:val="20"/>
                <w:szCs w:val="28"/>
              </w:rPr>
              <w:t xml:space="preserve">Industry, Innovation, and Small Business </w:t>
            </w:r>
            <w:r w:rsidR="001D52B1" w:rsidRPr="000354B6">
              <w:rPr>
                <w:sz w:val="20"/>
                <w:szCs w:val="28"/>
              </w:rPr>
              <w:t>2022</w:t>
            </w:r>
            <w:r w:rsidRPr="000354B6">
              <w:rPr>
                <w:sz w:val="20"/>
                <w:szCs w:val="28"/>
              </w:rPr>
              <w:t xml:space="preserve"> ($</w:t>
            </w:r>
            <w:r w:rsidR="005A7F30">
              <w:rPr>
                <w:sz w:val="20"/>
                <w:szCs w:val="28"/>
              </w:rPr>
              <w:t> </w:t>
            </w:r>
            <w:r w:rsidRPr="000354B6">
              <w:rPr>
                <w:sz w:val="20"/>
                <w:szCs w:val="28"/>
              </w:rPr>
              <w:t>thousand)</w:t>
            </w:r>
          </w:p>
        </w:tc>
        <w:tc>
          <w:tcPr>
            <w:tcW w:w="1134" w:type="dxa"/>
          </w:tcPr>
          <w:p w14:paraId="75E265F8" w14:textId="6F3D91C2" w:rsidR="001D52B1" w:rsidRPr="000354B6" w:rsidRDefault="000354B6" w:rsidP="004A7D55">
            <w:pPr>
              <w:pStyle w:val="TableColumnHeading"/>
              <w:jc w:val="right"/>
              <w:rPr>
                <w:sz w:val="20"/>
                <w:szCs w:val="28"/>
              </w:rPr>
            </w:pPr>
            <w:r w:rsidRPr="000354B6">
              <w:rPr>
                <w:sz w:val="20"/>
                <w:szCs w:val="28"/>
              </w:rPr>
              <w:t xml:space="preserve">Jobs </w:t>
            </w:r>
            <w:r w:rsidR="001D52B1" w:rsidRPr="000354B6">
              <w:rPr>
                <w:sz w:val="20"/>
                <w:szCs w:val="28"/>
              </w:rPr>
              <w:t>2023</w:t>
            </w:r>
            <w:r w:rsidRPr="000354B6">
              <w:rPr>
                <w:sz w:val="20"/>
                <w:szCs w:val="28"/>
              </w:rPr>
              <w:t xml:space="preserve"> ($ thousand)</w:t>
            </w:r>
            <w:r w:rsidR="001D52B1" w:rsidRPr="000354B6">
              <w:rPr>
                <w:sz w:val="20"/>
                <w:szCs w:val="28"/>
              </w:rPr>
              <w:t xml:space="preserve"> </w:t>
            </w:r>
          </w:p>
        </w:tc>
        <w:tc>
          <w:tcPr>
            <w:tcW w:w="1134" w:type="dxa"/>
          </w:tcPr>
          <w:p w14:paraId="096EC891" w14:textId="4C1C7DA6" w:rsidR="001D52B1" w:rsidRPr="000354B6" w:rsidRDefault="000354B6" w:rsidP="004A7D55">
            <w:pPr>
              <w:pStyle w:val="TableColumnHeading"/>
              <w:jc w:val="right"/>
              <w:rPr>
                <w:sz w:val="20"/>
                <w:szCs w:val="28"/>
              </w:rPr>
            </w:pPr>
            <w:r w:rsidRPr="000354B6">
              <w:rPr>
                <w:sz w:val="20"/>
                <w:szCs w:val="28"/>
              </w:rPr>
              <w:t xml:space="preserve">Jobs </w:t>
            </w:r>
            <w:r w:rsidR="001D52B1" w:rsidRPr="000354B6">
              <w:rPr>
                <w:sz w:val="20"/>
                <w:szCs w:val="28"/>
              </w:rPr>
              <w:t>2022</w:t>
            </w:r>
            <w:r w:rsidRPr="000354B6">
              <w:rPr>
                <w:sz w:val="20"/>
                <w:szCs w:val="28"/>
              </w:rPr>
              <w:t xml:space="preserve"> ($ thousand)</w:t>
            </w:r>
          </w:p>
        </w:tc>
      </w:tr>
      <w:tr w:rsidR="00F56D2C" w:rsidRPr="00F56D2C" w14:paraId="527D944B" w14:textId="77777777" w:rsidTr="004A7D55">
        <w:trPr>
          <w:cantSplit/>
        </w:trPr>
        <w:tc>
          <w:tcPr>
            <w:tcW w:w="2689" w:type="dxa"/>
          </w:tcPr>
          <w:p w14:paraId="7EB94EBF" w14:textId="42BCE8D1" w:rsidR="001D52B1" w:rsidRPr="00F56D2C" w:rsidRDefault="001D52B1" w:rsidP="00F56D2C">
            <w:pPr>
              <w:pStyle w:val="TableHeading"/>
              <w:rPr>
                <w:rFonts w:asciiTheme="minorHAnsi" w:hAnsiTheme="minorHAnsi" w:cstheme="minorHAnsi"/>
                <w:sz w:val="22"/>
                <w:szCs w:val="22"/>
              </w:rPr>
            </w:pPr>
            <w:r w:rsidRPr="00F56D2C">
              <w:rPr>
                <w:rFonts w:asciiTheme="minorHAnsi" w:hAnsiTheme="minorHAnsi" w:cstheme="minorHAnsi"/>
                <w:sz w:val="22"/>
                <w:szCs w:val="22"/>
              </w:rPr>
              <w:t>Revenue and income from transactions</w:t>
            </w:r>
          </w:p>
        </w:tc>
        <w:tc>
          <w:tcPr>
            <w:tcW w:w="1417" w:type="dxa"/>
          </w:tcPr>
          <w:p w14:paraId="260EFB49" w14:textId="77777777" w:rsidR="001D52B1" w:rsidRPr="00F56D2C" w:rsidRDefault="001D52B1" w:rsidP="004A7D55">
            <w:pPr>
              <w:pStyle w:val="TableHeading"/>
              <w:jc w:val="right"/>
              <w:rPr>
                <w:rFonts w:asciiTheme="minorHAnsi" w:hAnsiTheme="minorHAnsi" w:cstheme="minorHAnsi"/>
                <w:sz w:val="22"/>
                <w:szCs w:val="22"/>
              </w:rPr>
            </w:pPr>
          </w:p>
        </w:tc>
        <w:tc>
          <w:tcPr>
            <w:tcW w:w="1418" w:type="dxa"/>
          </w:tcPr>
          <w:p w14:paraId="27CAE9C6" w14:textId="77777777" w:rsidR="001D52B1" w:rsidRPr="00F56D2C" w:rsidRDefault="001D52B1" w:rsidP="004A7D55">
            <w:pPr>
              <w:pStyle w:val="TableHeading"/>
              <w:jc w:val="right"/>
              <w:rPr>
                <w:rFonts w:asciiTheme="minorHAnsi" w:hAnsiTheme="minorHAnsi" w:cstheme="minorHAnsi"/>
                <w:sz w:val="22"/>
                <w:szCs w:val="22"/>
              </w:rPr>
            </w:pPr>
          </w:p>
        </w:tc>
        <w:tc>
          <w:tcPr>
            <w:tcW w:w="1134" w:type="dxa"/>
          </w:tcPr>
          <w:p w14:paraId="2CB938DA" w14:textId="77777777" w:rsidR="001D52B1" w:rsidRPr="00F56D2C" w:rsidRDefault="001D52B1" w:rsidP="004A7D55">
            <w:pPr>
              <w:pStyle w:val="TableHeading"/>
              <w:jc w:val="right"/>
              <w:rPr>
                <w:rFonts w:asciiTheme="minorHAnsi" w:hAnsiTheme="minorHAnsi" w:cstheme="minorHAnsi"/>
                <w:sz w:val="22"/>
                <w:szCs w:val="22"/>
              </w:rPr>
            </w:pPr>
          </w:p>
        </w:tc>
        <w:tc>
          <w:tcPr>
            <w:tcW w:w="1134" w:type="dxa"/>
          </w:tcPr>
          <w:p w14:paraId="58C6D038" w14:textId="77777777" w:rsidR="001D52B1" w:rsidRPr="00F56D2C" w:rsidRDefault="001D52B1" w:rsidP="004A7D55">
            <w:pPr>
              <w:pStyle w:val="TableHeading"/>
              <w:jc w:val="right"/>
              <w:rPr>
                <w:rFonts w:asciiTheme="minorHAnsi" w:hAnsiTheme="minorHAnsi" w:cstheme="minorHAnsi"/>
                <w:sz w:val="22"/>
                <w:szCs w:val="22"/>
              </w:rPr>
            </w:pPr>
          </w:p>
        </w:tc>
        <w:tc>
          <w:tcPr>
            <w:tcW w:w="1134" w:type="dxa"/>
          </w:tcPr>
          <w:p w14:paraId="5E2EEA0E" w14:textId="77777777" w:rsidR="001D52B1" w:rsidRPr="00F56D2C" w:rsidRDefault="001D52B1" w:rsidP="004A7D55">
            <w:pPr>
              <w:pStyle w:val="TableHeading"/>
              <w:jc w:val="right"/>
              <w:rPr>
                <w:rFonts w:asciiTheme="minorHAnsi" w:hAnsiTheme="minorHAnsi" w:cstheme="minorHAnsi"/>
                <w:sz w:val="22"/>
                <w:szCs w:val="22"/>
              </w:rPr>
            </w:pPr>
          </w:p>
        </w:tc>
        <w:tc>
          <w:tcPr>
            <w:tcW w:w="1134" w:type="dxa"/>
          </w:tcPr>
          <w:p w14:paraId="48D602A3" w14:textId="77777777" w:rsidR="001D52B1" w:rsidRPr="00F56D2C" w:rsidRDefault="001D52B1" w:rsidP="004A7D55">
            <w:pPr>
              <w:pStyle w:val="TableHeading"/>
              <w:jc w:val="right"/>
              <w:rPr>
                <w:rFonts w:asciiTheme="minorHAnsi" w:hAnsiTheme="minorHAnsi" w:cstheme="minorHAnsi"/>
                <w:sz w:val="22"/>
                <w:szCs w:val="22"/>
              </w:rPr>
            </w:pPr>
          </w:p>
        </w:tc>
        <w:tc>
          <w:tcPr>
            <w:tcW w:w="1276" w:type="dxa"/>
          </w:tcPr>
          <w:p w14:paraId="5530021A" w14:textId="77777777" w:rsidR="001D52B1" w:rsidRPr="00F56D2C" w:rsidRDefault="001D52B1" w:rsidP="004A7D55">
            <w:pPr>
              <w:pStyle w:val="TableHeading"/>
              <w:jc w:val="right"/>
              <w:rPr>
                <w:rFonts w:asciiTheme="minorHAnsi" w:hAnsiTheme="minorHAnsi" w:cstheme="minorHAnsi"/>
                <w:sz w:val="22"/>
                <w:szCs w:val="22"/>
              </w:rPr>
            </w:pPr>
          </w:p>
        </w:tc>
        <w:tc>
          <w:tcPr>
            <w:tcW w:w="1417" w:type="dxa"/>
          </w:tcPr>
          <w:p w14:paraId="2DCD85F3" w14:textId="77777777" w:rsidR="001D52B1" w:rsidRPr="00F56D2C" w:rsidRDefault="001D52B1" w:rsidP="004A7D55">
            <w:pPr>
              <w:pStyle w:val="TableHeading"/>
              <w:jc w:val="right"/>
              <w:rPr>
                <w:rFonts w:asciiTheme="minorHAnsi" w:hAnsiTheme="minorHAnsi" w:cstheme="minorHAnsi"/>
                <w:sz w:val="22"/>
                <w:szCs w:val="22"/>
              </w:rPr>
            </w:pPr>
          </w:p>
        </w:tc>
        <w:tc>
          <w:tcPr>
            <w:tcW w:w="1134" w:type="dxa"/>
          </w:tcPr>
          <w:p w14:paraId="40988156" w14:textId="77777777" w:rsidR="001D52B1" w:rsidRPr="00F56D2C" w:rsidRDefault="001D52B1" w:rsidP="004A7D55">
            <w:pPr>
              <w:pStyle w:val="TableHeading"/>
              <w:jc w:val="right"/>
              <w:rPr>
                <w:rFonts w:asciiTheme="minorHAnsi" w:hAnsiTheme="minorHAnsi" w:cstheme="minorHAnsi"/>
                <w:sz w:val="22"/>
                <w:szCs w:val="22"/>
              </w:rPr>
            </w:pPr>
          </w:p>
        </w:tc>
        <w:tc>
          <w:tcPr>
            <w:tcW w:w="1134" w:type="dxa"/>
          </w:tcPr>
          <w:p w14:paraId="35A693B7" w14:textId="77777777" w:rsidR="001D52B1" w:rsidRPr="00F56D2C" w:rsidRDefault="001D52B1" w:rsidP="004A7D55">
            <w:pPr>
              <w:pStyle w:val="TableHeading"/>
              <w:jc w:val="right"/>
              <w:rPr>
                <w:rFonts w:asciiTheme="minorHAnsi" w:hAnsiTheme="minorHAnsi" w:cstheme="minorHAnsi"/>
                <w:sz w:val="22"/>
                <w:szCs w:val="22"/>
              </w:rPr>
            </w:pPr>
          </w:p>
        </w:tc>
      </w:tr>
      <w:tr w:rsidR="00F56D2C" w:rsidRPr="00F56D2C" w14:paraId="792A233C" w14:textId="77777777" w:rsidTr="004A7D55">
        <w:trPr>
          <w:cantSplit/>
        </w:trPr>
        <w:tc>
          <w:tcPr>
            <w:tcW w:w="2689" w:type="dxa"/>
          </w:tcPr>
          <w:p w14:paraId="36AEDFA8" w14:textId="7D20E428" w:rsidR="001D52B1" w:rsidRPr="00F56D2C" w:rsidRDefault="001D52B1" w:rsidP="00F56D2C">
            <w:pPr>
              <w:pStyle w:val="TableCopy"/>
              <w:rPr>
                <w:rFonts w:asciiTheme="minorHAnsi" w:hAnsiTheme="minorHAnsi" w:cstheme="minorHAnsi"/>
                <w:sz w:val="22"/>
                <w:szCs w:val="22"/>
              </w:rPr>
            </w:pPr>
            <w:r w:rsidRPr="00F56D2C">
              <w:rPr>
                <w:rFonts w:asciiTheme="minorHAnsi" w:hAnsiTheme="minorHAnsi" w:cstheme="minorHAnsi"/>
                <w:sz w:val="22"/>
                <w:szCs w:val="22"/>
              </w:rPr>
              <w:t>Output appropriations</w:t>
            </w:r>
          </w:p>
        </w:tc>
        <w:tc>
          <w:tcPr>
            <w:tcW w:w="1417" w:type="dxa"/>
          </w:tcPr>
          <w:p w14:paraId="6DC704C6" w14:textId="3B34A5A5" w:rsidR="001D52B1" w:rsidRPr="00F56D2C" w:rsidRDefault="001D52B1" w:rsidP="004A7D55">
            <w:pPr>
              <w:pStyle w:val="TableCopy"/>
              <w:jc w:val="right"/>
              <w:rPr>
                <w:rFonts w:asciiTheme="minorHAnsi" w:hAnsiTheme="minorHAnsi" w:cstheme="minorHAnsi"/>
                <w:sz w:val="22"/>
                <w:szCs w:val="22"/>
              </w:rPr>
            </w:pPr>
            <w:r w:rsidRPr="00F56D2C">
              <w:rPr>
                <w:rFonts w:asciiTheme="minorHAnsi" w:hAnsiTheme="minorHAnsi" w:cstheme="minorHAnsi"/>
                <w:sz w:val="22"/>
                <w:szCs w:val="22"/>
              </w:rPr>
              <w:t>41,904</w:t>
            </w:r>
          </w:p>
        </w:tc>
        <w:tc>
          <w:tcPr>
            <w:tcW w:w="1418" w:type="dxa"/>
          </w:tcPr>
          <w:p w14:paraId="070F0A7B" w14:textId="6DC37FFC" w:rsidR="001D52B1" w:rsidRPr="00F56D2C" w:rsidRDefault="001D52B1" w:rsidP="004A7D55">
            <w:pPr>
              <w:pStyle w:val="TableCopy"/>
              <w:jc w:val="right"/>
              <w:rPr>
                <w:rFonts w:asciiTheme="minorHAnsi" w:hAnsiTheme="minorHAnsi" w:cstheme="minorHAnsi"/>
                <w:sz w:val="22"/>
                <w:szCs w:val="22"/>
              </w:rPr>
            </w:pPr>
            <w:r w:rsidRPr="00F56D2C">
              <w:rPr>
                <w:rFonts w:asciiTheme="minorHAnsi" w:hAnsiTheme="minorHAnsi" w:cstheme="minorHAnsi"/>
                <w:sz w:val="22"/>
                <w:szCs w:val="22"/>
              </w:rPr>
              <w:t>65,542</w:t>
            </w:r>
          </w:p>
        </w:tc>
        <w:tc>
          <w:tcPr>
            <w:tcW w:w="1134" w:type="dxa"/>
          </w:tcPr>
          <w:p w14:paraId="315416E9" w14:textId="0011C69C" w:rsidR="001D52B1" w:rsidRPr="00F56D2C" w:rsidRDefault="001D52B1" w:rsidP="004A7D55">
            <w:pPr>
              <w:pStyle w:val="TableCopy"/>
              <w:jc w:val="right"/>
              <w:rPr>
                <w:rFonts w:asciiTheme="minorHAnsi" w:hAnsiTheme="minorHAnsi" w:cstheme="minorHAnsi"/>
                <w:sz w:val="22"/>
                <w:szCs w:val="22"/>
              </w:rPr>
            </w:pPr>
            <w:r w:rsidRPr="00F56D2C">
              <w:rPr>
                <w:rFonts w:asciiTheme="minorHAnsi" w:hAnsiTheme="minorHAnsi" w:cstheme="minorHAnsi"/>
                <w:sz w:val="22"/>
                <w:szCs w:val="22"/>
              </w:rPr>
              <w:t>444,040</w:t>
            </w:r>
          </w:p>
        </w:tc>
        <w:tc>
          <w:tcPr>
            <w:tcW w:w="1134" w:type="dxa"/>
          </w:tcPr>
          <w:p w14:paraId="01FFB573" w14:textId="44FCFD0D" w:rsidR="001D52B1" w:rsidRPr="00F56D2C" w:rsidRDefault="001D52B1" w:rsidP="004A7D55">
            <w:pPr>
              <w:pStyle w:val="TableCopy"/>
              <w:jc w:val="right"/>
              <w:rPr>
                <w:rFonts w:asciiTheme="minorHAnsi" w:hAnsiTheme="minorHAnsi" w:cstheme="minorHAnsi"/>
                <w:sz w:val="22"/>
                <w:szCs w:val="22"/>
              </w:rPr>
            </w:pPr>
            <w:r w:rsidRPr="00F56D2C">
              <w:rPr>
                <w:rFonts w:asciiTheme="minorHAnsi" w:hAnsiTheme="minorHAnsi" w:cstheme="minorHAnsi"/>
                <w:sz w:val="22"/>
                <w:szCs w:val="22"/>
              </w:rPr>
              <w:t>407,148</w:t>
            </w:r>
          </w:p>
        </w:tc>
        <w:tc>
          <w:tcPr>
            <w:tcW w:w="1134" w:type="dxa"/>
          </w:tcPr>
          <w:p w14:paraId="49E0B739" w14:textId="3884C646" w:rsidR="001D52B1" w:rsidRPr="00F56D2C" w:rsidRDefault="001D52B1" w:rsidP="004A7D55">
            <w:pPr>
              <w:pStyle w:val="TableCopy"/>
              <w:jc w:val="right"/>
              <w:rPr>
                <w:rFonts w:asciiTheme="minorHAnsi" w:hAnsiTheme="minorHAnsi" w:cstheme="minorHAnsi"/>
                <w:sz w:val="22"/>
                <w:szCs w:val="22"/>
              </w:rPr>
            </w:pPr>
            <w:r w:rsidRPr="00F56D2C">
              <w:rPr>
                <w:rFonts w:asciiTheme="minorHAnsi" w:hAnsiTheme="minorHAnsi" w:cstheme="minorHAnsi"/>
                <w:sz w:val="22"/>
                <w:szCs w:val="22"/>
              </w:rPr>
              <w:t>11,320</w:t>
            </w:r>
          </w:p>
        </w:tc>
        <w:tc>
          <w:tcPr>
            <w:tcW w:w="1134" w:type="dxa"/>
          </w:tcPr>
          <w:p w14:paraId="4CE1D342" w14:textId="58B737C8" w:rsidR="001D52B1" w:rsidRPr="00F56D2C" w:rsidRDefault="001D52B1" w:rsidP="004A7D55">
            <w:pPr>
              <w:pStyle w:val="TableCopy"/>
              <w:jc w:val="right"/>
              <w:rPr>
                <w:rFonts w:asciiTheme="minorHAnsi" w:hAnsiTheme="minorHAnsi" w:cstheme="minorHAnsi"/>
                <w:sz w:val="22"/>
                <w:szCs w:val="22"/>
              </w:rPr>
            </w:pPr>
            <w:r w:rsidRPr="00F56D2C">
              <w:rPr>
                <w:rFonts w:asciiTheme="minorHAnsi" w:hAnsiTheme="minorHAnsi" w:cstheme="minorHAnsi"/>
                <w:sz w:val="22"/>
                <w:szCs w:val="22"/>
              </w:rPr>
              <w:t>23,087</w:t>
            </w:r>
          </w:p>
        </w:tc>
        <w:tc>
          <w:tcPr>
            <w:tcW w:w="1276" w:type="dxa"/>
          </w:tcPr>
          <w:p w14:paraId="0E727BBF" w14:textId="07E3D105" w:rsidR="001D52B1" w:rsidRPr="00F56D2C" w:rsidRDefault="001D52B1" w:rsidP="004A7D55">
            <w:pPr>
              <w:pStyle w:val="TableCopy"/>
              <w:jc w:val="right"/>
              <w:rPr>
                <w:rFonts w:asciiTheme="minorHAnsi" w:hAnsiTheme="minorHAnsi" w:cstheme="minorHAnsi"/>
                <w:sz w:val="22"/>
                <w:szCs w:val="22"/>
              </w:rPr>
            </w:pPr>
            <w:r w:rsidRPr="00F56D2C">
              <w:rPr>
                <w:rFonts w:asciiTheme="minorHAnsi" w:hAnsiTheme="minorHAnsi" w:cstheme="minorHAnsi"/>
                <w:sz w:val="22"/>
                <w:szCs w:val="22"/>
              </w:rPr>
              <w:t>269,766</w:t>
            </w:r>
          </w:p>
        </w:tc>
        <w:tc>
          <w:tcPr>
            <w:tcW w:w="1417" w:type="dxa"/>
          </w:tcPr>
          <w:p w14:paraId="59021006" w14:textId="49D66CBB" w:rsidR="001D52B1" w:rsidRPr="00F56D2C" w:rsidRDefault="001D52B1" w:rsidP="004A7D55">
            <w:pPr>
              <w:pStyle w:val="TableCopy"/>
              <w:jc w:val="right"/>
              <w:rPr>
                <w:rFonts w:asciiTheme="minorHAnsi" w:hAnsiTheme="minorHAnsi" w:cstheme="minorHAnsi"/>
                <w:sz w:val="22"/>
                <w:szCs w:val="22"/>
              </w:rPr>
            </w:pPr>
            <w:r w:rsidRPr="00F56D2C">
              <w:rPr>
                <w:rFonts w:asciiTheme="minorHAnsi" w:hAnsiTheme="minorHAnsi" w:cstheme="minorHAnsi"/>
                <w:sz w:val="22"/>
                <w:szCs w:val="22"/>
              </w:rPr>
              <w:t>7,293,430</w:t>
            </w:r>
          </w:p>
        </w:tc>
        <w:tc>
          <w:tcPr>
            <w:tcW w:w="1134" w:type="dxa"/>
          </w:tcPr>
          <w:p w14:paraId="3F2D9484" w14:textId="42161973" w:rsidR="001D52B1" w:rsidRPr="00F56D2C" w:rsidRDefault="001D52B1" w:rsidP="004A7D55">
            <w:pPr>
              <w:pStyle w:val="TableCopy"/>
              <w:jc w:val="right"/>
              <w:rPr>
                <w:rFonts w:asciiTheme="minorHAnsi" w:hAnsiTheme="minorHAnsi" w:cstheme="minorHAnsi"/>
                <w:sz w:val="22"/>
                <w:szCs w:val="22"/>
              </w:rPr>
            </w:pPr>
            <w:r w:rsidRPr="00F56D2C">
              <w:rPr>
                <w:rFonts w:asciiTheme="minorHAnsi" w:hAnsiTheme="minorHAnsi" w:cstheme="minorHAnsi"/>
                <w:sz w:val="22"/>
                <w:szCs w:val="22"/>
              </w:rPr>
              <w:t>432,840</w:t>
            </w:r>
          </w:p>
        </w:tc>
        <w:tc>
          <w:tcPr>
            <w:tcW w:w="1134" w:type="dxa"/>
          </w:tcPr>
          <w:p w14:paraId="52A759BA" w14:textId="64DB309C" w:rsidR="001D52B1" w:rsidRPr="00F56D2C" w:rsidRDefault="001D52B1" w:rsidP="004A7D55">
            <w:pPr>
              <w:pStyle w:val="TableCopy"/>
              <w:jc w:val="right"/>
              <w:rPr>
                <w:rFonts w:asciiTheme="minorHAnsi" w:hAnsiTheme="minorHAnsi" w:cstheme="minorHAnsi"/>
                <w:sz w:val="22"/>
                <w:szCs w:val="22"/>
              </w:rPr>
            </w:pPr>
            <w:r w:rsidRPr="00F56D2C">
              <w:rPr>
                <w:rFonts w:asciiTheme="minorHAnsi" w:hAnsiTheme="minorHAnsi" w:cstheme="minorHAnsi"/>
                <w:sz w:val="22"/>
                <w:szCs w:val="22"/>
              </w:rPr>
              <w:t>730,058</w:t>
            </w:r>
          </w:p>
        </w:tc>
      </w:tr>
      <w:tr w:rsidR="00F56D2C" w:rsidRPr="00F56D2C" w14:paraId="3AD7DBFC" w14:textId="77777777" w:rsidTr="004A7D55">
        <w:trPr>
          <w:cantSplit/>
        </w:trPr>
        <w:tc>
          <w:tcPr>
            <w:tcW w:w="2689" w:type="dxa"/>
          </w:tcPr>
          <w:p w14:paraId="6096BFDD" w14:textId="77777777" w:rsidR="001D52B1" w:rsidRPr="00F56D2C" w:rsidRDefault="001D52B1" w:rsidP="00F56D2C">
            <w:pPr>
              <w:pStyle w:val="TableCopy"/>
              <w:rPr>
                <w:rFonts w:asciiTheme="minorHAnsi" w:hAnsiTheme="minorHAnsi" w:cstheme="minorHAnsi"/>
                <w:sz w:val="22"/>
                <w:szCs w:val="22"/>
              </w:rPr>
            </w:pPr>
            <w:r w:rsidRPr="00F56D2C">
              <w:rPr>
                <w:rFonts w:asciiTheme="minorHAnsi" w:hAnsiTheme="minorHAnsi" w:cstheme="minorHAnsi"/>
                <w:sz w:val="22"/>
                <w:szCs w:val="22"/>
              </w:rPr>
              <w:t>Grants</w:t>
            </w:r>
          </w:p>
        </w:tc>
        <w:tc>
          <w:tcPr>
            <w:tcW w:w="1417" w:type="dxa"/>
          </w:tcPr>
          <w:p w14:paraId="124B5FEC" w14:textId="47E4B6B9" w:rsidR="001D52B1" w:rsidRPr="00F56D2C" w:rsidRDefault="001D52B1" w:rsidP="004A7D55">
            <w:pPr>
              <w:pStyle w:val="TableCopy"/>
              <w:jc w:val="right"/>
              <w:rPr>
                <w:rFonts w:asciiTheme="minorHAnsi" w:hAnsiTheme="minorHAnsi" w:cstheme="minorHAnsi"/>
                <w:sz w:val="22"/>
                <w:szCs w:val="22"/>
              </w:rPr>
            </w:pPr>
            <w:r w:rsidRPr="00F56D2C">
              <w:rPr>
                <w:rFonts w:asciiTheme="minorHAnsi" w:hAnsiTheme="minorHAnsi" w:cstheme="minorHAnsi"/>
                <w:sz w:val="22"/>
                <w:szCs w:val="22"/>
              </w:rPr>
              <w:t>6,952</w:t>
            </w:r>
          </w:p>
        </w:tc>
        <w:tc>
          <w:tcPr>
            <w:tcW w:w="1418" w:type="dxa"/>
          </w:tcPr>
          <w:p w14:paraId="70ABA404" w14:textId="2C42C02F" w:rsidR="001D52B1" w:rsidRPr="00F56D2C" w:rsidRDefault="001D52B1" w:rsidP="004A7D55">
            <w:pPr>
              <w:pStyle w:val="TableCopy"/>
              <w:jc w:val="right"/>
              <w:rPr>
                <w:rFonts w:asciiTheme="minorHAnsi" w:hAnsiTheme="minorHAnsi" w:cstheme="minorHAnsi"/>
                <w:sz w:val="22"/>
                <w:szCs w:val="22"/>
              </w:rPr>
            </w:pPr>
            <w:r w:rsidRPr="00F56D2C">
              <w:rPr>
                <w:rFonts w:asciiTheme="minorHAnsi" w:hAnsiTheme="minorHAnsi" w:cstheme="minorHAnsi"/>
                <w:sz w:val="22"/>
                <w:szCs w:val="22"/>
              </w:rPr>
              <w:t>3,214</w:t>
            </w:r>
          </w:p>
        </w:tc>
        <w:tc>
          <w:tcPr>
            <w:tcW w:w="1134" w:type="dxa"/>
          </w:tcPr>
          <w:p w14:paraId="7F4B1046" w14:textId="17D390E9" w:rsidR="001D52B1" w:rsidRPr="00F56D2C" w:rsidRDefault="001D52B1" w:rsidP="004A7D55">
            <w:pPr>
              <w:pStyle w:val="TableCopy"/>
              <w:jc w:val="right"/>
              <w:rPr>
                <w:rFonts w:asciiTheme="minorHAnsi" w:hAnsiTheme="minorHAnsi" w:cstheme="minorHAnsi"/>
                <w:sz w:val="22"/>
                <w:szCs w:val="22"/>
              </w:rPr>
            </w:pPr>
            <w:r w:rsidRPr="00F56D2C">
              <w:rPr>
                <w:rFonts w:asciiTheme="minorHAnsi" w:hAnsiTheme="minorHAnsi" w:cstheme="minorHAnsi"/>
                <w:sz w:val="22"/>
                <w:szCs w:val="22"/>
              </w:rPr>
              <w:t>13,734</w:t>
            </w:r>
          </w:p>
        </w:tc>
        <w:tc>
          <w:tcPr>
            <w:tcW w:w="1134" w:type="dxa"/>
          </w:tcPr>
          <w:p w14:paraId="7DBC4B4E" w14:textId="2A6AF936" w:rsidR="001D52B1" w:rsidRPr="00F56D2C" w:rsidRDefault="001D52B1" w:rsidP="004A7D55">
            <w:pPr>
              <w:pStyle w:val="TableCopy"/>
              <w:jc w:val="right"/>
              <w:rPr>
                <w:rFonts w:asciiTheme="minorHAnsi" w:hAnsiTheme="minorHAnsi" w:cstheme="minorHAnsi"/>
                <w:sz w:val="22"/>
                <w:szCs w:val="22"/>
              </w:rPr>
            </w:pPr>
            <w:r w:rsidRPr="00F56D2C">
              <w:rPr>
                <w:rFonts w:asciiTheme="minorHAnsi" w:hAnsiTheme="minorHAnsi" w:cstheme="minorHAnsi"/>
                <w:sz w:val="22"/>
                <w:szCs w:val="22"/>
              </w:rPr>
              <w:t>10,280</w:t>
            </w:r>
          </w:p>
        </w:tc>
        <w:tc>
          <w:tcPr>
            <w:tcW w:w="1134" w:type="dxa"/>
          </w:tcPr>
          <w:p w14:paraId="3BA1F588" w14:textId="64E759CB" w:rsidR="001D52B1" w:rsidRPr="00F56D2C" w:rsidRDefault="001D52B1" w:rsidP="004A7D55">
            <w:pPr>
              <w:pStyle w:val="TableCopy"/>
              <w:jc w:val="right"/>
              <w:rPr>
                <w:rFonts w:asciiTheme="minorHAnsi" w:hAnsiTheme="minorHAnsi" w:cstheme="minorHAnsi"/>
                <w:sz w:val="22"/>
                <w:szCs w:val="22"/>
              </w:rPr>
            </w:pPr>
            <w:r w:rsidRPr="00F56D2C">
              <w:rPr>
                <w:rFonts w:asciiTheme="minorHAnsi" w:hAnsiTheme="minorHAnsi" w:cstheme="minorHAnsi"/>
                <w:sz w:val="22"/>
                <w:szCs w:val="22"/>
              </w:rPr>
              <w:t>4,097</w:t>
            </w:r>
          </w:p>
        </w:tc>
        <w:tc>
          <w:tcPr>
            <w:tcW w:w="1134" w:type="dxa"/>
          </w:tcPr>
          <w:p w14:paraId="4F554888" w14:textId="1A6C9E09" w:rsidR="001D52B1" w:rsidRPr="00F56D2C" w:rsidRDefault="001D52B1" w:rsidP="004A7D55">
            <w:pPr>
              <w:pStyle w:val="TableCopy"/>
              <w:jc w:val="right"/>
              <w:rPr>
                <w:rFonts w:asciiTheme="minorHAnsi" w:hAnsiTheme="minorHAnsi" w:cstheme="minorHAnsi"/>
                <w:sz w:val="22"/>
                <w:szCs w:val="22"/>
              </w:rPr>
            </w:pPr>
            <w:r w:rsidRPr="00F56D2C">
              <w:rPr>
                <w:rFonts w:asciiTheme="minorHAnsi" w:hAnsiTheme="minorHAnsi" w:cstheme="minorHAnsi"/>
                <w:sz w:val="22"/>
                <w:szCs w:val="22"/>
              </w:rPr>
              <w:t>155</w:t>
            </w:r>
          </w:p>
        </w:tc>
        <w:tc>
          <w:tcPr>
            <w:tcW w:w="1276" w:type="dxa"/>
          </w:tcPr>
          <w:p w14:paraId="15CC795A" w14:textId="53F77837" w:rsidR="001D52B1" w:rsidRPr="00F56D2C" w:rsidRDefault="001D52B1" w:rsidP="004A7D55">
            <w:pPr>
              <w:pStyle w:val="TableCopy"/>
              <w:jc w:val="right"/>
              <w:rPr>
                <w:rFonts w:asciiTheme="minorHAnsi" w:hAnsiTheme="minorHAnsi" w:cstheme="minorHAnsi"/>
                <w:sz w:val="22"/>
                <w:szCs w:val="22"/>
              </w:rPr>
            </w:pPr>
            <w:r w:rsidRPr="00F56D2C">
              <w:rPr>
                <w:rFonts w:asciiTheme="minorHAnsi" w:hAnsiTheme="minorHAnsi" w:cstheme="minorHAnsi"/>
                <w:sz w:val="22"/>
                <w:szCs w:val="22"/>
              </w:rPr>
              <w:t>23,022</w:t>
            </w:r>
          </w:p>
        </w:tc>
        <w:tc>
          <w:tcPr>
            <w:tcW w:w="1417" w:type="dxa"/>
          </w:tcPr>
          <w:p w14:paraId="60583368" w14:textId="57CBB19E" w:rsidR="001D52B1" w:rsidRPr="00F56D2C" w:rsidRDefault="001D52B1" w:rsidP="004A7D55">
            <w:pPr>
              <w:pStyle w:val="TableCopy"/>
              <w:jc w:val="right"/>
              <w:rPr>
                <w:rFonts w:asciiTheme="minorHAnsi" w:hAnsiTheme="minorHAnsi" w:cstheme="minorHAnsi"/>
                <w:sz w:val="22"/>
                <w:szCs w:val="22"/>
              </w:rPr>
            </w:pPr>
            <w:r w:rsidRPr="00F56D2C">
              <w:rPr>
                <w:rFonts w:asciiTheme="minorHAnsi" w:hAnsiTheme="minorHAnsi" w:cstheme="minorHAnsi"/>
                <w:sz w:val="22"/>
                <w:szCs w:val="22"/>
              </w:rPr>
              <w:t>22,076</w:t>
            </w:r>
          </w:p>
        </w:tc>
        <w:tc>
          <w:tcPr>
            <w:tcW w:w="1134" w:type="dxa"/>
          </w:tcPr>
          <w:p w14:paraId="32B90216" w14:textId="3C69D9DC" w:rsidR="001D52B1" w:rsidRPr="00F56D2C" w:rsidRDefault="001D52B1" w:rsidP="004A7D55">
            <w:pPr>
              <w:pStyle w:val="TableCopy"/>
              <w:jc w:val="right"/>
              <w:rPr>
                <w:rFonts w:asciiTheme="minorHAnsi" w:hAnsiTheme="minorHAnsi" w:cstheme="minorHAnsi"/>
                <w:sz w:val="22"/>
                <w:szCs w:val="22"/>
              </w:rPr>
            </w:pPr>
            <w:r w:rsidRPr="00F56D2C">
              <w:rPr>
                <w:rFonts w:asciiTheme="minorHAnsi" w:hAnsiTheme="minorHAnsi" w:cstheme="minorHAnsi"/>
                <w:sz w:val="22"/>
                <w:szCs w:val="22"/>
              </w:rPr>
              <w:t>10,990</w:t>
            </w:r>
          </w:p>
        </w:tc>
        <w:tc>
          <w:tcPr>
            <w:tcW w:w="1134" w:type="dxa"/>
          </w:tcPr>
          <w:p w14:paraId="7E91CFA5" w14:textId="43D79022" w:rsidR="001D52B1" w:rsidRPr="00F56D2C" w:rsidRDefault="001D52B1" w:rsidP="004A7D55">
            <w:pPr>
              <w:pStyle w:val="TableCopy"/>
              <w:jc w:val="right"/>
              <w:rPr>
                <w:rFonts w:asciiTheme="minorHAnsi" w:hAnsiTheme="minorHAnsi" w:cstheme="minorHAnsi"/>
                <w:sz w:val="22"/>
                <w:szCs w:val="22"/>
              </w:rPr>
            </w:pPr>
            <w:r w:rsidRPr="00F56D2C">
              <w:rPr>
                <w:rFonts w:asciiTheme="minorHAnsi" w:hAnsiTheme="minorHAnsi" w:cstheme="minorHAnsi"/>
                <w:sz w:val="22"/>
                <w:szCs w:val="22"/>
              </w:rPr>
              <w:t>5,045</w:t>
            </w:r>
          </w:p>
        </w:tc>
      </w:tr>
      <w:tr w:rsidR="00F56D2C" w:rsidRPr="00F56D2C" w14:paraId="04E33E1A" w14:textId="77777777" w:rsidTr="004A7D55">
        <w:trPr>
          <w:cantSplit/>
        </w:trPr>
        <w:tc>
          <w:tcPr>
            <w:tcW w:w="2689" w:type="dxa"/>
          </w:tcPr>
          <w:p w14:paraId="061F33E2" w14:textId="06292156" w:rsidR="001D52B1" w:rsidRPr="00F56D2C" w:rsidRDefault="001D52B1" w:rsidP="00F56D2C">
            <w:pPr>
              <w:pStyle w:val="TableCopy"/>
              <w:rPr>
                <w:rFonts w:asciiTheme="minorHAnsi" w:hAnsiTheme="minorHAnsi" w:cstheme="minorHAnsi"/>
                <w:sz w:val="22"/>
                <w:szCs w:val="22"/>
              </w:rPr>
            </w:pPr>
            <w:r w:rsidRPr="00F56D2C">
              <w:rPr>
                <w:rFonts w:asciiTheme="minorHAnsi" w:hAnsiTheme="minorHAnsi" w:cstheme="minorHAnsi"/>
                <w:sz w:val="22"/>
                <w:szCs w:val="22"/>
              </w:rPr>
              <w:t>Sale of services</w:t>
            </w:r>
          </w:p>
        </w:tc>
        <w:tc>
          <w:tcPr>
            <w:tcW w:w="1417" w:type="dxa"/>
          </w:tcPr>
          <w:p w14:paraId="761616B3" w14:textId="73B087FF" w:rsidR="001D52B1" w:rsidRPr="00F56D2C" w:rsidRDefault="001D52B1" w:rsidP="004A7D55">
            <w:pPr>
              <w:pStyle w:val="TableCopy"/>
              <w:jc w:val="right"/>
              <w:rPr>
                <w:rFonts w:asciiTheme="minorHAnsi" w:hAnsiTheme="minorHAnsi" w:cstheme="minorHAnsi"/>
                <w:sz w:val="22"/>
                <w:szCs w:val="22"/>
              </w:rPr>
            </w:pPr>
            <w:r w:rsidRPr="00F56D2C">
              <w:rPr>
                <w:rFonts w:asciiTheme="minorHAnsi" w:hAnsiTheme="minorHAnsi" w:cstheme="minorHAnsi"/>
                <w:sz w:val="22"/>
                <w:szCs w:val="22"/>
              </w:rPr>
              <w:t>–</w:t>
            </w:r>
          </w:p>
        </w:tc>
        <w:tc>
          <w:tcPr>
            <w:tcW w:w="1418" w:type="dxa"/>
          </w:tcPr>
          <w:p w14:paraId="4871DAAC" w14:textId="779DD79B" w:rsidR="001D52B1" w:rsidRPr="00F56D2C" w:rsidRDefault="001D52B1" w:rsidP="004A7D55">
            <w:pPr>
              <w:pStyle w:val="TableCopy"/>
              <w:jc w:val="right"/>
              <w:rPr>
                <w:rFonts w:asciiTheme="minorHAnsi" w:hAnsiTheme="minorHAnsi" w:cstheme="minorHAnsi"/>
                <w:sz w:val="22"/>
                <w:szCs w:val="22"/>
              </w:rPr>
            </w:pPr>
            <w:r w:rsidRPr="00F56D2C">
              <w:rPr>
                <w:rFonts w:asciiTheme="minorHAnsi" w:hAnsiTheme="minorHAnsi" w:cstheme="minorHAnsi"/>
                <w:sz w:val="22"/>
                <w:szCs w:val="22"/>
              </w:rPr>
              <w:t>–</w:t>
            </w:r>
          </w:p>
        </w:tc>
        <w:tc>
          <w:tcPr>
            <w:tcW w:w="1134" w:type="dxa"/>
          </w:tcPr>
          <w:p w14:paraId="475A614B" w14:textId="34C1E693" w:rsidR="001D52B1" w:rsidRPr="00F56D2C" w:rsidRDefault="001D52B1" w:rsidP="004A7D55">
            <w:pPr>
              <w:pStyle w:val="TableCopy"/>
              <w:jc w:val="right"/>
              <w:rPr>
                <w:rFonts w:asciiTheme="minorHAnsi" w:hAnsiTheme="minorHAnsi" w:cstheme="minorHAnsi"/>
                <w:sz w:val="22"/>
                <w:szCs w:val="22"/>
              </w:rPr>
            </w:pPr>
            <w:r w:rsidRPr="00F56D2C">
              <w:rPr>
                <w:rFonts w:asciiTheme="minorHAnsi" w:hAnsiTheme="minorHAnsi" w:cstheme="minorHAnsi"/>
                <w:sz w:val="22"/>
                <w:szCs w:val="22"/>
              </w:rPr>
              <w:t>–</w:t>
            </w:r>
          </w:p>
        </w:tc>
        <w:tc>
          <w:tcPr>
            <w:tcW w:w="1134" w:type="dxa"/>
          </w:tcPr>
          <w:p w14:paraId="71534D30" w14:textId="50647882" w:rsidR="001D52B1" w:rsidRPr="00F56D2C" w:rsidRDefault="001D52B1" w:rsidP="004A7D55">
            <w:pPr>
              <w:pStyle w:val="TableCopy"/>
              <w:jc w:val="right"/>
              <w:rPr>
                <w:rFonts w:asciiTheme="minorHAnsi" w:hAnsiTheme="minorHAnsi" w:cstheme="minorHAnsi"/>
                <w:sz w:val="22"/>
                <w:szCs w:val="22"/>
              </w:rPr>
            </w:pPr>
            <w:r w:rsidRPr="00F56D2C">
              <w:rPr>
                <w:rFonts w:asciiTheme="minorHAnsi" w:hAnsiTheme="minorHAnsi" w:cstheme="minorHAnsi"/>
                <w:sz w:val="22"/>
                <w:szCs w:val="22"/>
              </w:rPr>
              <w:t>–</w:t>
            </w:r>
          </w:p>
        </w:tc>
        <w:tc>
          <w:tcPr>
            <w:tcW w:w="1134" w:type="dxa"/>
          </w:tcPr>
          <w:p w14:paraId="23C52D90" w14:textId="144E4937" w:rsidR="001D52B1" w:rsidRPr="00F56D2C" w:rsidRDefault="001D52B1" w:rsidP="004A7D55">
            <w:pPr>
              <w:pStyle w:val="TableCopy"/>
              <w:jc w:val="right"/>
              <w:rPr>
                <w:rFonts w:asciiTheme="minorHAnsi" w:hAnsiTheme="minorHAnsi" w:cstheme="minorHAnsi"/>
                <w:sz w:val="22"/>
                <w:szCs w:val="22"/>
              </w:rPr>
            </w:pPr>
            <w:r w:rsidRPr="00F56D2C">
              <w:rPr>
                <w:rFonts w:asciiTheme="minorHAnsi" w:hAnsiTheme="minorHAnsi" w:cstheme="minorHAnsi"/>
                <w:sz w:val="22"/>
                <w:szCs w:val="22"/>
              </w:rPr>
              <w:t>–</w:t>
            </w:r>
          </w:p>
        </w:tc>
        <w:tc>
          <w:tcPr>
            <w:tcW w:w="1134" w:type="dxa"/>
          </w:tcPr>
          <w:p w14:paraId="5E71C25B" w14:textId="4340A824" w:rsidR="001D52B1" w:rsidRPr="00F56D2C" w:rsidRDefault="001D52B1" w:rsidP="004A7D55">
            <w:pPr>
              <w:pStyle w:val="TableCopy"/>
              <w:jc w:val="right"/>
              <w:rPr>
                <w:rFonts w:asciiTheme="minorHAnsi" w:hAnsiTheme="minorHAnsi" w:cstheme="minorHAnsi"/>
                <w:sz w:val="22"/>
                <w:szCs w:val="22"/>
              </w:rPr>
            </w:pPr>
            <w:r w:rsidRPr="00F56D2C">
              <w:rPr>
                <w:rFonts w:asciiTheme="minorHAnsi" w:hAnsiTheme="minorHAnsi" w:cstheme="minorHAnsi"/>
                <w:sz w:val="22"/>
                <w:szCs w:val="22"/>
              </w:rPr>
              <w:t>–</w:t>
            </w:r>
          </w:p>
        </w:tc>
        <w:tc>
          <w:tcPr>
            <w:tcW w:w="1276" w:type="dxa"/>
          </w:tcPr>
          <w:p w14:paraId="4D39FD1E" w14:textId="05E7CD08" w:rsidR="001D52B1" w:rsidRPr="00F56D2C" w:rsidRDefault="001D52B1" w:rsidP="004A7D55">
            <w:pPr>
              <w:pStyle w:val="TableCopy"/>
              <w:jc w:val="right"/>
              <w:rPr>
                <w:rFonts w:asciiTheme="minorHAnsi" w:hAnsiTheme="minorHAnsi" w:cstheme="minorHAnsi"/>
                <w:sz w:val="22"/>
                <w:szCs w:val="22"/>
              </w:rPr>
            </w:pPr>
            <w:r w:rsidRPr="00F56D2C">
              <w:rPr>
                <w:rFonts w:asciiTheme="minorHAnsi" w:hAnsiTheme="minorHAnsi" w:cstheme="minorHAnsi"/>
                <w:sz w:val="22"/>
                <w:szCs w:val="22"/>
              </w:rPr>
              <w:t>–</w:t>
            </w:r>
          </w:p>
        </w:tc>
        <w:tc>
          <w:tcPr>
            <w:tcW w:w="1417" w:type="dxa"/>
          </w:tcPr>
          <w:p w14:paraId="44B03C7E" w14:textId="3914F3B8" w:rsidR="001D52B1" w:rsidRPr="00F56D2C" w:rsidRDefault="001D52B1" w:rsidP="004A7D55">
            <w:pPr>
              <w:pStyle w:val="TableCopy"/>
              <w:jc w:val="right"/>
              <w:rPr>
                <w:rFonts w:asciiTheme="minorHAnsi" w:hAnsiTheme="minorHAnsi" w:cstheme="minorHAnsi"/>
                <w:sz w:val="22"/>
                <w:szCs w:val="22"/>
              </w:rPr>
            </w:pPr>
            <w:r w:rsidRPr="00F56D2C">
              <w:rPr>
                <w:rFonts w:asciiTheme="minorHAnsi" w:hAnsiTheme="minorHAnsi" w:cstheme="minorHAnsi"/>
                <w:sz w:val="22"/>
                <w:szCs w:val="22"/>
              </w:rPr>
              <w:t>–</w:t>
            </w:r>
          </w:p>
        </w:tc>
        <w:tc>
          <w:tcPr>
            <w:tcW w:w="1134" w:type="dxa"/>
          </w:tcPr>
          <w:p w14:paraId="380D8A63" w14:textId="1016C279" w:rsidR="001D52B1" w:rsidRPr="00F56D2C" w:rsidRDefault="001D52B1" w:rsidP="004A7D55">
            <w:pPr>
              <w:pStyle w:val="TableCopy"/>
              <w:jc w:val="right"/>
              <w:rPr>
                <w:rFonts w:asciiTheme="minorHAnsi" w:hAnsiTheme="minorHAnsi" w:cstheme="minorHAnsi"/>
                <w:sz w:val="22"/>
                <w:szCs w:val="22"/>
              </w:rPr>
            </w:pPr>
            <w:r w:rsidRPr="00F56D2C">
              <w:rPr>
                <w:rFonts w:asciiTheme="minorHAnsi" w:hAnsiTheme="minorHAnsi" w:cstheme="minorHAnsi"/>
                <w:sz w:val="22"/>
                <w:szCs w:val="22"/>
              </w:rPr>
              <w:t>–</w:t>
            </w:r>
          </w:p>
        </w:tc>
        <w:tc>
          <w:tcPr>
            <w:tcW w:w="1134" w:type="dxa"/>
          </w:tcPr>
          <w:p w14:paraId="7A82BEEB" w14:textId="355AAEC2" w:rsidR="001D52B1" w:rsidRPr="00F56D2C" w:rsidRDefault="001D52B1" w:rsidP="004A7D55">
            <w:pPr>
              <w:pStyle w:val="TableCopy"/>
              <w:jc w:val="right"/>
              <w:rPr>
                <w:rFonts w:asciiTheme="minorHAnsi" w:hAnsiTheme="minorHAnsi" w:cstheme="minorHAnsi"/>
                <w:sz w:val="22"/>
                <w:szCs w:val="22"/>
              </w:rPr>
            </w:pPr>
            <w:r w:rsidRPr="00F56D2C">
              <w:rPr>
                <w:rFonts w:asciiTheme="minorHAnsi" w:hAnsiTheme="minorHAnsi" w:cstheme="minorHAnsi"/>
                <w:sz w:val="22"/>
                <w:szCs w:val="22"/>
              </w:rPr>
              <w:t>–</w:t>
            </w:r>
          </w:p>
        </w:tc>
      </w:tr>
      <w:tr w:rsidR="00F56D2C" w:rsidRPr="00F56D2C" w14:paraId="4DD88FE3" w14:textId="77777777" w:rsidTr="004A7D55">
        <w:trPr>
          <w:cantSplit/>
        </w:trPr>
        <w:tc>
          <w:tcPr>
            <w:tcW w:w="2689" w:type="dxa"/>
          </w:tcPr>
          <w:p w14:paraId="1CD22152" w14:textId="6EB7FE33" w:rsidR="001D52B1" w:rsidRPr="00F56D2C" w:rsidRDefault="001D52B1" w:rsidP="00F56D2C">
            <w:pPr>
              <w:pStyle w:val="TableCopy"/>
              <w:rPr>
                <w:rFonts w:asciiTheme="minorHAnsi" w:hAnsiTheme="minorHAnsi" w:cstheme="minorHAnsi"/>
                <w:sz w:val="22"/>
                <w:szCs w:val="22"/>
              </w:rPr>
            </w:pPr>
            <w:r w:rsidRPr="00F56D2C">
              <w:rPr>
                <w:rFonts w:asciiTheme="minorHAnsi" w:hAnsiTheme="minorHAnsi" w:cstheme="minorHAnsi"/>
                <w:sz w:val="22"/>
                <w:szCs w:val="22"/>
              </w:rPr>
              <w:t>Other income</w:t>
            </w:r>
          </w:p>
        </w:tc>
        <w:tc>
          <w:tcPr>
            <w:tcW w:w="1417" w:type="dxa"/>
          </w:tcPr>
          <w:p w14:paraId="44551145" w14:textId="57C2B49A" w:rsidR="001D52B1" w:rsidRPr="00F56D2C" w:rsidRDefault="001D52B1" w:rsidP="004A7D55">
            <w:pPr>
              <w:pStyle w:val="TableCopy"/>
              <w:jc w:val="right"/>
              <w:rPr>
                <w:rFonts w:asciiTheme="minorHAnsi" w:hAnsiTheme="minorHAnsi" w:cstheme="minorHAnsi"/>
                <w:sz w:val="22"/>
                <w:szCs w:val="22"/>
              </w:rPr>
            </w:pPr>
            <w:r w:rsidRPr="00F56D2C">
              <w:rPr>
                <w:rFonts w:asciiTheme="minorHAnsi" w:hAnsiTheme="minorHAnsi" w:cstheme="minorHAnsi"/>
                <w:sz w:val="22"/>
                <w:szCs w:val="22"/>
              </w:rPr>
              <w:t>–</w:t>
            </w:r>
          </w:p>
        </w:tc>
        <w:tc>
          <w:tcPr>
            <w:tcW w:w="1418" w:type="dxa"/>
          </w:tcPr>
          <w:p w14:paraId="0E844CAD" w14:textId="3FF85461" w:rsidR="001D52B1" w:rsidRPr="00F56D2C" w:rsidRDefault="001D52B1" w:rsidP="004A7D55">
            <w:pPr>
              <w:pStyle w:val="TableCopy"/>
              <w:jc w:val="right"/>
              <w:rPr>
                <w:rFonts w:asciiTheme="minorHAnsi" w:hAnsiTheme="minorHAnsi" w:cstheme="minorHAnsi"/>
                <w:sz w:val="22"/>
                <w:szCs w:val="22"/>
              </w:rPr>
            </w:pPr>
            <w:r w:rsidRPr="00F56D2C">
              <w:rPr>
                <w:rFonts w:asciiTheme="minorHAnsi" w:hAnsiTheme="minorHAnsi" w:cstheme="minorHAnsi"/>
                <w:sz w:val="22"/>
                <w:szCs w:val="22"/>
              </w:rPr>
              <w:t>–</w:t>
            </w:r>
          </w:p>
        </w:tc>
        <w:tc>
          <w:tcPr>
            <w:tcW w:w="1134" w:type="dxa"/>
          </w:tcPr>
          <w:p w14:paraId="79EB6D2D" w14:textId="42286B20" w:rsidR="001D52B1" w:rsidRPr="00F56D2C" w:rsidRDefault="001D52B1" w:rsidP="004A7D55">
            <w:pPr>
              <w:pStyle w:val="TableCopy"/>
              <w:jc w:val="right"/>
              <w:rPr>
                <w:rFonts w:asciiTheme="minorHAnsi" w:hAnsiTheme="minorHAnsi" w:cstheme="minorHAnsi"/>
                <w:sz w:val="22"/>
                <w:szCs w:val="22"/>
              </w:rPr>
            </w:pPr>
            <w:r w:rsidRPr="00F56D2C">
              <w:rPr>
                <w:rFonts w:asciiTheme="minorHAnsi" w:hAnsiTheme="minorHAnsi" w:cstheme="minorHAnsi"/>
                <w:sz w:val="22"/>
                <w:szCs w:val="22"/>
              </w:rPr>
              <w:t>–</w:t>
            </w:r>
          </w:p>
        </w:tc>
        <w:tc>
          <w:tcPr>
            <w:tcW w:w="1134" w:type="dxa"/>
          </w:tcPr>
          <w:p w14:paraId="57C8427E" w14:textId="2CE3195A" w:rsidR="001D52B1" w:rsidRPr="00F56D2C" w:rsidRDefault="001D52B1" w:rsidP="004A7D55">
            <w:pPr>
              <w:pStyle w:val="TableCopy"/>
              <w:jc w:val="right"/>
              <w:rPr>
                <w:rFonts w:asciiTheme="minorHAnsi" w:hAnsiTheme="minorHAnsi" w:cstheme="minorHAnsi"/>
                <w:sz w:val="22"/>
                <w:szCs w:val="22"/>
              </w:rPr>
            </w:pPr>
            <w:r w:rsidRPr="00F56D2C">
              <w:rPr>
                <w:rFonts w:asciiTheme="minorHAnsi" w:hAnsiTheme="minorHAnsi" w:cstheme="minorHAnsi"/>
                <w:sz w:val="22"/>
                <w:szCs w:val="22"/>
              </w:rPr>
              <w:t>–</w:t>
            </w:r>
          </w:p>
        </w:tc>
        <w:tc>
          <w:tcPr>
            <w:tcW w:w="1134" w:type="dxa"/>
          </w:tcPr>
          <w:p w14:paraId="38ABD263" w14:textId="697F8C5B" w:rsidR="001D52B1" w:rsidRPr="00F56D2C" w:rsidRDefault="001D52B1" w:rsidP="004A7D55">
            <w:pPr>
              <w:pStyle w:val="TableCopy"/>
              <w:jc w:val="right"/>
              <w:rPr>
                <w:rFonts w:asciiTheme="minorHAnsi" w:hAnsiTheme="minorHAnsi" w:cstheme="minorHAnsi"/>
                <w:sz w:val="22"/>
                <w:szCs w:val="22"/>
              </w:rPr>
            </w:pPr>
            <w:r w:rsidRPr="00F56D2C">
              <w:rPr>
                <w:rFonts w:asciiTheme="minorHAnsi" w:hAnsiTheme="minorHAnsi" w:cstheme="minorHAnsi"/>
                <w:sz w:val="22"/>
                <w:szCs w:val="22"/>
              </w:rPr>
              <w:t>–</w:t>
            </w:r>
          </w:p>
        </w:tc>
        <w:tc>
          <w:tcPr>
            <w:tcW w:w="1134" w:type="dxa"/>
          </w:tcPr>
          <w:p w14:paraId="32B2E80C" w14:textId="58C51E0C" w:rsidR="001D52B1" w:rsidRPr="00F56D2C" w:rsidRDefault="001D52B1" w:rsidP="004A7D55">
            <w:pPr>
              <w:pStyle w:val="TableCopy"/>
              <w:jc w:val="right"/>
              <w:rPr>
                <w:rFonts w:asciiTheme="minorHAnsi" w:hAnsiTheme="minorHAnsi" w:cstheme="minorHAnsi"/>
                <w:sz w:val="22"/>
                <w:szCs w:val="22"/>
              </w:rPr>
            </w:pPr>
            <w:r w:rsidRPr="00F56D2C">
              <w:rPr>
                <w:rFonts w:asciiTheme="minorHAnsi" w:hAnsiTheme="minorHAnsi" w:cstheme="minorHAnsi"/>
                <w:sz w:val="22"/>
                <w:szCs w:val="22"/>
              </w:rPr>
              <w:t>–</w:t>
            </w:r>
          </w:p>
        </w:tc>
        <w:tc>
          <w:tcPr>
            <w:tcW w:w="1276" w:type="dxa"/>
          </w:tcPr>
          <w:p w14:paraId="147CE429" w14:textId="1D1EA9B9" w:rsidR="001D52B1" w:rsidRPr="00F56D2C" w:rsidRDefault="001D52B1" w:rsidP="004A7D55">
            <w:pPr>
              <w:pStyle w:val="TableCopy"/>
              <w:jc w:val="right"/>
              <w:rPr>
                <w:rFonts w:asciiTheme="minorHAnsi" w:hAnsiTheme="minorHAnsi" w:cstheme="minorHAnsi"/>
                <w:sz w:val="22"/>
                <w:szCs w:val="22"/>
              </w:rPr>
            </w:pPr>
            <w:r w:rsidRPr="00F56D2C">
              <w:rPr>
                <w:rFonts w:asciiTheme="minorHAnsi" w:hAnsiTheme="minorHAnsi" w:cstheme="minorHAnsi"/>
                <w:sz w:val="22"/>
                <w:szCs w:val="22"/>
              </w:rPr>
              <w:t>300</w:t>
            </w:r>
          </w:p>
        </w:tc>
        <w:tc>
          <w:tcPr>
            <w:tcW w:w="1417" w:type="dxa"/>
          </w:tcPr>
          <w:p w14:paraId="1649BD88" w14:textId="3C61DF3F" w:rsidR="001D52B1" w:rsidRPr="00F56D2C" w:rsidRDefault="001D52B1" w:rsidP="004A7D55">
            <w:pPr>
              <w:pStyle w:val="TableCopy"/>
              <w:jc w:val="right"/>
              <w:rPr>
                <w:rFonts w:asciiTheme="minorHAnsi" w:hAnsiTheme="minorHAnsi" w:cstheme="minorHAnsi"/>
                <w:sz w:val="22"/>
                <w:szCs w:val="22"/>
              </w:rPr>
            </w:pPr>
            <w:r w:rsidRPr="00F56D2C">
              <w:rPr>
                <w:rFonts w:asciiTheme="minorHAnsi" w:hAnsiTheme="minorHAnsi" w:cstheme="minorHAnsi"/>
                <w:sz w:val="22"/>
                <w:szCs w:val="22"/>
              </w:rPr>
              <w:t>23</w:t>
            </w:r>
          </w:p>
        </w:tc>
        <w:tc>
          <w:tcPr>
            <w:tcW w:w="1134" w:type="dxa"/>
          </w:tcPr>
          <w:p w14:paraId="25F8CC92" w14:textId="4ACA407C" w:rsidR="001D52B1" w:rsidRPr="00F56D2C" w:rsidRDefault="001D52B1" w:rsidP="004A7D55">
            <w:pPr>
              <w:pStyle w:val="TableCopy"/>
              <w:jc w:val="right"/>
              <w:rPr>
                <w:rFonts w:asciiTheme="minorHAnsi" w:hAnsiTheme="minorHAnsi" w:cstheme="minorHAnsi"/>
                <w:sz w:val="22"/>
                <w:szCs w:val="22"/>
              </w:rPr>
            </w:pPr>
            <w:r w:rsidRPr="00F56D2C">
              <w:rPr>
                <w:rFonts w:asciiTheme="minorHAnsi" w:hAnsiTheme="minorHAnsi" w:cstheme="minorHAnsi"/>
                <w:sz w:val="22"/>
                <w:szCs w:val="22"/>
              </w:rPr>
              <w:t>–</w:t>
            </w:r>
          </w:p>
        </w:tc>
        <w:tc>
          <w:tcPr>
            <w:tcW w:w="1134" w:type="dxa"/>
          </w:tcPr>
          <w:p w14:paraId="54CCBF6D" w14:textId="6CA62D5B" w:rsidR="001D52B1" w:rsidRPr="00F56D2C" w:rsidRDefault="001D52B1" w:rsidP="004A7D55">
            <w:pPr>
              <w:pStyle w:val="TableCopy"/>
              <w:jc w:val="right"/>
              <w:rPr>
                <w:rFonts w:asciiTheme="minorHAnsi" w:hAnsiTheme="minorHAnsi" w:cstheme="minorHAnsi"/>
                <w:sz w:val="22"/>
                <w:szCs w:val="22"/>
              </w:rPr>
            </w:pPr>
            <w:r w:rsidRPr="00F56D2C">
              <w:rPr>
                <w:rFonts w:asciiTheme="minorHAnsi" w:hAnsiTheme="minorHAnsi" w:cstheme="minorHAnsi"/>
                <w:sz w:val="22"/>
                <w:szCs w:val="22"/>
              </w:rPr>
              <w:t>–</w:t>
            </w:r>
          </w:p>
        </w:tc>
      </w:tr>
      <w:tr w:rsidR="00F56D2C" w:rsidRPr="00F56D2C" w14:paraId="5D6AE3AE" w14:textId="77777777" w:rsidTr="004A7D55">
        <w:trPr>
          <w:cantSplit/>
        </w:trPr>
        <w:tc>
          <w:tcPr>
            <w:tcW w:w="2689" w:type="dxa"/>
          </w:tcPr>
          <w:p w14:paraId="0814E8C3" w14:textId="6D391F84" w:rsidR="001D52B1" w:rsidRPr="00F56D2C" w:rsidRDefault="001D52B1" w:rsidP="00F56D2C">
            <w:pPr>
              <w:pStyle w:val="TableCopy"/>
              <w:rPr>
                <w:rFonts w:asciiTheme="minorHAnsi" w:hAnsiTheme="minorHAnsi" w:cstheme="minorHAnsi"/>
                <w:b/>
                <w:bCs/>
                <w:sz w:val="22"/>
                <w:szCs w:val="22"/>
              </w:rPr>
            </w:pPr>
            <w:r w:rsidRPr="00F56D2C">
              <w:rPr>
                <w:rFonts w:asciiTheme="minorHAnsi" w:hAnsiTheme="minorHAnsi" w:cstheme="minorHAnsi"/>
                <w:b/>
                <w:bCs/>
                <w:sz w:val="22"/>
                <w:szCs w:val="22"/>
              </w:rPr>
              <w:t>Total revenue and income from transactions</w:t>
            </w:r>
          </w:p>
        </w:tc>
        <w:tc>
          <w:tcPr>
            <w:tcW w:w="1417" w:type="dxa"/>
          </w:tcPr>
          <w:p w14:paraId="25322688" w14:textId="3E26E615" w:rsidR="001D52B1" w:rsidRPr="00F56D2C" w:rsidRDefault="001D52B1" w:rsidP="004A7D55">
            <w:pPr>
              <w:pStyle w:val="TableCopy"/>
              <w:jc w:val="right"/>
              <w:rPr>
                <w:rFonts w:asciiTheme="minorHAnsi" w:hAnsiTheme="minorHAnsi" w:cstheme="minorHAnsi"/>
                <w:b/>
                <w:bCs/>
                <w:sz w:val="22"/>
                <w:szCs w:val="22"/>
              </w:rPr>
            </w:pPr>
            <w:r w:rsidRPr="00F56D2C">
              <w:rPr>
                <w:rFonts w:asciiTheme="minorHAnsi" w:hAnsiTheme="minorHAnsi" w:cstheme="minorHAnsi"/>
                <w:b/>
                <w:bCs/>
                <w:sz w:val="22"/>
                <w:szCs w:val="22"/>
              </w:rPr>
              <w:t>48,856</w:t>
            </w:r>
          </w:p>
        </w:tc>
        <w:tc>
          <w:tcPr>
            <w:tcW w:w="1418" w:type="dxa"/>
          </w:tcPr>
          <w:p w14:paraId="0FFCF0E6" w14:textId="75558E5D" w:rsidR="001D52B1" w:rsidRPr="00F56D2C" w:rsidRDefault="001D52B1" w:rsidP="004A7D55">
            <w:pPr>
              <w:pStyle w:val="TableCopy"/>
              <w:jc w:val="right"/>
              <w:rPr>
                <w:rFonts w:asciiTheme="minorHAnsi" w:hAnsiTheme="minorHAnsi" w:cstheme="minorHAnsi"/>
                <w:b/>
                <w:bCs/>
                <w:sz w:val="22"/>
                <w:szCs w:val="22"/>
              </w:rPr>
            </w:pPr>
            <w:r w:rsidRPr="00F56D2C">
              <w:rPr>
                <w:rFonts w:asciiTheme="minorHAnsi" w:hAnsiTheme="minorHAnsi" w:cstheme="minorHAnsi"/>
                <w:b/>
                <w:bCs/>
                <w:sz w:val="22"/>
                <w:szCs w:val="22"/>
              </w:rPr>
              <w:t>68,756</w:t>
            </w:r>
          </w:p>
        </w:tc>
        <w:tc>
          <w:tcPr>
            <w:tcW w:w="1134" w:type="dxa"/>
          </w:tcPr>
          <w:p w14:paraId="54F0E3DF" w14:textId="6E4384B6" w:rsidR="001D52B1" w:rsidRPr="00F56D2C" w:rsidRDefault="001D52B1" w:rsidP="004A7D55">
            <w:pPr>
              <w:pStyle w:val="TableCopy"/>
              <w:jc w:val="right"/>
              <w:rPr>
                <w:rFonts w:asciiTheme="minorHAnsi" w:hAnsiTheme="minorHAnsi" w:cstheme="minorHAnsi"/>
                <w:b/>
                <w:bCs/>
                <w:sz w:val="22"/>
                <w:szCs w:val="22"/>
              </w:rPr>
            </w:pPr>
            <w:r w:rsidRPr="00F56D2C">
              <w:rPr>
                <w:rFonts w:asciiTheme="minorHAnsi" w:hAnsiTheme="minorHAnsi" w:cstheme="minorHAnsi"/>
                <w:b/>
                <w:bCs/>
                <w:sz w:val="22"/>
                <w:szCs w:val="22"/>
              </w:rPr>
              <w:t>457,774</w:t>
            </w:r>
          </w:p>
        </w:tc>
        <w:tc>
          <w:tcPr>
            <w:tcW w:w="1134" w:type="dxa"/>
          </w:tcPr>
          <w:p w14:paraId="3862CFEF" w14:textId="2F472EEF" w:rsidR="001D52B1" w:rsidRPr="00F56D2C" w:rsidRDefault="001D52B1" w:rsidP="004A7D55">
            <w:pPr>
              <w:pStyle w:val="TableCopy"/>
              <w:jc w:val="right"/>
              <w:rPr>
                <w:rFonts w:asciiTheme="minorHAnsi" w:hAnsiTheme="minorHAnsi" w:cstheme="minorHAnsi"/>
                <w:b/>
                <w:bCs/>
                <w:sz w:val="22"/>
                <w:szCs w:val="22"/>
              </w:rPr>
            </w:pPr>
            <w:r w:rsidRPr="00F56D2C">
              <w:rPr>
                <w:rFonts w:asciiTheme="minorHAnsi" w:hAnsiTheme="minorHAnsi" w:cstheme="minorHAnsi"/>
                <w:b/>
                <w:bCs/>
                <w:sz w:val="22"/>
                <w:szCs w:val="22"/>
              </w:rPr>
              <w:t>417,428</w:t>
            </w:r>
          </w:p>
        </w:tc>
        <w:tc>
          <w:tcPr>
            <w:tcW w:w="1134" w:type="dxa"/>
          </w:tcPr>
          <w:p w14:paraId="41CFC935" w14:textId="58E04131" w:rsidR="001D52B1" w:rsidRPr="00F56D2C" w:rsidRDefault="001D52B1" w:rsidP="004A7D55">
            <w:pPr>
              <w:pStyle w:val="TableCopy"/>
              <w:jc w:val="right"/>
              <w:rPr>
                <w:rFonts w:asciiTheme="minorHAnsi" w:hAnsiTheme="minorHAnsi" w:cstheme="minorHAnsi"/>
                <w:b/>
                <w:bCs/>
                <w:sz w:val="22"/>
                <w:szCs w:val="22"/>
              </w:rPr>
            </w:pPr>
            <w:r w:rsidRPr="00F56D2C">
              <w:rPr>
                <w:rFonts w:asciiTheme="minorHAnsi" w:hAnsiTheme="minorHAnsi" w:cstheme="minorHAnsi"/>
                <w:b/>
                <w:bCs/>
                <w:sz w:val="22"/>
                <w:szCs w:val="22"/>
              </w:rPr>
              <w:t>15,417</w:t>
            </w:r>
          </w:p>
        </w:tc>
        <w:tc>
          <w:tcPr>
            <w:tcW w:w="1134" w:type="dxa"/>
          </w:tcPr>
          <w:p w14:paraId="5B66D7BC" w14:textId="2E31E1BF" w:rsidR="001D52B1" w:rsidRPr="00F56D2C" w:rsidRDefault="001D52B1" w:rsidP="004A7D55">
            <w:pPr>
              <w:pStyle w:val="TableCopy"/>
              <w:jc w:val="right"/>
              <w:rPr>
                <w:rFonts w:asciiTheme="minorHAnsi" w:hAnsiTheme="minorHAnsi" w:cstheme="minorHAnsi"/>
                <w:b/>
                <w:bCs/>
                <w:sz w:val="22"/>
                <w:szCs w:val="22"/>
              </w:rPr>
            </w:pPr>
            <w:r w:rsidRPr="00F56D2C">
              <w:rPr>
                <w:rFonts w:asciiTheme="minorHAnsi" w:hAnsiTheme="minorHAnsi" w:cstheme="minorHAnsi"/>
                <w:b/>
                <w:bCs/>
                <w:sz w:val="22"/>
                <w:szCs w:val="22"/>
              </w:rPr>
              <w:t>23,242</w:t>
            </w:r>
          </w:p>
        </w:tc>
        <w:tc>
          <w:tcPr>
            <w:tcW w:w="1276" w:type="dxa"/>
          </w:tcPr>
          <w:p w14:paraId="136F2D34" w14:textId="4AAE3A46" w:rsidR="001D52B1" w:rsidRPr="00F56D2C" w:rsidRDefault="001D52B1" w:rsidP="004A7D55">
            <w:pPr>
              <w:pStyle w:val="TableCopy"/>
              <w:jc w:val="right"/>
              <w:rPr>
                <w:rFonts w:asciiTheme="minorHAnsi" w:hAnsiTheme="minorHAnsi" w:cstheme="minorHAnsi"/>
                <w:b/>
                <w:bCs/>
                <w:sz w:val="22"/>
                <w:szCs w:val="22"/>
              </w:rPr>
            </w:pPr>
            <w:r w:rsidRPr="00F56D2C">
              <w:rPr>
                <w:rFonts w:asciiTheme="minorHAnsi" w:hAnsiTheme="minorHAnsi" w:cstheme="minorHAnsi"/>
                <w:b/>
                <w:bCs/>
                <w:sz w:val="22"/>
                <w:szCs w:val="22"/>
              </w:rPr>
              <w:t>293,088</w:t>
            </w:r>
          </w:p>
        </w:tc>
        <w:tc>
          <w:tcPr>
            <w:tcW w:w="1417" w:type="dxa"/>
          </w:tcPr>
          <w:p w14:paraId="2B25D891" w14:textId="18FE59C3" w:rsidR="001D52B1" w:rsidRPr="00F56D2C" w:rsidRDefault="001D52B1" w:rsidP="004A7D55">
            <w:pPr>
              <w:pStyle w:val="TableCopy"/>
              <w:jc w:val="right"/>
              <w:rPr>
                <w:rFonts w:asciiTheme="minorHAnsi" w:hAnsiTheme="minorHAnsi" w:cstheme="minorHAnsi"/>
                <w:b/>
                <w:bCs/>
                <w:sz w:val="22"/>
                <w:szCs w:val="22"/>
              </w:rPr>
            </w:pPr>
            <w:r w:rsidRPr="00F56D2C">
              <w:rPr>
                <w:rFonts w:asciiTheme="minorHAnsi" w:hAnsiTheme="minorHAnsi" w:cstheme="minorHAnsi"/>
                <w:b/>
                <w:bCs/>
                <w:sz w:val="22"/>
                <w:szCs w:val="22"/>
              </w:rPr>
              <w:t>7,315,529</w:t>
            </w:r>
          </w:p>
        </w:tc>
        <w:tc>
          <w:tcPr>
            <w:tcW w:w="1134" w:type="dxa"/>
          </w:tcPr>
          <w:p w14:paraId="65F200C0" w14:textId="70C64882" w:rsidR="001D52B1" w:rsidRPr="00F56D2C" w:rsidRDefault="001D52B1" w:rsidP="004A7D55">
            <w:pPr>
              <w:pStyle w:val="TableCopy"/>
              <w:jc w:val="right"/>
              <w:rPr>
                <w:rFonts w:asciiTheme="minorHAnsi" w:hAnsiTheme="minorHAnsi" w:cstheme="minorHAnsi"/>
                <w:b/>
                <w:bCs/>
                <w:sz w:val="22"/>
                <w:szCs w:val="22"/>
              </w:rPr>
            </w:pPr>
            <w:r w:rsidRPr="00F56D2C">
              <w:rPr>
                <w:rFonts w:asciiTheme="minorHAnsi" w:hAnsiTheme="minorHAnsi" w:cstheme="minorHAnsi"/>
                <w:b/>
                <w:bCs/>
                <w:sz w:val="22"/>
                <w:szCs w:val="22"/>
              </w:rPr>
              <w:t>443,830</w:t>
            </w:r>
          </w:p>
        </w:tc>
        <w:tc>
          <w:tcPr>
            <w:tcW w:w="1134" w:type="dxa"/>
          </w:tcPr>
          <w:p w14:paraId="1013A9EF" w14:textId="01D885B0" w:rsidR="001D52B1" w:rsidRPr="00F56D2C" w:rsidRDefault="001D52B1" w:rsidP="004A7D55">
            <w:pPr>
              <w:pStyle w:val="TableCopy"/>
              <w:jc w:val="right"/>
              <w:rPr>
                <w:rFonts w:asciiTheme="minorHAnsi" w:hAnsiTheme="minorHAnsi" w:cstheme="minorHAnsi"/>
                <w:b/>
                <w:bCs/>
                <w:sz w:val="22"/>
                <w:szCs w:val="22"/>
              </w:rPr>
            </w:pPr>
            <w:r w:rsidRPr="00F56D2C">
              <w:rPr>
                <w:rFonts w:asciiTheme="minorHAnsi" w:hAnsiTheme="minorHAnsi" w:cstheme="minorHAnsi"/>
                <w:b/>
                <w:bCs/>
                <w:sz w:val="22"/>
                <w:szCs w:val="22"/>
              </w:rPr>
              <w:t>735,103</w:t>
            </w:r>
          </w:p>
        </w:tc>
      </w:tr>
      <w:tr w:rsidR="00F56D2C" w:rsidRPr="00F56D2C" w14:paraId="0672CA66" w14:textId="77777777" w:rsidTr="004A7D55">
        <w:trPr>
          <w:cantSplit/>
        </w:trPr>
        <w:tc>
          <w:tcPr>
            <w:tcW w:w="2689" w:type="dxa"/>
          </w:tcPr>
          <w:p w14:paraId="1E744E74" w14:textId="4E90B15E" w:rsidR="001D52B1" w:rsidRPr="00F56D2C" w:rsidRDefault="001D52B1" w:rsidP="00F56D2C">
            <w:pPr>
              <w:pStyle w:val="TableHeading"/>
              <w:rPr>
                <w:rFonts w:asciiTheme="minorHAnsi" w:hAnsiTheme="minorHAnsi" w:cstheme="minorHAnsi"/>
                <w:sz w:val="22"/>
                <w:szCs w:val="22"/>
              </w:rPr>
            </w:pPr>
            <w:r w:rsidRPr="00F56D2C">
              <w:rPr>
                <w:rFonts w:asciiTheme="minorHAnsi" w:hAnsiTheme="minorHAnsi" w:cstheme="minorHAnsi"/>
                <w:sz w:val="22"/>
                <w:szCs w:val="22"/>
              </w:rPr>
              <w:t>Expenses from transactions</w:t>
            </w:r>
          </w:p>
        </w:tc>
        <w:tc>
          <w:tcPr>
            <w:tcW w:w="1417" w:type="dxa"/>
          </w:tcPr>
          <w:p w14:paraId="6EF26F36" w14:textId="77777777" w:rsidR="001D52B1" w:rsidRPr="00F56D2C" w:rsidRDefault="001D52B1" w:rsidP="004A7D55">
            <w:pPr>
              <w:pStyle w:val="TableHeading"/>
              <w:jc w:val="right"/>
              <w:rPr>
                <w:rFonts w:asciiTheme="minorHAnsi" w:hAnsiTheme="minorHAnsi" w:cstheme="minorHAnsi"/>
                <w:sz w:val="22"/>
                <w:szCs w:val="22"/>
              </w:rPr>
            </w:pPr>
          </w:p>
        </w:tc>
        <w:tc>
          <w:tcPr>
            <w:tcW w:w="1418" w:type="dxa"/>
          </w:tcPr>
          <w:p w14:paraId="65A157DC" w14:textId="77777777" w:rsidR="001D52B1" w:rsidRPr="00F56D2C" w:rsidRDefault="001D52B1" w:rsidP="004A7D55">
            <w:pPr>
              <w:pStyle w:val="TableHeading"/>
              <w:jc w:val="right"/>
              <w:rPr>
                <w:rFonts w:asciiTheme="minorHAnsi" w:hAnsiTheme="minorHAnsi" w:cstheme="minorHAnsi"/>
                <w:sz w:val="22"/>
                <w:szCs w:val="22"/>
              </w:rPr>
            </w:pPr>
          </w:p>
        </w:tc>
        <w:tc>
          <w:tcPr>
            <w:tcW w:w="1134" w:type="dxa"/>
          </w:tcPr>
          <w:p w14:paraId="1E8B8F2A" w14:textId="77777777" w:rsidR="001D52B1" w:rsidRPr="00F56D2C" w:rsidRDefault="001D52B1" w:rsidP="004A7D55">
            <w:pPr>
              <w:pStyle w:val="TableHeading"/>
              <w:jc w:val="right"/>
              <w:rPr>
                <w:rFonts w:asciiTheme="minorHAnsi" w:hAnsiTheme="minorHAnsi" w:cstheme="minorHAnsi"/>
                <w:sz w:val="22"/>
                <w:szCs w:val="22"/>
              </w:rPr>
            </w:pPr>
          </w:p>
        </w:tc>
        <w:tc>
          <w:tcPr>
            <w:tcW w:w="1134" w:type="dxa"/>
          </w:tcPr>
          <w:p w14:paraId="6AFFF255" w14:textId="77777777" w:rsidR="001D52B1" w:rsidRPr="00F56D2C" w:rsidRDefault="001D52B1" w:rsidP="004A7D55">
            <w:pPr>
              <w:pStyle w:val="TableHeading"/>
              <w:jc w:val="right"/>
              <w:rPr>
                <w:rFonts w:asciiTheme="minorHAnsi" w:hAnsiTheme="minorHAnsi" w:cstheme="minorHAnsi"/>
                <w:sz w:val="22"/>
                <w:szCs w:val="22"/>
              </w:rPr>
            </w:pPr>
          </w:p>
        </w:tc>
        <w:tc>
          <w:tcPr>
            <w:tcW w:w="1134" w:type="dxa"/>
          </w:tcPr>
          <w:p w14:paraId="780089EE" w14:textId="77777777" w:rsidR="001D52B1" w:rsidRPr="00F56D2C" w:rsidRDefault="001D52B1" w:rsidP="004A7D55">
            <w:pPr>
              <w:pStyle w:val="TableHeading"/>
              <w:jc w:val="right"/>
              <w:rPr>
                <w:rFonts w:asciiTheme="minorHAnsi" w:hAnsiTheme="minorHAnsi" w:cstheme="minorHAnsi"/>
                <w:sz w:val="22"/>
                <w:szCs w:val="22"/>
              </w:rPr>
            </w:pPr>
          </w:p>
        </w:tc>
        <w:tc>
          <w:tcPr>
            <w:tcW w:w="1134" w:type="dxa"/>
          </w:tcPr>
          <w:p w14:paraId="47B874C2" w14:textId="77777777" w:rsidR="001D52B1" w:rsidRPr="00F56D2C" w:rsidRDefault="001D52B1" w:rsidP="004A7D55">
            <w:pPr>
              <w:pStyle w:val="TableHeading"/>
              <w:jc w:val="right"/>
              <w:rPr>
                <w:rFonts w:asciiTheme="minorHAnsi" w:hAnsiTheme="minorHAnsi" w:cstheme="minorHAnsi"/>
                <w:sz w:val="22"/>
                <w:szCs w:val="22"/>
              </w:rPr>
            </w:pPr>
          </w:p>
        </w:tc>
        <w:tc>
          <w:tcPr>
            <w:tcW w:w="1276" w:type="dxa"/>
          </w:tcPr>
          <w:p w14:paraId="0A6415B7" w14:textId="77777777" w:rsidR="001D52B1" w:rsidRPr="00F56D2C" w:rsidRDefault="001D52B1" w:rsidP="004A7D55">
            <w:pPr>
              <w:pStyle w:val="TableHeading"/>
              <w:jc w:val="right"/>
              <w:rPr>
                <w:rFonts w:asciiTheme="minorHAnsi" w:hAnsiTheme="minorHAnsi" w:cstheme="minorHAnsi"/>
                <w:sz w:val="22"/>
                <w:szCs w:val="22"/>
              </w:rPr>
            </w:pPr>
          </w:p>
        </w:tc>
        <w:tc>
          <w:tcPr>
            <w:tcW w:w="1417" w:type="dxa"/>
          </w:tcPr>
          <w:p w14:paraId="3CA1BBC9" w14:textId="77777777" w:rsidR="001D52B1" w:rsidRPr="00F56D2C" w:rsidRDefault="001D52B1" w:rsidP="004A7D55">
            <w:pPr>
              <w:pStyle w:val="TableHeading"/>
              <w:jc w:val="right"/>
              <w:rPr>
                <w:rFonts w:asciiTheme="minorHAnsi" w:hAnsiTheme="minorHAnsi" w:cstheme="minorHAnsi"/>
                <w:sz w:val="22"/>
                <w:szCs w:val="22"/>
              </w:rPr>
            </w:pPr>
          </w:p>
        </w:tc>
        <w:tc>
          <w:tcPr>
            <w:tcW w:w="1134" w:type="dxa"/>
          </w:tcPr>
          <w:p w14:paraId="23ADF19A" w14:textId="77777777" w:rsidR="001D52B1" w:rsidRPr="00F56D2C" w:rsidRDefault="001D52B1" w:rsidP="004A7D55">
            <w:pPr>
              <w:pStyle w:val="TableHeading"/>
              <w:jc w:val="right"/>
              <w:rPr>
                <w:rFonts w:asciiTheme="minorHAnsi" w:hAnsiTheme="minorHAnsi" w:cstheme="minorHAnsi"/>
                <w:sz w:val="22"/>
                <w:szCs w:val="22"/>
              </w:rPr>
            </w:pPr>
          </w:p>
        </w:tc>
        <w:tc>
          <w:tcPr>
            <w:tcW w:w="1134" w:type="dxa"/>
          </w:tcPr>
          <w:p w14:paraId="631A63C8" w14:textId="77777777" w:rsidR="001D52B1" w:rsidRPr="00F56D2C" w:rsidRDefault="001D52B1" w:rsidP="004A7D55">
            <w:pPr>
              <w:pStyle w:val="TableHeading"/>
              <w:jc w:val="right"/>
              <w:rPr>
                <w:rFonts w:asciiTheme="minorHAnsi" w:hAnsiTheme="minorHAnsi" w:cstheme="minorHAnsi"/>
                <w:sz w:val="22"/>
                <w:szCs w:val="22"/>
              </w:rPr>
            </w:pPr>
          </w:p>
        </w:tc>
      </w:tr>
      <w:tr w:rsidR="00F56D2C" w:rsidRPr="004A7D55" w14:paraId="59D7B0B4" w14:textId="77777777" w:rsidTr="004A7D55">
        <w:trPr>
          <w:cantSplit/>
        </w:trPr>
        <w:tc>
          <w:tcPr>
            <w:tcW w:w="2689" w:type="dxa"/>
          </w:tcPr>
          <w:p w14:paraId="7CCB5D41" w14:textId="77777777" w:rsidR="001D52B1" w:rsidRPr="004A7D55" w:rsidRDefault="001D52B1" w:rsidP="004A7D55">
            <w:pPr>
              <w:pStyle w:val="TableCopy"/>
              <w:rPr>
                <w:sz w:val="22"/>
                <w:szCs w:val="28"/>
              </w:rPr>
            </w:pPr>
            <w:r w:rsidRPr="004A7D55">
              <w:rPr>
                <w:sz w:val="22"/>
                <w:szCs w:val="28"/>
              </w:rPr>
              <w:t>Grants</w:t>
            </w:r>
          </w:p>
        </w:tc>
        <w:tc>
          <w:tcPr>
            <w:tcW w:w="1417" w:type="dxa"/>
          </w:tcPr>
          <w:p w14:paraId="20C57B47" w14:textId="77777777" w:rsidR="001D52B1" w:rsidRPr="004A7D55" w:rsidRDefault="001D52B1" w:rsidP="004A7D55">
            <w:pPr>
              <w:pStyle w:val="TableCopy"/>
              <w:jc w:val="right"/>
              <w:rPr>
                <w:sz w:val="22"/>
                <w:szCs w:val="28"/>
              </w:rPr>
            </w:pPr>
            <w:r w:rsidRPr="004A7D55">
              <w:rPr>
                <w:sz w:val="22"/>
                <w:szCs w:val="28"/>
              </w:rPr>
              <w:t>(39,603)</w:t>
            </w:r>
          </w:p>
        </w:tc>
        <w:tc>
          <w:tcPr>
            <w:tcW w:w="1418" w:type="dxa"/>
          </w:tcPr>
          <w:p w14:paraId="53172597" w14:textId="77777777" w:rsidR="001D52B1" w:rsidRPr="004A7D55" w:rsidRDefault="001D52B1" w:rsidP="004A7D55">
            <w:pPr>
              <w:pStyle w:val="TableCopy"/>
              <w:jc w:val="right"/>
              <w:rPr>
                <w:sz w:val="22"/>
                <w:szCs w:val="28"/>
              </w:rPr>
            </w:pPr>
            <w:r w:rsidRPr="004A7D55">
              <w:rPr>
                <w:sz w:val="22"/>
                <w:szCs w:val="28"/>
              </w:rPr>
              <w:t>(56,300)</w:t>
            </w:r>
          </w:p>
        </w:tc>
        <w:tc>
          <w:tcPr>
            <w:tcW w:w="1134" w:type="dxa"/>
          </w:tcPr>
          <w:p w14:paraId="27FD5059" w14:textId="77777777" w:rsidR="001D52B1" w:rsidRPr="004A7D55" w:rsidRDefault="001D52B1" w:rsidP="004A7D55">
            <w:pPr>
              <w:pStyle w:val="TableCopy"/>
              <w:jc w:val="right"/>
              <w:rPr>
                <w:sz w:val="22"/>
                <w:szCs w:val="28"/>
              </w:rPr>
            </w:pPr>
            <w:r w:rsidRPr="004A7D55">
              <w:rPr>
                <w:sz w:val="22"/>
                <w:szCs w:val="28"/>
              </w:rPr>
              <w:t>(379,152)</w:t>
            </w:r>
          </w:p>
        </w:tc>
        <w:tc>
          <w:tcPr>
            <w:tcW w:w="1134" w:type="dxa"/>
          </w:tcPr>
          <w:p w14:paraId="3C0037B4" w14:textId="77777777" w:rsidR="001D52B1" w:rsidRPr="004A7D55" w:rsidRDefault="001D52B1" w:rsidP="004A7D55">
            <w:pPr>
              <w:pStyle w:val="TableCopy"/>
              <w:jc w:val="right"/>
              <w:rPr>
                <w:sz w:val="22"/>
                <w:szCs w:val="28"/>
              </w:rPr>
            </w:pPr>
            <w:r w:rsidRPr="004A7D55">
              <w:rPr>
                <w:sz w:val="22"/>
                <w:szCs w:val="28"/>
              </w:rPr>
              <w:t>(344,776)</w:t>
            </w:r>
          </w:p>
        </w:tc>
        <w:tc>
          <w:tcPr>
            <w:tcW w:w="1134" w:type="dxa"/>
          </w:tcPr>
          <w:p w14:paraId="6F65D844" w14:textId="77777777" w:rsidR="001D52B1" w:rsidRPr="004A7D55" w:rsidRDefault="001D52B1" w:rsidP="004A7D55">
            <w:pPr>
              <w:pStyle w:val="TableCopy"/>
              <w:jc w:val="right"/>
              <w:rPr>
                <w:sz w:val="22"/>
                <w:szCs w:val="28"/>
              </w:rPr>
            </w:pPr>
            <w:r w:rsidRPr="004A7D55">
              <w:rPr>
                <w:sz w:val="22"/>
                <w:szCs w:val="28"/>
              </w:rPr>
              <w:t>(7,993)</w:t>
            </w:r>
          </w:p>
        </w:tc>
        <w:tc>
          <w:tcPr>
            <w:tcW w:w="1134" w:type="dxa"/>
          </w:tcPr>
          <w:p w14:paraId="3126ADC7" w14:textId="77777777" w:rsidR="001D52B1" w:rsidRPr="004A7D55" w:rsidRDefault="001D52B1" w:rsidP="004A7D55">
            <w:pPr>
              <w:pStyle w:val="TableCopy"/>
              <w:jc w:val="right"/>
              <w:rPr>
                <w:sz w:val="22"/>
                <w:szCs w:val="28"/>
              </w:rPr>
            </w:pPr>
            <w:r w:rsidRPr="004A7D55">
              <w:rPr>
                <w:sz w:val="22"/>
                <w:szCs w:val="28"/>
              </w:rPr>
              <w:t>(10,780)</w:t>
            </w:r>
          </w:p>
        </w:tc>
        <w:tc>
          <w:tcPr>
            <w:tcW w:w="1276" w:type="dxa"/>
          </w:tcPr>
          <w:p w14:paraId="33E5758C" w14:textId="77777777" w:rsidR="001D52B1" w:rsidRPr="004A7D55" w:rsidRDefault="001D52B1" w:rsidP="004A7D55">
            <w:pPr>
              <w:pStyle w:val="TableCopy"/>
              <w:jc w:val="right"/>
              <w:rPr>
                <w:sz w:val="22"/>
                <w:szCs w:val="28"/>
              </w:rPr>
            </w:pPr>
            <w:r w:rsidRPr="004A7D55">
              <w:rPr>
                <w:sz w:val="22"/>
                <w:szCs w:val="28"/>
              </w:rPr>
              <w:t>(182,299)</w:t>
            </w:r>
          </w:p>
        </w:tc>
        <w:tc>
          <w:tcPr>
            <w:tcW w:w="1417" w:type="dxa"/>
          </w:tcPr>
          <w:p w14:paraId="04DB55ED" w14:textId="77777777" w:rsidR="001D52B1" w:rsidRPr="004A7D55" w:rsidRDefault="001D52B1" w:rsidP="004A7D55">
            <w:pPr>
              <w:pStyle w:val="TableCopy"/>
              <w:jc w:val="right"/>
              <w:rPr>
                <w:sz w:val="22"/>
                <w:szCs w:val="28"/>
              </w:rPr>
            </w:pPr>
            <w:r w:rsidRPr="004A7D55">
              <w:rPr>
                <w:sz w:val="22"/>
                <w:szCs w:val="28"/>
              </w:rPr>
              <w:t>(7,069,985)</w:t>
            </w:r>
          </w:p>
        </w:tc>
        <w:tc>
          <w:tcPr>
            <w:tcW w:w="1134" w:type="dxa"/>
          </w:tcPr>
          <w:p w14:paraId="6D7C254F" w14:textId="77777777" w:rsidR="001D52B1" w:rsidRPr="004A7D55" w:rsidRDefault="001D52B1" w:rsidP="004A7D55">
            <w:pPr>
              <w:pStyle w:val="TableCopy"/>
              <w:jc w:val="right"/>
              <w:rPr>
                <w:sz w:val="22"/>
                <w:szCs w:val="28"/>
              </w:rPr>
            </w:pPr>
            <w:r w:rsidRPr="004A7D55">
              <w:rPr>
                <w:sz w:val="22"/>
                <w:szCs w:val="28"/>
              </w:rPr>
              <w:t>(302,285)</w:t>
            </w:r>
          </w:p>
        </w:tc>
        <w:tc>
          <w:tcPr>
            <w:tcW w:w="1134" w:type="dxa"/>
          </w:tcPr>
          <w:p w14:paraId="4EB03B17" w14:textId="77777777" w:rsidR="001D52B1" w:rsidRPr="004A7D55" w:rsidRDefault="001D52B1" w:rsidP="004A7D55">
            <w:pPr>
              <w:pStyle w:val="TableCopy"/>
              <w:jc w:val="right"/>
              <w:rPr>
                <w:sz w:val="22"/>
                <w:szCs w:val="28"/>
              </w:rPr>
            </w:pPr>
            <w:r w:rsidRPr="004A7D55">
              <w:rPr>
                <w:sz w:val="22"/>
                <w:szCs w:val="28"/>
              </w:rPr>
              <w:t>(632,628)</w:t>
            </w:r>
          </w:p>
        </w:tc>
      </w:tr>
      <w:tr w:rsidR="00F56D2C" w:rsidRPr="004A7D55" w14:paraId="19F5690C" w14:textId="77777777" w:rsidTr="004A7D55">
        <w:trPr>
          <w:cantSplit/>
        </w:trPr>
        <w:tc>
          <w:tcPr>
            <w:tcW w:w="2689" w:type="dxa"/>
          </w:tcPr>
          <w:p w14:paraId="42A2D0F1" w14:textId="04DD262A" w:rsidR="001D52B1" w:rsidRPr="004A7D55" w:rsidRDefault="001D52B1" w:rsidP="004A7D55">
            <w:pPr>
              <w:pStyle w:val="TableCopy"/>
              <w:rPr>
                <w:sz w:val="22"/>
                <w:szCs w:val="28"/>
              </w:rPr>
            </w:pPr>
            <w:r w:rsidRPr="004A7D55">
              <w:rPr>
                <w:sz w:val="22"/>
                <w:szCs w:val="28"/>
              </w:rPr>
              <w:t>Employee expenses</w:t>
            </w:r>
          </w:p>
        </w:tc>
        <w:tc>
          <w:tcPr>
            <w:tcW w:w="1417" w:type="dxa"/>
          </w:tcPr>
          <w:p w14:paraId="7B36886F" w14:textId="77777777" w:rsidR="001D52B1" w:rsidRPr="004A7D55" w:rsidRDefault="001D52B1" w:rsidP="004A7D55">
            <w:pPr>
              <w:pStyle w:val="TableCopy"/>
              <w:jc w:val="right"/>
              <w:rPr>
                <w:sz w:val="22"/>
                <w:szCs w:val="28"/>
              </w:rPr>
            </w:pPr>
            <w:r w:rsidRPr="004A7D55">
              <w:rPr>
                <w:sz w:val="22"/>
                <w:szCs w:val="28"/>
              </w:rPr>
              <w:t>(5,081)</w:t>
            </w:r>
          </w:p>
        </w:tc>
        <w:tc>
          <w:tcPr>
            <w:tcW w:w="1418" w:type="dxa"/>
          </w:tcPr>
          <w:p w14:paraId="761D1730" w14:textId="77777777" w:rsidR="001D52B1" w:rsidRPr="004A7D55" w:rsidRDefault="001D52B1" w:rsidP="004A7D55">
            <w:pPr>
              <w:pStyle w:val="TableCopy"/>
              <w:jc w:val="right"/>
              <w:rPr>
                <w:sz w:val="22"/>
                <w:szCs w:val="28"/>
              </w:rPr>
            </w:pPr>
            <w:r w:rsidRPr="004A7D55">
              <w:rPr>
                <w:sz w:val="22"/>
                <w:szCs w:val="28"/>
              </w:rPr>
              <w:t>(5,897)</w:t>
            </w:r>
          </w:p>
        </w:tc>
        <w:tc>
          <w:tcPr>
            <w:tcW w:w="1134" w:type="dxa"/>
          </w:tcPr>
          <w:p w14:paraId="4D9C6377" w14:textId="77777777" w:rsidR="001D52B1" w:rsidRPr="004A7D55" w:rsidRDefault="001D52B1" w:rsidP="004A7D55">
            <w:pPr>
              <w:pStyle w:val="TableCopy"/>
              <w:jc w:val="right"/>
              <w:rPr>
                <w:sz w:val="22"/>
                <w:szCs w:val="28"/>
              </w:rPr>
            </w:pPr>
            <w:r w:rsidRPr="004A7D55">
              <w:rPr>
                <w:sz w:val="22"/>
                <w:szCs w:val="28"/>
              </w:rPr>
              <w:t>(13,378)</w:t>
            </w:r>
          </w:p>
        </w:tc>
        <w:tc>
          <w:tcPr>
            <w:tcW w:w="1134" w:type="dxa"/>
          </w:tcPr>
          <w:p w14:paraId="03A0BA61" w14:textId="77777777" w:rsidR="001D52B1" w:rsidRPr="004A7D55" w:rsidRDefault="001D52B1" w:rsidP="004A7D55">
            <w:pPr>
              <w:pStyle w:val="TableCopy"/>
              <w:jc w:val="right"/>
              <w:rPr>
                <w:sz w:val="22"/>
                <w:szCs w:val="28"/>
              </w:rPr>
            </w:pPr>
            <w:r w:rsidRPr="004A7D55">
              <w:rPr>
                <w:sz w:val="22"/>
                <w:szCs w:val="28"/>
              </w:rPr>
              <w:t>(13,782)</w:t>
            </w:r>
          </w:p>
        </w:tc>
        <w:tc>
          <w:tcPr>
            <w:tcW w:w="1134" w:type="dxa"/>
          </w:tcPr>
          <w:p w14:paraId="481ACF2A" w14:textId="77777777" w:rsidR="001D52B1" w:rsidRPr="004A7D55" w:rsidRDefault="001D52B1" w:rsidP="004A7D55">
            <w:pPr>
              <w:pStyle w:val="TableCopy"/>
              <w:jc w:val="right"/>
              <w:rPr>
                <w:sz w:val="22"/>
                <w:szCs w:val="28"/>
              </w:rPr>
            </w:pPr>
            <w:r w:rsidRPr="004A7D55">
              <w:rPr>
                <w:sz w:val="22"/>
                <w:szCs w:val="28"/>
              </w:rPr>
              <w:t>(2,639)</w:t>
            </w:r>
          </w:p>
        </w:tc>
        <w:tc>
          <w:tcPr>
            <w:tcW w:w="1134" w:type="dxa"/>
          </w:tcPr>
          <w:p w14:paraId="478A5360" w14:textId="77777777" w:rsidR="001D52B1" w:rsidRPr="004A7D55" w:rsidRDefault="001D52B1" w:rsidP="004A7D55">
            <w:pPr>
              <w:pStyle w:val="TableCopy"/>
              <w:jc w:val="right"/>
              <w:rPr>
                <w:sz w:val="22"/>
                <w:szCs w:val="28"/>
              </w:rPr>
            </w:pPr>
            <w:r w:rsidRPr="004A7D55">
              <w:rPr>
                <w:sz w:val="22"/>
                <w:szCs w:val="28"/>
              </w:rPr>
              <w:t>(640)</w:t>
            </w:r>
          </w:p>
        </w:tc>
        <w:tc>
          <w:tcPr>
            <w:tcW w:w="1276" w:type="dxa"/>
          </w:tcPr>
          <w:p w14:paraId="20AD70E7" w14:textId="77777777" w:rsidR="001D52B1" w:rsidRPr="004A7D55" w:rsidRDefault="001D52B1" w:rsidP="004A7D55">
            <w:pPr>
              <w:pStyle w:val="TableCopy"/>
              <w:jc w:val="right"/>
              <w:rPr>
                <w:sz w:val="22"/>
                <w:szCs w:val="28"/>
              </w:rPr>
            </w:pPr>
            <w:r w:rsidRPr="004A7D55">
              <w:rPr>
                <w:sz w:val="22"/>
                <w:szCs w:val="28"/>
              </w:rPr>
              <w:t>(68,355)</w:t>
            </w:r>
          </w:p>
        </w:tc>
        <w:tc>
          <w:tcPr>
            <w:tcW w:w="1417" w:type="dxa"/>
          </w:tcPr>
          <w:p w14:paraId="38D11E64" w14:textId="77777777" w:rsidR="001D52B1" w:rsidRPr="004A7D55" w:rsidRDefault="001D52B1" w:rsidP="004A7D55">
            <w:pPr>
              <w:pStyle w:val="TableCopy"/>
              <w:jc w:val="right"/>
              <w:rPr>
                <w:sz w:val="22"/>
                <w:szCs w:val="28"/>
              </w:rPr>
            </w:pPr>
            <w:r w:rsidRPr="004A7D55">
              <w:rPr>
                <w:sz w:val="22"/>
                <w:szCs w:val="28"/>
              </w:rPr>
              <w:t>(117,821)</w:t>
            </w:r>
          </w:p>
        </w:tc>
        <w:tc>
          <w:tcPr>
            <w:tcW w:w="1134" w:type="dxa"/>
          </w:tcPr>
          <w:p w14:paraId="4987BF50" w14:textId="77777777" w:rsidR="001D52B1" w:rsidRPr="004A7D55" w:rsidRDefault="001D52B1" w:rsidP="004A7D55">
            <w:pPr>
              <w:pStyle w:val="TableCopy"/>
              <w:jc w:val="right"/>
              <w:rPr>
                <w:sz w:val="22"/>
                <w:szCs w:val="28"/>
              </w:rPr>
            </w:pPr>
            <w:r w:rsidRPr="004A7D55">
              <w:rPr>
                <w:sz w:val="22"/>
                <w:szCs w:val="28"/>
              </w:rPr>
              <w:t>(65,225)</w:t>
            </w:r>
          </w:p>
        </w:tc>
        <w:tc>
          <w:tcPr>
            <w:tcW w:w="1134" w:type="dxa"/>
          </w:tcPr>
          <w:p w14:paraId="77C349DC" w14:textId="77777777" w:rsidR="001D52B1" w:rsidRPr="004A7D55" w:rsidRDefault="001D52B1" w:rsidP="004A7D55">
            <w:pPr>
              <w:pStyle w:val="TableCopy"/>
              <w:jc w:val="right"/>
              <w:rPr>
                <w:sz w:val="22"/>
                <w:szCs w:val="28"/>
              </w:rPr>
            </w:pPr>
            <w:r w:rsidRPr="004A7D55">
              <w:rPr>
                <w:sz w:val="22"/>
                <w:szCs w:val="28"/>
              </w:rPr>
              <w:t>(51,996)</w:t>
            </w:r>
          </w:p>
        </w:tc>
      </w:tr>
      <w:tr w:rsidR="00F56D2C" w:rsidRPr="00F56D2C" w14:paraId="1B78D3F0" w14:textId="77777777" w:rsidTr="004A7D55">
        <w:trPr>
          <w:cantSplit/>
        </w:trPr>
        <w:tc>
          <w:tcPr>
            <w:tcW w:w="2689" w:type="dxa"/>
          </w:tcPr>
          <w:p w14:paraId="76CBA907" w14:textId="27B8AF51" w:rsidR="001D52B1" w:rsidRPr="00F56D2C" w:rsidRDefault="001D52B1" w:rsidP="00F56D2C">
            <w:pPr>
              <w:pStyle w:val="TableCopy"/>
              <w:rPr>
                <w:rFonts w:asciiTheme="minorHAnsi" w:hAnsiTheme="minorHAnsi" w:cstheme="minorHAnsi"/>
                <w:sz w:val="22"/>
                <w:szCs w:val="22"/>
              </w:rPr>
            </w:pPr>
            <w:r w:rsidRPr="00F56D2C">
              <w:rPr>
                <w:rFonts w:asciiTheme="minorHAnsi" w:hAnsiTheme="minorHAnsi" w:cstheme="minorHAnsi"/>
                <w:sz w:val="22"/>
                <w:szCs w:val="22"/>
              </w:rPr>
              <w:lastRenderedPageBreak/>
              <w:t xml:space="preserve">Depreciation and amortisation </w:t>
            </w:r>
          </w:p>
        </w:tc>
        <w:tc>
          <w:tcPr>
            <w:tcW w:w="1417" w:type="dxa"/>
          </w:tcPr>
          <w:p w14:paraId="7E20702B" w14:textId="4B7A9D64" w:rsidR="001D52B1" w:rsidRPr="00F56D2C" w:rsidRDefault="001D52B1" w:rsidP="004A7D55">
            <w:pPr>
              <w:pStyle w:val="TableCopy"/>
              <w:jc w:val="right"/>
              <w:rPr>
                <w:rFonts w:asciiTheme="minorHAnsi" w:hAnsiTheme="minorHAnsi" w:cstheme="minorHAnsi"/>
                <w:sz w:val="22"/>
                <w:szCs w:val="22"/>
              </w:rPr>
            </w:pPr>
            <w:r w:rsidRPr="00F56D2C">
              <w:rPr>
                <w:rFonts w:asciiTheme="minorHAnsi" w:hAnsiTheme="minorHAnsi" w:cstheme="minorHAnsi"/>
                <w:sz w:val="22"/>
                <w:szCs w:val="22"/>
              </w:rPr>
              <w:t>–</w:t>
            </w:r>
          </w:p>
        </w:tc>
        <w:tc>
          <w:tcPr>
            <w:tcW w:w="1418" w:type="dxa"/>
          </w:tcPr>
          <w:p w14:paraId="3D7C20ED" w14:textId="77777777" w:rsidR="001D52B1" w:rsidRPr="00F56D2C" w:rsidRDefault="001D52B1" w:rsidP="004A7D55">
            <w:pPr>
              <w:pStyle w:val="TableCopy"/>
              <w:jc w:val="right"/>
              <w:rPr>
                <w:rFonts w:asciiTheme="minorHAnsi" w:hAnsiTheme="minorHAnsi" w:cstheme="minorHAnsi"/>
                <w:sz w:val="22"/>
                <w:szCs w:val="22"/>
              </w:rPr>
            </w:pPr>
            <w:r w:rsidRPr="00F56D2C">
              <w:rPr>
                <w:rFonts w:asciiTheme="minorHAnsi" w:hAnsiTheme="minorHAnsi" w:cstheme="minorHAnsi"/>
                <w:sz w:val="22"/>
                <w:szCs w:val="22"/>
              </w:rPr>
              <w:t>(526)</w:t>
            </w:r>
          </w:p>
        </w:tc>
        <w:tc>
          <w:tcPr>
            <w:tcW w:w="1134" w:type="dxa"/>
          </w:tcPr>
          <w:p w14:paraId="7166CBB9" w14:textId="77777777" w:rsidR="001D52B1" w:rsidRPr="00F56D2C" w:rsidRDefault="001D52B1" w:rsidP="004A7D55">
            <w:pPr>
              <w:pStyle w:val="TableCopy"/>
              <w:jc w:val="right"/>
              <w:rPr>
                <w:rFonts w:asciiTheme="minorHAnsi" w:hAnsiTheme="minorHAnsi" w:cstheme="minorHAnsi"/>
                <w:sz w:val="22"/>
                <w:szCs w:val="22"/>
              </w:rPr>
            </w:pPr>
            <w:r w:rsidRPr="00F56D2C">
              <w:rPr>
                <w:rFonts w:asciiTheme="minorHAnsi" w:hAnsiTheme="minorHAnsi" w:cstheme="minorHAnsi"/>
                <w:sz w:val="22"/>
                <w:szCs w:val="22"/>
              </w:rPr>
              <w:t>(3,349)</w:t>
            </w:r>
          </w:p>
        </w:tc>
        <w:tc>
          <w:tcPr>
            <w:tcW w:w="1134" w:type="dxa"/>
          </w:tcPr>
          <w:p w14:paraId="0FA2642F" w14:textId="77777777" w:rsidR="001D52B1" w:rsidRPr="00F56D2C" w:rsidRDefault="001D52B1" w:rsidP="004A7D55">
            <w:pPr>
              <w:pStyle w:val="TableCopy"/>
              <w:jc w:val="right"/>
              <w:rPr>
                <w:rFonts w:asciiTheme="minorHAnsi" w:hAnsiTheme="minorHAnsi" w:cstheme="minorHAnsi"/>
                <w:sz w:val="22"/>
                <w:szCs w:val="22"/>
              </w:rPr>
            </w:pPr>
            <w:r w:rsidRPr="00F56D2C">
              <w:rPr>
                <w:rFonts w:asciiTheme="minorHAnsi" w:hAnsiTheme="minorHAnsi" w:cstheme="minorHAnsi"/>
                <w:sz w:val="22"/>
                <w:szCs w:val="22"/>
              </w:rPr>
              <w:t>(224)</w:t>
            </w:r>
          </w:p>
        </w:tc>
        <w:tc>
          <w:tcPr>
            <w:tcW w:w="1134" w:type="dxa"/>
          </w:tcPr>
          <w:p w14:paraId="63EA08CF" w14:textId="77777777" w:rsidR="001D52B1" w:rsidRPr="00F56D2C" w:rsidRDefault="001D52B1" w:rsidP="004A7D55">
            <w:pPr>
              <w:pStyle w:val="TableCopy"/>
              <w:jc w:val="right"/>
              <w:rPr>
                <w:rFonts w:asciiTheme="minorHAnsi" w:hAnsiTheme="minorHAnsi" w:cstheme="minorHAnsi"/>
                <w:sz w:val="22"/>
                <w:szCs w:val="22"/>
              </w:rPr>
            </w:pPr>
            <w:r w:rsidRPr="00F56D2C">
              <w:rPr>
                <w:rFonts w:asciiTheme="minorHAnsi" w:hAnsiTheme="minorHAnsi" w:cstheme="minorHAnsi"/>
                <w:sz w:val="22"/>
                <w:szCs w:val="22"/>
              </w:rPr>
              <w:t>(1,555)</w:t>
            </w:r>
          </w:p>
        </w:tc>
        <w:tc>
          <w:tcPr>
            <w:tcW w:w="1134" w:type="dxa"/>
          </w:tcPr>
          <w:p w14:paraId="2460CDB5" w14:textId="77777777" w:rsidR="001D52B1" w:rsidRPr="00F56D2C" w:rsidRDefault="001D52B1" w:rsidP="004A7D55">
            <w:pPr>
              <w:pStyle w:val="TableCopy"/>
              <w:jc w:val="right"/>
              <w:rPr>
                <w:rFonts w:asciiTheme="minorHAnsi" w:hAnsiTheme="minorHAnsi" w:cstheme="minorHAnsi"/>
                <w:sz w:val="22"/>
                <w:szCs w:val="22"/>
              </w:rPr>
            </w:pPr>
            <w:r w:rsidRPr="00F56D2C">
              <w:rPr>
                <w:rFonts w:asciiTheme="minorHAnsi" w:hAnsiTheme="minorHAnsi" w:cstheme="minorHAnsi"/>
                <w:sz w:val="22"/>
                <w:szCs w:val="22"/>
              </w:rPr>
              <w:t>(8,308)</w:t>
            </w:r>
          </w:p>
        </w:tc>
        <w:tc>
          <w:tcPr>
            <w:tcW w:w="1276" w:type="dxa"/>
          </w:tcPr>
          <w:p w14:paraId="30C070CC" w14:textId="77777777" w:rsidR="001D52B1" w:rsidRPr="00F56D2C" w:rsidRDefault="001D52B1" w:rsidP="004A7D55">
            <w:pPr>
              <w:pStyle w:val="TableCopy"/>
              <w:jc w:val="right"/>
              <w:rPr>
                <w:rFonts w:asciiTheme="minorHAnsi" w:hAnsiTheme="minorHAnsi" w:cstheme="minorHAnsi"/>
                <w:sz w:val="22"/>
                <w:szCs w:val="22"/>
              </w:rPr>
            </w:pPr>
            <w:r w:rsidRPr="00F56D2C">
              <w:rPr>
                <w:rFonts w:asciiTheme="minorHAnsi" w:hAnsiTheme="minorHAnsi" w:cstheme="minorHAnsi"/>
                <w:sz w:val="22"/>
                <w:szCs w:val="22"/>
              </w:rPr>
              <w:t>(3,215)</w:t>
            </w:r>
          </w:p>
        </w:tc>
        <w:tc>
          <w:tcPr>
            <w:tcW w:w="1417" w:type="dxa"/>
          </w:tcPr>
          <w:p w14:paraId="61B405FE" w14:textId="77777777" w:rsidR="001D52B1" w:rsidRPr="00F56D2C" w:rsidRDefault="001D52B1" w:rsidP="004A7D55">
            <w:pPr>
              <w:pStyle w:val="TableCopy"/>
              <w:jc w:val="right"/>
              <w:rPr>
                <w:rFonts w:asciiTheme="minorHAnsi" w:hAnsiTheme="minorHAnsi" w:cstheme="minorHAnsi"/>
                <w:sz w:val="22"/>
                <w:szCs w:val="22"/>
              </w:rPr>
            </w:pPr>
            <w:r w:rsidRPr="00F56D2C">
              <w:rPr>
                <w:rFonts w:asciiTheme="minorHAnsi" w:hAnsiTheme="minorHAnsi" w:cstheme="minorHAnsi"/>
                <w:sz w:val="22"/>
                <w:szCs w:val="22"/>
              </w:rPr>
              <w:t>(5,088)</w:t>
            </w:r>
          </w:p>
        </w:tc>
        <w:tc>
          <w:tcPr>
            <w:tcW w:w="1134" w:type="dxa"/>
          </w:tcPr>
          <w:p w14:paraId="5256D0D7" w14:textId="77777777" w:rsidR="001D52B1" w:rsidRPr="00F56D2C" w:rsidRDefault="001D52B1" w:rsidP="004A7D55">
            <w:pPr>
              <w:pStyle w:val="TableCopy"/>
              <w:jc w:val="right"/>
              <w:rPr>
                <w:rFonts w:asciiTheme="minorHAnsi" w:hAnsiTheme="minorHAnsi" w:cstheme="minorHAnsi"/>
                <w:sz w:val="22"/>
                <w:szCs w:val="22"/>
              </w:rPr>
            </w:pPr>
            <w:r w:rsidRPr="00F56D2C">
              <w:rPr>
                <w:rFonts w:asciiTheme="minorHAnsi" w:hAnsiTheme="minorHAnsi" w:cstheme="minorHAnsi"/>
                <w:sz w:val="22"/>
                <w:szCs w:val="22"/>
              </w:rPr>
              <w:t>(6,194)</w:t>
            </w:r>
          </w:p>
        </w:tc>
        <w:tc>
          <w:tcPr>
            <w:tcW w:w="1134" w:type="dxa"/>
          </w:tcPr>
          <w:p w14:paraId="6796B3B3" w14:textId="77777777" w:rsidR="001D52B1" w:rsidRPr="00F56D2C" w:rsidRDefault="001D52B1" w:rsidP="004A7D55">
            <w:pPr>
              <w:pStyle w:val="TableCopy"/>
              <w:jc w:val="right"/>
              <w:rPr>
                <w:rFonts w:asciiTheme="minorHAnsi" w:hAnsiTheme="minorHAnsi" w:cstheme="minorHAnsi"/>
                <w:sz w:val="22"/>
                <w:szCs w:val="22"/>
              </w:rPr>
            </w:pPr>
            <w:r w:rsidRPr="00F56D2C">
              <w:rPr>
                <w:rFonts w:asciiTheme="minorHAnsi" w:hAnsiTheme="minorHAnsi" w:cstheme="minorHAnsi"/>
                <w:sz w:val="22"/>
                <w:szCs w:val="22"/>
              </w:rPr>
              <w:t>(1,236)</w:t>
            </w:r>
          </w:p>
        </w:tc>
      </w:tr>
      <w:tr w:rsidR="00F56D2C" w:rsidRPr="00F56D2C" w14:paraId="77CD88A4" w14:textId="77777777" w:rsidTr="004A7D55">
        <w:trPr>
          <w:cantSplit/>
        </w:trPr>
        <w:tc>
          <w:tcPr>
            <w:tcW w:w="2689" w:type="dxa"/>
          </w:tcPr>
          <w:p w14:paraId="056765F9" w14:textId="19F55280" w:rsidR="001D52B1" w:rsidRPr="00F56D2C" w:rsidRDefault="001D52B1" w:rsidP="00F56D2C">
            <w:pPr>
              <w:pStyle w:val="TableCopy"/>
              <w:rPr>
                <w:rFonts w:asciiTheme="minorHAnsi" w:hAnsiTheme="minorHAnsi" w:cstheme="minorHAnsi"/>
                <w:sz w:val="22"/>
                <w:szCs w:val="22"/>
              </w:rPr>
            </w:pPr>
            <w:r w:rsidRPr="00F56D2C">
              <w:rPr>
                <w:rFonts w:asciiTheme="minorHAnsi" w:hAnsiTheme="minorHAnsi" w:cstheme="minorHAnsi"/>
                <w:sz w:val="22"/>
                <w:szCs w:val="22"/>
              </w:rPr>
              <w:t>Other operating expenses</w:t>
            </w:r>
          </w:p>
        </w:tc>
        <w:tc>
          <w:tcPr>
            <w:tcW w:w="1417" w:type="dxa"/>
          </w:tcPr>
          <w:p w14:paraId="6ABFB561" w14:textId="77777777" w:rsidR="001D52B1" w:rsidRPr="00F56D2C" w:rsidRDefault="001D52B1" w:rsidP="004A7D55">
            <w:pPr>
              <w:pStyle w:val="TableCopy"/>
              <w:jc w:val="right"/>
              <w:rPr>
                <w:rFonts w:asciiTheme="minorHAnsi" w:hAnsiTheme="minorHAnsi" w:cstheme="minorHAnsi"/>
                <w:sz w:val="22"/>
                <w:szCs w:val="22"/>
              </w:rPr>
            </w:pPr>
            <w:r w:rsidRPr="00F56D2C">
              <w:rPr>
                <w:rFonts w:asciiTheme="minorHAnsi" w:hAnsiTheme="minorHAnsi" w:cstheme="minorHAnsi"/>
                <w:sz w:val="22"/>
                <w:szCs w:val="22"/>
              </w:rPr>
              <w:t>(5,900)</w:t>
            </w:r>
          </w:p>
        </w:tc>
        <w:tc>
          <w:tcPr>
            <w:tcW w:w="1418" w:type="dxa"/>
          </w:tcPr>
          <w:p w14:paraId="579E45B8" w14:textId="77777777" w:rsidR="001D52B1" w:rsidRPr="00F56D2C" w:rsidRDefault="001D52B1" w:rsidP="004A7D55">
            <w:pPr>
              <w:pStyle w:val="TableCopy"/>
              <w:jc w:val="right"/>
              <w:rPr>
                <w:rFonts w:asciiTheme="minorHAnsi" w:hAnsiTheme="minorHAnsi" w:cstheme="minorHAnsi"/>
                <w:sz w:val="22"/>
                <w:szCs w:val="22"/>
              </w:rPr>
            </w:pPr>
            <w:r w:rsidRPr="00F56D2C">
              <w:rPr>
                <w:rFonts w:asciiTheme="minorHAnsi" w:hAnsiTheme="minorHAnsi" w:cstheme="minorHAnsi"/>
                <w:sz w:val="22"/>
                <w:szCs w:val="22"/>
              </w:rPr>
              <w:t>(6,395)</w:t>
            </w:r>
          </w:p>
        </w:tc>
        <w:tc>
          <w:tcPr>
            <w:tcW w:w="1134" w:type="dxa"/>
          </w:tcPr>
          <w:p w14:paraId="1A0D5D7D" w14:textId="77777777" w:rsidR="001D52B1" w:rsidRPr="00F56D2C" w:rsidRDefault="001D52B1" w:rsidP="004A7D55">
            <w:pPr>
              <w:pStyle w:val="TableCopy"/>
              <w:jc w:val="right"/>
              <w:rPr>
                <w:rFonts w:asciiTheme="minorHAnsi" w:hAnsiTheme="minorHAnsi" w:cstheme="minorHAnsi"/>
                <w:sz w:val="22"/>
                <w:szCs w:val="22"/>
              </w:rPr>
            </w:pPr>
            <w:r w:rsidRPr="00F56D2C">
              <w:rPr>
                <w:rFonts w:asciiTheme="minorHAnsi" w:hAnsiTheme="minorHAnsi" w:cstheme="minorHAnsi"/>
                <w:sz w:val="22"/>
                <w:szCs w:val="22"/>
              </w:rPr>
              <w:t>(767)</w:t>
            </w:r>
          </w:p>
        </w:tc>
        <w:tc>
          <w:tcPr>
            <w:tcW w:w="1134" w:type="dxa"/>
          </w:tcPr>
          <w:p w14:paraId="0DC83B30" w14:textId="77777777" w:rsidR="001D52B1" w:rsidRPr="00F56D2C" w:rsidRDefault="001D52B1" w:rsidP="004A7D55">
            <w:pPr>
              <w:pStyle w:val="TableCopy"/>
              <w:jc w:val="right"/>
              <w:rPr>
                <w:rFonts w:asciiTheme="minorHAnsi" w:hAnsiTheme="minorHAnsi" w:cstheme="minorHAnsi"/>
                <w:sz w:val="22"/>
                <w:szCs w:val="22"/>
              </w:rPr>
            </w:pPr>
            <w:r w:rsidRPr="00F56D2C">
              <w:rPr>
                <w:rFonts w:asciiTheme="minorHAnsi" w:hAnsiTheme="minorHAnsi" w:cstheme="minorHAnsi"/>
                <w:sz w:val="22"/>
                <w:szCs w:val="22"/>
              </w:rPr>
              <w:t>(4,537)</w:t>
            </w:r>
          </w:p>
        </w:tc>
        <w:tc>
          <w:tcPr>
            <w:tcW w:w="1134" w:type="dxa"/>
          </w:tcPr>
          <w:p w14:paraId="55934B72" w14:textId="77777777" w:rsidR="001D52B1" w:rsidRPr="00F56D2C" w:rsidRDefault="001D52B1" w:rsidP="004A7D55">
            <w:pPr>
              <w:pStyle w:val="TableCopy"/>
              <w:jc w:val="right"/>
              <w:rPr>
                <w:rFonts w:asciiTheme="minorHAnsi" w:hAnsiTheme="minorHAnsi" w:cstheme="minorHAnsi"/>
                <w:sz w:val="22"/>
                <w:szCs w:val="22"/>
              </w:rPr>
            </w:pPr>
            <w:r w:rsidRPr="00F56D2C">
              <w:rPr>
                <w:rFonts w:asciiTheme="minorHAnsi" w:hAnsiTheme="minorHAnsi" w:cstheme="minorHAnsi"/>
                <w:sz w:val="22"/>
                <w:szCs w:val="22"/>
              </w:rPr>
              <w:t>(1,852)</w:t>
            </w:r>
          </w:p>
        </w:tc>
        <w:tc>
          <w:tcPr>
            <w:tcW w:w="1134" w:type="dxa"/>
          </w:tcPr>
          <w:p w14:paraId="0EC2384C" w14:textId="77777777" w:rsidR="001D52B1" w:rsidRPr="00F56D2C" w:rsidRDefault="001D52B1" w:rsidP="004A7D55">
            <w:pPr>
              <w:pStyle w:val="TableCopy"/>
              <w:jc w:val="right"/>
              <w:rPr>
                <w:rFonts w:asciiTheme="minorHAnsi" w:hAnsiTheme="minorHAnsi" w:cstheme="minorHAnsi"/>
                <w:sz w:val="22"/>
                <w:szCs w:val="22"/>
              </w:rPr>
            </w:pPr>
            <w:r w:rsidRPr="00F56D2C">
              <w:rPr>
                <w:rFonts w:asciiTheme="minorHAnsi" w:hAnsiTheme="minorHAnsi" w:cstheme="minorHAnsi"/>
                <w:sz w:val="22"/>
                <w:szCs w:val="22"/>
              </w:rPr>
              <w:t>(3,564)</w:t>
            </w:r>
          </w:p>
        </w:tc>
        <w:tc>
          <w:tcPr>
            <w:tcW w:w="1276" w:type="dxa"/>
          </w:tcPr>
          <w:p w14:paraId="4BF673F4" w14:textId="77777777" w:rsidR="001D52B1" w:rsidRPr="00F56D2C" w:rsidRDefault="001D52B1" w:rsidP="004A7D55">
            <w:pPr>
              <w:pStyle w:val="TableCopy"/>
              <w:jc w:val="right"/>
              <w:rPr>
                <w:rFonts w:asciiTheme="minorHAnsi" w:hAnsiTheme="minorHAnsi" w:cstheme="minorHAnsi"/>
                <w:sz w:val="22"/>
                <w:szCs w:val="22"/>
              </w:rPr>
            </w:pPr>
            <w:r w:rsidRPr="00F56D2C">
              <w:rPr>
                <w:rFonts w:asciiTheme="minorHAnsi" w:hAnsiTheme="minorHAnsi" w:cstheme="minorHAnsi"/>
                <w:sz w:val="22"/>
                <w:szCs w:val="22"/>
              </w:rPr>
              <w:t>(37,604)</w:t>
            </w:r>
          </w:p>
        </w:tc>
        <w:tc>
          <w:tcPr>
            <w:tcW w:w="1417" w:type="dxa"/>
          </w:tcPr>
          <w:p w14:paraId="48CB4842" w14:textId="77777777" w:rsidR="001D52B1" w:rsidRPr="00F56D2C" w:rsidRDefault="001D52B1" w:rsidP="004A7D55">
            <w:pPr>
              <w:pStyle w:val="TableCopy"/>
              <w:jc w:val="right"/>
              <w:rPr>
                <w:rFonts w:asciiTheme="minorHAnsi" w:hAnsiTheme="minorHAnsi" w:cstheme="minorHAnsi"/>
                <w:sz w:val="22"/>
                <w:szCs w:val="22"/>
              </w:rPr>
            </w:pPr>
            <w:r w:rsidRPr="00F56D2C">
              <w:rPr>
                <w:rFonts w:asciiTheme="minorHAnsi" w:hAnsiTheme="minorHAnsi" w:cstheme="minorHAnsi"/>
                <w:sz w:val="22"/>
                <w:szCs w:val="22"/>
              </w:rPr>
              <w:t>(96,089)</w:t>
            </w:r>
          </w:p>
        </w:tc>
        <w:tc>
          <w:tcPr>
            <w:tcW w:w="1134" w:type="dxa"/>
          </w:tcPr>
          <w:p w14:paraId="399FE60B" w14:textId="77777777" w:rsidR="001D52B1" w:rsidRPr="00F56D2C" w:rsidRDefault="001D52B1" w:rsidP="004A7D55">
            <w:pPr>
              <w:pStyle w:val="TableCopy"/>
              <w:jc w:val="right"/>
              <w:rPr>
                <w:rFonts w:asciiTheme="minorHAnsi" w:hAnsiTheme="minorHAnsi" w:cstheme="minorHAnsi"/>
                <w:sz w:val="22"/>
                <w:szCs w:val="22"/>
              </w:rPr>
            </w:pPr>
            <w:r w:rsidRPr="00F56D2C">
              <w:rPr>
                <w:rFonts w:asciiTheme="minorHAnsi" w:hAnsiTheme="minorHAnsi" w:cstheme="minorHAnsi"/>
                <w:sz w:val="22"/>
                <w:szCs w:val="22"/>
              </w:rPr>
              <w:t>(46,902)</w:t>
            </w:r>
          </w:p>
        </w:tc>
        <w:tc>
          <w:tcPr>
            <w:tcW w:w="1134" w:type="dxa"/>
          </w:tcPr>
          <w:p w14:paraId="4648F436" w14:textId="77777777" w:rsidR="001D52B1" w:rsidRPr="00F56D2C" w:rsidRDefault="001D52B1" w:rsidP="004A7D55">
            <w:pPr>
              <w:pStyle w:val="TableCopy"/>
              <w:jc w:val="right"/>
              <w:rPr>
                <w:rFonts w:asciiTheme="minorHAnsi" w:hAnsiTheme="minorHAnsi" w:cstheme="minorHAnsi"/>
                <w:sz w:val="22"/>
                <w:szCs w:val="22"/>
              </w:rPr>
            </w:pPr>
            <w:r w:rsidRPr="00F56D2C">
              <w:rPr>
                <w:rFonts w:asciiTheme="minorHAnsi" w:hAnsiTheme="minorHAnsi" w:cstheme="minorHAnsi"/>
                <w:sz w:val="22"/>
                <w:szCs w:val="22"/>
              </w:rPr>
              <w:t>(50,239)</w:t>
            </w:r>
          </w:p>
        </w:tc>
      </w:tr>
      <w:tr w:rsidR="00F56D2C" w:rsidRPr="004A7D55" w14:paraId="73265C34" w14:textId="77777777" w:rsidTr="004A7D55">
        <w:trPr>
          <w:cantSplit/>
        </w:trPr>
        <w:tc>
          <w:tcPr>
            <w:tcW w:w="2689" w:type="dxa"/>
          </w:tcPr>
          <w:p w14:paraId="22FFF14B" w14:textId="4043B501" w:rsidR="001D52B1" w:rsidRPr="004A7D55" w:rsidRDefault="001D52B1" w:rsidP="00F56D2C">
            <w:pPr>
              <w:pStyle w:val="TableCopy"/>
              <w:rPr>
                <w:rFonts w:asciiTheme="minorHAnsi" w:hAnsiTheme="minorHAnsi" w:cstheme="minorHAnsi"/>
                <w:b/>
                <w:bCs/>
                <w:sz w:val="22"/>
                <w:szCs w:val="22"/>
              </w:rPr>
            </w:pPr>
            <w:r w:rsidRPr="004A7D55">
              <w:rPr>
                <w:rFonts w:asciiTheme="minorHAnsi" w:hAnsiTheme="minorHAnsi" w:cstheme="minorHAnsi"/>
                <w:b/>
                <w:bCs/>
                <w:sz w:val="22"/>
                <w:szCs w:val="22"/>
              </w:rPr>
              <w:t>Total expenses from transactions</w:t>
            </w:r>
          </w:p>
        </w:tc>
        <w:tc>
          <w:tcPr>
            <w:tcW w:w="1417" w:type="dxa"/>
          </w:tcPr>
          <w:p w14:paraId="4FD88B82" w14:textId="77777777" w:rsidR="001D52B1" w:rsidRPr="004A7D55" w:rsidRDefault="001D52B1" w:rsidP="004A7D55">
            <w:pPr>
              <w:pStyle w:val="TableCopy"/>
              <w:jc w:val="right"/>
              <w:rPr>
                <w:rFonts w:asciiTheme="minorHAnsi" w:hAnsiTheme="minorHAnsi" w:cstheme="minorHAnsi"/>
                <w:b/>
                <w:bCs/>
                <w:sz w:val="22"/>
                <w:szCs w:val="22"/>
              </w:rPr>
            </w:pPr>
            <w:r w:rsidRPr="004A7D55">
              <w:rPr>
                <w:rFonts w:asciiTheme="minorHAnsi" w:hAnsiTheme="minorHAnsi" w:cstheme="minorHAnsi"/>
                <w:b/>
                <w:bCs/>
                <w:sz w:val="22"/>
                <w:szCs w:val="22"/>
              </w:rPr>
              <w:t>(50,584)</w:t>
            </w:r>
          </w:p>
        </w:tc>
        <w:tc>
          <w:tcPr>
            <w:tcW w:w="1418" w:type="dxa"/>
          </w:tcPr>
          <w:p w14:paraId="416CDC15" w14:textId="77777777" w:rsidR="001D52B1" w:rsidRPr="004A7D55" w:rsidRDefault="001D52B1" w:rsidP="004A7D55">
            <w:pPr>
              <w:pStyle w:val="TableCopy"/>
              <w:jc w:val="right"/>
              <w:rPr>
                <w:rFonts w:asciiTheme="minorHAnsi" w:hAnsiTheme="minorHAnsi" w:cstheme="minorHAnsi"/>
                <w:b/>
                <w:bCs/>
                <w:sz w:val="22"/>
                <w:szCs w:val="22"/>
              </w:rPr>
            </w:pPr>
            <w:r w:rsidRPr="004A7D55">
              <w:rPr>
                <w:rFonts w:asciiTheme="minorHAnsi" w:hAnsiTheme="minorHAnsi" w:cstheme="minorHAnsi"/>
                <w:b/>
                <w:bCs/>
                <w:sz w:val="22"/>
                <w:szCs w:val="22"/>
              </w:rPr>
              <w:t>(69,118)</w:t>
            </w:r>
          </w:p>
        </w:tc>
        <w:tc>
          <w:tcPr>
            <w:tcW w:w="1134" w:type="dxa"/>
          </w:tcPr>
          <w:p w14:paraId="31F4DD86" w14:textId="77777777" w:rsidR="001D52B1" w:rsidRPr="004A7D55" w:rsidRDefault="001D52B1" w:rsidP="004A7D55">
            <w:pPr>
              <w:pStyle w:val="TableCopy"/>
              <w:jc w:val="right"/>
              <w:rPr>
                <w:rFonts w:asciiTheme="minorHAnsi" w:hAnsiTheme="minorHAnsi" w:cstheme="minorHAnsi"/>
                <w:b/>
                <w:bCs/>
                <w:sz w:val="22"/>
                <w:szCs w:val="22"/>
              </w:rPr>
            </w:pPr>
            <w:r w:rsidRPr="004A7D55">
              <w:rPr>
                <w:rFonts w:asciiTheme="minorHAnsi" w:hAnsiTheme="minorHAnsi" w:cstheme="minorHAnsi"/>
                <w:b/>
                <w:bCs/>
                <w:sz w:val="22"/>
                <w:szCs w:val="22"/>
              </w:rPr>
              <w:t>(396,646)</w:t>
            </w:r>
          </w:p>
        </w:tc>
        <w:tc>
          <w:tcPr>
            <w:tcW w:w="1134" w:type="dxa"/>
          </w:tcPr>
          <w:p w14:paraId="19E32DA1" w14:textId="77777777" w:rsidR="001D52B1" w:rsidRPr="004A7D55" w:rsidRDefault="001D52B1" w:rsidP="004A7D55">
            <w:pPr>
              <w:pStyle w:val="TableCopy"/>
              <w:jc w:val="right"/>
              <w:rPr>
                <w:rFonts w:asciiTheme="minorHAnsi" w:hAnsiTheme="minorHAnsi" w:cstheme="minorHAnsi"/>
                <w:b/>
                <w:bCs/>
                <w:sz w:val="22"/>
                <w:szCs w:val="22"/>
              </w:rPr>
            </w:pPr>
            <w:r w:rsidRPr="004A7D55">
              <w:rPr>
                <w:rFonts w:asciiTheme="minorHAnsi" w:hAnsiTheme="minorHAnsi" w:cstheme="minorHAnsi"/>
                <w:b/>
                <w:bCs/>
                <w:sz w:val="22"/>
                <w:szCs w:val="22"/>
              </w:rPr>
              <w:t>(363,319)</w:t>
            </w:r>
          </w:p>
        </w:tc>
        <w:tc>
          <w:tcPr>
            <w:tcW w:w="1134" w:type="dxa"/>
          </w:tcPr>
          <w:p w14:paraId="3B5A4C0F" w14:textId="77777777" w:rsidR="001D52B1" w:rsidRPr="004A7D55" w:rsidRDefault="001D52B1" w:rsidP="004A7D55">
            <w:pPr>
              <w:pStyle w:val="TableCopy"/>
              <w:jc w:val="right"/>
              <w:rPr>
                <w:rFonts w:asciiTheme="minorHAnsi" w:hAnsiTheme="minorHAnsi" w:cstheme="minorHAnsi"/>
                <w:b/>
                <w:bCs/>
                <w:sz w:val="22"/>
                <w:szCs w:val="22"/>
              </w:rPr>
            </w:pPr>
            <w:r w:rsidRPr="004A7D55">
              <w:rPr>
                <w:rFonts w:asciiTheme="minorHAnsi" w:hAnsiTheme="minorHAnsi" w:cstheme="minorHAnsi"/>
                <w:b/>
                <w:bCs/>
                <w:sz w:val="22"/>
                <w:szCs w:val="22"/>
              </w:rPr>
              <w:t>(14,039)</w:t>
            </w:r>
          </w:p>
        </w:tc>
        <w:tc>
          <w:tcPr>
            <w:tcW w:w="1134" w:type="dxa"/>
          </w:tcPr>
          <w:p w14:paraId="1224BBBC" w14:textId="77777777" w:rsidR="001D52B1" w:rsidRPr="004A7D55" w:rsidRDefault="001D52B1" w:rsidP="004A7D55">
            <w:pPr>
              <w:pStyle w:val="TableCopy"/>
              <w:jc w:val="right"/>
              <w:rPr>
                <w:rFonts w:asciiTheme="minorHAnsi" w:hAnsiTheme="minorHAnsi" w:cstheme="minorHAnsi"/>
                <w:b/>
                <w:bCs/>
                <w:sz w:val="22"/>
                <w:szCs w:val="22"/>
              </w:rPr>
            </w:pPr>
            <w:r w:rsidRPr="004A7D55">
              <w:rPr>
                <w:rFonts w:asciiTheme="minorHAnsi" w:hAnsiTheme="minorHAnsi" w:cstheme="minorHAnsi"/>
                <w:b/>
                <w:bCs/>
                <w:sz w:val="22"/>
                <w:szCs w:val="22"/>
              </w:rPr>
              <w:t>(23,292)</w:t>
            </w:r>
          </w:p>
        </w:tc>
        <w:tc>
          <w:tcPr>
            <w:tcW w:w="1276" w:type="dxa"/>
          </w:tcPr>
          <w:p w14:paraId="2642DE6F" w14:textId="77777777" w:rsidR="001D52B1" w:rsidRPr="004A7D55" w:rsidRDefault="001D52B1" w:rsidP="004A7D55">
            <w:pPr>
              <w:pStyle w:val="TableCopy"/>
              <w:jc w:val="right"/>
              <w:rPr>
                <w:rFonts w:asciiTheme="minorHAnsi" w:hAnsiTheme="minorHAnsi" w:cstheme="minorHAnsi"/>
                <w:b/>
                <w:bCs/>
                <w:sz w:val="22"/>
                <w:szCs w:val="22"/>
              </w:rPr>
            </w:pPr>
            <w:r w:rsidRPr="004A7D55">
              <w:rPr>
                <w:rFonts w:asciiTheme="minorHAnsi" w:hAnsiTheme="minorHAnsi" w:cstheme="minorHAnsi"/>
                <w:b/>
                <w:bCs/>
                <w:sz w:val="22"/>
                <w:szCs w:val="22"/>
              </w:rPr>
              <w:t>(291,473)</w:t>
            </w:r>
          </w:p>
        </w:tc>
        <w:tc>
          <w:tcPr>
            <w:tcW w:w="1417" w:type="dxa"/>
          </w:tcPr>
          <w:p w14:paraId="6E5C1892" w14:textId="77777777" w:rsidR="001D52B1" w:rsidRPr="004A7D55" w:rsidRDefault="001D52B1" w:rsidP="004A7D55">
            <w:pPr>
              <w:pStyle w:val="TableCopy"/>
              <w:jc w:val="right"/>
              <w:rPr>
                <w:rFonts w:asciiTheme="minorHAnsi" w:hAnsiTheme="minorHAnsi" w:cstheme="minorHAnsi"/>
                <w:b/>
                <w:bCs/>
                <w:sz w:val="22"/>
                <w:szCs w:val="22"/>
              </w:rPr>
            </w:pPr>
            <w:r w:rsidRPr="004A7D55">
              <w:rPr>
                <w:rFonts w:asciiTheme="minorHAnsi" w:hAnsiTheme="minorHAnsi" w:cstheme="minorHAnsi"/>
                <w:b/>
                <w:bCs/>
                <w:sz w:val="22"/>
                <w:szCs w:val="22"/>
              </w:rPr>
              <w:t>(7,288,984)</w:t>
            </w:r>
          </w:p>
        </w:tc>
        <w:tc>
          <w:tcPr>
            <w:tcW w:w="1134" w:type="dxa"/>
          </w:tcPr>
          <w:p w14:paraId="5E27877B" w14:textId="77777777" w:rsidR="001D52B1" w:rsidRPr="004A7D55" w:rsidRDefault="001D52B1" w:rsidP="004A7D55">
            <w:pPr>
              <w:pStyle w:val="TableCopy"/>
              <w:jc w:val="right"/>
              <w:rPr>
                <w:rFonts w:asciiTheme="minorHAnsi" w:hAnsiTheme="minorHAnsi" w:cstheme="minorHAnsi"/>
                <w:b/>
                <w:bCs/>
                <w:sz w:val="22"/>
                <w:szCs w:val="22"/>
              </w:rPr>
            </w:pPr>
            <w:r w:rsidRPr="004A7D55">
              <w:rPr>
                <w:rFonts w:asciiTheme="minorHAnsi" w:hAnsiTheme="minorHAnsi" w:cstheme="minorHAnsi"/>
                <w:b/>
                <w:bCs/>
                <w:sz w:val="22"/>
                <w:szCs w:val="22"/>
              </w:rPr>
              <w:t>(420,606)</w:t>
            </w:r>
          </w:p>
        </w:tc>
        <w:tc>
          <w:tcPr>
            <w:tcW w:w="1134" w:type="dxa"/>
          </w:tcPr>
          <w:p w14:paraId="2D856FFF" w14:textId="77777777" w:rsidR="001D52B1" w:rsidRPr="004A7D55" w:rsidRDefault="001D52B1" w:rsidP="004A7D55">
            <w:pPr>
              <w:pStyle w:val="TableCopy"/>
              <w:jc w:val="right"/>
              <w:rPr>
                <w:rFonts w:asciiTheme="minorHAnsi" w:hAnsiTheme="minorHAnsi" w:cstheme="minorHAnsi"/>
                <w:b/>
                <w:bCs/>
                <w:sz w:val="22"/>
                <w:szCs w:val="22"/>
              </w:rPr>
            </w:pPr>
            <w:r w:rsidRPr="004A7D55">
              <w:rPr>
                <w:rFonts w:asciiTheme="minorHAnsi" w:hAnsiTheme="minorHAnsi" w:cstheme="minorHAnsi"/>
                <w:b/>
                <w:bCs/>
                <w:sz w:val="22"/>
                <w:szCs w:val="22"/>
              </w:rPr>
              <w:t>(736,099)</w:t>
            </w:r>
          </w:p>
        </w:tc>
      </w:tr>
      <w:tr w:rsidR="00F56D2C" w:rsidRPr="004A7D55" w14:paraId="109B23F1" w14:textId="77777777" w:rsidTr="004A7D55">
        <w:trPr>
          <w:cantSplit/>
        </w:trPr>
        <w:tc>
          <w:tcPr>
            <w:tcW w:w="2689" w:type="dxa"/>
          </w:tcPr>
          <w:p w14:paraId="1934175F" w14:textId="61F05782" w:rsidR="001D52B1" w:rsidRPr="004A7D55" w:rsidRDefault="001D52B1" w:rsidP="00F56D2C">
            <w:pPr>
              <w:pStyle w:val="TableCopy"/>
              <w:rPr>
                <w:rFonts w:asciiTheme="minorHAnsi" w:hAnsiTheme="minorHAnsi" w:cstheme="minorHAnsi"/>
                <w:b/>
                <w:bCs/>
                <w:sz w:val="22"/>
                <w:szCs w:val="22"/>
              </w:rPr>
            </w:pPr>
            <w:r w:rsidRPr="004A7D55">
              <w:rPr>
                <w:rFonts w:asciiTheme="minorHAnsi" w:hAnsiTheme="minorHAnsi" w:cstheme="minorHAnsi"/>
                <w:b/>
                <w:bCs/>
                <w:sz w:val="22"/>
                <w:szCs w:val="22"/>
              </w:rPr>
              <w:t>Net result from transactions</w:t>
            </w:r>
          </w:p>
        </w:tc>
        <w:tc>
          <w:tcPr>
            <w:tcW w:w="1417" w:type="dxa"/>
          </w:tcPr>
          <w:p w14:paraId="7E714956" w14:textId="77777777" w:rsidR="001D52B1" w:rsidRPr="004A7D55" w:rsidRDefault="001D52B1" w:rsidP="004A7D55">
            <w:pPr>
              <w:pStyle w:val="TableCopy"/>
              <w:jc w:val="right"/>
              <w:rPr>
                <w:rFonts w:asciiTheme="minorHAnsi" w:hAnsiTheme="minorHAnsi" w:cstheme="minorHAnsi"/>
                <w:b/>
                <w:bCs/>
                <w:sz w:val="22"/>
                <w:szCs w:val="22"/>
              </w:rPr>
            </w:pPr>
            <w:r w:rsidRPr="004A7D55">
              <w:rPr>
                <w:rFonts w:asciiTheme="minorHAnsi" w:hAnsiTheme="minorHAnsi" w:cstheme="minorHAnsi"/>
                <w:b/>
                <w:bCs/>
                <w:sz w:val="22"/>
                <w:szCs w:val="22"/>
              </w:rPr>
              <w:t>(1,728)</w:t>
            </w:r>
          </w:p>
        </w:tc>
        <w:tc>
          <w:tcPr>
            <w:tcW w:w="1418" w:type="dxa"/>
          </w:tcPr>
          <w:p w14:paraId="5B17606D" w14:textId="77777777" w:rsidR="001D52B1" w:rsidRPr="004A7D55" w:rsidRDefault="001D52B1" w:rsidP="004A7D55">
            <w:pPr>
              <w:pStyle w:val="TableCopy"/>
              <w:jc w:val="right"/>
              <w:rPr>
                <w:rFonts w:asciiTheme="minorHAnsi" w:hAnsiTheme="minorHAnsi" w:cstheme="minorHAnsi"/>
                <w:b/>
                <w:bCs/>
                <w:sz w:val="22"/>
                <w:szCs w:val="22"/>
              </w:rPr>
            </w:pPr>
            <w:r w:rsidRPr="004A7D55">
              <w:rPr>
                <w:rFonts w:asciiTheme="minorHAnsi" w:hAnsiTheme="minorHAnsi" w:cstheme="minorHAnsi"/>
                <w:b/>
                <w:bCs/>
                <w:sz w:val="22"/>
                <w:szCs w:val="22"/>
              </w:rPr>
              <w:t>(362)</w:t>
            </w:r>
          </w:p>
        </w:tc>
        <w:tc>
          <w:tcPr>
            <w:tcW w:w="1134" w:type="dxa"/>
          </w:tcPr>
          <w:p w14:paraId="32F17615" w14:textId="39F4E709" w:rsidR="001D52B1" w:rsidRPr="004A7D55" w:rsidRDefault="001D52B1" w:rsidP="004A7D55">
            <w:pPr>
              <w:pStyle w:val="TableCopy"/>
              <w:jc w:val="right"/>
              <w:rPr>
                <w:rFonts w:asciiTheme="minorHAnsi" w:hAnsiTheme="minorHAnsi" w:cstheme="minorHAnsi"/>
                <w:b/>
                <w:bCs/>
                <w:sz w:val="22"/>
                <w:szCs w:val="22"/>
              </w:rPr>
            </w:pPr>
            <w:r w:rsidRPr="004A7D55">
              <w:rPr>
                <w:rFonts w:asciiTheme="minorHAnsi" w:hAnsiTheme="minorHAnsi" w:cstheme="minorHAnsi"/>
                <w:b/>
                <w:bCs/>
                <w:sz w:val="22"/>
                <w:szCs w:val="22"/>
              </w:rPr>
              <w:t>61,128</w:t>
            </w:r>
          </w:p>
        </w:tc>
        <w:tc>
          <w:tcPr>
            <w:tcW w:w="1134" w:type="dxa"/>
          </w:tcPr>
          <w:p w14:paraId="744BD021" w14:textId="035018B8" w:rsidR="001D52B1" w:rsidRPr="004A7D55" w:rsidRDefault="001D52B1" w:rsidP="004A7D55">
            <w:pPr>
              <w:pStyle w:val="TableCopy"/>
              <w:jc w:val="right"/>
              <w:rPr>
                <w:rFonts w:asciiTheme="minorHAnsi" w:hAnsiTheme="minorHAnsi" w:cstheme="minorHAnsi"/>
                <w:b/>
                <w:bCs/>
                <w:sz w:val="22"/>
                <w:szCs w:val="22"/>
              </w:rPr>
            </w:pPr>
            <w:r w:rsidRPr="004A7D55">
              <w:rPr>
                <w:rFonts w:asciiTheme="minorHAnsi" w:hAnsiTheme="minorHAnsi" w:cstheme="minorHAnsi"/>
                <w:b/>
                <w:bCs/>
                <w:sz w:val="22"/>
                <w:szCs w:val="22"/>
              </w:rPr>
              <w:t>54,109</w:t>
            </w:r>
          </w:p>
        </w:tc>
        <w:tc>
          <w:tcPr>
            <w:tcW w:w="1134" w:type="dxa"/>
          </w:tcPr>
          <w:p w14:paraId="1B7C6D4A" w14:textId="32D0F328" w:rsidR="001D52B1" w:rsidRPr="004A7D55" w:rsidRDefault="001D52B1" w:rsidP="004A7D55">
            <w:pPr>
              <w:pStyle w:val="TableCopy"/>
              <w:jc w:val="right"/>
              <w:rPr>
                <w:rFonts w:asciiTheme="minorHAnsi" w:hAnsiTheme="minorHAnsi" w:cstheme="minorHAnsi"/>
                <w:b/>
                <w:bCs/>
                <w:sz w:val="22"/>
                <w:szCs w:val="22"/>
              </w:rPr>
            </w:pPr>
            <w:r w:rsidRPr="004A7D55">
              <w:rPr>
                <w:rFonts w:asciiTheme="minorHAnsi" w:hAnsiTheme="minorHAnsi" w:cstheme="minorHAnsi"/>
                <w:b/>
                <w:bCs/>
                <w:sz w:val="22"/>
                <w:szCs w:val="22"/>
              </w:rPr>
              <w:t>1,378</w:t>
            </w:r>
          </w:p>
        </w:tc>
        <w:tc>
          <w:tcPr>
            <w:tcW w:w="1134" w:type="dxa"/>
          </w:tcPr>
          <w:p w14:paraId="0F79678F" w14:textId="77777777" w:rsidR="001D52B1" w:rsidRPr="004A7D55" w:rsidRDefault="001D52B1" w:rsidP="004A7D55">
            <w:pPr>
              <w:pStyle w:val="TableCopy"/>
              <w:jc w:val="right"/>
              <w:rPr>
                <w:rFonts w:asciiTheme="minorHAnsi" w:hAnsiTheme="minorHAnsi" w:cstheme="minorHAnsi"/>
                <w:b/>
                <w:bCs/>
                <w:sz w:val="22"/>
                <w:szCs w:val="22"/>
              </w:rPr>
            </w:pPr>
            <w:r w:rsidRPr="004A7D55">
              <w:rPr>
                <w:rFonts w:asciiTheme="minorHAnsi" w:hAnsiTheme="minorHAnsi" w:cstheme="minorHAnsi"/>
                <w:b/>
                <w:bCs/>
                <w:sz w:val="22"/>
                <w:szCs w:val="22"/>
              </w:rPr>
              <w:t>(50)</w:t>
            </w:r>
          </w:p>
        </w:tc>
        <w:tc>
          <w:tcPr>
            <w:tcW w:w="1276" w:type="dxa"/>
          </w:tcPr>
          <w:p w14:paraId="3F868ADA" w14:textId="150D14BC" w:rsidR="001D52B1" w:rsidRPr="004A7D55" w:rsidRDefault="001D52B1" w:rsidP="004A7D55">
            <w:pPr>
              <w:pStyle w:val="TableCopy"/>
              <w:jc w:val="right"/>
              <w:rPr>
                <w:rFonts w:asciiTheme="minorHAnsi" w:hAnsiTheme="minorHAnsi" w:cstheme="minorHAnsi"/>
                <w:b/>
                <w:bCs/>
                <w:sz w:val="22"/>
                <w:szCs w:val="22"/>
              </w:rPr>
            </w:pPr>
            <w:r w:rsidRPr="004A7D55">
              <w:rPr>
                <w:rFonts w:asciiTheme="minorHAnsi" w:hAnsiTheme="minorHAnsi" w:cstheme="minorHAnsi"/>
                <w:b/>
                <w:bCs/>
                <w:sz w:val="22"/>
                <w:szCs w:val="22"/>
              </w:rPr>
              <w:t>1,615</w:t>
            </w:r>
          </w:p>
        </w:tc>
        <w:tc>
          <w:tcPr>
            <w:tcW w:w="1417" w:type="dxa"/>
          </w:tcPr>
          <w:p w14:paraId="2789A5FD" w14:textId="31E13A8D" w:rsidR="001D52B1" w:rsidRPr="004A7D55" w:rsidRDefault="001D52B1" w:rsidP="004A7D55">
            <w:pPr>
              <w:pStyle w:val="TableCopy"/>
              <w:jc w:val="right"/>
              <w:rPr>
                <w:rFonts w:asciiTheme="minorHAnsi" w:hAnsiTheme="minorHAnsi" w:cstheme="minorHAnsi"/>
                <w:b/>
                <w:bCs/>
                <w:sz w:val="22"/>
                <w:szCs w:val="22"/>
              </w:rPr>
            </w:pPr>
            <w:r w:rsidRPr="004A7D55">
              <w:rPr>
                <w:rFonts w:asciiTheme="minorHAnsi" w:hAnsiTheme="minorHAnsi" w:cstheme="minorHAnsi"/>
                <w:b/>
                <w:bCs/>
                <w:sz w:val="22"/>
                <w:szCs w:val="22"/>
              </w:rPr>
              <w:t>26,544</w:t>
            </w:r>
          </w:p>
        </w:tc>
        <w:tc>
          <w:tcPr>
            <w:tcW w:w="1134" w:type="dxa"/>
          </w:tcPr>
          <w:p w14:paraId="66B197C0" w14:textId="28900D4A" w:rsidR="001D52B1" w:rsidRPr="004A7D55" w:rsidRDefault="001D52B1" w:rsidP="004A7D55">
            <w:pPr>
              <w:pStyle w:val="TableCopy"/>
              <w:jc w:val="right"/>
              <w:rPr>
                <w:rFonts w:asciiTheme="minorHAnsi" w:hAnsiTheme="minorHAnsi" w:cstheme="minorHAnsi"/>
                <w:b/>
                <w:bCs/>
                <w:sz w:val="22"/>
                <w:szCs w:val="22"/>
              </w:rPr>
            </w:pPr>
            <w:r w:rsidRPr="004A7D55">
              <w:rPr>
                <w:rFonts w:asciiTheme="minorHAnsi" w:hAnsiTheme="minorHAnsi" w:cstheme="minorHAnsi"/>
                <w:b/>
                <w:bCs/>
                <w:sz w:val="22"/>
                <w:szCs w:val="22"/>
              </w:rPr>
              <w:t>23,224</w:t>
            </w:r>
          </w:p>
        </w:tc>
        <w:tc>
          <w:tcPr>
            <w:tcW w:w="1134" w:type="dxa"/>
          </w:tcPr>
          <w:p w14:paraId="46178D79" w14:textId="77777777" w:rsidR="001D52B1" w:rsidRPr="004A7D55" w:rsidRDefault="001D52B1" w:rsidP="004A7D55">
            <w:pPr>
              <w:pStyle w:val="TableCopy"/>
              <w:jc w:val="right"/>
              <w:rPr>
                <w:rFonts w:asciiTheme="minorHAnsi" w:hAnsiTheme="minorHAnsi" w:cstheme="minorHAnsi"/>
                <w:b/>
                <w:bCs/>
                <w:sz w:val="22"/>
                <w:szCs w:val="22"/>
              </w:rPr>
            </w:pPr>
            <w:r w:rsidRPr="004A7D55">
              <w:rPr>
                <w:rFonts w:asciiTheme="minorHAnsi" w:hAnsiTheme="minorHAnsi" w:cstheme="minorHAnsi"/>
                <w:b/>
                <w:bCs/>
                <w:sz w:val="22"/>
                <w:szCs w:val="22"/>
              </w:rPr>
              <w:t>(996)</w:t>
            </w:r>
          </w:p>
        </w:tc>
      </w:tr>
      <w:tr w:rsidR="00F56D2C" w:rsidRPr="004A7D55" w14:paraId="7D04B565" w14:textId="77777777" w:rsidTr="004A7D55">
        <w:trPr>
          <w:cantSplit/>
        </w:trPr>
        <w:tc>
          <w:tcPr>
            <w:tcW w:w="2689" w:type="dxa"/>
          </w:tcPr>
          <w:p w14:paraId="52121946" w14:textId="34497C98" w:rsidR="001D52B1" w:rsidRPr="004A7D55" w:rsidRDefault="001D52B1" w:rsidP="004A7D55">
            <w:pPr>
              <w:pStyle w:val="TableHeading"/>
              <w:rPr>
                <w:sz w:val="22"/>
                <w:szCs w:val="28"/>
              </w:rPr>
            </w:pPr>
            <w:r w:rsidRPr="004A7D55">
              <w:rPr>
                <w:sz w:val="22"/>
                <w:szCs w:val="28"/>
              </w:rPr>
              <w:t>Other economic flows included in net result</w:t>
            </w:r>
          </w:p>
        </w:tc>
        <w:tc>
          <w:tcPr>
            <w:tcW w:w="1417" w:type="dxa"/>
          </w:tcPr>
          <w:p w14:paraId="1B608021" w14:textId="77777777" w:rsidR="001D52B1" w:rsidRPr="004A7D55" w:rsidRDefault="001D52B1" w:rsidP="004A7D55">
            <w:pPr>
              <w:pStyle w:val="TableHeading"/>
              <w:jc w:val="right"/>
              <w:rPr>
                <w:sz w:val="22"/>
                <w:szCs w:val="28"/>
              </w:rPr>
            </w:pPr>
          </w:p>
        </w:tc>
        <w:tc>
          <w:tcPr>
            <w:tcW w:w="1418" w:type="dxa"/>
          </w:tcPr>
          <w:p w14:paraId="60202277" w14:textId="77777777" w:rsidR="001D52B1" w:rsidRPr="004A7D55" w:rsidRDefault="001D52B1" w:rsidP="004A7D55">
            <w:pPr>
              <w:pStyle w:val="TableHeading"/>
              <w:jc w:val="right"/>
              <w:rPr>
                <w:sz w:val="22"/>
                <w:szCs w:val="28"/>
              </w:rPr>
            </w:pPr>
          </w:p>
        </w:tc>
        <w:tc>
          <w:tcPr>
            <w:tcW w:w="1134" w:type="dxa"/>
          </w:tcPr>
          <w:p w14:paraId="168346AF" w14:textId="77777777" w:rsidR="001D52B1" w:rsidRPr="004A7D55" w:rsidRDefault="001D52B1" w:rsidP="004A7D55">
            <w:pPr>
              <w:pStyle w:val="TableHeading"/>
              <w:jc w:val="right"/>
              <w:rPr>
                <w:sz w:val="22"/>
                <w:szCs w:val="28"/>
              </w:rPr>
            </w:pPr>
          </w:p>
        </w:tc>
        <w:tc>
          <w:tcPr>
            <w:tcW w:w="1134" w:type="dxa"/>
          </w:tcPr>
          <w:p w14:paraId="453B66D0" w14:textId="77777777" w:rsidR="001D52B1" w:rsidRPr="004A7D55" w:rsidRDefault="001D52B1" w:rsidP="004A7D55">
            <w:pPr>
              <w:pStyle w:val="TableHeading"/>
              <w:jc w:val="right"/>
              <w:rPr>
                <w:sz w:val="22"/>
                <w:szCs w:val="28"/>
              </w:rPr>
            </w:pPr>
          </w:p>
        </w:tc>
        <w:tc>
          <w:tcPr>
            <w:tcW w:w="1134" w:type="dxa"/>
          </w:tcPr>
          <w:p w14:paraId="12E41F18" w14:textId="77777777" w:rsidR="001D52B1" w:rsidRPr="004A7D55" w:rsidRDefault="001D52B1" w:rsidP="004A7D55">
            <w:pPr>
              <w:pStyle w:val="TableHeading"/>
              <w:jc w:val="right"/>
              <w:rPr>
                <w:sz w:val="22"/>
                <w:szCs w:val="28"/>
              </w:rPr>
            </w:pPr>
          </w:p>
        </w:tc>
        <w:tc>
          <w:tcPr>
            <w:tcW w:w="1134" w:type="dxa"/>
          </w:tcPr>
          <w:p w14:paraId="548993EA" w14:textId="77777777" w:rsidR="001D52B1" w:rsidRPr="004A7D55" w:rsidRDefault="001D52B1" w:rsidP="004A7D55">
            <w:pPr>
              <w:pStyle w:val="TableHeading"/>
              <w:jc w:val="right"/>
              <w:rPr>
                <w:sz w:val="22"/>
                <w:szCs w:val="28"/>
              </w:rPr>
            </w:pPr>
          </w:p>
        </w:tc>
        <w:tc>
          <w:tcPr>
            <w:tcW w:w="1276" w:type="dxa"/>
          </w:tcPr>
          <w:p w14:paraId="3CFC5AB0" w14:textId="77777777" w:rsidR="001D52B1" w:rsidRPr="004A7D55" w:rsidRDefault="001D52B1" w:rsidP="004A7D55">
            <w:pPr>
              <w:pStyle w:val="TableHeading"/>
              <w:jc w:val="right"/>
              <w:rPr>
                <w:sz w:val="22"/>
                <w:szCs w:val="28"/>
              </w:rPr>
            </w:pPr>
          </w:p>
        </w:tc>
        <w:tc>
          <w:tcPr>
            <w:tcW w:w="1417" w:type="dxa"/>
          </w:tcPr>
          <w:p w14:paraId="382FF43F" w14:textId="77777777" w:rsidR="001D52B1" w:rsidRPr="004A7D55" w:rsidRDefault="001D52B1" w:rsidP="004A7D55">
            <w:pPr>
              <w:pStyle w:val="TableHeading"/>
              <w:jc w:val="right"/>
              <w:rPr>
                <w:sz w:val="22"/>
                <w:szCs w:val="28"/>
              </w:rPr>
            </w:pPr>
          </w:p>
        </w:tc>
        <w:tc>
          <w:tcPr>
            <w:tcW w:w="1134" w:type="dxa"/>
          </w:tcPr>
          <w:p w14:paraId="22B9D45A" w14:textId="77777777" w:rsidR="001D52B1" w:rsidRPr="004A7D55" w:rsidRDefault="001D52B1" w:rsidP="004A7D55">
            <w:pPr>
              <w:pStyle w:val="TableHeading"/>
              <w:jc w:val="right"/>
              <w:rPr>
                <w:sz w:val="22"/>
                <w:szCs w:val="28"/>
              </w:rPr>
            </w:pPr>
          </w:p>
        </w:tc>
        <w:tc>
          <w:tcPr>
            <w:tcW w:w="1134" w:type="dxa"/>
          </w:tcPr>
          <w:p w14:paraId="4E1454C4" w14:textId="77777777" w:rsidR="001D52B1" w:rsidRPr="004A7D55" w:rsidRDefault="001D52B1" w:rsidP="004A7D55">
            <w:pPr>
              <w:pStyle w:val="TableHeading"/>
              <w:jc w:val="right"/>
              <w:rPr>
                <w:sz w:val="22"/>
                <w:szCs w:val="28"/>
              </w:rPr>
            </w:pPr>
          </w:p>
        </w:tc>
      </w:tr>
      <w:tr w:rsidR="00F56D2C" w:rsidRPr="00F56D2C" w14:paraId="45E80B99" w14:textId="77777777" w:rsidTr="004A7D55">
        <w:trPr>
          <w:cantSplit/>
        </w:trPr>
        <w:tc>
          <w:tcPr>
            <w:tcW w:w="2689" w:type="dxa"/>
          </w:tcPr>
          <w:p w14:paraId="38AFEDDC" w14:textId="0CF2B788" w:rsidR="001D52B1" w:rsidRPr="00F56D2C" w:rsidRDefault="001D52B1" w:rsidP="00F56D2C">
            <w:pPr>
              <w:pStyle w:val="TableCopy"/>
              <w:rPr>
                <w:rFonts w:asciiTheme="minorHAnsi" w:hAnsiTheme="minorHAnsi" w:cstheme="minorHAnsi"/>
                <w:sz w:val="22"/>
                <w:szCs w:val="22"/>
              </w:rPr>
            </w:pPr>
            <w:r w:rsidRPr="00F56D2C">
              <w:rPr>
                <w:rFonts w:asciiTheme="minorHAnsi" w:hAnsiTheme="minorHAnsi" w:cstheme="minorHAnsi"/>
                <w:sz w:val="22"/>
                <w:szCs w:val="22"/>
              </w:rPr>
              <w:t>Net gains/(losses) on non-financial assets</w:t>
            </w:r>
          </w:p>
        </w:tc>
        <w:tc>
          <w:tcPr>
            <w:tcW w:w="1417" w:type="dxa"/>
          </w:tcPr>
          <w:p w14:paraId="5044E8AA" w14:textId="395A9019" w:rsidR="001D52B1" w:rsidRPr="00F56D2C" w:rsidRDefault="001D52B1" w:rsidP="004A7D55">
            <w:pPr>
              <w:pStyle w:val="TableCopy"/>
              <w:jc w:val="right"/>
              <w:rPr>
                <w:rFonts w:asciiTheme="minorHAnsi" w:hAnsiTheme="minorHAnsi" w:cstheme="minorHAnsi"/>
                <w:sz w:val="22"/>
                <w:szCs w:val="22"/>
              </w:rPr>
            </w:pPr>
            <w:r w:rsidRPr="00F56D2C">
              <w:rPr>
                <w:rFonts w:asciiTheme="minorHAnsi" w:hAnsiTheme="minorHAnsi" w:cstheme="minorHAnsi"/>
                <w:sz w:val="22"/>
                <w:szCs w:val="22"/>
              </w:rPr>
              <w:t>27</w:t>
            </w:r>
          </w:p>
        </w:tc>
        <w:tc>
          <w:tcPr>
            <w:tcW w:w="1418" w:type="dxa"/>
          </w:tcPr>
          <w:p w14:paraId="7E9E9021" w14:textId="6256DC1B" w:rsidR="001D52B1" w:rsidRPr="00F56D2C" w:rsidRDefault="001D52B1" w:rsidP="004A7D55">
            <w:pPr>
              <w:pStyle w:val="TableCopy"/>
              <w:jc w:val="right"/>
              <w:rPr>
                <w:rFonts w:asciiTheme="minorHAnsi" w:hAnsiTheme="minorHAnsi" w:cstheme="minorHAnsi"/>
                <w:sz w:val="22"/>
                <w:szCs w:val="22"/>
              </w:rPr>
            </w:pPr>
            <w:r w:rsidRPr="00F56D2C">
              <w:rPr>
                <w:rFonts w:asciiTheme="minorHAnsi" w:hAnsiTheme="minorHAnsi" w:cstheme="minorHAnsi"/>
                <w:sz w:val="22"/>
                <w:szCs w:val="22"/>
              </w:rPr>
              <w:t>12</w:t>
            </w:r>
          </w:p>
        </w:tc>
        <w:tc>
          <w:tcPr>
            <w:tcW w:w="1134" w:type="dxa"/>
          </w:tcPr>
          <w:p w14:paraId="054E63CF" w14:textId="3946ED86" w:rsidR="001D52B1" w:rsidRPr="00F56D2C" w:rsidRDefault="001D52B1" w:rsidP="004A7D55">
            <w:pPr>
              <w:pStyle w:val="TableCopy"/>
              <w:jc w:val="right"/>
              <w:rPr>
                <w:rFonts w:asciiTheme="minorHAnsi" w:hAnsiTheme="minorHAnsi" w:cstheme="minorHAnsi"/>
                <w:sz w:val="22"/>
                <w:szCs w:val="22"/>
              </w:rPr>
            </w:pPr>
            <w:r w:rsidRPr="00F56D2C">
              <w:rPr>
                <w:rFonts w:asciiTheme="minorHAnsi" w:hAnsiTheme="minorHAnsi" w:cstheme="minorHAnsi"/>
                <w:sz w:val="22"/>
                <w:szCs w:val="22"/>
              </w:rPr>
              <w:t>10</w:t>
            </w:r>
          </w:p>
        </w:tc>
        <w:tc>
          <w:tcPr>
            <w:tcW w:w="1134" w:type="dxa"/>
          </w:tcPr>
          <w:p w14:paraId="2B57BE70" w14:textId="7112EEDD" w:rsidR="001D52B1" w:rsidRPr="00F56D2C" w:rsidRDefault="001D52B1" w:rsidP="004A7D55">
            <w:pPr>
              <w:pStyle w:val="TableCopy"/>
              <w:jc w:val="right"/>
              <w:rPr>
                <w:rFonts w:asciiTheme="minorHAnsi" w:hAnsiTheme="minorHAnsi" w:cstheme="minorHAnsi"/>
                <w:sz w:val="22"/>
                <w:szCs w:val="22"/>
              </w:rPr>
            </w:pPr>
            <w:r w:rsidRPr="00F56D2C">
              <w:rPr>
                <w:rFonts w:asciiTheme="minorHAnsi" w:hAnsiTheme="minorHAnsi" w:cstheme="minorHAnsi"/>
                <w:sz w:val="22"/>
                <w:szCs w:val="22"/>
              </w:rPr>
              <w:t>8</w:t>
            </w:r>
          </w:p>
        </w:tc>
        <w:tc>
          <w:tcPr>
            <w:tcW w:w="1134" w:type="dxa"/>
          </w:tcPr>
          <w:p w14:paraId="6031980A" w14:textId="7E629588" w:rsidR="001D52B1" w:rsidRPr="00F56D2C" w:rsidRDefault="001D52B1" w:rsidP="004A7D55">
            <w:pPr>
              <w:pStyle w:val="TableCopy"/>
              <w:jc w:val="right"/>
              <w:rPr>
                <w:rFonts w:asciiTheme="minorHAnsi" w:hAnsiTheme="minorHAnsi" w:cstheme="minorHAnsi"/>
                <w:sz w:val="22"/>
                <w:szCs w:val="22"/>
              </w:rPr>
            </w:pPr>
            <w:r w:rsidRPr="00F56D2C">
              <w:rPr>
                <w:rFonts w:asciiTheme="minorHAnsi" w:hAnsiTheme="minorHAnsi" w:cstheme="minorHAnsi"/>
                <w:sz w:val="22"/>
                <w:szCs w:val="22"/>
              </w:rPr>
              <w:t>1</w:t>
            </w:r>
          </w:p>
        </w:tc>
        <w:tc>
          <w:tcPr>
            <w:tcW w:w="1134" w:type="dxa"/>
          </w:tcPr>
          <w:p w14:paraId="69A2B12A" w14:textId="270F8F59" w:rsidR="001D52B1" w:rsidRPr="00F56D2C" w:rsidRDefault="001D52B1" w:rsidP="004A7D55">
            <w:pPr>
              <w:pStyle w:val="TableCopy"/>
              <w:jc w:val="right"/>
              <w:rPr>
                <w:rFonts w:asciiTheme="minorHAnsi" w:hAnsiTheme="minorHAnsi" w:cstheme="minorHAnsi"/>
                <w:sz w:val="22"/>
                <w:szCs w:val="22"/>
              </w:rPr>
            </w:pPr>
            <w:r w:rsidRPr="00F56D2C">
              <w:rPr>
                <w:rFonts w:asciiTheme="minorHAnsi" w:hAnsiTheme="minorHAnsi" w:cstheme="minorHAnsi"/>
                <w:sz w:val="22"/>
                <w:szCs w:val="22"/>
              </w:rPr>
              <w:t>3</w:t>
            </w:r>
          </w:p>
        </w:tc>
        <w:tc>
          <w:tcPr>
            <w:tcW w:w="1276" w:type="dxa"/>
          </w:tcPr>
          <w:p w14:paraId="217389ED" w14:textId="1AFB1670" w:rsidR="001D52B1" w:rsidRPr="00F56D2C" w:rsidRDefault="001D52B1" w:rsidP="004A7D55">
            <w:pPr>
              <w:pStyle w:val="TableCopy"/>
              <w:jc w:val="right"/>
              <w:rPr>
                <w:rFonts w:asciiTheme="minorHAnsi" w:hAnsiTheme="minorHAnsi" w:cstheme="minorHAnsi"/>
                <w:sz w:val="22"/>
                <w:szCs w:val="22"/>
              </w:rPr>
            </w:pPr>
            <w:r w:rsidRPr="00F56D2C">
              <w:rPr>
                <w:rFonts w:asciiTheme="minorHAnsi" w:hAnsiTheme="minorHAnsi" w:cstheme="minorHAnsi"/>
                <w:sz w:val="22"/>
                <w:szCs w:val="22"/>
              </w:rPr>
              <w:t>392</w:t>
            </w:r>
          </w:p>
        </w:tc>
        <w:tc>
          <w:tcPr>
            <w:tcW w:w="1417" w:type="dxa"/>
          </w:tcPr>
          <w:p w14:paraId="687F11A0" w14:textId="2D9876A5" w:rsidR="001D52B1" w:rsidRPr="00F56D2C" w:rsidRDefault="001D52B1" w:rsidP="004A7D55">
            <w:pPr>
              <w:pStyle w:val="TableCopy"/>
              <w:jc w:val="right"/>
              <w:rPr>
                <w:rFonts w:asciiTheme="minorHAnsi" w:hAnsiTheme="minorHAnsi" w:cstheme="minorHAnsi"/>
                <w:sz w:val="22"/>
                <w:szCs w:val="22"/>
              </w:rPr>
            </w:pPr>
            <w:r w:rsidRPr="00F56D2C">
              <w:rPr>
                <w:rFonts w:asciiTheme="minorHAnsi" w:hAnsiTheme="minorHAnsi" w:cstheme="minorHAnsi"/>
                <w:sz w:val="22"/>
                <w:szCs w:val="22"/>
              </w:rPr>
              <w:t>192</w:t>
            </w:r>
          </w:p>
        </w:tc>
        <w:tc>
          <w:tcPr>
            <w:tcW w:w="1134" w:type="dxa"/>
          </w:tcPr>
          <w:p w14:paraId="6DD420BB" w14:textId="4D0C5502" w:rsidR="001D52B1" w:rsidRPr="00F56D2C" w:rsidRDefault="001D52B1" w:rsidP="004A7D55">
            <w:pPr>
              <w:pStyle w:val="TableCopy"/>
              <w:jc w:val="right"/>
              <w:rPr>
                <w:rFonts w:asciiTheme="minorHAnsi" w:hAnsiTheme="minorHAnsi" w:cstheme="minorHAnsi"/>
                <w:sz w:val="22"/>
                <w:szCs w:val="22"/>
              </w:rPr>
            </w:pPr>
            <w:r w:rsidRPr="00F56D2C">
              <w:rPr>
                <w:rFonts w:asciiTheme="minorHAnsi" w:hAnsiTheme="minorHAnsi" w:cstheme="minorHAnsi"/>
                <w:sz w:val="22"/>
                <w:szCs w:val="22"/>
              </w:rPr>
              <w:t>158</w:t>
            </w:r>
          </w:p>
        </w:tc>
        <w:tc>
          <w:tcPr>
            <w:tcW w:w="1134" w:type="dxa"/>
          </w:tcPr>
          <w:p w14:paraId="7DF89E91" w14:textId="6D2608FD" w:rsidR="001D52B1" w:rsidRPr="00F56D2C" w:rsidRDefault="001D52B1" w:rsidP="004A7D55">
            <w:pPr>
              <w:pStyle w:val="TableCopy"/>
              <w:jc w:val="right"/>
              <w:rPr>
                <w:rFonts w:asciiTheme="minorHAnsi" w:hAnsiTheme="minorHAnsi" w:cstheme="minorHAnsi"/>
                <w:sz w:val="22"/>
                <w:szCs w:val="22"/>
              </w:rPr>
            </w:pPr>
            <w:r w:rsidRPr="00F56D2C">
              <w:rPr>
                <w:rFonts w:asciiTheme="minorHAnsi" w:hAnsiTheme="minorHAnsi" w:cstheme="minorHAnsi"/>
                <w:sz w:val="22"/>
                <w:szCs w:val="22"/>
              </w:rPr>
              <w:t>76</w:t>
            </w:r>
          </w:p>
        </w:tc>
      </w:tr>
      <w:tr w:rsidR="00F56D2C" w:rsidRPr="00F56D2C" w14:paraId="035C7CF7" w14:textId="77777777" w:rsidTr="004A7D55">
        <w:trPr>
          <w:cantSplit/>
        </w:trPr>
        <w:tc>
          <w:tcPr>
            <w:tcW w:w="2689" w:type="dxa"/>
          </w:tcPr>
          <w:p w14:paraId="7211CE36" w14:textId="70A8A789" w:rsidR="001D52B1" w:rsidRPr="00F56D2C" w:rsidRDefault="001D52B1" w:rsidP="00F56D2C">
            <w:pPr>
              <w:pStyle w:val="TableCopy"/>
              <w:rPr>
                <w:rFonts w:asciiTheme="minorHAnsi" w:hAnsiTheme="minorHAnsi" w:cstheme="minorHAnsi"/>
                <w:sz w:val="22"/>
                <w:szCs w:val="22"/>
              </w:rPr>
            </w:pPr>
            <w:r w:rsidRPr="00F56D2C">
              <w:rPr>
                <w:rFonts w:asciiTheme="minorHAnsi" w:hAnsiTheme="minorHAnsi" w:cstheme="minorHAnsi"/>
                <w:sz w:val="22"/>
                <w:szCs w:val="22"/>
              </w:rPr>
              <w:t>Net (losses)/gains on financial instruments</w:t>
            </w:r>
          </w:p>
        </w:tc>
        <w:tc>
          <w:tcPr>
            <w:tcW w:w="1417" w:type="dxa"/>
          </w:tcPr>
          <w:p w14:paraId="3020E175" w14:textId="45AF66B8" w:rsidR="001D52B1" w:rsidRPr="00F56D2C" w:rsidRDefault="001D52B1" w:rsidP="004A7D55">
            <w:pPr>
              <w:pStyle w:val="TableCopy"/>
              <w:jc w:val="right"/>
              <w:rPr>
                <w:rFonts w:asciiTheme="minorHAnsi" w:hAnsiTheme="minorHAnsi" w:cstheme="minorHAnsi"/>
                <w:sz w:val="22"/>
                <w:szCs w:val="22"/>
              </w:rPr>
            </w:pPr>
            <w:r w:rsidRPr="00F56D2C">
              <w:rPr>
                <w:rFonts w:asciiTheme="minorHAnsi" w:hAnsiTheme="minorHAnsi" w:cstheme="minorHAnsi"/>
                <w:sz w:val="22"/>
                <w:szCs w:val="22"/>
              </w:rPr>
              <w:t>–</w:t>
            </w:r>
          </w:p>
        </w:tc>
        <w:tc>
          <w:tcPr>
            <w:tcW w:w="1418" w:type="dxa"/>
          </w:tcPr>
          <w:p w14:paraId="78761872" w14:textId="75047D27" w:rsidR="001D52B1" w:rsidRPr="00F56D2C" w:rsidRDefault="001D52B1" w:rsidP="004A7D55">
            <w:pPr>
              <w:pStyle w:val="TableCopy"/>
              <w:jc w:val="right"/>
              <w:rPr>
                <w:rFonts w:asciiTheme="minorHAnsi" w:hAnsiTheme="minorHAnsi" w:cstheme="minorHAnsi"/>
                <w:sz w:val="22"/>
                <w:szCs w:val="22"/>
              </w:rPr>
            </w:pPr>
            <w:r w:rsidRPr="00F56D2C">
              <w:rPr>
                <w:rFonts w:asciiTheme="minorHAnsi" w:hAnsiTheme="minorHAnsi" w:cstheme="minorHAnsi"/>
                <w:sz w:val="22"/>
                <w:szCs w:val="22"/>
              </w:rPr>
              <w:t>1</w:t>
            </w:r>
          </w:p>
        </w:tc>
        <w:tc>
          <w:tcPr>
            <w:tcW w:w="1134" w:type="dxa"/>
          </w:tcPr>
          <w:p w14:paraId="1911132E" w14:textId="2F90B9BF" w:rsidR="001D52B1" w:rsidRPr="00F56D2C" w:rsidRDefault="001D52B1" w:rsidP="004A7D55">
            <w:pPr>
              <w:pStyle w:val="TableCopy"/>
              <w:jc w:val="right"/>
              <w:rPr>
                <w:rFonts w:asciiTheme="minorHAnsi" w:hAnsiTheme="minorHAnsi" w:cstheme="minorHAnsi"/>
                <w:sz w:val="22"/>
                <w:szCs w:val="22"/>
              </w:rPr>
            </w:pPr>
            <w:r w:rsidRPr="00F56D2C">
              <w:rPr>
                <w:rFonts w:asciiTheme="minorHAnsi" w:hAnsiTheme="minorHAnsi" w:cstheme="minorHAnsi"/>
                <w:sz w:val="22"/>
                <w:szCs w:val="22"/>
              </w:rPr>
              <w:t>–</w:t>
            </w:r>
          </w:p>
        </w:tc>
        <w:tc>
          <w:tcPr>
            <w:tcW w:w="1134" w:type="dxa"/>
          </w:tcPr>
          <w:p w14:paraId="3F198568" w14:textId="5E328F94" w:rsidR="001D52B1" w:rsidRPr="00F56D2C" w:rsidRDefault="001D52B1" w:rsidP="004A7D55">
            <w:pPr>
              <w:pStyle w:val="TableCopy"/>
              <w:jc w:val="right"/>
              <w:rPr>
                <w:rFonts w:asciiTheme="minorHAnsi" w:hAnsiTheme="minorHAnsi" w:cstheme="minorHAnsi"/>
                <w:sz w:val="22"/>
                <w:szCs w:val="22"/>
              </w:rPr>
            </w:pPr>
            <w:r w:rsidRPr="00F56D2C">
              <w:rPr>
                <w:rFonts w:asciiTheme="minorHAnsi" w:hAnsiTheme="minorHAnsi" w:cstheme="minorHAnsi"/>
                <w:sz w:val="22"/>
                <w:szCs w:val="22"/>
              </w:rPr>
              <w:t>1</w:t>
            </w:r>
          </w:p>
        </w:tc>
        <w:tc>
          <w:tcPr>
            <w:tcW w:w="1134" w:type="dxa"/>
          </w:tcPr>
          <w:p w14:paraId="511FBB60" w14:textId="2706FD22" w:rsidR="001D52B1" w:rsidRPr="00F56D2C" w:rsidRDefault="001D52B1" w:rsidP="004A7D55">
            <w:pPr>
              <w:pStyle w:val="TableCopy"/>
              <w:jc w:val="right"/>
              <w:rPr>
                <w:rFonts w:asciiTheme="minorHAnsi" w:hAnsiTheme="minorHAnsi" w:cstheme="minorHAnsi"/>
                <w:sz w:val="22"/>
                <w:szCs w:val="22"/>
              </w:rPr>
            </w:pPr>
            <w:r w:rsidRPr="00F56D2C">
              <w:rPr>
                <w:rFonts w:asciiTheme="minorHAnsi" w:hAnsiTheme="minorHAnsi" w:cstheme="minorHAnsi"/>
                <w:sz w:val="22"/>
                <w:szCs w:val="22"/>
              </w:rPr>
              <w:t>–</w:t>
            </w:r>
          </w:p>
        </w:tc>
        <w:tc>
          <w:tcPr>
            <w:tcW w:w="1134" w:type="dxa"/>
          </w:tcPr>
          <w:p w14:paraId="49642E7C" w14:textId="2915CC22" w:rsidR="001D52B1" w:rsidRPr="00F56D2C" w:rsidRDefault="001D52B1" w:rsidP="004A7D55">
            <w:pPr>
              <w:pStyle w:val="TableCopy"/>
              <w:jc w:val="right"/>
              <w:rPr>
                <w:rFonts w:asciiTheme="minorHAnsi" w:hAnsiTheme="minorHAnsi" w:cstheme="minorHAnsi"/>
                <w:sz w:val="22"/>
                <w:szCs w:val="22"/>
              </w:rPr>
            </w:pPr>
            <w:r w:rsidRPr="00F56D2C">
              <w:rPr>
                <w:rFonts w:asciiTheme="minorHAnsi" w:hAnsiTheme="minorHAnsi" w:cstheme="minorHAnsi"/>
                <w:sz w:val="22"/>
                <w:szCs w:val="22"/>
              </w:rPr>
              <w:t>–</w:t>
            </w:r>
          </w:p>
        </w:tc>
        <w:tc>
          <w:tcPr>
            <w:tcW w:w="1276" w:type="dxa"/>
          </w:tcPr>
          <w:p w14:paraId="2358385F" w14:textId="77777777" w:rsidR="001D52B1" w:rsidRPr="00F56D2C" w:rsidRDefault="001D52B1" w:rsidP="004A7D55">
            <w:pPr>
              <w:pStyle w:val="TableCopy"/>
              <w:jc w:val="right"/>
              <w:rPr>
                <w:rFonts w:asciiTheme="minorHAnsi" w:hAnsiTheme="minorHAnsi" w:cstheme="minorHAnsi"/>
                <w:sz w:val="22"/>
                <w:szCs w:val="22"/>
              </w:rPr>
            </w:pPr>
            <w:r w:rsidRPr="00F56D2C">
              <w:rPr>
                <w:rFonts w:asciiTheme="minorHAnsi" w:hAnsiTheme="minorHAnsi" w:cstheme="minorHAnsi"/>
                <w:sz w:val="22"/>
                <w:szCs w:val="22"/>
              </w:rPr>
              <w:t>(2,047)</w:t>
            </w:r>
          </w:p>
        </w:tc>
        <w:tc>
          <w:tcPr>
            <w:tcW w:w="1417" w:type="dxa"/>
          </w:tcPr>
          <w:p w14:paraId="0A774884" w14:textId="77777777" w:rsidR="001D52B1" w:rsidRPr="00F56D2C" w:rsidRDefault="001D52B1" w:rsidP="004A7D55">
            <w:pPr>
              <w:pStyle w:val="TableCopy"/>
              <w:jc w:val="right"/>
              <w:rPr>
                <w:rFonts w:asciiTheme="minorHAnsi" w:hAnsiTheme="minorHAnsi" w:cstheme="minorHAnsi"/>
                <w:sz w:val="22"/>
                <w:szCs w:val="22"/>
              </w:rPr>
            </w:pPr>
            <w:r w:rsidRPr="00F56D2C">
              <w:rPr>
                <w:rFonts w:asciiTheme="minorHAnsi" w:hAnsiTheme="minorHAnsi" w:cstheme="minorHAnsi"/>
                <w:sz w:val="22"/>
                <w:szCs w:val="22"/>
              </w:rPr>
              <w:t>(21,828)</w:t>
            </w:r>
          </w:p>
        </w:tc>
        <w:tc>
          <w:tcPr>
            <w:tcW w:w="1134" w:type="dxa"/>
          </w:tcPr>
          <w:p w14:paraId="1D25A5AE" w14:textId="77777777" w:rsidR="001D52B1" w:rsidRPr="00F56D2C" w:rsidRDefault="001D52B1" w:rsidP="004A7D55">
            <w:pPr>
              <w:pStyle w:val="TableCopy"/>
              <w:jc w:val="right"/>
              <w:rPr>
                <w:rFonts w:asciiTheme="minorHAnsi" w:hAnsiTheme="minorHAnsi" w:cstheme="minorHAnsi"/>
                <w:sz w:val="22"/>
                <w:szCs w:val="22"/>
              </w:rPr>
            </w:pPr>
            <w:r w:rsidRPr="00F56D2C">
              <w:rPr>
                <w:rFonts w:asciiTheme="minorHAnsi" w:hAnsiTheme="minorHAnsi" w:cstheme="minorHAnsi"/>
                <w:sz w:val="22"/>
                <w:szCs w:val="22"/>
              </w:rPr>
              <w:t>(949)</w:t>
            </w:r>
          </w:p>
        </w:tc>
        <w:tc>
          <w:tcPr>
            <w:tcW w:w="1134" w:type="dxa"/>
          </w:tcPr>
          <w:p w14:paraId="4851C0C1" w14:textId="77777777" w:rsidR="001D52B1" w:rsidRPr="00F56D2C" w:rsidRDefault="001D52B1" w:rsidP="004A7D55">
            <w:pPr>
              <w:pStyle w:val="TableCopy"/>
              <w:jc w:val="right"/>
              <w:rPr>
                <w:rFonts w:asciiTheme="minorHAnsi" w:hAnsiTheme="minorHAnsi" w:cstheme="minorHAnsi"/>
                <w:sz w:val="22"/>
                <w:szCs w:val="22"/>
              </w:rPr>
            </w:pPr>
            <w:r w:rsidRPr="00F56D2C">
              <w:rPr>
                <w:rFonts w:asciiTheme="minorHAnsi" w:hAnsiTheme="minorHAnsi" w:cstheme="minorHAnsi"/>
                <w:sz w:val="22"/>
                <w:szCs w:val="22"/>
              </w:rPr>
              <w:t>(4,414)</w:t>
            </w:r>
          </w:p>
        </w:tc>
      </w:tr>
      <w:tr w:rsidR="00F56D2C" w:rsidRPr="00F56D2C" w14:paraId="15C1D068" w14:textId="77777777" w:rsidTr="004A7D55">
        <w:trPr>
          <w:cantSplit/>
        </w:trPr>
        <w:tc>
          <w:tcPr>
            <w:tcW w:w="2689" w:type="dxa"/>
          </w:tcPr>
          <w:p w14:paraId="0E32C2D6" w14:textId="4D77D3B0" w:rsidR="001D52B1" w:rsidRPr="00F56D2C" w:rsidRDefault="001D52B1" w:rsidP="00F56D2C">
            <w:pPr>
              <w:pStyle w:val="TableCopy"/>
              <w:rPr>
                <w:rFonts w:asciiTheme="minorHAnsi" w:hAnsiTheme="minorHAnsi" w:cstheme="minorHAnsi"/>
                <w:sz w:val="22"/>
                <w:szCs w:val="22"/>
              </w:rPr>
            </w:pPr>
            <w:r w:rsidRPr="00F56D2C">
              <w:rPr>
                <w:rFonts w:asciiTheme="minorHAnsi" w:hAnsiTheme="minorHAnsi" w:cstheme="minorHAnsi"/>
                <w:sz w:val="22"/>
                <w:szCs w:val="22"/>
              </w:rPr>
              <w:t>Other gains from other economic flows</w:t>
            </w:r>
          </w:p>
        </w:tc>
        <w:tc>
          <w:tcPr>
            <w:tcW w:w="1417" w:type="dxa"/>
          </w:tcPr>
          <w:p w14:paraId="4C693A92" w14:textId="4444F3F7" w:rsidR="001D52B1" w:rsidRPr="00F56D2C" w:rsidRDefault="001D52B1" w:rsidP="004A7D55">
            <w:pPr>
              <w:pStyle w:val="TableCopy"/>
              <w:jc w:val="right"/>
              <w:rPr>
                <w:rFonts w:asciiTheme="minorHAnsi" w:hAnsiTheme="minorHAnsi" w:cstheme="minorHAnsi"/>
                <w:sz w:val="22"/>
                <w:szCs w:val="22"/>
              </w:rPr>
            </w:pPr>
            <w:r w:rsidRPr="00F56D2C">
              <w:rPr>
                <w:rFonts w:asciiTheme="minorHAnsi" w:hAnsiTheme="minorHAnsi" w:cstheme="minorHAnsi"/>
                <w:sz w:val="22"/>
                <w:szCs w:val="22"/>
              </w:rPr>
              <w:t>16</w:t>
            </w:r>
          </w:p>
        </w:tc>
        <w:tc>
          <w:tcPr>
            <w:tcW w:w="1418" w:type="dxa"/>
          </w:tcPr>
          <w:p w14:paraId="7BF8E108" w14:textId="24502CBD" w:rsidR="001D52B1" w:rsidRPr="00F56D2C" w:rsidRDefault="001D52B1" w:rsidP="004A7D55">
            <w:pPr>
              <w:pStyle w:val="TableCopy"/>
              <w:jc w:val="right"/>
              <w:rPr>
                <w:rFonts w:asciiTheme="minorHAnsi" w:hAnsiTheme="minorHAnsi" w:cstheme="minorHAnsi"/>
                <w:sz w:val="22"/>
                <w:szCs w:val="22"/>
              </w:rPr>
            </w:pPr>
            <w:r w:rsidRPr="00F56D2C">
              <w:rPr>
                <w:rFonts w:asciiTheme="minorHAnsi" w:hAnsiTheme="minorHAnsi" w:cstheme="minorHAnsi"/>
                <w:sz w:val="22"/>
                <w:szCs w:val="22"/>
              </w:rPr>
              <w:t>101</w:t>
            </w:r>
          </w:p>
        </w:tc>
        <w:tc>
          <w:tcPr>
            <w:tcW w:w="1134" w:type="dxa"/>
          </w:tcPr>
          <w:p w14:paraId="7C4BCB32" w14:textId="32D1189E" w:rsidR="001D52B1" w:rsidRPr="00F56D2C" w:rsidRDefault="001D52B1" w:rsidP="004A7D55">
            <w:pPr>
              <w:pStyle w:val="TableCopy"/>
              <w:jc w:val="right"/>
              <w:rPr>
                <w:rFonts w:asciiTheme="minorHAnsi" w:hAnsiTheme="minorHAnsi" w:cstheme="minorHAnsi"/>
                <w:sz w:val="22"/>
                <w:szCs w:val="22"/>
              </w:rPr>
            </w:pPr>
            <w:r w:rsidRPr="00F56D2C">
              <w:rPr>
                <w:rFonts w:asciiTheme="minorHAnsi" w:hAnsiTheme="minorHAnsi" w:cstheme="minorHAnsi"/>
                <w:sz w:val="22"/>
                <w:szCs w:val="22"/>
              </w:rPr>
              <w:t>3</w:t>
            </w:r>
          </w:p>
        </w:tc>
        <w:tc>
          <w:tcPr>
            <w:tcW w:w="1134" w:type="dxa"/>
          </w:tcPr>
          <w:p w14:paraId="02BF2A6A" w14:textId="1AAA2397" w:rsidR="001D52B1" w:rsidRPr="00F56D2C" w:rsidRDefault="001D52B1" w:rsidP="004A7D55">
            <w:pPr>
              <w:pStyle w:val="TableCopy"/>
              <w:jc w:val="right"/>
              <w:rPr>
                <w:rFonts w:asciiTheme="minorHAnsi" w:hAnsiTheme="minorHAnsi" w:cstheme="minorHAnsi"/>
                <w:sz w:val="22"/>
                <w:szCs w:val="22"/>
              </w:rPr>
            </w:pPr>
            <w:r w:rsidRPr="00F56D2C">
              <w:rPr>
                <w:rFonts w:asciiTheme="minorHAnsi" w:hAnsiTheme="minorHAnsi" w:cstheme="minorHAnsi"/>
                <w:sz w:val="22"/>
                <w:szCs w:val="22"/>
              </w:rPr>
              <w:t>32</w:t>
            </w:r>
          </w:p>
        </w:tc>
        <w:tc>
          <w:tcPr>
            <w:tcW w:w="1134" w:type="dxa"/>
          </w:tcPr>
          <w:p w14:paraId="7ACAD1B0" w14:textId="0C24288F" w:rsidR="001D52B1" w:rsidRPr="00F56D2C" w:rsidRDefault="001D52B1" w:rsidP="004A7D55">
            <w:pPr>
              <w:pStyle w:val="TableCopy"/>
              <w:jc w:val="right"/>
              <w:rPr>
                <w:rFonts w:asciiTheme="minorHAnsi" w:hAnsiTheme="minorHAnsi" w:cstheme="minorHAnsi"/>
                <w:sz w:val="22"/>
                <w:szCs w:val="22"/>
              </w:rPr>
            </w:pPr>
            <w:r w:rsidRPr="00F56D2C">
              <w:rPr>
                <w:rFonts w:asciiTheme="minorHAnsi" w:hAnsiTheme="minorHAnsi" w:cstheme="minorHAnsi"/>
                <w:sz w:val="22"/>
                <w:szCs w:val="22"/>
              </w:rPr>
              <w:t>2</w:t>
            </w:r>
          </w:p>
        </w:tc>
        <w:tc>
          <w:tcPr>
            <w:tcW w:w="1134" w:type="dxa"/>
          </w:tcPr>
          <w:p w14:paraId="51DB3B15" w14:textId="62349B1D" w:rsidR="001D52B1" w:rsidRPr="00F56D2C" w:rsidRDefault="001D52B1" w:rsidP="004A7D55">
            <w:pPr>
              <w:pStyle w:val="TableCopy"/>
              <w:jc w:val="right"/>
              <w:rPr>
                <w:rFonts w:asciiTheme="minorHAnsi" w:hAnsiTheme="minorHAnsi" w:cstheme="minorHAnsi"/>
                <w:sz w:val="22"/>
                <w:szCs w:val="22"/>
              </w:rPr>
            </w:pPr>
            <w:r w:rsidRPr="00F56D2C">
              <w:rPr>
                <w:rFonts w:asciiTheme="minorHAnsi" w:hAnsiTheme="minorHAnsi" w:cstheme="minorHAnsi"/>
                <w:sz w:val="22"/>
                <w:szCs w:val="22"/>
              </w:rPr>
              <w:t>11</w:t>
            </w:r>
          </w:p>
        </w:tc>
        <w:tc>
          <w:tcPr>
            <w:tcW w:w="1276" w:type="dxa"/>
          </w:tcPr>
          <w:p w14:paraId="627685FE" w14:textId="172F84F9" w:rsidR="001D52B1" w:rsidRPr="00F56D2C" w:rsidRDefault="001D52B1" w:rsidP="004A7D55">
            <w:pPr>
              <w:pStyle w:val="TableCopy"/>
              <w:jc w:val="right"/>
              <w:rPr>
                <w:rFonts w:asciiTheme="minorHAnsi" w:hAnsiTheme="minorHAnsi" w:cstheme="minorHAnsi"/>
                <w:sz w:val="22"/>
                <w:szCs w:val="22"/>
              </w:rPr>
            </w:pPr>
            <w:r w:rsidRPr="00F56D2C">
              <w:rPr>
                <w:rFonts w:asciiTheme="minorHAnsi" w:hAnsiTheme="minorHAnsi" w:cstheme="minorHAnsi"/>
                <w:sz w:val="22"/>
                <w:szCs w:val="22"/>
              </w:rPr>
              <w:t>42</w:t>
            </w:r>
          </w:p>
        </w:tc>
        <w:tc>
          <w:tcPr>
            <w:tcW w:w="1417" w:type="dxa"/>
          </w:tcPr>
          <w:p w14:paraId="77FF5AA7" w14:textId="150D0B58" w:rsidR="001D52B1" w:rsidRPr="00F56D2C" w:rsidRDefault="001D52B1" w:rsidP="004A7D55">
            <w:pPr>
              <w:pStyle w:val="TableCopy"/>
              <w:jc w:val="right"/>
              <w:rPr>
                <w:rFonts w:asciiTheme="minorHAnsi" w:hAnsiTheme="minorHAnsi" w:cstheme="minorHAnsi"/>
                <w:sz w:val="22"/>
                <w:szCs w:val="22"/>
              </w:rPr>
            </w:pPr>
            <w:r w:rsidRPr="00F56D2C">
              <w:rPr>
                <w:rFonts w:asciiTheme="minorHAnsi" w:hAnsiTheme="minorHAnsi" w:cstheme="minorHAnsi"/>
                <w:sz w:val="22"/>
                <w:szCs w:val="22"/>
              </w:rPr>
              <w:t>356</w:t>
            </w:r>
          </w:p>
        </w:tc>
        <w:tc>
          <w:tcPr>
            <w:tcW w:w="1134" w:type="dxa"/>
          </w:tcPr>
          <w:p w14:paraId="1A45C2C3" w14:textId="3078DC00" w:rsidR="001D52B1" w:rsidRPr="00F56D2C" w:rsidRDefault="001D52B1" w:rsidP="004A7D55">
            <w:pPr>
              <w:pStyle w:val="TableCopy"/>
              <w:jc w:val="right"/>
              <w:rPr>
                <w:rFonts w:asciiTheme="minorHAnsi" w:hAnsiTheme="minorHAnsi" w:cstheme="minorHAnsi"/>
                <w:sz w:val="22"/>
                <w:szCs w:val="22"/>
              </w:rPr>
            </w:pPr>
            <w:r w:rsidRPr="00F56D2C">
              <w:rPr>
                <w:rFonts w:asciiTheme="minorHAnsi" w:hAnsiTheme="minorHAnsi" w:cstheme="minorHAnsi"/>
                <w:sz w:val="22"/>
                <w:szCs w:val="22"/>
              </w:rPr>
              <w:t>44</w:t>
            </w:r>
          </w:p>
        </w:tc>
        <w:tc>
          <w:tcPr>
            <w:tcW w:w="1134" w:type="dxa"/>
          </w:tcPr>
          <w:p w14:paraId="014D83B1" w14:textId="279CCC36" w:rsidR="001D52B1" w:rsidRPr="00F56D2C" w:rsidRDefault="001D52B1" w:rsidP="004A7D55">
            <w:pPr>
              <w:pStyle w:val="TableCopy"/>
              <w:jc w:val="right"/>
              <w:rPr>
                <w:rFonts w:asciiTheme="minorHAnsi" w:hAnsiTheme="minorHAnsi" w:cstheme="minorHAnsi"/>
                <w:sz w:val="22"/>
                <w:szCs w:val="22"/>
              </w:rPr>
            </w:pPr>
            <w:r w:rsidRPr="00F56D2C">
              <w:rPr>
                <w:rFonts w:asciiTheme="minorHAnsi" w:hAnsiTheme="minorHAnsi" w:cstheme="minorHAnsi"/>
                <w:sz w:val="22"/>
                <w:szCs w:val="22"/>
              </w:rPr>
              <w:t>295</w:t>
            </w:r>
          </w:p>
        </w:tc>
      </w:tr>
      <w:tr w:rsidR="00F56D2C" w:rsidRPr="004A7D55" w14:paraId="165E7431" w14:textId="77777777" w:rsidTr="004A7D55">
        <w:trPr>
          <w:cantSplit/>
        </w:trPr>
        <w:tc>
          <w:tcPr>
            <w:tcW w:w="2689" w:type="dxa"/>
          </w:tcPr>
          <w:p w14:paraId="4764D49D" w14:textId="558DF6E5" w:rsidR="001D52B1" w:rsidRPr="004A7D55" w:rsidRDefault="001D52B1" w:rsidP="00F56D2C">
            <w:pPr>
              <w:pStyle w:val="TableCopy"/>
              <w:rPr>
                <w:rFonts w:asciiTheme="minorHAnsi" w:hAnsiTheme="minorHAnsi" w:cstheme="minorHAnsi"/>
                <w:b/>
                <w:bCs/>
                <w:sz w:val="22"/>
                <w:szCs w:val="22"/>
              </w:rPr>
            </w:pPr>
            <w:r w:rsidRPr="004A7D55">
              <w:rPr>
                <w:rFonts w:asciiTheme="minorHAnsi" w:hAnsiTheme="minorHAnsi" w:cstheme="minorHAnsi"/>
                <w:b/>
                <w:bCs/>
                <w:sz w:val="22"/>
                <w:szCs w:val="22"/>
              </w:rPr>
              <w:t>Total other economic flows included in net result</w:t>
            </w:r>
          </w:p>
        </w:tc>
        <w:tc>
          <w:tcPr>
            <w:tcW w:w="1417" w:type="dxa"/>
          </w:tcPr>
          <w:p w14:paraId="023D5E2C" w14:textId="4552EFC9" w:rsidR="001D52B1" w:rsidRPr="004A7D55" w:rsidRDefault="001D52B1" w:rsidP="004A7D55">
            <w:pPr>
              <w:pStyle w:val="TableCopy"/>
              <w:jc w:val="right"/>
              <w:rPr>
                <w:rFonts w:asciiTheme="minorHAnsi" w:hAnsiTheme="minorHAnsi" w:cstheme="minorHAnsi"/>
                <w:b/>
                <w:bCs/>
                <w:sz w:val="22"/>
                <w:szCs w:val="22"/>
              </w:rPr>
            </w:pPr>
            <w:r w:rsidRPr="004A7D55">
              <w:rPr>
                <w:rFonts w:asciiTheme="minorHAnsi" w:hAnsiTheme="minorHAnsi" w:cstheme="minorHAnsi"/>
                <w:b/>
                <w:bCs/>
                <w:sz w:val="22"/>
                <w:szCs w:val="22"/>
              </w:rPr>
              <w:t>42</w:t>
            </w:r>
          </w:p>
        </w:tc>
        <w:tc>
          <w:tcPr>
            <w:tcW w:w="1418" w:type="dxa"/>
          </w:tcPr>
          <w:p w14:paraId="07527296" w14:textId="19C5C664" w:rsidR="001D52B1" w:rsidRPr="004A7D55" w:rsidRDefault="001D52B1" w:rsidP="004A7D55">
            <w:pPr>
              <w:pStyle w:val="TableCopy"/>
              <w:jc w:val="right"/>
              <w:rPr>
                <w:rFonts w:asciiTheme="minorHAnsi" w:hAnsiTheme="minorHAnsi" w:cstheme="minorHAnsi"/>
                <w:b/>
                <w:bCs/>
                <w:sz w:val="22"/>
                <w:szCs w:val="22"/>
              </w:rPr>
            </w:pPr>
            <w:r w:rsidRPr="004A7D55">
              <w:rPr>
                <w:rFonts w:asciiTheme="minorHAnsi" w:hAnsiTheme="minorHAnsi" w:cstheme="minorHAnsi"/>
                <w:b/>
                <w:bCs/>
                <w:sz w:val="22"/>
                <w:szCs w:val="22"/>
              </w:rPr>
              <w:t>114</w:t>
            </w:r>
          </w:p>
        </w:tc>
        <w:tc>
          <w:tcPr>
            <w:tcW w:w="1134" w:type="dxa"/>
          </w:tcPr>
          <w:p w14:paraId="5E7E0BE0" w14:textId="5358B209" w:rsidR="001D52B1" w:rsidRPr="004A7D55" w:rsidRDefault="001D52B1" w:rsidP="004A7D55">
            <w:pPr>
              <w:pStyle w:val="TableCopy"/>
              <w:jc w:val="right"/>
              <w:rPr>
                <w:rFonts w:asciiTheme="minorHAnsi" w:hAnsiTheme="minorHAnsi" w:cstheme="minorHAnsi"/>
                <w:b/>
                <w:bCs/>
                <w:sz w:val="22"/>
                <w:szCs w:val="22"/>
              </w:rPr>
            </w:pPr>
            <w:r w:rsidRPr="004A7D55">
              <w:rPr>
                <w:rFonts w:asciiTheme="minorHAnsi" w:hAnsiTheme="minorHAnsi" w:cstheme="minorHAnsi"/>
                <w:b/>
                <w:bCs/>
                <w:sz w:val="22"/>
                <w:szCs w:val="22"/>
              </w:rPr>
              <w:t>13</w:t>
            </w:r>
          </w:p>
        </w:tc>
        <w:tc>
          <w:tcPr>
            <w:tcW w:w="1134" w:type="dxa"/>
          </w:tcPr>
          <w:p w14:paraId="249A7243" w14:textId="0CB2D698" w:rsidR="001D52B1" w:rsidRPr="004A7D55" w:rsidRDefault="001D52B1" w:rsidP="004A7D55">
            <w:pPr>
              <w:pStyle w:val="TableCopy"/>
              <w:jc w:val="right"/>
              <w:rPr>
                <w:rFonts w:asciiTheme="minorHAnsi" w:hAnsiTheme="minorHAnsi" w:cstheme="minorHAnsi"/>
                <w:b/>
                <w:bCs/>
                <w:sz w:val="22"/>
                <w:szCs w:val="22"/>
              </w:rPr>
            </w:pPr>
            <w:r w:rsidRPr="004A7D55">
              <w:rPr>
                <w:rFonts w:asciiTheme="minorHAnsi" w:hAnsiTheme="minorHAnsi" w:cstheme="minorHAnsi"/>
                <w:b/>
                <w:bCs/>
                <w:sz w:val="22"/>
                <w:szCs w:val="22"/>
              </w:rPr>
              <w:t>41</w:t>
            </w:r>
          </w:p>
        </w:tc>
        <w:tc>
          <w:tcPr>
            <w:tcW w:w="1134" w:type="dxa"/>
          </w:tcPr>
          <w:p w14:paraId="541E433D" w14:textId="43DF3818" w:rsidR="001D52B1" w:rsidRPr="004A7D55" w:rsidRDefault="001D52B1" w:rsidP="004A7D55">
            <w:pPr>
              <w:pStyle w:val="TableCopy"/>
              <w:jc w:val="right"/>
              <w:rPr>
                <w:rFonts w:asciiTheme="minorHAnsi" w:hAnsiTheme="minorHAnsi" w:cstheme="minorHAnsi"/>
                <w:b/>
                <w:bCs/>
                <w:sz w:val="22"/>
                <w:szCs w:val="22"/>
              </w:rPr>
            </w:pPr>
            <w:r w:rsidRPr="004A7D55">
              <w:rPr>
                <w:rFonts w:asciiTheme="minorHAnsi" w:hAnsiTheme="minorHAnsi" w:cstheme="minorHAnsi"/>
                <w:b/>
                <w:bCs/>
                <w:sz w:val="22"/>
                <w:szCs w:val="22"/>
              </w:rPr>
              <w:t>3</w:t>
            </w:r>
          </w:p>
        </w:tc>
        <w:tc>
          <w:tcPr>
            <w:tcW w:w="1134" w:type="dxa"/>
          </w:tcPr>
          <w:p w14:paraId="28065F44" w14:textId="6577D75E" w:rsidR="001D52B1" w:rsidRPr="004A7D55" w:rsidRDefault="001D52B1" w:rsidP="004A7D55">
            <w:pPr>
              <w:pStyle w:val="TableCopy"/>
              <w:jc w:val="right"/>
              <w:rPr>
                <w:rFonts w:asciiTheme="minorHAnsi" w:hAnsiTheme="minorHAnsi" w:cstheme="minorHAnsi"/>
                <w:b/>
                <w:bCs/>
                <w:sz w:val="22"/>
                <w:szCs w:val="22"/>
              </w:rPr>
            </w:pPr>
            <w:r w:rsidRPr="004A7D55">
              <w:rPr>
                <w:rFonts w:asciiTheme="minorHAnsi" w:hAnsiTheme="minorHAnsi" w:cstheme="minorHAnsi"/>
                <w:b/>
                <w:bCs/>
                <w:sz w:val="22"/>
                <w:szCs w:val="22"/>
              </w:rPr>
              <w:t>14</w:t>
            </w:r>
          </w:p>
        </w:tc>
        <w:tc>
          <w:tcPr>
            <w:tcW w:w="1276" w:type="dxa"/>
          </w:tcPr>
          <w:p w14:paraId="178180F5" w14:textId="77777777" w:rsidR="001D52B1" w:rsidRPr="004A7D55" w:rsidRDefault="001D52B1" w:rsidP="004A7D55">
            <w:pPr>
              <w:pStyle w:val="TableCopy"/>
              <w:jc w:val="right"/>
              <w:rPr>
                <w:rFonts w:asciiTheme="minorHAnsi" w:hAnsiTheme="minorHAnsi" w:cstheme="minorHAnsi"/>
                <w:b/>
                <w:bCs/>
                <w:sz w:val="22"/>
                <w:szCs w:val="22"/>
              </w:rPr>
            </w:pPr>
            <w:r w:rsidRPr="004A7D55">
              <w:rPr>
                <w:rFonts w:asciiTheme="minorHAnsi" w:hAnsiTheme="minorHAnsi" w:cstheme="minorHAnsi"/>
                <w:b/>
                <w:bCs/>
                <w:sz w:val="22"/>
                <w:szCs w:val="22"/>
              </w:rPr>
              <w:t>(1,613)</w:t>
            </w:r>
          </w:p>
        </w:tc>
        <w:tc>
          <w:tcPr>
            <w:tcW w:w="1417" w:type="dxa"/>
          </w:tcPr>
          <w:p w14:paraId="5E3CF4E5" w14:textId="77777777" w:rsidR="001D52B1" w:rsidRPr="004A7D55" w:rsidRDefault="001D52B1" w:rsidP="004A7D55">
            <w:pPr>
              <w:pStyle w:val="TableCopy"/>
              <w:jc w:val="right"/>
              <w:rPr>
                <w:rFonts w:asciiTheme="minorHAnsi" w:hAnsiTheme="minorHAnsi" w:cstheme="minorHAnsi"/>
                <w:b/>
                <w:bCs/>
                <w:sz w:val="22"/>
                <w:szCs w:val="22"/>
              </w:rPr>
            </w:pPr>
            <w:r w:rsidRPr="004A7D55">
              <w:rPr>
                <w:rFonts w:asciiTheme="minorHAnsi" w:hAnsiTheme="minorHAnsi" w:cstheme="minorHAnsi"/>
                <w:b/>
                <w:bCs/>
                <w:sz w:val="22"/>
                <w:szCs w:val="22"/>
              </w:rPr>
              <w:t>(21,279)</w:t>
            </w:r>
          </w:p>
        </w:tc>
        <w:tc>
          <w:tcPr>
            <w:tcW w:w="1134" w:type="dxa"/>
          </w:tcPr>
          <w:p w14:paraId="638BD061" w14:textId="77777777" w:rsidR="001D52B1" w:rsidRPr="004A7D55" w:rsidRDefault="001D52B1" w:rsidP="004A7D55">
            <w:pPr>
              <w:pStyle w:val="TableCopy"/>
              <w:jc w:val="right"/>
              <w:rPr>
                <w:rFonts w:asciiTheme="minorHAnsi" w:hAnsiTheme="minorHAnsi" w:cstheme="minorHAnsi"/>
                <w:b/>
                <w:bCs/>
                <w:sz w:val="22"/>
                <w:szCs w:val="22"/>
              </w:rPr>
            </w:pPr>
            <w:r w:rsidRPr="004A7D55">
              <w:rPr>
                <w:rFonts w:asciiTheme="minorHAnsi" w:hAnsiTheme="minorHAnsi" w:cstheme="minorHAnsi"/>
                <w:b/>
                <w:bCs/>
                <w:sz w:val="22"/>
                <w:szCs w:val="22"/>
              </w:rPr>
              <w:t>(747)</w:t>
            </w:r>
          </w:p>
        </w:tc>
        <w:tc>
          <w:tcPr>
            <w:tcW w:w="1134" w:type="dxa"/>
          </w:tcPr>
          <w:p w14:paraId="05C5F541" w14:textId="77777777" w:rsidR="001D52B1" w:rsidRPr="004A7D55" w:rsidRDefault="001D52B1" w:rsidP="004A7D55">
            <w:pPr>
              <w:pStyle w:val="TableCopy"/>
              <w:jc w:val="right"/>
              <w:rPr>
                <w:rFonts w:asciiTheme="minorHAnsi" w:hAnsiTheme="minorHAnsi" w:cstheme="minorHAnsi"/>
                <w:b/>
                <w:bCs/>
                <w:sz w:val="22"/>
                <w:szCs w:val="22"/>
              </w:rPr>
            </w:pPr>
            <w:r w:rsidRPr="004A7D55">
              <w:rPr>
                <w:rFonts w:asciiTheme="minorHAnsi" w:hAnsiTheme="minorHAnsi" w:cstheme="minorHAnsi"/>
                <w:b/>
                <w:bCs/>
                <w:sz w:val="22"/>
                <w:szCs w:val="22"/>
              </w:rPr>
              <w:t>(4,043)</w:t>
            </w:r>
          </w:p>
        </w:tc>
      </w:tr>
      <w:tr w:rsidR="00F56D2C" w:rsidRPr="004A7D55" w14:paraId="014EAF3D" w14:textId="77777777" w:rsidTr="004A7D55">
        <w:trPr>
          <w:cantSplit/>
        </w:trPr>
        <w:tc>
          <w:tcPr>
            <w:tcW w:w="2689" w:type="dxa"/>
          </w:tcPr>
          <w:p w14:paraId="409C2A68" w14:textId="501550FC" w:rsidR="001D52B1" w:rsidRPr="004A7D55" w:rsidRDefault="001D52B1" w:rsidP="00F56D2C">
            <w:pPr>
              <w:pStyle w:val="TableCopy"/>
              <w:rPr>
                <w:rFonts w:asciiTheme="minorHAnsi" w:hAnsiTheme="minorHAnsi" w:cstheme="minorHAnsi"/>
                <w:b/>
                <w:bCs/>
                <w:sz w:val="22"/>
                <w:szCs w:val="22"/>
              </w:rPr>
            </w:pPr>
            <w:r w:rsidRPr="004A7D55">
              <w:rPr>
                <w:rFonts w:asciiTheme="minorHAnsi" w:hAnsiTheme="minorHAnsi" w:cstheme="minorHAnsi"/>
                <w:b/>
                <w:bCs/>
                <w:sz w:val="22"/>
                <w:szCs w:val="22"/>
              </w:rPr>
              <w:lastRenderedPageBreak/>
              <w:t>Net result from continuing operations</w:t>
            </w:r>
          </w:p>
        </w:tc>
        <w:tc>
          <w:tcPr>
            <w:tcW w:w="1417" w:type="dxa"/>
          </w:tcPr>
          <w:p w14:paraId="4213B0DF" w14:textId="77777777" w:rsidR="001D52B1" w:rsidRPr="004A7D55" w:rsidRDefault="001D52B1" w:rsidP="004A7D55">
            <w:pPr>
              <w:pStyle w:val="TableCopy"/>
              <w:jc w:val="right"/>
              <w:rPr>
                <w:rFonts w:asciiTheme="minorHAnsi" w:hAnsiTheme="minorHAnsi" w:cstheme="minorHAnsi"/>
                <w:b/>
                <w:bCs/>
                <w:sz w:val="22"/>
                <w:szCs w:val="22"/>
              </w:rPr>
            </w:pPr>
            <w:r w:rsidRPr="004A7D55">
              <w:rPr>
                <w:rFonts w:asciiTheme="minorHAnsi" w:hAnsiTheme="minorHAnsi" w:cstheme="minorHAnsi"/>
                <w:b/>
                <w:bCs/>
                <w:sz w:val="22"/>
                <w:szCs w:val="22"/>
              </w:rPr>
              <w:t>(1,686)</w:t>
            </w:r>
          </w:p>
        </w:tc>
        <w:tc>
          <w:tcPr>
            <w:tcW w:w="1418" w:type="dxa"/>
          </w:tcPr>
          <w:p w14:paraId="087533BB" w14:textId="77777777" w:rsidR="001D52B1" w:rsidRPr="004A7D55" w:rsidRDefault="001D52B1" w:rsidP="004A7D55">
            <w:pPr>
              <w:pStyle w:val="TableCopy"/>
              <w:jc w:val="right"/>
              <w:rPr>
                <w:rFonts w:asciiTheme="minorHAnsi" w:hAnsiTheme="minorHAnsi" w:cstheme="minorHAnsi"/>
                <w:b/>
                <w:bCs/>
                <w:sz w:val="22"/>
                <w:szCs w:val="22"/>
              </w:rPr>
            </w:pPr>
            <w:r w:rsidRPr="004A7D55">
              <w:rPr>
                <w:rFonts w:asciiTheme="minorHAnsi" w:hAnsiTheme="minorHAnsi" w:cstheme="minorHAnsi"/>
                <w:b/>
                <w:bCs/>
                <w:sz w:val="22"/>
                <w:szCs w:val="22"/>
              </w:rPr>
              <w:t>(248)</w:t>
            </w:r>
          </w:p>
        </w:tc>
        <w:tc>
          <w:tcPr>
            <w:tcW w:w="1134" w:type="dxa"/>
          </w:tcPr>
          <w:p w14:paraId="3C65C9AE" w14:textId="418E2B82" w:rsidR="001D52B1" w:rsidRPr="004A7D55" w:rsidRDefault="001D52B1" w:rsidP="004A7D55">
            <w:pPr>
              <w:pStyle w:val="TableCopy"/>
              <w:jc w:val="right"/>
              <w:rPr>
                <w:rFonts w:asciiTheme="minorHAnsi" w:hAnsiTheme="minorHAnsi" w:cstheme="minorHAnsi"/>
                <w:b/>
                <w:bCs/>
                <w:sz w:val="22"/>
                <w:szCs w:val="22"/>
              </w:rPr>
            </w:pPr>
            <w:r w:rsidRPr="004A7D55">
              <w:rPr>
                <w:rFonts w:asciiTheme="minorHAnsi" w:hAnsiTheme="minorHAnsi" w:cstheme="minorHAnsi"/>
                <w:b/>
                <w:bCs/>
                <w:sz w:val="22"/>
                <w:szCs w:val="22"/>
              </w:rPr>
              <w:t>61,141</w:t>
            </w:r>
          </w:p>
        </w:tc>
        <w:tc>
          <w:tcPr>
            <w:tcW w:w="1134" w:type="dxa"/>
          </w:tcPr>
          <w:p w14:paraId="27F6E0D1" w14:textId="0627E575" w:rsidR="001D52B1" w:rsidRPr="004A7D55" w:rsidRDefault="001D52B1" w:rsidP="004A7D55">
            <w:pPr>
              <w:pStyle w:val="TableCopy"/>
              <w:jc w:val="right"/>
              <w:rPr>
                <w:rFonts w:asciiTheme="minorHAnsi" w:hAnsiTheme="minorHAnsi" w:cstheme="minorHAnsi"/>
                <w:b/>
                <w:bCs/>
                <w:sz w:val="22"/>
                <w:szCs w:val="22"/>
              </w:rPr>
            </w:pPr>
            <w:r w:rsidRPr="004A7D55">
              <w:rPr>
                <w:rFonts w:asciiTheme="minorHAnsi" w:hAnsiTheme="minorHAnsi" w:cstheme="minorHAnsi"/>
                <w:b/>
                <w:bCs/>
                <w:sz w:val="22"/>
                <w:szCs w:val="22"/>
              </w:rPr>
              <w:t>54,150</w:t>
            </w:r>
          </w:p>
        </w:tc>
        <w:tc>
          <w:tcPr>
            <w:tcW w:w="1134" w:type="dxa"/>
          </w:tcPr>
          <w:p w14:paraId="451B8C24" w14:textId="439A7B11" w:rsidR="001D52B1" w:rsidRPr="004A7D55" w:rsidRDefault="001D52B1" w:rsidP="004A7D55">
            <w:pPr>
              <w:pStyle w:val="TableCopy"/>
              <w:jc w:val="right"/>
              <w:rPr>
                <w:rFonts w:asciiTheme="minorHAnsi" w:hAnsiTheme="minorHAnsi" w:cstheme="minorHAnsi"/>
                <w:b/>
                <w:bCs/>
                <w:sz w:val="22"/>
                <w:szCs w:val="22"/>
              </w:rPr>
            </w:pPr>
            <w:r w:rsidRPr="004A7D55">
              <w:rPr>
                <w:rFonts w:asciiTheme="minorHAnsi" w:hAnsiTheme="minorHAnsi" w:cstheme="minorHAnsi"/>
                <w:b/>
                <w:bCs/>
                <w:sz w:val="22"/>
                <w:szCs w:val="22"/>
              </w:rPr>
              <w:t>1,380</w:t>
            </w:r>
          </w:p>
        </w:tc>
        <w:tc>
          <w:tcPr>
            <w:tcW w:w="1134" w:type="dxa"/>
          </w:tcPr>
          <w:p w14:paraId="4CDC0F3A" w14:textId="77777777" w:rsidR="001D52B1" w:rsidRPr="004A7D55" w:rsidRDefault="001D52B1" w:rsidP="004A7D55">
            <w:pPr>
              <w:pStyle w:val="TableCopy"/>
              <w:jc w:val="right"/>
              <w:rPr>
                <w:rFonts w:asciiTheme="minorHAnsi" w:hAnsiTheme="minorHAnsi" w:cstheme="minorHAnsi"/>
                <w:b/>
                <w:bCs/>
                <w:sz w:val="22"/>
                <w:szCs w:val="22"/>
              </w:rPr>
            </w:pPr>
            <w:r w:rsidRPr="004A7D55">
              <w:rPr>
                <w:rFonts w:asciiTheme="minorHAnsi" w:hAnsiTheme="minorHAnsi" w:cstheme="minorHAnsi"/>
                <w:b/>
                <w:bCs/>
                <w:sz w:val="22"/>
                <w:szCs w:val="22"/>
              </w:rPr>
              <w:t>(36)</w:t>
            </w:r>
          </w:p>
        </w:tc>
        <w:tc>
          <w:tcPr>
            <w:tcW w:w="1276" w:type="dxa"/>
          </w:tcPr>
          <w:p w14:paraId="31410F38" w14:textId="1870128B" w:rsidR="001D52B1" w:rsidRPr="004A7D55" w:rsidRDefault="001D52B1" w:rsidP="004A7D55">
            <w:pPr>
              <w:pStyle w:val="TableCopy"/>
              <w:jc w:val="right"/>
              <w:rPr>
                <w:rFonts w:asciiTheme="minorHAnsi" w:hAnsiTheme="minorHAnsi" w:cstheme="minorHAnsi"/>
                <w:b/>
                <w:bCs/>
                <w:sz w:val="22"/>
                <w:szCs w:val="22"/>
              </w:rPr>
            </w:pPr>
            <w:r w:rsidRPr="004A7D55">
              <w:rPr>
                <w:rFonts w:asciiTheme="minorHAnsi" w:hAnsiTheme="minorHAnsi" w:cstheme="minorHAnsi"/>
                <w:b/>
                <w:bCs/>
                <w:sz w:val="22"/>
                <w:szCs w:val="22"/>
              </w:rPr>
              <w:t>2</w:t>
            </w:r>
          </w:p>
        </w:tc>
        <w:tc>
          <w:tcPr>
            <w:tcW w:w="1417" w:type="dxa"/>
          </w:tcPr>
          <w:p w14:paraId="27F1A772" w14:textId="1E843065" w:rsidR="001D52B1" w:rsidRPr="004A7D55" w:rsidRDefault="001D52B1" w:rsidP="004A7D55">
            <w:pPr>
              <w:pStyle w:val="TableCopy"/>
              <w:jc w:val="right"/>
              <w:rPr>
                <w:rFonts w:asciiTheme="minorHAnsi" w:hAnsiTheme="minorHAnsi" w:cstheme="minorHAnsi"/>
                <w:b/>
                <w:bCs/>
                <w:sz w:val="22"/>
                <w:szCs w:val="22"/>
              </w:rPr>
            </w:pPr>
            <w:r w:rsidRPr="004A7D55">
              <w:rPr>
                <w:rFonts w:asciiTheme="minorHAnsi" w:hAnsiTheme="minorHAnsi" w:cstheme="minorHAnsi"/>
                <w:b/>
                <w:bCs/>
                <w:sz w:val="22"/>
                <w:szCs w:val="22"/>
              </w:rPr>
              <w:t>5,265</w:t>
            </w:r>
          </w:p>
        </w:tc>
        <w:tc>
          <w:tcPr>
            <w:tcW w:w="1134" w:type="dxa"/>
          </w:tcPr>
          <w:p w14:paraId="7CB17A8E" w14:textId="50415A9F" w:rsidR="001D52B1" w:rsidRPr="004A7D55" w:rsidRDefault="001D52B1" w:rsidP="004A7D55">
            <w:pPr>
              <w:pStyle w:val="TableCopy"/>
              <w:jc w:val="right"/>
              <w:rPr>
                <w:rFonts w:asciiTheme="minorHAnsi" w:hAnsiTheme="minorHAnsi" w:cstheme="minorHAnsi"/>
                <w:b/>
                <w:bCs/>
                <w:sz w:val="22"/>
                <w:szCs w:val="22"/>
              </w:rPr>
            </w:pPr>
            <w:r w:rsidRPr="004A7D55">
              <w:rPr>
                <w:rFonts w:asciiTheme="minorHAnsi" w:hAnsiTheme="minorHAnsi" w:cstheme="minorHAnsi"/>
                <w:b/>
                <w:bCs/>
                <w:sz w:val="22"/>
                <w:szCs w:val="22"/>
              </w:rPr>
              <w:t>22,478</w:t>
            </w:r>
          </w:p>
        </w:tc>
        <w:tc>
          <w:tcPr>
            <w:tcW w:w="1134" w:type="dxa"/>
          </w:tcPr>
          <w:p w14:paraId="3FB797FE" w14:textId="77777777" w:rsidR="001D52B1" w:rsidRPr="004A7D55" w:rsidRDefault="001D52B1" w:rsidP="004A7D55">
            <w:pPr>
              <w:pStyle w:val="TableCopy"/>
              <w:jc w:val="right"/>
              <w:rPr>
                <w:rFonts w:asciiTheme="minorHAnsi" w:hAnsiTheme="minorHAnsi" w:cstheme="minorHAnsi"/>
                <w:b/>
                <w:bCs/>
                <w:sz w:val="22"/>
                <w:szCs w:val="22"/>
              </w:rPr>
            </w:pPr>
            <w:r w:rsidRPr="004A7D55">
              <w:rPr>
                <w:rFonts w:asciiTheme="minorHAnsi" w:hAnsiTheme="minorHAnsi" w:cstheme="minorHAnsi"/>
                <w:b/>
                <w:bCs/>
                <w:sz w:val="22"/>
                <w:szCs w:val="22"/>
              </w:rPr>
              <w:t>(5,039)</w:t>
            </w:r>
          </w:p>
        </w:tc>
      </w:tr>
      <w:tr w:rsidR="00F56D2C" w:rsidRPr="004A7D55" w14:paraId="1A3E6843" w14:textId="77777777" w:rsidTr="004A7D55">
        <w:trPr>
          <w:cantSplit/>
        </w:trPr>
        <w:tc>
          <w:tcPr>
            <w:tcW w:w="2689" w:type="dxa"/>
          </w:tcPr>
          <w:p w14:paraId="0D40D7C9" w14:textId="197F098D" w:rsidR="001D52B1" w:rsidRPr="004A7D55" w:rsidRDefault="001D52B1" w:rsidP="004A7D55">
            <w:pPr>
              <w:pStyle w:val="TableHeading"/>
              <w:rPr>
                <w:sz w:val="22"/>
                <w:szCs w:val="28"/>
              </w:rPr>
            </w:pPr>
            <w:r w:rsidRPr="004A7D55">
              <w:rPr>
                <w:sz w:val="22"/>
                <w:szCs w:val="28"/>
              </w:rPr>
              <w:t>Other economic flows – other comprehensive income: Items that what will not be reclassified to net result</w:t>
            </w:r>
          </w:p>
        </w:tc>
        <w:tc>
          <w:tcPr>
            <w:tcW w:w="1417" w:type="dxa"/>
          </w:tcPr>
          <w:p w14:paraId="0BA2F178" w14:textId="77777777" w:rsidR="001D52B1" w:rsidRPr="004A7D55" w:rsidRDefault="001D52B1" w:rsidP="004A7D55">
            <w:pPr>
              <w:pStyle w:val="TableHeading"/>
              <w:jc w:val="right"/>
              <w:rPr>
                <w:sz w:val="22"/>
                <w:szCs w:val="28"/>
              </w:rPr>
            </w:pPr>
          </w:p>
        </w:tc>
        <w:tc>
          <w:tcPr>
            <w:tcW w:w="1418" w:type="dxa"/>
          </w:tcPr>
          <w:p w14:paraId="05164BF5" w14:textId="77777777" w:rsidR="001D52B1" w:rsidRPr="004A7D55" w:rsidRDefault="001D52B1" w:rsidP="004A7D55">
            <w:pPr>
              <w:pStyle w:val="TableHeading"/>
              <w:jc w:val="right"/>
              <w:rPr>
                <w:sz w:val="22"/>
                <w:szCs w:val="28"/>
              </w:rPr>
            </w:pPr>
          </w:p>
        </w:tc>
        <w:tc>
          <w:tcPr>
            <w:tcW w:w="1134" w:type="dxa"/>
          </w:tcPr>
          <w:p w14:paraId="3C60B1D4" w14:textId="77777777" w:rsidR="001D52B1" w:rsidRPr="004A7D55" w:rsidRDefault="001D52B1" w:rsidP="004A7D55">
            <w:pPr>
              <w:pStyle w:val="TableHeading"/>
              <w:jc w:val="right"/>
              <w:rPr>
                <w:sz w:val="22"/>
                <w:szCs w:val="28"/>
              </w:rPr>
            </w:pPr>
          </w:p>
        </w:tc>
        <w:tc>
          <w:tcPr>
            <w:tcW w:w="1134" w:type="dxa"/>
          </w:tcPr>
          <w:p w14:paraId="6492E2F0" w14:textId="77777777" w:rsidR="001D52B1" w:rsidRPr="004A7D55" w:rsidRDefault="001D52B1" w:rsidP="004A7D55">
            <w:pPr>
              <w:pStyle w:val="TableHeading"/>
              <w:jc w:val="right"/>
              <w:rPr>
                <w:sz w:val="22"/>
                <w:szCs w:val="28"/>
              </w:rPr>
            </w:pPr>
          </w:p>
        </w:tc>
        <w:tc>
          <w:tcPr>
            <w:tcW w:w="1134" w:type="dxa"/>
          </w:tcPr>
          <w:p w14:paraId="7218F19E" w14:textId="77777777" w:rsidR="001D52B1" w:rsidRPr="004A7D55" w:rsidRDefault="001D52B1" w:rsidP="004A7D55">
            <w:pPr>
              <w:pStyle w:val="TableHeading"/>
              <w:jc w:val="right"/>
              <w:rPr>
                <w:sz w:val="22"/>
                <w:szCs w:val="28"/>
              </w:rPr>
            </w:pPr>
          </w:p>
        </w:tc>
        <w:tc>
          <w:tcPr>
            <w:tcW w:w="1134" w:type="dxa"/>
          </w:tcPr>
          <w:p w14:paraId="41FA31D6" w14:textId="77777777" w:rsidR="001D52B1" w:rsidRPr="004A7D55" w:rsidRDefault="001D52B1" w:rsidP="004A7D55">
            <w:pPr>
              <w:pStyle w:val="TableHeading"/>
              <w:jc w:val="right"/>
              <w:rPr>
                <w:sz w:val="22"/>
                <w:szCs w:val="28"/>
              </w:rPr>
            </w:pPr>
          </w:p>
        </w:tc>
        <w:tc>
          <w:tcPr>
            <w:tcW w:w="1276" w:type="dxa"/>
          </w:tcPr>
          <w:p w14:paraId="3656A6E6" w14:textId="77777777" w:rsidR="001D52B1" w:rsidRPr="004A7D55" w:rsidRDefault="001D52B1" w:rsidP="004A7D55">
            <w:pPr>
              <w:pStyle w:val="TableHeading"/>
              <w:jc w:val="right"/>
              <w:rPr>
                <w:sz w:val="22"/>
                <w:szCs w:val="28"/>
              </w:rPr>
            </w:pPr>
          </w:p>
        </w:tc>
        <w:tc>
          <w:tcPr>
            <w:tcW w:w="1417" w:type="dxa"/>
          </w:tcPr>
          <w:p w14:paraId="354D9C53" w14:textId="77777777" w:rsidR="001D52B1" w:rsidRPr="004A7D55" w:rsidRDefault="001D52B1" w:rsidP="004A7D55">
            <w:pPr>
              <w:pStyle w:val="TableHeading"/>
              <w:jc w:val="right"/>
              <w:rPr>
                <w:sz w:val="22"/>
                <w:szCs w:val="28"/>
              </w:rPr>
            </w:pPr>
          </w:p>
        </w:tc>
        <w:tc>
          <w:tcPr>
            <w:tcW w:w="1134" w:type="dxa"/>
          </w:tcPr>
          <w:p w14:paraId="7D72DCAA" w14:textId="77777777" w:rsidR="001D52B1" w:rsidRPr="004A7D55" w:rsidRDefault="001D52B1" w:rsidP="004A7D55">
            <w:pPr>
              <w:pStyle w:val="TableHeading"/>
              <w:jc w:val="right"/>
              <w:rPr>
                <w:sz w:val="22"/>
                <w:szCs w:val="28"/>
              </w:rPr>
            </w:pPr>
          </w:p>
        </w:tc>
        <w:tc>
          <w:tcPr>
            <w:tcW w:w="1134" w:type="dxa"/>
          </w:tcPr>
          <w:p w14:paraId="3A884EA8" w14:textId="77777777" w:rsidR="001D52B1" w:rsidRPr="004A7D55" w:rsidRDefault="001D52B1" w:rsidP="004A7D55">
            <w:pPr>
              <w:pStyle w:val="TableHeading"/>
              <w:jc w:val="right"/>
              <w:rPr>
                <w:sz w:val="22"/>
                <w:szCs w:val="28"/>
              </w:rPr>
            </w:pPr>
          </w:p>
        </w:tc>
      </w:tr>
      <w:tr w:rsidR="00F56D2C" w:rsidRPr="00F56D2C" w14:paraId="0FFA1CAF" w14:textId="77777777" w:rsidTr="004A7D55">
        <w:trPr>
          <w:cantSplit/>
        </w:trPr>
        <w:tc>
          <w:tcPr>
            <w:tcW w:w="2689" w:type="dxa"/>
          </w:tcPr>
          <w:p w14:paraId="67329506" w14:textId="68724BFF" w:rsidR="001D52B1" w:rsidRPr="00F56D2C" w:rsidRDefault="001D52B1" w:rsidP="00F56D2C">
            <w:pPr>
              <w:pStyle w:val="TableCopy"/>
              <w:rPr>
                <w:rFonts w:asciiTheme="minorHAnsi" w:hAnsiTheme="minorHAnsi" w:cstheme="minorHAnsi"/>
                <w:sz w:val="22"/>
                <w:szCs w:val="22"/>
              </w:rPr>
            </w:pPr>
            <w:r w:rsidRPr="00F56D2C">
              <w:rPr>
                <w:rFonts w:asciiTheme="minorHAnsi" w:hAnsiTheme="minorHAnsi" w:cstheme="minorHAnsi"/>
                <w:sz w:val="22"/>
                <w:szCs w:val="22"/>
              </w:rPr>
              <w:t>Changes in physical asset revaluation surplus</w:t>
            </w:r>
          </w:p>
        </w:tc>
        <w:tc>
          <w:tcPr>
            <w:tcW w:w="1417" w:type="dxa"/>
          </w:tcPr>
          <w:p w14:paraId="1A8BFA59" w14:textId="540E4FC9" w:rsidR="001D52B1" w:rsidRPr="00F56D2C" w:rsidRDefault="001D52B1" w:rsidP="004A7D55">
            <w:pPr>
              <w:pStyle w:val="TableCopy"/>
              <w:jc w:val="right"/>
              <w:rPr>
                <w:rFonts w:asciiTheme="minorHAnsi" w:hAnsiTheme="minorHAnsi" w:cstheme="minorHAnsi"/>
                <w:sz w:val="22"/>
                <w:szCs w:val="22"/>
              </w:rPr>
            </w:pPr>
            <w:r w:rsidRPr="00F56D2C">
              <w:rPr>
                <w:rFonts w:asciiTheme="minorHAnsi" w:hAnsiTheme="minorHAnsi" w:cstheme="minorHAnsi"/>
                <w:sz w:val="22"/>
                <w:szCs w:val="22"/>
              </w:rPr>
              <w:t>–</w:t>
            </w:r>
          </w:p>
        </w:tc>
        <w:tc>
          <w:tcPr>
            <w:tcW w:w="1418" w:type="dxa"/>
          </w:tcPr>
          <w:p w14:paraId="070FE2C8" w14:textId="5D455047" w:rsidR="001D52B1" w:rsidRPr="00F56D2C" w:rsidRDefault="001D52B1" w:rsidP="004A7D55">
            <w:pPr>
              <w:pStyle w:val="TableCopy"/>
              <w:jc w:val="right"/>
              <w:rPr>
                <w:rFonts w:asciiTheme="minorHAnsi" w:hAnsiTheme="minorHAnsi" w:cstheme="minorHAnsi"/>
                <w:sz w:val="22"/>
                <w:szCs w:val="22"/>
              </w:rPr>
            </w:pPr>
            <w:r w:rsidRPr="00F56D2C">
              <w:rPr>
                <w:rFonts w:asciiTheme="minorHAnsi" w:hAnsiTheme="minorHAnsi" w:cstheme="minorHAnsi"/>
                <w:sz w:val="22"/>
                <w:szCs w:val="22"/>
              </w:rPr>
              <w:t>–</w:t>
            </w:r>
          </w:p>
        </w:tc>
        <w:tc>
          <w:tcPr>
            <w:tcW w:w="1134" w:type="dxa"/>
          </w:tcPr>
          <w:p w14:paraId="30956D3C" w14:textId="0B465D05" w:rsidR="001D52B1" w:rsidRPr="00F56D2C" w:rsidRDefault="001D52B1" w:rsidP="004A7D55">
            <w:pPr>
              <w:pStyle w:val="TableCopy"/>
              <w:jc w:val="right"/>
              <w:rPr>
                <w:rFonts w:asciiTheme="minorHAnsi" w:hAnsiTheme="minorHAnsi" w:cstheme="minorHAnsi"/>
                <w:sz w:val="22"/>
                <w:szCs w:val="22"/>
              </w:rPr>
            </w:pPr>
            <w:r w:rsidRPr="00F56D2C">
              <w:rPr>
                <w:rFonts w:asciiTheme="minorHAnsi" w:hAnsiTheme="minorHAnsi" w:cstheme="minorHAnsi"/>
                <w:sz w:val="22"/>
                <w:szCs w:val="22"/>
              </w:rPr>
              <w:t>–</w:t>
            </w:r>
          </w:p>
        </w:tc>
        <w:tc>
          <w:tcPr>
            <w:tcW w:w="1134" w:type="dxa"/>
          </w:tcPr>
          <w:p w14:paraId="6F8C617F" w14:textId="201CC217" w:rsidR="001D52B1" w:rsidRPr="00F56D2C" w:rsidRDefault="001D52B1" w:rsidP="004A7D55">
            <w:pPr>
              <w:pStyle w:val="TableCopy"/>
              <w:jc w:val="right"/>
              <w:rPr>
                <w:rFonts w:asciiTheme="minorHAnsi" w:hAnsiTheme="minorHAnsi" w:cstheme="minorHAnsi"/>
                <w:sz w:val="22"/>
                <w:szCs w:val="22"/>
              </w:rPr>
            </w:pPr>
            <w:r w:rsidRPr="00F56D2C">
              <w:rPr>
                <w:rFonts w:asciiTheme="minorHAnsi" w:hAnsiTheme="minorHAnsi" w:cstheme="minorHAnsi"/>
                <w:sz w:val="22"/>
                <w:szCs w:val="22"/>
              </w:rPr>
              <w:t>–</w:t>
            </w:r>
          </w:p>
        </w:tc>
        <w:tc>
          <w:tcPr>
            <w:tcW w:w="1134" w:type="dxa"/>
          </w:tcPr>
          <w:p w14:paraId="77854902" w14:textId="076D2800" w:rsidR="001D52B1" w:rsidRPr="00F56D2C" w:rsidRDefault="001D52B1" w:rsidP="004A7D55">
            <w:pPr>
              <w:pStyle w:val="TableCopy"/>
              <w:jc w:val="right"/>
              <w:rPr>
                <w:rFonts w:asciiTheme="minorHAnsi" w:hAnsiTheme="minorHAnsi" w:cstheme="minorHAnsi"/>
                <w:sz w:val="22"/>
                <w:szCs w:val="22"/>
              </w:rPr>
            </w:pPr>
            <w:r w:rsidRPr="00F56D2C">
              <w:rPr>
                <w:rFonts w:asciiTheme="minorHAnsi" w:hAnsiTheme="minorHAnsi" w:cstheme="minorHAnsi"/>
                <w:sz w:val="22"/>
                <w:szCs w:val="22"/>
              </w:rPr>
              <w:t>–</w:t>
            </w:r>
          </w:p>
        </w:tc>
        <w:tc>
          <w:tcPr>
            <w:tcW w:w="1134" w:type="dxa"/>
          </w:tcPr>
          <w:p w14:paraId="4F4EC5F1" w14:textId="1496087A" w:rsidR="001D52B1" w:rsidRPr="00F56D2C" w:rsidRDefault="001D52B1" w:rsidP="004A7D55">
            <w:pPr>
              <w:pStyle w:val="TableCopy"/>
              <w:jc w:val="right"/>
              <w:rPr>
                <w:rFonts w:asciiTheme="minorHAnsi" w:hAnsiTheme="minorHAnsi" w:cstheme="minorHAnsi"/>
                <w:sz w:val="22"/>
                <w:szCs w:val="22"/>
              </w:rPr>
            </w:pPr>
            <w:r w:rsidRPr="00F56D2C">
              <w:rPr>
                <w:rFonts w:asciiTheme="minorHAnsi" w:hAnsiTheme="minorHAnsi" w:cstheme="minorHAnsi"/>
                <w:sz w:val="22"/>
                <w:szCs w:val="22"/>
              </w:rPr>
              <w:t>–</w:t>
            </w:r>
          </w:p>
        </w:tc>
        <w:tc>
          <w:tcPr>
            <w:tcW w:w="1276" w:type="dxa"/>
          </w:tcPr>
          <w:p w14:paraId="1C0C7DE7" w14:textId="7799014B" w:rsidR="001D52B1" w:rsidRPr="00F56D2C" w:rsidRDefault="001D52B1" w:rsidP="004A7D55">
            <w:pPr>
              <w:pStyle w:val="TableCopy"/>
              <w:jc w:val="right"/>
              <w:rPr>
                <w:rFonts w:asciiTheme="minorHAnsi" w:hAnsiTheme="minorHAnsi" w:cstheme="minorHAnsi"/>
                <w:sz w:val="22"/>
                <w:szCs w:val="22"/>
              </w:rPr>
            </w:pPr>
            <w:r w:rsidRPr="00F56D2C">
              <w:rPr>
                <w:rFonts w:asciiTheme="minorHAnsi" w:hAnsiTheme="minorHAnsi" w:cstheme="minorHAnsi"/>
                <w:sz w:val="22"/>
                <w:szCs w:val="22"/>
              </w:rPr>
              <w:t>–</w:t>
            </w:r>
          </w:p>
        </w:tc>
        <w:tc>
          <w:tcPr>
            <w:tcW w:w="1417" w:type="dxa"/>
          </w:tcPr>
          <w:p w14:paraId="2646C81C" w14:textId="25D0B702" w:rsidR="001D52B1" w:rsidRPr="00F56D2C" w:rsidRDefault="001D52B1" w:rsidP="004A7D55">
            <w:pPr>
              <w:pStyle w:val="TableCopy"/>
              <w:jc w:val="right"/>
              <w:rPr>
                <w:rFonts w:asciiTheme="minorHAnsi" w:hAnsiTheme="minorHAnsi" w:cstheme="minorHAnsi"/>
                <w:sz w:val="22"/>
                <w:szCs w:val="22"/>
              </w:rPr>
            </w:pPr>
            <w:r w:rsidRPr="00F56D2C">
              <w:rPr>
                <w:rFonts w:asciiTheme="minorHAnsi" w:hAnsiTheme="minorHAnsi" w:cstheme="minorHAnsi"/>
                <w:sz w:val="22"/>
                <w:szCs w:val="22"/>
              </w:rPr>
              <w:t>–</w:t>
            </w:r>
          </w:p>
        </w:tc>
        <w:tc>
          <w:tcPr>
            <w:tcW w:w="1134" w:type="dxa"/>
          </w:tcPr>
          <w:p w14:paraId="04778EB3" w14:textId="325A36EE" w:rsidR="001D52B1" w:rsidRPr="00F56D2C" w:rsidRDefault="001D52B1" w:rsidP="004A7D55">
            <w:pPr>
              <w:pStyle w:val="TableCopy"/>
              <w:jc w:val="right"/>
              <w:rPr>
                <w:rFonts w:asciiTheme="minorHAnsi" w:hAnsiTheme="minorHAnsi" w:cstheme="minorHAnsi"/>
                <w:sz w:val="22"/>
                <w:szCs w:val="22"/>
              </w:rPr>
            </w:pPr>
            <w:r w:rsidRPr="00F56D2C">
              <w:rPr>
                <w:rFonts w:asciiTheme="minorHAnsi" w:hAnsiTheme="minorHAnsi" w:cstheme="minorHAnsi"/>
                <w:sz w:val="22"/>
                <w:szCs w:val="22"/>
              </w:rPr>
              <w:t>–</w:t>
            </w:r>
          </w:p>
        </w:tc>
        <w:tc>
          <w:tcPr>
            <w:tcW w:w="1134" w:type="dxa"/>
          </w:tcPr>
          <w:p w14:paraId="79AA292A" w14:textId="17CCC625" w:rsidR="001D52B1" w:rsidRPr="00F56D2C" w:rsidRDefault="001D52B1" w:rsidP="004A7D55">
            <w:pPr>
              <w:pStyle w:val="TableCopy"/>
              <w:jc w:val="right"/>
              <w:rPr>
                <w:rFonts w:asciiTheme="minorHAnsi" w:hAnsiTheme="minorHAnsi" w:cstheme="minorHAnsi"/>
                <w:sz w:val="22"/>
                <w:szCs w:val="22"/>
              </w:rPr>
            </w:pPr>
            <w:r w:rsidRPr="00F56D2C">
              <w:rPr>
                <w:rFonts w:asciiTheme="minorHAnsi" w:hAnsiTheme="minorHAnsi" w:cstheme="minorHAnsi"/>
                <w:sz w:val="22"/>
                <w:szCs w:val="22"/>
              </w:rPr>
              <w:t>–</w:t>
            </w:r>
          </w:p>
        </w:tc>
      </w:tr>
      <w:tr w:rsidR="00F56D2C" w:rsidRPr="004A7D55" w14:paraId="45721299" w14:textId="77777777" w:rsidTr="004A7D55">
        <w:trPr>
          <w:cantSplit/>
        </w:trPr>
        <w:tc>
          <w:tcPr>
            <w:tcW w:w="2689" w:type="dxa"/>
          </w:tcPr>
          <w:p w14:paraId="092B12C2" w14:textId="6FCD4E58" w:rsidR="001D52B1" w:rsidRPr="004A7D55" w:rsidRDefault="001D52B1" w:rsidP="00F56D2C">
            <w:pPr>
              <w:pStyle w:val="TableCopy"/>
              <w:rPr>
                <w:rFonts w:asciiTheme="minorHAnsi" w:hAnsiTheme="minorHAnsi" w:cstheme="minorHAnsi"/>
                <w:b/>
                <w:bCs/>
                <w:sz w:val="22"/>
                <w:szCs w:val="22"/>
              </w:rPr>
            </w:pPr>
            <w:r w:rsidRPr="004A7D55">
              <w:rPr>
                <w:rFonts w:asciiTheme="minorHAnsi" w:hAnsiTheme="minorHAnsi" w:cstheme="minorHAnsi"/>
                <w:b/>
                <w:bCs/>
                <w:sz w:val="22"/>
                <w:szCs w:val="22"/>
              </w:rPr>
              <w:t>Comprehensive result</w:t>
            </w:r>
          </w:p>
        </w:tc>
        <w:tc>
          <w:tcPr>
            <w:tcW w:w="1417" w:type="dxa"/>
          </w:tcPr>
          <w:p w14:paraId="547B6442" w14:textId="77777777" w:rsidR="001D52B1" w:rsidRPr="004A7D55" w:rsidRDefault="001D52B1" w:rsidP="004A7D55">
            <w:pPr>
              <w:pStyle w:val="TableCopy"/>
              <w:jc w:val="right"/>
              <w:rPr>
                <w:rFonts w:asciiTheme="minorHAnsi" w:hAnsiTheme="minorHAnsi" w:cstheme="minorHAnsi"/>
                <w:b/>
                <w:bCs/>
                <w:sz w:val="22"/>
                <w:szCs w:val="22"/>
              </w:rPr>
            </w:pPr>
            <w:r w:rsidRPr="004A7D55">
              <w:rPr>
                <w:rFonts w:asciiTheme="minorHAnsi" w:hAnsiTheme="minorHAnsi" w:cstheme="minorHAnsi"/>
                <w:b/>
                <w:bCs/>
                <w:sz w:val="22"/>
                <w:szCs w:val="22"/>
              </w:rPr>
              <w:t>(1,686)</w:t>
            </w:r>
          </w:p>
        </w:tc>
        <w:tc>
          <w:tcPr>
            <w:tcW w:w="1418" w:type="dxa"/>
          </w:tcPr>
          <w:p w14:paraId="1CC21245" w14:textId="77777777" w:rsidR="001D52B1" w:rsidRPr="004A7D55" w:rsidRDefault="001D52B1" w:rsidP="004A7D55">
            <w:pPr>
              <w:pStyle w:val="TableCopy"/>
              <w:jc w:val="right"/>
              <w:rPr>
                <w:rFonts w:asciiTheme="minorHAnsi" w:hAnsiTheme="minorHAnsi" w:cstheme="minorHAnsi"/>
                <w:b/>
                <w:bCs/>
                <w:sz w:val="22"/>
                <w:szCs w:val="22"/>
              </w:rPr>
            </w:pPr>
            <w:r w:rsidRPr="004A7D55">
              <w:rPr>
                <w:rFonts w:asciiTheme="minorHAnsi" w:hAnsiTheme="minorHAnsi" w:cstheme="minorHAnsi"/>
                <w:b/>
                <w:bCs/>
                <w:sz w:val="22"/>
                <w:szCs w:val="22"/>
              </w:rPr>
              <w:t>(248)</w:t>
            </w:r>
          </w:p>
        </w:tc>
        <w:tc>
          <w:tcPr>
            <w:tcW w:w="1134" w:type="dxa"/>
          </w:tcPr>
          <w:p w14:paraId="26F15251" w14:textId="25DA3756" w:rsidR="001D52B1" w:rsidRPr="004A7D55" w:rsidRDefault="001D52B1" w:rsidP="004A7D55">
            <w:pPr>
              <w:pStyle w:val="TableCopy"/>
              <w:jc w:val="right"/>
              <w:rPr>
                <w:rFonts w:asciiTheme="minorHAnsi" w:hAnsiTheme="minorHAnsi" w:cstheme="minorHAnsi"/>
                <w:b/>
                <w:bCs/>
                <w:sz w:val="22"/>
                <w:szCs w:val="22"/>
              </w:rPr>
            </w:pPr>
            <w:r w:rsidRPr="004A7D55">
              <w:rPr>
                <w:rFonts w:asciiTheme="minorHAnsi" w:hAnsiTheme="minorHAnsi" w:cstheme="minorHAnsi"/>
                <w:b/>
                <w:bCs/>
                <w:sz w:val="22"/>
                <w:szCs w:val="22"/>
              </w:rPr>
              <w:t>61,141</w:t>
            </w:r>
          </w:p>
        </w:tc>
        <w:tc>
          <w:tcPr>
            <w:tcW w:w="1134" w:type="dxa"/>
          </w:tcPr>
          <w:p w14:paraId="12EFBDE7" w14:textId="3F899311" w:rsidR="001D52B1" w:rsidRPr="004A7D55" w:rsidRDefault="001D52B1" w:rsidP="004A7D55">
            <w:pPr>
              <w:pStyle w:val="TableCopy"/>
              <w:jc w:val="right"/>
              <w:rPr>
                <w:rFonts w:asciiTheme="minorHAnsi" w:hAnsiTheme="minorHAnsi" w:cstheme="minorHAnsi"/>
                <w:b/>
                <w:bCs/>
                <w:sz w:val="22"/>
                <w:szCs w:val="22"/>
              </w:rPr>
            </w:pPr>
            <w:r w:rsidRPr="004A7D55">
              <w:rPr>
                <w:rFonts w:asciiTheme="minorHAnsi" w:hAnsiTheme="minorHAnsi" w:cstheme="minorHAnsi"/>
                <w:b/>
                <w:bCs/>
                <w:sz w:val="22"/>
                <w:szCs w:val="22"/>
              </w:rPr>
              <w:t>54,150</w:t>
            </w:r>
          </w:p>
        </w:tc>
        <w:tc>
          <w:tcPr>
            <w:tcW w:w="1134" w:type="dxa"/>
          </w:tcPr>
          <w:p w14:paraId="1254FD8B" w14:textId="1BDBCF31" w:rsidR="001D52B1" w:rsidRPr="004A7D55" w:rsidRDefault="001D52B1" w:rsidP="004A7D55">
            <w:pPr>
              <w:pStyle w:val="TableCopy"/>
              <w:jc w:val="right"/>
              <w:rPr>
                <w:rFonts w:asciiTheme="minorHAnsi" w:hAnsiTheme="minorHAnsi" w:cstheme="minorHAnsi"/>
                <w:b/>
                <w:bCs/>
                <w:sz w:val="22"/>
                <w:szCs w:val="22"/>
              </w:rPr>
            </w:pPr>
            <w:r w:rsidRPr="004A7D55">
              <w:rPr>
                <w:rFonts w:asciiTheme="minorHAnsi" w:hAnsiTheme="minorHAnsi" w:cstheme="minorHAnsi"/>
                <w:b/>
                <w:bCs/>
                <w:sz w:val="22"/>
                <w:szCs w:val="22"/>
              </w:rPr>
              <w:t>1,380</w:t>
            </w:r>
          </w:p>
        </w:tc>
        <w:tc>
          <w:tcPr>
            <w:tcW w:w="1134" w:type="dxa"/>
          </w:tcPr>
          <w:p w14:paraId="618F80EE" w14:textId="77777777" w:rsidR="001D52B1" w:rsidRPr="004A7D55" w:rsidRDefault="001D52B1" w:rsidP="004A7D55">
            <w:pPr>
              <w:pStyle w:val="TableCopy"/>
              <w:jc w:val="right"/>
              <w:rPr>
                <w:rFonts w:asciiTheme="minorHAnsi" w:hAnsiTheme="minorHAnsi" w:cstheme="minorHAnsi"/>
                <w:b/>
                <w:bCs/>
                <w:sz w:val="22"/>
                <w:szCs w:val="22"/>
              </w:rPr>
            </w:pPr>
            <w:r w:rsidRPr="004A7D55">
              <w:rPr>
                <w:rFonts w:asciiTheme="minorHAnsi" w:hAnsiTheme="minorHAnsi" w:cstheme="minorHAnsi"/>
                <w:b/>
                <w:bCs/>
                <w:sz w:val="22"/>
                <w:szCs w:val="22"/>
              </w:rPr>
              <w:t>(36)</w:t>
            </w:r>
          </w:p>
        </w:tc>
        <w:tc>
          <w:tcPr>
            <w:tcW w:w="1276" w:type="dxa"/>
          </w:tcPr>
          <w:p w14:paraId="59521695" w14:textId="5AA84060" w:rsidR="001D52B1" w:rsidRPr="004A7D55" w:rsidRDefault="001D52B1" w:rsidP="004A7D55">
            <w:pPr>
              <w:pStyle w:val="TableCopy"/>
              <w:jc w:val="right"/>
              <w:rPr>
                <w:rFonts w:asciiTheme="minorHAnsi" w:hAnsiTheme="minorHAnsi" w:cstheme="minorHAnsi"/>
                <w:b/>
                <w:bCs/>
                <w:sz w:val="22"/>
                <w:szCs w:val="22"/>
              </w:rPr>
            </w:pPr>
            <w:r w:rsidRPr="004A7D55">
              <w:rPr>
                <w:rFonts w:asciiTheme="minorHAnsi" w:hAnsiTheme="minorHAnsi" w:cstheme="minorHAnsi"/>
                <w:b/>
                <w:bCs/>
                <w:sz w:val="22"/>
                <w:szCs w:val="22"/>
              </w:rPr>
              <w:t>2</w:t>
            </w:r>
          </w:p>
        </w:tc>
        <w:tc>
          <w:tcPr>
            <w:tcW w:w="1417" w:type="dxa"/>
          </w:tcPr>
          <w:p w14:paraId="3D393017" w14:textId="03BA77D9" w:rsidR="001D52B1" w:rsidRPr="004A7D55" w:rsidRDefault="001D52B1" w:rsidP="004A7D55">
            <w:pPr>
              <w:pStyle w:val="TableCopy"/>
              <w:jc w:val="right"/>
              <w:rPr>
                <w:rFonts w:asciiTheme="minorHAnsi" w:hAnsiTheme="minorHAnsi" w:cstheme="minorHAnsi"/>
                <w:b/>
                <w:bCs/>
                <w:sz w:val="22"/>
                <w:szCs w:val="22"/>
              </w:rPr>
            </w:pPr>
            <w:r w:rsidRPr="004A7D55">
              <w:rPr>
                <w:rFonts w:asciiTheme="minorHAnsi" w:hAnsiTheme="minorHAnsi" w:cstheme="minorHAnsi"/>
                <w:b/>
                <w:bCs/>
                <w:sz w:val="22"/>
                <w:szCs w:val="22"/>
              </w:rPr>
              <w:t>5,265</w:t>
            </w:r>
          </w:p>
        </w:tc>
        <w:tc>
          <w:tcPr>
            <w:tcW w:w="1134" w:type="dxa"/>
          </w:tcPr>
          <w:p w14:paraId="55F6B3A7" w14:textId="23947290" w:rsidR="001D52B1" w:rsidRPr="004A7D55" w:rsidRDefault="001D52B1" w:rsidP="004A7D55">
            <w:pPr>
              <w:pStyle w:val="TableCopy"/>
              <w:jc w:val="right"/>
              <w:rPr>
                <w:rFonts w:asciiTheme="minorHAnsi" w:hAnsiTheme="minorHAnsi" w:cstheme="minorHAnsi"/>
                <w:b/>
                <w:bCs/>
                <w:sz w:val="22"/>
                <w:szCs w:val="22"/>
              </w:rPr>
            </w:pPr>
            <w:r w:rsidRPr="004A7D55">
              <w:rPr>
                <w:rFonts w:asciiTheme="minorHAnsi" w:hAnsiTheme="minorHAnsi" w:cstheme="minorHAnsi"/>
                <w:b/>
                <w:bCs/>
                <w:sz w:val="22"/>
                <w:szCs w:val="22"/>
              </w:rPr>
              <w:t>22,478</w:t>
            </w:r>
          </w:p>
        </w:tc>
        <w:tc>
          <w:tcPr>
            <w:tcW w:w="1134" w:type="dxa"/>
          </w:tcPr>
          <w:p w14:paraId="7456EA94" w14:textId="77777777" w:rsidR="001D52B1" w:rsidRPr="004A7D55" w:rsidRDefault="001D52B1" w:rsidP="004A7D55">
            <w:pPr>
              <w:pStyle w:val="TableCopy"/>
              <w:jc w:val="right"/>
              <w:rPr>
                <w:rFonts w:asciiTheme="minorHAnsi" w:hAnsiTheme="minorHAnsi" w:cstheme="minorHAnsi"/>
                <w:b/>
                <w:bCs/>
                <w:sz w:val="22"/>
                <w:szCs w:val="22"/>
              </w:rPr>
            </w:pPr>
            <w:r w:rsidRPr="004A7D55">
              <w:rPr>
                <w:rFonts w:asciiTheme="minorHAnsi" w:hAnsiTheme="minorHAnsi" w:cstheme="minorHAnsi"/>
                <w:b/>
                <w:bCs/>
                <w:sz w:val="22"/>
                <w:szCs w:val="22"/>
              </w:rPr>
              <w:t>(5,039)</w:t>
            </w:r>
          </w:p>
        </w:tc>
      </w:tr>
    </w:tbl>
    <w:p w14:paraId="44404189" w14:textId="77777777" w:rsidR="000756EB" w:rsidRDefault="000756EB" w:rsidP="004A7D55">
      <w:pPr>
        <w:pStyle w:val="FootnoteText"/>
      </w:pPr>
    </w:p>
    <w:p w14:paraId="701F0952" w14:textId="7F378EC7" w:rsidR="000756EB" w:rsidRDefault="004A4D88" w:rsidP="004A7D55">
      <w:pPr>
        <w:pStyle w:val="FootnoteText"/>
      </w:pPr>
      <w:r>
        <w:t>(</w:t>
      </w:r>
      <w:proofErr w:type="spellStart"/>
      <w:r>
        <w:t>i</w:t>
      </w:r>
      <w:proofErr w:type="spellEnd"/>
      <w:r>
        <w:t>)</w:t>
      </w:r>
      <w:r w:rsidR="004A7D55">
        <w:t xml:space="preserve"> </w:t>
      </w:r>
      <w:r>
        <w:t>For</w:t>
      </w:r>
      <w:r w:rsidR="00A03629">
        <w:t xml:space="preserve"> </w:t>
      </w:r>
      <w:r>
        <w:t>the</w:t>
      </w:r>
      <w:r w:rsidR="00A03629">
        <w:t xml:space="preserve"> </w:t>
      </w:r>
      <w:r>
        <w:t>functions</w:t>
      </w:r>
      <w:r w:rsidR="00A03629">
        <w:t xml:space="preserve"> </w:t>
      </w:r>
      <w:r>
        <w:t>assumed</w:t>
      </w:r>
      <w:r w:rsidR="00A03629">
        <w:t xml:space="preserve"> </w:t>
      </w:r>
      <w:proofErr w:type="gramStart"/>
      <w:r>
        <w:t>as</w:t>
      </w:r>
      <w:r w:rsidR="00A03629">
        <w:t xml:space="preserve"> </w:t>
      </w:r>
      <w:r>
        <w:t>a</w:t>
      </w:r>
      <w:r w:rsidR="00A03629">
        <w:t xml:space="preserve"> </w:t>
      </w:r>
      <w:r>
        <w:t>result</w:t>
      </w:r>
      <w:r w:rsidR="00A03629">
        <w:t xml:space="preserve"> </w:t>
      </w:r>
      <w:r>
        <w:t>of</w:t>
      </w:r>
      <w:proofErr w:type="gramEnd"/>
      <w:r w:rsidR="00A03629">
        <w:t xml:space="preserve"> </w:t>
      </w:r>
      <w:r>
        <w:t>the</w:t>
      </w:r>
      <w:r w:rsidR="00A03629">
        <w:t xml:space="preserve"> </w:t>
      </w:r>
      <w:r>
        <w:t>machinery</w:t>
      </w:r>
      <w:r w:rsidR="00A03629">
        <w:t xml:space="preserve"> </w:t>
      </w:r>
      <w:r>
        <w:t>of</w:t>
      </w:r>
      <w:r w:rsidR="00A03629">
        <w:t xml:space="preserve"> </w:t>
      </w:r>
      <w:r>
        <w:t>government</w:t>
      </w:r>
      <w:r w:rsidR="00A03629">
        <w:t xml:space="preserve"> </w:t>
      </w:r>
      <w:r>
        <w:t>changes,</w:t>
      </w:r>
      <w:r w:rsidR="00A03629">
        <w:t xml:space="preserve"> </w:t>
      </w:r>
      <w:r>
        <w:t>the</w:t>
      </w:r>
      <w:r w:rsidR="00A03629">
        <w:t xml:space="preserve"> </w:t>
      </w:r>
      <w:r>
        <w:t>2023</w:t>
      </w:r>
      <w:r w:rsidR="00A03629">
        <w:t xml:space="preserve"> </w:t>
      </w:r>
      <w:r>
        <w:t>outputs</w:t>
      </w:r>
      <w:r w:rsidR="00A03629">
        <w:t xml:space="preserve"> </w:t>
      </w:r>
      <w:r>
        <w:t>are</w:t>
      </w:r>
      <w:r w:rsidR="00A03629">
        <w:t xml:space="preserve"> </w:t>
      </w:r>
      <w:r>
        <w:t>for</w:t>
      </w:r>
      <w:r w:rsidR="00A03629">
        <w:t xml:space="preserve"> </w:t>
      </w:r>
      <w:r>
        <w:t>the</w:t>
      </w:r>
      <w:r w:rsidR="00A03629">
        <w:t xml:space="preserve"> </w:t>
      </w:r>
      <w:r>
        <w:t>period</w:t>
      </w:r>
      <w:r w:rsidR="00A03629">
        <w:t xml:space="preserve"> </w:t>
      </w:r>
      <w:r>
        <w:t>from</w:t>
      </w:r>
      <w:r w:rsidR="00A03629">
        <w:t xml:space="preserve"> </w:t>
      </w:r>
      <w:r>
        <w:t>1</w:t>
      </w:r>
      <w:r w:rsidR="00A03629">
        <w:t xml:space="preserve"> </w:t>
      </w:r>
      <w:r>
        <w:t>January</w:t>
      </w:r>
      <w:r w:rsidR="00A03629">
        <w:t xml:space="preserve"> </w:t>
      </w:r>
      <w:r>
        <w:t>2023</w:t>
      </w:r>
      <w:r w:rsidR="00A03629">
        <w:t xml:space="preserve"> </w:t>
      </w:r>
      <w:r>
        <w:t>to</w:t>
      </w:r>
      <w:r w:rsidR="00A03629">
        <w:t xml:space="preserve"> </w:t>
      </w:r>
      <w:r>
        <w:t>30</w:t>
      </w:r>
      <w:r w:rsidR="00A03629">
        <w:t xml:space="preserve"> </w:t>
      </w:r>
      <w:r w:rsidRPr="004A7D55">
        <w:t>June</w:t>
      </w:r>
      <w:r w:rsidR="00A03629">
        <w:t xml:space="preserve"> </w:t>
      </w:r>
      <w:r>
        <w:t>2023</w:t>
      </w:r>
      <w:r w:rsidR="00A03629">
        <w:t xml:space="preserve"> </w:t>
      </w:r>
      <w:r>
        <w:t>with</w:t>
      </w:r>
      <w:r w:rsidR="00A03629">
        <w:t xml:space="preserve"> </w:t>
      </w:r>
      <w:r>
        <w:t>no</w:t>
      </w:r>
      <w:r w:rsidR="00A03629">
        <w:t xml:space="preserve"> </w:t>
      </w:r>
      <w:r>
        <w:t>outputs</w:t>
      </w:r>
      <w:r w:rsidR="00A03629">
        <w:t xml:space="preserve"> </w:t>
      </w:r>
      <w:r>
        <w:t>for</w:t>
      </w:r>
      <w:r w:rsidR="00A03629">
        <w:t xml:space="preserve"> </w:t>
      </w:r>
      <w:r>
        <w:t>2022.</w:t>
      </w:r>
    </w:p>
    <w:p w14:paraId="71B585D9" w14:textId="41D793AC" w:rsidR="000756EB" w:rsidRDefault="004A4D88" w:rsidP="00B123EF">
      <w:pPr>
        <w:pStyle w:val="Heading3"/>
      </w:pPr>
      <w:r>
        <w:lastRenderedPageBreak/>
        <w:t>4.1.2</w:t>
      </w:r>
      <w:r w:rsidR="00DE38B5">
        <w:t xml:space="preserve"> </w:t>
      </w:r>
      <w:r>
        <w:t>Departmental</w:t>
      </w:r>
      <w:r w:rsidR="00A03629">
        <w:t xml:space="preserve"> </w:t>
      </w:r>
      <w:r>
        <w:t>outputs:</w:t>
      </w:r>
      <w:r w:rsidR="00A03629">
        <w:t xml:space="preserve"> </w:t>
      </w:r>
      <w:r>
        <w:t>Controlled</w:t>
      </w:r>
      <w:r w:rsidR="00A03629">
        <w:t xml:space="preserve"> </w:t>
      </w:r>
      <w:r>
        <w:t>revenue</w:t>
      </w:r>
      <w:r w:rsidR="00A03629">
        <w:t xml:space="preserve"> </w:t>
      </w:r>
      <w:r>
        <w:t>and</w:t>
      </w:r>
      <w:r w:rsidR="00A03629">
        <w:t xml:space="preserve"> </w:t>
      </w:r>
      <w:r>
        <w:t>income</w:t>
      </w:r>
      <w:r w:rsidR="00A03629">
        <w:t xml:space="preserve"> </w:t>
      </w:r>
      <w:r>
        <w:t>and</w:t>
      </w:r>
      <w:r w:rsidR="00A03629">
        <w:t xml:space="preserve"> </w:t>
      </w:r>
      <w:r>
        <w:t>expenses</w:t>
      </w:r>
      <w:r w:rsidR="00A03629">
        <w:t xml:space="preserve"> </w:t>
      </w:r>
      <w:r>
        <w:t>for</w:t>
      </w:r>
      <w:r w:rsidR="00A03629">
        <w:t xml:space="preserve"> </w:t>
      </w:r>
      <w:r>
        <w:t>the</w:t>
      </w:r>
      <w:r w:rsidR="00A03629">
        <w:t xml:space="preserve"> </w:t>
      </w:r>
      <w:r>
        <w:t>year</w:t>
      </w:r>
      <w:r w:rsidR="00A03629">
        <w:t xml:space="preserve"> </w:t>
      </w:r>
      <w:r>
        <w:t>ended</w:t>
      </w:r>
      <w:r w:rsidR="00A03629">
        <w:t xml:space="preserve"> </w:t>
      </w:r>
      <w:r>
        <w:t>30</w:t>
      </w:r>
      <w:r w:rsidR="00A03629">
        <w:t xml:space="preserve"> </w:t>
      </w:r>
      <w:r>
        <w:t>June</w:t>
      </w:r>
      <w:r w:rsidR="00A03629">
        <w:t xml:space="preserve"> </w:t>
      </w:r>
      <w:r>
        <w:t>2023</w:t>
      </w:r>
      <w:r w:rsidR="00A03629">
        <w:t xml:space="preserve"> </w:t>
      </w:r>
      <w:r>
        <w:t>Department</w:t>
      </w:r>
      <w:r w:rsidR="00A03629">
        <w:t xml:space="preserve"> </w:t>
      </w:r>
      <w:r>
        <w:t>of</w:t>
      </w:r>
      <w:r w:rsidR="00A03629">
        <w:t xml:space="preserve"> </w:t>
      </w:r>
      <w:r>
        <w:t>Jobs,</w:t>
      </w:r>
      <w:r w:rsidR="00A03629">
        <w:t xml:space="preserve"> </w:t>
      </w:r>
      <w:r>
        <w:t>Skills,</w:t>
      </w:r>
      <w:r w:rsidR="00A03629">
        <w:t xml:space="preserve"> </w:t>
      </w:r>
      <w:r>
        <w:t>Industry</w:t>
      </w:r>
      <w:r w:rsidR="00A03629">
        <w:t xml:space="preserve"> </w:t>
      </w:r>
      <w:r>
        <w:t>and</w:t>
      </w:r>
      <w:r w:rsidR="00A03629">
        <w:t xml:space="preserve"> </w:t>
      </w:r>
      <w:r>
        <w:t>Regions</w:t>
      </w:r>
      <w:r w:rsidR="00A03629">
        <w:t xml:space="preserve"> </w:t>
      </w:r>
      <w:r>
        <w:t>Outputs</w:t>
      </w:r>
      <w:r w:rsidR="00A03629">
        <w:t xml:space="preserve"> </w:t>
      </w:r>
      <w:r>
        <w:t>(continued)</w:t>
      </w:r>
    </w:p>
    <w:tbl>
      <w:tblPr>
        <w:tblStyle w:val="TableGrid"/>
        <w:tblW w:w="15163" w:type="dxa"/>
        <w:tblLayout w:type="fixed"/>
        <w:tblLook w:val="0020" w:firstRow="1" w:lastRow="0" w:firstColumn="0" w:lastColumn="0" w:noHBand="0" w:noVBand="0"/>
      </w:tblPr>
      <w:tblGrid>
        <w:gridCol w:w="4106"/>
        <w:gridCol w:w="1382"/>
        <w:gridCol w:w="1382"/>
        <w:gridCol w:w="1382"/>
        <w:gridCol w:w="1382"/>
        <w:gridCol w:w="1382"/>
        <w:gridCol w:w="1382"/>
        <w:gridCol w:w="1382"/>
        <w:gridCol w:w="1383"/>
      </w:tblGrid>
      <w:tr w:rsidR="00F419B5" w:rsidRPr="00627ECB" w14:paraId="7B14A501" w14:textId="77777777" w:rsidTr="002C5BB5">
        <w:trPr>
          <w:cantSplit/>
          <w:tblHeader/>
        </w:trPr>
        <w:tc>
          <w:tcPr>
            <w:tcW w:w="4106" w:type="dxa"/>
          </w:tcPr>
          <w:p w14:paraId="6B704BF8" w14:textId="77777777" w:rsidR="00F419B5" w:rsidRPr="00627ECB" w:rsidRDefault="00F419B5" w:rsidP="00627ECB">
            <w:pPr>
              <w:pStyle w:val="TableColumnHeading"/>
              <w:rPr>
                <w:sz w:val="20"/>
                <w:szCs w:val="28"/>
              </w:rPr>
            </w:pPr>
            <w:bookmarkStart w:id="38" w:name="ColumnTitles_15"/>
            <w:bookmarkEnd w:id="38"/>
          </w:p>
        </w:tc>
        <w:tc>
          <w:tcPr>
            <w:tcW w:w="1382" w:type="dxa"/>
          </w:tcPr>
          <w:p w14:paraId="2C651883" w14:textId="250E7B16" w:rsidR="00F419B5" w:rsidRPr="00627ECB" w:rsidRDefault="00627ECB" w:rsidP="002C5BB5">
            <w:pPr>
              <w:pStyle w:val="TableColumnHeading"/>
              <w:jc w:val="right"/>
              <w:rPr>
                <w:sz w:val="20"/>
                <w:szCs w:val="28"/>
              </w:rPr>
            </w:pPr>
            <w:r w:rsidRPr="00627ECB">
              <w:rPr>
                <w:sz w:val="20"/>
                <w:szCs w:val="28"/>
              </w:rPr>
              <w:t xml:space="preserve">Suburban Development </w:t>
            </w:r>
            <w:r w:rsidR="00F419B5" w:rsidRPr="00627ECB">
              <w:rPr>
                <w:sz w:val="20"/>
                <w:szCs w:val="28"/>
              </w:rPr>
              <w:t>2023</w:t>
            </w:r>
            <w:r w:rsidRPr="00627ECB">
              <w:rPr>
                <w:sz w:val="20"/>
                <w:szCs w:val="28"/>
              </w:rPr>
              <w:t xml:space="preserve"> ($ thousand)</w:t>
            </w:r>
            <w:r w:rsidR="00F419B5" w:rsidRPr="00627ECB">
              <w:rPr>
                <w:sz w:val="20"/>
                <w:szCs w:val="28"/>
              </w:rPr>
              <w:t xml:space="preserve"> </w:t>
            </w:r>
          </w:p>
        </w:tc>
        <w:tc>
          <w:tcPr>
            <w:tcW w:w="1382" w:type="dxa"/>
          </w:tcPr>
          <w:p w14:paraId="3D6A29FD" w14:textId="18D1008A" w:rsidR="00F419B5" w:rsidRPr="00627ECB" w:rsidRDefault="00627ECB" w:rsidP="002C5BB5">
            <w:pPr>
              <w:pStyle w:val="TableColumnHeading"/>
              <w:jc w:val="right"/>
              <w:rPr>
                <w:sz w:val="20"/>
                <w:szCs w:val="28"/>
              </w:rPr>
            </w:pPr>
            <w:r w:rsidRPr="00627ECB">
              <w:rPr>
                <w:sz w:val="20"/>
                <w:szCs w:val="28"/>
              </w:rPr>
              <w:t xml:space="preserve">Suburban Development </w:t>
            </w:r>
            <w:r w:rsidR="00F419B5" w:rsidRPr="00627ECB">
              <w:rPr>
                <w:sz w:val="20"/>
                <w:szCs w:val="28"/>
              </w:rPr>
              <w:t>2022</w:t>
            </w:r>
            <w:r w:rsidRPr="00627ECB">
              <w:rPr>
                <w:sz w:val="20"/>
                <w:szCs w:val="28"/>
              </w:rPr>
              <w:t xml:space="preserve"> ($ thousand)</w:t>
            </w:r>
          </w:p>
        </w:tc>
        <w:tc>
          <w:tcPr>
            <w:tcW w:w="1382" w:type="dxa"/>
          </w:tcPr>
          <w:p w14:paraId="2CD9A4EE" w14:textId="73F85490" w:rsidR="00F419B5" w:rsidRPr="00627ECB" w:rsidRDefault="00627ECB" w:rsidP="002C5BB5">
            <w:pPr>
              <w:pStyle w:val="TableColumnHeading"/>
              <w:jc w:val="right"/>
              <w:rPr>
                <w:sz w:val="20"/>
                <w:szCs w:val="28"/>
              </w:rPr>
            </w:pPr>
            <w:r w:rsidRPr="00627ECB">
              <w:rPr>
                <w:sz w:val="20"/>
                <w:szCs w:val="28"/>
              </w:rPr>
              <w:t xml:space="preserve">Regional Development </w:t>
            </w:r>
            <w:r w:rsidR="00F419B5" w:rsidRPr="00627ECB">
              <w:rPr>
                <w:sz w:val="20"/>
                <w:szCs w:val="28"/>
              </w:rPr>
              <w:t>2023</w:t>
            </w:r>
            <w:r w:rsidRPr="00627ECB">
              <w:rPr>
                <w:sz w:val="20"/>
                <w:szCs w:val="28"/>
              </w:rPr>
              <w:t xml:space="preserve"> ($ thousand)</w:t>
            </w:r>
            <w:r w:rsidR="00F419B5" w:rsidRPr="00627ECB">
              <w:rPr>
                <w:sz w:val="20"/>
                <w:szCs w:val="28"/>
              </w:rPr>
              <w:t xml:space="preserve"> </w:t>
            </w:r>
          </w:p>
        </w:tc>
        <w:tc>
          <w:tcPr>
            <w:tcW w:w="1382" w:type="dxa"/>
          </w:tcPr>
          <w:p w14:paraId="34990605" w14:textId="1237710A" w:rsidR="00F419B5" w:rsidRPr="00627ECB" w:rsidRDefault="00627ECB" w:rsidP="002C5BB5">
            <w:pPr>
              <w:pStyle w:val="TableColumnHeading"/>
              <w:jc w:val="right"/>
              <w:rPr>
                <w:sz w:val="20"/>
                <w:szCs w:val="28"/>
              </w:rPr>
            </w:pPr>
            <w:r w:rsidRPr="00627ECB">
              <w:rPr>
                <w:sz w:val="20"/>
                <w:szCs w:val="28"/>
              </w:rPr>
              <w:t xml:space="preserve">Regional Development </w:t>
            </w:r>
            <w:r w:rsidR="00F419B5" w:rsidRPr="00627ECB">
              <w:rPr>
                <w:sz w:val="20"/>
                <w:szCs w:val="28"/>
              </w:rPr>
              <w:t>2022</w:t>
            </w:r>
            <w:r w:rsidRPr="00627ECB">
              <w:rPr>
                <w:sz w:val="20"/>
                <w:szCs w:val="28"/>
              </w:rPr>
              <w:t xml:space="preserve"> ($ thousand)</w:t>
            </w:r>
          </w:p>
        </w:tc>
        <w:tc>
          <w:tcPr>
            <w:tcW w:w="1382" w:type="dxa"/>
          </w:tcPr>
          <w:p w14:paraId="6D88B333" w14:textId="61D06173" w:rsidR="00F419B5" w:rsidRPr="00627ECB" w:rsidRDefault="00627ECB" w:rsidP="002C5BB5">
            <w:pPr>
              <w:pStyle w:val="TableColumnHeading"/>
              <w:jc w:val="right"/>
              <w:rPr>
                <w:sz w:val="20"/>
                <w:szCs w:val="28"/>
              </w:rPr>
            </w:pPr>
            <w:r w:rsidRPr="00627ECB">
              <w:rPr>
                <w:sz w:val="20"/>
                <w:szCs w:val="28"/>
              </w:rPr>
              <w:t xml:space="preserve">Sport and Recreation </w:t>
            </w:r>
            <w:r w:rsidR="00F419B5" w:rsidRPr="00627ECB">
              <w:rPr>
                <w:sz w:val="20"/>
                <w:szCs w:val="28"/>
              </w:rPr>
              <w:t>2023</w:t>
            </w:r>
            <w:r w:rsidRPr="00627ECB">
              <w:rPr>
                <w:sz w:val="20"/>
                <w:szCs w:val="28"/>
              </w:rPr>
              <w:t xml:space="preserve"> ($ thousand)</w:t>
            </w:r>
            <w:r w:rsidR="00F419B5" w:rsidRPr="00627ECB">
              <w:rPr>
                <w:sz w:val="20"/>
                <w:szCs w:val="28"/>
              </w:rPr>
              <w:t xml:space="preserve"> </w:t>
            </w:r>
          </w:p>
        </w:tc>
        <w:tc>
          <w:tcPr>
            <w:tcW w:w="1382" w:type="dxa"/>
          </w:tcPr>
          <w:p w14:paraId="304F8D03" w14:textId="06AE250F" w:rsidR="00F419B5" w:rsidRPr="00627ECB" w:rsidRDefault="00627ECB" w:rsidP="002C5BB5">
            <w:pPr>
              <w:pStyle w:val="TableColumnHeading"/>
              <w:jc w:val="right"/>
              <w:rPr>
                <w:sz w:val="20"/>
                <w:szCs w:val="28"/>
              </w:rPr>
            </w:pPr>
            <w:r w:rsidRPr="00627ECB">
              <w:rPr>
                <w:sz w:val="20"/>
                <w:szCs w:val="28"/>
              </w:rPr>
              <w:t xml:space="preserve">Sport and Recreation </w:t>
            </w:r>
            <w:r w:rsidR="00F419B5" w:rsidRPr="00627ECB">
              <w:rPr>
                <w:sz w:val="20"/>
                <w:szCs w:val="28"/>
              </w:rPr>
              <w:t>2022</w:t>
            </w:r>
            <w:r w:rsidRPr="00627ECB">
              <w:rPr>
                <w:sz w:val="20"/>
                <w:szCs w:val="28"/>
              </w:rPr>
              <w:t xml:space="preserve"> ($ thousand)</w:t>
            </w:r>
          </w:p>
        </w:tc>
        <w:tc>
          <w:tcPr>
            <w:tcW w:w="1382" w:type="dxa"/>
          </w:tcPr>
          <w:p w14:paraId="76E16BB3" w14:textId="2015FD96" w:rsidR="00F419B5" w:rsidRPr="00627ECB" w:rsidRDefault="00627ECB" w:rsidP="002C5BB5">
            <w:pPr>
              <w:pStyle w:val="TableColumnHeading"/>
              <w:jc w:val="right"/>
              <w:rPr>
                <w:sz w:val="20"/>
                <w:szCs w:val="28"/>
              </w:rPr>
            </w:pPr>
            <w:r w:rsidRPr="00627ECB">
              <w:rPr>
                <w:sz w:val="20"/>
                <w:szCs w:val="28"/>
              </w:rPr>
              <w:t xml:space="preserve">Trade and Investment </w:t>
            </w:r>
            <w:r w:rsidR="00F419B5" w:rsidRPr="00627ECB">
              <w:rPr>
                <w:sz w:val="20"/>
                <w:szCs w:val="28"/>
              </w:rPr>
              <w:t>2023</w:t>
            </w:r>
            <w:r w:rsidRPr="00627ECB">
              <w:rPr>
                <w:sz w:val="20"/>
                <w:szCs w:val="28"/>
              </w:rPr>
              <w:t xml:space="preserve"> ($ thousand)</w:t>
            </w:r>
            <w:r w:rsidR="00F419B5" w:rsidRPr="00627ECB">
              <w:rPr>
                <w:sz w:val="20"/>
                <w:szCs w:val="28"/>
              </w:rPr>
              <w:t xml:space="preserve"> </w:t>
            </w:r>
          </w:p>
        </w:tc>
        <w:tc>
          <w:tcPr>
            <w:tcW w:w="1383" w:type="dxa"/>
          </w:tcPr>
          <w:p w14:paraId="40EDBA66" w14:textId="0540C018" w:rsidR="00F419B5" w:rsidRPr="00627ECB" w:rsidRDefault="00627ECB" w:rsidP="002C5BB5">
            <w:pPr>
              <w:pStyle w:val="TableColumnHeading"/>
              <w:jc w:val="right"/>
              <w:rPr>
                <w:sz w:val="20"/>
                <w:szCs w:val="28"/>
              </w:rPr>
            </w:pPr>
            <w:r w:rsidRPr="00627ECB">
              <w:rPr>
                <w:sz w:val="20"/>
                <w:szCs w:val="28"/>
              </w:rPr>
              <w:t xml:space="preserve">Trade and Investment </w:t>
            </w:r>
            <w:r w:rsidR="00F419B5" w:rsidRPr="00627ECB">
              <w:rPr>
                <w:sz w:val="20"/>
                <w:szCs w:val="28"/>
              </w:rPr>
              <w:t>2022</w:t>
            </w:r>
            <w:r w:rsidRPr="00627ECB">
              <w:rPr>
                <w:sz w:val="20"/>
                <w:szCs w:val="28"/>
              </w:rPr>
              <w:t xml:space="preserve"> ($ thousand)</w:t>
            </w:r>
          </w:p>
        </w:tc>
      </w:tr>
      <w:tr w:rsidR="00F419B5" w:rsidRPr="002C5BB5" w14:paraId="20B16836" w14:textId="77777777" w:rsidTr="002C5BB5">
        <w:trPr>
          <w:cantSplit/>
        </w:trPr>
        <w:tc>
          <w:tcPr>
            <w:tcW w:w="4106" w:type="dxa"/>
          </w:tcPr>
          <w:p w14:paraId="620B2247" w14:textId="22BFC945" w:rsidR="00F419B5" w:rsidRPr="002C5BB5" w:rsidRDefault="00F419B5" w:rsidP="00627ECB">
            <w:pPr>
              <w:pStyle w:val="TableHeading"/>
              <w:rPr>
                <w:rFonts w:asciiTheme="minorHAnsi" w:hAnsiTheme="minorHAnsi" w:cstheme="minorHAnsi"/>
                <w:sz w:val="22"/>
                <w:szCs w:val="22"/>
              </w:rPr>
            </w:pPr>
            <w:r w:rsidRPr="002C5BB5">
              <w:rPr>
                <w:rFonts w:asciiTheme="minorHAnsi" w:hAnsiTheme="minorHAnsi" w:cstheme="minorHAnsi"/>
                <w:sz w:val="22"/>
                <w:szCs w:val="22"/>
              </w:rPr>
              <w:t>Revenue and income from transactions</w:t>
            </w:r>
          </w:p>
        </w:tc>
        <w:tc>
          <w:tcPr>
            <w:tcW w:w="1382" w:type="dxa"/>
          </w:tcPr>
          <w:p w14:paraId="2EEED140" w14:textId="77777777" w:rsidR="00F419B5" w:rsidRPr="002C5BB5" w:rsidRDefault="00F419B5" w:rsidP="002C5BB5">
            <w:pPr>
              <w:pStyle w:val="TableHeading"/>
              <w:jc w:val="right"/>
              <w:rPr>
                <w:rFonts w:asciiTheme="minorHAnsi" w:hAnsiTheme="minorHAnsi" w:cstheme="minorHAnsi"/>
                <w:sz w:val="22"/>
                <w:szCs w:val="22"/>
              </w:rPr>
            </w:pPr>
          </w:p>
        </w:tc>
        <w:tc>
          <w:tcPr>
            <w:tcW w:w="1382" w:type="dxa"/>
          </w:tcPr>
          <w:p w14:paraId="1ADE509B" w14:textId="77777777" w:rsidR="00F419B5" w:rsidRPr="002C5BB5" w:rsidRDefault="00F419B5" w:rsidP="002C5BB5">
            <w:pPr>
              <w:pStyle w:val="TableHeading"/>
              <w:jc w:val="right"/>
              <w:rPr>
                <w:rFonts w:asciiTheme="minorHAnsi" w:hAnsiTheme="minorHAnsi" w:cstheme="minorHAnsi"/>
                <w:sz w:val="22"/>
                <w:szCs w:val="22"/>
              </w:rPr>
            </w:pPr>
          </w:p>
        </w:tc>
        <w:tc>
          <w:tcPr>
            <w:tcW w:w="1382" w:type="dxa"/>
          </w:tcPr>
          <w:p w14:paraId="5DC7014E" w14:textId="77777777" w:rsidR="00F419B5" w:rsidRPr="002C5BB5" w:rsidRDefault="00F419B5" w:rsidP="002C5BB5">
            <w:pPr>
              <w:pStyle w:val="TableHeading"/>
              <w:jc w:val="right"/>
              <w:rPr>
                <w:rFonts w:asciiTheme="minorHAnsi" w:hAnsiTheme="minorHAnsi" w:cstheme="minorHAnsi"/>
                <w:sz w:val="22"/>
                <w:szCs w:val="22"/>
              </w:rPr>
            </w:pPr>
          </w:p>
        </w:tc>
        <w:tc>
          <w:tcPr>
            <w:tcW w:w="1382" w:type="dxa"/>
          </w:tcPr>
          <w:p w14:paraId="3689F39D" w14:textId="77777777" w:rsidR="00F419B5" w:rsidRPr="002C5BB5" w:rsidRDefault="00F419B5" w:rsidP="002C5BB5">
            <w:pPr>
              <w:pStyle w:val="TableHeading"/>
              <w:jc w:val="right"/>
              <w:rPr>
                <w:rFonts w:asciiTheme="minorHAnsi" w:hAnsiTheme="minorHAnsi" w:cstheme="minorHAnsi"/>
                <w:sz w:val="22"/>
                <w:szCs w:val="22"/>
              </w:rPr>
            </w:pPr>
          </w:p>
        </w:tc>
        <w:tc>
          <w:tcPr>
            <w:tcW w:w="1382" w:type="dxa"/>
          </w:tcPr>
          <w:p w14:paraId="6553A58D" w14:textId="77777777" w:rsidR="00F419B5" w:rsidRPr="002C5BB5" w:rsidRDefault="00F419B5" w:rsidP="002C5BB5">
            <w:pPr>
              <w:pStyle w:val="TableHeading"/>
              <w:jc w:val="right"/>
              <w:rPr>
                <w:rFonts w:asciiTheme="minorHAnsi" w:hAnsiTheme="minorHAnsi" w:cstheme="minorHAnsi"/>
                <w:sz w:val="22"/>
                <w:szCs w:val="22"/>
              </w:rPr>
            </w:pPr>
          </w:p>
        </w:tc>
        <w:tc>
          <w:tcPr>
            <w:tcW w:w="1382" w:type="dxa"/>
          </w:tcPr>
          <w:p w14:paraId="5502F20E" w14:textId="77777777" w:rsidR="00F419B5" w:rsidRPr="002C5BB5" w:rsidRDefault="00F419B5" w:rsidP="002C5BB5">
            <w:pPr>
              <w:pStyle w:val="TableHeading"/>
              <w:jc w:val="right"/>
              <w:rPr>
                <w:rFonts w:asciiTheme="minorHAnsi" w:hAnsiTheme="minorHAnsi" w:cstheme="minorHAnsi"/>
                <w:sz w:val="22"/>
                <w:szCs w:val="22"/>
              </w:rPr>
            </w:pPr>
          </w:p>
        </w:tc>
        <w:tc>
          <w:tcPr>
            <w:tcW w:w="1382" w:type="dxa"/>
          </w:tcPr>
          <w:p w14:paraId="6D0CE923" w14:textId="77777777" w:rsidR="00F419B5" w:rsidRPr="002C5BB5" w:rsidRDefault="00F419B5" w:rsidP="002C5BB5">
            <w:pPr>
              <w:pStyle w:val="TableHeading"/>
              <w:jc w:val="right"/>
              <w:rPr>
                <w:rFonts w:asciiTheme="minorHAnsi" w:hAnsiTheme="minorHAnsi" w:cstheme="minorHAnsi"/>
                <w:sz w:val="22"/>
                <w:szCs w:val="22"/>
              </w:rPr>
            </w:pPr>
          </w:p>
        </w:tc>
        <w:tc>
          <w:tcPr>
            <w:tcW w:w="1383" w:type="dxa"/>
          </w:tcPr>
          <w:p w14:paraId="2358CCB1" w14:textId="77777777" w:rsidR="00F419B5" w:rsidRPr="002C5BB5" w:rsidRDefault="00F419B5" w:rsidP="002C5BB5">
            <w:pPr>
              <w:pStyle w:val="TableHeading"/>
              <w:jc w:val="right"/>
              <w:rPr>
                <w:rFonts w:asciiTheme="minorHAnsi" w:hAnsiTheme="minorHAnsi" w:cstheme="minorHAnsi"/>
                <w:sz w:val="22"/>
                <w:szCs w:val="22"/>
              </w:rPr>
            </w:pPr>
          </w:p>
        </w:tc>
      </w:tr>
      <w:tr w:rsidR="00F419B5" w:rsidRPr="002C5BB5" w14:paraId="4E890163" w14:textId="77777777" w:rsidTr="002C5BB5">
        <w:trPr>
          <w:cantSplit/>
        </w:trPr>
        <w:tc>
          <w:tcPr>
            <w:tcW w:w="4106" w:type="dxa"/>
          </w:tcPr>
          <w:p w14:paraId="50F7A526" w14:textId="34D0BADA" w:rsidR="00F419B5" w:rsidRPr="002C5BB5" w:rsidRDefault="00F419B5" w:rsidP="00627ECB">
            <w:pPr>
              <w:pStyle w:val="TableCopy"/>
              <w:rPr>
                <w:rFonts w:asciiTheme="minorHAnsi" w:hAnsiTheme="minorHAnsi" w:cstheme="minorHAnsi"/>
                <w:sz w:val="22"/>
                <w:szCs w:val="22"/>
              </w:rPr>
            </w:pPr>
            <w:r w:rsidRPr="002C5BB5">
              <w:rPr>
                <w:rFonts w:asciiTheme="minorHAnsi" w:hAnsiTheme="minorHAnsi" w:cstheme="minorHAnsi"/>
                <w:sz w:val="22"/>
                <w:szCs w:val="22"/>
              </w:rPr>
              <w:t>Output appropriations</w:t>
            </w:r>
          </w:p>
        </w:tc>
        <w:tc>
          <w:tcPr>
            <w:tcW w:w="1382" w:type="dxa"/>
          </w:tcPr>
          <w:p w14:paraId="430CCD38" w14:textId="4066F789" w:rsidR="00F419B5" w:rsidRPr="002C5BB5" w:rsidRDefault="00F419B5" w:rsidP="002C5BB5">
            <w:pPr>
              <w:pStyle w:val="TableCopy"/>
              <w:jc w:val="right"/>
              <w:rPr>
                <w:rFonts w:asciiTheme="minorHAnsi" w:hAnsiTheme="minorHAnsi" w:cstheme="minorHAnsi"/>
                <w:sz w:val="22"/>
                <w:szCs w:val="22"/>
              </w:rPr>
            </w:pPr>
            <w:r w:rsidRPr="002C5BB5">
              <w:rPr>
                <w:rFonts w:asciiTheme="minorHAnsi" w:hAnsiTheme="minorHAnsi" w:cstheme="minorHAnsi"/>
                <w:sz w:val="22"/>
                <w:szCs w:val="22"/>
              </w:rPr>
              <w:t>31,181</w:t>
            </w:r>
          </w:p>
        </w:tc>
        <w:tc>
          <w:tcPr>
            <w:tcW w:w="1382" w:type="dxa"/>
          </w:tcPr>
          <w:p w14:paraId="5D29BEAD" w14:textId="4933291F" w:rsidR="00F419B5" w:rsidRPr="002C5BB5" w:rsidRDefault="00F419B5" w:rsidP="002C5BB5">
            <w:pPr>
              <w:pStyle w:val="TableCopy"/>
              <w:jc w:val="right"/>
              <w:rPr>
                <w:rFonts w:asciiTheme="minorHAnsi" w:hAnsiTheme="minorHAnsi" w:cstheme="minorHAnsi"/>
                <w:sz w:val="22"/>
                <w:szCs w:val="22"/>
              </w:rPr>
            </w:pPr>
            <w:r w:rsidRPr="002C5BB5">
              <w:rPr>
                <w:rFonts w:asciiTheme="minorHAnsi" w:hAnsiTheme="minorHAnsi" w:cstheme="minorHAnsi"/>
                <w:sz w:val="22"/>
                <w:szCs w:val="22"/>
              </w:rPr>
              <w:t>25,558</w:t>
            </w:r>
          </w:p>
        </w:tc>
        <w:tc>
          <w:tcPr>
            <w:tcW w:w="1382" w:type="dxa"/>
          </w:tcPr>
          <w:p w14:paraId="2584CAD1" w14:textId="4ABD68BF" w:rsidR="00F419B5" w:rsidRPr="002C5BB5" w:rsidRDefault="00F419B5" w:rsidP="002C5BB5">
            <w:pPr>
              <w:pStyle w:val="TableCopy"/>
              <w:jc w:val="right"/>
              <w:rPr>
                <w:rFonts w:asciiTheme="minorHAnsi" w:hAnsiTheme="minorHAnsi" w:cstheme="minorHAnsi"/>
                <w:sz w:val="22"/>
                <w:szCs w:val="22"/>
              </w:rPr>
            </w:pPr>
            <w:r w:rsidRPr="002C5BB5">
              <w:rPr>
                <w:rFonts w:asciiTheme="minorHAnsi" w:hAnsiTheme="minorHAnsi" w:cstheme="minorHAnsi"/>
                <w:sz w:val="22"/>
                <w:szCs w:val="22"/>
              </w:rPr>
              <w:t>167,104</w:t>
            </w:r>
          </w:p>
        </w:tc>
        <w:tc>
          <w:tcPr>
            <w:tcW w:w="1382" w:type="dxa"/>
          </w:tcPr>
          <w:p w14:paraId="726570D7" w14:textId="5F684319" w:rsidR="00F419B5" w:rsidRPr="002C5BB5" w:rsidRDefault="00F419B5" w:rsidP="002C5BB5">
            <w:pPr>
              <w:pStyle w:val="TableCopy"/>
              <w:jc w:val="right"/>
              <w:rPr>
                <w:rFonts w:asciiTheme="minorHAnsi" w:hAnsiTheme="minorHAnsi" w:cstheme="minorHAnsi"/>
                <w:sz w:val="22"/>
                <w:szCs w:val="22"/>
              </w:rPr>
            </w:pPr>
            <w:r w:rsidRPr="002C5BB5">
              <w:rPr>
                <w:rFonts w:asciiTheme="minorHAnsi" w:hAnsiTheme="minorHAnsi" w:cstheme="minorHAnsi"/>
                <w:sz w:val="22"/>
                <w:szCs w:val="22"/>
              </w:rPr>
              <w:t>208,971</w:t>
            </w:r>
          </w:p>
        </w:tc>
        <w:tc>
          <w:tcPr>
            <w:tcW w:w="1382" w:type="dxa"/>
          </w:tcPr>
          <w:p w14:paraId="38A6DBCC" w14:textId="3DE2FC82" w:rsidR="00F419B5" w:rsidRPr="002C5BB5" w:rsidRDefault="00F419B5" w:rsidP="002C5BB5">
            <w:pPr>
              <w:pStyle w:val="TableCopy"/>
              <w:jc w:val="right"/>
              <w:rPr>
                <w:rFonts w:asciiTheme="minorHAnsi" w:hAnsiTheme="minorHAnsi" w:cstheme="minorHAnsi"/>
                <w:sz w:val="22"/>
                <w:szCs w:val="22"/>
              </w:rPr>
            </w:pPr>
            <w:r w:rsidRPr="002C5BB5">
              <w:rPr>
                <w:rFonts w:asciiTheme="minorHAnsi" w:hAnsiTheme="minorHAnsi" w:cstheme="minorHAnsi"/>
                <w:sz w:val="22"/>
                <w:szCs w:val="22"/>
              </w:rPr>
              <w:t>476,617</w:t>
            </w:r>
          </w:p>
        </w:tc>
        <w:tc>
          <w:tcPr>
            <w:tcW w:w="1382" w:type="dxa"/>
          </w:tcPr>
          <w:p w14:paraId="744AE5F7" w14:textId="47FDECAE" w:rsidR="00F419B5" w:rsidRPr="002C5BB5" w:rsidRDefault="00F419B5" w:rsidP="002C5BB5">
            <w:pPr>
              <w:pStyle w:val="TableCopy"/>
              <w:jc w:val="right"/>
              <w:rPr>
                <w:rFonts w:asciiTheme="minorHAnsi" w:hAnsiTheme="minorHAnsi" w:cstheme="minorHAnsi"/>
                <w:sz w:val="22"/>
                <w:szCs w:val="22"/>
              </w:rPr>
            </w:pPr>
            <w:r w:rsidRPr="002C5BB5">
              <w:rPr>
                <w:rFonts w:asciiTheme="minorHAnsi" w:hAnsiTheme="minorHAnsi" w:cstheme="minorHAnsi"/>
                <w:sz w:val="22"/>
                <w:szCs w:val="22"/>
              </w:rPr>
              <w:t>661,657</w:t>
            </w:r>
          </w:p>
        </w:tc>
        <w:tc>
          <w:tcPr>
            <w:tcW w:w="1382" w:type="dxa"/>
          </w:tcPr>
          <w:p w14:paraId="78653228" w14:textId="736DA6CD" w:rsidR="00F419B5" w:rsidRPr="002C5BB5" w:rsidRDefault="00F419B5" w:rsidP="002C5BB5">
            <w:pPr>
              <w:pStyle w:val="TableCopy"/>
              <w:jc w:val="right"/>
              <w:rPr>
                <w:rFonts w:asciiTheme="minorHAnsi" w:hAnsiTheme="minorHAnsi" w:cstheme="minorHAnsi"/>
                <w:sz w:val="22"/>
                <w:szCs w:val="22"/>
              </w:rPr>
            </w:pPr>
            <w:r w:rsidRPr="002C5BB5">
              <w:rPr>
                <w:rFonts w:asciiTheme="minorHAnsi" w:hAnsiTheme="minorHAnsi" w:cstheme="minorHAnsi"/>
                <w:sz w:val="22"/>
                <w:szCs w:val="22"/>
              </w:rPr>
              <w:t>94,620</w:t>
            </w:r>
          </w:p>
        </w:tc>
        <w:tc>
          <w:tcPr>
            <w:tcW w:w="1383" w:type="dxa"/>
          </w:tcPr>
          <w:p w14:paraId="5D422B6E" w14:textId="50A4ED46" w:rsidR="00F419B5" w:rsidRPr="002C5BB5" w:rsidRDefault="00F419B5" w:rsidP="002C5BB5">
            <w:pPr>
              <w:pStyle w:val="TableCopy"/>
              <w:jc w:val="right"/>
              <w:rPr>
                <w:rFonts w:asciiTheme="minorHAnsi" w:hAnsiTheme="minorHAnsi" w:cstheme="minorHAnsi"/>
                <w:sz w:val="22"/>
                <w:szCs w:val="22"/>
              </w:rPr>
            </w:pPr>
            <w:r w:rsidRPr="002C5BB5">
              <w:rPr>
                <w:rFonts w:asciiTheme="minorHAnsi" w:hAnsiTheme="minorHAnsi" w:cstheme="minorHAnsi"/>
                <w:sz w:val="22"/>
                <w:szCs w:val="22"/>
              </w:rPr>
              <w:t>88,679</w:t>
            </w:r>
          </w:p>
        </w:tc>
      </w:tr>
      <w:tr w:rsidR="00F419B5" w:rsidRPr="002C5BB5" w14:paraId="0ED5A5CB" w14:textId="77777777" w:rsidTr="002C5BB5">
        <w:trPr>
          <w:cantSplit/>
        </w:trPr>
        <w:tc>
          <w:tcPr>
            <w:tcW w:w="4106" w:type="dxa"/>
          </w:tcPr>
          <w:p w14:paraId="7907186A" w14:textId="77777777" w:rsidR="00F419B5" w:rsidRPr="002C5BB5" w:rsidRDefault="00F419B5" w:rsidP="00627ECB">
            <w:pPr>
              <w:pStyle w:val="TableCopy"/>
              <w:rPr>
                <w:rFonts w:asciiTheme="minorHAnsi" w:hAnsiTheme="minorHAnsi" w:cstheme="minorHAnsi"/>
                <w:sz w:val="22"/>
                <w:szCs w:val="22"/>
              </w:rPr>
            </w:pPr>
            <w:r w:rsidRPr="002C5BB5">
              <w:rPr>
                <w:rFonts w:asciiTheme="minorHAnsi" w:hAnsiTheme="minorHAnsi" w:cstheme="minorHAnsi"/>
                <w:sz w:val="22"/>
                <w:szCs w:val="22"/>
              </w:rPr>
              <w:t>Grants</w:t>
            </w:r>
          </w:p>
        </w:tc>
        <w:tc>
          <w:tcPr>
            <w:tcW w:w="1382" w:type="dxa"/>
          </w:tcPr>
          <w:p w14:paraId="07A574F7" w14:textId="52294AC5" w:rsidR="00F419B5" w:rsidRPr="002C5BB5" w:rsidRDefault="00F419B5" w:rsidP="002C5BB5">
            <w:pPr>
              <w:pStyle w:val="TableCopy"/>
              <w:jc w:val="right"/>
              <w:rPr>
                <w:rFonts w:asciiTheme="minorHAnsi" w:hAnsiTheme="minorHAnsi" w:cstheme="minorHAnsi"/>
                <w:sz w:val="22"/>
                <w:szCs w:val="22"/>
              </w:rPr>
            </w:pPr>
            <w:r w:rsidRPr="002C5BB5">
              <w:rPr>
                <w:rFonts w:asciiTheme="minorHAnsi" w:hAnsiTheme="minorHAnsi" w:cstheme="minorHAnsi"/>
                <w:sz w:val="22"/>
                <w:szCs w:val="22"/>
              </w:rPr>
              <w:t>–</w:t>
            </w:r>
          </w:p>
        </w:tc>
        <w:tc>
          <w:tcPr>
            <w:tcW w:w="1382" w:type="dxa"/>
          </w:tcPr>
          <w:p w14:paraId="7184EA6A" w14:textId="79E12AD8" w:rsidR="00F419B5" w:rsidRPr="002C5BB5" w:rsidRDefault="00F419B5" w:rsidP="002C5BB5">
            <w:pPr>
              <w:pStyle w:val="TableCopy"/>
              <w:jc w:val="right"/>
              <w:rPr>
                <w:rFonts w:asciiTheme="minorHAnsi" w:hAnsiTheme="minorHAnsi" w:cstheme="minorHAnsi"/>
                <w:sz w:val="22"/>
                <w:szCs w:val="22"/>
              </w:rPr>
            </w:pPr>
            <w:r w:rsidRPr="002C5BB5">
              <w:rPr>
                <w:rFonts w:asciiTheme="minorHAnsi" w:hAnsiTheme="minorHAnsi" w:cstheme="minorHAnsi"/>
                <w:sz w:val="22"/>
                <w:szCs w:val="22"/>
              </w:rPr>
              <w:t>–</w:t>
            </w:r>
          </w:p>
        </w:tc>
        <w:tc>
          <w:tcPr>
            <w:tcW w:w="1382" w:type="dxa"/>
          </w:tcPr>
          <w:p w14:paraId="1321D7AD" w14:textId="4E3595E1" w:rsidR="00F419B5" w:rsidRPr="002C5BB5" w:rsidRDefault="00F419B5" w:rsidP="002C5BB5">
            <w:pPr>
              <w:pStyle w:val="TableCopy"/>
              <w:jc w:val="right"/>
              <w:rPr>
                <w:rFonts w:asciiTheme="minorHAnsi" w:hAnsiTheme="minorHAnsi" w:cstheme="minorHAnsi"/>
                <w:sz w:val="22"/>
                <w:szCs w:val="22"/>
              </w:rPr>
            </w:pPr>
            <w:r w:rsidRPr="002C5BB5">
              <w:rPr>
                <w:rFonts w:asciiTheme="minorHAnsi" w:hAnsiTheme="minorHAnsi" w:cstheme="minorHAnsi"/>
                <w:sz w:val="22"/>
                <w:szCs w:val="22"/>
              </w:rPr>
              <w:t>4,313</w:t>
            </w:r>
          </w:p>
        </w:tc>
        <w:tc>
          <w:tcPr>
            <w:tcW w:w="1382" w:type="dxa"/>
          </w:tcPr>
          <w:p w14:paraId="145BC25F" w14:textId="78C3CADA" w:rsidR="00F419B5" w:rsidRPr="002C5BB5" w:rsidRDefault="00F419B5" w:rsidP="002C5BB5">
            <w:pPr>
              <w:pStyle w:val="TableCopy"/>
              <w:jc w:val="right"/>
              <w:rPr>
                <w:rFonts w:asciiTheme="minorHAnsi" w:hAnsiTheme="minorHAnsi" w:cstheme="minorHAnsi"/>
                <w:sz w:val="22"/>
                <w:szCs w:val="22"/>
              </w:rPr>
            </w:pPr>
            <w:r w:rsidRPr="002C5BB5">
              <w:rPr>
                <w:rFonts w:asciiTheme="minorHAnsi" w:hAnsiTheme="minorHAnsi" w:cstheme="minorHAnsi"/>
                <w:sz w:val="22"/>
                <w:szCs w:val="22"/>
              </w:rPr>
              <w:t>34,731</w:t>
            </w:r>
          </w:p>
        </w:tc>
        <w:tc>
          <w:tcPr>
            <w:tcW w:w="1382" w:type="dxa"/>
          </w:tcPr>
          <w:p w14:paraId="1F3C64AB" w14:textId="0A49FF8A" w:rsidR="00F419B5" w:rsidRPr="002C5BB5" w:rsidRDefault="00F419B5" w:rsidP="002C5BB5">
            <w:pPr>
              <w:pStyle w:val="TableCopy"/>
              <w:jc w:val="right"/>
              <w:rPr>
                <w:rFonts w:asciiTheme="minorHAnsi" w:hAnsiTheme="minorHAnsi" w:cstheme="minorHAnsi"/>
                <w:sz w:val="22"/>
                <w:szCs w:val="22"/>
              </w:rPr>
            </w:pPr>
            <w:r w:rsidRPr="002C5BB5">
              <w:rPr>
                <w:rFonts w:asciiTheme="minorHAnsi" w:hAnsiTheme="minorHAnsi" w:cstheme="minorHAnsi"/>
                <w:sz w:val="22"/>
                <w:szCs w:val="22"/>
              </w:rPr>
              <w:t>44,768</w:t>
            </w:r>
          </w:p>
        </w:tc>
        <w:tc>
          <w:tcPr>
            <w:tcW w:w="1382" w:type="dxa"/>
          </w:tcPr>
          <w:p w14:paraId="6AEEC9C3" w14:textId="53DD0BCD" w:rsidR="00F419B5" w:rsidRPr="002C5BB5" w:rsidRDefault="00F419B5" w:rsidP="002C5BB5">
            <w:pPr>
              <w:pStyle w:val="TableCopy"/>
              <w:jc w:val="right"/>
              <w:rPr>
                <w:rFonts w:asciiTheme="minorHAnsi" w:hAnsiTheme="minorHAnsi" w:cstheme="minorHAnsi"/>
                <w:sz w:val="22"/>
                <w:szCs w:val="22"/>
              </w:rPr>
            </w:pPr>
            <w:r w:rsidRPr="002C5BB5">
              <w:rPr>
                <w:rFonts w:asciiTheme="minorHAnsi" w:hAnsiTheme="minorHAnsi" w:cstheme="minorHAnsi"/>
                <w:sz w:val="22"/>
                <w:szCs w:val="22"/>
              </w:rPr>
              <w:t>32,817</w:t>
            </w:r>
          </w:p>
        </w:tc>
        <w:tc>
          <w:tcPr>
            <w:tcW w:w="1382" w:type="dxa"/>
          </w:tcPr>
          <w:p w14:paraId="65BF2F48" w14:textId="621A99ED" w:rsidR="00F419B5" w:rsidRPr="002C5BB5" w:rsidRDefault="00F419B5" w:rsidP="002C5BB5">
            <w:pPr>
              <w:pStyle w:val="TableCopy"/>
              <w:jc w:val="right"/>
              <w:rPr>
                <w:rFonts w:asciiTheme="minorHAnsi" w:hAnsiTheme="minorHAnsi" w:cstheme="minorHAnsi"/>
                <w:sz w:val="22"/>
                <w:szCs w:val="22"/>
              </w:rPr>
            </w:pPr>
            <w:r w:rsidRPr="002C5BB5">
              <w:rPr>
                <w:rFonts w:asciiTheme="minorHAnsi" w:hAnsiTheme="minorHAnsi" w:cstheme="minorHAnsi"/>
                <w:sz w:val="22"/>
                <w:szCs w:val="22"/>
              </w:rPr>
              <w:t>1,100</w:t>
            </w:r>
          </w:p>
        </w:tc>
        <w:tc>
          <w:tcPr>
            <w:tcW w:w="1383" w:type="dxa"/>
          </w:tcPr>
          <w:p w14:paraId="7285B74B" w14:textId="31900CDD" w:rsidR="00F419B5" w:rsidRPr="002C5BB5" w:rsidRDefault="00F419B5" w:rsidP="002C5BB5">
            <w:pPr>
              <w:pStyle w:val="TableCopy"/>
              <w:jc w:val="right"/>
              <w:rPr>
                <w:rFonts w:asciiTheme="minorHAnsi" w:hAnsiTheme="minorHAnsi" w:cstheme="minorHAnsi"/>
                <w:sz w:val="22"/>
                <w:szCs w:val="22"/>
              </w:rPr>
            </w:pPr>
            <w:r w:rsidRPr="002C5BB5">
              <w:rPr>
                <w:rFonts w:asciiTheme="minorHAnsi" w:hAnsiTheme="minorHAnsi" w:cstheme="minorHAnsi"/>
                <w:sz w:val="22"/>
                <w:szCs w:val="22"/>
              </w:rPr>
              <w:t>1</w:t>
            </w:r>
          </w:p>
        </w:tc>
      </w:tr>
      <w:tr w:rsidR="00F419B5" w:rsidRPr="002C5BB5" w14:paraId="5ECA1843" w14:textId="77777777" w:rsidTr="002C5BB5">
        <w:trPr>
          <w:cantSplit/>
        </w:trPr>
        <w:tc>
          <w:tcPr>
            <w:tcW w:w="4106" w:type="dxa"/>
          </w:tcPr>
          <w:p w14:paraId="354625CD" w14:textId="51CA3384" w:rsidR="00F419B5" w:rsidRPr="002C5BB5" w:rsidRDefault="00F419B5" w:rsidP="00627ECB">
            <w:pPr>
              <w:pStyle w:val="TableCopy"/>
              <w:rPr>
                <w:rFonts w:asciiTheme="minorHAnsi" w:hAnsiTheme="minorHAnsi" w:cstheme="minorHAnsi"/>
                <w:sz w:val="22"/>
                <w:szCs w:val="22"/>
              </w:rPr>
            </w:pPr>
            <w:r w:rsidRPr="002C5BB5">
              <w:rPr>
                <w:rFonts w:asciiTheme="minorHAnsi" w:hAnsiTheme="minorHAnsi" w:cstheme="minorHAnsi"/>
                <w:sz w:val="22"/>
                <w:szCs w:val="22"/>
              </w:rPr>
              <w:t>Sale of services</w:t>
            </w:r>
          </w:p>
        </w:tc>
        <w:tc>
          <w:tcPr>
            <w:tcW w:w="1382" w:type="dxa"/>
          </w:tcPr>
          <w:p w14:paraId="3FA0C681" w14:textId="0270997C" w:rsidR="00F419B5" w:rsidRPr="002C5BB5" w:rsidRDefault="00F419B5" w:rsidP="002C5BB5">
            <w:pPr>
              <w:pStyle w:val="TableCopy"/>
              <w:jc w:val="right"/>
              <w:rPr>
                <w:rFonts w:asciiTheme="minorHAnsi" w:hAnsiTheme="minorHAnsi" w:cstheme="minorHAnsi"/>
                <w:sz w:val="22"/>
                <w:szCs w:val="22"/>
              </w:rPr>
            </w:pPr>
            <w:r w:rsidRPr="002C5BB5">
              <w:rPr>
                <w:rFonts w:asciiTheme="minorHAnsi" w:hAnsiTheme="minorHAnsi" w:cstheme="minorHAnsi"/>
                <w:sz w:val="22"/>
                <w:szCs w:val="22"/>
              </w:rPr>
              <w:t>–</w:t>
            </w:r>
          </w:p>
        </w:tc>
        <w:tc>
          <w:tcPr>
            <w:tcW w:w="1382" w:type="dxa"/>
          </w:tcPr>
          <w:p w14:paraId="15EC1AD5" w14:textId="4CFE2A2E" w:rsidR="00F419B5" w:rsidRPr="002C5BB5" w:rsidRDefault="00F419B5" w:rsidP="002C5BB5">
            <w:pPr>
              <w:pStyle w:val="TableCopy"/>
              <w:jc w:val="right"/>
              <w:rPr>
                <w:rFonts w:asciiTheme="minorHAnsi" w:hAnsiTheme="minorHAnsi" w:cstheme="minorHAnsi"/>
                <w:sz w:val="22"/>
                <w:szCs w:val="22"/>
              </w:rPr>
            </w:pPr>
            <w:r w:rsidRPr="002C5BB5">
              <w:rPr>
                <w:rFonts w:asciiTheme="minorHAnsi" w:hAnsiTheme="minorHAnsi" w:cstheme="minorHAnsi"/>
                <w:sz w:val="22"/>
                <w:szCs w:val="22"/>
              </w:rPr>
              <w:t>–</w:t>
            </w:r>
          </w:p>
        </w:tc>
        <w:tc>
          <w:tcPr>
            <w:tcW w:w="1382" w:type="dxa"/>
          </w:tcPr>
          <w:p w14:paraId="1DCE1A4C" w14:textId="4FBF3FA0" w:rsidR="00F419B5" w:rsidRPr="002C5BB5" w:rsidRDefault="00F419B5" w:rsidP="002C5BB5">
            <w:pPr>
              <w:pStyle w:val="TableCopy"/>
              <w:jc w:val="right"/>
              <w:rPr>
                <w:rFonts w:asciiTheme="minorHAnsi" w:hAnsiTheme="minorHAnsi" w:cstheme="minorHAnsi"/>
                <w:sz w:val="22"/>
                <w:szCs w:val="22"/>
              </w:rPr>
            </w:pPr>
            <w:r w:rsidRPr="002C5BB5">
              <w:rPr>
                <w:rFonts w:asciiTheme="minorHAnsi" w:hAnsiTheme="minorHAnsi" w:cstheme="minorHAnsi"/>
                <w:sz w:val="22"/>
                <w:szCs w:val="22"/>
              </w:rPr>
              <w:t>–</w:t>
            </w:r>
          </w:p>
        </w:tc>
        <w:tc>
          <w:tcPr>
            <w:tcW w:w="1382" w:type="dxa"/>
          </w:tcPr>
          <w:p w14:paraId="06D3A2F0" w14:textId="3E761491" w:rsidR="00F419B5" w:rsidRPr="002C5BB5" w:rsidRDefault="00F419B5" w:rsidP="002C5BB5">
            <w:pPr>
              <w:pStyle w:val="TableCopy"/>
              <w:jc w:val="right"/>
              <w:rPr>
                <w:rFonts w:asciiTheme="minorHAnsi" w:hAnsiTheme="minorHAnsi" w:cstheme="minorHAnsi"/>
                <w:sz w:val="22"/>
                <w:szCs w:val="22"/>
              </w:rPr>
            </w:pPr>
            <w:r w:rsidRPr="002C5BB5">
              <w:rPr>
                <w:rFonts w:asciiTheme="minorHAnsi" w:hAnsiTheme="minorHAnsi" w:cstheme="minorHAnsi"/>
                <w:sz w:val="22"/>
                <w:szCs w:val="22"/>
              </w:rPr>
              <w:t>–</w:t>
            </w:r>
          </w:p>
        </w:tc>
        <w:tc>
          <w:tcPr>
            <w:tcW w:w="1382" w:type="dxa"/>
          </w:tcPr>
          <w:p w14:paraId="001E960D" w14:textId="52FFD6DE" w:rsidR="00F419B5" w:rsidRPr="002C5BB5" w:rsidRDefault="00F419B5" w:rsidP="002C5BB5">
            <w:pPr>
              <w:pStyle w:val="TableCopy"/>
              <w:jc w:val="right"/>
              <w:rPr>
                <w:rFonts w:asciiTheme="minorHAnsi" w:hAnsiTheme="minorHAnsi" w:cstheme="minorHAnsi"/>
                <w:sz w:val="22"/>
                <w:szCs w:val="22"/>
              </w:rPr>
            </w:pPr>
            <w:r w:rsidRPr="002C5BB5">
              <w:rPr>
                <w:rFonts w:asciiTheme="minorHAnsi" w:hAnsiTheme="minorHAnsi" w:cstheme="minorHAnsi"/>
                <w:sz w:val="22"/>
                <w:szCs w:val="22"/>
              </w:rPr>
              <w:t>29</w:t>
            </w:r>
          </w:p>
        </w:tc>
        <w:tc>
          <w:tcPr>
            <w:tcW w:w="1382" w:type="dxa"/>
          </w:tcPr>
          <w:p w14:paraId="306F216D" w14:textId="07FDE6EC" w:rsidR="00F419B5" w:rsidRPr="002C5BB5" w:rsidRDefault="00F419B5" w:rsidP="002C5BB5">
            <w:pPr>
              <w:pStyle w:val="TableCopy"/>
              <w:jc w:val="right"/>
              <w:rPr>
                <w:rFonts w:asciiTheme="minorHAnsi" w:hAnsiTheme="minorHAnsi" w:cstheme="minorHAnsi"/>
                <w:sz w:val="22"/>
                <w:szCs w:val="22"/>
              </w:rPr>
            </w:pPr>
            <w:r w:rsidRPr="002C5BB5">
              <w:rPr>
                <w:rFonts w:asciiTheme="minorHAnsi" w:hAnsiTheme="minorHAnsi" w:cstheme="minorHAnsi"/>
                <w:sz w:val="22"/>
                <w:szCs w:val="22"/>
              </w:rPr>
              <w:t>–</w:t>
            </w:r>
          </w:p>
        </w:tc>
        <w:tc>
          <w:tcPr>
            <w:tcW w:w="1382" w:type="dxa"/>
          </w:tcPr>
          <w:p w14:paraId="32622EFD" w14:textId="73FEAC58" w:rsidR="00F419B5" w:rsidRPr="002C5BB5" w:rsidRDefault="00F419B5" w:rsidP="002C5BB5">
            <w:pPr>
              <w:pStyle w:val="TableCopy"/>
              <w:jc w:val="right"/>
              <w:rPr>
                <w:rFonts w:asciiTheme="minorHAnsi" w:hAnsiTheme="minorHAnsi" w:cstheme="minorHAnsi"/>
                <w:sz w:val="22"/>
                <w:szCs w:val="22"/>
              </w:rPr>
            </w:pPr>
            <w:r w:rsidRPr="002C5BB5">
              <w:rPr>
                <w:rFonts w:asciiTheme="minorHAnsi" w:hAnsiTheme="minorHAnsi" w:cstheme="minorHAnsi"/>
                <w:sz w:val="22"/>
                <w:szCs w:val="22"/>
              </w:rPr>
              <w:t>–</w:t>
            </w:r>
          </w:p>
        </w:tc>
        <w:tc>
          <w:tcPr>
            <w:tcW w:w="1383" w:type="dxa"/>
          </w:tcPr>
          <w:p w14:paraId="7BB16058" w14:textId="3F85E9BD" w:rsidR="00F419B5" w:rsidRPr="002C5BB5" w:rsidRDefault="00F419B5" w:rsidP="002C5BB5">
            <w:pPr>
              <w:pStyle w:val="TableCopy"/>
              <w:jc w:val="right"/>
              <w:rPr>
                <w:rFonts w:asciiTheme="minorHAnsi" w:hAnsiTheme="minorHAnsi" w:cstheme="minorHAnsi"/>
                <w:sz w:val="22"/>
                <w:szCs w:val="22"/>
              </w:rPr>
            </w:pPr>
            <w:r w:rsidRPr="002C5BB5">
              <w:rPr>
                <w:rFonts w:asciiTheme="minorHAnsi" w:hAnsiTheme="minorHAnsi" w:cstheme="minorHAnsi"/>
                <w:sz w:val="22"/>
                <w:szCs w:val="22"/>
              </w:rPr>
              <w:t>–</w:t>
            </w:r>
          </w:p>
        </w:tc>
      </w:tr>
      <w:tr w:rsidR="00F419B5" w:rsidRPr="002C5BB5" w14:paraId="21A23AD4" w14:textId="77777777" w:rsidTr="002C5BB5">
        <w:trPr>
          <w:cantSplit/>
        </w:trPr>
        <w:tc>
          <w:tcPr>
            <w:tcW w:w="4106" w:type="dxa"/>
          </w:tcPr>
          <w:p w14:paraId="0A11ABC4" w14:textId="06F59F4B" w:rsidR="00F419B5" w:rsidRPr="002C5BB5" w:rsidRDefault="00F419B5" w:rsidP="00627ECB">
            <w:pPr>
              <w:pStyle w:val="TableCopy"/>
              <w:rPr>
                <w:rFonts w:asciiTheme="minorHAnsi" w:hAnsiTheme="minorHAnsi" w:cstheme="minorHAnsi"/>
                <w:sz w:val="22"/>
                <w:szCs w:val="22"/>
              </w:rPr>
            </w:pPr>
            <w:r w:rsidRPr="002C5BB5">
              <w:rPr>
                <w:rFonts w:asciiTheme="minorHAnsi" w:hAnsiTheme="minorHAnsi" w:cstheme="minorHAnsi"/>
                <w:sz w:val="22"/>
                <w:szCs w:val="22"/>
              </w:rPr>
              <w:t>Other income</w:t>
            </w:r>
          </w:p>
        </w:tc>
        <w:tc>
          <w:tcPr>
            <w:tcW w:w="1382" w:type="dxa"/>
          </w:tcPr>
          <w:p w14:paraId="3DFA4F01" w14:textId="29898FE4" w:rsidR="00F419B5" w:rsidRPr="002C5BB5" w:rsidRDefault="00F419B5" w:rsidP="002C5BB5">
            <w:pPr>
              <w:pStyle w:val="TableCopy"/>
              <w:jc w:val="right"/>
              <w:rPr>
                <w:rFonts w:asciiTheme="minorHAnsi" w:hAnsiTheme="minorHAnsi" w:cstheme="minorHAnsi"/>
                <w:sz w:val="22"/>
                <w:szCs w:val="22"/>
              </w:rPr>
            </w:pPr>
            <w:r w:rsidRPr="002C5BB5">
              <w:rPr>
                <w:rFonts w:asciiTheme="minorHAnsi" w:hAnsiTheme="minorHAnsi" w:cstheme="minorHAnsi"/>
                <w:sz w:val="22"/>
                <w:szCs w:val="22"/>
              </w:rPr>
              <w:t>–</w:t>
            </w:r>
          </w:p>
        </w:tc>
        <w:tc>
          <w:tcPr>
            <w:tcW w:w="1382" w:type="dxa"/>
          </w:tcPr>
          <w:p w14:paraId="46B5B021" w14:textId="4E0EBED7" w:rsidR="00F419B5" w:rsidRPr="002C5BB5" w:rsidRDefault="00F419B5" w:rsidP="002C5BB5">
            <w:pPr>
              <w:pStyle w:val="TableCopy"/>
              <w:jc w:val="right"/>
              <w:rPr>
                <w:rFonts w:asciiTheme="minorHAnsi" w:hAnsiTheme="minorHAnsi" w:cstheme="minorHAnsi"/>
                <w:sz w:val="22"/>
                <w:szCs w:val="22"/>
              </w:rPr>
            </w:pPr>
            <w:r w:rsidRPr="002C5BB5">
              <w:rPr>
                <w:rFonts w:asciiTheme="minorHAnsi" w:hAnsiTheme="minorHAnsi" w:cstheme="minorHAnsi"/>
                <w:sz w:val="22"/>
                <w:szCs w:val="22"/>
              </w:rPr>
              <w:t>–</w:t>
            </w:r>
          </w:p>
        </w:tc>
        <w:tc>
          <w:tcPr>
            <w:tcW w:w="1382" w:type="dxa"/>
          </w:tcPr>
          <w:p w14:paraId="4332C8DD" w14:textId="26BC2D73" w:rsidR="00F419B5" w:rsidRPr="002C5BB5" w:rsidRDefault="00F419B5" w:rsidP="002C5BB5">
            <w:pPr>
              <w:pStyle w:val="TableCopy"/>
              <w:jc w:val="right"/>
              <w:rPr>
                <w:rFonts w:asciiTheme="minorHAnsi" w:hAnsiTheme="minorHAnsi" w:cstheme="minorHAnsi"/>
                <w:sz w:val="22"/>
                <w:szCs w:val="22"/>
              </w:rPr>
            </w:pPr>
            <w:r w:rsidRPr="002C5BB5">
              <w:rPr>
                <w:rFonts w:asciiTheme="minorHAnsi" w:hAnsiTheme="minorHAnsi" w:cstheme="minorHAnsi"/>
                <w:sz w:val="22"/>
                <w:szCs w:val="22"/>
              </w:rPr>
              <w:t>7,005</w:t>
            </w:r>
          </w:p>
        </w:tc>
        <w:tc>
          <w:tcPr>
            <w:tcW w:w="1382" w:type="dxa"/>
          </w:tcPr>
          <w:p w14:paraId="0E50AF30" w14:textId="1C286B79" w:rsidR="00F419B5" w:rsidRPr="002C5BB5" w:rsidRDefault="00F419B5" w:rsidP="002C5BB5">
            <w:pPr>
              <w:pStyle w:val="TableCopy"/>
              <w:jc w:val="right"/>
              <w:rPr>
                <w:rFonts w:asciiTheme="minorHAnsi" w:hAnsiTheme="minorHAnsi" w:cstheme="minorHAnsi"/>
                <w:sz w:val="22"/>
                <w:szCs w:val="22"/>
              </w:rPr>
            </w:pPr>
            <w:r w:rsidRPr="002C5BB5">
              <w:rPr>
                <w:rFonts w:asciiTheme="minorHAnsi" w:hAnsiTheme="minorHAnsi" w:cstheme="minorHAnsi"/>
                <w:sz w:val="22"/>
                <w:szCs w:val="22"/>
              </w:rPr>
              <w:t>728</w:t>
            </w:r>
          </w:p>
        </w:tc>
        <w:tc>
          <w:tcPr>
            <w:tcW w:w="1382" w:type="dxa"/>
          </w:tcPr>
          <w:p w14:paraId="485D834D" w14:textId="55AFBA80" w:rsidR="00F419B5" w:rsidRPr="002C5BB5" w:rsidRDefault="00F419B5" w:rsidP="002C5BB5">
            <w:pPr>
              <w:pStyle w:val="TableCopy"/>
              <w:jc w:val="right"/>
              <w:rPr>
                <w:rFonts w:asciiTheme="minorHAnsi" w:hAnsiTheme="minorHAnsi" w:cstheme="minorHAnsi"/>
                <w:sz w:val="22"/>
                <w:szCs w:val="22"/>
              </w:rPr>
            </w:pPr>
            <w:r w:rsidRPr="002C5BB5">
              <w:rPr>
                <w:rFonts w:asciiTheme="minorHAnsi" w:hAnsiTheme="minorHAnsi" w:cstheme="minorHAnsi"/>
                <w:sz w:val="22"/>
                <w:szCs w:val="22"/>
              </w:rPr>
              <w:t>1,040</w:t>
            </w:r>
          </w:p>
        </w:tc>
        <w:tc>
          <w:tcPr>
            <w:tcW w:w="1382" w:type="dxa"/>
          </w:tcPr>
          <w:p w14:paraId="46830A06" w14:textId="5192AD85" w:rsidR="00F419B5" w:rsidRPr="002C5BB5" w:rsidRDefault="00F419B5" w:rsidP="002C5BB5">
            <w:pPr>
              <w:pStyle w:val="TableCopy"/>
              <w:jc w:val="right"/>
              <w:rPr>
                <w:rFonts w:asciiTheme="minorHAnsi" w:hAnsiTheme="minorHAnsi" w:cstheme="minorHAnsi"/>
                <w:sz w:val="22"/>
                <w:szCs w:val="22"/>
              </w:rPr>
            </w:pPr>
            <w:r w:rsidRPr="002C5BB5">
              <w:rPr>
                <w:rFonts w:asciiTheme="minorHAnsi" w:hAnsiTheme="minorHAnsi" w:cstheme="minorHAnsi"/>
                <w:sz w:val="22"/>
                <w:szCs w:val="22"/>
              </w:rPr>
              <w:t>2,974</w:t>
            </w:r>
          </w:p>
        </w:tc>
        <w:tc>
          <w:tcPr>
            <w:tcW w:w="1382" w:type="dxa"/>
          </w:tcPr>
          <w:p w14:paraId="2C2454FC" w14:textId="0317AC2D" w:rsidR="00F419B5" w:rsidRPr="002C5BB5" w:rsidRDefault="00F419B5" w:rsidP="002C5BB5">
            <w:pPr>
              <w:pStyle w:val="TableCopy"/>
              <w:jc w:val="right"/>
              <w:rPr>
                <w:rFonts w:asciiTheme="minorHAnsi" w:hAnsiTheme="minorHAnsi" w:cstheme="minorHAnsi"/>
                <w:sz w:val="22"/>
                <w:szCs w:val="22"/>
              </w:rPr>
            </w:pPr>
            <w:r w:rsidRPr="002C5BB5">
              <w:rPr>
                <w:rFonts w:asciiTheme="minorHAnsi" w:hAnsiTheme="minorHAnsi" w:cstheme="minorHAnsi"/>
                <w:sz w:val="22"/>
                <w:szCs w:val="22"/>
              </w:rPr>
              <w:t>150</w:t>
            </w:r>
          </w:p>
        </w:tc>
        <w:tc>
          <w:tcPr>
            <w:tcW w:w="1383" w:type="dxa"/>
          </w:tcPr>
          <w:p w14:paraId="08DD01FF" w14:textId="0CA36B37" w:rsidR="00F419B5" w:rsidRPr="002C5BB5" w:rsidRDefault="00F419B5" w:rsidP="002C5BB5">
            <w:pPr>
              <w:pStyle w:val="TableCopy"/>
              <w:jc w:val="right"/>
              <w:rPr>
                <w:rFonts w:asciiTheme="minorHAnsi" w:hAnsiTheme="minorHAnsi" w:cstheme="minorHAnsi"/>
                <w:sz w:val="22"/>
                <w:szCs w:val="22"/>
              </w:rPr>
            </w:pPr>
            <w:r w:rsidRPr="002C5BB5">
              <w:rPr>
                <w:rFonts w:asciiTheme="minorHAnsi" w:hAnsiTheme="minorHAnsi" w:cstheme="minorHAnsi"/>
                <w:sz w:val="22"/>
                <w:szCs w:val="22"/>
              </w:rPr>
              <w:t>–</w:t>
            </w:r>
          </w:p>
        </w:tc>
      </w:tr>
      <w:tr w:rsidR="00F419B5" w:rsidRPr="002C5BB5" w14:paraId="50560001" w14:textId="77777777" w:rsidTr="002C5BB5">
        <w:trPr>
          <w:cantSplit/>
        </w:trPr>
        <w:tc>
          <w:tcPr>
            <w:tcW w:w="4106" w:type="dxa"/>
          </w:tcPr>
          <w:p w14:paraId="67B78A6A" w14:textId="5449D066" w:rsidR="00F419B5" w:rsidRPr="002C5BB5" w:rsidRDefault="00F419B5" w:rsidP="00627ECB">
            <w:pPr>
              <w:pStyle w:val="TableCopy"/>
              <w:rPr>
                <w:rFonts w:asciiTheme="minorHAnsi" w:hAnsiTheme="minorHAnsi" w:cstheme="minorHAnsi"/>
                <w:b/>
                <w:bCs/>
                <w:sz w:val="22"/>
                <w:szCs w:val="22"/>
              </w:rPr>
            </w:pPr>
            <w:r w:rsidRPr="002C5BB5">
              <w:rPr>
                <w:rFonts w:asciiTheme="minorHAnsi" w:hAnsiTheme="minorHAnsi" w:cstheme="minorHAnsi"/>
                <w:b/>
                <w:bCs/>
                <w:sz w:val="22"/>
                <w:szCs w:val="22"/>
              </w:rPr>
              <w:t>Total revenue and income from transactions</w:t>
            </w:r>
          </w:p>
        </w:tc>
        <w:tc>
          <w:tcPr>
            <w:tcW w:w="1382" w:type="dxa"/>
          </w:tcPr>
          <w:p w14:paraId="7E043A31" w14:textId="7454C630" w:rsidR="00F419B5" w:rsidRPr="002C5BB5" w:rsidRDefault="00F419B5" w:rsidP="002C5BB5">
            <w:pPr>
              <w:pStyle w:val="TableCopy"/>
              <w:jc w:val="right"/>
              <w:rPr>
                <w:rFonts w:asciiTheme="minorHAnsi" w:hAnsiTheme="minorHAnsi" w:cstheme="minorHAnsi"/>
                <w:b/>
                <w:bCs/>
                <w:sz w:val="22"/>
                <w:szCs w:val="22"/>
              </w:rPr>
            </w:pPr>
            <w:r w:rsidRPr="002C5BB5">
              <w:rPr>
                <w:rFonts w:asciiTheme="minorHAnsi" w:hAnsiTheme="minorHAnsi" w:cstheme="minorHAnsi"/>
                <w:b/>
                <w:bCs/>
                <w:sz w:val="22"/>
                <w:szCs w:val="22"/>
              </w:rPr>
              <w:t>31,181</w:t>
            </w:r>
          </w:p>
        </w:tc>
        <w:tc>
          <w:tcPr>
            <w:tcW w:w="1382" w:type="dxa"/>
          </w:tcPr>
          <w:p w14:paraId="033970C0" w14:textId="77777777" w:rsidR="00F419B5" w:rsidRPr="002C5BB5" w:rsidRDefault="00F419B5" w:rsidP="002C5BB5">
            <w:pPr>
              <w:pStyle w:val="TableCopy"/>
              <w:jc w:val="right"/>
              <w:rPr>
                <w:rFonts w:asciiTheme="minorHAnsi" w:hAnsiTheme="minorHAnsi" w:cstheme="minorHAnsi"/>
                <w:b/>
                <w:bCs/>
                <w:sz w:val="22"/>
                <w:szCs w:val="22"/>
              </w:rPr>
            </w:pPr>
            <w:r w:rsidRPr="002C5BB5">
              <w:rPr>
                <w:rFonts w:asciiTheme="minorHAnsi" w:hAnsiTheme="minorHAnsi" w:cstheme="minorHAnsi"/>
                <w:b/>
                <w:bCs/>
                <w:sz w:val="22"/>
                <w:szCs w:val="22"/>
              </w:rPr>
              <w:t>25,558</w:t>
            </w:r>
          </w:p>
        </w:tc>
        <w:tc>
          <w:tcPr>
            <w:tcW w:w="1382" w:type="dxa"/>
          </w:tcPr>
          <w:p w14:paraId="4DA72E78" w14:textId="73441BE4" w:rsidR="00F419B5" w:rsidRPr="002C5BB5" w:rsidRDefault="00F419B5" w:rsidP="002C5BB5">
            <w:pPr>
              <w:pStyle w:val="TableCopy"/>
              <w:jc w:val="right"/>
              <w:rPr>
                <w:rFonts w:asciiTheme="minorHAnsi" w:hAnsiTheme="minorHAnsi" w:cstheme="minorHAnsi"/>
                <w:b/>
                <w:bCs/>
                <w:sz w:val="22"/>
                <w:szCs w:val="22"/>
              </w:rPr>
            </w:pPr>
            <w:r w:rsidRPr="002C5BB5">
              <w:rPr>
                <w:rFonts w:asciiTheme="minorHAnsi" w:hAnsiTheme="minorHAnsi" w:cstheme="minorHAnsi"/>
                <w:b/>
                <w:bCs/>
                <w:sz w:val="22"/>
                <w:szCs w:val="22"/>
              </w:rPr>
              <w:t>178,422</w:t>
            </w:r>
          </w:p>
        </w:tc>
        <w:tc>
          <w:tcPr>
            <w:tcW w:w="1382" w:type="dxa"/>
          </w:tcPr>
          <w:p w14:paraId="21AE9EB2" w14:textId="16EEEECB" w:rsidR="00F419B5" w:rsidRPr="002C5BB5" w:rsidRDefault="00F419B5" w:rsidP="002C5BB5">
            <w:pPr>
              <w:pStyle w:val="TableCopy"/>
              <w:jc w:val="right"/>
              <w:rPr>
                <w:rFonts w:asciiTheme="minorHAnsi" w:hAnsiTheme="minorHAnsi" w:cstheme="minorHAnsi"/>
                <w:b/>
                <w:bCs/>
                <w:sz w:val="22"/>
                <w:szCs w:val="22"/>
              </w:rPr>
            </w:pPr>
            <w:r w:rsidRPr="002C5BB5">
              <w:rPr>
                <w:rFonts w:asciiTheme="minorHAnsi" w:hAnsiTheme="minorHAnsi" w:cstheme="minorHAnsi"/>
                <w:b/>
                <w:bCs/>
                <w:sz w:val="22"/>
                <w:szCs w:val="22"/>
              </w:rPr>
              <w:t>244,430</w:t>
            </w:r>
          </w:p>
        </w:tc>
        <w:tc>
          <w:tcPr>
            <w:tcW w:w="1382" w:type="dxa"/>
          </w:tcPr>
          <w:p w14:paraId="430AC8C3" w14:textId="77777777" w:rsidR="00F419B5" w:rsidRPr="002C5BB5" w:rsidRDefault="00F419B5" w:rsidP="002C5BB5">
            <w:pPr>
              <w:pStyle w:val="TableCopy"/>
              <w:jc w:val="right"/>
              <w:rPr>
                <w:rFonts w:asciiTheme="minorHAnsi" w:hAnsiTheme="minorHAnsi" w:cstheme="minorHAnsi"/>
                <w:b/>
                <w:bCs/>
                <w:sz w:val="22"/>
                <w:szCs w:val="22"/>
              </w:rPr>
            </w:pPr>
            <w:r w:rsidRPr="002C5BB5">
              <w:rPr>
                <w:rFonts w:asciiTheme="minorHAnsi" w:hAnsiTheme="minorHAnsi" w:cstheme="minorHAnsi"/>
                <w:b/>
                <w:bCs/>
                <w:sz w:val="22"/>
                <w:szCs w:val="22"/>
              </w:rPr>
              <w:t>522,454</w:t>
            </w:r>
          </w:p>
        </w:tc>
        <w:tc>
          <w:tcPr>
            <w:tcW w:w="1382" w:type="dxa"/>
          </w:tcPr>
          <w:p w14:paraId="0FC4C03A" w14:textId="674BAA0D" w:rsidR="00F419B5" w:rsidRPr="002C5BB5" w:rsidRDefault="00F419B5" w:rsidP="002C5BB5">
            <w:pPr>
              <w:pStyle w:val="TableCopy"/>
              <w:jc w:val="right"/>
              <w:rPr>
                <w:rFonts w:asciiTheme="minorHAnsi" w:hAnsiTheme="minorHAnsi" w:cstheme="minorHAnsi"/>
                <w:b/>
                <w:bCs/>
                <w:sz w:val="22"/>
                <w:szCs w:val="22"/>
              </w:rPr>
            </w:pPr>
            <w:r w:rsidRPr="002C5BB5">
              <w:rPr>
                <w:rFonts w:asciiTheme="minorHAnsi" w:hAnsiTheme="minorHAnsi" w:cstheme="minorHAnsi"/>
                <w:b/>
                <w:bCs/>
                <w:sz w:val="22"/>
                <w:szCs w:val="22"/>
              </w:rPr>
              <w:t>697,448</w:t>
            </w:r>
          </w:p>
        </w:tc>
        <w:tc>
          <w:tcPr>
            <w:tcW w:w="1382" w:type="dxa"/>
          </w:tcPr>
          <w:p w14:paraId="0A0F2D51" w14:textId="77777777" w:rsidR="00F419B5" w:rsidRPr="002C5BB5" w:rsidRDefault="00F419B5" w:rsidP="002C5BB5">
            <w:pPr>
              <w:pStyle w:val="TableCopy"/>
              <w:jc w:val="right"/>
              <w:rPr>
                <w:rFonts w:asciiTheme="minorHAnsi" w:hAnsiTheme="minorHAnsi" w:cstheme="minorHAnsi"/>
                <w:b/>
                <w:bCs/>
                <w:sz w:val="22"/>
                <w:szCs w:val="22"/>
              </w:rPr>
            </w:pPr>
            <w:r w:rsidRPr="002C5BB5">
              <w:rPr>
                <w:rFonts w:asciiTheme="minorHAnsi" w:hAnsiTheme="minorHAnsi" w:cstheme="minorHAnsi"/>
                <w:b/>
                <w:bCs/>
                <w:sz w:val="22"/>
                <w:szCs w:val="22"/>
              </w:rPr>
              <w:t>95,870</w:t>
            </w:r>
          </w:p>
        </w:tc>
        <w:tc>
          <w:tcPr>
            <w:tcW w:w="1383" w:type="dxa"/>
          </w:tcPr>
          <w:p w14:paraId="034A3167" w14:textId="5CC7996D" w:rsidR="00F419B5" w:rsidRPr="002C5BB5" w:rsidRDefault="00F419B5" w:rsidP="002C5BB5">
            <w:pPr>
              <w:pStyle w:val="TableCopy"/>
              <w:jc w:val="right"/>
              <w:rPr>
                <w:rFonts w:asciiTheme="minorHAnsi" w:hAnsiTheme="minorHAnsi" w:cstheme="minorHAnsi"/>
                <w:b/>
                <w:bCs/>
                <w:sz w:val="22"/>
                <w:szCs w:val="22"/>
              </w:rPr>
            </w:pPr>
            <w:r w:rsidRPr="002C5BB5">
              <w:rPr>
                <w:rFonts w:asciiTheme="minorHAnsi" w:hAnsiTheme="minorHAnsi" w:cstheme="minorHAnsi"/>
                <w:b/>
                <w:bCs/>
                <w:sz w:val="22"/>
                <w:szCs w:val="22"/>
              </w:rPr>
              <w:t>88,680</w:t>
            </w:r>
          </w:p>
        </w:tc>
      </w:tr>
      <w:tr w:rsidR="00F419B5" w:rsidRPr="002C5BB5" w14:paraId="0936B89B" w14:textId="77777777" w:rsidTr="002C5BB5">
        <w:trPr>
          <w:cantSplit/>
        </w:trPr>
        <w:tc>
          <w:tcPr>
            <w:tcW w:w="4106" w:type="dxa"/>
          </w:tcPr>
          <w:p w14:paraId="3C0130B6" w14:textId="6EC43873" w:rsidR="00F419B5" w:rsidRPr="002C5BB5" w:rsidRDefault="00F419B5" w:rsidP="00627ECB">
            <w:pPr>
              <w:pStyle w:val="TableHeading"/>
              <w:rPr>
                <w:rFonts w:asciiTheme="minorHAnsi" w:hAnsiTheme="minorHAnsi" w:cstheme="minorHAnsi"/>
                <w:sz w:val="22"/>
                <w:szCs w:val="22"/>
              </w:rPr>
            </w:pPr>
            <w:r w:rsidRPr="002C5BB5">
              <w:rPr>
                <w:rFonts w:asciiTheme="minorHAnsi" w:hAnsiTheme="minorHAnsi" w:cstheme="minorHAnsi"/>
                <w:sz w:val="22"/>
                <w:szCs w:val="22"/>
              </w:rPr>
              <w:t>Expenses from transactions</w:t>
            </w:r>
          </w:p>
        </w:tc>
        <w:tc>
          <w:tcPr>
            <w:tcW w:w="1382" w:type="dxa"/>
          </w:tcPr>
          <w:p w14:paraId="5B279218" w14:textId="77777777" w:rsidR="00F419B5" w:rsidRPr="002C5BB5" w:rsidRDefault="00F419B5" w:rsidP="002C5BB5">
            <w:pPr>
              <w:pStyle w:val="TableHeading"/>
              <w:jc w:val="right"/>
              <w:rPr>
                <w:rFonts w:asciiTheme="minorHAnsi" w:hAnsiTheme="minorHAnsi" w:cstheme="minorHAnsi"/>
                <w:sz w:val="22"/>
                <w:szCs w:val="22"/>
              </w:rPr>
            </w:pPr>
          </w:p>
        </w:tc>
        <w:tc>
          <w:tcPr>
            <w:tcW w:w="1382" w:type="dxa"/>
          </w:tcPr>
          <w:p w14:paraId="181C83E7" w14:textId="77777777" w:rsidR="00F419B5" w:rsidRPr="002C5BB5" w:rsidRDefault="00F419B5" w:rsidP="002C5BB5">
            <w:pPr>
              <w:pStyle w:val="TableHeading"/>
              <w:jc w:val="right"/>
              <w:rPr>
                <w:rFonts w:asciiTheme="minorHAnsi" w:hAnsiTheme="minorHAnsi" w:cstheme="minorHAnsi"/>
                <w:sz w:val="22"/>
                <w:szCs w:val="22"/>
              </w:rPr>
            </w:pPr>
          </w:p>
        </w:tc>
        <w:tc>
          <w:tcPr>
            <w:tcW w:w="1382" w:type="dxa"/>
          </w:tcPr>
          <w:p w14:paraId="18FCFEF3" w14:textId="77777777" w:rsidR="00F419B5" w:rsidRPr="002C5BB5" w:rsidRDefault="00F419B5" w:rsidP="002C5BB5">
            <w:pPr>
              <w:pStyle w:val="TableHeading"/>
              <w:jc w:val="right"/>
              <w:rPr>
                <w:rFonts w:asciiTheme="minorHAnsi" w:hAnsiTheme="minorHAnsi" w:cstheme="minorHAnsi"/>
                <w:sz w:val="22"/>
                <w:szCs w:val="22"/>
              </w:rPr>
            </w:pPr>
          </w:p>
        </w:tc>
        <w:tc>
          <w:tcPr>
            <w:tcW w:w="1382" w:type="dxa"/>
          </w:tcPr>
          <w:p w14:paraId="3CCD7570" w14:textId="77777777" w:rsidR="00F419B5" w:rsidRPr="002C5BB5" w:rsidRDefault="00F419B5" w:rsidP="002C5BB5">
            <w:pPr>
              <w:pStyle w:val="TableHeading"/>
              <w:jc w:val="right"/>
              <w:rPr>
                <w:rFonts w:asciiTheme="minorHAnsi" w:hAnsiTheme="minorHAnsi" w:cstheme="minorHAnsi"/>
                <w:sz w:val="22"/>
                <w:szCs w:val="22"/>
              </w:rPr>
            </w:pPr>
          </w:p>
        </w:tc>
        <w:tc>
          <w:tcPr>
            <w:tcW w:w="1382" w:type="dxa"/>
          </w:tcPr>
          <w:p w14:paraId="311F1644" w14:textId="77777777" w:rsidR="00F419B5" w:rsidRPr="002C5BB5" w:rsidRDefault="00F419B5" w:rsidP="002C5BB5">
            <w:pPr>
              <w:pStyle w:val="TableHeading"/>
              <w:jc w:val="right"/>
              <w:rPr>
                <w:rFonts w:asciiTheme="minorHAnsi" w:hAnsiTheme="minorHAnsi" w:cstheme="minorHAnsi"/>
                <w:sz w:val="22"/>
                <w:szCs w:val="22"/>
              </w:rPr>
            </w:pPr>
          </w:p>
        </w:tc>
        <w:tc>
          <w:tcPr>
            <w:tcW w:w="1382" w:type="dxa"/>
          </w:tcPr>
          <w:p w14:paraId="10A5FA9C" w14:textId="77777777" w:rsidR="00F419B5" w:rsidRPr="002C5BB5" w:rsidRDefault="00F419B5" w:rsidP="002C5BB5">
            <w:pPr>
              <w:pStyle w:val="TableHeading"/>
              <w:jc w:val="right"/>
              <w:rPr>
                <w:rFonts w:asciiTheme="minorHAnsi" w:hAnsiTheme="minorHAnsi" w:cstheme="minorHAnsi"/>
                <w:sz w:val="22"/>
                <w:szCs w:val="22"/>
              </w:rPr>
            </w:pPr>
          </w:p>
        </w:tc>
        <w:tc>
          <w:tcPr>
            <w:tcW w:w="1382" w:type="dxa"/>
          </w:tcPr>
          <w:p w14:paraId="4A8BE639" w14:textId="77777777" w:rsidR="00F419B5" w:rsidRPr="002C5BB5" w:rsidRDefault="00F419B5" w:rsidP="002C5BB5">
            <w:pPr>
              <w:pStyle w:val="TableHeading"/>
              <w:jc w:val="right"/>
              <w:rPr>
                <w:rFonts w:asciiTheme="minorHAnsi" w:hAnsiTheme="minorHAnsi" w:cstheme="minorHAnsi"/>
                <w:sz w:val="22"/>
                <w:szCs w:val="22"/>
              </w:rPr>
            </w:pPr>
          </w:p>
        </w:tc>
        <w:tc>
          <w:tcPr>
            <w:tcW w:w="1383" w:type="dxa"/>
          </w:tcPr>
          <w:p w14:paraId="740BF158" w14:textId="77777777" w:rsidR="00F419B5" w:rsidRPr="002C5BB5" w:rsidRDefault="00F419B5" w:rsidP="002C5BB5">
            <w:pPr>
              <w:pStyle w:val="TableHeading"/>
              <w:jc w:val="right"/>
              <w:rPr>
                <w:rFonts w:asciiTheme="minorHAnsi" w:hAnsiTheme="minorHAnsi" w:cstheme="minorHAnsi"/>
                <w:sz w:val="22"/>
                <w:szCs w:val="22"/>
              </w:rPr>
            </w:pPr>
          </w:p>
        </w:tc>
      </w:tr>
      <w:tr w:rsidR="00F419B5" w:rsidRPr="002C5BB5" w14:paraId="2D37BD73" w14:textId="77777777" w:rsidTr="002C5BB5">
        <w:trPr>
          <w:cantSplit/>
        </w:trPr>
        <w:tc>
          <w:tcPr>
            <w:tcW w:w="4106" w:type="dxa"/>
          </w:tcPr>
          <w:p w14:paraId="1354BAB3" w14:textId="77777777" w:rsidR="00F419B5" w:rsidRPr="002C5BB5" w:rsidRDefault="00F419B5" w:rsidP="00627ECB">
            <w:pPr>
              <w:pStyle w:val="TableCopy"/>
              <w:rPr>
                <w:rFonts w:asciiTheme="minorHAnsi" w:hAnsiTheme="minorHAnsi" w:cstheme="minorHAnsi"/>
                <w:sz w:val="22"/>
                <w:szCs w:val="22"/>
              </w:rPr>
            </w:pPr>
            <w:r w:rsidRPr="002C5BB5">
              <w:rPr>
                <w:rFonts w:asciiTheme="minorHAnsi" w:hAnsiTheme="minorHAnsi" w:cstheme="minorHAnsi"/>
                <w:sz w:val="22"/>
                <w:szCs w:val="22"/>
              </w:rPr>
              <w:t>Grants</w:t>
            </w:r>
          </w:p>
        </w:tc>
        <w:tc>
          <w:tcPr>
            <w:tcW w:w="1382" w:type="dxa"/>
          </w:tcPr>
          <w:p w14:paraId="24C12430" w14:textId="77777777" w:rsidR="00F419B5" w:rsidRPr="002C5BB5" w:rsidRDefault="00F419B5" w:rsidP="002C5BB5">
            <w:pPr>
              <w:pStyle w:val="TableCopy"/>
              <w:jc w:val="right"/>
              <w:rPr>
                <w:rFonts w:asciiTheme="minorHAnsi" w:hAnsiTheme="minorHAnsi" w:cstheme="minorHAnsi"/>
                <w:sz w:val="22"/>
                <w:szCs w:val="22"/>
              </w:rPr>
            </w:pPr>
            <w:r w:rsidRPr="002C5BB5">
              <w:rPr>
                <w:rFonts w:asciiTheme="minorHAnsi" w:hAnsiTheme="minorHAnsi" w:cstheme="minorHAnsi"/>
                <w:sz w:val="22"/>
                <w:szCs w:val="22"/>
              </w:rPr>
              <w:t>(22,934)</w:t>
            </w:r>
          </w:p>
        </w:tc>
        <w:tc>
          <w:tcPr>
            <w:tcW w:w="1382" w:type="dxa"/>
          </w:tcPr>
          <w:p w14:paraId="2095FE03" w14:textId="77777777" w:rsidR="00F419B5" w:rsidRPr="002C5BB5" w:rsidRDefault="00F419B5" w:rsidP="002C5BB5">
            <w:pPr>
              <w:pStyle w:val="TableCopy"/>
              <w:jc w:val="right"/>
              <w:rPr>
                <w:rFonts w:asciiTheme="minorHAnsi" w:hAnsiTheme="minorHAnsi" w:cstheme="minorHAnsi"/>
                <w:sz w:val="22"/>
                <w:szCs w:val="22"/>
              </w:rPr>
            </w:pPr>
            <w:r w:rsidRPr="002C5BB5">
              <w:rPr>
                <w:rFonts w:asciiTheme="minorHAnsi" w:hAnsiTheme="minorHAnsi" w:cstheme="minorHAnsi"/>
                <w:sz w:val="22"/>
                <w:szCs w:val="22"/>
              </w:rPr>
              <w:t>(15,164)</w:t>
            </w:r>
          </w:p>
        </w:tc>
        <w:tc>
          <w:tcPr>
            <w:tcW w:w="1382" w:type="dxa"/>
          </w:tcPr>
          <w:p w14:paraId="353E71E3" w14:textId="77777777" w:rsidR="00F419B5" w:rsidRPr="002C5BB5" w:rsidRDefault="00F419B5" w:rsidP="002C5BB5">
            <w:pPr>
              <w:pStyle w:val="TableCopy"/>
              <w:jc w:val="right"/>
              <w:rPr>
                <w:rFonts w:asciiTheme="minorHAnsi" w:hAnsiTheme="minorHAnsi" w:cstheme="minorHAnsi"/>
                <w:sz w:val="22"/>
                <w:szCs w:val="22"/>
              </w:rPr>
            </w:pPr>
            <w:r w:rsidRPr="002C5BB5">
              <w:rPr>
                <w:rFonts w:asciiTheme="minorHAnsi" w:hAnsiTheme="minorHAnsi" w:cstheme="minorHAnsi"/>
                <w:sz w:val="22"/>
                <w:szCs w:val="22"/>
              </w:rPr>
              <w:t>(86,091)</w:t>
            </w:r>
          </w:p>
        </w:tc>
        <w:tc>
          <w:tcPr>
            <w:tcW w:w="1382" w:type="dxa"/>
          </w:tcPr>
          <w:p w14:paraId="37A3DF2B" w14:textId="77777777" w:rsidR="00F419B5" w:rsidRPr="002C5BB5" w:rsidRDefault="00F419B5" w:rsidP="002C5BB5">
            <w:pPr>
              <w:pStyle w:val="TableCopy"/>
              <w:jc w:val="right"/>
              <w:rPr>
                <w:rFonts w:asciiTheme="minorHAnsi" w:hAnsiTheme="minorHAnsi" w:cstheme="minorHAnsi"/>
                <w:sz w:val="22"/>
                <w:szCs w:val="22"/>
              </w:rPr>
            </w:pPr>
            <w:r w:rsidRPr="002C5BB5">
              <w:rPr>
                <w:rFonts w:asciiTheme="minorHAnsi" w:hAnsiTheme="minorHAnsi" w:cstheme="minorHAnsi"/>
                <w:sz w:val="22"/>
                <w:szCs w:val="22"/>
              </w:rPr>
              <w:t>(154,535)</w:t>
            </w:r>
          </w:p>
        </w:tc>
        <w:tc>
          <w:tcPr>
            <w:tcW w:w="1382" w:type="dxa"/>
          </w:tcPr>
          <w:p w14:paraId="24B535F6" w14:textId="77777777" w:rsidR="00F419B5" w:rsidRPr="002C5BB5" w:rsidRDefault="00F419B5" w:rsidP="002C5BB5">
            <w:pPr>
              <w:pStyle w:val="TableCopy"/>
              <w:jc w:val="right"/>
              <w:rPr>
                <w:rFonts w:asciiTheme="minorHAnsi" w:hAnsiTheme="minorHAnsi" w:cstheme="minorHAnsi"/>
                <w:sz w:val="22"/>
                <w:szCs w:val="22"/>
              </w:rPr>
            </w:pPr>
            <w:r w:rsidRPr="002C5BB5">
              <w:rPr>
                <w:rFonts w:asciiTheme="minorHAnsi" w:hAnsiTheme="minorHAnsi" w:cstheme="minorHAnsi"/>
                <w:sz w:val="22"/>
                <w:szCs w:val="22"/>
              </w:rPr>
              <w:t>(468,316)</w:t>
            </w:r>
          </w:p>
        </w:tc>
        <w:tc>
          <w:tcPr>
            <w:tcW w:w="1382" w:type="dxa"/>
          </w:tcPr>
          <w:p w14:paraId="56E3E0D4" w14:textId="77777777" w:rsidR="00F419B5" w:rsidRPr="002C5BB5" w:rsidRDefault="00F419B5" w:rsidP="002C5BB5">
            <w:pPr>
              <w:pStyle w:val="TableCopy"/>
              <w:jc w:val="right"/>
              <w:rPr>
                <w:rFonts w:asciiTheme="minorHAnsi" w:hAnsiTheme="minorHAnsi" w:cstheme="minorHAnsi"/>
                <w:sz w:val="22"/>
                <w:szCs w:val="22"/>
              </w:rPr>
            </w:pPr>
            <w:r w:rsidRPr="002C5BB5">
              <w:rPr>
                <w:rFonts w:asciiTheme="minorHAnsi" w:hAnsiTheme="minorHAnsi" w:cstheme="minorHAnsi"/>
                <w:sz w:val="22"/>
                <w:szCs w:val="22"/>
              </w:rPr>
              <w:t>(610,485)</w:t>
            </w:r>
          </w:p>
        </w:tc>
        <w:tc>
          <w:tcPr>
            <w:tcW w:w="1382" w:type="dxa"/>
          </w:tcPr>
          <w:p w14:paraId="7F350346" w14:textId="77777777" w:rsidR="00F419B5" w:rsidRPr="002C5BB5" w:rsidRDefault="00F419B5" w:rsidP="002C5BB5">
            <w:pPr>
              <w:pStyle w:val="TableCopy"/>
              <w:jc w:val="right"/>
              <w:rPr>
                <w:rFonts w:asciiTheme="minorHAnsi" w:hAnsiTheme="minorHAnsi" w:cstheme="minorHAnsi"/>
                <w:sz w:val="22"/>
                <w:szCs w:val="22"/>
              </w:rPr>
            </w:pPr>
            <w:r w:rsidRPr="002C5BB5">
              <w:rPr>
                <w:rFonts w:asciiTheme="minorHAnsi" w:hAnsiTheme="minorHAnsi" w:cstheme="minorHAnsi"/>
                <w:sz w:val="22"/>
                <w:szCs w:val="22"/>
              </w:rPr>
              <w:t>(28,618)</w:t>
            </w:r>
          </w:p>
        </w:tc>
        <w:tc>
          <w:tcPr>
            <w:tcW w:w="1383" w:type="dxa"/>
          </w:tcPr>
          <w:p w14:paraId="2FCB819A" w14:textId="77777777" w:rsidR="00F419B5" w:rsidRPr="002C5BB5" w:rsidRDefault="00F419B5" w:rsidP="002C5BB5">
            <w:pPr>
              <w:pStyle w:val="TableCopy"/>
              <w:jc w:val="right"/>
              <w:rPr>
                <w:rFonts w:asciiTheme="minorHAnsi" w:hAnsiTheme="minorHAnsi" w:cstheme="minorHAnsi"/>
                <w:sz w:val="22"/>
                <w:szCs w:val="22"/>
              </w:rPr>
            </w:pPr>
            <w:r w:rsidRPr="002C5BB5">
              <w:rPr>
                <w:rFonts w:asciiTheme="minorHAnsi" w:hAnsiTheme="minorHAnsi" w:cstheme="minorHAnsi"/>
                <w:sz w:val="22"/>
                <w:szCs w:val="22"/>
              </w:rPr>
              <w:t>(49,694)</w:t>
            </w:r>
          </w:p>
        </w:tc>
      </w:tr>
      <w:tr w:rsidR="00F419B5" w:rsidRPr="002C5BB5" w14:paraId="3F632BD3" w14:textId="77777777" w:rsidTr="002C5BB5">
        <w:trPr>
          <w:cantSplit/>
        </w:trPr>
        <w:tc>
          <w:tcPr>
            <w:tcW w:w="4106" w:type="dxa"/>
          </w:tcPr>
          <w:p w14:paraId="4E6BA9B6" w14:textId="0DFC05A8" w:rsidR="00F419B5" w:rsidRPr="002C5BB5" w:rsidRDefault="00F419B5" w:rsidP="00627ECB">
            <w:pPr>
              <w:pStyle w:val="TableCopy"/>
              <w:rPr>
                <w:rFonts w:asciiTheme="minorHAnsi" w:hAnsiTheme="minorHAnsi" w:cstheme="minorHAnsi"/>
                <w:sz w:val="22"/>
                <w:szCs w:val="22"/>
              </w:rPr>
            </w:pPr>
            <w:r w:rsidRPr="002C5BB5">
              <w:rPr>
                <w:rFonts w:asciiTheme="minorHAnsi" w:hAnsiTheme="minorHAnsi" w:cstheme="minorHAnsi"/>
                <w:sz w:val="22"/>
                <w:szCs w:val="22"/>
              </w:rPr>
              <w:t>Employee expenses</w:t>
            </w:r>
          </w:p>
        </w:tc>
        <w:tc>
          <w:tcPr>
            <w:tcW w:w="1382" w:type="dxa"/>
          </w:tcPr>
          <w:p w14:paraId="3971C7BE" w14:textId="77777777" w:rsidR="00F419B5" w:rsidRPr="002C5BB5" w:rsidRDefault="00F419B5" w:rsidP="002C5BB5">
            <w:pPr>
              <w:pStyle w:val="TableCopy"/>
              <w:jc w:val="right"/>
              <w:rPr>
                <w:rFonts w:asciiTheme="minorHAnsi" w:hAnsiTheme="minorHAnsi" w:cstheme="minorHAnsi"/>
                <w:sz w:val="22"/>
                <w:szCs w:val="22"/>
              </w:rPr>
            </w:pPr>
            <w:r w:rsidRPr="002C5BB5">
              <w:rPr>
                <w:rFonts w:asciiTheme="minorHAnsi" w:hAnsiTheme="minorHAnsi" w:cstheme="minorHAnsi"/>
                <w:sz w:val="22"/>
                <w:szCs w:val="22"/>
              </w:rPr>
              <w:t>(6,687)</w:t>
            </w:r>
          </w:p>
        </w:tc>
        <w:tc>
          <w:tcPr>
            <w:tcW w:w="1382" w:type="dxa"/>
          </w:tcPr>
          <w:p w14:paraId="5D088A61" w14:textId="77777777" w:rsidR="00F419B5" w:rsidRPr="002C5BB5" w:rsidRDefault="00F419B5" w:rsidP="002C5BB5">
            <w:pPr>
              <w:pStyle w:val="TableCopy"/>
              <w:jc w:val="right"/>
              <w:rPr>
                <w:rFonts w:asciiTheme="minorHAnsi" w:hAnsiTheme="minorHAnsi" w:cstheme="minorHAnsi"/>
                <w:sz w:val="22"/>
                <w:szCs w:val="22"/>
              </w:rPr>
            </w:pPr>
            <w:r w:rsidRPr="002C5BB5">
              <w:rPr>
                <w:rFonts w:asciiTheme="minorHAnsi" w:hAnsiTheme="minorHAnsi" w:cstheme="minorHAnsi"/>
                <w:sz w:val="22"/>
                <w:szCs w:val="22"/>
              </w:rPr>
              <w:t>(7,745)</w:t>
            </w:r>
          </w:p>
        </w:tc>
        <w:tc>
          <w:tcPr>
            <w:tcW w:w="1382" w:type="dxa"/>
          </w:tcPr>
          <w:p w14:paraId="2BB19A95" w14:textId="77777777" w:rsidR="00F419B5" w:rsidRPr="002C5BB5" w:rsidRDefault="00F419B5" w:rsidP="002C5BB5">
            <w:pPr>
              <w:pStyle w:val="TableCopy"/>
              <w:jc w:val="right"/>
              <w:rPr>
                <w:rFonts w:asciiTheme="minorHAnsi" w:hAnsiTheme="minorHAnsi" w:cstheme="minorHAnsi"/>
                <w:sz w:val="22"/>
                <w:szCs w:val="22"/>
              </w:rPr>
            </w:pPr>
            <w:r w:rsidRPr="002C5BB5">
              <w:rPr>
                <w:rFonts w:asciiTheme="minorHAnsi" w:hAnsiTheme="minorHAnsi" w:cstheme="minorHAnsi"/>
                <w:sz w:val="22"/>
                <w:szCs w:val="22"/>
              </w:rPr>
              <w:t>(42,477)</w:t>
            </w:r>
          </w:p>
        </w:tc>
        <w:tc>
          <w:tcPr>
            <w:tcW w:w="1382" w:type="dxa"/>
          </w:tcPr>
          <w:p w14:paraId="57841CD2" w14:textId="77777777" w:rsidR="00F419B5" w:rsidRPr="002C5BB5" w:rsidRDefault="00F419B5" w:rsidP="002C5BB5">
            <w:pPr>
              <w:pStyle w:val="TableCopy"/>
              <w:jc w:val="right"/>
              <w:rPr>
                <w:rFonts w:asciiTheme="minorHAnsi" w:hAnsiTheme="minorHAnsi" w:cstheme="minorHAnsi"/>
                <w:sz w:val="22"/>
                <w:szCs w:val="22"/>
              </w:rPr>
            </w:pPr>
            <w:r w:rsidRPr="002C5BB5">
              <w:rPr>
                <w:rFonts w:asciiTheme="minorHAnsi" w:hAnsiTheme="minorHAnsi" w:cstheme="minorHAnsi"/>
                <w:sz w:val="22"/>
                <w:szCs w:val="22"/>
              </w:rPr>
              <w:t>(43,636)</w:t>
            </w:r>
          </w:p>
        </w:tc>
        <w:tc>
          <w:tcPr>
            <w:tcW w:w="1382" w:type="dxa"/>
          </w:tcPr>
          <w:p w14:paraId="02528434" w14:textId="77777777" w:rsidR="00F419B5" w:rsidRPr="002C5BB5" w:rsidRDefault="00F419B5" w:rsidP="002C5BB5">
            <w:pPr>
              <w:pStyle w:val="TableCopy"/>
              <w:jc w:val="right"/>
              <w:rPr>
                <w:rFonts w:asciiTheme="minorHAnsi" w:hAnsiTheme="minorHAnsi" w:cstheme="minorHAnsi"/>
                <w:sz w:val="22"/>
                <w:szCs w:val="22"/>
              </w:rPr>
            </w:pPr>
            <w:r w:rsidRPr="002C5BB5">
              <w:rPr>
                <w:rFonts w:asciiTheme="minorHAnsi" w:hAnsiTheme="minorHAnsi" w:cstheme="minorHAnsi"/>
                <w:sz w:val="22"/>
                <w:szCs w:val="22"/>
              </w:rPr>
              <w:t>(41,955)</w:t>
            </w:r>
          </w:p>
        </w:tc>
        <w:tc>
          <w:tcPr>
            <w:tcW w:w="1382" w:type="dxa"/>
          </w:tcPr>
          <w:p w14:paraId="32A65F30" w14:textId="77777777" w:rsidR="00F419B5" w:rsidRPr="002C5BB5" w:rsidRDefault="00F419B5" w:rsidP="002C5BB5">
            <w:pPr>
              <w:pStyle w:val="TableCopy"/>
              <w:jc w:val="right"/>
              <w:rPr>
                <w:rFonts w:asciiTheme="minorHAnsi" w:hAnsiTheme="minorHAnsi" w:cstheme="minorHAnsi"/>
                <w:sz w:val="22"/>
                <w:szCs w:val="22"/>
              </w:rPr>
            </w:pPr>
            <w:r w:rsidRPr="002C5BB5">
              <w:rPr>
                <w:rFonts w:asciiTheme="minorHAnsi" w:hAnsiTheme="minorHAnsi" w:cstheme="minorHAnsi"/>
                <w:sz w:val="22"/>
                <w:szCs w:val="22"/>
              </w:rPr>
              <w:t>(38,845)</w:t>
            </w:r>
          </w:p>
        </w:tc>
        <w:tc>
          <w:tcPr>
            <w:tcW w:w="1382" w:type="dxa"/>
          </w:tcPr>
          <w:p w14:paraId="339E72EE" w14:textId="77777777" w:rsidR="00F419B5" w:rsidRPr="002C5BB5" w:rsidRDefault="00F419B5" w:rsidP="002C5BB5">
            <w:pPr>
              <w:pStyle w:val="TableCopy"/>
              <w:jc w:val="right"/>
              <w:rPr>
                <w:rFonts w:asciiTheme="minorHAnsi" w:hAnsiTheme="minorHAnsi" w:cstheme="minorHAnsi"/>
                <w:sz w:val="22"/>
                <w:szCs w:val="22"/>
              </w:rPr>
            </w:pPr>
            <w:r w:rsidRPr="002C5BB5">
              <w:rPr>
                <w:rFonts w:asciiTheme="minorHAnsi" w:hAnsiTheme="minorHAnsi" w:cstheme="minorHAnsi"/>
                <w:sz w:val="22"/>
                <w:szCs w:val="22"/>
              </w:rPr>
              <w:t>(33,229)</w:t>
            </w:r>
          </w:p>
        </w:tc>
        <w:tc>
          <w:tcPr>
            <w:tcW w:w="1383" w:type="dxa"/>
          </w:tcPr>
          <w:p w14:paraId="60ABF1AC" w14:textId="77777777" w:rsidR="00F419B5" w:rsidRPr="002C5BB5" w:rsidRDefault="00F419B5" w:rsidP="002C5BB5">
            <w:pPr>
              <w:pStyle w:val="TableCopy"/>
              <w:jc w:val="right"/>
              <w:rPr>
                <w:rFonts w:asciiTheme="minorHAnsi" w:hAnsiTheme="minorHAnsi" w:cstheme="minorHAnsi"/>
                <w:sz w:val="22"/>
                <w:szCs w:val="22"/>
              </w:rPr>
            </w:pPr>
            <w:r w:rsidRPr="002C5BB5">
              <w:rPr>
                <w:rFonts w:asciiTheme="minorHAnsi" w:hAnsiTheme="minorHAnsi" w:cstheme="minorHAnsi"/>
                <w:sz w:val="22"/>
                <w:szCs w:val="22"/>
              </w:rPr>
              <w:t>(22,973)</w:t>
            </w:r>
          </w:p>
        </w:tc>
      </w:tr>
      <w:tr w:rsidR="00F419B5" w:rsidRPr="002C5BB5" w14:paraId="0857FDFC" w14:textId="77777777" w:rsidTr="002C5BB5">
        <w:trPr>
          <w:cantSplit/>
        </w:trPr>
        <w:tc>
          <w:tcPr>
            <w:tcW w:w="4106" w:type="dxa"/>
          </w:tcPr>
          <w:p w14:paraId="5A951D69" w14:textId="0D3BCD85" w:rsidR="00F419B5" w:rsidRPr="002C5BB5" w:rsidRDefault="00F419B5" w:rsidP="00627ECB">
            <w:pPr>
              <w:pStyle w:val="TableCopy"/>
              <w:rPr>
                <w:rFonts w:asciiTheme="minorHAnsi" w:hAnsiTheme="minorHAnsi" w:cstheme="minorHAnsi"/>
                <w:sz w:val="22"/>
                <w:szCs w:val="22"/>
              </w:rPr>
            </w:pPr>
            <w:r w:rsidRPr="002C5BB5">
              <w:rPr>
                <w:rFonts w:asciiTheme="minorHAnsi" w:hAnsiTheme="minorHAnsi" w:cstheme="minorHAnsi"/>
                <w:sz w:val="22"/>
                <w:szCs w:val="22"/>
              </w:rPr>
              <w:t xml:space="preserve">Depreciation and amortisation </w:t>
            </w:r>
          </w:p>
        </w:tc>
        <w:tc>
          <w:tcPr>
            <w:tcW w:w="1382" w:type="dxa"/>
          </w:tcPr>
          <w:p w14:paraId="1AE2A4B8" w14:textId="2615C616" w:rsidR="00F419B5" w:rsidRPr="002C5BB5" w:rsidRDefault="00F419B5" w:rsidP="002C5BB5">
            <w:pPr>
              <w:pStyle w:val="TableCopy"/>
              <w:jc w:val="right"/>
              <w:rPr>
                <w:rFonts w:asciiTheme="minorHAnsi" w:hAnsiTheme="minorHAnsi" w:cstheme="minorHAnsi"/>
                <w:sz w:val="22"/>
                <w:szCs w:val="22"/>
              </w:rPr>
            </w:pPr>
            <w:r w:rsidRPr="002C5BB5">
              <w:rPr>
                <w:rFonts w:asciiTheme="minorHAnsi" w:hAnsiTheme="minorHAnsi" w:cstheme="minorHAnsi"/>
                <w:sz w:val="22"/>
                <w:szCs w:val="22"/>
              </w:rPr>
              <w:t>–</w:t>
            </w:r>
          </w:p>
        </w:tc>
        <w:tc>
          <w:tcPr>
            <w:tcW w:w="1382" w:type="dxa"/>
          </w:tcPr>
          <w:p w14:paraId="03D5E244" w14:textId="77777777" w:rsidR="00F419B5" w:rsidRPr="002C5BB5" w:rsidRDefault="00F419B5" w:rsidP="002C5BB5">
            <w:pPr>
              <w:pStyle w:val="TableCopy"/>
              <w:jc w:val="right"/>
              <w:rPr>
                <w:rFonts w:asciiTheme="minorHAnsi" w:hAnsiTheme="minorHAnsi" w:cstheme="minorHAnsi"/>
                <w:sz w:val="22"/>
                <w:szCs w:val="22"/>
              </w:rPr>
            </w:pPr>
            <w:r w:rsidRPr="002C5BB5">
              <w:rPr>
                <w:rFonts w:asciiTheme="minorHAnsi" w:hAnsiTheme="minorHAnsi" w:cstheme="minorHAnsi"/>
                <w:sz w:val="22"/>
                <w:szCs w:val="22"/>
              </w:rPr>
              <w:t>(65)</w:t>
            </w:r>
          </w:p>
        </w:tc>
        <w:tc>
          <w:tcPr>
            <w:tcW w:w="1382" w:type="dxa"/>
          </w:tcPr>
          <w:p w14:paraId="3F55FFC1" w14:textId="77777777" w:rsidR="00F419B5" w:rsidRPr="002C5BB5" w:rsidRDefault="00F419B5" w:rsidP="002C5BB5">
            <w:pPr>
              <w:pStyle w:val="TableCopy"/>
              <w:jc w:val="right"/>
              <w:rPr>
                <w:rFonts w:asciiTheme="minorHAnsi" w:hAnsiTheme="minorHAnsi" w:cstheme="minorHAnsi"/>
                <w:sz w:val="22"/>
                <w:szCs w:val="22"/>
              </w:rPr>
            </w:pPr>
            <w:r w:rsidRPr="002C5BB5">
              <w:rPr>
                <w:rFonts w:asciiTheme="minorHAnsi" w:hAnsiTheme="minorHAnsi" w:cstheme="minorHAnsi"/>
                <w:sz w:val="22"/>
                <w:szCs w:val="22"/>
              </w:rPr>
              <w:t>(433)</w:t>
            </w:r>
          </w:p>
        </w:tc>
        <w:tc>
          <w:tcPr>
            <w:tcW w:w="1382" w:type="dxa"/>
          </w:tcPr>
          <w:p w14:paraId="614159AA" w14:textId="77777777" w:rsidR="00F419B5" w:rsidRPr="002C5BB5" w:rsidRDefault="00F419B5" w:rsidP="002C5BB5">
            <w:pPr>
              <w:pStyle w:val="TableCopy"/>
              <w:jc w:val="right"/>
              <w:rPr>
                <w:rFonts w:asciiTheme="minorHAnsi" w:hAnsiTheme="minorHAnsi" w:cstheme="minorHAnsi"/>
                <w:sz w:val="22"/>
                <w:szCs w:val="22"/>
              </w:rPr>
            </w:pPr>
            <w:r w:rsidRPr="002C5BB5">
              <w:rPr>
                <w:rFonts w:asciiTheme="minorHAnsi" w:hAnsiTheme="minorHAnsi" w:cstheme="minorHAnsi"/>
                <w:sz w:val="22"/>
                <w:szCs w:val="22"/>
              </w:rPr>
              <w:t>(3,091)</w:t>
            </w:r>
          </w:p>
        </w:tc>
        <w:tc>
          <w:tcPr>
            <w:tcW w:w="1382" w:type="dxa"/>
          </w:tcPr>
          <w:p w14:paraId="2319C4B2" w14:textId="77777777" w:rsidR="00F419B5" w:rsidRPr="002C5BB5" w:rsidRDefault="00F419B5" w:rsidP="002C5BB5">
            <w:pPr>
              <w:pStyle w:val="TableCopy"/>
              <w:jc w:val="right"/>
              <w:rPr>
                <w:rFonts w:asciiTheme="minorHAnsi" w:hAnsiTheme="minorHAnsi" w:cstheme="minorHAnsi"/>
                <w:sz w:val="22"/>
                <w:szCs w:val="22"/>
              </w:rPr>
            </w:pPr>
            <w:r w:rsidRPr="002C5BB5">
              <w:rPr>
                <w:rFonts w:asciiTheme="minorHAnsi" w:hAnsiTheme="minorHAnsi" w:cstheme="minorHAnsi"/>
                <w:sz w:val="22"/>
                <w:szCs w:val="22"/>
              </w:rPr>
              <w:t>(628)</w:t>
            </w:r>
          </w:p>
        </w:tc>
        <w:tc>
          <w:tcPr>
            <w:tcW w:w="1382" w:type="dxa"/>
          </w:tcPr>
          <w:p w14:paraId="2E9BB6C2" w14:textId="77777777" w:rsidR="00F419B5" w:rsidRPr="002C5BB5" w:rsidRDefault="00F419B5" w:rsidP="002C5BB5">
            <w:pPr>
              <w:pStyle w:val="TableCopy"/>
              <w:jc w:val="right"/>
              <w:rPr>
                <w:rFonts w:asciiTheme="minorHAnsi" w:hAnsiTheme="minorHAnsi" w:cstheme="minorHAnsi"/>
                <w:sz w:val="22"/>
                <w:szCs w:val="22"/>
              </w:rPr>
            </w:pPr>
            <w:r w:rsidRPr="002C5BB5">
              <w:rPr>
                <w:rFonts w:asciiTheme="minorHAnsi" w:hAnsiTheme="minorHAnsi" w:cstheme="minorHAnsi"/>
                <w:sz w:val="22"/>
                <w:szCs w:val="22"/>
              </w:rPr>
              <w:t>(3,023)</w:t>
            </w:r>
          </w:p>
        </w:tc>
        <w:tc>
          <w:tcPr>
            <w:tcW w:w="1382" w:type="dxa"/>
          </w:tcPr>
          <w:p w14:paraId="26BEFF01" w14:textId="77777777" w:rsidR="00F419B5" w:rsidRPr="002C5BB5" w:rsidRDefault="00F419B5" w:rsidP="002C5BB5">
            <w:pPr>
              <w:pStyle w:val="TableCopy"/>
              <w:jc w:val="right"/>
              <w:rPr>
                <w:rFonts w:asciiTheme="minorHAnsi" w:hAnsiTheme="minorHAnsi" w:cstheme="minorHAnsi"/>
                <w:sz w:val="22"/>
                <w:szCs w:val="22"/>
              </w:rPr>
            </w:pPr>
            <w:r w:rsidRPr="002C5BB5">
              <w:rPr>
                <w:rFonts w:asciiTheme="minorHAnsi" w:hAnsiTheme="minorHAnsi" w:cstheme="minorHAnsi"/>
                <w:sz w:val="22"/>
                <w:szCs w:val="22"/>
              </w:rPr>
              <w:t>(182)</w:t>
            </w:r>
          </w:p>
        </w:tc>
        <w:tc>
          <w:tcPr>
            <w:tcW w:w="1383" w:type="dxa"/>
          </w:tcPr>
          <w:p w14:paraId="08498AA1" w14:textId="77777777" w:rsidR="00F419B5" w:rsidRPr="002C5BB5" w:rsidRDefault="00F419B5" w:rsidP="002C5BB5">
            <w:pPr>
              <w:pStyle w:val="TableCopy"/>
              <w:jc w:val="right"/>
              <w:rPr>
                <w:rFonts w:asciiTheme="minorHAnsi" w:hAnsiTheme="minorHAnsi" w:cstheme="minorHAnsi"/>
                <w:sz w:val="22"/>
                <w:szCs w:val="22"/>
              </w:rPr>
            </w:pPr>
            <w:r w:rsidRPr="002C5BB5">
              <w:rPr>
                <w:rFonts w:asciiTheme="minorHAnsi" w:hAnsiTheme="minorHAnsi" w:cstheme="minorHAnsi"/>
                <w:sz w:val="22"/>
                <w:szCs w:val="22"/>
              </w:rPr>
              <w:t>(261)</w:t>
            </w:r>
          </w:p>
        </w:tc>
      </w:tr>
      <w:tr w:rsidR="00F419B5" w:rsidRPr="002C5BB5" w14:paraId="3ED8FCAB" w14:textId="77777777" w:rsidTr="002C5BB5">
        <w:trPr>
          <w:cantSplit/>
        </w:trPr>
        <w:tc>
          <w:tcPr>
            <w:tcW w:w="4106" w:type="dxa"/>
          </w:tcPr>
          <w:p w14:paraId="32B76891" w14:textId="7FC39022" w:rsidR="00F419B5" w:rsidRPr="002C5BB5" w:rsidRDefault="00F419B5" w:rsidP="00627ECB">
            <w:pPr>
              <w:pStyle w:val="TableCopy"/>
              <w:rPr>
                <w:rFonts w:asciiTheme="minorHAnsi" w:hAnsiTheme="minorHAnsi" w:cstheme="minorHAnsi"/>
                <w:sz w:val="22"/>
                <w:szCs w:val="22"/>
              </w:rPr>
            </w:pPr>
            <w:r w:rsidRPr="002C5BB5">
              <w:rPr>
                <w:rFonts w:asciiTheme="minorHAnsi" w:hAnsiTheme="minorHAnsi" w:cstheme="minorHAnsi"/>
                <w:sz w:val="22"/>
                <w:szCs w:val="22"/>
              </w:rPr>
              <w:t>Other operating expenses</w:t>
            </w:r>
          </w:p>
        </w:tc>
        <w:tc>
          <w:tcPr>
            <w:tcW w:w="1382" w:type="dxa"/>
          </w:tcPr>
          <w:p w14:paraId="570C05A9" w14:textId="77777777" w:rsidR="00F419B5" w:rsidRPr="002C5BB5" w:rsidRDefault="00F419B5" w:rsidP="002C5BB5">
            <w:pPr>
              <w:pStyle w:val="TableCopy"/>
              <w:jc w:val="right"/>
              <w:rPr>
                <w:rFonts w:asciiTheme="minorHAnsi" w:hAnsiTheme="minorHAnsi" w:cstheme="minorHAnsi"/>
                <w:sz w:val="22"/>
                <w:szCs w:val="22"/>
              </w:rPr>
            </w:pPr>
            <w:r w:rsidRPr="002C5BB5">
              <w:rPr>
                <w:rFonts w:asciiTheme="minorHAnsi" w:hAnsiTheme="minorHAnsi" w:cstheme="minorHAnsi"/>
                <w:sz w:val="22"/>
                <w:szCs w:val="22"/>
              </w:rPr>
              <w:t>(1,560)</w:t>
            </w:r>
          </w:p>
        </w:tc>
        <w:tc>
          <w:tcPr>
            <w:tcW w:w="1382" w:type="dxa"/>
          </w:tcPr>
          <w:p w14:paraId="03420DF9" w14:textId="77777777" w:rsidR="00F419B5" w:rsidRPr="002C5BB5" w:rsidRDefault="00F419B5" w:rsidP="002C5BB5">
            <w:pPr>
              <w:pStyle w:val="TableCopy"/>
              <w:jc w:val="right"/>
              <w:rPr>
                <w:rFonts w:asciiTheme="minorHAnsi" w:hAnsiTheme="minorHAnsi" w:cstheme="minorHAnsi"/>
                <w:sz w:val="22"/>
                <w:szCs w:val="22"/>
              </w:rPr>
            </w:pPr>
            <w:r w:rsidRPr="002C5BB5">
              <w:rPr>
                <w:rFonts w:asciiTheme="minorHAnsi" w:hAnsiTheme="minorHAnsi" w:cstheme="minorHAnsi"/>
                <w:sz w:val="22"/>
                <w:szCs w:val="22"/>
              </w:rPr>
              <w:t>(2,609)</w:t>
            </w:r>
          </w:p>
        </w:tc>
        <w:tc>
          <w:tcPr>
            <w:tcW w:w="1382" w:type="dxa"/>
          </w:tcPr>
          <w:p w14:paraId="181EBA50" w14:textId="77777777" w:rsidR="00F419B5" w:rsidRPr="002C5BB5" w:rsidRDefault="00F419B5" w:rsidP="002C5BB5">
            <w:pPr>
              <w:pStyle w:val="TableCopy"/>
              <w:jc w:val="right"/>
              <w:rPr>
                <w:rFonts w:asciiTheme="minorHAnsi" w:hAnsiTheme="minorHAnsi" w:cstheme="minorHAnsi"/>
                <w:sz w:val="22"/>
                <w:szCs w:val="22"/>
              </w:rPr>
            </w:pPr>
            <w:r w:rsidRPr="002C5BB5">
              <w:rPr>
                <w:rFonts w:asciiTheme="minorHAnsi" w:hAnsiTheme="minorHAnsi" w:cstheme="minorHAnsi"/>
                <w:sz w:val="22"/>
                <w:szCs w:val="22"/>
              </w:rPr>
              <w:t>(38,503)</w:t>
            </w:r>
          </w:p>
        </w:tc>
        <w:tc>
          <w:tcPr>
            <w:tcW w:w="1382" w:type="dxa"/>
          </w:tcPr>
          <w:p w14:paraId="6DDE5306" w14:textId="77777777" w:rsidR="00F419B5" w:rsidRPr="002C5BB5" w:rsidRDefault="00F419B5" w:rsidP="002C5BB5">
            <w:pPr>
              <w:pStyle w:val="TableCopy"/>
              <w:jc w:val="right"/>
              <w:rPr>
                <w:rFonts w:asciiTheme="minorHAnsi" w:hAnsiTheme="minorHAnsi" w:cstheme="minorHAnsi"/>
                <w:sz w:val="22"/>
                <w:szCs w:val="22"/>
              </w:rPr>
            </w:pPr>
            <w:r w:rsidRPr="002C5BB5">
              <w:rPr>
                <w:rFonts w:asciiTheme="minorHAnsi" w:hAnsiTheme="minorHAnsi" w:cstheme="minorHAnsi"/>
                <w:sz w:val="22"/>
                <w:szCs w:val="22"/>
              </w:rPr>
              <w:t>(48,470)</w:t>
            </w:r>
          </w:p>
        </w:tc>
        <w:tc>
          <w:tcPr>
            <w:tcW w:w="1382" w:type="dxa"/>
          </w:tcPr>
          <w:p w14:paraId="0523F45C" w14:textId="77777777" w:rsidR="00F419B5" w:rsidRPr="002C5BB5" w:rsidRDefault="00F419B5" w:rsidP="002C5BB5">
            <w:pPr>
              <w:pStyle w:val="TableCopy"/>
              <w:jc w:val="right"/>
              <w:rPr>
                <w:rFonts w:asciiTheme="minorHAnsi" w:hAnsiTheme="minorHAnsi" w:cstheme="minorHAnsi"/>
                <w:sz w:val="22"/>
                <w:szCs w:val="22"/>
              </w:rPr>
            </w:pPr>
            <w:r w:rsidRPr="002C5BB5">
              <w:rPr>
                <w:rFonts w:asciiTheme="minorHAnsi" w:hAnsiTheme="minorHAnsi" w:cstheme="minorHAnsi"/>
                <w:sz w:val="22"/>
                <w:szCs w:val="22"/>
              </w:rPr>
              <w:t>(41,606)</w:t>
            </w:r>
          </w:p>
        </w:tc>
        <w:tc>
          <w:tcPr>
            <w:tcW w:w="1382" w:type="dxa"/>
          </w:tcPr>
          <w:p w14:paraId="4F62258B" w14:textId="77777777" w:rsidR="00F419B5" w:rsidRPr="002C5BB5" w:rsidRDefault="00F419B5" w:rsidP="002C5BB5">
            <w:pPr>
              <w:pStyle w:val="TableCopy"/>
              <w:jc w:val="right"/>
              <w:rPr>
                <w:rFonts w:asciiTheme="minorHAnsi" w:hAnsiTheme="minorHAnsi" w:cstheme="minorHAnsi"/>
                <w:sz w:val="22"/>
                <w:szCs w:val="22"/>
              </w:rPr>
            </w:pPr>
            <w:r w:rsidRPr="002C5BB5">
              <w:rPr>
                <w:rFonts w:asciiTheme="minorHAnsi" w:hAnsiTheme="minorHAnsi" w:cstheme="minorHAnsi"/>
                <w:sz w:val="22"/>
                <w:szCs w:val="22"/>
              </w:rPr>
              <w:t>(39,319)</w:t>
            </w:r>
          </w:p>
        </w:tc>
        <w:tc>
          <w:tcPr>
            <w:tcW w:w="1382" w:type="dxa"/>
          </w:tcPr>
          <w:p w14:paraId="03472136" w14:textId="77777777" w:rsidR="00F419B5" w:rsidRPr="002C5BB5" w:rsidRDefault="00F419B5" w:rsidP="002C5BB5">
            <w:pPr>
              <w:pStyle w:val="TableCopy"/>
              <w:jc w:val="right"/>
              <w:rPr>
                <w:rFonts w:asciiTheme="minorHAnsi" w:hAnsiTheme="minorHAnsi" w:cstheme="minorHAnsi"/>
                <w:sz w:val="22"/>
                <w:szCs w:val="22"/>
              </w:rPr>
            </w:pPr>
            <w:r w:rsidRPr="002C5BB5">
              <w:rPr>
                <w:rFonts w:asciiTheme="minorHAnsi" w:hAnsiTheme="minorHAnsi" w:cstheme="minorHAnsi"/>
                <w:sz w:val="22"/>
                <w:szCs w:val="22"/>
              </w:rPr>
              <w:t>(32,256)</w:t>
            </w:r>
          </w:p>
        </w:tc>
        <w:tc>
          <w:tcPr>
            <w:tcW w:w="1383" w:type="dxa"/>
          </w:tcPr>
          <w:p w14:paraId="5AD1D4AE" w14:textId="77777777" w:rsidR="00F419B5" w:rsidRPr="002C5BB5" w:rsidRDefault="00F419B5" w:rsidP="002C5BB5">
            <w:pPr>
              <w:pStyle w:val="TableCopy"/>
              <w:jc w:val="right"/>
              <w:rPr>
                <w:rFonts w:asciiTheme="minorHAnsi" w:hAnsiTheme="minorHAnsi" w:cstheme="minorHAnsi"/>
                <w:sz w:val="22"/>
                <w:szCs w:val="22"/>
              </w:rPr>
            </w:pPr>
            <w:r w:rsidRPr="002C5BB5">
              <w:rPr>
                <w:rFonts w:asciiTheme="minorHAnsi" w:hAnsiTheme="minorHAnsi" w:cstheme="minorHAnsi"/>
                <w:sz w:val="22"/>
                <w:szCs w:val="22"/>
              </w:rPr>
              <w:t>(15,813)</w:t>
            </w:r>
          </w:p>
        </w:tc>
      </w:tr>
      <w:tr w:rsidR="00F419B5" w:rsidRPr="002C5BB5" w14:paraId="2F176EEF" w14:textId="77777777" w:rsidTr="002C5BB5">
        <w:trPr>
          <w:cantSplit/>
        </w:trPr>
        <w:tc>
          <w:tcPr>
            <w:tcW w:w="4106" w:type="dxa"/>
          </w:tcPr>
          <w:p w14:paraId="2561F45B" w14:textId="2387033D" w:rsidR="00F419B5" w:rsidRPr="002C5BB5" w:rsidRDefault="00F419B5" w:rsidP="00627ECB">
            <w:pPr>
              <w:pStyle w:val="TableCopy"/>
              <w:rPr>
                <w:rFonts w:asciiTheme="minorHAnsi" w:hAnsiTheme="minorHAnsi" w:cstheme="minorHAnsi"/>
                <w:b/>
                <w:bCs/>
                <w:sz w:val="22"/>
                <w:szCs w:val="22"/>
              </w:rPr>
            </w:pPr>
            <w:r w:rsidRPr="002C5BB5">
              <w:rPr>
                <w:rFonts w:asciiTheme="minorHAnsi" w:hAnsiTheme="minorHAnsi" w:cstheme="minorHAnsi"/>
                <w:b/>
                <w:bCs/>
                <w:sz w:val="22"/>
                <w:szCs w:val="22"/>
              </w:rPr>
              <w:t>Total expenses from transactions</w:t>
            </w:r>
          </w:p>
        </w:tc>
        <w:tc>
          <w:tcPr>
            <w:tcW w:w="1382" w:type="dxa"/>
          </w:tcPr>
          <w:p w14:paraId="49DB72D2" w14:textId="77777777" w:rsidR="00F419B5" w:rsidRPr="002C5BB5" w:rsidRDefault="00F419B5" w:rsidP="002C5BB5">
            <w:pPr>
              <w:pStyle w:val="TableCopy"/>
              <w:jc w:val="right"/>
              <w:rPr>
                <w:rFonts w:asciiTheme="minorHAnsi" w:hAnsiTheme="minorHAnsi" w:cstheme="minorHAnsi"/>
                <w:b/>
                <w:bCs/>
                <w:sz w:val="22"/>
                <w:szCs w:val="22"/>
              </w:rPr>
            </w:pPr>
            <w:r w:rsidRPr="002C5BB5">
              <w:rPr>
                <w:rFonts w:asciiTheme="minorHAnsi" w:hAnsiTheme="minorHAnsi" w:cstheme="minorHAnsi"/>
                <w:b/>
                <w:bCs/>
                <w:sz w:val="22"/>
                <w:szCs w:val="22"/>
              </w:rPr>
              <w:t>(31,181)</w:t>
            </w:r>
          </w:p>
        </w:tc>
        <w:tc>
          <w:tcPr>
            <w:tcW w:w="1382" w:type="dxa"/>
          </w:tcPr>
          <w:p w14:paraId="02D0B6BD" w14:textId="77777777" w:rsidR="00F419B5" w:rsidRPr="002C5BB5" w:rsidRDefault="00F419B5" w:rsidP="002C5BB5">
            <w:pPr>
              <w:pStyle w:val="TableCopy"/>
              <w:jc w:val="right"/>
              <w:rPr>
                <w:rFonts w:asciiTheme="minorHAnsi" w:hAnsiTheme="minorHAnsi" w:cstheme="minorHAnsi"/>
                <w:b/>
                <w:bCs/>
                <w:sz w:val="22"/>
                <w:szCs w:val="22"/>
              </w:rPr>
            </w:pPr>
            <w:r w:rsidRPr="002C5BB5">
              <w:rPr>
                <w:rFonts w:asciiTheme="minorHAnsi" w:hAnsiTheme="minorHAnsi" w:cstheme="minorHAnsi"/>
                <w:b/>
                <w:bCs/>
                <w:sz w:val="22"/>
                <w:szCs w:val="22"/>
              </w:rPr>
              <w:t>(25,583)</w:t>
            </w:r>
          </w:p>
        </w:tc>
        <w:tc>
          <w:tcPr>
            <w:tcW w:w="1382" w:type="dxa"/>
          </w:tcPr>
          <w:p w14:paraId="1BFF18F9" w14:textId="77777777" w:rsidR="00F419B5" w:rsidRPr="002C5BB5" w:rsidRDefault="00F419B5" w:rsidP="002C5BB5">
            <w:pPr>
              <w:pStyle w:val="TableCopy"/>
              <w:jc w:val="right"/>
              <w:rPr>
                <w:rFonts w:asciiTheme="minorHAnsi" w:hAnsiTheme="minorHAnsi" w:cstheme="minorHAnsi"/>
                <w:b/>
                <w:bCs/>
                <w:sz w:val="22"/>
                <w:szCs w:val="22"/>
              </w:rPr>
            </w:pPr>
            <w:r w:rsidRPr="002C5BB5">
              <w:rPr>
                <w:rFonts w:asciiTheme="minorHAnsi" w:hAnsiTheme="minorHAnsi" w:cstheme="minorHAnsi"/>
                <w:b/>
                <w:bCs/>
                <w:sz w:val="22"/>
                <w:szCs w:val="22"/>
              </w:rPr>
              <w:t>(167,504)</w:t>
            </w:r>
          </w:p>
        </w:tc>
        <w:tc>
          <w:tcPr>
            <w:tcW w:w="1382" w:type="dxa"/>
          </w:tcPr>
          <w:p w14:paraId="246DD7A9" w14:textId="77777777" w:rsidR="00F419B5" w:rsidRPr="002C5BB5" w:rsidRDefault="00F419B5" w:rsidP="002C5BB5">
            <w:pPr>
              <w:pStyle w:val="TableCopy"/>
              <w:jc w:val="right"/>
              <w:rPr>
                <w:rFonts w:asciiTheme="minorHAnsi" w:hAnsiTheme="minorHAnsi" w:cstheme="minorHAnsi"/>
                <w:b/>
                <w:bCs/>
                <w:sz w:val="22"/>
                <w:szCs w:val="22"/>
              </w:rPr>
            </w:pPr>
            <w:r w:rsidRPr="002C5BB5">
              <w:rPr>
                <w:rFonts w:asciiTheme="minorHAnsi" w:hAnsiTheme="minorHAnsi" w:cstheme="minorHAnsi"/>
                <w:b/>
                <w:bCs/>
                <w:sz w:val="22"/>
                <w:szCs w:val="22"/>
              </w:rPr>
              <w:t>(249,732)</w:t>
            </w:r>
          </w:p>
        </w:tc>
        <w:tc>
          <w:tcPr>
            <w:tcW w:w="1382" w:type="dxa"/>
          </w:tcPr>
          <w:p w14:paraId="24F738A7" w14:textId="77777777" w:rsidR="00F419B5" w:rsidRPr="002C5BB5" w:rsidRDefault="00F419B5" w:rsidP="002C5BB5">
            <w:pPr>
              <w:pStyle w:val="TableCopy"/>
              <w:jc w:val="right"/>
              <w:rPr>
                <w:rFonts w:asciiTheme="minorHAnsi" w:hAnsiTheme="minorHAnsi" w:cstheme="minorHAnsi"/>
                <w:b/>
                <w:bCs/>
                <w:sz w:val="22"/>
                <w:szCs w:val="22"/>
              </w:rPr>
            </w:pPr>
            <w:r w:rsidRPr="002C5BB5">
              <w:rPr>
                <w:rFonts w:asciiTheme="minorHAnsi" w:hAnsiTheme="minorHAnsi" w:cstheme="minorHAnsi"/>
                <w:b/>
                <w:bCs/>
                <w:sz w:val="22"/>
                <w:szCs w:val="22"/>
              </w:rPr>
              <w:t>(552,505)</w:t>
            </w:r>
          </w:p>
        </w:tc>
        <w:tc>
          <w:tcPr>
            <w:tcW w:w="1382" w:type="dxa"/>
          </w:tcPr>
          <w:p w14:paraId="3B45125E" w14:textId="77777777" w:rsidR="00F419B5" w:rsidRPr="002C5BB5" w:rsidRDefault="00F419B5" w:rsidP="002C5BB5">
            <w:pPr>
              <w:pStyle w:val="TableCopy"/>
              <w:jc w:val="right"/>
              <w:rPr>
                <w:rFonts w:asciiTheme="minorHAnsi" w:hAnsiTheme="minorHAnsi" w:cstheme="minorHAnsi"/>
                <w:b/>
                <w:bCs/>
                <w:sz w:val="22"/>
                <w:szCs w:val="22"/>
              </w:rPr>
            </w:pPr>
            <w:r w:rsidRPr="002C5BB5">
              <w:rPr>
                <w:rFonts w:asciiTheme="minorHAnsi" w:hAnsiTheme="minorHAnsi" w:cstheme="minorHAnsi"/>
                <w:b/>
                <w:bCs/>
                <w:sz w:val="22"/>
                <w:szCs w:val="22"/>
              </w:rPr>
              <w:t>(691,672)</w:t>
            </w:r>
          </w:p>
        </w:tc>
        <w:tc>
          <w:tcPr>
            <w:tcW w:w="1382" w:type="dxa"/>
          </w:tcPr>
          <w:p w14:paraId="63DE86B9" w14:textId="77777777" w:rsidR="00F419B5" w:rsidRPr="002C5BB5" w:rsidRDefault="00F419B5" w:rsidP="002C5BB5">
            <w:pPr>
              <w:pStyle w:val="TableCopy"/>
              <w:jc w:val="right"/>
              <w:rPr>
                <w:rFonts w:asciiTheme="minorHAnsi" w:hAnsiTheme="minorHAnsi" w:cstheme="minorHAnsi"/>
                <w:b/>
                <w:bCs/>
                <w:sz w:val="22"/>
                <w:szCs w:val="22"/>
              </w:rPr>
            </w:pPr>
            <w:r w:rsidRPr="002C5BB5">
              <w:rPr>
                <w:rFonts w:asciiTheme="minorHAnsi" w:hAnsiTheme="minorHAnsi" w:cstheme="minorHAnsi"/>
                <w:b/>
                <w:bCs/>
                <w:sz w:val="22"/>
                <w:szCs w:val="22"/>
              </w:rPr>
              <w:t>(94,285)</w:t>
            </w:r>
          </w:p>
        </w:tc>
        <w:tc>
          <w:tcPr>
            <w:tcW w:w="1383" w:type="dxa"/>
          </w:tcPr>
          <w:p w14:paraId="6AE35A98" w14:textId="77777777" w:rsidR="00F419B5" w:rsidRPr="002C5BB5" w:rsidRDefault="00F419B5" w:rsidP="002C5BB5">
            <w:pPr>
              <w:pStyle w:val="TableCopy"/>
              <w:jc w:val="right"/>
              <w:rPr>
                <w:rFonts w:asciiTheme="minorHAnsi" w:hAnsiTheme="minorHAnsi" w:cstheme="minorHAnsi"/>
                <w:b/>
                <w:bCs/>
                <w:sz w:val="22"/>
                <w:szCs w:val="22"/>
              </w:rPr>
            </w:pPr>
            <w:r w:rsidRPr="002C5BB5">
              <w:rPr>
                <w:rFonts w:asciiTheme="minorHAnsi" w:hAnsiTheme="minorHAnsi" w:cstheme="minorHAnsi"/>
                <w:b/>
                <w:bCs/>
                <w:sz w:val="22"/>
                <w:szCs w:val="22"/>
              </w:rPr>
              <w:t>(88,741)</w:t>
            </w:r>
          </w:p>
        </w:tc>
      </w:tr>
      <w:tr w:rsidR="00F419B5" w:rsidRPr="002C5BB5" w14:paraId="748072B0" w14:textId="77777777" w:rsidTr="002C5BB5">
        <w:trPr>
          <w:cantSplit/>
        </w:trPr>
        <w:tc>
          <w:tcPr>
            <w:tcW w:w="4106" w:type="dxa"/>
          </w:tcPr>
          <w:p w14:paraId="5502B7B0" w14:textId="77B38BF6" w:rsidR="00F419B5" w:rsidRPr="002C5BB5" w:rsidRDefault="00F419B5" w:rsidP="00627ECB">
            <w:pPr>
              <w:pStyle w:val="TableCopy"/>
              <w:rPr>
                <w:rFonts w:asciiTheme="minorHAnsi" w:hAnsiTheme="minorHAnsi" w:cstheme="minorHAnsi"/>
                <w:b/>
                <w:bCs/>
                <w:sz w:val="22"/>
                <w:szCs w:val="22"/>
              </w:rPr>
            </w:pPr>
            <w:r w:rsidRPr="002C5BB5">
              <w:rPr>
                <w:rFonts w:asciiTheme="minorHAnsi" w:hAnsiTheme="minorHAnsi" w:cstheme="minorHAnsi"/>
                <w:b/>
                <w:bCs/>
                <w:sz w:val="22"/>
                <w:szCs w:val="22"/>
              </w:rPr>
              <w:t>Net result from transactions</w:t>
            </w:r>
          </w:p>
        </w:tc>
        <w:tc>
          <w:tcPr>
            <w:tcW w:w="1382" w:type="dxa"/>
          </w:tcPr>
          <w:p w14:paraId="70952CEC" w14:textId="04BB5E83" w:rsidR="00F419B5" w:rsidRPr="002C5BB5" w:rsidRDefault="00F419B5" w:rsidP="002C5BB5">
            <w:pPr>
              <w:pStyle w:val="TableCopy"/>
              <w:jc w:val="right"/>
              <w:rPr>
                <w:rFonts w:asciiTheme="minorHAnsi" w:hAnsiTheme="minorHAnsi" w:cstheme="minorHAnsi"/>
                <w:b/>
                <w:bCs/>
                <w:sz w:val="22"/>
                <w:szCs w:val="22"/>
              </w:rPr>
            </w:pPr>
            <w:r w:rsidRPr="002C5BB5">
              <w:rPr>
                <w:rFonts w:asciiTheme="minorHAnsi" w:hAnsiTheme="minorHAnsi" w:cstheme="minorHAnsi"/>
                <w:b/>
                <w:bCs/>
                <w:sz w:val="22"/>
                <w:szCs w:val="22"/>
              </w:rPr>
              <w:t>–</w:t>
            </w:r>
          </w:p>
        </w:tc>
        <w:tc>
          <w:tcPr>
            <w:tcW w:w="1382" w:type="dxa"/>
          </w:tcPr>
          <w:p w14:paraId="25E94FE6" w14:textId="77777777" w:rsidR="00F419B5" w:rsidRPr="002C5BB5" w:rsidRDefault="00F419B5" w:rsidP="002C5BB5">
            <w:pPr>
              <w:pStyle w:val="TableCopy"/>
              <w:jc w:val="right"/>
              <w:rPr>
                <w:rFonts w:asciiTheme="minorHAnsi" w:hAnsiTheme="minorHAnsi" w:cstheme="minorHAnsi"/>
                <w:b/>
                <w:bCs/>
                <w:sz w:val="22"/>
                <w:szCs w:val="22"/>
              </w:rPr>
            </w:pPr>
            <w:r w:rsidRPr="002C5BB5">
              <w:rPr>
                <w:rFonts w:asciiTheme="minorHAnsi" w:hAnsiTheme="minorHAnsi" w:cstheme="minorHAnsi"/>
                <w:b/>
                <w:bCs/>
                <w:sz w:val="22"/>
                <w:szCs w:val="22"/>
              </w:rPr>
              <w:t>(23)</w:t>
            </w:r>
          </w:p>
        </w:tc>
        <w:tc>
          <w:tcPr>
            <w:tcW w:w="1382" w:type="dxa"/>
          </w:tcPr>
          <w:p w14:paraId="02AAEF45" w14:textId="23256989" w:rsidR="00F419B5" w:rsidRPr="002C5BB5" w:rsidRDefault="00F419B5" w:rsidP="002C5BB5">
            <w:pPr>
              <w:pStyle w:val="TableCopy"/>
              <w:jc w:val="right"/>
              <w:rPr>
                <w:rFonts w:asciiTheme="minorHAnsi" w:hAnsiTheme="minorHAnsi" w:cstheme="minorHAnsi"/>
                <w:b/>
                <w:bCs/>
                <w:sz w:val="22"/>
                <w:szCs w:val="22"/>
              </w:rPr>
            </w:pPr>
            <w:r w:rsidRPr="002C5BB5">
              <w:rPr>
                <w:rFonts w:asciiTheme="minorHAnsi" w:hAnsiTheme="minorHAnsi" w:cstheme="minorHAnsi"/>
                <w:b/>
                <w:bCs/>
                <w:sz w:val="22"/>
                <w:szCs w:val="22"/>
              </w:rPr>
              <w:t>10,918</w:t>
            </w:r>
          </w:p>
        </w:tc>
        <w:tc>
          <w:tcPr>
            <w:tcW w:w="1382" w:type="dxa"/>
          </w:tcPr>
          <w:p w14:paraId="72A9CCD5" w14:textId="77777777" w:rsidR="00F419B5" w:rsidRPr="002C5BB5" w:rsidRDefault="00F419B5" w:rsidP="002C5BB5">
            <w:pPr>
              <w:pStyle w:val="TableCopy"/>
              <w:jc w:val="right"/>
              <w:rPr>
                <w:rFonts w:asciiTheme="minorHAnsi" w:hAnsiTheme="minorHAnsi" w:cstheme="minorHAnsi"/>
                <w:b/>
                <w:bCs/>
                <w:sz w:val="22"/>
                <w:szCs w:val="22"/>
              </w:rPr>
            </w:pPr>
            <w:r w:rsidRPr="002C5BB5">
              <w:rPr>
                <w:rFonts w:asciiTheme="minorHAnsi" w:hAnsiTheme="minorHAnsi" w:cstheme="minorHAnsi"/>
                <w:b/>
                <w:bCs/>
                <w:sz w:val="22"/>
                <w:szCs w:val="22"/>
              </w:rPr>
              <w:t>(5,302)</w:t>
            </w:r>
          </w:p>
        </w:tc>
        <w:tc>
          <w:tcPr>
            <w:tcW w:w="1382" w:type="dxa"/>
          </w:tcPr>
          <w:p w14:paraId="7723EC02" w14:textId="77777777" w:rsidR="00F419B5" w:rsidRPr="002C5BB5" w:rsidRDefault="00F419B5" w:rsidP="002C5BB5">
            <w:pPr>
              <w:pStyle w:val="TableCopy"/>
              <w:jc w:val="right"/>
              <w:rPr>
                <w:rFonts w:asciiTheme="minorHAnsi" w:hAnsiTheme="minorHAnsi" w:cstheme="minorHAnsi"/>
                <w:b/>
                <w:bCs/>
                <w:sz w:val="22"/>
                <w:szCs w:val="22"/>
              </w:rPr>
            </w:pPr>
            <w:r w:rsidRPr="002C5BB5">
              <w:rPr>
                <w:rFonts w:asciiTheme="minorHAnsi" w:hAnsiTheme="minorHAnsi" w:cstheme="minorHAnsi"/>
                <w:b/>
                <w:bCs/>
                <w:sz w:val="22"/>
                <w:szCs w:val="22"/>
              </w:rPr>
              <w:t>(30,051)</w:t>
            </w:r>
          </w:p>
        </w:tc>
        <w:tc>
          <w:tcPr>
            <w:tcW w:w="1382" w:type="dxa"/>
          </w:tcPr>
          <w:p w14:paraId="3821F765" w14:textId="6D4E6B1C" w:rsidR="00F419B5" w:rsidRPr="002C5BB5" w:rsidRDefault="00F419B5" w:rsidP="002C5BB5">
            <w:pPr>
              <w:pStyle w:val="TableCopy"/>
              <w:jc w:val="right"/>
              <w:rPr>
                <w:rFonts w:asciiTheme="minorHAnsi" w:hAnsiTheme="minorHAnsi" w:cstheme="minorHAnsi"/>
                <w:b/>
                <w:bCs/>
                <w:sz w:val="22"/>
                <w:szCs w:val="22"/>
              </w:rPr>
            </w:pPr>
            <w:r w:rsidRPr="002C5BB5">
              <w:rPr>
                <w:rFonts w:asciiTheme="minorHAnsi" w:hAnsiTheme="minorHAnsi" w:cstheme="minorHAnsi"/>
                <w:b/>
                <w:bCs/>
                <w:sz w:val="22"/>
                <w:szCs w:val="22"/>
              </w:rPr>
              <w:t>5,776</w:t>
            </w:r>
          </w:p>
        </w:tc>
        <w:tc>
          <w:tcPr>
            <w:tcW w:w="1382" w:type="dxa"/>
          </w:tcPr>
          <w:p w14:paraId="0A1CC279" w14:textId="746FEFCE" w:rsidR="00F419B5" w:rsidRPr="002C5BB5" w:rsidRDefault="00F419B5" w:rsidP="002C5BB5">
            <w:pPr>
              <w:pStyle w:val="TableCopy"/>
              <w:jc w:val="right"/>
              <w:rPr>
                <w:rFonts w:asciiTheme="minorHAnsi" w:hAnsiTheme="minorHAnsi" w:cstheme="minorHAnsi"/>
                <w:b/>
                <w:bCs/>
                <w:sz w:val="22"/>
                <w:szCs w:val="22"/>
              </w:rPr>
            </w:pPr>
            <w:r w:rsidRPr="002C5BB5">
              <w:rPr>
                <w:rFonts w:asciiTheme="minorHAnsi" w:hAnsiTheme="minorHAnsi" w:cstheme="minorHAnsi"/>
                <w:b/>
                <w:bCs/>
                <w:sz w:val="22"/>
                <w:szCs w:val="22"/>
              </w:rPr>
              <w:t>1,585</w:t>
            </w:r>
          </w:p>
        </w:tc>
        <w:tc>
          <w:tcPr>
            <w:tcW w:w="1383" w:type="dxa"/>
          </w:tcPr>
          <w:p w14:paraId="0C5D5B33" w14:textId="77777777" w:rsidR="00F419B5" w:rsidRPr="002C5BB5" w:rsidRDefault="00F419B5" w:rsidP="002C5BB5">
            <w:pPr>
              <w:pStyle w:val="TableCopy"/>
              <w:jc w:val="right"/>
              <w:rPr>
                <w:rFonts w:asciiTheme="minorHAnsi" w:hAnsiTheme="minorHAnsi" w:cstheme="minorHAnsi"/>
                <w:b/>
                <w:bCs/>
                <w:sz w:val="22"/>
                <w:szCs w:val="22"/>
              </w:rPr>
            </w:pPr>
            <w:r w:rsidRPr="002C5BB5">
              <w:rPr>
                <w:rFonts w:asciiTheme="minorHAnsi" w:hAnsiTheme="minorHAnsi" w:cstheme="minorHAnsi"/>
                <w:b/>
                <w:bCs/>
                <w:sz w:val="22"/>
                <w:szCs w:val="22"/>
              </w:rPr>
              <w:t>(61)</w:t>
            </w:r>
          </w:p>
        </w:tc>
      </w:tr>
      <w:tr w:rsidR="00F419B5" w:rsidRPr="002C5BB5" w14:paraId="3F9FC510" w14:textId="77777777" w:rsidTr="002C5BB5">
        <w:trPr>
          <w:cantSplit/>
        </w:trPr>
        <w:tc>
          <w:tcPr>
            <w:tcW w:w="4106" w:type="dxa"/>
          </w:tcPr>
          <w:p w14:paraId="7087A45A" w14:textId="0447002C" w:rsidR="00F419B5" w:rsidRPr="002C5BB5" w:rsidRDefault="00F419B5" w:rsidP="00627ECB">
            <w:pPr>
              <w:pStyle w:val="TableHeading"/>
              <w:rPr>
                <w:rFonts w:asciiTheme="minorHAnsi" w:hAnsiTheme="minorHAnsi" w:cstheme="minorHAnsi"/>
                <w:sz w:val="22"/>
                <w:szCs w:val="22"/>
              </w:rPr>
            </w:pPr>
            <w:r w:rsidRPr="002C5BB5">
              <w:rPr>
                <w:rFonts w:asciiTheme="minorHAnsi" w:hAnsiTheme="minorHAnsi" w:cstheme="minorHAnsi"/>
                <w:sz w:val="22"/>
                <w:szCs w:val="22"/>
              </w:rPr>
              <w:lastRenderedPageBreak/>
              <w:t>Other economic flows included in net result</w:t>
            </w:r>
          </w:p>
        </w:tc>
        <w:tc>
          <w:tcPr>
            <w:tcW w:w="1382" w:type="dxa"/>
          </w:tcPr>
          <w:p w14:paraId="0E74285D" w14:textId="77777777" w:rsidR="00F419B5" w:rsidRPr="002C5BB5" w:rsidRDefault="00F419B5" w:rsidP="002C5BB5">
            <w:pPr>
              <w:pStyle w:val="TableHeading"/>
              <w:jc w:val="right"/>
              <w:rPr>
                <w:rFonts w:asciiTheme="minorHAnsi" w:hAnsiTheme="minorHAnsi" w:cstheme="minorHAnsi"/>
                <w:sz w:val="22"/>
                <w:szCs w:val="22"/>
              </w:rPr>
            </w:pPr>
          </w:p>
        </w:tc>
        <w:tc>
          <w:tcPr>
            <w:tcW w:w="1382" w:type="dxa"/>
          </w:tcPr>
          <w:p w14:paraId="193D39BA" w14:textId="77777777" w:rsidR="00F419B5" w:rsidRPr="002C5BB5" w:rsidRDefault="00F419B5" w:rsidP="002C5BB5">
            <w:pPr>
              <w:pStyle w:val="TableHeading"/>
              <w:jc w:val="right"/>
              <w:rPr>
                <w:rFonts w:asciiTheme="minorHAnsi" w:hAnsiTheme="minorHAnsi" w:cstheme="minorHAnsi"/>
                <w:sz w:val="22"/>
                <w:szCs w:val="22"/>
              </w:rPr>
            </w:pPr>
          </w:p>
        </w:tc>
        <w:tc>
          <w:tcPr>
            <w:tcW w:w="1382" w:type="dxa"/>
          </w:tcPr>
          <w:p w14:paraId="5CDC420D" w14:textId="77777777" w:rsidR="00F419B5" w:rsidRPr="002C5BB5" w:rsidRDefault="00F419B5" w:rsidP="002C5BB5">
            <w:pPr>
              <w:pStyle w:val="TableHeading"/>
              <w:jc w:val="right"/>
              <w:rPr>
                <w:rFonts w:asciiTheme="minorHAnsi" w:hAnsiTheme="minorHAnsi" w:cstheme="minorHAnsi"/>
                <w:sz w:val="22"/>
                <w:szCs w:val="22"/>
              </w:rPr>
            </w:pPr>
          </w:p>
        </w:tc>
        <w:tc>
          <w:tcPr>
            <w:tcW w:w="1382" w:type="dxa"/>
          </w:tcPr>
          <w:p w14:paraId="08DED062" w14:textId="77777777" w:rsidR="00F419B5" w:rsidRPr="002C5BB5" w:rsidRDefault="00F419B5" w:rsidP="002C5BB5">
            <w:pPr>
              <w:pStyle w:val="TableHeading"/>
              <w:jc w:val="right"/>
              <w:rPr>
                <w:rFonts w:asciiTheme="minorHAnsi" w:hAnsiTheme="minorHAnsi" w:cstheme="minorHAnsi"/>
                <w:sz w:val="22"/>
                <w:szCs w:val="22"/>
              </w:rPr>
            </w:pPr>
          </w:p>
        </w:tc>
        <w:tc>
          <w:tcPr>
            <w:tcW w:w="1382" w:type="dxa"/>
          </w:tcPr>
          <w:p w14:paraId="66ECE30A" w14:textId="77777777" w:rsidR="00F419B5" w:rsidRPr="002C5BB5" w:rsidRDefault="00F419B5" w:rsidP="002C5BB5">
            <w:pPr>
              <w:pStyle w:val="TableHeading"/>
              <w:jc w:val="right"/>
              <w:rPr>
                <w:rFonts w:asciiTheme="minorHAnsi" w:hAnsiTheme="minorHAnsi" w:cstheme="minorHAnsi"/>
                <w:sz w:val="22"/>
                <w:szCs w:val="22"/>
              </w:rPr>
            </w:pPr>
          </w:p>
        </w:tc>
        <w:tc>
          <w:tcPr>
            <w:tcW w:w="1382" w:type="dxa"/>
          </w:tcPr>
          <w:p w14:paraId="28CEF39D" w14:textId="77777777" w:rsidR="00F419B5" w:rsidRPr="002C5BB5" w:rsidRDefault="00F419B5" w:rsidP="002C5BB5">
            <w:pPr>
              <w:pStyle w:val="TableHeading"/>
              <w:jc w:val="right"/>
              <w:rPr>
                <w:rFonts w:asciiTheme="minorHAnsi" w:hAnsiTheme="minorHAnsi" w:cstheme="minorHAnsi"/>
                <w:sz w:val="22"/>
                <w:szCs w:val="22"/>
              </w:rPr>
            </w:pPr>
          </w:p>
        </w:tc>
        <w:tc>
          <w:tcPr>
            <w:tcW w:w="1382" w:type="dxa"/>
          </w:tcPr>
          <w:p w14:paraId="2664A6FA" w14:textId="77777777" w:rsidR="00F419B5" w:rsidRPr="002C5BB5" w:rsidRDefault="00F419B5" w:rsidP="002C5BB5">
            <w:pPr>
              <w:pStyle w:val="TableHeading"/>
              <w:jc w:val="right"/>
              <w:rPr>
                <w:rFonts w:asciiTheme="minorHAnsi" w:hAnsiTheme="minorHAnsi" w:cstheme="minorHAnsi"/>
                <w:sz w:val="22"/>
                <w:szCs w:val="22"/>
              </w:rPr>
            </w:pPr>
          </w:p>
        </w:tc>
        <w:tc>
          <w:tcPr>
            <w:tcW w:w="1383" w:type="dxa"/>
          </w:tcPr>
          <w:p w14:paraId="7E668F98" w14:textId="77777777" w:rsidR="00F419B5" w:rsidRPr="002C5BB5" w:rsidRDefault="00F419B5" w:rsidP="002C5BB5">
            <w:pPr>
              <w:pStyle w:val="TableHeading"/>
              <w:jc w:val="right"/>
              <w:rPr>
                <w:rFonts w:asciiTheme="minorHAnsi" w:hAnsiTheme="minorHAnsi" w:cstheme="minorHAnsi"/>
                <w:sz w:val="22"/>
                <w:szCs w:val="22"/>
              </w:rPr>
            </w:pPr>
          </w:p>
        </w:tc>
      </w:tr>
      <w:tr w:rsidR="00F419B5" w:rsidRPr="002C5BB5" w14:paraId="2D94F00C" w14:textId="77777777" w:rsidTr="002C5BB5">
        <w:trPr>
          <w:cantSplit/>
        </w:trPr>
        <w:tc>
          <w:tcPr>
            <w:tcW w:w="4106" w:type="dxa"/>
          </w:tcPr>
          <w:p w14:paraId="6F57C09D" w14:textId="755468A6" w:rsidR="00F419B5" w:rsidRPr="002C5BB5" w:rsidRDefault="00F419B5" w:rsidP="00627ECB">
            <w:pPr>
              <w:pStyle w:val="TableCopy"/>
              <w:rPr>
                <w:rFonts w:asciiTheme="minorHAnsi" w:hAnsiTheme="minorHAnsi" w:cstheme="minorHAnsi"/>
                <w:sz w:val="22"/>
                <w:szCs w:val="22"/>
              </w:rPr>
            </w:pPr>
            <w:r w:rsidRPr="002C5BB5">
              <w:rPr>
                <w:rFonts w:asciiTheme="minorHAnsi" w:hAnsiTheme="minorHAnsi" w:cstheme="minorHAnsi"/>
                <w:sz w:val="22"/>
                <w:szCs w:val="22"/>
              </w:rPr>
              <w:t>Net gains/(losses) on non-financial assets</w:t>
            </w:r>
          </w:p>
        </w:tc>
        <w:tc>
          <w:tcPr>
            <w:tcW w:w="1382" w:type="dxa"/>
          </w:tcPr>
          <w:p w14:paraId="61E4CF12" w14:textId="054F9B90" w:rsidR="00F419B5" w:rsidRPr="002C5BB5" w:rsidRDefault="00F419B5" w:rsidP="002C5BB5">
            <w:pPr>
              <w:pStyle w:val="TableCopy"/>
              <w:jc w:val="right"/>
              <w:rPr>
                <w:rFonts w:asciiTheme="minorHAnsi" w:hAnsiTheme="minorHAnsi" w:cstheme="minorHAnsi"/>
                <w:sz w:val="22"/>
                <w:szCs w:val="22"/>
              </w:rPr>
            </w:pPr>
            <w:r w:rsidRPr="002C5BB5">
              <w:rPr>
                <w:rFonts w:asciiTheme="minorHAnsi" w:hAnsiTheme="minorHAnsi" w:cstheme="minorHAnsi"/>
                <w:sz w:val="22"/>
                <w:szCs w:val="22"/>
              </w:rPr>
              <w:t>2</w:t>
            </w:r>
          </w:p>
        </w:tc>
        <w:tc>
          <w:tcPr>
            <w:tcW w:w="1382" w:type="dxa"/>
          </w:tcPr>
          <w:p w14:paraId="21E8D5A2" w14:textId="5A0FA22D" w:rsidR="00F419B5" w:rsidRPr="002C5BB5" w:rsidRDefault="00F419B5" w:rsidP="002C5BB5">
            <w:pPr>
              <w:pStyle w:val="TableCopy"/>
              <w:jc w:val="right"/>
              <w:rPr>
                <w:rFonts w:asciiTheme="minorHAnsi" w:hAnsiTheme="minorHAnsi" w:cstheme="minorHAnsi"/>
                <w:sz w:val="22"/>
                <w:szCs w:val="22"/>
              </w:rPr>
            </w:pPr>
            <w:r w:rsidRPr="002C5BB5">
              <w:rPr>
                <w:rFonts w:asciiTheme="minorHAnsi" w:hAnsiTheme="minorHAnsi" w:cstheme="minorHAnsi"/>
                <w:sz w:val="22"/>
                <w:szCs w:val="22"/>
              </w:rPr>
              <w:t>2</w:t>
            </w:r>
          </w:p>
        </w:tc>
        <w:tc>
          <w:tcPr>
            <w:tcW w:w="1382" w:type="dxa"/>
          </w:tcPr>
          <w:p w14:paraId="7C58777F" w14:textId="24CD8166" w:rsidR="00F419B5" w:rsidRPr="002C5BB5" w:rsidRDefault="00F419B5" w:rsidP="002C5BB5">
            <w:pPr>
              <w:pStyle w:val="TableCopy"/>
              <w:jc w:val="right"/>
              <w:rPr>
                <w:rFonts w:asciiTheme="minorHAnsi" w:hAnsiTheme="minorHAnsi" w:cstheme="minorHAnsi"/>
                <w:sz w:val="22"/>
                <w:szCs w:val="22"/>
              </w:rPr>
            </w:pPr>
            <w:r w:rsidRPr="002C5BB5">
              <w:rPr>
                <w:rFonts w:asciiTheme="minorHAnsi" w:hAnsiTheme="minorHAnsi" w:cstheme="minorHAnsi"/>
                <w:sz w:val="22"/>
                <w:szCs w:val="22"/>
              </w:rPr>
              <w:t>256</w:t>
            </w:r>
          </w:p>
        </w:tc>
        <w:tc>
          <w:tcPr>
            <w:tcW w:w="1382" w:type="dxa"/>
          </w:tcPr>
          <w:p w14:paraId="68ED468F" w14:textId="7AE9F2DA" w:rsidR="00F419B5" w:rsidRPr="002C5BB5" w:rsidRDefault="00F419B5" w:rsidP="002C5BB5">
            <w:pPr>
              <w:pStyle w:val="TableCopy"/>
              <w:jc w:val="right"/>
              <w:rPr>
                <w:rFonts w:asciiTheme="minorHAnsi" w:hAnsiTheme="minorHAnsi" w:cstheme="minorHAnsi"/>
                <w:sz w:val="22"/>
                <w:szCs w:val="22"/>
              </w:rPr>
            </w:pPr>
            <w:r w:rsidRPr="002C5BB5">
              <w:rPr>
                <w:rFonts w:asciiTheme="minorHAnsi" w:hAnsiTheme="minorHAnsi" w:cstheme="minorHAnsi"/>
                <w:sz w:val="22"/>
                <w:szCs w:val="22"/>
              </w:rPr>
              <w:t>449</w:t>
            </w:r>
          </w:p>
        </w:tc>
        <w:tc>
          <w:tcPr>
            <w:tcW w:w="1382" w:type="dxa"/>
          </w:tcPr>
          <w:p w14:paraId="71B8CCDD" w14:textId="7C169C5D" w:rsidR="00F419B5" w:rsidRPr="002C5BB5" w:rsidRDefault="00F419B5" w:rsidP="002C5BB5">
            <w:pPr>
              <w:pStyle w:val="TableCopy"/>
              <w:jc w:val="right"/>
              <w:rPr>
                <w:rFonts w:asciiTheme="minorHAnsi" w:hAnsiTheme="minorHAnsi" w:cstheme="minorHAnsi"/>
                <w:sz w:val="22"/>
                <w:szCs w:val="22"/>
              </w:rPr>
            </w:pPr>
            <w:r w:rsidRPr="002C5BB5">
              <w:rPr>
                <w:rFonts w:asciiTheme="minorHAnsi" w:hAnsiTheme="minorHAnsi" w:cstheme="minorHAnsi"/>
                <w:sz w:val="22"/>
                <w:szCs w:val="22"/>
              </w:rPr>
              <w:t>97</w:t>
            </w:r>
          </w:p>
        </w:tc>
        <w:tc>
          <w:tcPr>
            <w:tcW w:w="1382" w:type="dxa"/>
          </w:tcPr>
          <w:p w14:paraId="59983039" w14:textId="0A798FB4" w:rsidR="00F419B5" w:rsidRPr="002C5BB5" w:rsidRDefault="00F419B5" w:rsidP="002C5BB5">
            <w:pPr>
              <w:pStyle w:val="TableCopy"/>
              <w:jc w:val="right"/>
              <w:rPr>
                <w:rFonts w:asciiTheme="minorHAnsi" w:hAnsiTheme="minorHAnsi" w:cstheme="minorHAnsi"/>
                <w:sz w:val="22"/>
                <w:szCs w:val="22"/>
              </w:rPr>
            </w:pPr>
            <w:r w:rsidRPr="002C5BB5">
              <w:rPr>
                <w:rFonts w:asciiTheme="minorHAnsi" w:hAnsiTheme="minorHAnsi" w:cstheme="minorHAnsi"/>
                <w:sz w:val="22"/>
                <w:szCs w:val="22"/>
              </w:rPr>
              <w:t>75</w:t>
            </w:r>
          </w:p>
        </w:tc>
        <w:tc>
          <w:tcPr>
            <w:tcW w:w="1382" w:type="dxa"/>
          </w:tcPr>
          <w:p w14:paraId="3E7ED0F3" w14:textId="748A9FDD" w:rsidR="00F419B5" w:rsidRPr="002C5BB5" w:rsidRDefault="00F419B5" w:rsidP="002C5BB5">
            <w:pPr>
              <w:pStyle w:val="TableCopy"/>
              <w:jc w:val="right"/>
              <w:rPr>
                <w:rFonts w:asciiTheme="minorHAnsi" w:hAnsiTheme="minorHAnsi" w:cstheme="minorHAnsi"/>
                <w:sz w:val="22"/>
                <w:szCs w:val="22"/>
              </w:rPr>
            </w:pPr>
            <w:r w:rsidRPr="002C5BB5">
              <w:rPr>
                <w:rFonts w:asciiTheme="minorHAnsi" w:hAnsiTheme="minorHAnsi" w:cstheme="minorHAnsi"/>
                <w:sz w:val="22"/>
                <w:szCs w:val="22"/>
              </w:rPr>
              <w:t>2</w:t>
            </w:r>
          </w:p>
        </w:tc>
        <w:tc>
          <w:tcPr>
            <w:tcW w:w="1383" w:type="dxa"/>
          </w:tcPr>
          <w:p w14:paraId="2222D6BE" w14:textId="0523D953" w:rsidR="00F419B5" w:rsidRPr="002C5BB5" w:rsidRDefault="00F419B5" w:rsidP="002C5BB5">
            <w:pPr>
              <w:pStyle w:val="TableCopy"/>
              <w:jc w:val="right"/>
              <w:rPr>
                <w:rFonts w:asciiTheme="minorHAnsi" w:hAnsiTheme="minorHAnsi" w:cstheme="minorHAnsi"/>
                <w:sz w:val="22"/>
                <w:szCs w:val="22"/>
              </w:rPr>
            </w:pPr>
            <w:r w:rsidRPr="002C5BB5">
              <w:rPr>
                <w:rFonts w:asciiTheme="minorHAnsi" w:hAnsiTheme="minorHAnsi" w:cstheme="minorHAnsi"/>
                <w:sz w:val="22"/>
                <w:szCs w:val="22"/>
              </w:rPr>
              <w:t>20</w:t>
            </w:r>
          </w:p>
        </w:tc>
      </w:tr>
      <w:tr w:rsidR="00F419B5" w:rsidRPr="002C5BB5" w14:paraId="6FA4D5FC" w14:textId="77777777" w:rsidTr="002C5BB5">
        <w:trPr>
          <w:cantSplit/>
        </w:trPr>
        <w:tc>
          <w:tcPr>
            <w:tcW w:w="4106" w:type="dxa"/>
          </w:tcPr>
          <w:p w14:paraId="45C9B89A" w14:textId="1E9866D9" w:rsidR="00F419B5" w:rsidRPr="002C5BB5" w:rsidRDefault="00F419B5" w:rsidP="00627ECB">
            <w:pPr>
              <w:pStyle w:val="TableCopy"/>
              <w:rPr>
                <w:rFonts w:asciiTheme="minorHAnsi" w:hAnsiTheme="minorHAnsi" w:cstheme="minorHAnsi"/>
                <w:sz w:val="22"/>
                <w:szCs w:val="22"/>
              </w:rPr>
            </w:pPr>
            <w:r w:rsidRPr="002C5BB5">
              <w:rPr>
                <w:rFonts w:asciiTheme="minorHAnsi" w:hAnsiTheme="minorHAnsi" w:cstheme="minorHAnsi"/>
                <w:sz w:val="22"/>
                <w:szCs w:val="22"/>
              </w:rPr>
              <w:t>Net (losses)/gains on financial instruments</w:t>
            </w:r>
          </w:p>
        </w:tc>
        <w:tc>
          <w:tcPr>
            <w:tcW w:w="1382" w:type="dxa"/>
          </w:tcPr>
          <w:p w14:paraId="3CFE6495" w14:textId="15C78AAE" w:rsidR="00F419B5" w:rsidRPr="002C5BB5" w:rsidRDefault="00F419B5" w:rsidP="002C5BB5">
            <w:pPr>
              <w:pStyle w:val="TableCopy"/>
              <w:jc w:val="right"/>
              <w:rPr>
                <w:rFonts w:asciiTheme="minorHAnsi" w:hAnsiTheme="minorHAnsi" w:cstheme="minorHAnsi"/>
                <w:sz w:val="22"/>
                <w:szCs w:val="22"/>
              </w:rPr>
            </w:pPr>
            <w:r w:rsidRPr="002C5BB5">
              <w:rPr>
                <w:rFonts w:asciiTheme="minorHAnsi" w:hAnsiTheme="minorHAnsi" w:cstheme="minorHAnsi"/>
                <w:sz w:val="22"/>
                <w:szCs w:val="22"/>
              </w:rPr>
              <w:t>–</w:t>
            </w:r>
          </w:p>
        </w:tc>
        <w:tc>
          <w:tcPr>
            <w:tcW w:w="1382" w:type="dxa"/>
          </w:tcPr>
          <w:p w14:paraId="06657A2E" w14:textId="1C959DF0" w:rsidR="00F419B5" w:rsidRPr="002C5BB5" w:rsidRDefault="00F419B5" w:rsidP="002C5BB5">
            <w:pPr>
              <w:pStyle w:val="TableCopy"/>
              <w:jc w:val="right"/>
              <w:rPr>
                <w:rFonts w:asciiTheme="minorHAnsi" w:hAnsiTheme="minorHAnsi" w:cstheme="minorHAnsi"/>
                <w:sz w:val="22"/>
                <w:szCs w:val="22"/>
              </w:rPr>
            </w:pPr>
            <w:r w:rsidRPr="002C5BB5">
              <w:rPr>
                <w:rFonts w:asciiTheme="minorHAnsi" w:hAnsiTheme="minorHAnsi" w:cstheme="minorHAnsi"/>
                <w:sz w:val="22"/>
                <w:szCs w:val="22"/>
              </w:rPr>
              <w:t>–</w:t>
            </w:r>
          </w:p>
        </w:tc>
        <w:tc>
          <w:tcPr>
            <w:tcW w:w="1382" w:type="dxa"/>
          </w:tcPr>
          <w:p w14:paraId="7E0CE636" w14:textId="3E71526E" w:rsidR="00F419B5" w:rsidRPr="002C5BB5" w:rsidRDefault="00F419B5" w:rsidP="002C5BB5">
            <w:pPr>
              <w:pStyle w:val="TableCopy"/>
              <w:jc w:val="right"/>
              <w:rPr>
                <w:rFonts w:asciiTheme="minorHAnsi" w:hAnsiTheme="minorHAnsi" w:cstheme="minorHAnsi"/>
                <w:sz w:val="22"/>
                <w:szCs w:val="22"/>
              </w:rPr>
            </w:pPr>
            <w:r w:rsidRPr="002C5BB5">
              <w:rPr>
                <w:rFonts w:asciiTheme="minorHAnsi" w:hAnsiTheme="minorHAnsi" w:cstheme="minorHAnsi"/>
                <w:sz w:val="22"/>
                <w:szCs w:val="22"/>
              </w:rPr>
              <w:t>–</w:t>
            </w:r>
          </w:p>
        </w:tc>
        <w:tc>
          <w:tcPr>
            <w:tcW w:w="1382" w:type="dxa"/>
          </w:tcPr>
          <w:p w14:paraId="4FE8ABF7" w14:textId="1C741F5A" w:rsidR="00F419B5" w:rsidRPr="002C5BB5" w:rsidRDefault="00F419B5" w:rsidP="002C5BB5">
            <w:pPr>
              <w:pStyle w:val="TableCopy"/>
              <w:jc w:val="right"/>
              <w:rPr>
                <w:rFonts w:asciiTheme="minorHAnsi" w:hAnsiTheme="minorHAnsi" w:cstheme="minorHAnsi"/>
                <w:sz w:val="22"/>
                <w:szCs w:val="22"/>
              </w:rPr>
            </w:pPr>
            <w:r w:rsidRPr="002C5BB5">
              <w:rPr>
                <w:rFonts w:asciiTheme="minorHAnsi" w:hAnsiTheme="minorHAnsi" w:cstheme="minorHAnsi"/>
                <w:sz w:val="22"/>
                <w:szCs w:val="22"/>
              </w:rPr>
              <w:t>6</w:t>
            </w:r>
          </w:p>
        </w:tc>
        <w:tc>
          <w:tcPr>
            <w:tcW w:w="1382" w:type="dxa"/>
          </w:tcPr>
          <w:p w14:paraId="2C19F06F" w14:textId="2DE38DEC" w:rsidR="00F419B5" w:rsidRPr="002C5BB5" w:rsidRDefault="00F419B5" w:rsidP="002C5BB5">
            <w:pPr>
              <w:pStyle w:val="TableCopy"/>
              <w:jc w:val="right"/>
              <w:rPr>
                <w:rFonts w:asciiTheme="minorHAnsi" w:hAnsiTheme="minorHAnsi" w:cstheme="minorHAnsi"/>
                <w:sz w:val="22"/>
                <w:szCs w:val="22"/>
              </w:rPr>
            </w:pPr>
            <w:r w:rsidRPr="002C5BB5">
              <w:rPr>
                <w:rFonts w:asciiTheme="minorHAnsi" w:hAnsiTheme="minorHAnsi" w:cstheme="minorHAnsi"/>
                <w:sz w:val="22"/>
                <w:szCs w:val="22"/>
              </w:rPr>
              <w:t>2,180</w:t>
            </w:r>
          </w:p>
        </w:tc>
        <w:tc>
          <w:tcPr>
            <w:tcW w:w="1382" w:type="dxa"/>
          </w:tcPr>
          <w:p w14:paraId="7A2993A9" w14:textId="0DC8627E" w:rsidR="00F419B5" w:rsidRPr="002C5BB5" w:rsidRDefault="00F419B5" w:rsidP="002C5BB5">
            <w:pPr>
              <w:pStyle w:val="TableCopy"/>
              <w:jc w:val="right"/>
              <w:rPr>
                <w:rFonts w:asciiTheme="minorHAnsi" w:hAnsiTheme="minorHAnsi" w:cstheme="minorHAnsi"/>
                <w:sz w:val="22"/>
                <w:szCs w:val="22"/>
              </w:rPr>
            </w:pPr>
            <w:r w:rsidRPr="002C5BB5">
              <w:rPr>
                <w:rFonts w:asciiTheme="minorHAnsi" w:hAnsiTheme="minorHAnsi" w:cstheme="minorHAnsi"/>
                <w:sz w:val="22"/>
                <w:szCs w:val="22"/>
              </w:rPr>
              <w:t>6</w:t>
            </w:r>
          </w:p>
        </w:tc>
        <w:tc>
          <w:tcPr>
            <w:tcW w:w="1382" w:type="dxa"/>
          </w:tcPr>
          <w:p w14:paraId="2812A339" w14:textId="0448B3DA" w:rsidR="00F419B5" w:rsidRPr="002C5BB5" w:rsidRDefault="00F419B5" w:rsidP="002C5BB5">
            <w:pPr>
              <w:pStyle w:val="TableCopy"/>
              <w:jc w:val="right"/>
              <w:rPr>
                <w:rFonts w:asciiTheme="minorHAnsi" w:hAnsiTheme="minorHAnsi" w:cstheme="minorHAnsi"/>
                <w:sz w:val="22"/>
                <w:szCs w:val="22"/>
              </w:rPr>
            </w:pPr>
            <w:r w:rsidRPr="002C5BB5">
              <w:rPr>
                <w:rFonts w:asciiTheme="minorHAnsi" w:hAnsiTheme="minorHAnsi" w:cstheme="minorHAnsi"/>
                <w:sz w:val="22"/>
                <w:szCs w:val="22"/>
              </w:rPr>
              <w:t>–</w:t>
            </w:r>
          </w:p>
        </w:tc>
        <w:tc>
          <w:tcPr>
            <w:tcW w:w="1383" w:type="dxa"/>
          </w:tcPr>
          <w:p w14:paraId="6E0C79AD" w14:textId="77777777" w:rsidR="00F419B5" w:rsidRPr="002C5BB5" w:rsidRDefault="00F419B5" w:rsidP="002C5BB5">
            <w:pPr>
              <w:pStyle w:val="TableCopy"/>
              <w:jc w:val="right"/>
              <w:rPr>
                <w:rFonts w:asciiTheme="minorHAnsi" w:hAnsiTheme="minorHAnsi" w:cstheme="minorHAnsi"/>
                <w:sz w:val="22"/>
                <w:szCs w:val="22"/>
              </w:rPr>
            </w:pPr>
            <w:r w:rsidRPr="002C5BB5">
              <w:rPr>
                <w:rFonts w:asciiTheme="minorHAnsi" w:hAnsiTheme="minorHAnsi" w:cstheme="minorHAnsi"/>
                <w:sz w:val="22"/>
                <w:szCs w:val="22"/>
              </w:rPr>
              <w:t>(972)</w:t>
            </w:r>
          </w:p>
        </w:tc>
      </w:tr>
      <w:tr w:rsidR="00F419B5" w:rsidRPr="002C5BB5" w14:paraId="30EFAFE3" w14:textId="77777777" w:rsidTr="002C5BB5">
        <w:trPr>
          <w:cantSplit/>
        </w:trPr>
        <w:tc>
          <w:tcPr>
            <w:tcW w:w="4106" w:type="dxa"/>
          </w:tcPr>
          <w:p w14:paraId="21B2135E" w14:textId="1E9A3D6C" w:rsidR="00F419B5" w:rsidRPr="002C5BB5" w:rsidRDefault="00F419B5" w:rsidP="00627ECB">
            <w:pPr>
              <w:pStyle w:val="TableCopy"/>
              <w:rPr>
                <w:rFonts w:asciiTheme="minorHAnsi" w:hAnsiTheme="minorHAnsi" w:cstheme="minorHAnsi"/>
                <w:sz w:val="22"/>
                <w:szCs w:val="22"/>
              </w:rPr>
            </w:pPr>
            <w:r w:rsidRPr="002C5BB5">
              <w:rPr>
                <w:rFonts w:asciiTheme="minorHAnsi" w:hAnsiTheme="minorHAnsi" w:cstheme="minorHAnsi"/>
                <w:sz w:val="22"/>
                <w:szCs w:val="22"/>
              </w:rPr>
              <w:t>Other gains from other economic flows</w:t>
            </w:r>
          </w:p>
        </w:tc>
        <w:tc>
          <w:tcPr>
            <w:tcW w:w="1382" w:type="dxa"/>
          </w:tcPr>
          <w:p w14:paraId="4916B20B" w14:textId="74286059" w:rsidR="00F419B5" w:rsidRPr="002C5BB5" w:rsidRDefault="00F419B5" w:rsidP="002C5BB5">
            <w:pPr>
              <w:pStyle w:val="TableCopy"/>
              <w:jc w:val="right"/>
              <w:rPr>
                <w:rFonts w:asciiTheme="minorHAnsi" w:hAnsiTheme="minorHAnsi" w:cstheme="minorHAnsi"/>
                <w:sz w:val="22"/>
                <w:szCs w:val="22"/>
              </w:rPr>
            </w:pPr>
            <w:r w:rsidRPr="002C5BB5">
              <w:rPr>
                <w:rFonts w:asciiTheme="minorHAnsi" w:hAnsiTheme="minorHAnsi" w:cstheme="minorHAnsi"/>
                <w:sz w:val="22"/>
                <w:szCs w:val="22"/>
              </w:rPr>
              <w:t>7</w:t>
            </w:r>
          </w:p>
        </w:tc>
        <w:tc>
          <w:tcPr>
            <w:tcW w:w="1382" w:type="dxa"/>
          </w:tcPr>
          <w:p w14:paraId="06B92FD5" w14:textId="4C053257" w:rsidR="00F419B5" w:rsidRPr="002C5BB5" w:rsidRDefault="00F419B5" w:rsidP="002C5BB5">
            <w:pPr>
              <w:pStyle w:val="TableCopy"/>
              <w:jc w:val="right"/>
              <w:rPr>
                <w:rFonts w:asciiTheme="minorHAnsi" w:hAnsiTheme="minorHAnsi" w:cstheme="minorHAnsi"/>
                <w:sz w:val="22"/>
                <w:szCs w:val="22"/>
              </w:rPr>
            </w:pPr>
            <w:r w:rsidRPr="002C5BB5">
              <w:rPr>
                <w:rFonts w:asciiTheme="minorHAnsi" w:hAnsiTheme="minorHAnsi" w:cstheme="minorHAnsi"/>
                <w:sz w:val="22"/>
                <w:szCs w:val="22"/>
              </w:rPr>
              <w:t>57</w:t>
            </w:r>
          </w:p>
        </w:tc>
        <w:tc>
          <w:tcPr>
            <w:tcW w:w="1382" w:type="dxa"/>
          </w:tcPr>
          <w:p w14:paraId="096CBE12" w14:textId="7E68FEC1" w:rsidR="00F419B5" w:rsidRPr="002C5BB5" w:rsidRDefault="00F419B5" w:rsidP="002C5BB5">
            <w:pPr>
              <w:pStyle w:val="TableCopy"/>
              <w:jc w:val="right"/>
              <w:rPr>
                <w:rFonts w:asciiTheme="minorHAnsi" w:hAnsiTheme="minorHAnsi" w:cstheme="minorHAnsi"/>
                <w:sz w:val="22"/>
                <w:szCs w:val="22"/>
              </w:rPr>
            </w:pPr>
            <w:r w:rsidRPr="002C5BB5">
              <w:rPr>
                <w:rFonts w:asciiTheme="minorHAnsi" w:hAnsiTheme="minorHAnsi" w:cstheme="minorHAnsi"/>
                <w:sz w:val="22"/>
                <w:szCs w:val="22"/>
              </w:rPr>
              <w:t>55</w:t>
            </w:r>
          </w:p>
        </w:tc>
        <w:tc>
          <w:tcPr>
            <w:tcW w:w="1382" w:type="dxa"/>
          </w:tcPr>
          <w:p w14:paraId="2BC47B27" w14:textId="1D023970" w:rsidR="00F419B5" w:rsidRPr="002C5BB5" w:rsidRDefault="00F419B5" w:rsidP="002C5BB5">
            <w:pPr>
              <w:pStyle w:val="TableCopy"/>
              <w:jc w:val="right"/>
              <w:rPr>
                <w:rFonts w:asciiTheme="minorHAnsi" w:hAnsiTheme="minorHAnsi" w:cstheme="minorHAnsi"/>
                <w:sz w:val="22"/>
                <w:szCs w:val="22"/>
              </w:rPr>
            </w:pPr>
            <w:r w:rsidRPr="002C5BB5">
              <w:rPr>
                <w:rFonts w:asciiTheme="minorHAnsi" w:hAnsiTheme="minorHAnsi" w:cstheme="minorHAnsi"/>
                <w:sz w:val="22"/>
                <w:szCs w:val="22"/>
              </w:rPr>
              <w:t>358</w:t>
            </w:r>
          </w:p>
        </w:tc>
        <w:tc>
          <w:tcPr>
            <w:tcW w:w="1382" w:type="dxa"/>
          </w:tcPr>
          <w:p w14:paraId="2BB54D01" w14:textId="796232F5" w:rsidR="00F419B5" w:rsidRPr="002C5BB5" w:rsidRDefault="00F419B5" w:rsidP="002C5BB5">
            <w:pPr>
              <w:pStyle w:val="TableCopy"/>
              <w:jc w:val="right"/>
              <w:rPr>
                <w:rFonts w:asciiTheme="minorHAnsi" w:hAnsiTheme="minorHAnsi" w:cstheme="minorHAnsi"/>
                <w:sz w:val="22"/>
                <w:szCs w:val="22"/>
              </w:rPr>
            </w:pPr>
            <w:r w:rsidRPr="002C5BB5">
              <w:rPr>
                <w:rFonts w:asciiTheme="minorHAnsi" w:hAnsiTheme="minorHAnsi" w:cstheme="minorHAnsi"/>
                <w:sz w:val="22"/>
                <w:szCs w:val="22"/>
              </w:rPr>
              <w:t>62</w:t>
            </w:r>
          </w:p>
        </w:tc>
        <w:tc>
          <w:tcPr>
            <w:tcW w:w="1382" w:type="dxa"/>
          </w:tcPr>
          <w:p w14:paraId="6557DDED" w14:textId="4749E6D3" w:rsidR="00F419B5" w:rsidRPr="002C5BB5" w:rsidRDefault="00F419B5" w:rsidP="002C5BB5">
            <w:pPr>
              <w:pStyle w:val="TableCopy"/>
              <w:jc w:val="right"/>
              <w:rPr>
                <w:rFonts w:asciiTheme="minorHAnsi" w:hAnsiTheme="minorHAnsi" w:cstheme="minorHAnsi"/>
                <w:sz w:val="22"/>
                <w:szCs w:val="22"/>
              </w:rPr>
            </w:pPr>
            <w:r w:rsidRPr="002C5BB5">
              <w:rPr>
                <w:rFonts w:asciiTheme="minorHAnsi" w:hAnsiTheme="minorHAnsi" w:cstheme="minorHAnsi"/>
                <w:sz w:val="22"/>
                <w:szCs w:val="22"/>
              </w:rPr>
              <w:t>364</w:t>
            </w:r>
          </w:p>
        </w:tc>
        <w:tc>
          <w:tcPr>
            <w:tcW w:w="1382" w:type="dxa"/>
          </w:tcPr>
          <w:p w14:paraId="76E9C0A2" w14:textId="77777777" w:rsidR="00F419B5" w:rsidRPr="002C5BB5" w:rsidRDefault="00F419B5" w:rsidP="002C5BB5">
            <w:pPr>
              <w:pStyle w:val="TableCopy"/>
              <w:jc w:val="right"/>
              <w:rPr>
                <w:rFonts w:asciiTheme="minorHAnsi" w:hAnsiTheme="minorHAnsi" w:cstheme="minorHAnsi"/>
                <w:sz w:val="22"/>
                <w:szCs w:val="22"/>
              </w:rPr>
            </w:pPr>
            <w:r w:rsidRPr="002C5BB5">
              <w:rPr>
                <w:rFonts w:asciiTheme="minorHAnsi" w:hAnsiTheme="minorHAnsi" w:cstheme="minorHAnsi"/>
                <w:sz w:val="22"/>
                <w:szCs w:val="22"/>
              </w:rPr>
              <w:t>(56)</w:t>
            </w:r>
          </w:p>
        </w:tc>
        <w:tc>
          <w:tcPr>
            <w:tcW w:w="1383" w:type="dxa"/>
          </w:tcPr>
          <w:p w14:paraId="00900A81" w14:textId="7929165F" w:rsidR="00F419B5" w:rsidRPr="002C5BB5" w:rsidRDefault="00F419B5" w:rsidP="002C5BB5">
            <w:pPr>
              <w:pStyle w:val="TableCopy"/>
              <w:jc w:val="right"/>
              <w:rPr>
                <w:rFonts w:asciiTheme="minorHAnsi" w:hAnsiTheme="minorHAnsi" w:cstheme="minorHAnsi"/>
                <w:sz w:val="22"/>
                <w:szCs w:val="22"/>
              </w:rPr>
            </w:pPr>
            <w:r w:rsidRPr="002C5BB5">
              <w:rPr>
                <w:rFonts w:asciiTheme="minorHAnsi" w:hAnsiTheme="minorHAnsi" w:cstheme="minorHAnsi"/>
                <w:sz w:val="22"/>
                <w:szCs w:val="22"/>
              </w:rPr>
              <w:t>133</w:t>
            </w:r>
          </w:p>
        </w:tc>
      </w:tr>
      <w:tr w:rsidR="00F419B5" w:rsidRPr="002C5BB5" w14:paraId="5F972EEA" w14:textId="77777777" w:rsidTr="002C5BB5">
        <w:trPr>
          <w:cantSplit/>
        </w:trPr>
        <w:tc>
          <w:tcPr>
            <w:tcW w:w="4106" w:type="dxa"/>
          </w:tcPr>
          <w:p w14:paraId="763B53B5" w14:textId="76A30F18" w:rsidR="00F419B5" w:rsidRPr="002C5BB5" w:rsidRDefault="00F419B5" w:rsidP="00627ECB">
            <w:pPr>
              <w:pStyle w:val="TableCopy"/>
              <w:rPr>
                <w:rFonts w:asciiTheme="minorHAnsi" w:hAnsiTheme="minorHAnsi" w:cstheme="minorHAnsi"/>
                <w:b/>
                <w:bCs/>
                <w:sz w:val="22"/>
                <w:szCs w:val="22"/>
              </w:rPr>
            </w:pPr>
            <w:r w:rsidRPr="002C5BB5">
              <w:rPr>
                <w:rFonts w:asciiTheme="minorHAnsi" w:hAnsiTheme="minorHAnsi" w:cstheme="minorHAnsi"/>
                <w:b/>
                <w:bCs/>
                <w:sz w:val="22"/>
                <w:szCs w:val="22"/>
              </w:rPr>
              <w:t>Total other economic flows included in net result</w:t>
            </w:r>
          </w:p>
        </w:tc>
        <w:tc>
          <w:tcPr>
            <w:tcW w:w="1382" w:type="dxa"/>
          </w:tcPr>
          <w:p w14:paraId="57B198BC" w14:textId="384C4607" w:rsidR="00F419B5" w:rsidRPr="002C5BB5" w:rsidRDefault="00F419B5" w:rsidP="002C5BB5">
            <w:pPr>
              <w:pStyle w:val="TableCopy"/>
              <w:jc w:val="right"/>
              <w:rPr>
                <w:rFonts w:asciiTheme="minorHAnsi" w:hAnsiTheme="minorHAnsi" w:cstheme="minorHAnsi"/>
                <w:b/>
                <w:bCs/>
                <w:sz w:val="22"/>
                <w:szCs w:val="22"/>
              </w:rPr>
            </w:pPr>
            <w:r w:rsidRPr="002C5BB5">
              <w:rPr>
                <w:rFonts w:asciiTheme="minorHAnsi" w:hAnsiTheme="minorHAnsi" w:cstheme="minorHAnsi"/>
                <w:b/>
                <w:bCs/>
                <w:sz w:val="22"/>
                <w:szCs w:val="22"/>
              </w:rPr>
              <w:t>9</w:t>
            </w:r>
          </w:p>
        </w:tc>
        <w:tc>
          <w:tcPr>
            <w:tcW w:w="1382" w:type="dxa"/>
          </w:tcPr>
          <w:p w14:paraId="533D415B" w14:textId="61275CC6" w:rsidR="00F419B5" w:rsidRPr="002C5BB5" w:rsidRDefault="00F419B5" w:rsidP="002C5BB5">
            <w:pPr>
              <w:pStyle w:val="TableCopy"/>
              <w:jc w:val="right"/>
              <w:rPr>
                <w:rFonts w:asciiTheme="minorHAnsi" w:hAnsiTheme="minorHAnsi" w:cstheme="minorHAnsi"/>
                <w:b/>
                <w:bCs/>
                <w:sz w:val="22"/>
                <w:szCs w:val="22"/>
              </w:rPr>
            </w:pPr>
            <w:r w:rsidRPr="002C5BB5">
              <w:rPr>
                <w:rFonts w:asciiTheme="minorHAnsi" w:hAnsiTheme="minorHAnsi" w:cstheme="minorHAnsi"/>
                <w:b/>
                <w:bCs/>
                <w:sz w:val="22"/>
                <w:szCs w:val="22"/>
              </w:rPr>
              <w:t>60</w:t>
            </w:r>
          </w:p>
        </w:tc>
        <w:tc>
          <w:tcPr>
            <w:tcW w:w="1382" w:type="dxa"/>
          </w:tcPr>
          <w:p w14:paraId="700130D3" w14:textId="3E1EF6CA" w:rsidR="00F419B5" w:rsidRPr="002C5BB5" w:rsidRDefault="00F419B5" w:rsidP="002C5BB5">
            <w:pPr>
              <w:pStyle w:val="TableCopy"/>
              <w:jc w:val="right"/>
              <w:rPr>
                <w:rFonts w:asciiTheme="minorHAnsi" w:hAnsiTheme="minorHAnsi" w:cstheme="minorHAnsi"/>
                <w:b/>
                <w:bCs/>
                <w:sz w:val="22"/>
                <w:szCs w:val="22"/>
              </w:rPr>
            </w:pPr>
            <w:r w:rsidRPr="002C5BB5">
              <w:rPr>
                <w:rFonts w:asciiTheme="minorHAnsi" w:hAnsiTheme="minorHAnsi" w:cstheme="minorHAnsi"/>
                <w:b/>
                <w:bCs/>
                <w:sz w:val="22"/>
                <w:szCs w:val="22"/>
              </w:rPr>
              <w:t>311</w:t>
            </w:r>
          </w:p>
        </w:tc>
        <w:tc>
          <w:tcPr>
            <w:tcW w:w="1382" w:type="dxa"/>
          </w:tcPr>
          <w:p w14:paraId="78BAF6A6" w14:textId="44EE7B93" w:rsidR="00F419B5" w:rsidRPr="002C5BB5" w:rsidRDefault="00F419B5" w:rsidP="002C5BB5">
            <w:pPr>
              <w:pStyle w:val="TableCopy"/>
              <w:jc w:val="right"/>
              <w:rPr>
                <w:rFonts w:asciiTheme="minorHAnsi" w:hAnsiTheme="minorHAnsi" w:cstheme="minorHAnsi"/>
                <w:b/>
                <w:bCs/>
                <w:sz w:val="22"/>
                <w:szCs w:val="22"/>
              </w:rPr>
            </w:pPr>
            <w:r w:rsidRPr="002C5BB5">
              <w:rPr>
                <w:rFonts w:asciiTheme="minorHAnsi" w:hAnsiTheme="minorHAnsi" w:cstheme="minorHAnsi"/>
                <w:b/>
                <w:bCs/>
                <w:sz w:val="22"/>
                <w:szCs w:val="22"/>
              </w:rPr>
              <w:t>813</w:t>
            </w:r>
          </w:p>
        </w:tc>
        <w:tc>
          <w:tcPr>
            <w:tcW w:w="1382" w:type="dxa"/>
          </w:tcPr>
          <w:p w14:paraId="37954301" w14:textId="0C07883A" w:rsidR="00F419B5" w:rsidRPr="002C5BB5" w:rsidRDefault="00F419B5" w:rsidP="002C5BB5">
            <w:pPr>
              <w:pStyle w:val="TableCopy"/>
              <w:jc w:val="right"/>
              <w:rPr>
                <w:rFonts w:asciiTheme="minorHAnsi" w:hAnsiTheme="minorHAnsi" w:cstheme="minorHAnsi"/>
                <w:b/>
                <w:bCs/>
                <w:sz w:val="22"/>
                <w:szCs w:val="22"/>
              </w:rPr>
            </w:pPr>
            <w:r w:rsidRPr="002C5BB5">
              <w:rPr>
                <w:rFonts w:asciiTheme="minorHAnsi" w:hAnsiTheme="minorHAnsi" w:cstheme="minorHAnsi"/>
                <w:b/>
                <w:bCs/>
                <w:sz w:val="22"/>
                <w:szCs w:val="22"/>
              </w:rPr>
              <w:t>2,339</w:t>
            </w:r>
          </w:p>
        </w:tc>
        <w:tc>
          <w:tcPr>
            <w:tcW w:w="1382" w:type="dxa"/>
          </w:tcPr>
          <w:p w14:paraId="74384B36" w14:textId="1801DA09" w:rsidR="00F419B5" w:rsidRPr="002C5BB5" w:rsidRDefault="00F419B5" w:rsidP="002C5BB5">
            <w:pPr>
              <w:pStyle w:val="TableCopy"/>
              <w:jc w:val="right"/>
              <w:rPr>
                <w:rFonts w:asciiTheme="minorHAnsi" w:hAnsiTheme="minorHAnsi" w:cstheme="minorHAnsi"/>
                <w:b/>
                <w:bCs/>
                <w:sz w:val="22"/>
                <w:szCs w:val="22"/>
              </w:rPr>
            </w:pPr>
            <w:r w:rsidRPr="002C5BB5">
              <w:rPr>
                <w:rFonts w:asciiTheme="minorHAnsi" w:hAnsiTheme="minorHAnsi" w:cstheme="minorHAnsi"/>
                <w:b/>
                <w:bCs/>
                <w:sz w:val="22"/>
                <w:szCs w:val="22"/>
              </w:rPr>
              <w:t>445</w:t>
            </w:r>
          </w:p>
        </w:tc>
        <w:tc>
          <w:tcPr>
            <w:tcW w:w="1382" w:type="dxa"/>
          </w:tcPr>
          <w:p w14:paraId="2EAA4C42" w14:textId="77777777" w:rsidR="00F419B5" w:rsidRPr="002C5BB5" w:rsidRDefault="00F419B5" w:rsidP="002C5BB5">
            <w:pPr>
              <w:pStyle w:val="TableCopy"/>
              <w:jc w:val="right"/>
              <w:rPr>
                <w:rFonts w:asciiTheme="minorHAnsi" w:hAnsiTheme="minorHAnsi" w:cstheme="minorHAnsi"/>
                <w:b/>
                <w:bCs/>
                <w:sz w:val="22"/>
                <w:szCs w:val="22"/>
              </w:rPr>
            </w:pPr>
            <w:r w:rsidRPr="002C5BB5">
              <w:rPr>
                <w:rFonts w:asciiTheme="minorHAnsi" w:hAnsiTheme="minorHAnsi" w:cstheme="minorHAnsi"/>
                <w:b/>
                <w:bCs/>
                <w:sz w:val="22"/>
                <w:szCs w:val="22"/>
              </w:rPr>
              <w:t>(54)</w:t>
            </w:r>
          </w:p>
        </w:tc>
        <w:tc>
          <w:tcPr>
            <w:tcW w:w="1383" w:type="dxa"/>
          </w:tcPr>
          <w:p w14:paraId="563C3A58" w14:textId="77777777" w:rsidR="00F419B5" w:rsidRPr="002C5BB5" w:rsidRDefault="00F419B5" w:rsidP="002C5BB5">
            <w:pPr>
              <w:pStyle w:val="TableCopy"/>
              <w:jc w:val="right"/>
              <w:rPr>
                <w:rFonts w:asciiTheme="minorHAnsi" w:hAnsiTheme="minorHAnsi" w:cstheme="minorHAnsi"/>
                <w:b/>
                <w:bCs/>
                <w:sz w:val="22"/>
                <w:szCs w:val="22"/>
              </w:rPr>
            </w:pPr>
            <w:r w:rsidRPr="002C5BB5">
              <w:rPr>
                <w:rFonts w:asciiTheme="minorHAnsi" w:hAnsiTheme="minorHAnsi" w:cstheme="minorHAnsi"/>
                <w:b/>
                <w:bCs/>
                <w:sz w:val="22"/>
                <w:szCs w:val="22"/>
              </w:rPr>
              <w:t>(819)</w:t>
            </w:r>
          </w:p>
        </w:tc>
      </w:tr>
      <w:tr w:rsidR="00F419B5" w:rsidRPr="002C5BB5" w14:paraId="4BC406D5" w14:textId="77777777" w:rsidTr="002C5BB5">
        <w:trPr>
          <w:cantSplit/>
        </w:trPr>
        <w:tc>
          <w:tcPr>
            <w:tcW w:w="4106" w:type="dxa"/>
          </w:tcPr>
          <w:p w14:paraId="45EFA4E5" w14:textId="24B73943" w:rsidR="00F419B5" w:rsidRPr="002C5BB5" w:rsidRDefault="00F419B5" w:rsidP="00627ECB">
            <w:pPr>
              <w:pStyle w:val="TableCopy"/>
              <w:rPr>
                <w:rFonts w:asciiTheme="minorHAnsi" w:hAnsiTheme="minorHAnsi" w:cstheme="minorHAnsi"/>
                <w:b/>
                <w:bCs/>
                <w:sz w:val="22"/>
                <w:szCs w:val="22"/>
              </w:rPr>
            </w:pPr>
            <w:r w:rsidRPr="002C5BB5">
              <w:rPr>
                <w:rFonts w:asciiTheme="minorHAnsi" w:hAnsiTheme="minorHAnsi" w:cstheme="minorHAnsi"/>
                <w:b/>
                <w:bCs/>
                <w:sz w:val="22"/>
                <w:szCs w:val="22"/>
              </w:rPr>
              <w:t>Net result from continuing operations</w:t>
            </w:r>
          </w:p>
        </w:tc>
        <w:tc>
          <w:tcPr>
            <w:tcW w:w="1382" w:type="dxa"/>
          </w:tcPr>
          <w:p w14:paraId="683B5CC8" w14:textId="1A165141" w:rsidR="00F419B5" w:rsidRPr="002C5BB5" w:rsidRDefault="00F419B5" w:rsidP="002C5BB5">
            <w:pPr>
              <w:pStyle w:val="TableCopy"/>
              <w:jc w:val="right"/>
              <w:rPr>
                <w:rFonts w:asciiTheme="minorHAnsi" w:hAnsiTheme="minorHAnsi" w:cstheme="minorHAnsi"/>
                <w:b/>
                <w:bCs/>
                <w:sz w:val="22"/>
                <w:szCs w:val="22"/>
              </w:rPr>
            </w:pPr>
            <w:r w:rsidRPr="002C5BB5">
              <w:rPr>
                <w:rFonts w:asciiTheme="minorHAnsi" w:hAnsiTheme="minorHAnsi" w:cstheme="minorHAnsi"/>
                <w:b/>
                <w:bCs/>
                <w:sz w:val="22"/>
                <w:szCs w:val="22"/>
              </w:rPr>
              <w:t>9</w:t>
            </w:r>
          </w:p>
        </w:tc>
        <w:tc>
          <w:tcPr>
            <w:tcW w:w="1382" w:type="dxa"/>
          </w:tcPr>
          <w:p w14:paraId="486356D9" w14:textId="6537F71D" w:rsidR="00F419B5" w:rsidRPr="002C5BB5" w:rsidRDefault="00F419B5" w:rsidP="002C5BB5">
            <w:pPr>
              <w:pStyle w:val="TableCopy"/>
              <w:jc w:val="right"/>
              <w:rPr>
                <w:rFonts w:asciiTheme="minorHAnsi" w:hAnsiTheme="minorHAnsi" w:cstheme="minorHAnsi"/>
                <w:b/>
                <w:bCs/>
                <w:sz w:val="22"/>
                <w:szCs w:val="22"/>
              </w:rPr>
            </w:pPr>
            <w:r w:rsidRPr="002C5BB5">
              <w:rPr>
                <w:rFonts w:asciiTheme="minorHAnsi" w:hAnsiTheme="minorHAnsi" w:cstheme="minorHAnsi"/>
                <w:b/>
                <w:bCs/>
                <w:sz w:val="22"/>
                <w:szCs w:val="22"/>
              </w:rPr>
              <w:t>37</w:t>
            </w:r>
          </w:p>
        </w:tc>
        <w:tc>
          <w:tcPr>
            <w:tcW w:w="1382" w:type="dxa"/>
          </w:tcPr>
          <w:p w14:paraId="260795C8" w14:textId="2F0FFED5" w:rsidR="00F419B5" w:rsidRPr="002C5BB5" w:rsidRDefault="00F419B5" w:rsidP="002C5BB5">
            <w:pPr>
              <w:pStyle w:val="TableCopy"/>
              <w:jc w:val="right"/>
              <w:rPr>
                <w:rFonts w:asciiTheme="minorHAnsi" w:hAnsiTheme="minorHAnsi" w:cstheme="minorHAnsi"/>
                <w:b/>
                <w:bCs/>
                <w:sz w:val="22"/>
                <w:szCs w:val="22"/>
              </w:rPr>
            </w:pPr>
            <w:r w:rsidRPr="002C5BB5">
              <w:rPr>
                <w:rFonts w:asciiTheme="minorHAnsi" w:hAnsiTheme="minorHAnsi" w:cstheme="minorHAnsi"/>
                <w:b/>
                <w:bCs/>
                <w:sz w:val="22"/>
                <w:szCs w:val="22"/>
              </w:rPr>
              <w:t>11,229</w:t>
            </w:r>
          </w:p>
        </w:tc>
        <w:tc>
          <w:tcPr>
            <w:tcW w:w="1382" w:type="dxa"/>
          </w:tcPr>
          <w:p w14:paraId="0C09D00F" w14:textId="77777777" w:rsidR="00F419B5" w:rsidRPr="002C5BB5" w:rsidRDefault="00F419B5" w:rsidP="002C5BB5">
            <w:pPr>
              <w:pStyle w:val="TableCopy"/>
              <w:jc w:val="right"/>
              <w:rPr>
                <w:rFonts w:asciiTheme="minorHAnsi" w:hAnsiTheme="minorHAnsi" w:cstheme="minorHAnsi"/>
                <w:b/>
                <w:bCs/>
                <w:sz w:val="22"/>
                <w:szCs w:val="22"/>
              </w:rPr>
            </w:pPr>
            <w:r w:rsidRPr="002C5BB5">
              <w:rPr>
                <w:rFonts w:asciiTheme="minorHAnsi" w:hAnsiTheme="minorHAnsi" w:cstheme="minorHAnsi"/>
                <w:b/>
                <w:bCs/>
                <w:sz w:val="22"/>
                <w:szCs w:val="22"/>
              </w:rPr>
              <w:t>(4,489)</w:t>
            </w:r>
          </w:p>
        </w:tc>
        <w:tc>
          <w:tcPr>
            <w:tcW w:w="1382" w:type="dxa"/>
          </w:tcPr>
          <w:p w14:paraId="6F7F7DFA" w14:textId="77777777" w:rsidR="00F419B5" w:rsidRPr="002C5BB5" w:rsidRDefault="00F419B5" w:rsidP="002C5BB5">
            <w:pPr>
              <w:pStyle w:val="TableCopy"/>
              <w:jc w:val="right"/>
              <w:rPr>
                <w:rFonts w:asciiTheme="minorHAnsi" w:hAnsiTheme="minorHAnsi" w:cstheme="minorHAnsi"/>
                <w:b/>
                <w:bCs/>
                <w:sz w:val="22"/>
                <w:szCs w:val="22"/>
              </w:rPr>
            </w:pPr>
            <w:r w:rsidRPr="002C5BB5">
              <w:rPr>
                <w:rFonts w:asciiTheme="minorHAnsi" w:hAnsiTheme="minorHAnsi" w:cstheme="minorHAnsi"/>
                <w:b/>
                <w:bCs/>
                <w:sz w:val="22"/>
                <w:szCs w:val="22"/>
              </w:rPr>
              <w:t>(27,712)</w:t>
            </w:r>
          </w:p>
        </w:tc>
        <w:tc>
          <w:tcPr>
            <w:tcW w:w="1382" w:type="dxa"/>
          </w:tcPr>
          <w:p w14:paraId="0910D84F" w14:textId="13B00F6B" w:rsidR="00F419B5" w:rsidRPr="002C5BB5" w:rsidRDefault="00F419B5" w:rsidP="002C5BB5">
            <w:pPr>
              <w:pStyle w:val="TableCopy"/>
              <w:jc w:val="right"/>
              <w:rPr>
                <w:rFonts w:asciiTheme="minorHAnsi" w:hAnsiTheme="minorHAnsi" w:cstheme="minorHAnsi"/>
                <w:b/>
                <w:bCs/>
                <w:sz w:val="22"/>
                <w:szCs w:val="22"/>
              </w:rPr>
            </w:pPr>
            <w:r w:rsidRPr="002C5BB5">
              <w:rPr>
                <w:rFonts w:asciiTheme="minorHAnsi" w:hAnsiTheme="minorHAnsi" w:cstheme="minorHAnsi"/>
                <w:b/>
                <w:bCs/>
                <w:sz w:val="22"/>
                <w:szCs w:val="22"/>
              </w:rPr>
              <w:t>6,221</w:t>
            </w:r>
          </w:p>
        </w:tc>
        <w:tc>
          <w:tcPr>
            <w:tcW w:w="1382" w:type="dxa"/>
          </w:tcPr>
          <w:p w14:paraId="6647052C" w14:textId="77777777" w:rsidR="00F419B5" w:rsidRPr="002C5BB5" w:rsidRDefault="00F419B5" w:rsidP="002C5BB5">
            <w:pPr>
              <w:pStyle w:val="TableCopy"/>
              <w:jc w:val="right"/>
              <w:rPr>
                <w:rFonts w:asciiTheme="minorHAnsi" w:hAnsiTheme="minorHAnsi" w:cstheme="minorHAnsi"/>
                <w:b/>
                <w:bCs/>
                <w:sz w:val="22"/>
                <w:szCs w:val="22"/>
              </w:rPr>
            </w:pPr>
            <w:r w:rsidRPr="002C5BB5">
              <w:rPr>
                <w:rFonts w:asciiTheme="minorHAnsi" w:hAnsiTheme="minorHAnsi" w:cstheme="minorHAnsi"/>
                <w:b/>
                <w:bCs/>
                <w:sz w:val="22"/>
                <w:szCs w:val="22"/>
              </w:rPr>
              <w:t>1,531</w:t>
            </w:r>
          </w:p>
        </w:tc>
        <w:tc>
          <w:tcPr>
            <w:tcW w:w="1383" w:type="dxa"/>
          </w:tcPr>
          <w:p w14:paraId="4D9E44D9" w14:textId="77777777" w:rsidR="00F419B5" w:rsidRPr="002C5BB5" w:rsidRDefault="00F419B5" w:rsidP="002C5BB5">
            <w:pPr>
              <w:pStyle w:val="TableCopy"/>
              <w:jc w:val="right"/>
              <w:rPr>
                <w:rFonts w:asciiTheme="minorHAnsi" w:hAnsiTheme="minorHAnsi" w:cstheme="minorHAnsi"/>
                <w:b/>
                <w:bCs/>
                <w:sz w:val="22"/>
                <w:szCs w:val="22"/>
              </w:rPr>
            </w:pPr>
            <w:r w:rsidRPr="002C5BB5">
              <w:rPr>
                <w:rFonts w:asciiTheme="minorHAnsi" w:hAnsiTheme="minorHAnsi" w:cstheme="minorHAnsi"/>
                <w:b/>
                <w:bCs/>
                <w:sz w:val="22"/>
                <w:szCs w:val="22"/>
              </w:rPr>
              <w:t>(880)</w:t>
            </w:r>
          </w:p>
        </w:tc>
      </w:tr>
      <w:tr w:rsidR="00F419B5" w:rsidRPr="002C5BB5" w14:paraId="246E8AEB" w14:textId="77777777" w:rsidTr="002C5BB5">
        <w:trPr>
          <w:cantSplit/>
        </w:trPr>
        <w:tc>
          <w:tcPr>
            <w:tcW w:w="4106" w:type="dxa"/>
          </w:tcPr>
          <w:p w14:paraId="27832D6F" w14:textId="37053C1A" w:rsidR="00F419B5" w:rsidRPr="002C5BB5" w:rsidRDefault="00F419B5" w:rsidP="00627ECB">
            <w:pPr>
              <w:pStyle w:val="TableHeading"/>
              <w:rPr>
                <w:rFonts w:asciiTheme="minorHAnsi" w:hAnsiTheme="minorHAnsi" w:cstheme="minorHAnsi"/>
                <w:sz w:val="22"/>
                <w:szCs w:val="22"/>
              </w:rPr>
            </w:pPr>
            <w:r w:rsidRPr="002C5BB5">
              <w:rPr>
                <w:rFonts w:asciiTheme="minorHAnsi" w:hAnsiTheme="minorHAnsi" w:cstheme="minorHAnsi"/>
                <w:sz w:val="22"/>
                <w:szCs w:val="22"/>
              </w:rPr>
              <w:t>Other economic flows – other comprehensive income: Items that what will not be reclassified to net result</w:t>
            </w:r>
          </w:p>
        </w:tc>
        <w:tc>
          <w:tcPr>
            <w:tcW w:w="1382" w:type="dxa"/>
          </w:tcPr>
          <w:p w14:paraId="2BB59F36" w14:textId="77777777" w:rsidR="00F419B5" w:rsidRPr="002C5BB5" w:rsidRDefault="00F419B5" w:rsidP="002C5BB5">
            <w:pPr>
              <w:pStyle w:val="TableHeading"/>
              <w:jc w:val="right"/>
              <w:rPr>
                <w:rFonts w:asciiTheme="minorHAnsi" w:hAnsiTheme="minorHAnsi" w:cstheme="minorHAnsi"/>
                <w:sz w:val="22"/>
                <w:szCs w:val="22"/>
              </w:rPr>
            </w:pPr>
          </w:p>
        </w:tc>
        <w:tc>
          <w:tcPr>
            <w:tcW w:w="1382" w:type="dxa"/>
          </w:tcPr>
          <w:p w14:paraId="71A99655" w14:textId="77777777" w:rsidR="00F419B5" w:rsidRPr="002C5BB5" w:rsidRDefault="00F419B5" w:rsidP="002C5BB5">
            <w:pPr>
              <w:pStyle w:val="TableHeading"/>
              <w:jc w:val="right"/>
              <w:rPr>
                <w:rFonts w:asciiTheme="minorHAnsi" w:hAnsiTheme="minorHAnsi" w:cstheme="minorHAnsi"/>
                <w:sz w:val="22"/>
                <w:szCs w:val="22"/>
              </w:rPr>
            </w:pPr>
          </w:p>
        </w:tc>
        <w:tc>
          <w:tcPr>
            <w:tcW w:w="1382" w:type="dxa"/>
          </w:tcPr>
          <w:p w14:paraId="11F9322B" w14:textId="77777777" w:rsidR="00F419B5" w:rsidRPr="002C5BB5" w:rsidRDefault="00F419B5" w:rsidP="002C5BB5">
            <w:pPr>
              <w:pStyle w:val="TableHeading"/>
              <w:jc w:val="right"/>
              <w:rPr>
                <w:rFonts w:asciiTheme="minorHAnsi" w:hAnsiTheme="minorHAnsi" w:cstheme="minorHAnsi"/>
                <w:sz w:val="22"/>
                <w:szCs w:val="22"/>
              </w:rPr>
            </w:pPr>
          </w:p>
        </w:tc>
        <w:tc>
          <w:tcPr>
            <w:tcW w:w="1382" w:type="dxa"/>
          </w:tcPr>
          <w:p w14:paraId="200655B1" w14:textId="77777777" w:rsidR="00F419B5" w:rsidRPr="002C5BB5" w:rsidRDefault="00F419B5" w:rsidP="002C5BB5">
            <w:pPr>
              <w:pStyle w:val="TableHeading"/>
              <w:jc w:val="right"/>
              <w:rPr>
                <w:rFonts w:asciiTheme="minorHAnsi" w:hAnsiTheme="minorHAnsi" w:cstheme="minorHAnsi"/>
                <w:sz w:val="22"/>
                <w:szCs w:val="22"/>
              </w:rPr>
            </w:pPr>
          </w:p>
        </w:tc>
        <w:tc>
          <w:tcPr>
            <w:tcW w:w="1382" w:type="dxa"/>
          </w:tcPr>
          <w:p w14:paraId="2E123860" w14:textId="77777777" w:rsidR="00F419B5" w:rsidRPr="002C5BB5" w:rsidRDefault="00F419B5" w:rsidP="002C5BB5">
            <w:pPr>
              <w:pStyle w:val="TableHeading"/>
              <w:jc w:val="right"/>
              <w:rPr>
                <w:rFonts w:asciiTheme="minorHAnsi" w:hAnsiTheme="minorHAnsi" w:cstheme="minorHAnsi"/>
                <w:sz w:val="22"/>
                <w:szCs w:val="22"/>
              </w:rPr>
            </w:pPr>
          </w:p>
        </w:tc>
        <w:tc>
          <w:tcPr>
            <w:tcW w:w="1382" w:type="dxa"/>
          </w:tcPr>
          <w:p w14:paraId="0C0982E2" w14:textId="77777777" w:rsidR="00F419B5" w:rsidRPr="002C5BB5" w:rsidRDefault="00F419B5" w:rsidP="002C5BB5">
            <w:pPr>
              <w:pStyle w:val="TableHeading"/>
              <w:jc w:val="right"/>
              <w:rPr>
                <w:rFonts w:asciiTheme="minorHAnsi" w:hAnsiTheme="minorHAnsi" w:cstheme="minorHAnsi"/>
                <w:sz w:val="22"/>
                <w:szCs w:val="22"/>
              </w:rPr>
            </w:pPr>
          </w:p>
        </w:tc>
        <w:tc>
          <w:tcPr>
            <w:tcW w:w="1382" w:type="dxa"/>
          </w:tcPr>
          <w:p w14:paraId="63EEE0EE" w14:textId="77777777" w:rsidR="00F419B5" w:rsidRPr="002C5BB5" w:rsidRDefault="00F419B5" w:rsidP="002C5BB5">
            <w:pPr>
              <w:pStyle w:val="TableHeading"/>
              <w:jc w:val="right"/>
              <w:rPr>
                <w:rFonts w:asciiTheme="minorHAnsi" w:hAnsiTheme="minorHAnsi" w:cstheme="minorHAnsi"/>
                <w:sz w:val="22"/>
                <w:szCs w:val="22"/>
              </w:rPr>
            </w:pPr>
          </w:p>
        </w:tc>
        <w:tc>
          <w:tcPr>
            <w:tcW w:w="1383" w:type="dxa"/>
          </w:tcPr>
          <w:p w14:paraId="5E37F994" w14:textId="77777777" w:rsidR="00F419B5" w:rsidRPr="002C5BB5" w:rsidRDefault="00F419B5" w:rsidP="002C5BB5">
            <w:pPr>
              <w:pStyle w:val="TableHeading"/>
              <w:jc w:val="right"/>
              <w:rPr>
                <w:rFonts w:asciiTheme="minorHAnsi" w:hAnsiTheme="minorHAnsi" w:cstheme="minorHAnsi"/>
                <w:sz w:val="22"/>
                <w:szCs w:val="22"/>
              </w:rPr>
            </w:pPr>
          </w:p>
        </w:tc>
      </w:tr>
      <w:tr w:rsidR="00F419B5" w:rsidRPr="002C5BB5" w14:paraId="09D25E3B" w14:textId="77777777" w:rsidTr="002C5BB5">
        <w:trPr>
          <w:cantSplit/>
        </w:trPr>
        <w:tc>
          <w:tcPr>
            <w:tcW w:w="4106" w:type="dxa"/>
          </w:tcPr>
          <w:p w14:paraId="3FD41F48" w14:textId="6B722969" w:rsidR="00F419B5" w:rsidRPr="002C5BB5" w:rsidRDefault="00F419B5" w:rsidP="00627ECB">
            <w:pPr>
              <w:pStyle w:val="TableCopy"/>
              <w:rPr>
                <w:rFonts w:asciiTheme="minorHAnsi" w:hAnsiTheme="minorHAnsi" w:cstheme="minorHAnsi"/>
                <w:sz w:val="22"/>
                <w:szCs w:val="22"/>
              </w:rPr>
            </w:pPr>
            <w:r w:rsidRPr="002C5BB5">
              <w:rPr>
                <w:rFonts w:asciiTheme="minorHAnsi" w:hAnsiTheme="minorHAnsi" w:cstheme="minorHAnsi"/>
                <w:sz w:val="22"/>
                <w:szCs w:val="22"/>
              </w:rPr>
              <w:t>Changes in physical asset revaluation surplus</w:t>
            </w:r>
          </w:p>
        </w:tc>
        <w:tc>
          <w:tcPr>
            <w:tcW w:w="1382" w:type="dxa"/>
          </w:tcPr>
          <w:p w14:paraId="4BCD0FA1" w14:textId="5984DDB8" w:rsidR="00F419B5" w:rsidRPr="002C5BB5" w:rsidRDefault="00F419B5" w:rsidP="002C5BB5">
            <w:pPr>
              <w:pStyle w:val="TableCopy"/>
              <w:jc w:val="right"/>
              <w:rPr>
                <w:rFonts w:asciiTheme="minorHAnsi" w:hAnsiTheme="minorHAnsi" w:cstheme="minorHAnsi"/>
                <w:sz w:val="22"/>
                <w:szCs w:val="22"/>
              </w:rPr>
            </w:pPr>
            <w:r w:rsidRPr="002C5BB5">
              <w:rPr>
                <w:rFonts w:asciiTheme="minorHAnsi" w:hAnsiTheme="minorHAnsi" w:cstheme="minorHAnsi"/>
                <w:sz w:val="22"/>
                <w:szCs w:val="22"/>
              </w:rPr>
              <w:t>–</w:t>
            </w:r>
          </w:p>
        </w:tc>
        <w:tc>
          <w:tcPr>
            <w:tcW w:w="1382" w:type="dxa"/>
          </w:tcPr>
          <w:p w14:paraId="14DD80E3" w14:textId="3DC01C15" w:rsidR="00F419B5" w:rsidRPr="002C5BB5" w:rsidRDefault="00F419B5" w:rsidP="002C5BB5">
            <w:pPr>
              <w:pStyle w:val="TableCopy"/>
              <w:jc w:val="right"/>
              <w:rPr>
                <w:rFonts w:asciiTheme="minorHAnsi" w:hAnsiTheme="minorHAnsi" w:cstheme="minorHAnsi"/>
                <w:sz w:val="22"/>
                <w:szCs w:val="22"/>
              </w:rPr>
            </w:pPr>
            <w:r w:rsidRPr="002C5BB5">
              <w:rPr>
                <w:rFonts w:asciiTheme="minorHAnsi" w:hAnsiTheme="minorHAnsi" w:cstheme="minorHAnsi"/>
                <w:sz w:val="22"/>
                <w:szCs w:val="22"/>
              </w:rPr>
              <w:t>–</w:t>
            </w:r>
          </w:p>
        </w:tc>
        <w:tc>
          <w:tcPr>
            <w:tcW w:w="1382" w:type="dxa"/>
          </w:tcPr>
          <w:p w14:paraId="10A63F70" w14:textId="01C3A95E" w:rsidR="00F419B5" w:rsidRPr="002C5BB5" w:rsidRDefault="00F419B5" w:rsidP="002C5BB5">
            <w:pPr>
              <w:pStyle w:val="TableCopy"/>
              <w:jc w:val="right"/>
              <w:rPr>
                <w:rFonts w:asciiTheme="minorHAnsi" w:hAnsiTheme="minorHAnsi" w:cstheme="minorHAnsi"/>
                <w:sz w:val="22"/>
                <w:szCs w:val="22"/>
              </w:rPr>
            </w:pPr>
            <w:r w:rsidRPr="002C5BB5">
              <w:rPr>
                <w:rFonts w:asciiTheme="minorHAnsi" w:hAnsiTheme="minorHAnsi" w:cstheme="minorHAnsi"/>
                <w:sz w:val="22"/>
                <w:szCs w:val="22"/>
              </w:rPr>
              <w:t>–</w:t>
            </w:r>
          </w:p>
        </w:tc>
        <w:tc>
          <w:tcPr>
            <w:tcW w:w="1382" w:type="dxa"/>
          </w:tcPr>
          <w:p w14:paraId="54DC5D4A" w14:textId="5C035753" w:rsidR="00F419B5" w:rsidRPr="002C5BB5" w:rsidRDefault="00F419B5" w:rsidP="002C5BB5">
            <w:pPr>
              <w:pStyle w:val="TableCopy"/>
              <w:jc w:val="right"/>
              <w:rPr>
                <w:rFonts w:asciiTheme="minorHAnsi" w:hAnsiTheme="minorHAnsi" w:cstheme="minorHAnsi"/>
                <w:sz w:val="22"/>
                <w:szCs w:val="22"/>
              </w:rPr>
            </w:pPr>
            <w:r w:rsidRPr="002C5BB5">
              <w:rPr>
                <w:rFonts w:asciiTheme="minorHAnsi" w:hAnsiTheme="minorHAnsi" w:cstheme="minorHAnsi"/>
                <w:sz w:val="22"/>
                <w:szCs w:val="22"/>
              </w:rPr>
              <w:t>–</w:t>
            </w:r>
          </w:p>
        </w:tc>
        <w:tc>
          <w:tcPr>
            <w:tcW w:w="1382" w:type="dxa"/>
          </w:tcPr>
          <w:p w14:paraId="24F3C32A" w14:textId="526BFD72" w:rsidR="00F419B5" w:rsidRPr="002C5BB5" w:rsidRDefault="00F419B5" w:rsidP="002C5BB5">
            <w:pPr>
              <w:pStyle w:val="TableCopy"/>
              <w:jc w:val="right"/>
              <w:rPr>
                <w:rFonts w:asciiTheme="minorHAnsi" w:hAnsiTheme="minorHAnsi" w:cstheme="minorHAnsi"/>
                <w:sz w:val="22"/>
                <w:szCs w:val="22"/>
              </w:rPr>
            </w:pPr>
            <w:r w:rsidRPr="002C5BB5">
              <w:rPr>
                <w:rFonts w:asciiTheme="minorHAnsi" w:hAnsiTheme="minorHAnsi" w:cstheme="minorHAnsi"/>
                <w:sz w:val="22"/>
                <w:szCs w:val="22"/>
              </w:rPr>
              <w:t>–</w:t>
            </w:r>
          </w:p>
        </w:tc>
        <w:tc>
          <w:tcPr>
            <w:tcW w:w="1382" w:type="dxa"/>
          </w:tcPr>
          <w:p w14:paraId="3692EF96" w14:textId="1B44F8CE" w:rsidR="00F419B5" w:rsidRPr="002C5BB5" w:rsidRDefault="00F419B5" w:rsidP="002C5BB5">
            <w:pPr>
              <w:pStyle w:val="TableCopy"/>
              <w:jc w:val="right"/>
              <w:rPr>
                <w:rFonts w:asciiTheme="minorHAnsi" w:hAnsiTheme="minorHAnsi" w:cstheme="minorHAnsi"/>
                <w:sz w:val="22"/>
                <w:szCs w:val="22"/>
              </w:rPr>
            </w:pPr>
            <w:r w:rsidRPr="002C5BB5">
              <w:rPr>
                <w:rFonts w:asciiTheme="minorHAnsi" w:hAnsiTheme="minorHAnsi" w:cstheme="minorHAnsi"/>
                <w:sz w:val="22"/>
                <w:szCs w:val="22"/>
              </w:rPr>
              <w:t>–</w:t>
            </w:r>
          </w:p>
        </w:tc>
        <w:tc>
          <w:tcPr>
            <w:tcW w:w="1382" w:type="dxa"/>
          </w:tcPr>
          <w:p w14:paraId="3DFE125A" w14:textId="4D985394" w:rsidR="00F419B5" w:rsidRPr="002C5BB5" w:rsidRDefault="00F419B5" w:rsidP="002C5BB5">
            <w:pPr>
              <w:pStyle w:val="TableCopy"/>
              <w:jc w:val="right"/>
              <w:rPr>
                <w:rFonts w:asciiTheme="minorHAnsi" w:hAnsiTheme="minorHAnsi" w:cstheme="minorHAnsi"/>
                <w:sz w:val="22"/>
                <w:szCs w:val="22"/>
              </w:rPr>
            </w:pPr>
            <w:r w:rsidRPr="002C5BB5">
              <w:rPr>
                <w:rFonts w:asciiTheme="minorHAnsi" w:hAnsiTheme="minorHAnsi" w:cstheme="minorHAnsi"/>
                <w:sz w:val="22"/>
                <w:szCs w:val="22"/>
              </w:rPr>
              <w:t>–</w:t>
            </w:r>
          </w:p>
        </w:tc>
        <w:tc>
          <w:tcPr>
            <w:tcW w:w="1383" w:type="dxa"/>
          </w:tcPr>
          <w:p w14:paraId="5712DDC3" w14:textId="7ACD2AB3" w:rsidR="00F419B5" w:rsidRPr="002C5BB5" w:rsidRDefault="00F419B5" w:rsidP="002C5BB5">
            <w:pPr>
              <w:pStyle w:val="TableCopy"/>
              <w:jc w:val="right"/>
              <w:rPr>
                <w:rFonts w:asciiTheme="minorHAnsi" w:hAnsiTheme="minorHAnsi" w:cstheme="minorHAnsi"/>
                <w:sz w:val="22"/>
                <w:szCs w:val="22"/>
              </w:rPr>
            </w:pPr>
            <w:r w:rsidRPr="002C5BB5">
              <w:rPr>
                <w:rFonts w:asciiTheme="minorHAnsi" w:hAnsiTheme="minorHAnsi" w:cstheme="minorHAnsi"/>
                <w:sz w:val="22"/>
                <w:szCs w:val="22"/>
              </w:rPr>
              <w:t>–</w:t>
            </w:r>
          </w:p>
        </w:tc>
      </w:tr>
      <w:tr w:rsidR="00F419B5" w:rsidRPr="002C5BB5" w14:paraId="2AB664BB" w14:textId="77777777" w:rsidTr="002C5BB5">
        <w:trPr>
          <w:cantSplit/>
        </w:trPr>
        <w:tc>
          <w:tcPr>
            <w:tcW w:w="4106" w:type="dxa"/>
          </w:tcPr>
          <w:p w14:paraId="6675AF7C" w14:textId="14A5CE93" w:rsidR="00F419B5" w:rsidRPr="002C5BB5" w:rsidRDefault="00F419B5" w:rsidP="00627ECB">
            <w:pPr>
              <w:pStyle w:val="TableCopy"/>
              <w:rPr>
                <w:rFonts w:asciiTheme="minorHAnsi" w:hAnsiTheme="minorHAnsi" w:cstheme="minorHAnsi"/>
                <w:b/>
                <w:bCs/>
                <w:sz w:val="22"/>
                <w:szCs w:val="22"/>
              </w:rPr>
            </w:pPr>
            <w:r w:rsidRPr="002C5BB5">
              <w:rPr>
                <w:rFonts w:asciiTheme="minorHAnsi" w:hAnsiTheme="minorHAnsi" w:cstheme="minorHAnsi"/>
                <w:b/>
                <w:bCs/>
                <w:sz w:val="22"/>
                <w:szCs w:val="22"/>
              </w:rPr>
              <w:t>Comprehensive result</w:t>
            </w:r>
          </w:p>
        </w:tc>
        <w:tc>
          <w:tcPr>
            <w:tcW w:w="1382" w:type="dxa"/>
          </w:tcPr>
          <w:p w14:paraId="0C477FEA" w14:textId="2BEC07E5" w:rsidR="00F419B5" w:rsidRPr="002C5BB5" w:rsidRDefault="00F419B5" w:rsidP="002C5BB5">
            <w:pPr>
              <w:pStyle w:val="TableCopy"/>
              <w:jc w:val="right"/>
              <w:rPr>
                <w:rFonts w:asciiTheme="minorHAnsi" w:hAnsiTheme="minorHAnsi" w:cstheme="minorHAnsi"/>
                <w:b/>
                <w:bCs/>
                <w:sz w:val="22"/>
                <w:szCs w:val="22"/>
              </w:rPr>
            </w:pPr>
            <w:r w:rsidRPr="002C5BB5">
              <w:rPr>
                <w:rFonts w:asciiTheme="minorHAnsi" w:hAnsiTheme="minorHAnsi" w:cstheme="minorHAnsi"/>
                <w:b/>
                <w:bCs/>
                <w:sz w:val="22"/>
                <w:szCs w:val="22"/>
              </w:rPr>
              <w:t>9</w:t>
            </w:r>
          </w:p>
        </w:tc>
        <w:tc>
          <w:tcPr>
            <w:tcW w:w="1382" w:type="dxa"/>
          </w:tcPr>
          <w:p w14:paraId="2E02E17E" w14:textId="18F7A134" w:rsidR="00F419B5" w:rsidRPr="002C5BB5" w:rsidRDefault="00F419B5" w:rsidP="002C5BB5">
            <w:pPr>
              <w:pStyle w:val="TableCopy"/>
              <w:jc w:val="right"/>
              <w:rPr>
                <w:rFonts w:asciiTheme="minorHAnsi" w:hAnsiTheme="minorHAnsi" w:cstheme="minorHAnsi"/>
                <w:b/>
                <w:bCs/>
                <w:sz w:val="22"/>
                <w:szCs w:val="22"/>
              </w:rPr>
            </w:pPr>
            <w:r w:rsidRPr="002C5BB5">
              <w:rPr>
                <w:rFonts w:asciiTheme="minorHAnsi" w:hAnsiTheme="minorHAnsi" w:cstheme="minorHAnsi"/>
                <w:b/>
                <w:bCs/>
                <w:sz w:val="22"/>
                <w:szCs w:val="22"/>
              </w:rPr>
              <w:t>37</w:t>
            </w:r>
          </w:p>
        </w:tc>
        <w:tc>
          <w:tcPr>
            <w:tcW w:w="1382" w:type="dxa"/>
          </w:tcPr>
          <w:p w14:paraId="3F915C11" w14:textId="6EF00687" w:rsidR="00F419B5" w:rsidRPr="002C5BB5" w:rsidRDefault="00F419B5" w:rsidP="002C5BB5">
            <w:pPr>
              <w:pStyle w:val="TableCopy"/>
              <w:jc w:val="right"/>
              <w:rPr>
                <w:rFonts w:asciiTheme="minorHAnsi" w:hAnsiTheme="minorHAnsi" w:cstheme="minorHAnsi"/>
                <w:b/>
                <w:bCs/>
                <w:sz w:val="22"/>
                <w:szCs w:val="22"/>
              </w:rPr>
            </w:pPr>
            <w:r w:rsidRPr="002C5BB5">
              <w:rPr>
                <w:rFonts w:asciiTheme="minorHAnsi" w:hAnsiTheme="minorHAnsi" w:cstheme="minorHAnsi"/>
                <w:b/>
                <w:bCs/>
                <w:sz w:val="22"/>
                <w:szCs w:val="22"/>
              </w:rPr>
              <w:t>11,229</w:t>
            </w:r>
          </w:p>
        </w:tc>
        <w:tc>
          <w:tcPr>
            <w:tcW w:w="1382" w:type="dxa"/>
          </w:tcPr>
          <w:p w14:paraId="4685C1FB" w14:textId="77777777" w:rsidR="00F419B5" w:rsidRPr="002C5BB5" w:rsidRDefault="00F419B5" w:rsidP="002C5BB5">
            <w:pPr>
              <w:pStyle w:val="TableCopy"/>
              <w:jc w:val="right"/>
              <w:rPr>
                <w:rFonts w:asciiTheme="minorHAnsi" w:hAnsiTheme="minorHAnsi" w:cstheme="minorHAnsi"/>
                <w:b/>
                <w:bCs/>
                <w:sz w:val="22"/>
                <w:szCs w:val="22"/>
              </w:rPr>
            </w:pPr>
            <w:r w:rsidRPr="002C5BB5">
              <w:rPr>
                <w:rFonts w:asciiTheme="minorHAnsi" w:hAnsiTheme="minorHAnsi" w:cstheme="minorHAnsi"/>
                <w:b/>
                <w:bCs/>
                <w:sz w:val="22"/>
                <w:szCs w:val="22"/>
              </w:rPr>
              <w:t>(4,489)</w:t>
            </w:r>
          </w:p>
        </w:tc>
        <w:tc>
          <w:tcPr>
            <w:tcW w:w="1382" w:type="dxa"/>
          </w:tcPr>
          <w:p w14:paraId="146F90CE" w14:textId="77777777" w:rsidR="00F419B5" w:rsidRPr="002C5BB5" w:rsidRDefault="00F419B5" w:rsidP="002C5BB5">
            <w:pPr>
              <w:pStyle w:val="TableCopy"/>
              <w:jc w:val="right"/>
              <w:rPr>
                <w:rFonts w:asciiTheme="minorHAnsi" w:hAnsiTheme="minorHAnsi" w:cstheme="minorHAnsi"/>
                <w:b/>
                <w:bCs/>
                <w:sz w:val="22"/>
                <w:szCs w:val="22"/>
              </w:rPr>
            </w:pPr>
            <w:r w:rsidRPr="002C5BB5">
              <w:rPr>
                <w:rFonts w:asciiTheme="minorHAnsi" w:hAnsiTheme="minorHAnsi" w:cstheme="minorHAnsi"/>
                <w:b/>
                <w:bCs/>
                <w:sz w:val="22"/>
                <w:szCs w:val="22"/>
              </w:rPr>
              <w:t>(27,712)</w:t>
            </w:r>
          </w:p>
        </w:tc>
        <w:tc>
          <w:tcPr>
            <w:tcW w:w="1382" w:type="dxa"/>
          </w:tcPr>
          <w:p w14:paraId="1712E16A" w14:textId="0937638E" w:rsidR="00F419B5" w:rsidRPr="002C5BB5" w:rsidRDefault="00F419B5" w:rsidP="002C5BB5">
            <w:pPr>
              <w:pStyle w:val="TableCopy"/>
              <w:jc w:val="right"/>
              <w:rPr>
                <w:rFonts w:asciiTheme="minorHAnsi" w:hAnsiTheme="minorHAnsi" w:cstheme="minorHAnsi"/>
                <w:b/>
                <w:bCs/>
                <w:sz w:val="22"/>
                <w:szCs w:val="22"/>
              </w:rPr>
            </w:pPr>
            <w:r w:rsidRPr="002C5BB5">
              <w:rPr>
                <w:rFonts w:asciiTheme="minorHAnsi" w:hAnsiTheme="minorHAnsi" w:cstheme="minorHAnsi"/>
                <w:b/>
                <w:bCs/>
                <w:sz w:val="22"/>
                <w:szCs w:val="22"/>
              </w:rPr>
              <w:t>6,221</w:t>
            </w:r>
          </w:p>
        </w:tc>
        <w:tc>
          <w:tcPr>
            <w:tcW w:w="1382" w:type="dxa"/>
          </w:tcPr>
          <w:p w14:paraId="4A5E6A49" w14:textId="77777777" w:rsidR="00F419B5" w:rsidRPr="002C5BB5" w:rsidRDefault="00F419B5" w:rsidP="002C5BB5">
            <w:pPr>
              <w:pStyle w:val="TableCopy"/>
              <w:jc w:val="right"/>
              <w:rPr>
                <w:rFonts w:asciiTheme="minorHAnsi" w:hAnsiTheme="minorHAnsi" w:cstheme="minorHAnsi"/>
                <w:b/>
                <w:bCs/>
                <w:sz w:val="22"/>
                <w:szCs w:val="22"/>
              </w:rPr>
            </w:pPr>
            <w:r w:rsidRPr="002C5BB5">
              <w:rPr>
                <w:rFonts w:asciiTheme="minorHAnsi" w:hAnsiTheme="minorHAnsi" w:cstheme="minorHAnsi"/>
                <w:b/>
                <w:bCs/>
                <w:sz w:val="22"/>
                <w:szCs w:val="22"/>
              </w:rPr>
              <w:t>1,531</w:t>
            </w:r>
          </w:p>
        </w:tc>
        <w:tc>
          <w:tcPr>
            <w:tcW w:w="1383" w:type="dxa"/>
          </w:tcPr>
          <w:p w14:paraId="23205700" w14:textId="77777777" w:rsidR="00F419B5" w:rsidRPr="002C5BB5" w:rsidRDefault="00F419B5" w:rsidP="002C5BB5">
            <w:pPr>
              <w:pStyle w:val="TableCopy"/>
              <w:jc w:val="right"/>
              <w:rPr>
                <w:rFonts w:asciiTheme="minorHAnsi" w:hAnsiTheme="minorHAnsi" w:cstheme="minorHAnsi"/>
                <w:b/>
                <w:bCs/>
                <w:sz w:val="22"/>
                <w:szCs w:val="22"/>
              </w:rPr>
            </w:pPr>
            <w:r w:rsidRPr="002C5BB5">
              <w:rPr>
                <w:rFonts w:asciiTheme="minorHAnsi" w:hAnsiTheme="minorHAnsi" w:cstheme="minorHAnsi"/>
                <w:b/>
                <w:bCs/>
                <w:sz w:val="22"/>
                <w:szCs w:val="22"/>
              </w:rPr>
              <w:t>(880)</w:t>
            </w:r>
          </w:p>
        </w:tc>
      </w:tr>
    </w:tbl>
    <w:p w14:paraId="559F1630" w14:textId="4617D7F6" w:rsidR="000756EB" w:rsidRDefault="004A4D88" w:rsidP="002C5BB5">
      <w:pPr>
        <w:pStyle w:val="FootnoteText"/>
        <w:spacing w:before="120"/>
      </w:pPr>
      <w:r>
        <w:t>(</w:t>
      </w:r>
      <w:proofErr w:type="spellStart"/>
      <w:r>
        <w:t>i</w:t>
      </w:r>
      <w:proofErr w:type="spellEnd"/>
      <w:r>
        <w:t>)</w:t>
      </w:r>
      <w:r w:rsidR="002C5BB5">
        <w:t xml:space="preserve"> </w:t>
      </w:r>
      <w:r>
        <w:t>For</w:t>
      </w:r>
      <w:r w:rsidR="00A03629">
        <w:t xml:space="preserve"> </w:t>
      </w:r>
      <w:r>
        <w:t>the</w:t>
      </w:r>
      <w:r w:rsidR="00A03629">
        <w:t xml:space="preserve"> </w:t>
      </w:r>
      <w:r>
        <w:t>functions</w:t>
      </w:r>
      <w:r w:rsidR="00A03629">
        <w:t xml:space="preserve"> </w:t>
      </w:r>
      <w:r>
        <w:t>assumed</w:t>
      </w:r>
      <w:r w:rsidR="00A03629">
        <w:t xml:space="preserve"> </w:t>
      </w:r>
      <w:proofErr w:type="gramStart"/>
      <w:r>
        <w:t>as</w:t>
      </w:r>
      <w:r w:rsidR="00A03629">
        <w:t xml:space="preserve"> </w:t>
      </w:r>
      <w:r>
        <w:t>a</w:t>
      </w:r>
      <w:r w:rsidR="00A03629">
        <w:t xml:space="preserve"> </w:t>
      </w:r>
      <w:r>
        <w:t>result</w:t>
      </w:r>
      <w:r w:rsidR="00A03629">
        <w:t xml:space="preserve"> </w:t>
      </w:r>
      <w:r>
        <w:t>of</w:t>
      </w:r>
      <w:proofErr w:type="gramEnd"/>
      <w:r w:rsidR="00A03629">
        <w:t xml:space="preserve"> </w:t>
      </w:r>
      <w:r>
        <w:t>the</w:t>
      </w:r>
      <w:r w:rsidR="00A03629">
        <w:t xml:space="preserve"> </w:t>
      </w:r>
      <w:r>
        <w:t>machinery</w:t>
      </w:r>
      <w:r w:rsidR="00A03629">
        <w:t xml:space="preserve"> </w:t>
      </w:r>
      <w:r>
        <w:t>of</w:t>
      </w:r>
      <w:r w:rsidR="00A03629">
        <w:t xml:space="preserve"> </w:t>
      </w:r>
      <w:r>
        <w:t>government</w:t>
      </w:r>
      <w:r w:rsidR="00A03629">
        <w:t xml:space="preserve"> </w:t>
      </w:r>
      <w:r>
        <w:t>changes,</w:t>
      </w:r>
      <w:r w:rsidR="00A03629">
        <w:t xml:space="preserve"> </w:t>
      </w:r>
      <w:r>
        <w:t>the</w:t>
      </w:r>
      <w:r w:rsidR="00A03629">
        <w:t xml:space="preserve"> </w:t>
      </w:r>
      <w:r>
        <w:t>2023</w:t>
      </w:r>
      <w:r w:rsidR="00A03629">
        <w:t xml:space="preserve"> </w:t>
      </w:r>
      <w:r>
        <w:t>outputs</w:t>
      </w:r>
      <w:r w:rsidR="00A03629">
        <w:t xml:space="preserve"> </w:t>
      </w:r>
      <w:r>
        <w:t>are</w:t>
      </w:r>
      <w:r w:rsidR="00A03629">
        <w:t xml:space="preserve"> </w:t>
      </w:r>
      <w:r>
        <w:t>for</w:t>
      </w:r>
      <w:r w:rsidR="00A03629">
        <w:t xml:space="preserve"> </w:t>
      </w:r>
      <w:r>
        <w:t>the</w:t>
      </w:r>
      <w:r w:rsidR="00A03629">
        <w:t xml:space="preserve"> </w:t>
      </w:r>
      <w:r>
        <w:t>period</w:t>
      </w:r>
      <w:r w:rsidR="00A03629">
        <w:t xml:space="preserve"> </w:t>
      </w:r>
      <w:r>
        <w:t>from</w:t>
      </w:r>
      <w:r w:rsidR="00A03629">
        <w:t xml:space="preserve"> </w:t>
      </w:r>
      <w:r>
        <w:t>1</w:t>
      </w:r>
      <w:r w:rsidR="00A03629">
        <w:t xml:space="preserve"> </w:t>
      </w:r>
      <w:r>
        <w:t>January</w:t>
      </w:r>
      <w:r w:rsidR="00A03629">
        <w:t xml:space="preserve"> </w:t>
      </w:r>
      <w:r>
        <w:t>2023</w:t>
      </w:r>
      <w:r w:rsidR="00A03629">
        <w:t xml:space="preserve"> </w:t>
      </w:r>
      <w:r>
        <w:t>to</w:t>
      </w:r>
      <w:r w:rsidR="00A03629">
        <w:t xml:space="preserve"> </w:t>
      </w:r>
      <w:r>
        <w:t>30</w:t>
      </w:r>
      <w:r w:rsidR="00A03629">
        <w:t xml:space="preserve"> </w:t>
      </w:r>
      <w:r>
        <w:t>June</w:t>
      </w:r>
      <w:r w:rsidR="00A03629">
        <w:t xml:space="preserve"> </w:t>
      </w:r>
      <w:r>
        <w:t>2023</w:t>
      </w:r>
      <w:r w:rsidR="00A03629">
        <w:t xml:space="preserve"> </w:t>
      </w:r>
      <w:r>
        <w:t>with</w:t>
      </w:r>
      <w:r w:rsidR="00A03629">
        <w:t xml:space="preserve"> </w:t>
      </w:r>
      <w:r>
        <w:t>no</w:t>
      </w:r>
      <w:r w:rsidR="00A03629">
        <w:t xml:space="preserve"> </w:t>
      </w:r>
      <w:r>
        <w:t>outputs</w:t>
      </w:r>
      <w:r w:rsidR="00A03629">
        <w:t xml:space="preserve"> </w:t>
      </w:r>
      <w:r>
        <w:t>for</w:t>
      </w:r>
      <w:r w:rsidR="00A03629">
        <w:t xml:space="preserve"> </w:t>
      </w:r>
      <w:r>
        <w:t>2022.</w:t>
      </w:r>
    </w:p>
    <w:p w14:paraId="53232034" w14:textId="38188A71" w:rsidR="000756EB" w:rsidRDefault="004A4D88" w:rsidP="00FE7999">
      <w:pPr>
        <w:pStyle w:val="Heading3"/>
      </w:pPr>
      <w:r>
        <w:lastRenderedPageBreak/>
        <w:t>4.1.2</w:t>
      </w:r>
      <w:r w:rsidR="00DE38B5">
        <w:t xml:space="preserve"> </w:t>
      </w:r>
      <w:r>
        <w:t>Departmental</w:t>
      </w:r>
      <w:r w:rsidR="00A03629">
        <w:t xml:space="preserve"> </w:t>
      </w:r>
      <w:r>
        <w:t>outputs:</w:t>
      </w:r>
      <w:r w:rsidR="00A03629">
        <w:t xml:space="preserve"> </w:t>
      </w:r>
      <w:r>
        <w:t>Controlled</w:t>
      </w:r>
      <w:r w:rsidR="00A03629">
        <w:t xml:space="preserve"> </w:t>
      </w:r>
      <w:r>
        <w:t>revenue</w:t>
      </w:r>
      <w:r w:rsidR="00A03629">
        <w:t xml:space="preserve"> </w:t>
      </w:r>
      <w:r>
        <w:t>and</w:t>
      </w:r>
      <w:r w:rsidR="00A03629">
        <w:t xml:space="preserve"> </w:t>
      </w:r>
      <w:r>
        <w:t>income</w:t>
      </w:r>
      <w:r w:rsidR="00A03629">
        <w:t xml:space="preserve"> </w:t>
      </w:r>
      <w:r>
        <w:t>and</w:t>
      </w:r>
      <w:r w:rsidR="00A03629">
        <w:t xml:space="preserve"> </w:t>
      </w:r>
      <w:r>
        <w:t>expenses</w:t>
      </w:r>
      <w:r w:rsidR="00A03629">
        <w:t xml:space="preserve"> </w:t>
      </w:r>
      <w:r>
        <w:t>for</w:t>
      </w:r>
      <w:r w:rsidR="00A03629">
        <w:t xml:space="preserve"> </w:t>
      </w:r>
      <w:r>
        <w:t>the</w:t>
      </w:r>
      <w:r w:rsidR="00A03629">
        <w:t xml:space="preserve"> </w:t>
      </w:r>
      <w:r>
        <w:t>year</w:t>
      </w:r>
      <w:r w:rsidR="00A03629">
        <w:t xml:space="preserve"> </w:t>
      </w:r>
      <w:r>
        <w:t>ended</w:t>
      </w:r>
      <w:r w:rsidR="00A03629">
        <w:t xml:space="preserve"> </w:t>
      </w:r>
      <w:r>
        <w:t>30</w:t>
      </w:r>
      <w:r w:rsidR="00A03629">
        <w:t xml:space="preserve"> </w:t>
      </w:r>
      <w:r>
        <w:t>June</w:t>
      </w:r>
      <w:r w:rsidR="00A03629">
        <w:t xml:space="preserve"> </w:t>
      </w:r>
      <w:r>
        <w:t>2023</w:t>
      </w:r>
      <w:r w:rsidR="00A03629">
        <w:t xml:space="preserve"> </w:t>
      </w:r>
      <w:r>
        <w:t>Department</w:t>
      </w:r>
      <w:r w:rsidR="00A03629">
        <w:t xml:space="preserve"> </w:t>
      </w:r>
      <w:r>
        <w:t>of</w:t>
      </w:r>
      <w:r w:rsidR="00A03629">
        <w:t xml:space="preserve"> </w:t>
      </w:r>
      <w:r>
        <w:t>Jobs,</w:t>
      </w:r>
      <w:r w:rsidR="00A03629">
        <w:t xml:space="preserve"> </w:t>
      </w:r>
      <w:r>
        <w:t>Skills,</w:t>
      </w:r>
      <w:r w:rsidR="00A03629">
        <w:t xml:space="preserve"> </w:t>
      </w:r>
      <w:r>
        <w:t>Industry</w:t>
      </w:r>
      <w:r w:rsidR="00A03629">
        <w:t xml:space="preserve"> </w:t>
      </w:r>
      <w:r>
        <w:t>and</w:t>
      </w:r>
      <w:r w:rsidR="00A03629">
        <w:t xml:space="preserve"> </w:t>
      </w:r>
      <w:r>
        <w:t>Regions</w:t>
      </w:r>
      <w:r w:rsidR="00A03629">
        <w:t xml:space="preserve"> </w:t>
      </w:r>
      <w:r>
        <w:t>Outputs</w:t>
      </w:r>
      <w:r w:rsidR="00A03629">
        <w:t xml:space="preserve"> </w:t>
      </w:r>
      <w:r>
        <w:t>(continued)</w:t>
      </w:r>
    </w:p>
    <w:tbl>
      <w:tblPr>
        <w:tblStyle w:val="TableGrid"/>
        <w:tblW w:w="15021" w:type="dxa"/>
        <w:tblLayout w:type="fixed"/>
        <w:tblLook w:val="0020" w:firstRow="1" w:lastRow="0" w:firstColumn="0" w:lastColumn="0" w:noHBand="0" w:noVBand="0"/>
      </w:tblPr>
      <w:tblGrid>
        <w:gridCol w:w="3964"/>
        <w:gridCol w:w="1382"/>
        <w:gridCol w:w="1382"/>
        <w:gridCol w:w="1382"/>
        <w:gridCol w:w="1382"/>
        <w:gridCol w:w="1382"/>
        <w:gridCol w:w="1382"/>
        <w:gridCol w:w="1382"/>
        <w:gridCol w:w="1383"/>
      </w:tblGrid>
      <w:tr w:rsidR="00765585" w:rsidRPr="00962002" w14:paraId="5228E926" w14:textId="77777777" w:rsidTr="00BB0239">
        <w:trPr>
          <w:cantSplit/>
          <w:tblHeader/>
        </w:trPr>
        <w:tc>
          <w:tcPr>
            <w:tcW w:w="3964" w:type="dxa"/>
          </w:tcPr>
          <w:p w14:paraId="0FB1BE91" w14:textId="77777777" w:rsidR="00765585" w:rsidRPr="00962002" w:rsidRDefault="00765585" w:rsidP="00765585">
            <w:pPr>
              <w:pStyle w:val="TableColumnHeading"/>
              <w:rPr>
                <w:sz w:val="20"/>
                <w:szCs w:val="28"/>
              </w:rPr>
            </w:pPr>
            <w:bookmarkStart w:id="39" w:name="ColumnTitles_16"/>
            <w:bookmarkEnd w:id="39"/>
          </w:p>
        </w:tc>
        <w:tc>
          <w:tcPr>
            <w:tcW w:w="1382" w:type="dxa"/>
          </w:tcPr>
          <w:p w14:paraId="4A291DCF" w14:textId="1CA5B434" w:rsidR="00765585" w:rsidRPr="00962002" w:rsidRDefault="00765585" w:rsidP="00962002">
            <w:pPr>
              <w:pStyle w:val="TableColumnHeading"/>
              <w:jc w:val="right"/>
              <w:rPr>
                <w:sz w:val="20"/>
                <w:szCs w:val="28"/>
              </w:rPr>
            </w:pPr>
            <w:r w:rsidRPr="00962002">
              <w:rPr>
                <w:sz w:val="20"/>
                <w:szCs w:val="28"/>
              </w:rPr>
              <w:t>Tourism and Major Events 2023 ($</w:t>
            </w:r>
            <w:r w:rsidR="00A312F7" w:rsidRPr="00962002">
              <w:rPr>
                <w:sz w:val="20"/>
                <w:szCs w:val="28"/>
              </w:rPr>
              <w:t> </w:t>
            </w:r>
            <w:r w:rsidRPr="00962002">
              <w:rPr>
                <w:sz w:val="20"/>
                <w:szCs w:val="28"/>
              </w:rPr>
              <w:t>thousand)</w:t>
            </w:r>
          </w:p>
        </w:tc>
        <w:tc>
          <w:tcPr>
            <w:tcW w:w="1382" w:type="dxa"/>
          </w:tcPr>
          <w:p w14:paraId="2669662B" w14:textId="1E72687A" w:rsidR="00765585" w:rsidRPr="00962002" w:rsidRDefault="00765585" w:rsidP="00962002">
            <w:pPr>
              <w:pStyle w:val="TableColumnHeading"/>
              <w:jc w:val="right"/>
              <w:rPr>
                <w:sz w:val="20"/>
                <w:szCs w:val="28"/>
              </w:rPr>
            </w:pPr>
            <w:r w:rsidRPr="00962002">
              <w:rPr>
                <w:sz w:val="20"/>
                <w:szCs w:val="28"/>
              </w:rPr>
              <w:t>Tourism and Major Events 2022 ($</w:t>
            </w:r>
            <w:r w:rsidR="00A312F7" w:rsidRPr="00962002">
              <w:rPr>
                <w:sz w:val="20"/>
                <w:szCs w:val="28"/>
              </w:rPr>
              <w:t> </w:t>
            </w:r>
            <w:r w:rsidRPr="00962002">
              <w:rPr>
                <w:sz w:val="20"/>
                <w:szCs w:val="28"/>
              </w:rPr>
              <w:t>thousand)</w:t>
            </w:r>
          </w:p>
        </w:tc>
        <w:tc>
          <w:tcPr>
            <w:tcW w:w="1382" w:type="dxa"/>
          </w:tcPr>
          <w:p w14:paraId="34813C8A" w14:textId="265277E4" w:rsidR="00765585" w:rsidRPr="00962002" w:rsidRDefault="00765585" w:rsidP="00962002">
            <w:pPr>
              <w:pStyle w:val="TableColumnHeading"/>
              <w:jc w:val="right"/>
              <w:rPr>
                <w:sz w:val="20"/>
                <w:szCs w:val="28"/>
              </w:rPr>
            </w:pPr>
            <w:r w:rsidRPr="00962002">
              <w:rPr>
                <w:sz w:val="20"/>
                <w:szCs w:val="28"/>
              </w:rPr>
              <w:t>Fishing, Boating and Game Management</w:t>
            </w:r>
            <w:r w:rsidRPr="00614829">
              <w:rPr>
                <w:rStyle w:val="FootnotereferencessuperscriptMisc"/>
                <w:sz w:val="20"/>
                <w:szCs w:val="28"/>
                <w:vertAlign w:val="baseline"/>
              </w:rPr>
              <w:t xml:space="preserve"> </w:t>
            </w:r>
            <w:r w:rsidRPr="00614829">
              <w:rPr>
                <w:rStyle w:val="FootnotereferencessuperscriptMisc"/>
                <w:sz w:val="20"/>
                <w:szCs w:val="28"/>
              </w:rPr>
              <w:t>(</w:t>
            </w:r>
            <w:proofErr w:type="spellStart"/>
            <w:r w:rsidRPr="00614829">
              <w:rPr>
                <w:rStyle w:val="FootnotereferencessuperscriptMisc"/>
                <w:sz w:val="20"/>
                <w:szCs w:val="28"/>
              </w:rPr>
              <w:t>i</w:t>
            </w:r>
            <w:proofErr w:type="spellEnd"/>
            <w:r w:rsidRPr="00614829">
              <w:rPr>
                <w:rStyle w:val="FootnotereferencessuperscriptMisc"/>
                <w:sz w:val="20"/>
                <w:szCs w:val="28"/>
              </w:rPr>
              <w:t>)</w:t>
            </w:r>
            <w:r w:rsidRPr="00962002">
              <w:rPr>
                <w:sz w:val="20"/>
                <w:szCs w:val="28"/>
              </w:rPr>
              <w:t xml:space="preserve"> 2023 ($</w:t>
            </w:r>
            <w:r w:rsidR="00962002">
              <w:rPr>
                <w:sz w:val="20"/>
                <w:szCs w:val="28"/>
              </w:rPr>
              <w:t> </w:t>
            </w:r>
            <w:r w:rsidRPr="00962002">
              <w:rPr>
                <w:sz w:val="20"/>
                <w:szCs w:val="28"/>
              </w:rPr>
              <w:t>thousand)</w:t>
            </w:r>
          </w:p>
        </w:tc>
        <w:tc>
          <w:tcPr>
            <w:tcW w:w="1382" w:type="dxa"/>
          </w:tcPr>
          <w:p w14:paraId="5CFC4775" w14:textId="51760FDF" w:rsidR="00765585" w:rsidRPr="00962002" w:rsidRDefault="00765585" w:rsidP="00962002">
            <w:pPr>
              <w:pStyle w:val="TableColumnHeading"/>
              <w:jc w:val="right"/>
              <w:rPr>
                <w:sz w:val="20"/>
                <w:szCs w:val="28"/>
              </w:rPr>
            </w:pPr>
            <w:r w:rsidRPr="00962002">
              <w:rPr>
                <w:sz w:val="20"/>
                <w:szCs w:val="28"/>
              </w:rPr>
              <w:t>Fishing, Boating and Game Management</w:t>
            </w:r>
            <w:r w:rsidRPr="00614829">
              <w:rPr>
                <w:rStyle w:val="FootnotereferencessuperscriptMisc"/>
                <w:sz w:val="20"/>
                <w:szCs w:val="28"/>
                <w:vertAlign w:val="baseline"/>
              </w:rPr>
              <w:t xml:space="preserve"> </w:t>
            </w:r>
            <w:r w:rsidRPr="00614829">
              <w:rPr>
                <w:rStyle w:val="FootnotereferencessuperscriptMisc"/>
                <w:sz w:val="20"/>
                <w:szCs w:val="28"/>
              </w:rPr>
              <w:t>(</w:t>
            </w:r>
            <w:proofErr w:type="spellStart"/>
            <w:r w:rsidRPr="00614829">
              <w:rPr>
                <w:rStyle w:val="FootnotereferencessuperscriptMisc"/>
                <w:sz w:val="20"/>
                <w:szCs w:val="28"/>
              </w:rPr>
              <w:t>i</w:t>
            </w:r>
            <w:proofErr w:type="spellEnd"/>
            <w:r w:rsidRPr="00614829">
              <w:rPr>
                <w:rStyle w:val="FootnotereferencessuperscriptMisc"/>
                <w:sz w:val="20"/>
                <w:szCs w:val="28"/>
              </w:rPr>
              <w:t>)</w:t>
            </w:r>
            <w:r w:rsidRPr="00962002">
              <w:rPr>
                <w:sz w:val="20"/>
                <w:szCs w:val="28"/>
              </w:rPr>
              <w:t xml:space="preserve"> 2022 ($</w:t>
            </w:r>
            <w:r w:rsidR="00A312F7" w:rsidRPr="00962002">
              <w:rPr>
                <w:sz w:val="20"/>
                <w:szCs w:val="28"/>
              </w:rPr>
              <w:t> </w:t>
            </w:r>
            <w:r w:rsidRPr="00962002">
              <w:rPr>
                <w:sz w:val="20"/>
                <w:szCs w:val="28"/>
              </w:rPr>
              <w:t>thousand)</w:t>
            </w:r>
          </w:p>
        </w:tc>
        <w:tc>
          <w:tcPr>
            <w:tcW w:w="1382" w:type="dxa"/>
          </w:tcPr>
          <w:p w14:paraId="554E3EBA" w14:textId="394BADE3" w:rsidR="00765585" w:rsidRPr="00962002" w:rsidRDefault="00765585" w:rsidP="00962002">
            <w:pPr>
              <w:pStyle w:val="TableColumnHeading"/>
              <w:jc w:val="right"/>
              <w:rPr>
                <w:sz w:val="20"/>
                <w:szCs w:val="28"/>
              </w:rPr>
            </w:pPr>
            <w:r w:rsidRPr="00962002">
              <w:rPr>
                <w:sz w:val="20"/>
                <w:szCs w:val="28"/>
              </w:rPr>
              <w:t>Training, Higher Education and Workforce Development</w:t>
            </w:r>
            <w:r w:rsidRPr="00614829">
              <w:rPr>
                <w:rStyle w:val="FootnotereferencessuperscriptMisc"/>
                <w:sz w:val="20"/>
                <w:szCs w:val="28"/>
                <w:vertAlign w:val="baseline"/>
              </w:rPr>
              <w:t xml:space="preserve"> </w:t>
            </w:r>
            <w:r w:rsidRPr="00614829">
              <w:rPr>
                <w:rStyle w:val="FootnotereferencessuperscriptMisc"/>
                <w:sz w:val="20"/>
                <w:szCs w:val="28"/>
              </w:rPr>
              <w:t>(</w:t>
            </w:r>
            <w:proofErr w:type="spellStart"/>
            <w:r w:rsidRPr="00614829">
              <w:rPr>
                <w:rStyle w:val="FootnotereferencessuperscriptMisc"/>
                <w:sz w:val="20"/>
                <w:szCs w:val="28"/>
              </w:rPr>
              <w:t>i</w:t>
            </w:r>
            <w:proofErr w:type="spellEnd"/>
            <w:r w:rsidRPr="00614829">
              <w:rPr>
                <w:rStyle w:val="FootnotereferencessuperscriptMisc"/>
                <w:sz w:val="20"/>
                <w:szCs w:val="28"/>
              </w:rPr>
              <w:t>)</w:t>
            </w:r>
            <w:r w:rsidRPr="00962002">
              <w:rPr>
                <w:sz w:val="20"/>
                <w:szCs w:val="28"/>
              </w:rPr>
              <w:t xml:space="preserve"> 2023 ($</w:t>
            </w:r>
            <w:r w:rsidR="00A312F7" w:rsidRPr="00962002">
              <w:rPr>
                <w:sz w:val="20"/>
                <w:szCs w:val="28"/>
              </w:rPr>
              <w:t> </w:t>
            </w:r>
            <w:r w:rsidRPr="00962002">
              <w:rPr>
                <w:sz w:val="20"/>
                <w:szCs w:val="28"/>
              </w:rPr>
              <w:t>thousand)</w:t>
            </w:r>
          </w:p>
        </w:tc>
        <w:tc>
          <w:tcPr>
            <w:tcW w:w="1382" w:type="dxa"/>
          </w:tcPr>
          <w:p w14:paraId="35C93CA3" w14:textId="275AA912" w:rsidR="00765585" w:rsidRPr="00962002" w:rsidRDefault="00765585" w:rsidP="00962002">
            <w:pPr>
              <w:pStyle w:val="TableColumnHeading"/>
              <w:jc w:val="right"/>
              <w:rPr>
                <w:sz w:val="20"/>
                <w:szCs w:val="28"/>
              </w:rPr>
            </w:pPr>
            <w:r w:rsidRPr="00962002">
              <w:rPr>
                <w:sz w:val="20"/>
                <w:szCs w:val="28"/>
              </w:rPr>
              <w:t>Training, Higher Education and Workforce Development</w:t>
            </w:r>
            <w:r w:rsidRPr="00614829">
              <w:rPr>
                <w:rStyle w:val="FootnotereferencessuperscriptMisc"/>
                <w:sz w:val="20"/>
                <w:szCs w:val="28"/>
                <w:vertAlign w:val="baseline"/>
              </w:rPr>
              <w:t xml:space="preserve"> </w:t>
            </w:r>
            <w:r w:rsidRPr="00614829">
              <w:rPr>
                <w:rStyle w:val="FootnotereferencessuperscriptMisc"/>
                <w:sz w:val="20"/>
                <w:szCs w:val="28"/>
              </w:rPr>
              <w:t>(</w:t>
            </w:r>
            <w:proofErr w:type="spellStart"/>
            <w:r w:rsidRPr="00614829">
              <w:rPr>
                <w:rStyle w:val="FootnotereferencessuperscriptMisc"/>
                <w:sz w:val="20"/>
                <w:szCs w:val="28"/>
              </w:rPr>
              <w:t>i</w:t>
            </w:r>
            <w:proofErr w:type="spellEnd"/>
            <w:r w:rsidRPr="00614829">
              <w:rPr>
                <w:rStyle w:val="FootnotereferencessuperscriptMisc"/>
                <w:sz w:val="20"/>
                <w:szCs w:val="28"/>
              </w:rPr>
              <w:t>)</w:t>
            </w:r>
            <w:r w:rsidRPr="00962002">
              <w:rPr>
                <w:sz w:val="20"/>
                <w:szCs w:val="28"/>
              </w:rPr>
              <w:t xml:space="preserve"> 2022 ($</w:t>
            </w:r>
            <w:r w:rsidR="00A312F7" w:rsidRPr="00962002">
              <w:rPr>
                <w:sz w:val="20"/>
                <w:szCs w:val="28"/>
              </w:rPr>
              <w:t> </w:t>
            </w:r>
            <w:r w:rsidRPr="00962002">
              <w:rPr>
                <w:sz w:val="20"/>
                <w:szCs w:val="28"/>
              </w:rPr>
              <w:t>thousand)</w:t>
            </w:r>
          </w:p>
        </w:tc>
        <w:tc>
          <w:tcPr>
            <w:tcW w:w="1382" w:type="dxa"/>
          </w:tcPr>
          <w:p w14:paraId="0428159B" w14:textId="51DB67BC" w:rsidR="00765585" w:rsidRPr="00962002" w:rsidRDefault="00765585" w:rsidP="00962002">
            <w:pPr>
              <w:pStyle w:val="TableColumnHeading"/>
              <w:jc w:val="right"/>
              <w:rPr>
                <w:sz w:val="20"/>
                <w:szCs w:val="28"/>
              </w:rPr>
            </w:pPr>
            <w:r w:rsidRPr="00962002">
              <w:rPr>
                <w:sz w:val="20"/>
                <w:szCs w:val="28"/>
              </w:rPr>
              <w:t>DJSIR Existing and New Outputs Subtotal 2023 ($</w:t>
            </w:r>
            <w:r w:rsidR="00A312F7" w:rsidRPr="00962002">
              <w:rPr>
                <w:sz w:val="20"/>
                <w:szCs w:val="28"/>
              </w:rPr>
              <w:t> </w:t>
            </w:r>
            <w:r w:rsidRPr="00962002">
              <w:rPr>
                <w:sz w:val="20"/>
                <w:szCs w:val="28"/>
              </w:rPr>
              <w:t>thousand)</w:t>
            </w:r>
          </w:p>
        </w:tc>
        <w:tc>
          <w:tcPr>
            <w:tcW w:w="1383" w:type="dxa"/>
          </w:tcPr>
          <w:p w14:paraId="10D18D5D" w14:textId="276BB190" w:rsidR="00765585" w:rsidRPr="00962002" w:rsidRDefault="00765585" w:rsidP="00962002">
            <w:pPr>
              <w:pStyle w:val="TableColumnHeading"/>
              <w:jc w:val="right"/>
              <w:rPr>
                <w:sz w:val="20"/>
                <w:szCs w:val="28"/>
              </w:rPr>
            </w:pPr>
            <w:r w:rsidRPr="00962002">
              <w:rPr>
                <w:sz w:val="20"/>
                <w:szCs w:val="28"/>
              </w:rPr>
              <w:t>DJSIR Existing and New Outputs Subtotal 2022 ($</w:t>
            </w:r>
            <w:r w:rsidR="00A312F7" w:rsidRPr="00962002">
              <w:rPr>
                <w:sz w:val="20"/>
                <w:szCs w:val="28"/>
              </w:rPr>
              <w:t> </w:t>
            </w:r>
            <w:r w:rsidRPr="00962002">
              <w:rPr>
                <w:sz w:val="20"/>
                <w:szCs w:val="28"/>
              </w:rPr>
              <w:t>thousand)</w:t>
            </w:r>
          </w:p>
        </w:tc>
      </w:tr>
      <w:tr w:rsidR="00765585" w:rsidRPr="00A312F7" w14:paraId="3416646F" w14:textId="77777777" w:rsidTr="00BB0239">
        <w:trPr>
          <w:cantSplit/>
        </w:trPr>
        <w:tc>
          <w:tcPr>
            <w:tcW w:w="3964" w:type="dxa"/>
          </w:tcPr>
          <w:p w14:paraId="068531C5" w14:textId="68A95C89" w:rsidR="00765585" w:rsidRPr="00A312F7" w:rsidRDefault="00765585" w:rsidP="00A312F7">
            <w:pPr>
              <w:pStyle w:val="TableHeading"/>
            </w:pPr>
            <w:r w:rsidRPr="00A312F7">
              <w:t>Revenue and income from transactions</w:t>
            </w:r>
          </w:p>
        </w:tc>
        <w:tc>
          <w:tcPr>
            <w:tcW w:w="1382" w:type="dxa"/>
          </w:tcPr>
          <w:p w14:paraId="4C3006F0" w14:textId="77777777" w:rsidR="00765585" w:rsidRPr="00A312F7" w:rsidRDefault="00765585" w:rsidP="00962002">
            <w:pPr>
              <w:pStyle w:val="TableHeading"/>
              <w:jc w:val="right"/>
            </w:pPr>
          </w:p>
        </w:tc>
        <w:tc>
          <w:tcPr>
            <w:tcW w:w="1382" w:type="dxa"/>
          </w:tcPr>
          <w:p w14:paraId="6987155A" w14:textId="77777777" w:rsidR="00765585" w:rsidRPr="00A312F7" w:rsidRDefault="00765585" w:rsidP="00962002">
            <w:pPr>
              <w:pStyle w:val="TableHeading"/>
              <w:jc w:val="right"/>
            </w:pPr>
          </w:p>
        </w:tc>
        <w:tc>
          <w:tcPr>
            <w:tcW w:w="1382" w:type="dxa"/>
          </w:tcPr>
          <w:p w14:paraId="7E4B1AAC" w14:textId="77777777" w:rsidR="00765585" w:rsidRPr="00A312F7" w:rsidRDefault="00765585" w:rsidP="00962002">
            <w:pPr>
              <w:pStyle w:val="TableHeading"/>
              <w:jc w:val="right"/>
            </w:pPr>
          </w:p>
        </w:tc>
        <w:tc>
          <w:tcPr>
            <w:tcW w:w="1382" w:type="dxa"/>
          </w:tcPr>
          <w:p w14:paraId="224B37CA" w14:textId="77777777" w:rsidR="00765585" w:rsidRPr="00A312F7" w:rsidRDefault="00765585" w:rsidP="00962002">
            <w:pPr>
              <w:pStyle w:val="TableHeading"/>
              <w:jc w:val="right"/>
            </w:pPr>
          </w:p>
        </w:tc>
        <w:tc>
          <w:tcPr>
            <w:tcW w:w="1382" w:type="dxa"/>
          </w:tcPr>
          <w:p w14:paraId="3AA80B3D" w14:textId="77777777" w:rsidR="00765585" w:rsidRPr="00A312F7" w:rsidRDefault="00765585" w:rsidP="00962002">
            <w:pPr>
              <w:pStyle w:val="TableHeading"/>
              <w:jc w:val="right"/>
            </w:pPr>
          </w:p>
        </w:tc>
        <w:tc>
          <w:tcPr>
            <w:tcW w:w="1382" w:type="dxa"/>
          </w:tcPr>
          <w:p w14:paraId="5BC3E83E" w14:textId="77777777" w:rsidR="00765585" w:rsidRPr="00A312F7" w:rsidRDefault="00765585" w:rsidP="00962002">
            <w:pPr>
              <w:pStyle w:val="TableHeading"/>
              <w:jc w:val="right"/>
            </w:pPr>
          </w:p>
        </w:tc>
        <w:tc>
          <w:tcPr>
            <w:tcW w:w="1382" w:type="dxa"/>
          </w:tcPr>
          <w:p w14:paraId="05B17E80" w14:textId="77777777" w:rsidR="00765585" w:rsidRPr="00A312F7" w:rsidRDefault="00765585" w:rsidP="00962002">
            <w:pPr>
              <w:pStyle w:val="TableHeading"/>
              <w:jc w:val="right"/>
            </w:pPr>
          </w:p>
        </w:tc>
        <w:tc>
          <w:tcPr>
            <w:tcW w:w="1383" w:type="dxa"/>
          </w:tcPr>
          <w:p w14:paraId="054E9E2A" w14:textId="77777777" w:rsidR="00765585" w:rsidRPr="00A312F7" w:rsidRDefault="00765585" w:rsidP="00962002">
            <w:pPr>
              <w:pStyle w:val="TableHeading"/>
              <w:jc w:val="right"/>
            </w:pPr>
          </w:p>
        </w:tc>
      </w:tr>
      <w:tr w:rsidR="00765585" w:rsidRPr="00A312F7" w14:paraId="38604F76" w14:textId="77777777" w:rsidTr="00BB0239">
        <w:trPr>
          <w:cantSplit/>
        </w:trPr>
        <w:tc>
          <w:tcPr>
            <w:tcW w:w="3964" w:type="dxa"/>
          </w:tcPr>
          <w:p w14:paraId="5A17D27C" w14:textId="48CE3A75" w:rsidR="00765585" w:rsidRPr="00A312F7" w:rsidRDefault="00765585" w:rsidP="00A312F7">
            <w:pPr>
              <w:pStyle w:val="TableCopy"/>
            </w:pPr>
            <w:r w:rsidRPr="00A312F7">
              <w:t>Output appropriations</w:t>
            </w:r>
          </w:p>
        </w:tc>
        <w:tc>
          <w:tcPr>
            <w:tcW w:w="1382" w:type="dxa"/>
          </w:tcPr>
          <w:p w14:paraId="1A403B6E" w14:textId="525B4432" w:rsidR="00765585" w:rsidRPr="00A312F7" w:rsidRDefault="00765585" w:rsidP="00962002">
            <w:pPr>
              <w:pStyle w:val="TableCopy"/>
              <w:jc w:val="right"/>
            </w:pPr>
            <w:r w:rsidRPr="00A312F7">
              <w:t>270,894</w:t>
            </w:r>
          </w:p>
        </w:tc>
        <w:tc>
          <w:tcPr>
            <w:tcW w:w="1382" w:type="dxa"/>
          </w:tcPr>
          <w:p w14:paraId="2D349DFD" w14:textId="1254173F" w:rsidR="00765585" w:rsidRPr="00A312F7" w:rsidRDefault="00765585" w:rsidP="00962002">
            <w:pPr>
              <w:pStyle w:val="TableCopy"/>
              <w:jc w:val="right"/>
            </w:pPr>
            <w:r w:rsidRPr="00A312F7">
              <w:t>379,221</w:t>
            </w:r>
          </w:p>
        </w:tc>
        <w:tc>
          <w:tcPr>
            <w:tcW w:w="1382" w:type="dxa"/>
          </w:tcPr>
          <w:p w14:paraId="569DC122" w14:textId="3F0C80A3" w:rsidR="00765585" w:rsidRPr="00A312F7" w:rsidRDefault="00765585" w:rsidP="00962002">
            <w:pPr>
              <w:pStyle w:val="TableCopy"/>
              <w:jc w:val="right"/>
            </w:pPr>
            <w:r w:rsidRPr="00A312F7">
              <w:t>56,461</w:t>
            </w:r>
          </w:p>
        </w:tc>
        <w:tc>
          <w:tcPr>
            <w:tcW w:w="1382" w:type="dxa"/>
          </w:tcPr>
          <w:p w14:paraId="7D072777" w14:textId="5DAFC242" w:rsidR="00765585" w:rsidRPr="00A312F7" w:rsidRDefault="00765585" w:rsidP="00962002">
            <w:pPr>
              <w:pStyle w:val="TableCopy"/>
              <w:jc w:val="right"/>
            </w:pPr>
            <w:r w:rsidRPr="00A312F7">
              <w:t>10,680</w:t>
            </w:r>
          </w:p>
        </w:tc>
        <w:tc>
          <w:tcPr>
            <w:tcW w:w="1382" w:type="dxa"/>
          </w:tcPr>
          <w:p w14:paraId="1681F293" w14:textId="3ABC3E09" w:rsidR="00765585" w:rsidRPr="00A312F7" w:rsidRDefault="00765585" w:rsidP="00962002">
            <w:pPr>
              <w:pStyle w:val="TableCopy"/>
              <w:jc w:val="right"/>
            </w:pPr>
            <w:r w:rsidRPr="00A312F7">
              <w:t>996,529</w:t>
            </w:r>
          </w:p>
        </w:tc>
        <w:tc>
          <w:tcPr>
            <w:tcW w:w="1382" w:type="dxa"/>
          </w:tcPr>
          <w:p w14:paraId="1243AC13" w14:textId="639501E5" w:rsidR="00765585" w:rsidRPr="00A312F7" w:rsidRDefault="00765585" w:rsidP="00962002">
            <w:pPr>
              <w:pStyle w:val="TableCopy"/>
              <w:jc w:val="right"/>
            </w:pPr>
            <w:r w:rsidRPr="00A312F7">
              <w:t>–</w:t>
            </w:r>
          </w:p>
        </w:tc>
        <w:tc>
          <w:tcPr>
            <w:tcW w:w="1382" w:type="dxa"/>
          </w:tcPr>
          <w:p w14:paraId="492D10FF" w14:textId="66769B82" w:rsidR="00765585" w:rsidRPr="00A312F7" w:rsidRDefault="00765585" w:rsidP="00962002">
            <w:pPr>
              <w:pStyle w:val="TableCopy"/>
              <w:jc w:val="right"/>
            </w:pPr>
            <w:r w:rsidRPr="00A312F7">
              <w:t>3,293,275</w:t>
            </w:r>
          </w:p>
        </w:tc>
        <w:tc>
          <w:tcPr>
            <w:tcW w:w="1383" w:type="dxa"/>
          </w:tcPr>
          <w:p w14:paraId="60F1D409" w14:textId="6F38CAF3" w:rsidR="00765585" w:rsidRPr="00A312F7" w:rsidRDefault="00765585" w:rsidP="00962002">
            <w:pPr>
              <w:pStyle w:val="TableCopy"/>
              <w:jc w:val="right"/>
            </w:pPr>
            <w:r w:rsidRPr="00A312F7">
              <w:t>9,894,032</w:t>
            </w:r>
          </w:p>
        </w:tc>
      </w:tr>
      <w:tr w:rsidR="00765585" w:rsidRPr="00A312F7" w14:paraId="644AE79C" w14:textId="77777777" w:rsidTr="00BB0239">
        <w:trPr>
          <w:cantSplit/>
        </w:trPr>
        <w:tc>
          <w:tcPr>
            <w:tcW w:w="3964" w:type="dxa"/>
          </w:tcPr>
          <w:p w14:paraId="61D534D0" w14:textId="77777777" w:rsidR="00765585" w:rsidRPr="00A312F7" w:rsidRDefault="00765585" w:rsidP="00A312F7">
            <w:pPr>
              <w:pStyle w:val="TableCopy"/>
            </w:pPr>
            <w:r w:rsidRPr="00A312F7">
              <w:t>Grants</w:t>
            </w:r>
          </w:p>
        </w:tc>
        <w:tc>
          <w:tcPr>
            <w:tcW w:w="1382" w:type="dxa"/>
          </w:tcPr>
          <w:p w14:paraId="31C27A85" w14:textId="70CECEBA" w:rsidR="00765585" w:rsidRPr="00A312F7" w:rsidRDefault="00765585" w:rsidP="00962002">
            <w:pPr>
              <w:pStyle w:val="TableCopy"/>
              <w:jc w:val="right"/>
            </w:pPr>
            <w:r w:rsidRPr="00A312F7">
              <w:t>137,538</w:t>
            </w:r>
          </w:p>
        </w:tc>
        <w:tc>
          <w:tcPr>
            <w:tcW w:w="1382" w:type="dxa"/>
          </w:tcPr>
          <w:p w14:paraId="0CE31C2F" w14:textId="48DD988D" w:rsidR="00765585" w:rsidRPr="00A312F7" w:rsidRDefault="00765585" w:rsidP="00962002">
            <w:pPr>
              <w:pStyle w:val="TableCopy"/>
              <w:jc w:val="right"/>
            </w:pPr>
            <w:r w:rsidRPr="00A312F7">
              <w:t>63,639</w:t>
            </w:r>
          </w:p>
        </w:tc>
        <w:tc>
          <w:tcPr>
            <w:tcW w:w="1382" w:type="dxa"/>
          </w:tcPr>
          <w:p w14:paraId="7FBCDEB5" w14:textId="389301D9" w:rsidR="00765585" w:rsidRPr="00A312F7" w:rsidRDefault="00765585" w:rsidP="00962002">
            <w:pPr>
              <w:pStyle w:val="TableCopy"/>
              <w:jc w:val="right"/>
            </w:pPr>
            <w:r w:rsidRPr="00A312F7">
              <w:t>–</w:t>
            </w:r>
          </w:p>
        </w:tc>
        <w:tc>
          <w:tcPr>
            <w:tcW w:w="1382" w:type="dxa"/>
          </w:tcPr>
          <w:p w14:paraId="0BB8C955" w14:textId="677C95A3" w:rsidR="00765585" w:rsidRPr="00A312F7" w:rsidRDefault="00765585" w:rsidP="00962002">
            <w:pPr>
              <w:pStyle w:val="TableCopy"/>
              <w:jc w:val="right"/>
            </w:pPr>
            <w:r w:rsidRPr="00A312F7">
              <w:t>–</w:t>
            </w:r>
          </w:p>
        </w:tc>
        <w:tc>
          <w:tcPr>
            <w:tcW w:w="1382" w:type="dxa"/>
          </w:tcPr>
          <w:p w14:paraId="4B1073DB" w14:textId="31858F51" w:rsidR="00765585" w:rsidRPr="00A312F7" w:rsidRDefault="00765585" w:rsidP="00962002">
            <w:pPr>
              <w:pStyle w:val="TableCopy"/>
              <w:jc w:val="right"/>
            </w:pPr>
            <w:r w:rsidRPr="00A312F7">
              <w:t>704</w:t>
            </w:r>
          </w:p>
        </w:tc>
        <w:tc>
          <w:tcPr>
            <w:tcW w:w="1382" w:type="dxa"/>
          </w:tcPr>
          <w:p w14:paraId="51397851" w14:textId="55F85493" w:rsidR="00765585" w:rsidRPr="00A312F7" w:rsidRDefault="00765585" w:rsidP="00962002">
            <w:pPr>
              <w:pStyle w:val="TableCopy"/>
              <w:jc w:val="right"/>
            </w:pPr>
            <w:r w:rsidRPr="00A312F7">
              <w:t>–</w:t>
            </w:r>
          </w:p>
        </w:tc>
        <w:tc>
          <w:tcPr>
            <w:tcW w:w="1382" w:type="dxa"/>
          </w:tcPr>
          <w:p w14:paraId="24C99A83" w14:textId="32D15E33" w:rsidR="00765585" w:rsidRPr="00A312F7" w:rsidRDefault="00765585" w:rsidP="00962002">
            <w:pPr>
              <w:pStyle w:val="TableCopy"/>
              <w:jc w:val="right"/>
            </w:pPr>
            <w:r w:rsidRPr="00A312F7">
              <w:t>247,217</w:t>
            </w:r>
          </w:p>
        </w:tc>
        <w:tc>
          <w:tcPr>
            <w:tcW w:w="1383" w:type="dxa"/>
          </w:tcPr>
          <w:p w14:paraId="65395A52" w14:textId="2517995B" w:rsidR="00765585" w:rsidRPr="00A312F7" w:rsidRDefault="00765585" w:rsidP="00962002">
            <w:pPr>
              <w:pStyle w:val="TableCopy"/>
              <w:jc w:val="right"/>
            </w:pPr>
            <w:r w:rsidRPr="00A312F7">
              <w:t>171,958</w:t>
            </w:r>
          </w:p>
        </w:tc>
      </w:tr>
      <w:tr w:rsidR="00765585" w:rsidRPr="00A312F7" w14:paraId="71342229" w14:textId="77777777" w:rsidTr="00BB0239">
        <w:trPr>
          <w:cantSplit/>
        </w:trPr>
        <w:tc>
          <w:tcPr>
            <w:tcW w:w="3964" w:type="dxa"/>
          </w:tcPr>
          <w:p w14:paraId="28A43420" w14:textId="3DE5C0DF" w:rsidR="00765585" w:rsidRPr="00A312F7" w:rsidRDefault="00765585" w:rsidP="00A312F7">
            <w:pPr>
              <w:pStyle w:val="TableCopy"/>
            </w:pPr>
            <w:r w:rsidRPr="00A312F7">
              <w:t>Sale of services</w:t>
            </w:r>
          </w:p>
        </w:tc>
        <w:tc>
          <w:tcPr>
            <w:tcW w:w="1382" w:type="dxa"/>
          </w:tcPr>
          <w:p w14:paraId="1FD2B0AE" w14:textId="0F7132C1" w:rsidR="00765585" w:rsidRPr="00A312F7" w:rsidRDefault="00765585" w:rsidP="00962002">
            <w:pPr>
              <w:pStyle w:val="TableCopy"/>
              <w:jc w:val="right"/>
            </w:pPr>
            <w:r w:rsidRPr="00A312F7">
              <w:t>–</w:t>
            </w:r>
          </w:p>
        </w:tc>
        <w:tc>
          <w:tcPr>
            <w:tcW w:w="1382" w:type="dxa"/>
          </w:tcPr>
          <w:p w14:paraId="70D0B9FB" w14:textId="2827A633" w:rsidR="00765585" w:rsidRPr="00A312F7" w:rsidRDefault="00765585" w:rsidP="00962002">
            <w:pPr>
              <w:pStyle w:val="TableCopy"/>
              <w:jc w:val="right"/>
            </w:pPr>
            <w:r w:rsidRPr="00A312F7">
              <w:t>–</w:t>
            </w:r>
          </w:p>
        </w:tc>
        <w:tc>
          <w:tcPr>
            <w:tcW w:w="1382" w:type="dxa"/>
          </w:tcPr>
          <w:p w14:paraId="127BC9EC" w14:textId="209A1EB9" w:rsidR="00765585" w:rsidRPr="00A312F7" w:rsidRDefault="00765585" w:rsidP="00962002">
            <w:pPr>
              <w:pStyle w:val="TableCopy"/>
              <w:jc w:val="right"/>
            </w:pPr>
            <w:r w:rsidRPr="00A312F7">
              <w:t>–</w:t>
            </w:r>
          </w:p>
        </w:tc>
        <w:tc>
          <w:tcPr>
            <w:tcW w:w="1382" w:type="dxa"/>
          </w:tcPr>
          <w:p w14:paraId="31FE2067" w14:textId="3DEE7F43" w:rsidR="00765585" w:rsidRPr="00A312F7" w:rsidRDefault="00765585" w:rsidP="00962002">
            <w:pPr>
              <w:pStyle w:val="TableCopy"/>
              <w:jc w:val="right"/>
            </w:pPr>
            <w:r w:rsidRPr="00A312F7">
              <w:t>–</w:t>
            </w:r>
          </w:p>
        </w:tc>
        <w:tc>
          <w:tcPr>
            <w:tcW w:w="1382" w:type="dxa"/>
          </w:tcPr>
          <w:p w14:paraId="7D2DD5B3" w14:textId="4BAED37D" w:rsidR="00765585" w:rsidRPr="00A312F7" w:rsidRDefault="00765585" w:rsidP="00962002">
            <w:pPr>
              <w:pStyle w:val="TableCopy"/>
              <w:jc w:val="right"/>
            </w:pPr>
            <w:r w:rsidRPr="00A312F7">
              <w:t>–</w:t>
            </w:r>
          </w:p>
        </w:tc>
        <w:tc>
          <w:tcPr>
            <w:tcW w:w="1382" w:type="dxa"/>
          </w:tcPr>
          <w:p w14:paraId="626C1C67" w14:textId="10E07E94" w:rsidR="00765585" w:rsidRPr="00A312F7" w:rsidRDefault="00765585" w:rsidP="00962002">
            <w:pPr>
              <w:pStyle w:val="TableCopy"/>
              <w:jc w:val="right"/>
            </w:pPr>
            <w:r w:rsidRPr="00A312F7">
              <w:t>–</w:t>
            </w:r>
          </w:p>
        </w:tc>
        <w:tc>
          <w:tcPr>
            <w:tcW w:w="1382" w:type="dxa"/>
          </w:tcPr>
          <w:p w14:paraId="688A764E" w14:textId="0F64B1CF" w:rsidR="00765585" w:rsidRPr="00A312F7" w:rsidRDefault="00765585" w:rsidP="00962002">
            <w:pPr>
              <w:pStyle w:val="TableCopy"/>
              <w:jc w:val="right"/>
            </w:pPr>
            <w:r w:rsidRPr="00A312F7">
              <w:t>29</w:t>
            </w:r>
          </w:p>
        </w:tc>
        <w:tc>
          <w:tcPr>
            <w:tcW w:w="1383" w:type="dxa"/>
          </w:tcPr>
          <w:p w14:paraId="22E974D7" w14:textId="755EF522" w:rsidR="00765585" w:rsidRPr="00A312F7" w:rsidRDefault="00765585" w:rsidP="00962002">
            <w:pPr>
              <w:pStyle w:val="TableCopy"/>
              <w:jc w:val="right"/>
            </w:pPr>
            <w:r w:rsidRPr="00A312F7">
              <w:t>–</w:t>
            </w:r>
          </w:p>
        </w:tc>
      </w:tr>
      <w:tr w:rsidR="00765585" w:rsidRPr="00A312F7" w14:paraId="1E5D0591" w14:textId="77777777" w:rsidTr="00BB0239">
        <w:trPr>
          <w:cantSplit/>
        </w:trPr>
        <w:tc>
          <w:tcPr>
            <w:tcW w:w="3964" w:type="dxa"/>
          </w:tcPr>
          <w:p w14:paraId="780F78BA" w14:textId="2C2E652F" w:rsidR="00765585" w:rsidRPr="00A312F7" w:rsidRDefault="00765585" w:rsidP="00A312F7">
            <w:pPr>
              <w:pStyle w:val="TableCopy"/>
            </w:pPr>
            <w:r w:rsidRPr="00A312F7">
              <w:t>Other income</w:t>
            </w:r>
          </w:p>
        </w:tc>
        <w:tc>
          <w:tcPr>
            <w:tcW w:w="1382" w:type="dxa"/>
          </w:tcPr>
          <w:p w14:paraId="6A35A90A" w14:textId="56EF1C66" w:rsidR="00765585" w:rsidRPr="00A312F7" w:rsidRDefault="00765585" w:rsidP="00962002">
            <w:pPr>
              <w:pStyle w:val="TableCopy"/>
              <w:jc w:val="right"/>
            </w:pPr>
            <w:r w:rsidRPr="00A312F7">
              <w:t>4</w:t>
            </w:r>
          </w:p>
        </w:tc>
        <w:tc>
          <w:tcPr>
            <w:tcW w:w="1382" w:type="dxa"/>
          </w:tcPr>
          <w:p w14:paraId="27A2C31F" w14:textId="2E21696B" w:rsidR="00765585" w:rsidRPr="00A312F7" w:rsidRDefault="00765585" w:rsidP="00962002">
            <w:pPr>
              <w:pStyle w:val="TableCopy"/>
              <w:jc w:val="right"/>
            </w:pPr>
            <w:r w:rsidRPr="00A312F7">
              <w:t>1,300</w:t>
            </w:r>
          </w:p>
        </w:tc>
        <w:tc>
          <w:tcPr>
            <w:tcW w:w="1382" w:type="dxa"/>
          </w:tcPr>
          <w:p w14:paraId="2A24319D" w14:textId="52D60B15" w:rsidR="00765585" w:rsidRPr="00A312F7" w:rsidRDefault="00765585" w:rsidP="00962002">
            <w:pPr>
              <w:pStyle w:val="TableCopy"/>
              <w:jc w:val="right"/>
            </w:pPr>
            <w:r w:rsidRPr="00A312F7">
              <w:t>4,617</w:t>
            </w:r>
          </w:p>
        </w:tc>
        <w:tc>
          <w:tcPr>
            <w:tcW w:w="1382" w:type="dxa"/>
          </w:tcPr>
          <w:p w14:paraId="49901419" w14:textId="14BC95DB" w:rsidR="00765585" w:rsidRPr="00A312F7" w:rsidRDefault="00765585" w:rsidP="00962002">
            <w:pPr>
              <w:pStyle w:val="TableCopy"/>
              <w:jc w:val="right"/>
            </w:pPr>
            <w:r w:rsidRPr="00A312F7">
              <w:t>–</w:t>
            </w:r>
          </w:p>
        </w:tc>
        <w:tc>
          <w:tcPr>
            <w:tcW w:w="1382" w:type="dxa"/>
          </w:tcPr>
          <w:p w14:paraId="375FE889" w14:textId="6A366FA1" w:rsidR="00765585" w:rsidRPr="00A312F7" w:rsidRDefault="00765585" w:rsidP="00962002">
            <w:pPr>
              <w:pStyle w:val="TableCopy"/>
              <w:jc w:val="right"/>
            </w:pPr>
            <w:r w:rsidRPr="00A312F7">
              <w:t>–</w:t>
            </w:r>
          </w:p>
        </w:tc>
        <w:tc>
          <w:tcPr>
            <w:tcW w:w="1382" w:type="dxa"/>
          </w:tcPr>
          <w:p w14:paraId="7568A75C" w14:textId="5BCA1060" w:rsidR="00765585" w:rsidRPr="00A312F7" w:rsidRDefault="00765585" w:rsidP="00962002">
            <w:pPr>
              <w:pStyle w:val="TableCopy"/>
              <w:jc w:val="right"/>
            </w:pPr>
            <w:r w:rsidRPr="00A312F7">
              <w:t>–</w:t>
            </w:r>
          </w:p>
        </w:tc>
        <w:tc>
          <w:tcPr>
            <w:tcW w:w="1382" w:type="dxa"/>
          </w:tcPr>
          <w:p w14:paraId="4AE95B39" w14:textId="71E30D9C" w:rsidR="00765585" w:rsidRPr="00A312F7" w:rsidRDefault="00765585" w:rsidP="00962002">
            <w:pPr>
              <w:pStyle w:val="TableCopy"/>
              <w:jc w:val="right"/>
            </w:pPr>
            <w:r w:rsidRPr="00A312F7">
              <w:t>13,117</w:t>
            </w:r>
          </w:p>
        </w:tc>
        <w:tc>
          <w:tcPr>
            <w:tcW w:w="1383" w:type="dxa"/>
          </w:tcPr>
          <w:p w14:paraId="755D7BA3" w14:textId="2E8E189A" w:rsidR="00765585" w:rsidRPr="00A312F7" w:rsidRDefault="00765585" w:rsidP="00962002">
            <w:pPr>
              <w:pStyle w:val="TableCopy"/>
              <w:jc w:val="right"/>
            </w:pPr>
            <w:r w:rsidRPr="00A312F7">
              <w:t>5,025</w:t>
            </w:r>
          </w:p>
        </w:tc>
      </w:tr>
      <w:tr w:rsidR="00765585" w:rsidRPr="00A312F7" w14:paraId="25D22EAB" w14:textId="77777777" w:rsidTr="00BB0239">
        <w:trPr>
          <w:cantSplit/>
        </w:trPr>
        <w:tc>
          <w:tcPr>
            <w:tcW w:w="3964" w:type="dxa"/>
          </w:tcPr>
          <w:p w14:paraId="71AB4E22" w14:textId="7E13A7D9" w:rsidR="00765585" w:rsidRPr="00A312F7" w:rsidRDefault="00765585" w:rsidP="00A312F7">
            <w:pPr>
              <w:pStyle w:val="TableCopy"/>
              <w:rPr>
                <w:b/>
                <w:bCs/>
              </w:rPr>
            </w:pPr>
            <w:r w:rsidRPr="00A312F7">
              <w:rPr>
                <w:b/>
                <w:bCs/>
              </w:rPr>
              <w:t>Total revenue and income from transactions</w:t>
            </w:r>
          </w:p>
        </w:tc>
        <w:tc>
          <w:tcPr>
            <w:tcW w:w="1382" w:type="dxa"/>
          </w:tcPr>
          <w:p w14:paraId="7E20A41D" w14:textId="1C529A66" w:rsidR="00765585" w:rsidRPr="00A312F7" w:rsidRDefault="00765585" w:rsidP="00962002">
            <w:pPr>
              <w:pStyle w:val="TableCopy"/>
              <w:jc w:val="right"/>
              <w:rPr>
                <w:b/>
                <w:bCs/>
              </w:rPr>
            </w:pPr>
            <w:r w:rsidRPr="00A312F7">
              <w:rPr>
                <w:b/>
                <w:bCs/>
              </w:rPr>
              <w:t>408,436</w:t>
            </w:r>
          </w:p>
        </w:tc>
        <w:tc>
          <w:tcPr>
            <w:tcW w:w="1382" w:type="dxa"/>
          </w:tcPr>
          <w:p w14:paraId="4544F5CE" w14:textId="27F9F55A" w:rsidR="00765585" w:rsidRPr="00A312F7" w:rsidRDefault="00765585" w:rsidP="00962002">
            <w:pPr>
              <w:pStyle w:val="TableCopy"/>
              <w:jc w:val="right"/>
              <w:rPr>
                <w:b/>
                <w:bCs/>
              </w:rPr>
            </w:pPr>
            <w:r w:rsidRPr="00A312F7">
              <w:rPr>
                <w:b/>
                <w:bCs/>
              </w:rPr>
              <w:t>444,160</w:t>
            </w:r>
          </w:p>
        </w:tc>
        <w:tc>
          <w:tcPr>
            <w:tcW w:w="1382" w:type="dxa"/>
          </w:tcPr>
          <w:p w14:paraId="0196B0B0" w14:textId="3B463D4F" w:rsidR="00765585" w:rsidRPr="00A312F7" w:rsidRDefault="00765585" w:rsidP="00962002">
            <w:pPr>
              <w:pStyle w:val="TableCopy"/>
              <w:jc w:val="right"/>
              <w:rPr>
                <w:b/>
                <w:bCs/>
              </w:rPr>
            </w:pPr>
            <w:r w:rsidRPr="00A312F7">
              <w:rPr>
                <w:b/>
                <w:bCs/>
              </w:rPr>
              <w:t>61,078</w:t>
            </w:r>
          </w:p>
        </w:tc>
        <w:tc>
          <w:tcPr>
            <w:tcW w:w="1382" w:type="dxa"/>
          </w:tcPr>
          <w:p w14:paraId="0D05030B" w14:textId="10AAE1B5" w:rsidR="00765585" w:rsidRPr="00A312F7" w:rsidRDefault="00765585" w:rsidP="00962002">
            <w:pPr>
              <w:pStyle w:val="TableCopy"/>
              <w:jc w:val="right"/>
              <w:rPr>
                <w:b/>
                <w:bCs/>
              </w:rPr>
            </w:pPr>
            <w:r w:rsidRPr="00A312F7">
              <w:rPr>
                <w:b/>
                <w:bCs/>
              </w:rPr>
              <w:t>10,680</w:t>
            </w:r>
          </w:p>
        </w:tc>
        <w:tc>
          <w:tcPr>
            <w:tcW w:w="1382" w:type="dxa"/>
          </w:tcPr>
          <w:p w14:paraId="14526BD5" w14:textId="77777777" w:rsidR="00765585" w:rsidRPr="00A312F7" w:rsidRDefault="00765585" w:rsidP="00962002">
            <w:pPr>
              <w:pStyle w:val="TableCopy"/>
              <w:jc w:val="right"/>
              <w:rPr>
                <w:b/>
                <w:bCs/>
              </w:rPr>
            </w:pPr>
            <w:r w:rsidRPr="00A312F7">
              <w:rPr>
                <w:b/>
                <w:bCs/>
              </w:rPr>
              <w:t>997,233</w:t>
            </w:r>
          </w:p>
        </w:tc>
        <w:tc>
          <w:tcPr>
            <w:tcW w:w="1382" w:type="dxa"/>
          </w:tcPr>
          <w:p w14:paraId="38FF7726" w14:textId="02855250" w:rsidR="00765585" w:rsidRPr="00A312F7" w:rsidRDefault="00765585" w:rsidP="00962002">
            <w:pPr>
              <w:pStyle w:val="TableCopy"/>
              <w:jc w:val="right"/>
              <w:rPr>
                <w:b/>
                <w:bCs/>
              </w:rPr>
            </w:pPr>
            <w:r w:rsidRPr="00A312F7">
              <w:rPr>
                <w:b/>
                <w:bCs/>
              </w:rPr>
              <w:t>–</w:t>
            </w:r>
          </w:p>
        </w:tc>
        <w:tc>
          <w:tcPr>
            <w:tcW w:w="1382" w:type="dxa"/>
          </w:tcPr>
          <w:p w14:paraId="3B8AC7CE" w14:textId="4FB37165" w:rsidR="00765585" w:rsidRPr="00A312F7" w:rsidRDefault="00765585" w:rsidP="00962002">
            <w:pPr>
              <w:pStyle w:val="TableCopy"/>
              <w:jc w:val="right"/>
              <w:rPr>
                <w:b/>
                <w:bCs/>
              </w:rPr>
            </w:pPr>
            <w:r w:rsidRPr="00A312F7">
              <w:rPr>
                <w:b/>
                <w:bCs/>
              </w:rPr>
              <w:t>3,553,638</w:t>
            </w:r>
          </w:p>
        </w:tc>
        <w:tc>
          <w:tcPr>
            <w:tcW w:w="1383" w:type="dxa"/>
          </w:tcPr>
          <w:p w14:paraId="562007A5" w14:textId="32122196" w:rsidR="00765585" w:rsidRPr="00A312F7" w:rsidRDefault="00765585" w:rsidP="00962002">
            <w:pPr>
              <w:pStyle w:val="TableCopy"/>
              <w:jc w:val="right"/>
              <w:rPr>
                <w:b/>
                <w:bCs/>
              </w:rPr>
            </w:pPr>
            <w:r w:rsidRPr="00A312F7">
              <w:rPr>
                <w:b/>
                <w:bCs/>
              </w:rPr>
              <w:t>10,071,015</w:t>
            </w:r>
          </w:p>
        </w:tc>
      </w:tr>
      <w:tr w:rsidR="00765585" w:rsidRPr="00A312F7" w14:paraId="7D40282E" w14:textId="77777777" w:rsidTr="00BB0239">
        <w:trPr>
          <w:cantSplit/>
        </w:trPr>
        <w:tc>
          <w:tcPr>
            <w:tcW w:w="3964" w:type="dxa"/>
          </w:tcPr>
          <w:p w14:paraId="07C73DA5" w14:textId="4053242A" w:rsidR="00765585" w:rsidRPr="00A312F7" w:rsidRDefault="00765585" w:rsidP="00A312F7">
            <w:pPr>
              <w:pStyle w:val="TableHeading"/>
            </w:pPr>
            <w:r w:rsidRPr="00A312F7">
              <w:t>Expenses from transactions</w:t>
            </w:r>
          </w:p>
        </w:tc>
        <w:tc>
          <w:tcPr>
            <w:tcW w:w="1382" w:type="dxa"/>
          </w:tcPr>
          <w:p w14:paraId="193158ED" w14:textId="77777777" w:rsidR="00765585" w:rsidRPr="00A312F7" w:rsidRDefault="00765585" w:rsidP="00962002">
            <w:pPr>
              <w:pStyle w:val="TableHeading"/>
              <w:jc w:val="right"/>
            </w:pPr>
          </w:p>
        </w:tc>
        <w:tc>
          <w:tcPr>
            <w:tcW w:w="1382" w:type="dxa"/>
          </w:tcPr>
          <w:p w14:paraId="152D4348" w14:textId="77777777" w:rsidR="00765585" w:rsidRPr="00A312F7" w:rsidRDefault="00765585" w:rsidP="00962002">
            <w:pPr>
              <w:pStyle w:val="TableHeading"/>
              <w:jc w:val="right"/>
            </w:pPr>
          </w:p>
        </w:tc>
        <w:tc>
          <w:tcPr>
            <w:tcW w:w="1382" w:type="dxa"/>
          </w:tcPr>
          <w:p w14:paraId="047AEA11" w14:textId="77777777" w:rsidR="00765585" w:rsidRPr="00A312F7" w:rsidRDefault="00765585" w:rsidP="00962002">
            <w:pPr>
              <w:pStyle w:val="TableHeading"/>
              <w:jc w:val="right"/>
            </w:pPr>
          </w:p>
        </w:tc>
        <w:tc>
          <w:tcPr>
            <w:tcW w:w="1382" w:type="dxa"/>
          </w:tcPr>
          <w:p w14:paraId="7A723788" w14:textId="77777777" w:rsidR="00765585" w:rsidRPr="00A312F7" w:rsidRDefault="00765585" w:rsidP="00962002">
            <w:pPr>
              <w:pStyle w:val="TableHeading"/>
              <w:jc w:val="right"/>
            </w:pPr>
          </w:p>
        </w:tc>
        <w:tc>
          <w:tcPr>
            <w:tcW w:w="1382" w:type="dxa"/>
          </w:tcPr>
          <w:p w14:paraId="0AC966CD" w14:textId="77777777" w:rsidR="00765585" w:rsidRPr="00A312F7" w:rsidRDefault="00765585" w:rsidP="00962002">
            <w:pPr>
              <w:pStyle w:val="TableHeading"/>
              <w:jc w:val="right"/>
            </w:pPr>
          </w:p>
        </w:tc>
        <w:tc>
          <w:tcPr>
            <w:tcW w:w="1382" w:type="dxa"/>
          </w:tcPr>
          <w:p w14:paraId="6B798CD4" w14:textId="77777777" w:rsidR="00765585" w:rsidRPr="00A312F7" w:rsidRDefault="00765585" w:rsidP="00962002">
            <w:pPr>
              <w:pStyle w:val="TableHeading"/>
              <w:jc w:val="right"/>
            </w:pPr>
          </w:p>
        </w:tc>
        <w:tc>
          <w:tcPr>
            <w:tcW w:w="1382" w:type="dxa"/>
          </w:tcPr>
          <w:p w14:paraId="311C905C" w14:textId="77777777" w:rsidR="00765585" w:rsidRPr="00A312F7" w:rsidRDefault="00765585" w:rsidP="00962002">
            <w:pPr>
              <w:pStyle w:val="TableHeading"/>
              <w:jc w:val="right"/>
            </w:pPr>
          </w:p>
        </w:tc>
        <w:tc>
          <w:tcPr>
            <w:tcW w:w="1383" w:type="dxa"/>
          </w:tcPr>
          <w:p w14:paraId="2FDAF044" w14:textId="77777777" w:rsidR="00765585" w:rsidRPr="00A312F7" w:rsidRDefault="00765585" w:rsidP="00962002">
            <w:pPr>
              <w:pStyle w:val="TableHeading"/>
              <w:jc w:val="right"/>
            </w:pPr>
          </w:p>
        </w:tc>
      </w:tr>
      <w:tr w:rsidR="00765585" w:rsidRPr="00A312F7" w14:paraId="28D8FFB1" w14:textId="77777777" w:rsidTr="00BB0239">
        <w:trPr>
          <w:cantSplit/>
        </w:trPr>
        <w:tc>
          <w:tcPr>
            <w:tcW w:w="3964" w:type="dxa"/>
          </w:tcPr>
          <w:p w14:paraId="215277DB" w14:textId="77777777" w:rsidR="00765585" w:rsidRPr="00A312F7" w:rsidRDefault="00765585" w:rsidP="00A312F7">
            <w:pPr>
              <w:pStyle w:val="TableCopy"/>
            </w:pPr>
            <w:r w:rsidRPr="00A312F7">
              <w:t>Grants</w:t>
            </w:r>
          </w:p>
        </w:tc>
        <w:tc>
          <w:tcPr>
            <w:tcW w:w="1382" w:type="dxa"/>
          </w:tcPr>
          <w:p w14:paraId="4BB883D0" w14:textId="77777777" w:rsidR="00765585" w:rsidRPr="00A312F7" w:rsidRDefault="00765585" w:rsidP="00962002">
            <w:pPr>
              <w:pStyle w:val="TableCopy"/>
              <w:jc w:val="right"/>
            </w:pPr>
            <w:r w:rsidRPr="00A312F7">
              <w:t>(382,461)</w:t>
            </w:r>
          </w:p>
        </w:tc>
        <w:tc>
          <w:tcPr>
            <w:tcW w:w="1382" w:type="dxa"/>
          </w:tcPr>
          <w:p w14:paraId="00A5A180" w14:textId="77777777" w:rsidR="00765585" w:rsidRPr="00A312F7" w:rsidRDefault="00765585" w:rsidP="00962002">
            <w:pPr>
              <w:pStyle w:val="TableCopy"/>
              <w:jc w:val="right"/>
            </w:pPr>
            <w:r w:rsidRPr="00A312F7">
              <w:t>(423,626)</w:t>
            </w:r>
          </w:p>
        </w:tc>
        <w:tc>
          <w:tcPr>
            <w:tcW w:w="1382" w:type="dxa"/>
          </w:tcPr>
          <w:p w14:paraId="6D31644B" w14:textId="77777777" w:rsidR="00765585" w:rsidRPr="00A312F7" w:rsidRDefault="00765585" w:rsidP="00962002">
            <w:pPr>
              <w:pStyle w:val="TableCopy"/>
              <w:jc w:val="right"/>
            </w:pPr>
            <w:r w:rsidRPr="00A312F7">
              <w:t>(64,024)</w:t>
            </w:r>
          </w:p>
        </w:tc>
        <w:tc>
          <w:tcPr>
            <w:tcW w:w="1382" w:type="dxa"/>
          </w:tcPr>
          <w:p w14:paraId="1AE18550" w14:textId="77777777" w:rsidR="00765585" w:rsidRPr="00A312F7" w:rsidRDefault="00765585" w:rsidP="00962002">
            <w:pPr>
              <w:pStyle w:val="TableCopy"/>
              <w:jc w:val="right"/>
            </w:pPr>
            <w:r w:rsidRPr="00A312F7">
              <w:t>(9,410)</w:t>
            </w:r>
          </w:p>
        </w:tc>
        <w:tc>
          <w:tcPr>
            <w:tcW w:w="1382" w:type="dxa"/>
          </w:tcPr>
          <w:p w14:paraId="58C41B03" w14:textId="77777777" w:rsidR="00765585" w:rsidRPr="00A312F7" w:rsidRDefault="00765585" w:rsidP="00962002">
            <w:pPr>
              <w:pStyle w:val="TableCopy"/>
              <w:jc w:val="right"/>
            </w:pPr>
            <w:r w:rsidRPr="00A312F7">
              <w:t>(634,193)</w:t>
            </w:r>
          </w:p>
        </w:tc>
        <w:tc>
          <w:tcPr>
            <w:tcW w:w="1382" w:type="dxa"/>
          </w:tcPr>
          <w:p w14:paraId="764D30D5" w14:textId="053CAFDC" w:rsidR="00765585" w:rsidRPr="00A312F7" w:rsidRDefault="00765585" w:rsidP="00962002">
            <w:pPr>
              <w:pStyle w:val="TableCopy"/>
              <w:jc w:val="right"/>
            </w:pPr>
            <w:r w:rsidRPr="00A312F7">
              <w:t>–</w:t>
            </w:r>
          </w:p>
        </w:tc>
        <w:tc>
          <w:tcPr>
            <w:tcW w:w="1382" w:type="dxa"/>
          </w:tcPr>
          <w:p w14:paraId="0A57470E" w14:textId="77777777" w:rsidR="00765585" w:rsidRPr="00A312F7" w:rsidRDefault="00765585" w:rsidP="00962002">
            <w:pPr>
              <w:pStyle w:val="TableCopy"/>
              <w:jc w:val="right"/>
            </w:pPr>
            <w:r w:rsidRPr="00A312F7">
              <w:t>(2,597,969)</w:t>
            </w:r>
          </w:p>
        </w:tc>
        <w:tc>
          <w:tcPr>
            <w:tcW w:w="1383" w:type="dxa"/>
          </w:tcPr>
          <w:p w14:paraId="514D984F" w14:textId="77777777" w:rsidR="00765585" w:rsidRPr="00A312F7" w:rsidRDefault="00765585" w:rsidP="00962002">
            <w:pPr>
              <w:pStyle w:val="TableCopy"/>
              <w:jc w:val="right"/>
            </w:pPr>
            <w:r w:rsidRPr="00A312F7">
              <w:t>(9,377,383)</w:t>
            </w:r>
          </w:p>
        </w:tc>
      </w:tr>
      <w:tr w:rsidR="00765585" w:rsidRPr="00A312F7" w14:paraId="53B758C3" w14:textId="77777777" w:rsidTr="00BB0239">
        <w:trPr>
          <w:cantSplit/>
        </w:trPr>
        <w:tc>
          <w:tcPr>
            <w:tcW w:w="3964" w:type="dxa"/>
          </w:tcPr>
          <w:p w14:paraId="27D5FFD8" w14:textId="3D09442B" w:rsidR="00765585" w:rsidRPr="00A312F7" w:rsidRDefault="00765585" w:rsidP="00A312F7">
            <w:pPr>
              <w:pStyle w:val="TableCopy"/>
            </w:pPr>
            <w:r w:rsidRPr="00A312F7">
              <w:t>Employee expenses</w:t>
            </w:r>
          </w:p>
        </w:tc>
        <w:tc>
          <w:tcPr>
            <w:tcW w:w="1382" w:type="dxa"/>
          </w:tcPr>
          <w:p w14:paraId="742B56DA" w14:textId="77777777" w:rsidR="00765585" w:rsidRPr="00A312F7" w:rsidRDefault="00765585" w:rsidP="00962002">
            <w:pPr>
              <w:pStyle w:val="TableCopy"/>
              <w:jc w:val="right"/>
            </w:pPr>
            <w:r w:rsidRPr="00A312F7">
              <w:t>(16,606)</w:t>
            </w:r>
          </w:p>
        </w:tc>
        <w:tc>
          <w:tcPr>
            <w:tcW w:w="1382" w:type="dxa"/>
          </w:tcPr>
          <w:p w14:paraId="3DAFCD73" w14:textId="77777777" w:rsidR="00765585" w:rsidRPr="00A312F7" w:rsidRDefault="00765585" w:rsidP="00962002">
            <w:pPr>
              <w:pStyle w:val="TableCopy"/>
              <w:jc w:val="right"/>
            </w:pPr>
            <w:r w:rsidRPr="00A312F7">
              <w:t>(10,498)</w:t>
            </w:r>
          </w:p>
        </w:tc>
        <w:tc>
          <w:tcPr>
            <w:tcW w:w="1382" w:type="dxa"/>
          </w:tcPr>
          <w:p w14:paraId="1C69901E" w14:textId="77777777" w:rsidR="00765585" w:rsidRPr="00A312F7" w:rsidRDefault="00765585" w:rsidP="00962002">
            <w:pPr>
              <w:pStyle w:val="TableCopy"/>
              <w:jc w:val="right"/>
            </w:pPr>
            <w:r w:rsidRPr="00A312F7">
              <w:t>(1,732)</w:t>
            </w:r>
          </w:p>
        </w:tc>
        <w:tc>
          <w:tcPr>
            <w:tcW w:w="1382" w:type="dxa"/>
          </w:tcPr>
          <w:p w14:paraId="18CA927D" w14:textId="77777777" w:rsidR="00765585" w:rsidRPr="00A312F7" w:rsidRDefault="00765585" w:rsidP="00962002">
            <w:pPr>
              <w:pStyle w:val="TableCopy"/>
              <w:jc w:val="right"/>
            </w:pPr>
            <w:r w:rsidRPr="00A312F7">
              <w:t>(1,222)</w:t>
            </w:r>
          </w:p>
        </w:tc>
        <w:tc>
          <w:tcPr>
            <w:tcW w:w="1382" w:type="dxa"/>
          </w:tcPr>
          <w:p w14:paraId="2E6272BE" w14:textId="77777777" w:rsidR="00765585" w:rsidRPr="00A312F7" w:rsidRDefault="00765585" w:rsidP="00962002">
            <w:pPr>
              <w:pStyle w:val="TableCopy"/>
              <w:jc w:val="right"/>
            </w:pPr>
            <w:r w:rsidRPr="00A312F7">
              <w:t>(48,222)</w:t>
            </w:r>
          </w:p>
        </w:tc>
        <w:tc>
          <w:tcPr>
            <w:tcW w:w="1382" w:type="dxa"/>
          </w:tcPr>
          <w:p w14:paraId="11D8B8BF" w14:textId="3C18EA4C" w:rsidR="00765585" w:rsidRPr="00A312F7" w:rsidRDefault="00765585" w:rsidP="00962002">
            <w:pPr>
              <w:pStyle w:val="TableCopy"/>
              <w:jc w:val="right"/>
            </w:pPr>
            <w:r w:rsidRPr="00A312F7">
              <w:t>–</w:t>
            </w:r>
          </w:p>
        </w:tc>
        <w:tc>
          <w:tcPr>
            <w:tcW w:w="1382" w:type="dxa"/>
          </w:tcPr>
          <w:p w14:paraId="42342312" w14:textId="77777777" w:rsidR="00765585" w:rsidRPr="00A312F7" w:rsidRDefault="00765585" w:rsidP="00962002">
            <w:pPr>
              <w:pStyle w:val="TableCopy"/>
              <w:jc w:val="right"/>
            </w:pPr>
            <w:r w:rsidRPr="00A312F7">
              <w:t>(345,586)</w:t>
            </w:r>
          </w:p>
        </w:tc>
        <w:tc>
          <w:tcPr>
            <w:tcW w:w="1383" w:type="dxa"/>
          </w:tcPr>
          <w:p w14:paraId="65323F68" w14:textId="77777777" w:rsidR="00765585" w:rsidRPr="00A312F7" w:rsidRDefault="00765585" w:rsidP="00962002">
            <w:pPr>
              <w:pStyle w:val="TableCopy"/>
              <w:jc w:val="right"/>
            </w:pPr>
            <w:r w:rsidRPr="00A312F7">
              <w:t>(315,054)</w:t>
            </w:r>
          </w:p>
        </w:tc>
      </w:tr>
      <w:tr w:rsidR="00765585" w:rsidRPr="00A312F7" w14:paraId="62451024" w14:textId="77777777" w:rsidTr="00BB0239">
        <w:trPr>
          <w:cantSplit/>
        </w:trPr>
        <w:tc>
          <w:tcPr>
            <w:tcW w:w="3964" w:type="dxa"/>
          </w:tcPr>
          <w:p w14:paraId="3BD524D4" w14:textId="001CBBF2" w:rsidR="00765585" w:rsidRPr="00A312F7" w:rsidRDefault="00765585" w:rsidP="00962002">
            <w:pPr>
              <w:pStyle w:val="TableCopy"/>
            </w:pPr>
            <w:r w:rsidRPr="00A312F7">
              <w:t xml:space="preserve">Depreciation and amortisation </w:t>
            </w:r>
          </w:p>
        </w:tc>
        <w:tc>
          <w:tcPr>
            <w:tcW w:w="1382" w:type="dxa"/>
          </w:tcPr>
          <w:p w14:paraId="36996446" w14:textId="77777777" w:rsidR="00765585" w:rsidRPr="00A312F7" w:rsidRDefault="00765585" w:rsidP="00962002">
            <w:pPr>
              <w:pStyle w:val="TableCopy"/>
              <w:jc w:val="right"/>
            </w:pPr>
            <w:r w:rsidRPr="00A312F7">
              <w:t>(760)</w:t>
            </w:r>
          </w:p>
        </w:tc>
        <w:tc>
          <w:tcPr>
            <w:tcW w:w="1382" w:type="dxa"/>
          </w:tcPr>
          <w:p w14:paraId="35A8AA38" w14:textId="77777777" w:rsidR="00765585" w:rsidRPr="00A312F7" w:rsidRDefault="00765585" w:rsidP="00962002">
            <w:pPr>
              <w:pStyle w:val="TableCopy"/>
              <w:jc w:val="right"/>
            </w:pPr>
            <w:r w:rsidRPr="00A312F7">
              <w:t>(1,416)</w:t>
            </w:r>
          </w:p>
        </w:tc>
        <w:tc>
          <w:tcPr>
            <w:tcW w:w="1382" w:type="dxa"/>
          </w:tcPr>
          <w:p w14:paraId="2297098D" w14:textId="35EFF497" w:rsidR="00765585" w:rsidRPr="00A312F7" w:rsidRDefault="00765585" w:rsidP="00962002">
            <w:pPr>
              <w:pStyle w:val="TableCopy"/>
              <w:jc w:val="right"/>
            </w:pPr>
            <w:r w:rsidRPr="00A312F7">
              <w:t>–</w:t>
            </w:r>
          </w:p>
        </w:tc>
        <w:tc>
          <w:tcPr>
            <w:tcW w:w="1382" w:type="dxa"/>
          </w:tcPr>
          <w:p w14:paraId="17562C95" w14:textId="44644A5C" w:rsidR="00765585" w:rsidRPr="00A312F7" w:rsidRDefault="00765585" w:rsidP="00962002">
            <w:pPr>
              <w:pStyle w:val="TableCopy"/>
              <w:jc w:val="right"/>
            </w:pPr>
            <w:r w:rsidRPr="00A312F7">
              <w:t>–</w:t>
            </w:r>
          </w:p>
        </w:tc>
        <w:tc>
          <w:tcPr>
            <w:tcW w:w="1382" w:type="dxa"/>
          </w:tcPr>
          <w:p w14:paraId="5FF9191C" w14:textId="58DDC976" w:rsidR="00765585" w:rsidRPr="00A312F7" w:rsidRDefault="00765585" w:rsidP="00962002">
            <w:pPr>
              <w:pStyle w:val="TableCopy"/>
              <w:jc w:val="right"/>
            </w:pPr>
            <w:r w:rsidRPr="00A312F7">
              <w:t>–</w:t>
            </w:r>
          </w:p>
        </w:tc>
        <w:tc>
          <w:tcPr>
            <w:tcW w:w="1382" w:type="dxa"/>
          </w:tcPr>
          <w:p w14:paraId="72451DDC" w14:textId="7B89414C" w:rsidR="00765585" w:rsidRPr="00A312F7" w:rsidRDefault="00765585" w:rsidP="00962002">
            <w:pPr>
              <w:pStyle w:val="TableCopy"/>
              <w:jc w:val="right"/>
            </w:pPr>
            <w:r w:rsidRPr="00A312F7">
              <w:t>–</w:t>
            </w:r>
          </w:p>
        </w:tc>
        <w:tc>
          <w:tcPr>
            <w:tcW w:w="1382" w:type="dxa"/>
          </w:tcPr>
          <w:p w14:paraId="60978731" w14:textId="77777777" w:rsidR="00765585" w:rsidRPr="00A312F7" w:rsidRDefault="00765585" w:rsidP="00962002">
            <w:pPr>
              <w:pStyle w:val="TableCopy"/>
              <w:jc w:val="right"/>
            </w:pPr>
            <w:r w:rsidRPr="00A312F7">
              <w:t>(16,315)</w:t>
            </w:r>
          </w:p>
        </w:tc>
        <w:tc>
          <w:tcPr>
            <w:tcW w:w="1383" w:type="dxa"/>
          </w:tcPr>
          <w:p w14:paraId="302A4FD3" w14:textId="77777777" w:rsidR="00765585" w:rsidRPr="00A312F7" w:rsidRDefault="00765585" w:rsidP="00962002">
            <w:pPr>
              <w:pStyle w:val="TableCopy"/>
              <w:jc w:val="right"/>
            </w:pPr>
            <w:r w:rsidRPr="00A312F7">
              <w:t>(23,239)</w:t>
            </w:r>
          </w:p>
        </w:tc>
      </w:tr>
      <w:tr w:rsidR="00765585" w:rsidRPr="00A312F7" w14:paraId="081152A7" w14:textId="77777777" w:rsidTr="00BB0239">
        <w:trPr>
          <w:cantSplit/>
        </w:trPr>
        <w:tc>
          <w:tcPr>
            <w:tcW w:w="3964" w:type="dxa"/>
          </w:tcPr>
          <w:p w14:paraId="0E8921A7" w14:textId="378AA83E" w:rsidR="00765585" w:rsidRPr="00A312F7" w:rsidRDefault="00765585" w:rsidP="00962002">
            <w:pPr>
              <w:pStyle w:val="TableCopy"/>
            </w:pPr>
            <w:r w:rsidRPr="00A312F7">
              <w:lastRenderedPageBreak/>
              <w:t>Other operating expenses</w:t>
            </w:r>
          </w:p>
        </w:tc>
        <w:tc>
          <w:tcPr>
            <w:tcW w:w="1382" w:type="dxa"/>
          </w:tcPr>
          <w:p w14:paraId="772C5BCD" w14:textId="77777777" w:rsidR="00765585" w:rsidRPr="00A312F7" w:rsidRDefault="00765585" w:rsidP="00962002">
            <w:pPr>
              <w:pStyle w:val="TableCopy"/>
              <w:jc w:val="right"/>
            </w:pPr>
            <w:r w:rsidRPr="00A312F7">
              <w:t>(7,052)</w:t>
            </w:r>
          </w:p>
        </w:tc>
        <w:tc>
          <w:tcPr>
            <w:tcW w:w="1382" w:type="dxa"/>
          </w:tcPr>
          <w:p w14:paraId="7BCAAF2C" w14:textId="77777777" w:rsidR="00765585" w:rsidRPr="00A312F7" w:rsidRDefault="00765585" w:rsidP="00962002">
            <w:pPr>
              <w:pStyle w:val="TableCopy"/>
              <w:jc w:val="right"/>
            </w:pPr>
            <w:r w:rsidRPr="00A312F7">
              <w:t>(7,505)</w:t>
            </w:r>
          </w:p>
        </w:tc>
        <w:tc>
          <w:tcPr>
            <w:tcW w:w="1382" w:type="dxa"/>
          </w:tcPr>
          <w:p w14:paraId="29AF13D0" w14:textId="77777777" w:rsidR="00765585" w:rsidRPr="00A312F7" w:rsidRDefault="00765585" w:rsidP="00962002">
            <w:pPr>
              <w:pStyle w:val="TableCopy"/>
              <w:jc w:val="right"/>
            </w:pPr>
            <w:r w:rsidRPr="00A312F7">
              <w:t>(192)</w:t>
            </w:r>
          </w:p>
        </w:tc>
        <w:tc>
          <w:tcPr>
            <w:tcW w:w="1382" w:type="dxa"/>
          </w:tcPr>
          <w:p w14:paraId="3C97CA89" w14:textId="77777777" w:rsidR="00765585" w:rsidRPr="00A312F7" w:rsidRDefault="00765585" w:rsidP="00962002">
            <w:pPr>
              <w:pStyle w:val="TableCopy"/>
              <w:jc w:val="right"/>
            </w:pPr>
            <w:r w:rsidRPr="00A312F7">
              <w:t>(49)</w:t>
            </w:r>
          </w:p>
        </w:tc>
        <w:tc>
          <w:tcPr>
            <w:tcW w:w="1382" w:type="dxa"/>
          </w:tcPr>
          <w:p w14:paraId="2641B78C" w14:textId="77777777" w:rsidR="00765585" w:rsidRPr="00A312F7" w:rsidRDefault="00765585" w:rsidP="00962002">
            <w:pPr>
              <w:pStyle w:val="TableCopy"/>
              <w:jc w:val="right"/>
            </w:pPr>
            <w:r w:rsidRPr="00A312F7">
              <w:t>(265,297)</w:t>
            </w:r>
          </w:p>
        </w:tc>
        <w:tc>
          <w:tcPr>
            <w:tcW w:w="1382" w:type="dxa"/>
          </w:tcPr>
          <w:p w14:paraId="422B3E2A" w14:textId="637E08B0" w:rsidR="00765585" w:rsidRPr="00A312F7" w:rsidRDefault="00765585" w:rsidP="00962002">
            <w:pPr>
              <w:pStyle w:val="TableCopy"/>
              <w:jc w:val="right"/>
            </w:pPr>
            <w:r w:rsidRPr="00A312F7">
              <w:t>–</w:t>
            </w:r>
          </w:p>
        </w:tc>
        <w:tc>
          <w:tcPr>
            <w:tcW w:w="1382" w:type="dxa"/>
          </w:tcPr>
          <w:p w14:paraId="0FFCB5F7" w14:textId="77777777" w:rsidR="00765585" w:rsidRPr="00A312F7" w:rsidRDefault="00765585" w:rsidP="00962002">
            <w:pPr>
              <w:pStyle w:val="TableCopy"/>
              <w:jc w:val="right"/>
            </w:pPr>
            <w:r w:rsidRPr="00A312F7">
              <w:t>(479,492)</w:t>
            </w:r>
          </w:p>
        </w:tc>
        <w:tc>
          <w:tcPr>
            <w:tcW w:w="1383" w:type="dxa"/>
          </w:tcPr>
          <w:p w14:paraId="6CDD7D00" w14:textId="77777777" w:rsidR="00765585" w:rsidRPr="00A312F7" w:rsidRDefault="00765585" w:rsidP="00962002">
            <w:pPr>
              <w:pStyle w:val="TableCopy"/>
              <w:jc w:val="right"/>
            </w:pPr>
            <w:r w:rsidRPr="00A312F7">
              <w:t>(274,590)</w:t>
            </w:r>
          </w:p>
        </w:tc>
      </w:tr>
      <w:tr w:rsidR="00765585" w:rsidRPr="00962002" w14:paraId="2618EF10" w14:textId="77777777" w:rsidTr="00BB0239">
        <w:trPr>
          <w:cantSplit/>
        </w:trPr>
        <w:tc>
          <w:tcPr>
            <w:tcW w:w="3964" w:type="dxa"/>
          </w:tcPr>
          <w:p w14:paraId="1B9C88A4" w14:textId="2F71ADC7" w:rsidR="00765585" w:rsidRPr="00962002" w:rsidRDefault="00765585" w:rsidP="00962002">
            <w:pPr>
              <w:pStyle w:val="TableCopy"/>
              <w:rPr>
                <w:b/>
                <w:bCs/>
              </w:rPr>
            </w:pPr>
            <w:r w:rsidRPr="00962002">
              <w:rPr>
                <w:b/>
                <w:bCs/>
              </w:rPr>
              <w:t>Total expenses from transactions</w:t>
            </w:r>
          </w:p>
        </w:tc>
        <w:tc>
          <w:tcPr>
            <w:tcW w:w="1382" w:type="dxa"/>
          </w:tcPr>
          <w:p w14:paraId="41198E0B" w14:textId="77777777" w:rsidR="00765585" w:rsidRPr="00962002" w:rsidRDefault="00765585" w:rsidP="00962002">
            <w:pPr>
              <w:pStyle w:val="TableCopy"/>
              <w:jc w:val="right"/>
              <w:rPr>
                <w:b/>
                <w:bCs/>
              </w:rPr>
            </w:pPr>
            <w:r w:rsidRPr="00962002">
              <w:rPr>
                <w:b/>
                <w:bCs/>
              </w:rPr>
              <w:t>(406,879)</w:t>
            </w:r>
          </w:p>
        </w:tc>
        <w:tc>
          <w:tcPr>
            <w:tcW w:w="1382" w:type="dxa"/>
          </w:tcPr>
          <w:p w14:paraId="0C6B25A6" w14:textId="77777777" w:rsidR="00765585" w:rsidRPr="00962002" w:rsidRDefault="00765585" w:rsidP="00962002">
            <w:pPr>
              <w:pStyle w:val="TableCopy"/>
              <w:jc w:val="right"/>
              <w:rPr>
                <w:b/>
                <w:bCs/>
              </w:rPr>
            </w:pPr>
            <w:r w:rsidRPr="00962002">
              <w:rPr>
                <w:b/>
                <w:bCs/>
              </w:rPr>
              <w:t>(443,045)</w:t>
            </w:r>
          </w:p>
        </w:tc>
        <w:tc>
          <w:tcPr>
            <w:tcW w:w="1382" w:type="dxa"/>
          </w:tcPr>
          <w:p w14:paraId="05900921" w14:textId="77777777" w:rsidR="00765585" w:rsidRPr="00962002" w:rsidRDefault="00765585" w:rsidP="00962002">
            <w:pPr>
              <w:pStyle w:val="TableCopy"/>
              <w:jc w:val="right"/>
              <w:rPr>
                <w:b/>
                <w:bCs/>
              </w:rPr>
            </w:pPr>
            <w:r w:rsidRPr="00962002">
              <w:rPr>
                <w:b/>
                <w:bCs/>
              </w:rPr>
              <w:t>(65,948)</w:t>
            </w:r>
          </w:p>
        </w:tc>
        <w:tc>
          <w:tcPr>
            <w:tcW w:w="1382" w:type="dxa"/>
          </w:tcPr>
          <w:p w14:paraId="01BAF6D5" w14:textId="77777777" w:rsidR="00765585" w:rsidRPr="00962002" w:rsidRDefault="00765585" w:rsidP="00962002">
            <w:pPr>
              <w:pStyle w:val="TableCopy"/>
              <w:jc w:val="right"/>
              <w:rPr>
                <w:b/>
                <w:bCs/>
              </w:rPr>
            </w:pPr>
            <w:r w:rsidRPr="00962002">
              <w:rPr>
                <w:b/>
                <w:bCs/>
              </w:rPr>
              <w:t>(10,681)</w:t>
            </w:r>
          </w:p>
        </w:tc>
        <w:tc>
          <w:tcPr>
            <w:tcW w:w="1382" w:type="dxa"/>
          </w:tcPr>
          <w:p w14:paraId="7C9BF38F" w14:textId="77777777" w:rsidR="00765585" w:rsidRPr="00962002" w:rsidRDefault="00765585" w:rsidP="00962002">
            <w:pPr>
              <w:pStyle w:val="TableCopy"/>
              <w:jc w:val="right"/>
              <w:rPr>
                <w:b/>
                <w:bCs/>
              </w:rPr>
            </w:pPr>
            <w:r w:rsidRPr="00962002">
              <w:rPr>
                <w:b/>
                <w:bCs/>
              </w:rPr>
              <w:t>(947,712)</w:t>
            </w:r>
          </w:p>
        </w:tc>
        <w:tc>
          <w:tcPr>
            <w:tcW w:w="1382" w:type="dxa"/>
          </w:tcPr>
          <w:p w14:paraId="05DBBF46" w14:textId="705197B5" w:rsidR="00765585" w:rsidRPr="00962002" w:rsidRDefault="00765585" w:rsidP="00962002">
            <w:pPr>
              <w:pStyle w:val="TableCopy"/>
              <w:jc w:val="right"/>
              <w:rPr>
                <w:b/>
                <w:bCs/>
              </w:rPr>
            </w:pPr>
            <w:r w:rsidRPr="00962002">
              <w:rPr>
                <w:b/>
                <w:bCs/>
              </w:rPr>
              <w:t>–</w:t>
            </w:r>
          </w:p>
        </w:tc>
        <w:tc>
          <w:tcPr>
            <w:tcW w:w="1382" w:type="dxa"/>
          </w:tcPr>
          <w:p w14:paraId="5A459075" w14:textId="77777777" w:rsidR="00765585" w:rsidRPr="00962002" w:rsidRDefault="00765585" w:rsidP="00962002">
            <w:pPr>
              <w:pStyle w:val="TableCopy"/>
              <w:jc w:val="right"/>
              <w:rPr>
                <w:b/>
                <w:bCs/>
              </w:rPr>
            </w:pPr>
            <w:r w:rsidRPr="00962002">
              <w:rPr>
                <w:b/>
                <w:bCs/>
              </w:rPr>
              <w:t>(3,439,362)</w:t>
            </w:r>
          </w:p>
        </w:tc>
        <w:tc>
          <w:tcPr>
            <w:tcW w:w="1383" w:type="dxa"/>
          </w:tcPr>
          <w:p w14:paraId="39C3C2E7" w14:textId="77777777" w:rsidR="00765585" w:rsidRPr="00962002" w:rsidRDefault="00765585" w:rsidP="00962002">
            <w:pPr>
              <w:pStyle w:val="TableCopy"/>
              <w:jc w:val="right"/>
              <w:rPr>
                <w:b/>
                <w:bCs/>
              </w:rPr>
            </w:pPr>
            <w:r w:rsidRPr="00962002">
              <w:rPr>
                <w:b/>
                <w:bCs/>
              </w:rPr>
              <w:t>(9,990,266)</w:t>
            </w:r>
          </w:p>
        </w:tc>
      </w:tr>
      <w:tr w:rsidR="00765585" w:rsidRPr="00962002" w14:paraId="2CB926A3" w14:textId="77777777" w:rsidTr="00BB0239">
        <w:trPr>
          <w:cantSplit/>
        </w:trPr>
        <w:tc>
          <w:tcPr>
            <w:tcW w:w="3964" w:type="dxa"/>
          </w:tcPr>
          <w:p w14:paraId="38231F08" w14:textId="61889F97" w:rsidR="00765585" w:rsidRPr="00962002" w:rsidRDefault="00765585" w:rsidP="00962002">
            <w:pPr>
              <w:pStyle w:val="TableCopy"/>
              <w:rPr>
                <w:b/>
                <w:bCs/>
              </w:rPr>
            </w:pPr>
            <w:r w:rsidRPr="00962002">
              <w:rPr>
                <w:b/>
                <w:bCs/>
              </w:rPr>
              <w:t>Net result from transactions</w:t>
            </w:r>
          </w:p>
        </w:tc>
        <w:tc>
          <w:tcPr>
            <w:tcW w:w="1382" w:type="dxa"/>
          </w:tcPr>
          <w:p w14:paraId="69343FD2" w14:textId="0535F052" w:rsidR="00765585" w:rsidRPr="00962002" w:rsidRDefault="00765585" w:rsidP="00962002">
            <w:pPr>
              <w:pStyle w:val="TableCopy"/>
              <w:jc w:val="right"/>
              <w:rPr>
                <w:b/>
                <w:bCs/>
              </w:rPr>
            </w:pPr>
            <w:r w:rsidRPr="00962002">
              <w:rPr>
                <w:b/>
                <w:bCs/>
              </w:rPr>
              <w:t>1,557</w:t>
            </w:r>
          </w:p>
        </w:tc>
        <w:tc>
          <w:tcPr>
            <w:tcW w:w="1382" w:type="dxa"/>
          </w:tcPr>
          <w:p w14:paraId="1481519B" w14:textId="01512D1E" w:rsidR="00765585" w:rsidRPr="00962002" w:rsidRDefault="00765585" w:rsidP="00962002">
            <w:pPr>
              <w:pStyle w:val="TableCopy"/>
              <w:jc w:val="right"/>
              <w:rPr>
                <w:b/>
                <w:bCs/>
              </w:rPr>
            </w:pPr>
            <w:r w:rsidRPr="00962002">
              <w:rPr>
                <w:b/>
                <w:bCs/>
              </w:rPr>
              <w:t>1,115</w:t>
            </w:r>
          </w:p>
        </w:tc>
        <w:tc>
          <w:tcPr>
            <w:tcW w:w="1382" w:type="dxa"/>
          </w:tcPr>
          <w:p w14:paraId="40245384" w14:textId="77777777" w:rsidR="00765585" w:rsidRPr="00962002" w:rsidRDefault="00765585" w:rsidP="00962002">
            <w:pPr>
              <w:pStyle w:val="TableCopy"/>
              <w:jc w:val="right"/>
              <w:rPr>
                <w:b/>
                <w:bCs/>
              </w:rPr>
            </w:pPr>
            <w:r w:rsidRPr="00962002">
              <w:rPr>
                <w:b/>
                <w:bCs/>
              </w:rPr>
              <w:t>(4,870)</w:t>
            </w:r>
          </w:p>
        </w:tc>
        <w:tc>
          <w:tcPr>
            <w:tcW w:w="1382" w:type="dxa"/>
          </w:tcPr>
          <w:p w14:paraId="4CA4CF3C" w14:textId="77777777" w:rsidR="00765585" w:rsidRPr="00962002" w:rsidRDefault="00765585" w:rsidP="00962002">
            <w:pPr>
              <w:pStyle w:val="TableCopy"/>
              <w:jc w:val="right"/>
              <w:rPr>
                <w:b/>
                <w:bCs/>
              </w:rPr>
            </w:pPr>
            <w:r w:rsidRPr="00962002">
              <w:rPr>
                <w:b/>
                <w:bCs/>
              </w:rPr>
              <w:t>(1)</w:t>
            </w:r>
          </w:p>
        </w:tc>
        <w:tc>
          <w:tcPr>
            <w:tcW w:w="1382" w:type="dxa"/>
          </w:tcPr>
          <w:p w14:paraId="69AF1A4B" w14:textId="77777777" w:rsidR="00765585" w:rsidRPr="00962002" w:rsidRDefault="00765585" w:rsidP="00962002">
            <w:pPr>
              <w:pStyle w:val="TableCopy"/>
              <w:jc w:val="right"/>
              <w:rPr>
                <w:b/>
                <w:bCs/>
              </w:rPr>
            </w:pPr>
            <w:r w:rsidRPr="00962002">
              <w:rPr>
                <w:b/>
                <w:bCs/>
              </w:rPr>
              <w:t>49,521</w:t>
            </w:r>
          </w:p>
        </w:tc>
        <w:tc>
          <w:tcPr>
            <w:tcW w:w="1382" w:type="dxa"/>
          </w:tcPr>
          <w:p w14:paraId="7D90A5DB" w14:textId="0A2B777D" w:rsidR="00765585" w:rsidRPr="00962002" w:rsidRDefault="00765585" w:rsidP="00962002">
            <w:pPr>
              <w:pStyle w:val="TableCopy"/>
              <w:jc w:val="right"/>
              <w:rPr>
                <w:b/>
                <w:bCs/>
              </w:rPr>
            </w:pPr>
            <w:r w:rsidRPr="00962002">
              <w:rPr>
                <w:b/>
                <w:bCs/>
              </w:rPr>
              <w:t>–</w:t>
            </w:r>
          </w:p>
        </w:tc>
        <w:tc>
          <w:tcPr>
            <w:tcW w:w="1382" w:type="dxa"/>
          </w:tcPr>
          <w:p w14:paraId="3137B101" w14:textId="77777777" w:rsidR="00765585" w:rsidRPr="00962002" w:rsidRDefault="00765585" w:rsidP="00962002">
            <w:pPr>
              <w:pStyle w:val="TableCopy"/>
              <w:jc w:val="right"/>
              <w:rPr>
                <w:b/>
                <w:bCs/>
              </w:rPr>
            </w:pPr>
            <w:r w:rsidRPr="00962002">
              <w:rPr>
                <w:b/>
                <w:bCs/>
              </w:rPr>
              <w:t>114,276</w:t>
            </w:r>
          </w:p>
        </w:tc>
        <w:tc>
          <w:tcPr>
            <w:tcW w:w="1383" w:type="dxa"/>
          </w:tcPr>
          <w:p w14:paraId="408E4350" w14:textId="77777777" w:rsidR="00765585" w:rsidRPr="00962002" w:rsidRDefault="00765585" w:rsidP="00962002">
            <w:pPr>
              <w:pStyle w:val="TableCopy"/>
              <w:jc w:val="right"/>
              <w:rPr>
                <w:b/>
                <w:bCs/>
              </w:rPr>
            </w:pPr>
            <w:r w:rsidRPr="00962002">
              <w:rPr>
                <w:b/>
                <w:bCs/>
              </w:rPr>
              <w:t>80,749</w:t>
            </w:r>
          </w:p>
        </w:tc>
      </w:tr>
      <w:tr w:rsidR="00765585" w:rsidRPr="00A312F7" w14:paraId="3EE9B540" w14:textId="77777777" w:rsidTr="00BB0239">
        <w:trPr>
          <w:cantSplit/>
        </w:trPr>
        <w:tc>
          <w:tcPr>
            <w:tcW w:w="3964" w:type="dxa"/>
          </w:tcPr>
          <w:p w14:paraId="6342F693" w14:textId="09ABEDFE" w:rsidR="00765585" w:rsidRPr="00A312F7" w:rsidRDefault="00765585" w:rsidP="00962002">
            <w:pPr>
              <w:pStyle w:val="TableCopy"/>
            </w:pPr>
            <w:r w:rsidRPr="00A312F7">
              <w:t>Other economic flows included in net result</w:t>
            </w:r>
          </w:p>
        </w:tc>
        <w:tc>
          <w:tcPr>
            <w:tcW w:w="1382" w:type="dxa"/>
          </w:tcPr>
          <w:p w14:paraId="79661FCA" w14:textId="77777777" w:rsidR="00765585" w:rsidRPr="00A312F7" w:rsidRDefault="00765585" w:rsidP="00962002">
            <w:pPr>
              <w:pStyle w:val="TableCopy"/>
              <w:jc w:val="right"/>
            </w:pPr>
          </w:p>
        </w:tc>
        <w:tc>
          <w:tcPr>
            <w:tcW w:w="1382" w:type="dxa"/>
          </w:tcPr>
          <w:p w14:paraId="5DDE8A4F" w14:textId="77777777" w:rsidR="00765585" w:rsidRPr="00A312F7" w:rsidRDefault="00765585" w:rsidP="00962002">
            <w:pPr>
              <w:pStyle w:val="TableCopy"/>
              <w:jc w:val="right"/>
            </w:pPr>
          </w:p>
        </w:tc>
        <w:tc>
          <w:tcPr>
            <w:tcW w:w="1382" w:type="dxa"/>
          </w:tcPr>
          <w:p w14:paraId="3D6CD157" w14:textId="77777777" w:rsidR="00765585" w:rsidRPr="00A312F7" w:rsidRDefault="00765585" w:rsidP="00962002">
            <w:pPr>
              <w:pStyle w:val="TableCopy"/>
              <w:jc w:val="right"/>
            </w:pPr>
          </w:p>
        </w:tc>
        <w:tc>
          <w:tcPr>
            <w:tcW w:w="1382" w:type="dxa"/>
          </w:tcPr>
          <w:p w14:paraId="12A7CBE1" w14:textId="77777777" w:rsidR="00765585" w:rsidRPr="00A312F7" w:rsidRDefault="00765585" w:rsidP="00962002">
            <w:pPr>
              <w:pStyle w:val="TableCopy"/>
              <w:jc w:val="right"/>
            </w:pPr>
          </w:p>
        </w:tc>
        <w:tc>
          <w:tcPr>
            <w:tcW w:w="1382" w:type="dxa"/>
          </w:tcPr>
          <w:p w14:paraId="4A451EF9" w14:textId="77777777" w:rsidR="00765585" w:rsidRPr="00A312F7" w:rsidRDefault="00765585" w:rsidP="00962002">
            <w:pPr>
              <w:pStyle w:val="TableCopy"/>
              <w:jc w:val="right"/>
            </w:pPr>
          </w:p>
        </w:tc>
        <w:tc>
          <w:tcPr>
            <w:tcW w:w="1382" w:type="dxa"/>
          </w:tcPr>
          <w:p w14:paraId="58C2250D" w14:textId="77777777" w:rsidR="00765585" w:rsidRPr="00A312F7" w:rsidRDefault="00765585" w:rsidP="00962002">
            <w:pPr>
              <w:pStyle w:val="TableCopy"/>
              <w:jc w:val="right"/>
            </w:pPr>
          </w:p>
        </w:tc>
        <w:tc>
          <w:tcPr>
            <w:tcW w:w="1382" w:type="dxa"/>
          </w:tcPr>
          <w:p w14:paraId="2B144176" w14:textId="77777777" w:rsidR="00765585" w:rsidRPr="00A312F7" w:rsidRDefault="00765585" w:rsidP="00962002">
            <w:pPr>
              <w:pStyle w:val="TableCopy"/>
              <w:jc w:val="right"/>
            </w:pPr>
          </w:p>
        </w:tc>
        <w:tc>
          <w:tcPr>
            <w:tcW w:w="1383" w:type="dxa"/>
          </w:tcPr>
          <w:p w14:paraId="43200842" w14:textId="77777777" w:rsidR="00765585" w:rsidRPr="00A312F7" w:rsidRDefault="00765585" w:rsidP="00962002">
            <w:pPr>
              <w:pStyle w:val="TableCopy"/>
              <w:jc w:val="right"/>
            </w:pPr>
          </w:p>
        </w:tc>
      </w:tr>
      <w:tr w:rsidR="00765585" w:rsidRPr="00A312F7" w14:paraId="1EC460F1" w14:textId="77777777" w:rsidTr="00BB0239">
        <w:trPr>
          <w:cantSplit/>
        </w:trPr>
        <w:tc>
          <w:tcPr>
            <w:tcW w:w="3964" w:type="dxa"/>
          </w:tcPr>
          <w:p w14:paraId="26DB39F5" w14:textId="642C69EA" w:rsidR="00765585" w:rsidRPr="00A312F7" w:rsidRDefault="00765585" w:rsidP="00962002">
            <w:pPr>
              <w:pStyle w:val="TableCopy"/>
            </w:pPr>
            <w:r w:rsidRPr="00A312F7">
              <w:t>Net gains/(losses) on non-financial assets</w:t>
            </w:r>
          </w:p>
        </w:tc>
        <w:tc>
          <w:tcPr>
            <w:tcW w:w="1382" w:type="dxa"/>
          </w:tcPr>
          <w:p w14:paraId="38C7CA38" w14:textId="4093A906" w:rsidR="00765585" w:rsidRPr="00A312F7" w:rsidRDefault="00765585" w:rsidP="00962002">
            <w:pPr>
              <w:pStyle w:val="TableCopy"/>
              <w:jc w:val="right"/>
            </w:pPr>
            <w:r w:rsidRPr="00A312F7">
              <w:t>17</w:t>
            </w:r>
          </w:p>
        </w:tc>
        <w:tc>
          <w:tcPr>
            <w:tcW w:w="1382" w:type="dxa"/>
          </w:tcPr>
          <w:p w14:paraId="63A5A979" w14:textId="7BC82C9F" w:rsidR="00765585" w:rsidRPr="00A312F7" w:rsidRDefault="00765585" w:rsidP="00962002">
            <w:pPr>
              <w:pStyle w:val="TableCopy"/>
              <w:jc w:val="right"/>
            </w:pPr>
            <w:r w:rsidRPr="00A312F7">
              <w:t>25</w:t>
            </w:r>
          </w:p>
        </w:tc>
        <w:tc>
          <w:tcPr>
            <w:tcW w:w="1382" w:type="dxa"/>
          </w:tcPr>
          <w:p w14:paraId="65636CB5" w14:textId="4964C566" w:rsidR="00765585" w:rsidRPr="00A312F7" w:rsidRDefault="00765585" w:rsidP="00962002">
            <w:pPr>
              <w:pStyle w:val="TableCopy"/>
              <w:jc w:val="right"/>
            </w:pPr>
            <w:r w:rsidRPr="00A312F7">
              <w:t>64</w:t>
            </w:r>
          </w:p>
        </w:tc>
        <w:tc>
          <w:tcPr>
            <w:tcW w:w="1382" w:type="dxa"/>
          </w:tcPr>
          <w:p w14:paraId="324E4F38" w14:textId="230B9DF8" w:rsidR="00765585" w:rsidRPr="00A312F7" w:rsidRDefault="00765585" w:rsidP="00962002">
            <w:pPr>
              <w:pStyle w:val="TableCopy"/>
              <w:jc w:val="right"/>
            </w:pPr>
            <w:r w:rsidRPr="00A312F7">
              <w:t>–</w:t>
            </w:r>
          </w:p>
        </w:tc>
        <w:tc>
          <w:tcPr>
            <w:tcW w:w="1382" w:type="dxa"/>
          </w:tcPr>
          <w:p w14:paraId="0141EDAA" w14:textId="77777777" w:rsidR="00765585" w:rsidRPr="00A312F7" w:rsidRDefault="00765585" w:rsidP="00962002">
            <w:pPr>
              <w:pStyle w:val="TableCopy"/>
              <w:jc w:val="right"/>
            </w:pPr>
            <w:r w:rsidRPr="00A312F7">
              <w:t>(2,010)</w:t>
            </w:r>
          </w:p>
        </w:tc>
        <w:tc>
          <w:tcPr>
            <w:tcW w:w="1382" w:type="dxa"/>
          </w:tcPr>
          <w:p w14:paraId="59474FD3" w14:textId="1DB079BB" w:rsidR="00765585" w:rsidRPr="00A312F7" w:rsidRDefault="00765585" w:rsidP="00962002">
            <w:pPr>
              <w:pStyle w:val="TableCopy"/>
              <w:jc w:val="right"/>
            </w:pPr>
            <w:r w:rsidRPr="00A312F7">
              <w:t>–</w:t>
            </w:r>
          </w:p>
        </w:tc>
        <w:tc>
          <w:tcPr>
            <w:tcW w:w="1382" w:type="dxa"/>
          </w:tcPr>
          <w:p w14:paraId="1FCE2CEB" w14:textId="77777777" w:rsidR="00765585" w:rsidRPr="00A312F7" w:rsidRDefault="00765585" w:rsidP="00962002">
            <w:pPr>
              <w:pStyle w:val="TableCopy"/>
              <w:jc w:val="right"/>
            </w:pPr>
            <w:r w:rsidRPr="00A312F7">
              <w:t>(983)</w:t>
            </w:r>
          </w:p>
        </w:tc>
        <w:tc>
          <w:tcPr>
            <w:tcW w:w="1383" w:type="dxa"/>
          </w:tcPr>
          <w:p w14:paraId="439DFB74" w14:textId="163AB59B" w:rsidR="00765585" w:rsidRPr="00A312F7" w:rsidRDefault="00765585" w:rsidP="00962002">
            <w:pPr>
              <w:pStyle w:val="TableCopy"/>
              <w:jc w:val="right"/>
            </w:pPr>
            <w:r w:rsidRPr="00A312F7">
              <w:t>862</w:t>
            </w:r>
          </w:p>
        </w:tc>
      </w:tr>
      <w:tr w:rsidR="00765585" w:rsidRPr="00A312F7" w14:paraId="67D212B0" w14:textId="77777777" w:rsidTr="00BB0239">
        <w:trPr>
          <w:cantSplit/>
        </w:trPr>
        <w:tc>
          <w:tcPr>
            <w:tcW w:w="3964" w:type="dxa"/>
          </w:tcPr>
          <w:p w14:paraId="6EC7C22F" w14:textId="332D84E2" w:rsidR="00765585" w:rsidRPr="00A312F7" w:rsidRDefault="00765585" w:rsidP="00962002">
            <w:pPr>
              <w:pStyle w:val="TableCopy"/>
            </w:pPr>
            <w:r w:rsidRPr="00A312F7">
              <w:t>Net (losses)/gains on financial instruments</w:t>
            </w:r>
          </w:p>
        </w:tc>
        <w:tc>
          <w:tcPr>
            <w:tcW w:w="1382" w:type="dxa"/>
          </w:tcPr>
          <w:p w14:paraId="121CC34F" w14:textId="2469B7D2" w:rsidR="00765585" w:rsidRPr="00A312F7" w:rsidRDefault="00765585" w:rsidP="00962002">
            <w:pPr>
              <w:pStyle w:val="TableCopy"/>
              <w:jc w:val="right"/>
            </w:pPr>
            <w:r w:rsidRPr="00A312F7">
              <w:t>–</w:t>
            </w:r>
          </w:p>
        </w:tc>
        <w:tc>
          <w:tcPr>
            <w:tcW w:w="1382" w:type="dxa"/>
          </w:tcPr>
          <w:p w14:paraId="747D6269" w14:textId="06BDBF1F" w:rsidR="00765585" w:rsidRPr="00A312F7" w:rsidRDefault="00765585" w:rsidP="00962002">
            <w:pPr>
              <w:pStyle w:val="TableCopy"/>
              <w:jc w:val="right"/>
            </w:pPr>
            <w:r w:rsidRPr="00A312F7">
              <w:t>2</w:t>
            </w:r>
          </w:p>
        </w:tc>
        <w:tc>
          <w:tcPr>
            <w:tcW w:w="1382" w:type="dxa"/>
          </w:tcPr>
          <w:p w14:paraId="09353AE4" w14:textId="647B9F3A" w:rsidR="00765585" w:rsidRPr="00A312F7" w:rsidRDefault="00765585" w:rsidP="00962002">
            <w:pPr>
              <w:pStyle w:val="TableCopy"/>
              <w:jc w:val="right"/>
            </w:pPr>
            <w:r w:rsidRPr="00A312F7">
              <w:t>–</w:t>
            </w:r>
          </w:p>
        </w:tc>
        <w:tc>
          <w:tcPr>
            <w:tcW w:w="1382" w:type="dxa"/>
          </w:tcPr>
          <w:p w14:paraId="5A20E583" w14:textId="73F3BBA2" w:rsidR="00765585" w:rsidRPr="00A312F7" w:rsidRDefault="00765585" w:rsidP="00962002">
            <w:pPr>
              <w:pStyle w:val="TableCopy"/>
              <w:jc w:val="right"/>
            </w:pPr>
            <w:r w:rsidRPr="00A312F7">
              <w:t>–</w:t>
            </w:r>
          </w:p>
        </w:tc>
        <w:tc>
          <w:tcPr>
            <w:tcW w:w="1382" w:type="dxa"/>
          </w:tcPr>
          <w:p w14:paraId="3B11C4A2" w14:textId="010383AA" w:rsidR="00765585" w:rsidRPr="00A312F7" w:rsidRDefault="00765585" w:rsidP="00962002">
            <w:pPr>
              <w:pStyle w:val="TableCopy"/>
              <w:jc w:val="right"/>
            </w:pPr>
            <w:r w:rsidRPr="00A312F7">
              <w:t>–</w:t>
            </w:r>
          </w:p>
        </w:tc>
        <w:tc>
          <w:tcPr>
            <w:tcW w:w="1382" w:type="dxa"/>
          </w:tcPr>
          <w:p w14:paraId="33B13FDD" w14:textId="42602BE0" w:rsidR="00765585" w:rsidRPr="00A312F7" w:rsidRDefault="00765585" w:rsidP="00962002">
            <w:pPr>
              <w:pStyle w:val="TableCopy"/>
              <w:jc w:val="right"/>
            </w:pPr>
            <w:r w:rsidRPr="00A312F7">
              <w:t>–</w:t>
            </w:r>
          </w:p>
        </w:tc>
        <w:tc>
          <w:tcPr>
            <w:tcW w:w="1382" w:type="dxa"/>
          </w:tcPr>
          <w:p w14:paraId="31EBBFED" w14:textId="77777777" w:rsidR="00765585" w:rsidRPr="00A312F7" w:rsidRDefault="00765585" w:rsidP="00962002">
            <w:pPr>
              <w:pStyle w:val="TableCopy"/>
              <w:jc w:val="right"/>
            </w:pPr>
            <w:r w:rsidRPr="00A312F7">
              <w:t>(815)</w:t>
            </w:r>
          </w:p>
        </w:tc>
        <w:tc>
          <w:tcPr>
            <w:tcW w:w="1383" w:type="dxa"/>
          </w:tcPr>
          <w:p w14:paraId="3C2EBB3E" w14:textId="77777777" w:rsidR="00765585" w:rsidRPr="00A312F7" w:rsidRDefault="00765585" w:rsidP="00962002">
            <w:pPr>
              <w:pStyle w:val="TableCopy"/>
              <w:jc w:val="right"/>
            </w:pPr>
            <w:r w:rsidRPr="00A312F7">
              <w:t>(27,197)</w:t>
            </w:r>
          </w:p>
        </w:tc>
      </w:tr>
      <w:tr w:rsidR="00765585" w:rsidRPr="00A312F7" w14:paraId="6DD80240" w14:textId="77777777" w:rsidTr="00BB0239">
        <w:trPr>
          <w:cantSplit/>
        </w:trPr>
        <w:tc>
          <w:tcPr>
            <w:tcW w:w="3964" w:type="dxa"/>
          </w:tcPr>
          <w:p w14:paraId="0123C9A0" w14:textId="04DC46F4" w:rsidR="00765585" w:rsidRPr="00A312F7" w:rsidRDefault="00765585" w:rsidP="00962002">
            <w:pPr>
              <w:pStyle w:val="TableCopy"/>
            </w:pPr>
            <w:r w:rsidRPr="00A312F7">
              <w:t>Other gains from other economic flows</w:t>
            </w:r>
          </w:p>
        </w:tc>
        <w:tc>
          <w:tcPr>
            <w:tcW w:w="1382" w:type="dxa"/>
          </w:tcPr>
          <w:p w14:paraId="7D65A027" w14:textId="7E8014B3" w:rsidR="00765585" w:rsidRPr="00A312F7" w:rsidRDefault="00765585" w:rsidP="00962002">
            <w:pPr>
              <w:pStyle w:val="TableCopy"/>
              <w:jc w:val="right"/>
            </w:pPr>
            <w:r w:rsidRPr="00A312F7">
              <w:t>16</w:t>
            </w:r>
          </w:p>
        </w:tc>
        <w:tc>
          <w:tcPr>
            <w:tcW w:w="1382" w:type="dxa"/>
          </w:tcPr>
          <w:p w14:paraId="3EBE045C" w14:textId="12A71F8D" w:rsidR="00765585" w:rsidRPr="00A312F7" w:rsidRDefault="00765585" w:rsidP="00962002">
            <w:pPr>
              <w:pStyle w:val="TableCopy"/>
              <w:jc w:val="right"/>
            </w:pPr>
            <w:r w:rsidRPr="00A312F7">
              <w:t>84</w:t>
            </w:r>
          </w:p>
        </w:tc>
        <w:tc>
          <w:tcPr>
            <w:tcW w:w="1382" w:type="dxa"/>
          </w:tcPr>
          <w:p w14:paraId="1ABA1192" w14:textId="307215E7" w:rsidR="00765585" w:rsidRPr="00A312F7" w:rsidRDefault="00765585" w:rsidP="00962002">
            <w:pPr>
              <w:pStyle w:val="TableCopy"/>
              <w:jc w:val="right"/>
            </w:pPr>
            <w:r w:rsidRPr="00A312F7">
              <w:t>2</w:t>
            </w:r>
          </w:p>
        </w:tc>
        <w:tc>
          <w:tcPr>
            <w:tcW w:w="1382" w:type="dxa"/>
          </w:tcPr>
          <w:p w14:paraId="6F40C0D6" w14:textId="71DB620A" w:rsidR="00765585" w:rsidRPr="00A312F7" w:rsidRDefault="00765585" w:rsidP="00962002">
            <w:pPr>
              <w:pStyle w:val="TableCopy"/>
              <w:jc w:val="right"/>
            </w:pPr>
            <w:r w:rsidRPr="00A312F7">
              <w:t>–</w:t>
            </w:r>
          </w:p>
        </w:tc>
        <w:tc>
          <w:tcPr>
            <w:tcW w:w="1382" w:type="dxa"/>
          </w:tcPr>
          <w:p w14:paraId="2232D7CB" w14:textId="084D053C" w:rsidR="00765585" w:rsidRPr="00A312F7" w:rsidRDefault="00765585" w:rsidP="00962002">
            <w:pPr>
              <w:pStyle w:val="TableCopy"/>
              <w:jc w:val="right"/>
            </w:pPr>
            <w:r w:rsidRPr="00A312F7">
              <w:t>21</w:t>
            </w:r>
          </w:p>
        </w:tc>
        <w:tc>
          <w:tcPr>
            <w:tcW w:w="1382" w:type="dxa"/>
          </w:tcPr>
          <w:p w14:paraId="138D3894" w14:textId="457713F7" w:rsidR="00765585" w:rsidRPr="00A312F7" w:rsidRDefault="00765585" w:rsidP="00962002">
            <w:pPr>
              <w:pStyle w:val="TableCopy"/>
              <w:jc w:val="right"/>
            </w:pPr>
            <w:r w:rsidRPr="00A312F7">
              <w:t>–</w:t>
            </w:r>
          </w:p>
        </w:tc>
        <w:tc>
          <w:tcPr>
            <w:tcW w:w="1382" w:type="dxa"/>
          </w:tcPr>
          <w:p w14:paraId="2BC0313A" w14:textId="0445C506" w:rsidR="00765585" w:rsidRPr="00A312F7" w:rsidRDefault="00765585" w:rsidP="00962002">
            <w:pPr>
              <w:pStyle w:val="TableCopy"/>
              <w:jc w:val="right"/>
            </w:pPr>
            <w:r w:rsidRPr="00A312F7">
              <w:t>214</w:t>
            </w:r>
          </w:p>
        </w:tc>
        <w:tc>
          <w:tcPr>
            <w:tcW w:w="1383" w:type="dxa"/>
          </w:tcPr>
          <w:p w14:paraId="072D3F09" w14:textId="03A425F0" w:rsidR="00765585" w:rsidRPr="00A312F7" w:rsidRDefault="00765585" w:rsidP="00962002">
            <w:pPr>
              <w:pStyle w:val="TableCopy"/>
              <w:jc w:val="right"/>
            </w:pPr>
            <w:r w:rsidRPr="00A312F7">
              <w:t>1,792</w:t>
            </w:r>
          </w:p>
        </w:tc>
      </w:tr>
      <w:tr w:rsidR="00765585" w:rsidRPr="00962002" w14:paraId="2F26E4DF" w14:textId="77777777" w:rsidTr="00BB0239">
        <w:trPr>
          <w:cantSplit/>
        </w:trPr>
        <w:tc>
          <w:tcPr>
            <w:tcW w:w="3964" w:type="dxa"/>
          </w:tcPr>
          <w:p w14:paraId="12DB441E" w14:textId="5BAEF2D3" w:rsidR="00765585" w:rsidRPr="00962002" w:rsidRDefault="00765585" w:rsidP="00962002">
            <w:pPr>
              <w:pStyle w:val="TableCopy"/>
              <w:rPr>
                <w:b/>
                <w:bCs/>
              </w:rPr>
            </w:pPr>
            <w:r w:rsidRPr="00962002">
              <w:rPr>
                <w:b/>
                <w:bCs/>
              </w:rPr>
              <w:t>Total other economic flows included in net result</w:t>
            </w:r>
          </w:p>
        </w:tc>
        <w:tc>
          <w:tcPr>
            <w:tcW w:w="1382" w:type="dxa"/>
          </w:tcPr>
          <w:p w14:paraId="731E1689" w14:textId="4B5028DA" w:rsidR="00765585" w:rsidRPr="00962002" w:rsidRDefault="00765585" w:rsidP="00962002">
            <w:pPr>
              <w:pStyle w:val="TableCopy"/>
              <w:jc w:val="right"/>
              <w:rPr>
                <w:b/>
                <w:bCs/>
              </w:rPr>
            </w:pPr>
            <w:r w:rsidRPr="00962002">
              <w:rPr>
                <w:b/>
                <w:bCs/>
              </w:rPr>
              <w:t>33</w:t>
            </w:r>
          </w:p>
        </w:tc>
        <w:tc>
          <w:tcPr>
            <w:tcW w:w="1382" w:type="dxa"/>
          </w:tcPr>
          <w:p w14:paraId="64536B5F" w14:textId="5D3C03AB" w:rsidR="00765585" w:rsidRPr="00962002" w:rsidRDefault="00765585" w:rsidP="00962002">
            <w:pPr>
              <w:pStyle w:val="TableCopy"/>
              <w:jc w:val="right"/>
              <w:rPr>
                <w:b/>
                <w:bCs/>
              </w:rPr>
            </w:pPr>
            <w:r w:rsidRPr="00962002">
              <w:rPr>
                <w:b/>
                <w:bCs/>
              </w:rPr>
              <w:t>111</w:t>
            </w:r>
          </w:p>
        </w:tc>
        <w:tc>
          <w:tcPr>
            <w:tcW w:w="1382" w:type="dxa"/>
          </w:tcPr>
          <w:p w14:paraId="6F4B0109" w14:textId="6265941B" w:rsidR="00765585" w:rsidRPr="00962002" w:rsidRDefault="00765585" w:rsidP="00962002">
            <w:pPr>
              <w:pStyle w:val="TableCopy"/>
              <w:jc w:val="right"/>
              <w:rPr>
                <w:b/>
                <w:bCs/>
              </w:rPr>
            </w:pPr>
            <w:r w:rsidRPr="00962002">
              <w:rPr>
                <w:b/>
                <w:bCs/>
              </w:rPr>
              <w:t>66</w:t>
            </w:r>
          </w:p>
        </w:tc>
        <w:tc>
          <w:tcPr>
            <w:tcW w:w="1382" w:type="dxa"/>
          </w:tcPr>
          <w:p w14:paraId="2B73BB32" w14:textId="20B05B6F" w:rsidR="00765585" w:rsidRPr="00962002" w:rsidRDefault="00765585" w:rsidP="00962002">
            <w:pPr>
              <w:pStyle w:val="TableCopy"/>
              <w:jc w:val="right"/>
              <w:rPr>
                <w:b/>
                <w:bCs/>
              </w:rPr>
            </w:pPr>
            <w:r w:rsidRPr="00962002">
              <w:rPr>
                <w:b/>
                <w:bCs/>
              </w:rPr>
              <w:t>–</w:t>
            </w:r>
          </w:p>
        </w:tc>
        <w:tc>
          <w:tcPr>
            <w:tcW w:w="1382" w:type="dxa"/>
          </w:tcPr>
          <w:p w14:paraId="11E129A2" w14:textId="77777777" w:rsidR="00765585" w:rsidRPr="00962002" w:rsidRDefault="00765585" w:rsidP="00962002">
            <w:pPr>
              <w:pStyle w:val="TableCopy"/>
              <w:jc w:val="right"/>
              <w:rPr>
                <w:b/>
                <w:bCs/>
              </w:rPr>
            </w:pPr>
            <w:r w:rsidRPr="00962002">
              <w:rPr>
                <w:b/>
                <w:bCs/>
              </w:rPr>
              <w:t>(1,989)</w:t>
            </w:r>
          </w:p>
        </w:tc>
        <w:tc>
          <w:tcPr>
            <w:tcW w:w="1382" w:type="dxa"/>
          </w:tcPr>
          <w:p w14:paraId="0606F5BC" w14:textId="12B8D6E8" w:rsidR="00765585" w:rsidRPr="00962002" w:rsidRDefault="00765585" w:rsidP="00962002">
            <w:pPr>
              <w:pStyle w:val="TableCopy"/>
              <w:jc w:val="right"/>
              <w:rPr>
                <w:b/>
                <w:bCs/>
              </w:rPr>
            </w:pPr>
            <w:r w:rsidRPr="00962002">
              <w:rPr>
                <w:b/>
                <w:bCs/>
              </w:rPr>
              <w:t>–</w:t>
            </w:r>
          </w:p>
        </w:tc>
        <w:tc>
          <w:tcPr>
            <w:tcW w:w="1382" w:type="dxa"/>
          </w:tcPr>
          <w:p w14:paraId="540DE485" w14:textId="77777777" w:rsidR="00765585" w:rsidRPr="00962002" w:rsidRDefault="00765585" w:rsidP="00962002">
            <w:pPr>
              <w:pStyle w:val="TableCopy"/>
              <w:jc w:val="right"/>
              <w:rPr>
                <w:b/>
                <w:bCs/>
              </w:rPr>
            </w:pPr>
            <w:r w:rsidRPr="00962002">
              <w:rPr>
                <w:b/>
                <w:bCs/>
              </w:rPr>
              <w:t>(1,584)</w:t>
            </w:r>
          </w:p>
        </w:tc>
        <w:tc>
          <w:tcPr>
            <w:tcW w:w="1383" w:type="dxa"/>
          </w:tcPr>
          <w:p w14:paraId="34049723" w14:textId="77777777" w:rsidR="00765585" w:rsidRPr="00962002" w:rsidRDefault="00765585" w:rsidP="00962002">
            <w:pPr>
              <w:pStyle w:val="TableCopy"/>
              <w:jc w:val="right"/>
              <w:rPr>
                <w:b/>
                <w:bCs/>
              </w:rPr>
            </w:pPr>
            <w:r w:rsidRPr="00962002">
              <w:rPr>
                <w:b/>
                <w:bCs/>
              </w:rPr>
              <w:t>(24,543)</w:t>
            </w:r>
          </w:p>
        </w:tc>
      </w:tr>
      <w:tr w:rsidR="00765585" w:rsidRPr="00962002" w14:paraId="28C0CAC7" w14:textId="77777777" w:rsidTr="00BB0239">
        <w:trPr>
          <w:cantSplit/>
        </w:trPr>
        <w:tc>
          <w:tcPr>
            <w:tcW w:w="3964" w:type="dxa"/>
          </w:tcPr>
          <w:p w14:paraId="0226F99C" w14:textId="4911196E" w:rsidR="00765585" w:rsidRPr="00962002" w:rsidRDefault="00765585" w:rsidP="00962002">
            <w:pPr>
              <w:pStyle w:val="TableCopy"/>
              <w:rPr>
                <w:b/>
                <w:bCs/>
              </w:rPr>
            </w:pPr>
            <w:r w:rsidRPr="00962002">
              <w:rPr>
                <w:b/>
                <w:bCs/>
              </w:rPr>
              <w:t>Net result from continuing operations</w:t>
            </w:r>
          </w:p>
        </w:tc>
        <w:tc>
          <w:tcPr>
            <w:tcW w:w="1382" w:type="dxa"/>
          </w:tcPr>
          <w:p w14:paraId="4CF2F61A" w14:textId="581934B5" w:rsidR="00765585" w:rsidRPr="00962002" w:rsidRDefault="00765585" w:rsidP="00962002">
            <w:pPr>
              <w:pStyle w:val="TableCopy"/>
              <w:jc w:val="right"/>
              <w:rPr>
                <w:b/>
                <w:bCs/>
              </w:rPr>
            </w:pPr>
            <w:r w:rsidRPr="00962002">
              <w:rPr>
                <w:b/>
                <w:bCs/>
              </w:rPr>
              <w:t>1,590</w:t>
            </w:r>
          </w:p>
        </w:tc>
        <w:tc>
          <w:tcPr>
            <w:tcW w:w="1382" w:type="dxa"/>
          </w:tcPr>
          <w:p w14:paraId="1FD80F46" w14:textId="5A07E6F5" w:rsidR="00765585" w:rsidRPr="00962002" w:rsidRDefault="00765585" w:rsidP="00962002">
            <w:pPr>
              <w:pStyle w:val="TableCopy"/>
              <w:jc w:val="right"/>
              <w:rPr>
                <w:b/>
                <w:bCs/>
              </w:rPr>
            </w:pPr>
            <w:r w:rsidRPr="00962002">
              <w:rPr>
                <w:b/>
                <w:bCs/>
              </w:rPr>
              <w:t>1,226</w:t>
            </w:r>
          </w:p>
        </w:tc>
        <w:tc>
          <w:tcPr>
            <w:tcW w:w="1382" w:type="dxa"/>
          </w:tcPr>
          <w:p w14:paraId="3ECEC360" w14:textId="77777777" w:rsidR="00765585" w:rsidRPr="00962002" w:rsidRDefault="00765585" w:rsidP="00962002">
            <w:pPr>
              <w:pStyle w:val="TableCopy"/>
              <w:jc w:val="right"/>
              <w:rPr>
                <w:b/>
                <w:bCs/>
              </w:rPr>
            </w:pPr>
            <w:r w:rsidRPr="00962002">
              <w:rPr>
                <w:b/>
                <w:bCs/>
              </w:rPr>
              <w:t>(4,804)</w:t>
            </w:r>
          </w:p>
        </w:tc>
        <w:tc>
          <w:tcPr>
            <w:tcW w:w="1382" w:type="dxa"/>
          </w:tcPr>
          <w:p w14:paraId="1D2A16A4" w14:textId="77777777" w:rsidR="00765585" w:rsidRPr="00962002" w:rsidRDefault="00765585" w:rsidP="00962002">
            <w:pPr>
              <w:pStyle w:val="TableCopy"/>
              <w:jc w:val="right"/>
              <w:rPr>
                <w:b/>
                <w:bCs/>
              </w:rPr>
            </w:pPr>
            <w:r w:rsidRPr="00962002">
              <w:rPr>
                <w:b/>
                <w:bCs/>
              </w:rPr>
              <w:t>(1)</w:t>
            </w:r>
          </w:p>
        </w:tc>
        <w:tc>
          <w:tcPr>
            <w:tcW w:w="1382" w:type="dxa"/>
          </w:tcPr>
          <w:p w14:paraId="72B3401B" w14:textId="7C3431B9" w:rsidR="00765585" w:rsidRPr="00962002" w:rsidRDefault="00765585" w:rsidP="00962002">
            <w:pPr>
              <w:pStyle w:val="TableCopy"/>
              <w:jc w:val="right"/>
              <w:rPr>
                <w:b/>
                <w:bCs/>
              </w:rPr>
            </w:pPr>
            <w:r w:rsidRPr="00962002">
              <w:rPr>
                <w:b/>
                <w:bCs/>
              </w:rPr>
              <w:t>47,532</w:t>
            </w:r>
          </w:p>
        </w:tc>
        <w:tc>
          <w:tcPr>
            <w:tcW w:w="1382" w:type="dxa"/>
          </w:tcPr>
          <w:p w14:paraId="61AF444B" w14:textId="1DFE7911" w:rsidR="00765585" w:rsidRPr="00962002" w:rsidRDefault="00765585" w:rsidP="00962002">
            <w:pPr>
              <w:pStyle w:val="TableCopy"/>
              <w:jc w:val="right"/>
              <w:rPr>
                <w:b/>
                <w:bCs/>
              </w:rPr>
            </w:pPr>
            <w:r w:rsidRPr="00962002">
              <w:rPr>
                <w:b/>
                <w:bCs/>
              </w:rPr>
              <w:t>–</w:t>
            </w:r>
          </w:p>
        </w:tc>
        <w:tc>
          <w:tcPr>
            <w:tcW w:w="1382" w:type="dxa"/>
          </w:tcPr>
          <w:p w14:paraId="1BDBCE16" w14:textId="77777777" w:rsidR="00765585" w:rsidRPr="00962002" w:rsidRDefault="00765585" w:rsidP="00962002">
            <w:pPr>
              <w:pStyle w:val="TableCopy"/>
              <w:jc w:val="right"/>
              <w:rPr>
                <w:b/>
                <w:bCs/>
              </w:rPr>
            </w:pPr>
            <w:r w:rsidRPr="00962002">
              <w:rPr>
                <w:b/>
                <w:bCs/>
              </w:rPr>
              <w:t>112,692</w:t>
            </w:r>
          </w:p>
        </w:tc>
        <w:tc>
          <w:tcPr>
            <w:tcW w:w="1383" w:type="dxa"/>
          </w:tcPr>
          <w:p w14:paraId="5A7DD77D" w14:textId="77777777" w:rsidR="00765585" w:rsidRPr="00962002" w:rsidRDefault="00765585" w:rsidP="00962002">
            <w:pPr>
              <w:pStyle w:val="TableCopy"/>
              <w:jc w:val="right"/>
              <w:rPr>
                <w:b/>
                <w:bCs/>
              </w:rPr>
            </w:pPr>
            <w:r w:rsidRPr="00962002">
              <w:rPr>
                <w:b/>
                <w:bCs/>
              </w:rPr>
              <w:t>56,206</w:t>
            </w:r>
          </w:p>
        </w:tc>
      </w:tr>
      <w:tr w:rsidR="00765585" w:rsidRPr="00A312F7" w14:paraId="543BEAA2" w14:textId="77777777" w:rsidTr="00BB0239">
        <w:trPr>
          <w:cantSplit/>
        </w:trPr>
        <w:tc>
          <w:tcPr>
            <w:tcW w:w="3964" w:type="dxa"/>
          </w:tcPr>
          <w:p w14:paraId="3EC4FA5A" w14:textId="31BA8BA7" w:rsidR="00765585" w:rsidRPr="00A312F7" w:rsidRDefault="00765585" w:rsidP="00962002">
            <w:pPr>
              <w:pStyle w:val="TableHeading"/>
            </w:pPr>
            <w:r w:rsidRPr="00A312F7">
              <w:lastRenderedPageBreak/>
              <w:t>Other economic flows – other comprehensive income: Items that what will not be reclassified to net result</w:t>
            </w:r>
          </w:p>
        </w:tc>
        <w:tc>
          <w:tcPr>
            <w:tcW w:w="1382" w:type="dxa"/>
          </w:tcPr>
          <w:p w14:paraId="5771A5B4" w14:textId="77777777" w:rsidR="00765585" w:rsidRPr="00A312F7" w:rsidRDefault="00765585" w:rsidP="00962002">
            <w:pPr>
              <w:pStyle w:val="TableHeading"/>
              <w:jc w:val="right"/>
            </w:pPr>
          </w:p>
        </w:tc>
        <w:tc>
          <w:tcPr>
            <w:tcW w:w="1382" w:type="dxa"/>
          </w:tcPr>
          <w:p w14:paraId="3DEECD99" w14:textId="77777777" w:rsidR="00765585" w:rsidRPr="00A312F7" w:rsidRDefault="00765585" w:rsidP="00962002">
            <w:pPr>
              <w:pStyle w:val="TableHeading"/>
              <w:jc w:val="right"/>
            </w:pPr>
          </w:p>
        </w:tc>
        <w:tc>
          <w:tcPr>
            <w:tcW w:w="1382" w:type="dxa"/>
          </w:tcPr>
          <w:p w14:paraId="0D522CF1" w14:textId="77777777" w:rsidR="00765585" w:rsidRPr="00A312F7" w:rsidRDefault="00765585" w:rsidP="00962002">
            <w:pPr>
              <w:pStyle w:val="TableHeading"/>
              <w:jc w:val="right"/>
            </w:pPr>
          </w:p>
        </w:tc>
        <w:tc>
          <w:tcPr>
            <w:tcW w:w="1382" w:type="dxa"/>
          </w:tcPr>
          <w:p w14:paraId="2492E288" w14:textId="77777777" w:rsidR="00765585" w:rsidRPr="00A312F7" w:rsidRDefault="00765585" w:rsidP="00962002">
            <w:pPr>
              <w:pStyle w:val="TableHeading"/>
              <w:jc w:val="right"/>
            </w:pPr>
          </w:p>
        </w:tc>
        <w:tc>
          <w:tcPr>
            <w:tcW w:w="1382" w:type="dxa"/>
          </w:tcPr>
          <w:p w14:paraId="32095219" w14:textId="77777777" w:rsidR="00765585" w:rsidRPr="00A312F7" w:rsidRDefault="00765585" w:rsidP="00962002">
            <w:pPr>
              <w:pStyle w:val="TableHeading"/>
              <w:jc w:val="right"/>
            </w:pPr>
          </w:p>
        </w:tc>
        <w:tc>
          <w:tcPr>
            <w:tcW w:w="1382" w:type="dxa"/>
          </w:tcPr>
          <w:p w14:paraId="2A9F68FE" w14:textId="77777777" w:rsidR="00765585" w:rsidRPr="00A312F7" w:rsidRDefault="00765585" w:rsidP="00962002">
            <w:pPr>
              <w:pStyle w:val="TableHeading"/>
              <w:jc w:val="right"/>
            </w:pPr>
          </w:p>
        </w:tc>
        <w:tc>
          <w:tcPr>
            <w:tcW w:w="1382" w:type="dxa"/>
          </w:tcPr>
          <w:p w14:paraId="408B9EEE" w14:textId="77777777" w:rsidR="00765585" w:rsidRPr="00A312F7" w:rsidRDefault="00765585" w:rsidP="00962002">
            <w:pPr>
              <w:pStyle w:val="TableHeading"/>
              <w:jc w:val="right"/>
            </w:pPr>
          </w:p>
        </w:tc>
        <w:tc>
          <w:tcPr>
            <w:tcW w:w="1383" w:type="dxa"/>
          </w:tcPr>
          <w:p w14:paraId="475CF550" w14:textId="77777777" w:rsidR="00765585" w:rsidRPr="00A312F7" w:rsidRDefault="00765585" w:rsidP="00962002">
            <w:pPr>
              <w:pStyle w:val="TableHeading"/>
              <w:jc w:val="right"/>
            </w:pPr>
          </w:p>
        </w:tc>
      </w:tr>
      <w:tr w:rsidR="00765585" w:rsidRPr="00A312F7" w14:paraId="44F9611B" w14:textId="77777777" w:rsidTr="00BB0239">
        <w:trPr>
          <w:cantSplit/>
        </w:trPr>
        <w:tc>
          <w:tcPr>
            <w:tcW w:w="3964" w:type="dxa"/>
          </w:tcPr>
          <w:p w14:paraId="19A52A43" w14:textId="0CC26C68" w:rsidR="00765585" w:rsidRPr="00A312F7" w:rsidRDefault="00765585" w:rsidP="00962002">
            <w:pPr>
              <w:pStyle w:val="TableCopy"/>
            </w:pPr>
            <w:r w:rsidRPr="00A312F7">
              <w:t>Changes in physical asset revaluation surplus</w:t>
            </w:r>
          </w:p>
        </w:tc>
        <w:tc>
          <w:tcPr>
            <w:tcW w:w="1382" w:type="dxa"/>
          </w:tcPr>
          <w:p w14:paraId="65359036" w14:textId="692E19AE" w:rsidR="00765585" w:rsidRPr="00A312F7" w:rsidRDefault="00765585" w:rsidP="00962002">
            <w:pPr>
              <w:pStyle w:val="TableCopy"/>
              <w:jc w:val="right"/>
            </w:pPr>
            <w:r w:rsidRPr="00A312F7">
              <w:t>–</w:t>
            </w:r>
          </w:p>
        </w:tc>
        <w:tc>
          <w:tcPr>
            <w:tcW w:w="1382" w:type="dxa"/>
          </w:tcPr>
          <w:p w14:paraId="52EA4833" w14:textId="052CB135" w:rsidR="00765585" w:rsidRPr="00A312F7" w:rsidRDefault="00765585" w:rsidP="00962002">
            <w:pPr>
              <w:pStyle w:val="TableCopy"/>
              <w:jc w:val="right"/>
            </w:pPr>
            <w:r w:rsidRPr="00A312F7">
              <w:t>–</w:t>
            </w:r>
          </w:p>
        </w:tc>
        <w:tc>
          <w:tcPr>
            <w:tcW w:w="1382" w:type="dxa"/>
          </w:tcPr>
          <w:p w14:paraId="00E0AB8A" w14:textId="1FF2628A" w:rsidR="00765585" w:rsidRPr="00A312F7" w:rsidRDefault="00765585" w:rsidP="00962002">
            <w:pPr>
              <w:pStyle w:val="TableCopy"/>
              <w:jc w:val="right"/>
            </w:pPr>
            <w:r w:rsidRPr="00A312F7">
              <w:t>–</w:t>
            </w:r>
          </w:p>
        </w:tc>
        <w:tc>
          <w:tcPr>
            <w:tcW w:w="1382" w:type="dxa"/>
          </w:tcPr>
          <w:p w14:paraId="46218CE6" w14:textId="11E00F80" w:rsidR="00765585" w:rsidRPr="00A312F7" w:rsidRDefault="00765585" w:rsidP="00962002">
            <w:pPr>
              <w:pStyle w:val="TableCopy"/>
              <w:jc w:val="right"/>
            </w:pPr>
            <w:r w:rsidRPr="00A312F7">
              <w:t>–</w:t>
            </w:r>
          </w:p>
        </w:tc>
        <w:tc>
          <w:tcPr>
            <w:tcW w:w="1382" w:type="dxa"/>
          </w:tcPr>
          <w:p w14:paraId="10271D24" w14:textId="5BBF5B45" w:rsidR="00765585" w:rsidRPr="00A312F7" w:rsidRDefault="00765585" w:rsidP="00962002">
            <w:pPr>
              <w:pStyle w:val="TableCopy"/>
              <w:jc w:val="right"/>
            </w:pPr>
            <w:r w:rsidRPr="00A312F7">
              <w:t>1,054</w:t>
            </w:r>
          </w:p>
        </w:tc>
        <w:tc>
          <w:tcPr>
            <w:tcW w:w="1382" w:type="dxa"/>
          </w:tcPr>
          <w:p w14:paraId="479594E4" w14:textId="186B95FB" w:rsidR="00765585" w:rsidRPr="00A312F7" w:rsidRDefault="00765585" w:rsidP="00962002">
            <w:pPr>
              <w:pStyle w:val="TableCopy"/>
              <w:jc w:val="right"/>
            </w:pPr>
            <w:r w:rsidRPr="00A312F7">
              <w:t>–</w:t>
            </w:r>
          </w:p>
        </w:tc>
        <w:tc>
          <w:tcPr>
            <w:tcW w:w="1382" w:type="dxa"/>
          </w:tcPr>
          <w:p w14:paraId="507DCC1D" w14:textId="72658583" w:rsidR="00765585" w:rsidRPr="00A312F7" w:rsidRDefault="00765585" w:rsidP="00962002">
            <w:pPr>
              <w:pStyle w:val="TableCopy"/>
              <w:jc w:val="right"/>
            </w:pPr>
            <w:r w:rsidRPr="00A312F7">
              <w:t>1,054</w:t>
            </w:r>
          </w:p>
        </w:tc>
        <w:tc>
          <w:tcPr>
            <w:tcW w:w="1383" w:type="dxa"/>
          </w:tcPr>
          <w:p w14:paraId="050C53D9" w14:textId="4D5F2CAA" w:rsidR="00765585" w:rsidRPr="00A312F7" w:rsidRDefault="00765585" w:rsidP="00962002">
            <w:pPr>
              <w:pStyle w:val="TableCopy"/>
              <w:jc w:val="right"/>
            </w:pPr>
            <w:r w:rsidRPr="00A312F7">
              <w:t>–</w:t>
            </w:r>
          </w:p>
        </w:tc>
      </w:tr>
      <w:tr w:rsidR="00765585" w:rsidRPr="00962002" w14:paraId="4A6B9739" w14:textId="77777777" w:rsidTr="00BB0239">
        <w:trPr>
          <w:cantSplit/>
        </w:trPr>
        <w:tc>
          <w:tcPr>
            <w:tcW w:w="3964" w:type="dxa"/>
          </w:tcPr>
          <w:p w14:paraId="2E0F2845" w14:textId="5FCF9106" w:rsidR="00765585" w:rsidRPr="00962002" w:rsidRDefault="00765585" w:rsidP="00962002">
            <w:pPr>
              <w:pStyle w:val="TableCopy"/>
              <w:rPr>
                <w:b/>
                <w:bCs/>
              </w:rPr>
            </w:pPr>
            <w:r w:rsidRPr="00962002">
              <w:rPr>
                <w:b/>
                <w:bCs/>
              </w:rPr>
              <w:t>Comprehensive result</w:t>
            </w:r>
          </w:p>
        </w:tc>
        <w:tc>
          <w:tcPr>
            <w:tcW w:w="1382" w:type="dxa"/>
          </w:tcPr>
          <w:p w14:paraId="7A7F7AE5" w14:textId="57416181" w:rsidR="00765585" w:rsidRPr="00962002" w:rsidRDefault="00765585" w:rsidP="00962002">
            <w:pPr>
              <w:pStyle w:val="TableCopy"/>
              <w:jc w:val="right"/>
              <w:rPr>
                <w:b/>
                <w:bCs/>
              </w:rPr>
            </w:pPr>
            <w:r w:rsidRPr="00962002">
              <w:rPr>
                <w:b/>
                <w:bCs/>
              </w:rPr>
              <w:t>1,590</w:t>
            </w:r>
          </w:p>
        </w:tc>
        <w:tc>
          <w:tcPr>
            <w:tcW w:w="1382" w:type="dxa"/>
          </w:tcPr>
          <w:p w14:paraId="079A8AAC" w14:textId="02467359" w:rsidR="00765585" w:rsidRPr="00962002" w:rsidRDefault="00765585" w:rsidP="00962002">
            <w:pPr>
              <w:pStyle w:val="TableCopy"/>
              <w:jc w:val="right"/>
              <w:rPr>
                <w:b/>
                <w:bCs/>
              </w:rPr>
            </w:pPr>
            <w:r w:rsidRPr="00962002">
              <w:rPr>
                <w:b/>
                <w:bCs/>
              </w:rPr>
              <w:t>1,226</w:t>
            </w:r>
          </w:p>
        </w:tc>
        <w:tc>
          <w:tcPr>
            <w:tcW w:w="1382" w:type="dxa"/>
          </w:tcPr>
          <w:p w14:paraId="4EC6961D" w14:textId="77777777" w:rsidR="00765585" w:rsidRPr="00962002" w:rsidRDefault="00765585" w:rsidP="00962002">
            <w:pPr>
              <w:pStyle w:val="TableCopy"/>
              <w:jc w:val="right"/>
              <w:rPr>
                <w:b/>
                <w:bCs/>
              </w:rPr>
            </w:pPr>
            <w:r w:rsidRPr="00962002">
              <w:rPr>
                <w:b/>
                <w:bCs/>
              </w:rPr>
              <w:t>(4,804)</w:t>
            </w:r>
          </w:p>
        </w:tc>
        <w:tc>
          <w:tcPr>
            <w:tcW w:w="1382" w:type="dxa"/>
          </w:tcPr>
          <w:p w14:paraId="3379C821" w14:textId="77777777" w:rsidR="00765585" w:rsidRPr="00962002" w:rsidRDefault="00765585" w:rsidP="00962002">
            <w:pPr>
              <w:pStyle w:val="TableCopy"/>
              <w:jc w:val="right"/>
              <w:rPr>
                <w:b/>
                <w:bCs/>
              </w:rPr>
            </w:pPr>
            <w:r w:rsidRPr="00962002">
              <w:rPr>
                <w:b/>
                <w:bCs/>
              </w:rPr>
              <w:t>(1)</w:t>
            </w:r>
          </w:p>
        </w:tc>
        <w:tc>
          <w:tcPr>
            <w:tcW w:w="1382" w:type="dxa"/>
          </w:tcPr>
          <w:p w14:paraId="61FF5B8C" w14:textId="77777777" w:rsidR="00765585" w:rsidRPr="00962002" w:rsidRDefault="00765585" w:rsidP="00962002">
            <w:pPr>
              <w:pStyle w:val="TableCopy"/>
              <w:jc w:val="right"/>
              <w:rPr>
                <w:b/>
                <w:bCs/>
              </w:rPr>
            </w:pPr>
            <w:r w:rsidRPr="00962002">
              <w:rPr>
                <w:b/>
                <w:bCs/>
              </w:rPr>
              <w:t>48,586</w:t>
            </w:r>
          </w:p>
        </w:tc>
        <w:tc>
          <w:tcPr>
            <w:tcW w:w="1382" w:type="dxa"/>
          </w:tcPr>
          <w:p w14:paraId="1C680797" w14:textId="6BFD320D" w:rsidR="00765585" w:rsidRPr="00962002" w:rsidRDefault="00765585" w:rsidP="00962002">
            <w:pPr>
              <w:pStyle w:val="TableCopy"/>
              <w:jc w:val="right"/>
              <w:rPr>
                <w:b/>
                <w:bCs/>
              </w:rPr>
            </w:pPr>
            <w:r w:rsidRPr="00962002">
              <w:rPr>
                <w:b/>
                <w:bCs/>
              </w:rPr>
              <w:t>–</w:t>
            </w:r>
          </w:p>
        </w:tc>
        <w:tc>
          <w:tcPr>
            <w:tcW w:w="1382" w:type="dxa"/>
          </w:tcPr>
          <w:p w14:paraId="5DF7FDC0" w14:textId="77777777" w:rsidR="00765585" w:rsidRPr="00962002" w:rsidRDefault="00765585" w:rsidP="00962002">
            <w:pPr>
              <w:pStyle w:val="TableCopy"/>
              <w:jc w:val="right"/>
              <w:rPr>
                <w:b/>
                <w:bCs/>
              </w:rPr>
            </w:pPr>
            <w:r w:rsidRPr="00962002">
              <w:rPr>
                <w:b/>
                <w:bCs/>
              </w:rPr>
              <w:t>113,746</w:t>
            </w:r>
          </w:p>
        </w:tc>
        <w:tc>
          <w:tcPr>
            <w:tcW w:w="1383" w:type="dxa"/>
          </w:tcPr>
          <w:p w14:paraId="0DCE9D0C" w14:textId="77777777" w:rsidR="00765585" w:rsidRPr="00962002" w:rsidRDefault="00765585" w:rsidP="00962002">
            <w:pPr>
              <w:pStyle w:val="TableCopy"/>
              <w:jc w:val="right"/>
              <w:rPr>
                <w:b/>
                <w:bCs/>
              </w:rPr>
            </w:pPr>
            <w:r w:rsidRPr="00962002">
              <w:rPr>
                <w:b/>
                <w:bCs/>
              </w:rPr>
              <w:t>56,206</w:t>
            </w:r>
          </w:p>
        </w:tc>
      </w:tr>
    </w:tbl>
    <w:p w14:paraId="22C265E8" w14:textId="14B3E172" w:rsidR="000756EB" w:rsidRDefault="004A4D88" w:rsidP="00962002">
      <w:pPr>
        <w:pStyle w:val="FootnoteText"/>
        <w:spacing w:before="120"/>
      </w:pPr>
      <w:r>
        <w:t>(</w:t>
      </w:r>
      <w:proofErr w:type="spellStart"/>
      <w:r>
        <w:t>i</w:t>
      </w:r>
      <w:proofErr w:type="spellEnd"/>
      <w:r>
        <w:t>)</w:t>
      </w:r>
      <w:r w:rsidR="00962002">
        <w:t xml:space="preserve"> </w:t>
      </w:r>
      <w:r>
        <w:t>For</w:t>
      </w:r>
      <w:r w:rsidR="00A03629">
        <w:t xml:space="preserve"> </w:t>
      </w:r>
      <w:r>
        <w:t>the</w:t>
      </w:r>
      <w:r w:rsidR="00A03629">
        <w:t xml:space="preserve"> </w:t>
      </w:r>
      <w:r>
        <w:t>functions</w:t>
      </w:r>
      <w:r w:rsidR="00A03629">
        <w:t xml:space="preserve"> </w:t>
      </w:r>
      <w:r>
        <w:t>assumed</w:t>
      </w:r>
      <w:r w:rsidR="00A03629">
        <w:t xml:space="preserve"> </w:t>
      </w:r>
      <w:proofErr w:type="gramStart"/>
      <w:r>
        <w:t>as</w:t>
      </w:r>
      <w:r w:rsidR="00A03629">
        <w:t xml:space="preserve"> </w:t>
      </w:r>
      <w:r>
        <w:t>a</w:t>
      </w:r>
      <w:r w:rsidR="00A03629">
        <w:t xml:space="preserve"> </w:t>
      </w:r>
      <w:r>
        <w:t>result</w:t>
      </w:r>
      <w:r w:rsidR="00A03629">
        <w:t xml:space="preserve"> </w:t>
      </w:r>
      <w:r>
        <w:t>of</w:t>
      </w:r>
      <w:proofErr w:type="gramEnd"/>
      <w:r w:rsidR="00A03629">
        <w:t xml:space="preserve"> </w:t>
      </w:r>
      <w:r>
        <w:t>the</w:t>
      </w:r>
      <w:r w:rsidR="00A03629">
        <w:t xml:space="preserve"> </w:t>
      </w:r>
      <w:r>
        <w:t>machinery</w:t>
      </w:r>
      <w:r w:rsidR="00A03629">
        <w:t xml:space="preserve"> </w:t>
      </w:r>
      <w:r>
        <w:t>of</w:t>
      </w:r>
      <w:r w:rsidR="00A03629">
        <w:t xml:space="preserve"> </w:t>
      </w:r>
      <w:r>
        <w:t>government</w:t>
      </w:r>
      <w:r w:rsidR="00A03629">
        <w:t xml:space="preserve"> </w:t>
      </w:r>
      <w:r>
        <w:t>changes,</w:t>
      </w:r>
      <w:r w:rsidR="00A03629">
        <w:t xml:space="preserve"> </w:t>
      </w:r>
      <w:r>
        <w:t>the</w:t>
      </w:r>
      <w:r w:rsidR="00A03629">
        <w:t xml:space="preserve"> </w:t>
      </w:r>
      <w:r>
        <w:t>2023</w:t>
      </w:r>
      <w:r w:rsidR="00A03629">
        <w:t xml:space="preserve"> </w:t>
      </w:r>
      <w:r>
        <w:t>outputs</w:t>
      </w:r>
      <w:r w:rsidR="00A03629">
        <w:t xml:space="preserve"> </w:t>
      </w:r>
      <w:r>
        <w:t>are</w:t>
      </w:r>
      <w:r w:rsidR="00A03629">
        <w:t xml:space="preserve"> </w:t>
      </w:r>
      <w:r>
        <w:t>for</w:t>
      </w:r>
      <w:r w:rsidR="00A03629">
        <w:t xml:space="preserve"> </w:t>
      </w:r>
      <w:r>
        <w:t>the</w:t>
      </w:r>
      <w:r w:rsidR="00A03629">
        <w:t xml:space="preserve"> </w:t>
      </w:r>
      <w:r>
        <w:t>period</w:t>
      </w:r>
      <w:r w:rsidR="00A03629">
        <w:t xml:space="preserve"> </w:t>
      </w:r>
      <w:r>
        <w:t>from</w:t>
      </w:r>
      <w:r w:rsidR="00A03629">
        <w:t xml:space="preserve"> </w:t>
      </w:r>
      <w:r>
        <w:t>1</w:t>
      </w:r>
      <w:r w:rsidR="00A03629">
        <w:t xml:space="preserve"> </w:t>
      </w:r>
      <w:r>
        <w:t>January</w:t>
      </w:r>
      <w:r w:rsidR="00A03629">
        <w:t xml:space="preserve"> </w:t>
      </w:r>
      <w:r>
        <w:t>2023</w:t>
      </w:r>
      <w:r w:rsidR="00A03629">
        <w:t xml:space="preserve"> </w:t>
      </w:r>
      <w:r>
        <w:t>to</w:t>
      </w:r>
      <w:r w:rsidR="00A03629">
        <w:t xml:space="preserve"> </w:t>
      </w:r>
      <w:r>
        <w:t>30</w:t>
      </w:r>
      <w:r w:rsidR="00A03629">
        <w:t xml:space="preserve"> </w:t>
      </w:r>
      <w:r>
        <w:t>June</w:t>
      </w:r>
      <w:r w:rsidR="00A03629">
        <w:t xml:space="preserve"> </w:t>
      </w:r>
      <w:r>
        <w:t>2023</w:t>
      </w:r>
      <w:r w:rsidR="00A03629">
        <w:t xml:space="preserve"> </w:t>
      </w:r>
      <w:r>
        <w:t>with</w:t>
      </w:r>
      <w:r w:rsidR="00A03629">
        <w:t xml:space="preserve"> </w:t>
      </w:r>
      <w:r>
        <w:t>no</w:t>
      </w:r>
      <w:r w:rsidR="00A03629">
        <w:t xml:space="preserve"> </w:t>
      </w:r>
      <w:r>
        <w:t>outputs</w:t>
      </w:r>
      <w:r w:rsidR="00A03629">
        <w:t xml:space="preserve"> </w:t>
      </w:r>
      <w:r>
        <w:t>for</w:t>
      </w:r>
      <w:r w:rsidR="00A03629">
        <w:t xml:space="preserve"> </w:t>
      </w:r>
      <w:r>
        <w:t>2022.</w:t>
      </w:r>
    </w:p>
    <w:p w14:paraId="16CC3EB7" w14:textId="7D7879C9" w:rsidR="000756EB" w:rsidRDefault="004A4D88" w:rsidP="00FE7999">
      <w:pPr>
        <w:pStyle w:val="Heading3"/>
        <w:rPr>
          <w:rFonts w:ascii="VIC SemiBold" w:hAnsi="VIC SemiBold" w:cs="VIC SemiBold"/>
        </w:rPr>
      </w:pPr>
      <w:r>
        <w:lastRenderedPageBreak/>
        <w:t>4.1.2</w:t>
      </w:r>
      <w:r w:rsidR="00DE38B5">
        <w:t xml:space="preserve"> </w:t>
      </w:r>
      <w:r>
        <w:t>Departmental</w:t>
      </w:r>
      <w:r w:rsidR="00A03629">
        <w:t xml:space="preserve"> </w:t>
      </w:r>
      <w:r>
        <w:t>outputs:</w:t>
      </w:r>
      <w:r w:rsidR="00A03629">
        <w:t xml:space="preserve"> </w:t>
      </w:r>
      <w:r>
        <w:t>Controlled</w:t>
      </w:r>
      <w:r w:rsidR="00A03629">
        <w:t xml:space="preserve"> </w:t>
      </w:r>
      <w:r>
        <w:t>revenue</w:t>
      </w:r>
      <w:r w:rsidR="00A03629">
        <w:t xml:space="preserve"> </w:t>
      </w:r>
      <w:r>
        <w:t>and</w:t>
      </w:r>
      <w:r w:rsidR="00A03629">
        <w:t xml:space="preserve"> </w:t>
      </w:r>
      <w:r>
        <w:t>income</w:t>
      </w:r>
      <w:r w:rsidR="00A03629">
        <w:t xml:space="preserve"> </w:t>
      </w:r>
      <w:r>
        <w:t>and</w:t>
      </w:r>
      <w:r w:rsidR="00A03629">
        <w:t xml:space="preserve"> </w:t>
      </w:r>
      <w:r>
        <w:t>expenses</w:t>
      </w:r>
      <w:r w:rsidR="00A03629">
        <w:t xml:space="preserve"> </w:t>
      </w:r>
      <w:r>
        <w:t>for</w:t>
      </w:r>
      <w:r w:rsidR="00A03629">
        <w:t xml:space="preserve"> </w:t>
      </w:r>
      <w:r>
        <w:t>the</w:t>
      </w:r>
      <w:r w:rsidR="00A03629">
        <w:t xml:space="preserve"> </w:t>
      </w:r>
      <w:r>
        <w:t>year</w:t>
      </w:r>
      <w:r w:rsidR="00A03629">
        <w:t xml:space="preserve"> </w:t>
      </w:r>
      <w:r>
        <w:t>ended</w:t>
      </w:r>
      <w:r w:rsidR="00A03629">
        <w:t xml:space="preserve"> </w:t>
      </w:r>
      <w:r>
        <w:t>30</w:t>
      </w:r>
      <w:r w:rsidR="00A03629">
        <w:t xml:space="preserve"> </w:t>
      </w:r>
      <w:r>
        <w:t>June</w:t>
      </w:r>
      <w:r w:rsidR="00A03629">
        <w:t xml:space="preserve"> </w:t>
      </w:r>
      <w:r>
        <w:t>2023</w:t>
      </w:r>
      <w:r w:rsidR="00A03629">
        <w:t xml:space="preserve"> </w:t>
      </w:r>
      <w:r>
        <w:t>Outputs</w:t>
      </w:r>
      <w:r w:rsidR="00A03629">
        <w:t xml:space="preserve"> </w:t>
      </w:r>
      <w:r>
        <w:t>transferred</w:t>
      </w:r>
      <w:r w:rsidR="00A03629">
        <w:t xml:space="preserve"> </w:t>
      </w:r>
      <w:r>
        <w:t>out</w:t>
      </w:r>
      <w:r w:rsidR="00A03629">
        <w:t xml:space="preserve"> </w:t>
      </w:r>
      <w:r>
        <w:t>as</w:t>
      </w:r>
      <w:r w:rsidR="00A03629">
        <w:t xml:space="preserve"> </w:t>
      </w:r>
      <w:r>
        <w:t>part</w:t>
      </w:r>
      <w:r w:rsidR="00A03629">
        <w:t xml:space="preserve"> </w:t>
      </w:r>
      <w:r>
        <w:t>of</w:t>
      </w:r>
      <w:r w:rsidR="00A03629">
        <w:t xml:space="preserve"> </w:t>
      </w:r>
      <w:r>
        <w:t>Machinery-of-Governments</w:t>
      </w:r>
      <w:r w:rsidR="00A03629">
        <w:t xml:space="preserve"> </w:t>
      </w:r>
      <w:r>
        <w:t>Change</w:t>
      </w:r>
      <w:r w:rsidR="00A03629" w:rsidRPr="00614829">
        <w:rPr>
          <w:rStyle w:val="FootnotereferencessuperscriptMisc"/>
          <w:b w:val="0"/>
          <w:bCs w:val="0"/>
        </w:rPr>
        <w:t xml:space="preserve"> </w:t>
      </w:r>
      <w:r w:rsidRPr="00614829">
        <w:rPr>
          <w:rStyle w:val="FootnotereferencessuperscriptMisc"/>
          <w:b w:val="0"/>
          <w:bCs w:val="0"/>
        </w:rPr>
        <w:t>(ii)</w:t>
      </w:r>
    </w:p>
    <w:tbl>
      <w:tblPr>
        <w:tblStyle w:val="TableGrid"/>
        <w:tblW w:w="15075" w:type="dxa"/>
        <w:tblLayout w:type="fixed"/>
        <w:tblLook w:val="0020" w:firstRow="1" w:lastRow="0" w:firstColumn="0" w:lastColumn="0" w:noHBand="0" w:noVBand="0"/>
      </w:tblPr>
      <w:tblGrid>
        <w:gridCol w:w="3681"/>
        <w:gridCol w:w="1106"/>
        <w:gridCol w:w="1106"/>
        <w:gridCol w:w="1106"/>
        <w:gridCol w:w="1105"/>
        <w:gridCol w:w="1162"/>
        <w:gridCol w:w="1162"/>
        <w:gridCol w:w="1217"/>
        <w:gridCol w:w="1218"/>
        <w:gridCol w:w="1106"/>
        <w:gridCol w:w="1106"/>
      </w:tblGrid>
      <w:tr w:rsidR="00962002" w:rsidRPr="00297B9D" w14:paraId="72B60F33" w14:textId="77777777" w:rsidTr="00247F5B">
        <w:trPr>
          <w:cantSplit/>
          <w:tblHeader/>
        </w:trPr>
        <w:tc>
          <w:tcPr>
            <w:tcW w:w="3681" w:type="dxa"/>
          </w:tcPr>
          <w:p w14:paraId="221F77D2" w14:textId="77777777" w:rsidR="00962002" w:rsidRPr="00297B9D" w:rsidRDefault="00962002" w:rsidP="00297B9D">
            <w:pPr>
              <w:pStyle w:val="TableColumnHeading"/>
              <w:rPr>
                <w:sz w:val="20"/>
                <w:szCs w:val="28"/>
              </w:rPr>
            </w:pPr>
            <w:bookmarkStart w:id="40" w:name="ColumnTitles_17"/>
            <w:bookmarkEnd w:id="40"/>
          </w:p>
        </w:tc>
        <w:tc>
          <w:tcPr>
            <w:tcW w:w="1106" w:type="dxa"/>
          </w:tcPr>
          <w:p w14:paraId="2C448915" w14:textId="4BDA985C" w:rsidR="00962002" w:rsidRPr="00297B9D" w:rsidRDefault="00297B9D" w:rsidP="00CB0ABC">
            <w:pPr>
              <w:pStyle w:val="TableColumnHeading"/>
              <w:jc w:val="right"/>
              <w:rPr>
                <w:sz w:val="20"/>
                <w:szCs w:val="28"/>
              </w:rPr>
            </w:pPr>
            <w:r w:rsidRPr="00297B9D">
              <w:rPr>
                <w:sz w:val="20"/>
                <w:szCs w:val="28"/>
              </w:rPr>
              <w:t>Agri</w:t>
            </w:r>
            <w:r w:rsidR="00085345">
              <w:rPr>
                <w:sz w:val="20"/>
                <w:szCs w:val="28"/>
              </w:rPr>
              <w:t>-</w:t>
            </w:r>
            <w:r w:rsidRPr="00297B9D">
              <w:rPr>
                <w:sz w:val="20"/>
                <w:szCs w:val="28"/>
              </w:rPr>
              <w:t xml:space="preserve">culture </w:t>
            </w:r>
            <w:r w:rsidR="00962002" w:rsidRPr="00297B9D">
              <w:rPr>
                <w:sz w:val="20"/>
                <w:szCs w:val="28"/>
              </w:rPr>
              <w:t>2023</w:t>
            </w:r>
            <w:r>
              <w:rPr>
                <w:sz w:val="20"/>
                <w:szCs w:val="28"/>
              </w:rPr>
              <w:t xml:space="preserve"> </w:t>
            </w:r>
            <w:r w:rsidRPr="00297B9D">
              <w:rPr>
                <w:sz w:val="20"/>
                <w:szCs w:val="28"/>
              </w:rPr>
              <w:t>($</w:t>
            </w:r>
            <w:r>
              <w:rPr>
                <w:sz w:val="20"/>
                <w:szCs w:val="28"/>
              </w:rPr>
              <w:t xml:space="preserve"> </w:t>
            </w:r>
            <w:r w:rsidRPr="00297B9D">
              <w:rPr>
                <w:sz w:val="20"/>
                <w:szCs w:val="28"/>
              </w:rPr>
              <w:t>thousand)</w:t>
            </w:r>
            <w:r w:rsidR="00962002" w:rsidRPr="00297B9D">
              <w:rPr>
                <w:sz w:val="20"/>
                <w:szCs w:val="28"/>
              </w:rPr>
              <w:t xml:space="preserve"> </w:t>
            </w:r>
          </w:p>
        </w:tc>
        <w:tc>
          <w:tcPr>
            <w:tcW w:w="1106" w:type="dxa"/>
          </w:tcPr>
          <w:p w14:paraId="5C4BC3A4" w14:textId="1C13DBCA" w:rsidR="00962002" w:rsidRPr="00297B9D" w:rsidRDefault="00297B9D" w:rsidP="00CB0ABC">
            <w:pPr>
              <w:pStyle w:val="TableColumnHeading"/>
              <w:jc w:val="right"/>
              <w:rPr>
                <w:sz w:val="20"/>
                <w:szCs w:val="28"/>
              </w:rPr>
            </w:pPr>
            <w:r w:rsidRPr="00297B9D">
              <w:rPr>
                <w:sz w:val="20"/>
                <w:szCs w:val="28"/>
              </w:rPr>
              <w:t>Agri</w:t>
            </w:r>
            <w:r w:rsidR="00085345">
              <w:rPr>
                <w:sz w:val="20"/>
                <w:szCs w:val="28"/>
              </w:rPr>
              <w:t>-</w:t>
            </w:r>
            <w:r w:rsidRPr="00297B9D">
              <w:rPr>
                <w:sz w:val="20"/>
                <w:szCs w:val="28"/>
              </w:rPr>
              <w:t xml:space="preserve">culture </w:t>
            </w:r>
            <w:r w:rsidR="00962002" w:rsidRPr="00297B9D">
              <w:rPr>
                <w:sz w:val="20"/>
                <w:szCs w:val="28"/>
              </w:rPr>
              <w:t>2022</w:t>
            </w:r>
            <w:r>
              <w:rPr>
                <w:sz w:val="20"/>
                <w:szCs w:val="28"/>
              </w:rPr>
              <w:t xml:space="preserve"> </w:t>
            </w:r>
            <w:r w:rsidRPr="00297B9D">
              <w:rPr>
                <w:sz w:val="20"/>
                <w:szCs w:val="28"/>
              </w:rPr>
              <w:t>($ thousand)</w:t>
            </w:r>
          </w:p>
        </w:tc>
        <w:tc>
          <w:tcPr>
            <w:tcW w:w="1106" w:type="dxa"/>
          </w:tcPr>
          <w:p w14:paraId="3FC65FB7" w14:textId="328F7D85" w:rsidR="00962002" w:rsidRPr="00297B9D" w:rsidRDefault="00297B9D" w:rsidP="00CB0ABC">
            <w:pPr>
              <w:pStyle w:val="TableColumnHeading"/>
              <w:jc w:val="right"/>
              <w:rPr>
                <w:sz w:val="20"/>
                <w:szCs w:val="28"/>
              </w:rPr>
            </w:pPr>
            <w:r w:rsidRPr="00297B9D">
              <w:rPr>
                <w:sz w:val="20"/>
                <w:szCs w:val="28"/>
              </w:rPr>
              <w:t xml:space="preserve">Business Precincts </w:t>
            </w:r>
            <w:r w:rsidR="00962002" w:rsidRPr="00297B9D">
              <w:rPr>
                <w:sz w:val="20"/>
                <w:szCs w:val="28"/>
              </w:rPr>
              <w:t>2023</w:t>
            </w:r>
            <w:r>
              <w:rPr>
                <w:sz w:val="20"/>
                <w:szCs w:val="28"/>
              </w:rPr>
              <w:t xml:space="preserve"> </w:t>
            </w:r>
            <w:r w:rsidRPr="00297B9D">
              <w:rPr>
                <w:sz w:val="20"/>
                <w:szCs w:val="28"/>
              </w:rPr>
              <w:t>($ thousand)</w:t>
            </w:r>
            <w:r w:rsidR="00962002" w:rsidRPr="00297B9D">
              <w:rPr>
                <w:sz w:val="20"/>
                <w:szCs w:val="28"/>
              </w:rPr>
              <w:t xml:space="preserve"> </w:t>
            </w:r>
          </w:p>
        </w:tc>
        <w:tc>
          <w:tcPr>
            <w:tcW w:w="1105" w:type="dxa"/>
          </w:tcPr>
          <w:p w14:paraId="3852BBAF" w14:textId="45CF1AAD" w:rsidR="00962002" w:rsidRPr="00297B9D" w:rsidRDefault="00297B9D" w:rsidP="00CB0ABC">
            <w:pPr>
              <w:pStyle w:val="TableColumnHeading"/>
              <w:jc w:val="right"/>
              <w:rPr>
                <w:sz w:val="20"/>
                <w:szCs w:val="28"/>
              </w:rPr>
            </w:pPr>
            <w:r w:rsidRPr="00297B9D">
              <w:rPr>
                <w:sz w:val="20"/>
                <w:szCs w:val="28"/>
              </w:rPr>
              <w:t xml:space="preserve">Business Precincts </w:t>
            </w:r>
            <w:r w:rsidR="00962002" w:rsidRPr="00297B9D">
              <w:rPr>
                <w:sz w:val="20"/>
                <w:szCs w:val="28"/>
              </w:rPr>
              <w:t>2022</w:t>
            </w:r>
            <w:r>
              <w:rPr>
                <w:sz w:val="20"/>
                <w:szCs w:val="28"/>
              </w:rPr>
              <w:t xml:space="preserve"> </w:t>
            </w:r>
            <w:r w:rsidRPr="00297B9D">
              <w:rPr>
                <w:sz w:val="20"/>
                <w:szCs w:val="28"/>
              </w:rPr>
              <w:t>($ thousand)</w:t>
            </w:r>
          </w:p>
        </w:tc>
        <w:tc>
          <w:tcPr>
            <w:tcW w:w="1162" w:type="dxa"/>
          </w:tcPr>
          <w:p w14:paraId="58F6F7FF" w14:textId="353F4400" w:rsidR="00962002" w:rsidRPr="00297B9D" w:rsidRDefault="00297B9D" w:rsidP="00CB0ABC">
            <w:pPr>
              <w:pStyle w:val="TableColumnHeading"/>
              <w:jc w:val="right"/>
              <w:rPr>
                <w:sz w:val="20"/>
                <w:szCs w:val="28"/>
              </w:rPr>
            </w:pPr>
            <w:r w:rsidRPr="00297B9D">
              <w:rPr>
                <w:sz w:val="20"/>
                <w:szCs w:val="28"/>
              </w:rPr>
              <w:t xml:space="preserve">Resources </w:t>
            </w:r>
            <w:r w:rsidR="00962002" w:rsidRPr="00297B9D">
              <w:rPr>
                <w:sz w:val="20"/>
                <w:szCs w:val="28"/>
              </w:rPr>
              <w:t>2023</w:t>
            </w:r>
            <w:r>
              <w:rPr>
                <w:sz w:val="20"/>
                <w:szCs w:val="28"/>
              </w:rPr>
              <w:t xml:space="preserve"> </w:t>
            </w:r>
            <w:r w:rsidRPr="00297B9D">
              <w:rPr>
                <w:sz w:val="20"/>
                <w:szCs w:val="28"/>
              </w:rPr>
              <w:t>($ thousand)</w:t>
            </w:r>
            <w:r w:rsidR="00962002" w:rsidRPr="00297B9D">
              <w:rPr>
                <w:sz w:val="20"/>
                <w:szCs w:val="28"/>
              </w:rPr>
              <w:t xml:space="preserve"> </w:t>
            </w:r>
          </w:p>
        </w:tc>
        <w:tc>
          <w:tcPr>
            <w:tcW w:w="1162" w:type="dxa"/>
          </w:tcPr>
          <w:p w14:paraId="1594E029" w14:textId="0FEF2D08" w:rsidR="00962002" w:rsidRPr="00297B9D" w:rsidRDefault="00297B9D" w:rsidP="00CB0ABC">
            <w:pPr>
              <w:pStyle w:val="TableColumnHeading"/>
              <w:jc w:val="right"/>
              <w:rPr>
                <w:sz w:val="20"/>
                <w:szCs w:val="28"/>
              </w:rPr>
            </w:pPr>
            <w:r w:rsidRPr="00297B9D">
              <w:rPr>
                <w:sz w:val="20"/>
                <w:szCs w:val="28"/>
              </w:rPr>
              <w:t xml:space="preserve">Resources </w:t>
            </w:r>
            <w:r w:rsidR="00962002" w:rsidRPr="00297B9D">
              <w:rPr>
                <w:sz w:val="20"/>
                <w:szCs w:val="28"/>
              </w:rPr>
              <w:t>2022</w:t>
            </w:r>
            <w:r w:rsidR="00085345">
              <w:rPr>
                <w:sz w:val="20"/>
                <w:szCs w:val="28"/>
              </w:rPr>
              <w:t xml:space="preserve"> </w:t>
            </w:r>
            <w:r w:rsidRPr="00297B9D">
              <w:rPr>
                <w:sz w:val="20"/>
                <w:szCs w:val="28"/>
              </w:rPr>
              <w:t>($ thousand)</w:t>
            </w:r>
          </w:p>
        </w:tc>
        <w:tc>
          <w:tcPr>
            <w:tcW w:w="1217" w:type="dxa"/>
          </w:tcPr>
          <w:p w14:paraId="0B68354D" w14:textId="6C7E5A7E" w:rsidR="00962002" w:rsidRPr="00297B9D" w:rsidRDefault="00297B9D" w:rsidP="00CB0ABC">
            <w:pPr>
              <w:pStyle w:val="TableColumnHeading"/>
              <w:jc w:val="right"/>
              <w:rPr>
                <w:sz w:val="20"/>
                <w:szCs w:val="28"/>
              </w:rPr>
            </w:pPr>
            <w:r w:rsidRPr="00297B9D">
              <w:rPr>
                <w:sz w:val="20"/>
                <w:szCs w:val="28"/>
              </w:rPr>
              <w:t xml:space="preserve">Sport, Recreation and Racing (Racing function) </w:t>
            </w:r>
            <w:r w:rsidRPr="00614829">
              <w:rPr>
                <w:rStyle w:val="FootnotereferencessuperscriptMisc"/>
                <w:sz w:val="20"/>
                <w:szCs w:val="28"/>
              </w:rPr>
              <w:t>(iii)</w:t>
            </w:r>
            <w:r w:rsidR="00085345" w:rsidRPr="00614829">
              <w:rPr>
                <w:rStyle w:val="FootnotereferencessuperscriptMisc"/>
                <w:sz w:val="20"/>
                <w:szCs w:val="28"/>
                <w:vertAlign w:val="baseline"/>
              </w:rPr>
              <w:t xml:space="preserve"> </w:t>
            </w:r>
            <w:r w:rsidR="00962002" w:rsidRPr="00297B9D">
              <w:rPr>
                <w:sz w:val="20"/>
                <w:szCs w:val="28"/>
              </w:rPr>
              <w:t>2023</w:t>
            </w:r>
            <w:r>
              <w:rPr>
                <w:sz w:val="20"/>
                <w:szCs w:val="28"/>
              </w:rPr>
              <w:t xml:space="preserve"> </w:t>
            </w:r>
            <w:r w:rsidRPr="00297B9D">
              <w:rPr>
                <w:sz w:val="20"/>
                <w:szCs w:val="28"/>
              </w:rPr>
              <w:t>($ thousand)</w:t>
            </w:r>
            <w:r w:rsidR="00962002" w:rsidRPr="00297B9D">
              <w:rPr>
                <w:sz w:val="20"/>
                <w:szCs w:val="28"/>
              </w:rPr>
              <w:t xml:space="preserve"> </w:t>
            </w:r>
          </w:p>
        </w:tc>
        <w:tc>
          <w:tcPr>
            <w:tcW w:w="1218" w:type="dxa"/>
          </w:tcPr>
          <w:p w14:paraId="37D18B7D" w14:textId="21FC521F" w:rsidR="00962002" w:rsidRPr="00297B9D" w:rsidRDefault="00297B9D" w:rsidP="00CB0ABC">
            <w:pPr>
              <w:pStyle w:val="TableColumnHeading"/>
              <w:jc w:val="right"/>
              <w:rPr>
                <w:sz w:val="20"/>
                <w:szCs w:val="28"/>
              </w:rPr>
            </w:pPr>
            <w:r w:rsidRPr="00297B9D">
              <w:rPr>
                <w:sz w:val="20"/>
                <w:szCs w:val="28"/>
              </w:rPr>
              <w:t xml:space="preserve">Sport, Recreation and Racing (Racing function) </w:t>
            </w:r>
            <w:r w:rsidRPr="00614829">
              <w:rPr>
                <w:rStyle w:val="FootnotereferencessuperscriptMisc"/>
                <w:sz w:val="20"/>
                <w:szCs w:val="28"/>
              </w:rPr>
              <w:t>(iii)</w:t>
            </w:r>
            <w:r w:rsidR="00085345" w:rsidRPr="00614829">
              <w:rPr>
                <w:rStyle w:val="FootnotereferencessuperscriptMisc"/>
                <w:sz w:val="20"/>
                <w:szCs w:val="28"/>
                <w:vertAlign w:val="baseline"/>
              </w:rPr>
              <w:t xml:space="preserve"> </w:t>
            </w:r>
            <w:r w:rsidR="00962002" w:rsidRPr="00297B9D">
              <w:rPr>
                <w:sz w:val="20"/>
                <w:szCs w:val="28"/>
              </w:rPr>
              <w:t>2022</w:t>
            </w:r>
            <w:r>
              <w:rPr>
                <w:sz w:val="20"/>
                <w:szCs w:val="28"/>
              </w:rPr>
              <w:t xml:space="preserve"> </w:t>
            </w:r>
            <w:r w:rsidRPr="00297B9D">
              <w:rPr>
                <w:sz w:val="20"/>
                <w:szCs w:val="28"/>
              </w:rPr>
              <w:t>($ thousand)</w:t>
            </w:r>
          </w:p>
        </w:tc>
        <w:tc>
          <w:tcPr>
            <w:tcW w:w="1106" w:type="dxa"/>
          </w:tcPr>
          <w:p w14:paraId="7CE0FCF1" w14:textId="2DC594EE" w:rsidR="00962002" w:rsidRPr="00297B9D" w:rsidRDefault="00297B9D" w:rsidP="00CB0ABC">
            <w:pPr>
              <w:pStyle w:val="TableColumnHeading"/>
              <w:jc w:val="right"/>
              <w:rPr>
                <w:sz w:val="20"/>
                <w:szCs w:val="28"/>
              </w:rPr>
            </w:pPr>
            <w:r w:rsidRPr="00297B9D">
              <w:rPr>
                <w:sz w:val="20"/>
                <w:szCs w:val="28"/>
              </w:rPr>
              <w:t>Local Govern</w:t>
            </w:r>
            <w:r w:rsidR="00085345">
              <w:rPr>
                <w:sz w:val="20"/>
                <w:szCs w:val="28"/>
              </w:rPr>
              <w:t>-</w:t>
            </w:r>
            <w:proofErr w:type="spellStart"/>
            <w:r w:rsidRPr="00297B9D">
              <w:rPr>
                <w:sz w:val="20"/>
                <w:szCs w:val="28"/>
              </w:rPr>
              <w:t>ment</w:t>
            </w:r>
            <w:proofErr w:type="spellEnd"/>
            <w:r w:rsidRPr="00297B9D">
              <w:rPr>
                <w:sz w:val="20"/>
                <w:szCs w:val="28"/>
              </w:rPr>
              <w:t xml:space="preserve"> and Suburban Develop</w:t>
            </w:r>
            <w:r w:rsidR="00085345">
              <w:rPr>
                <w:sz w:val="20"/>
                <w:szCs w:val="28"/>
              </w:rPr>
              <w:t>-</w:t>
            </w:r>
            <w:proofErr w:type="spellStart"/>
            <w:r w:rsidRPr="00297B9D">
              <w:rPr>
                <w:sz w:val="20"/>
                <w:szCs w:val="28"/>
              </w:rPr>
              <w:t>ment</w:t>
            </w:r>
            <w:proofErr w:type="spellEnd"/>
            <w:r w:rsidRPr="00297B9D">
              <w:rPr>
                <w:sz w:val="20"/>
                <w:szCs w:val="28"/>
              </w:rPr>
              <w:t xml:space="preserve"> (Local Govern</w:t>
            </w:r>
            <w:r w:rsidR="00085345">
              <w:rPr>
                <w:sz w:val="20"/>
                <w:szCs w:val="28"/>
              </w:rPr>
              <w:t>-</w:t>
            </w:r>
            <w:proofErr w:type="spellStart"/>
            <w:r w:rsidRPr="00297B9D">
              <w:rPr>
                <w:sz w:val="20"/>
                <w:szCs w:val="28"/>
              </w:rPr>
              <w:t>ment</w:t>
            </w:r>
            <w:proofErr w:type="spellEnd"/>
            <w:r w:rsidRPr="00297B9D">
              <w:rPr>
                <w:sz w:val="20"/>
                <w:szCs w:val="28"/>
              </w:rPr>
              <w:t xml:space="preserve"> function)</w:t>
            </w:r>
            <w:r w:rsidRPr="00614829">
              <w:rPr>
                <w:rStyle w:val="FootnotereferencessuperscriptMisc"/>
                <w:sz w:val="20"/>
                <w:szCs w:val="28"/>
                <w:vertAlign w:val="baseline"/>
              </w:rPr>
              <w:t xml:space="preserve"> </w:t>
            </w:r>
            <w:r w:rsidRPr="00614829">
              <w:rPr>
                <w:rStyle w:val="FootnotereferencessuperscriptMisc"/>
                <w:sz w:val="20"/>
                <w:szCs w:val="28"/>
              </w:rPr>
              <w:t>(iii)</w:t>
            </w:r>
            <w:r w:rsidR="00085345" w:rsidRPr="00614829">
              <w:rPr>
                <w:rStyle w:val="FootnotereferencessuperscriptMisc"/>
                <w:sz w:val="20"/>
                <w:szCs w:val="28"/>
                <w:vertAlign w:val="baseline"/>
              </w:rPr>
              <w:t xml:space="preserve"> </w:t>
            </w:r>
            <w:r w:rsidR="00962002" w:rsidRPr="00297B9D">
              <w:rPr>
                <w:sz w:val="20"/>
                <w:szCs w:val="28"/>
              </w:rPr>
              <w:t>2023</w:t>
            </w:r>
            <w:r>
              <w:rPr>
                <w:sz w:val="20"/>
                <w:szCs w:val="28"/>
              </w:rPr>
              <w:t xml:space="preserve"> </w:t>
            </w:r>
            <w:r w:rsidRPr="00297B9D">
              <w:rPr>
                <w:sz w:val="20"/>
                <w:szCs w:val="28"/>
              </w:rPr>
              <w:t>($ thousand)</w:t>
            </w:r>
            <w:r w:rsidR="00962002" w:rsidRPr="00297B9D">
              <w:rPr>
                <w:sz w:val="20"/>
                <w:szCs w:val="28"/>
              </w:rPr>
              <w:t xml:space="preserve"> </w:t>
            </w:r>
          </w:p>
        </w:tc>
        <w:tc>
          <w:tcPr>
            <w:tcW w:w="1106" w:type="dxa"/>
          </w:tcPr>
          <w:p w14:paraId="5E54B524" w14:textId="7B6A0819" w:rsidR="00962002" w:rsidRPr="00297B9D" w:rsidRDefault="00297B9D" w:rsidP="00CB0ABC">
            <w:pPr>
              <w:pStyle w:val="TableColumnHeading"/>
              <w:jc w:val="right"/>
              <w:rPr>
                <w:sz w:val="20"/>
                <w:szCs w:val="28"/>
              </w:rPr>
            </w:pPr>
            <w:r w:rsidRPr="00297B9D">
              <w:rPr>
                <w:sz w:val="20"/>
                <w:szCs w:val="28"/>
              </w:rPr>
              <w:t>Local Govern</w:t>
            </w:r>
            <w:r w:rsidR="00085345">
              <w:rPr>
                <w:sz w:val="20"/>
                <w:szCs w:val="28"/>
              </w:rPr>
              <w:t>-</w:t>
            </w:r>
            <w:proofErr w:type="spellStart"/>
            <w:r w:rsidRPr="00297B9D">
              <w:rPr>
                <w:sz w:val="20"/>
                <w:szCs w:val="28"/>
              </w:rPr>
              <w:t>ment</w:t>
            </w:r>
            <w:proofErr w:type="spellEnd"/>
            <w:r w:rsidRPr="00297B9D">
              <w:rPr>
                <w:sz w:val="20"/>
                <w:szCs w:val="28"/>
              </w:rPr>
              <w:t xml:space="preserve"> and Suburban Develop</w:t>
            </w:r>
            <w:r w:rsidR="00085345">
              <w:rPr>
                <w:sz w:val="20"/>
                <w:szCs w:val="28"/>
              </w:rPr>
              <w:t>-</w:t>
            </w:r>
            <w:proofErr w:type="spellStart"/>
            <w:r w:rsidRPr="00297B9D">
              <w:rPr>
                <w:sz w:val="20"/>
                <w:szCs w:val="28"/>
              </w:rPr>
              <w:t>ment</w:t>
            </w:r>
            <w:proofErr w:type="spellEnd"/>
            <w:r w:rsidRPr="00297B9D">
              <w:rPr>
                <w:sz w:val="20"/>
                <w:szCs w:val="28"/>
              </w:rPr>
              <w:t xml:space="preserve"> (Local Govern</w:t>
            </w:r>
            <w:r w:rsidR="00085345">
              <w:rPr>
                <w:sz w:val="20"/>
                <w:szCs w:val="28"/>
              </w:rPr>
              <w:t>-</w:t>
            </w:r>
            <w:proofErr w:type="spellStart"/>
            <w:r w:rsidRPr="00297B9D">
              <w:rPr>
                <w:sz w:val="20"/>
                <w:szCs w:val="28"/>
              </w:rPr>
              <w:t>ment</w:t>
            </w:r>
            <w:proofErr w:type="spellEnd"/>
            <w:r w:rsidRPr="00297B9D">
              <w:rPr>
                <w:sz w:val="20"/>
                <w:szCs w:val="28"/>
              </w:rPr>
              <w:t xml:space="preserve"> function)</w:t>
            </w:r>
            <w:r w:rsidRPr="00614829">
              <w:rPr>
                <w:rStyle w:val="FootnotereferencessuperscriptMisc"/>
                <w:sz w:val="20"/>
                <w:szCs w:val="28"/>
                <w:vertAlign w:val="baseline"/>
              </w:rPr>
              <w:t xml:space="preserve"> </w:t>
            </w:r>
            <w:r w:rsidRPr="00614829">
              <w:rPr>
                <w:rStyle w:val="FootnotereferencessuperscriptMisc"/>
                <w:sz w:val="20"/>
                <w:szCs w:val="28"/>
              </w:rPr>
              <w:t>(iii)</w:t>
            </w:r>
            <w:r w:rsidR="00085345" w:rsidRPr="00614829">
              <w:rPr>
                <w:rStyle w:val="FootnotereferencessuperscriptMisc"/>
                <w:sz w:val="20"/>
                <w:szCs w:val="28"/>
                <w:vertAlign w:val="baseline"/>
              </w:rPr>
              <w:t xml:space="preserve"> </w:t>
            </w:r>
            <w:r w:rsidR="00962002" w:rsidRPr="00297B9D">
              <w:rPr>
                <w:sz w:val="20"/>
                <w:szCs w:val="28"/>
              </w:rPr>
              <w:t>2022</w:t>
            </w:r>
            <w:r w:rsidR="00085345">
              <w:rPr>
                <w:sz w:val="20"/>
                <w:szCs w:val="28"/>
              </w:rPr>
              <w:t xml:space="preserve"> </w:t>
            </w:r>
            <w:r w:rsidRPr="00297B9D">
              <w:rPr>
                <w:sz w:val="20"/>
                <w:szCs w:val="28"/>
              </w:rPr>
              <w:t>($ thousand)</w:t>
            </w:r>
          </w:p>
        </w:tc>
      </w:tr>
      <w:tr w:rsidR="00962002" w14:paraId="621AA508" w14:textId="77777777" w:rsidTr="00247F5B">
        <w:trPr>
          <w:cantSplit/>
        </w:trPr>
        <w:tc>
          <w:tcPr>
            <w:tcW w:w="3681" w:type="dxa"/>
          </w:tcPr>
          <w:p w14:paraId="4D7211A9" w14:textId="723534BB" w:rsidR="00962002" w:rsidRDefault="00962002" w:rsidP="00085345">
            <w:pPr>
              <w:pStyle w:val="TableHeading"/>
            </w:pPr>
            <w:r>
              <w:t>Revenue and income from transactions</w:t>
            </w:r>
          </w:p>
        </w:tc>
        <w:tc>
          <w:tcPr>
            <w:tcW w:w="1106" w:type="dxa"/>
          </w:tcPr>
          <w:p w14:paraId="2C1C5D3B" w14:textId="77777777" w:rsidR="00962002" w:rsidRDefault="00962002" w:rsidP="00CB0ABC">
            <w:pPr>
              <w:pStyle w:val="TableHeading"/>
              <w:jc w:val="right"/>
              <w:rPr>
                <w:rFonts w:ascii="VIC Light" w:hAnsi="VIC Light" w:cstheme="minorBidi"/>
                <w:lang w:val="en-AU"/>
              </w:rPr>
            </w:pPr>
          </w:p>
        </w:tc>
        <w:tc>
          <w:tcPr>
            <w:tcW w:w="1106" w:type="dxa"/>
          </w:tcPr>
          <w:p w14:paraId="57317C4B" w14:textId="77777777" w:rsidR="00962002" w:rsidRDefault="00962002" w:rsidP="00CB0ABC">
            <w:pPr>
              <w:pStyle w:val="TableHeading"/>
              <w:jc w:val="right"/>
              <w:rPr>
                <w:rFonts w:ascii="VIC Light" w:hAnsi="VIC Light" w:cstheme="minorBidi"/>
                <w:lang w:val="en-AU"/>
              </w:rPr>
            </w:pPr>
          </w:p>
        </w:tc>
        <w:tc>
          <w:tcPr>
            <w:tcW w:w="1106" w:type="dxa"/>
          </w:tcPr>
          <w:p w14:paraId="1A69C472" w14:textId="77777777" w:rsidR="00962002" w:rsidRDefault="00962002" w:rsidP="00CB0ABC">
            <w:pPr>
              <w:pStyle w:val="TableHeading"/>
              <w:jc w:val="right"/>
              <w:rPr>
                <w:rFonts w:ascii="VIC Light" w:hAnsi="VIC Light" w:cstheme="minorBidi"/>
                <w:lang w:val="en-AU"/>
              </w:rPr>
            </w:pPr>
          </w:p>
        </w:tc>
        <w:tc>
          <w:tcPr>
            <w:tcW w:w="1105" w:type="dxa"/>
          </w:tcPr>
          <w:p w14:paraId="66A202CF" w14:textId="77777777" w:rsidR="00962002" w:rsidRDefault="00962002" w:rsidP="00CB0ABC">
            <w:pPr>
              <w:pStyle w:val="TableHeading"/>
              <w:jc w:val="right"/>
              <w:rPr>
                <w:rFonts w:ascii="VIC Light" w:hAnsi="VIC Light" w:cstheme="minorBidi"/>
                <w:lang w:val="en-AU"/>
              </w:rPr>
            </w:pPr>
          </w:p>
        </w:tc>
        <w:tc>
          <w:tcPr>
            <w:tcW w:w="1162" w:type="dxa"/>
          </w:tcPr>
          <w:p w14:paraId="70529E48" w14:textId="77777777" w:rsidR="00962002" w:rsidRDefault="00962002" w:rsidP="00CB0ABC">
            <w:pPr>
              <w:pStyle w:val="TableHeading"/>
              <w:jc w:val="right"/>
              <w:rPr>
                <w:rFonts w:ascii="VIC Light" w:hAnsi="VIC Light" w:cstheme="minorBidi"/>
                <w:lang w:val="en-AU"/>
              </w:rPr>
            </w:pPr>
          </w:p>
        </w:tc>
        <w:tc>
          <w:tcPr>
            <w:tcW w:w="1162" w:type="dxa"/>
          </w:tcPr>
          <w:p w14:paraId="2C8F1D41" w14:textId="77777777" w:rsidR="00962002" w:rsidRDefault="00962002" w:rsidP="00CB0ABC">
            <w:pPr>
              <w:pStyle w:val="TableHeading"/>
              <w:jc w:val="right"/>
              <w:rPr>
                <w:rFonts w:ascii="VIC Light" w:hAnsi="VIC Light" w:cstheme="minorBidi"/>
                <w:lang w:val="en-AU"/>
              </w:rPr>
            </w:pPr>
          </w:p>
        </w:tc>
        <w:tc>
          <w:tcPr>
            <w:tcW w:w="1217" w:type="dxa"/>
          </w:tcPr>
          <w:p w14:paraId="09620C13" w14:textId="77777777" w:rsidR="00962002" w:rsidRDefault="00962002" w:rsidP="00CB0ABC">
            <w:pPr>
              <w:pStyle w:val="TableHeading"/>
              <w:jc w:val="right"/>
              <w:rPr>
                <w:rFonts w:ascii="VIC Light" w:hAnsi="VIC Light" w:cstheme="minorBidi"/>
                <w:lang w:val="en-AU"/>
              </w:rPr>
            </w:pPr>
          </w:p>
        </w:tc>
        <w:tc>
          <w:tcPr>
            <w:tcW w:w="1218" w:type="dxa"/>
          </w:tcPr>
          <w:p w14:paraId="1175F6FE" w14:textId="77777777" w:rsidR="00962002" w:rsidRDefault="00962002" w:rsidP="00CB0ABC">
            <w:pPr>
              <w:pStyle w:val="TableHeading"/>
              <w:jc w:val="right"/>
              <w:rPr>
                <w:rFonts w:ascii="VIC Light" w:hAnsi="VIC Light" w:cstheme="minorBidi"/>
                <w:lang w:val="en-AU"/>
              </w:rPr>
            </w:pPr>
          </w:p>
        </w:tc>
        <w:tc>
          <w:tcPr>
            <w:tcW w:w="1106" w:type="dxa"/>
          </w:tcPr>
          <w:p w14:paraId="759129B0" w14:textId="77777777" w:rsidR="00962002" w:rsidRDefault="00962002" w:rsidP="00CB0ABC">
            <w:pPr>
              <w:pStyle w:val="TableHeading"/>
              <w:jc w:val="right"/>
              <w:rPr>
                <w:rFonts w:ascii="VIC Light" w:hAnsi="VIC Light" w:cstheme="minorBidi"/>
                <w:lang w:val="en-AU"/>
              </w:rPr>
            </w:pPr>
          </w:p>
        </w:tc>
        <w:tc>
          <w:tcPr>
            <w:tcW w:w="1106" w:type="dxa"/>
          </w:tcPr>
          <w:p w14:paraId="5CF946B6" w14:textId="77777777" w:rsidR="00962002" w:rsidRDefault="00962002" w:rsidP="00CB0ABC">
            <w:pPr>
              <w:pStyle w:val="TableHeading"/>
              <w:jc w:val="right"/>
              <w:rPr>
                <w:rFonts w:ascii="VIC Light" w:hAnsi="VIC Light" w:cstheme="minorBidi"/>
                <w:lang w:val="en-AU"/>
              </w:rPr>
            </w:pPr>
          </w:p>
        </w:tc>
      </w:tr>
      <w:tr w:rsidR="00962002" w14:paraId="6997DC67" w14:textId="77777777" w:rsidTr="00247F5B">
        <w:trPr>
          <w:cantSplit/>
        </w:trPr>
        <w:tc>
          <w:tcPr>
            <w:tcW w:w="3681" w:type="dxa"/>
          </w:tcPr>
          <w:p w14:paraId="333A19D8" w14:textId="4A7806F8" w:rsidR="00962002" w:rsidRDefault="00962002" w:rsidP="00085345">
            <w:pPr>
              <w:pStyle w:val="TableCopy"/>
            </w:pPr>
            <w:r>
              <w:t>Output appropriations</w:t>
            </w:r>
          </w:p>
        </w:tc>
        <w:tc>
          <w:tcPr>
            <w:tcW w:w="1106" w:type="dxa"/>
          </w:tcPr>
          <w:p w14:paraId="56FE498F" w14:textId="6B7601CC" w:rsidR="00962002" w:rsidRDefault="00962002" w:rsidP="00CB0ABC">
            <w:pPr>
              <w:pStyle w:val="TableCopy"/>
              <w:jc w:val="right"/>
            </w:pPr>
            <w:r>
              <w:t>208,168</w:t>
            </w:r>
          </w:p>
        </w:tc>
        <w:tc>
          <w:tcPr>
            <w:tcW w:w="1106" w:type="dxa"/>
          </w:tcPr>
          <w:p w14:paraId="7458E7D6" w14:textId="292FF0AA" w:rsidR="00962002" w:rsidRDefault="00962002" w:rsidP="00CB0ABC">
            <w:pPr>
              <w:pStyle w:val="TableCopy"/>
              <w:jc w:val="right"/>
            </w:pPr>
            <w:r>
              <w:t>463,785</w:t>
            </w:r>
          </w:p>
        </w:tc>
        <w:tc>
          <w:tcPr>
            <w:tcW w:w="1106" w:type="dxa"/>
          </w:tcPr>
          <w:p w14:paraId="6505049D" w14:textId="2F305F7C" w:rsidR="00962002" w:rsidRDefault="00962002" w:rsidP="00CB0ABC">
            <w:pPr>
              <w:pStyle w:val="TableCopy"/>
              <w:jc w:val="right"/>
            </w:pPr>
            <w:r>
              <w:t>34,059</w:t>
            </w:r>
          </w:p>
        </w:tc>
        <w:tc>
          <w:tcPr>
            <w:tcW w:w="1105" w:type="dxa"/>
          </w:tcPr>
          <w:p w14:paraId="0C8EE3DD" w14:textId="6DCBD496" w:rsidR="00962002" w:rsidRDefault="00962002" w:rsidP="00CB0ABC">
            <w:pPr>
              <w:pStyle w:val="TableCopy"/>
              <w:jc w:val="right"/>
            </w:pPr>
            <w:r>
              <w:t>38,183</w:t>
            </w:r>
          </w:p>
        </w:tc>
        <w:tc>
          <w:tcPr>
            <w:tcW w:w="1162" w:type="dxa"/>
          </w:tcPr>
          <w:p w14:paraId="60C84D2E" w14:textId="3FA775B4" w:rsidR="00962002" w:rsidRDefault="00962002" w:rsidP="00CB0ABC">
            <w:pPr>
              <w:pStyle w:val="TableCopy"/>
              <w:jc w:val="right"/>
            </w:pPr>
            <w:r>
              <w:t>16,779</w:t>
            </w:r>
          </w:p>
        </w:tc>
        <w:tc>
          <w:tcPr>
            <w:tcW w:w="1162" w:type="dxa"/>
          </w:tcPr>
          <w:p w14:paraId="7F45CAE1" w14:textId="165B53EF" w:rsidR="00962002" w:rsidRDefault="00962002" w:rsidP="00CB0ABC">
            <w:pPr>
              <w:pStyle w:val="TableCopy"/>
              <w:jc w:val="right"/>
            </w:pPr>
            <w:r>
              <w:t>51,880</w:t>
            </w:r>
          </w:p>
        </w:tc>
        <w:tc>
          <w:tcPr>
            <w:tcW w:w="1217" w:type="dxa"/>
          </w:tcPr>
          <w:p w14:paraId="33850C88" w14:textId="48AFAD9F" w:rsidR="00962002" w:rsidRDefault="00962002" w:rsidP="00CB0ABC">
            <w:pPr>
              <w:pStyle w:val="TableCopy"/>
              <w:jc w:val="right"/>
            </w:pPr>
            <w:r>
              <w:t>16,020</w:t>
            </w:r>
          </w:p>
        </w:tc>
        <w:tc>
          <w:tcPr>
            <w:tcW w:w="1218" w:type="dxa"/>
          </w:tcPr>
          <w:p w14:paraId="123E7B60" w14:textId="16A496A3" w:rsidR="00962002" w:rsidRDefault="00962002" w:rsidP="00CB0ABC">
            <w:pPr>
              <w:pStyle w:val="TableCopy"/>
              <w:jc w:val="right"/>
            </w:pPr>
            <w:r>
              <w:t>48,766</w:t>
            </w:r>
          </w:p>
        </w:tc>
        <w:tc>
          <w:tcPr>
            <w:tcW w:w="1106" w:type="dxa"/>
          </w:tcPr>
          <w:p w14:paraId="020FCDAC" w14:textId="4333B7F1" w:rsidR="00962002" w:rsidRDefault="00962002" w:rsidP="00CB0ABC">
            <w:pPr>
              <w:pStyle w:val="TableCopy"/>
              <w:jc w:val="right"/>
            </w:pPr>
            <w:r>
              <w:t>147,272</w:t>
            </w:r>
          </w:p>
        </w:tc>
        <w:tc>
          <w:tcPr>
            <w:tcW w:w="1106" w:type="dxa"/>
          </w:tcPr>
          <w:p w14:paraId="3351F103" w14:textId="32247264" w:rsidR="00962002" w:rsidRDefault="00962002" w:rsidP="00CB0ABC">
            <w:pPr>
              <w:pStyle w:val="TableCopy"/>
              <w:jc w:val="right"/>
            </w:pPr>
            <w:r>
              <w:t>177,399</w:t>
            </w:r>
          </w:p>
        </w:tc>
      </w:tr>
      <w:tr w:rsidR="00962002" w14:paraId="1F076954" w14:textId="77777777" w:rsidTr="00247F5B">
        <w:trPr>
          <w:cantSplit/>
        </w:trPr>
        <w:tc>
          <w:tcPr>
            <w:tcW w:w="3681" w:type="dxa"/>
          </w:tcPr>
          <w:p w14:paraId="01EF43DF" w14:textId="77777777" w:rsidR="00962002" w:rsidRDefault="00962002" w:rsidP="00085345">
            <w:pPr>
              <w:pStyle w:val="TableCopy"/>
            </w:pPr>
            <w:r>
              <w:t>Grants</w:t>
            </w:r>
          </w:p>
        </w:tc>
        <w:tc>
          <w:tcPr>
            <w:tcW w:w="1106" w:type="dxa"/>
          </w:tcPr>
          <w:p w14:paraId="530B7D6E" w14:textId="3B453800" w:rsidR="00962002" w:rsidRDefault="00962002" w:rsidP="00CB0ABC">
            <w:pPr>
              <w:pStyle w:val="TableCopy"/>
              <w:jc w:val="right"/>
            </w:pPr>
            <w:r>
              <w:t>10,514</w:t>
            </w:r>
          </w:p>
        </w:tc>
        <w:tc>
          <w:tcPr>
            <w:tcW w:w="1106" w:type="dxa"/>
          </w:tcPr>
          <w:p w14:paraId="7AD7C05F" w14:textId="69823163" w:rsidR="00962002" w:rsidRDefault="00962002" w:rsidP="00CB0ABC">
            <w:pPr>
              <w:pStyle w:val="TableCopy"/>
              <w:jc w:val="right"/>
            </w:pPr>
            <w:r>
              <w:t>18,062</w:t>
            </w:r>
          </w:p>
        </w:tc>
        <w:tc>
          <w:tcPr>
            <w:tcW w:w="1106" w:type="dxa"/>
          </w:tcPr>
          <w:p w14:paraId="2C246E0A" w14:textId="189BEE57" w:rsidR="00962002" w:rsidRDefault="00962002" w:rsidP="00CB0ABC">
            <w:pPr>
              <w:pStyle w:val="TableCopy"/>
              <w:jc w:val="right"/>
            </w:pPr>
            <w:r>
              <w:t>–</w:t>
            </w:r>
          </w:p>
        </w:tc>
        <w:tc>
          <w:tcPr>
            <w:tcW w:w="1105" w:type="dxa"/>
          </w:tcPr>
          <w:p w14:paraId="0C9E3BFE" w14:textId="4C477403" w:rsidR="00962002" w:rsidRDefault="00962002" w:rsidP="00CB0ABC">
            <w:pPr>
              <w:pStyle w:val="TableCopy"/>
              <w:jc w:val="right"/>
            </w:pPr>
            <w:r>
              <w:t>–</w:t>
            </w:r>
          </w:p>
        </w:tc>
        <w:tc>
          <w:tcPr>
            <w:tcW w:w="1162" w:type="dxa"/>
          </w:tcPr>
          <w:p w14:paraId="2D704841" w14:textId="6C3A6B9B" w:rsidR="00962002" w:rsidRDefault="00962002" w:rsidP="00CB0ABC">
            <w:pPr>
              <w:pStyle w:val="TableCopy"/>
              <w:jc w:val="right"/>
            </w:pPr>
            <w:r>
              <w:t>11,762</w:t>
            </w:r>
          </w:p>
        </w:tc>
        <w:tc>
          <w:tcPr>
            <w:tcW w:w="1162" w:type="dxa"/>
          </w:tcPr>
          <w:p w14:paraId="4790BC4E" w14:textId="183F1551" w:rsidR="00962002" w:rsidRDefault="00962002" w:rsidP="00CB0ABC">
            <w:pPr>
              <w:pStyle w:val="TableCopy"/>
              <w:jc w:val="right"/>
            </w:pPr>
            <w:r>
              <w:t>2,299</w:t>
            </w:r>
          </w:p>
        </w:tc>
        <w:tc>
          <w:tcPr>
            <w:tcW w:w="1217" w:type="dxa"/>
          </w:tcPr>
          <w:p w14:paraId="1694DC3F" w14:textId="6D8E01B8" w:rsidR="00962002" w:rsidRDefault="00962002" w:rsidP="00CB0ABC">
            <w:pPr>
              <w:pStyle w:val="TableCopy"/>
              <w:jc w:val="right"/>
            </w:pPr>
            <w:r>
              <w:t>–</w:t>
            </w:r>
          </w:p>
        </w:tc>
        <w:tc>
          <w:tcPr>
            <w:tcW w:w="1218" w:type="dxa"/>
          </w:tcPr>
          <w:p w14:paraId="67D2238B" w14:textId="7BE4F1B1" w:rsidR="00962002" w:rsidRDefault="00962002" w:rsidP="00CB0ABC">
            <w:pPr>
              <w:pStyle w:val="TableCopy"/>
              <w:jc w:val="right"/>
            </w:pPr>
            <w:r>
              <w:t>3</w:t>
            </w:r>
          </w:p>
        </w:tc>
        <w:tc>
          <w:tcPr>
            <w:tcW w:w="1106" w:type="dxa"/>
          </w:tcPr>
          <w:p w14:paraId="03AA705B" w14:textId="19190B44" w:rsidR="00962002" w:rsidRDefault="00962002" w:rsidP="00CB0ABC">
            <w:pPr>
              <w:pStyle w:val="TableCopy"/>
              <w:jc w:val="right"/>
            </w:pPr>
            <w:r>
              <w:t>10,655</w:t>
            </w:r>
          </w:p>
        </w:tc>
        <w:tc>
          <w:tcPr>
            <w:tcW w:w="1106" w:type="dxa"/>
          </w:tcPr>
          <w:p w14:paraId="3CA4F2E7" w14:textId="70D1DBD5" w:rsidR="00962002" w:rsidRDefault="00962002" w:rsidP="00CB0ABC">
            <w:pPr>
              <w:pStyle w:val="TableCopy"/>
              <w:jc w:val="right"/>
            </w:pPr>
            <w:r>
              <w:t>27,384</w:t>
            </w:r>
          </w:p>
        </w:tc>
      </w:tr>
      <w:tr w:rsidR="00962002" w14:paraId="31809FE1" w14:textId="77777777" w:rsidTr="00247F5B">
        <w:trPr>
          <w:cantSplit/>
        </w:trPr>
        <w:tc>
          <w:tcPr>
            <w:tcW w:w="3681" w:type="dxa"/>
          </w:tcPr>
          <w:p w14:paraId="7A607415" w14:textId="0819CB2E" w:rsidR="00962002" w:rsidRDefault="00962002" w:rsidP="00085345">
            <w:pPr>
              <w:pStyle w:val="TableCopy"/>
            </w:pPr>
            <w:r>
              <w:t>Sale of services</w:t>
            </w:r>
          </w:p>
        </w:tc>
        <w:tc>
          <w:tcPr>
            <w:tcW w:w="1106" w:type="dxa"/>
          </w:tcPr>
          <w:p w14:paraId="61524F26" w14:textId="3DEB7A0F" w:rsidR="00962002" w:rsidRDefault="00962002" w:rsidP="00CB0ABC">
            <w:pPr>
              <w:pStyle w:val="TableCopy"/>
              <w:jc w:val="right"/>
            </w:pPr>
            <w:r>
              <w:t>10,022</w:t>
            </w:r>
          </w:p>
        </w:tc>
        <w:tc>
          <w:tcPr>
            <w:tcW w:w="1106" w:type="dxa"/>
          </w:tcPr>
          <w:p w14:paraId="2DB35905" w14:textId="0DB658B6" w:rsidR="00962002" w:rsidRDefault="00962002" w:rsidP="00CB0ABC">
            <w:pPr>
              <w:pStyle w:val="TableCopy"/>
              <w:jc w:val="right"/>
            </w:pPr>
            <w:r>
              <w:t>29,756</w:t>
            </w:r>
          </w:p>
        </w:tc>
        <w:tc>
          <w:tcPr>
            <w:tcW w:w="1106" w:type="dxa"/>
          </w:tcPr>
          <w:p w14:paraId="2A8BA433" w14:textId="7143D717" w:rsidR="00962002" w:rsidRDefault="00962002" w:rsidP="00CB0ABC">
            <w:pPr>
              <w:pStyle w:val="TableCopy"/>
              <w:jc w:val="right"/>
            </w:pPr>
            <w:r>
              <w:t>–</w:t>
            </w:r>
          </w:p>
        </w:tc>
        <w:tc>
          <w:tcPr>
            <w:tcW w:w="1105" w:type="dxa"/>
          </w:tcPr>
          <w:p w14:paraId="4A26F84B" w14:textId="49DC089A" w:rsidR="00962002" w:rsidRDefault="00962002" w:rsidP="00CB0ABC">
            <w:pPr>
              <w:pStyle w:val="TableCopy"/>
              <w:jc w:val="right"/>
            </w:pPr>
            <w:r>
              <w:t>–</w:t>
            </w:r>
          </w:p>
        </w:tc>
        <w:tc>
          <w:tcPr>
            <w:tcW w:w="1162" w:type="dxa"/>
          </w:tcPr>
          <w:p w14:paraId="54101ED3" w14:textId="33277C2B" w:rsidR="00962002" w:rsidRDefault="00962002" w:rsidP="00CB0ABC">
            <w:pPr>
              <w:pStyle w:val="TableCopy"/>
              <w:jc w:val="right"/>
            </w:pPr>
            <w:r>
              <w:t>–</w:t>
            </w:r>
          </w:p>
        </w:tc>
        <w:tc>
          <w:tcPr>
            <w:tcW w:w="1162" w:type="dxa"/>
          </w:tcPr>
          <w:p w14:paraId="097B6CBB" w14:textId="2106101B" w:rsidR="00962002" w:rsidRDefault="00962002" w:rsidP="00CB0ABC">
            <w:pPr>
              <w:pStyle w:val="TableCopy"/>
              <w:jc w:val="right"/>
            </w:pPr>
            <w:r>
              <w:t>–</w:t>
            </w:r>
          </w:p>
        </w:tc>
        <w:tc>
          <w:tcPr>
            <w:tcW w:w="1217" w:type="dxa"/>
          </w:tcPr>
          <w:p w14:paraId="5F0700DF" w14:textId="447E50AA" w:rsidR="00962002" w:rsidRDefault="00962002" w:rsidP="00CB0ABC">
            <w:pPr>
              <w:pStyle w:val="TableCopy"/>
              <w:jc w:val="right"/>
            </w:pPr>
            <w:r>
              <w:t>–</w:t>
            </w:r>
          </w:p>
        </w:tc>
        <w:tc>
          <w:tcPr>
            <w:tcW w:w="1218" w:type="dxa"/>
          </w:tcPr>
          <w:p w14:paraId="2AB95B08" w14:textId="61EF1296" w:rsidR="00962002" w:rsidRDefault="00962002" w:rsidP="00CB0ABC">
            <w:pPr>
              <w:pStyle w:val="TableCopy"/>
              <w:jc w:val="right"/>
            </w:pPr>
            <w:r>
              <w:t>–</w:t>
            </w:r>
          </w:p>
        </w:tc>
        <w:tc>
          <w:tcPr>
            <w:tcW w:w="1106" w:type="dxa"/>
          </w:tcPr>
          <w:p w14:paraId="23E60A97" w14:textId="099CA696" w:rsidR="00962002" w:rsidRDefault="00962002" w:rsidP="00CB0ABC">
            <w:pPr>
              <w:pStyle w:val="TableCopy"/>
              <w:jc w:val="right"/>
            </w:pPr>
            <w:r>
              <w:t>–</w:t>
            </w:r>
          </w:p>
        </w:tc>
        <w:tc>
          <w:tcPr>
            <w:tcW w:w="1106" w:type="dxa"/>
          </w:tcPr>
          <w:p w14:paraId="4B30FDAC" w14:textId="3E6CD129" w:rsidR="00962002" w:rsidRDefault="00962002" w:rsidP="00CB0ABC">
            <w:pPr>
              <w:pStyle w:val="TableCopy"/>
              <w:jc w:val="right"/>
            </w:pPr>
            <w:r>
              <w:t>–</w:t>
            </w:r>
          </w:p>
        </w:tc>
      </w:tr>
      <w:tr w:rsidR="00962002" w14:paraId="3899E0CA" w14:textId="77777777" w:rsidTr="00247F5B">
        <w:trPr>
          <w:cantSplit/>
        </w:trPr>
        <w:tc>
          <w:tcPr>
            <w:tcW w:w="3681" w:type="dxa"/>
          </w:tcPr>
          <w:p w14:paraId="2E823FE6" w14:textId="050AB2C2" w:rsidR="00962002" w:rsidRDefault="00962002" w:rsidP="00085345">
            <w:pPr>
              <w:pStyle w:val="TableCopy"/>
            </w:pPr>
            <w:r>
              <w:t>Other income</w:t>
            </w:r>
          </w:p>
        </w:tc>
        <w:tc>
          <w:tcPr>
            <w:tcW w:w="1106" w:type="dxa"/>
          </w:tcPr>
          <w:p w14:paraId="55DA2721" w14:textId="6FA0E0F1" w:rsidR="00962002" w:rsidRDefault="00962002" w:rsidP="00CB0ABC">
            <w:pPr>
              <w:pStyle w:val="TableCopy"/>
              <w:jc w:val="right"/>
            </w:pPr>
            <w:r>
              <w:t>4,572</w:t>
            </w:r>
          </w:p>
        </w:tc>
        <w:tc>
          <w:tcPr>
            <w:tcW w:w="1106" w:type="dxa"/>
          </w:tcPr>
          <w:p w14:paraId="2D1C0F41" w14:textId="09E26F98" w:rsidR="00962002" w:rsidRDefault="00962002" w:rsidP="00CB0ABC">
            <w:pPr>
              <w:pStyle w:val="TableCopy"/>
              <w:jc w:val="right"/>
            </w:pPr>
            <w:r>
              <w:t>15,627</w:t>
            </w:r>
          </w:p>
        </w:tc>
        <w:tc>
          <w:tcPr>
            <w:tcW w:w="1106" w:type="dxa"/>
          </w:tcPr>
          <w:p w14:paraId="2478CFD8" w14:textId="4EDFDF61" w:rsidR="00962002" w:rsidRDefault="00962002" w:rsidP="00CB0ABC">
            <w:pPr>
              <w:pStyle w:val="TableCopy"/>
              <w:jc w:val="right"/>
            </w:pPr>
            <w:r>
              <w:t>2,141</w:t>
            </w:r>
          </w:p>
        </w:tc>
        <w:tc>
          <w:tcPr>
            <w:tcW w:w="1105" w:type="dxa"/>
          </w:tcPr>
          <w:p w14:paraId="49CA6011" w14:textId="7D8958D0" w:rsidR="00962002" w:rsidRDefault="00962002" w:rsidP="00CB0ABC">
            <w:pPr>
              <w:pStyle w:val="TableCopy"/>
              <w:jc w:val="right"/>
            </w:pPr>
            <w:r>
              <w:t>73</w:t>
            </w:r>
          </w:p>
        </w:tc>
        <w:tc>
          <w:tcPr>
            <w:tcW w:w="1162" w:type="dxa"/>
          </w:tcPr>
          <w:p w14:paraId="73D45AC4" w14:textId="192115D5" w:rsidR="00962002" w:rsidRDefault="00962002" w:rsidP="00CB0ABC">
            <w:pPr>
              <w:pStyle w:val="TableCopy"/>
              <w:jc w:val="right"/>
            </w:pPr>
            <w:r>
              <w:t>81</w:t>
            </w:r>
          </w:p>
        </w:tc>
        <w:tc>
          <w:tcPr>
            <w:tcW w:w="1162" w:type="dxa"/>
          </w:tcPr>
          <w:p w14:paraId="34AB154D" w14:textId="6C5745F8" w:rsidR="00962002" w:rsidRDefault="00962002" w:rsidP="00CB0ABC">
            <w:pPr>
              <w:pStyle w:val="TableCopy"/>
              <w:jc w:val="right"/>
            </w:pPr>
            <w:r>
              <w:t>–</w:t>
            </w:r>
          </w:p>
        </w:tc>
        <w:tc>
          <w:tcPr>
            <w:tcW w:w="1217" w:type="dxa"/>
          </w:tcPr>
          <w:p w14:paraId="225D0DCE" w14:textId="66B6335B" w:rsidR="00962002" w:rsidRDefault="00962002" w:rsidP="00CB0ABC">
            <w:pPr>
              <w:pStyle w:val="TableCopy"/>
              <w:jc w:val="right"/>
            </w:pPr>
            <w:r>
              <w:t>–</w:t>
            </w:r>
          </w:p>
        </w:tc>
        <w:tc>
          <w:tcPr>
            <w:tcW w:w="1218" w:type="dxa"/>
          </w:tcPr>
          <w:p w14:paraId="66E761B7" w14:textId="1B8EB654" w:rsidR="00962002" w:rsidRDefault="00962002" w:rsidP="00CB0ABC">
            <w:pPr>
              <w:pStyle w:val="TableCopy"/>
              <w:jc w:val="right"/>
            </w:pPr>
            <w:r>
              <w:t>–</w:t>
            </w:r>
          </w:p>
        </w:tc>
        <w:tc>
          <w:tcPr>
            <w:tcW w:w="1106" w:type="dxa"/>
          </w:tcPr>
          <w:p w14:paraId="559C8711" w14:textId="7EB74087" w:rsidR="00962002" w:rsidRDefault="00962002" w:rsidP="00CB0ABC">
            <w:pPr>
              <w:pStyle w:val="TableCopy"/>
              <w:jc w:val="right"/>
            </w:pPr>
            <w:r>
              <w:t>–</w:t>
            </w:r>
          </w:p>
        </w:tc>
        <w:tc>
          <w:tcPr>
            <w:tcW w:w="1106" w:type="dxa"/>
          </w:tcPr>
          <w:p w14:paraId="70F66BFE" w14:textId="6B2EC719" w:rsidR="00962002" w:rsidRDefault="00962002" w:rsidP="00CB0ABC">
            <w:pPr>
              <w:pStyle w:val="TableCopy"/>
              <w:jc w:val="right"/>
            </w:pPr>
            <w:r>
              <w:t>–</w:t>
            </w:r>
          </w:p>
        </w:tc>
      </w:tr>
      <w:tr w:rsidR="00962002" w:rsidRPr="00CB0ABC" w14:paraId="04BBDC26" w14:textId="77777777" w:rsidTr="00247F5B">
        <w:trPr>
          <w:cantSplit/>
        </w:trPr>
        <w:tc>
          <w:tcPr>
            <w:tcW w:w="3681" w:type="dxa"/>
          </w:tcPr>
          <w:p w14:paraId="0251866B" w14:textId="78D23ECE" w:rsidR="00962002" w:rsidRPr="00CB0ABC" w:rsidRDefault="00962002" w:rsidP="00085345">
            <w:pPr>
              <w:pStyle w:val="TableCopy"/>
              <w:rPr>
                <w:rFonts w:asciiTheme="minorHAnsi" w:hAnsiTheme="minorHAnsi" w:cstheme="minorHAnsi"/>
                <w:b/>
                <w:bCs/>
              </w:rPr>
            </w:pPr>
            <w:r w:rsidRPr="00CB0ABC">
              <w:rPr>
                <w:rFonts w:asciiTheme="minorHAnsi" w:hAnsiTheme="minorHAnsi" w:cstheme="minorHAnsi"/>
                <w:b/>
                <w:bCs/>
              </w:rPr>
              <w:t>Total revenue and income from transactions</w:t>
            </w:r>
          </w:p>
        </w:tc>
        <w:tc>
          <w:tcPr>
            <w:tcW w:w="1106" w:type="dxa"/>
          </w:tcPr>
          <w:p w14:paraId="0C9E72F8" w14:textId="7C990A5B" w:rsidR="00962002" w:rsidRPr="00CB0ABC" w:rsidRDefault="00962002" w:rsidP="00CB0ABC">
            <w:pPr>
              <w:pStyle w:val="TableCopy"/>
              <w:jc w:val="right"/>
              <w:rPr>
                <w:rFonts w:asciiTheme="minorHAnsi" w:hAnsiTheme="minorHAnsi" w:cstheme="minorHAnsi"/>
                <w:b/>
                <w:bCs/>
              </w:rPr>
            </w:pPr>
            <w:r w:rsidRPr="00CB0ABC">
              <w:rPr>
                <w:rFonts w:asciiTheme="minorHAnsi" w:hAnsiTheme="minorHAnsi" w:cstheme="minorHAnsi"/>
                <w:b/>
                <w:bCs/>
              </w:rPr>
              <w:t>233,276</w:t>
            </w:r>
          </w:p>
        </w:tc>
        <w:tc>
          <w:tcPr>
            <w:tcW w:w="1106" w:type="dxa"/>
          </w:tcPr>
          <w:p w14:paraId="35AD3B22" w14:textId="162F4411" w:rsidR="00962002" w:rsidRPr="00CB0ABC" w:rsidRDefault="00962002" w:rsidP="00CB0ABC">
            <w:pPr>
              <w:pStyle w:val="TableCopy"/>
              <w:jc w:val="right"/>
              <w:rPr>
                <w:rFonts w:asciiTheme="minorHAnsi" w:hAnsiTheme="minorHAnsi" w:cstheme="minorHAnsi"/>
                <w:b/>
                <w:bCs/>
              </w:rPr>
            </w:pPr>
            <w:r w:rsidRPr="00CB0ABC">
              <w:rPr>
                <w:rFonts w:asciiTheme="minorHAnsi" w:hAnsiTheme="minorHAnsi" w:cstheme="minorHAnsi"/>
                <w:b/>
                <w:bCs/>
              </w:rPr>
              <w:t>527,230</w:t>
            </w:r>
          </w:p>
        </w:tc>
        <w:tc>
          <w:tcPr>
            <w:tcW w:w="1106" w:type="dxa"/>
          </w:tcPr>
          <w:p w14:paraId="24FACB0A" w14:textId="2E52EF28" w:rsidR="00962002" w:rsidRPr="00CB0ABC" w:rsidRDefault="00962002" w:rsidP="00CB0ABC">
            <w:pPr>
              <w:pStyle w:val="TableCopy"/>
              <w:jc w:val="right"/>
              <w:rPr>
                <w:rFonts w:asciiTheme="minorHAnsi" w:hAnsiTheme="minorHAnsi" w:cstheme="minorHAnsi"/>
                <w:b/>
                <w:bCs/>
              </w:rPr>
            </w:pPr>
            <w:r w:rsidRPr="00CB0ABC">
              <w:rPr>
                <w:rFonts w:asciiTheme="minorHAnsi" w:hAnsiTheme="minorHAnsi" w:cstheme="minorHAnsi"/>
                <w:b/>
                <w:bCs/>
              </w:rPr>
              <w:t>36,200</w:t>
            </w:r>
          </w:p>
        </w:tc>
        <w:tc>
          <w:tcPr>
            <w:tcW w:w="1105" w:type="dxa"/>
          </w:tcPr>
          <w:p w14:paraId="444C1028" w14:textId="3EADA71A" w:rsidR="00962002" w:rsidRPr="00CB0ABC" w:rsidRDefault="00962002" w:rsidP="00CB0ABC">
            <w:pPr>
              <w:pStyle w:val="TableCopy"/>
              <w:jc w:val="right"/>
              <w:rPr>
                <w:rFonts w:asciiTheme="minorHAnsi" w:hAnsiTheme="minorHAnsi" w:cstheme="minorHAnsi"/>
                <w:b/>
                <w:bCs/>
              </w:rPr>
            </w:pPr>
            <w:r w:rsidRPr="00CB0ABC">
              <w:rPr>
                <w:rFonts w:asciiTheme="minorHAnsi" w:hAnsiTheme="minorHAnsi" w:cstheme="minorHAnsi"/>
                <w:b/>
                <w:bCs/>
              </w:rPr>
              <w:t>38,256</w:t>
            </w:r>
          </w:p>
        </w:tc>
        <w:tc>
          <w:tcPr>
            <w:tcW w:w="1162" w:type="dxa"/>
          </w:tcPr>
          <w:p w14:paraId="351499FC" w14:textId="77777777" w:rsidR="00962002" w:rsidRPr="00CB0ABC" w:rsidRDefault="00962002" w:rsidP="00CB0ABC">
            <w:pPr>
              <w:pStyle w:val="TableCopy"/>
              <w:jc w:val="right"/>
              <w:rPr>
                <w:rFonts w:asciiTheme="minorHAnsi" w:hAnsiTheme="minorHAnsi" w:cstheme="minorHAnsi"/>
                <w:b/>
                <w:bCs/>
              </w:rPr>
            </w:pPr>
            <w:r w:rsidRPr="00CB0ABC">
              <w:rPr>
                <w:rFonts w:asciiTheme="minorHAnsi" w:hAnsiTheme="minorHAnsi" w:cstheme="minorHAnsi"/>
                <w:b/>
                <w:bCs/>
              </w:rPr>
              <w:t>28,622</w:t>
            </w:r>
          </w:p>
        </w:tc>
        <w:tc>
          <w:tcPr>
            <w:tcW w:w="1162" w:type="dxa"/>
          </w:tcPr>
          <w:p w14:paraId="72642F03" w14:textId="26F0548F" w:rsidR="00962002" w:rsidRPr="00CB0ABC" w:rsidRDefault="00962002" w:rsidP="00CB0ABC">
            <w:pPr>
              <w:pStyle w:val="TableCopy"/>
              <w:jc w:val="right"/>
              <w:rPr>
                <w:rFonts w:asciiTheme="minorHAnsi" w:hAnsiTheme="minorHAnsi" w:cstheme="minorHAnsi"/>
                <w:b/>
                <w:bCs/>
              </w:rPr>
            </w:pPr>
            <w:r w:rsidRPr="00CB0ABC">
              <w:rPr>
                <w:rFonts w:asciiTheme="minorHAnsi" w:hAnsiTheme="minorHAnsi" w:cstheme="minorHAnsi"/>
                <w:b/>
                <w:bCs/>
              </w:rPr>
              <w:t>54,179</w:t>
            </w:r>
          </w:p>
        </w:tc>
        <w:tc>
          <w:tcPr>
            <w:tcW w:w="1217" w:type="dxa"/>
          </w:tcPr>
          <w:p w14:paraId="086C7776" w14:textId="6CE8A9B2" w:rsidR="00962002" w:rsidRPr="00CB0ABC" w:rsidRDefault="00962002" w:rsidP="00CB0ABC">
            <w:pPr>
              <w:pStyle w:val="TableCopy"/>
              <w:jc w:val="right"/>
              <w:rPr>
                <w:rFonts w:asciiTheme="minorHAnsi" w:hAnsiTheme="minorHAnsi" w:cstheme="minorHAnsi"/>
                <w:b/>
                <w:bCs/>
              </w:rPr>
            </w:pPr>
            <w:r w:rsidRPr="00CB0ABC">
              <w:rPr>
                <w:rFonts w:asciiTheme="minorHAnsi" w:hAnsiTheme="minorHAnsi" w:cstheme="minorHAnsi"/>
                <w:b/>
                <w:bCs/>
              </w:rPr>
              <w:t>16,020</w:t>
            </w:r>
          </w:p>
        </w:tc>
        <w:tc>
          <w:tcPr>
            <w:tcW w:w="1218" w:type="dxa"/>
          </w:tcPr>
          <w:p w14:paraId="442F9699" w14:textId="34C2F0E6" w:rsidR="00962002" w:rsidRPr="00CB0ABC" w:rsidRDefault="00962002" w:rsidP="00CB0ABC">
            <w:pPr>
              <w:pStyle w:val="TableCopy"/>
              <w:jc w:val="right"/>
              <w:rPr>
                <w:rFonts w:asciiTheme="minorHAnsi" w:hAnsiTheme="minorHAnsi" w:cstheme="minorHAnsi"/>
                <w:b/>
                <w:bCs/>
              </w:rPr>
            </w:pPr>
            <w:r w:rsidRPr="00CB0ABC">
              <w:rPr>
                <w:rFonts w:asciiTheme="minorHAnsi" w:hAnsiTheme="minorHAnsi" w:cstheme="minorHAnsi"/>
                <w:b/>
                <w:bCs/>
              </w:rPr>
              <w:t>48,769</w:t>
            </w:r>
          </w:p>
        </w:tc>
        <w:tc>
          <w:tcPr>
            <w:tcW w:w="1106" w:type="dxa"/>
          </w:tcPr>
          <w:p w14:paraId="70B15647" w14:textId="77777777" w:rsidR="00962002" w:rsidRPr="00CB0ABC" w:rsidRDefault="00962002" w:rsidP="00CB0ABC">
            <w:pPr>
              <w:pStyle w:val="TableCopy"/>
              <w:jc w:val="right"/>
              <w:rPr>
                <w:rFonts w:asciiTheme="minorHAnsi" w:hAnsiTheme="minorHAnsi" w:cstheme="minorHAnsi"/>
                <w:b/>
                <w:bCs/>
              </w:rPr>
            </w:pPr>
            <w:r w:rsidRPr="00CB0ABC">
              <w:rPr>
                <w:rFonts w:asciiTheme="minorHAnsi" w:hAnsiTheme="minorHAnsi" w:cstheme="minorHAnsi"/>
                <w:b/>
                <w:bCs/>
              </w:rPr>
              <w:t>157,927</w:t>
            </w:r>
          </w:p>
        </w:tc>
        <w:tc>
          <w:tcPr>
            <w:tcW w:w="1106" w:type="dxa"/>
          </w:tcPr>
          <w:p w14:paraId="5E47D4CE" w14:textId="35A07C4D" w:rsidR="00962002" w:rsidRPr="00CB0ABC" w:rsidRDefault="00962002" w:rsidP="00CB0ABC">
            <w:pPr>
              <w:pStyle w:val="TableCopy"/>
              <w:jc w:val="right"/>
              <w:rPr>
                <w:rFonts w:asciiTheme="minorHAnsi" w:hAnsiTheme="minorHAnsi" w:cstheme="minorHAnsi"/>
                <w:b/>
                <w:bCs/>
              </w:rPr>
            </w:pPr>
            <w:r w:rsidRPr="00CB0ABC">
              <w:rPr>
                <w:rFonts w:asciiTheme="minorHAnsi" w:hAnsiTheme="minorHAnsi" w:cstheme="minorHAnsi"/>
                <w:b/>
                <w:bCs/>
              </w:rPr>
              <w:t>204,783</w:t>
            </w:r>
          </w:p>
        </w:tc>
      </w:tr>
      <w:tr w:rsidR="00962002" w:rsidRPr="00CB0ABC" w14:paraId="02550C1F" w14:textId="77777777" w:rsidTr="00247F5B">
        <w:trPr>
          <w:cantSplit/>
        </w:trPr>
        <w:tc>
          <w:tcPr>
            <w:tcW w:w="3681" w:type="dxa"/>
          </w:tcPr>
          <w:p w14:paraId="0C136087" w14:textId="21851F72" w:rsidR="00962002" w:rsidRPr="00CB0ABC" w:rsidRDefault="00962002" w:rsidP="00CB0ABC">
            <w:pPr>
              <w:pStyle w:val="TableHeading"/>
            </w:pPr>
            <w:r w:rsidRPr="00CB0ABC">
              <w:t>Expenses from transactions</w:t>
            </w:r>
          </w:p>
        </w:tc>
        <w:tc>
          <w:tcPr>
            <w:tcW w:w="1106" w:type="dxa"/>
          </w:tcPr>
          <w:p w14:paraId="5E6ADF00" w14:textId="77777777" w:rsidR="00962002" w:rsidRPr="00CB0ABC" w:rsidRDefault="00962002" w:rsidP="00CB0ABC">
            <w:pPr>
              <w:pStyle w:val="TableHeading"/>
              <w:jc w:val="right"/>
            </w:pPr>
          </w:p>
        </w:tc>
        <w:tc>
          <w:tcPr>
            <w:tcW w:w="1106" w:type="dxa"/>
          </w:tcPr>
          <w:p w14:paraId="44F9F989" w14:textId="77777777" w:rsidR="00962002" w:rsidRPr="00CB0ABC" w:rsidRDefault="00962002" w:rsidP="00CB0ABC">
            <w:pPr>
              <w:pStyle w:val="TableHeading"/>
              <w:jc w:val="right"/>
            </w:pPr>
          </w:p>
        </w:tc>
        <w:tc>
          <w:tcPr>
            <w:tcW w:w="1106" w:type="dxa"/>
          </w:tcPr>
          <w:p w14:paraId="6BF78175" w14:textId="77777777" w:rsidR="00962002" w:rsidRPr="00CB0ABC" w:rsidRDefault="00962002" w:rsidP="00CB0ABC">
            <w:pPr>
              <w:pStyle w:val="TableHeading"/>
              <w:jc w:val="right"/>
            </w:pPr>
          </w:p>
        </w:tc>
        <w:tc>
          <w:tcPr>
            <w:tcW w:w="1105" w:type="dxa"/>
          </w:tcPr>
          <w:p w14:paraId="112E518E" w14:textId="77777777" w:rsidR="00962002" w:rsidRPr="00CB0ABC" w:rsidRDefault="00962002" w:rsidP="00CB0ABC">
            <w:pPr>
              <w:pStyle w:val="TableHeading"/>
              <w:jc w:val="right"/>
            </w:pPr>
          </w:p>
        </w:tc>
        <w:tc>
          <w:tcPr>
            <w:tcW w:w="1162" w:type="dxa"/>
          </w:tcPr>
          <w:p w14:paraId="38FB655D" w14:textId="77777777" w:rsidR="00962002" w:rsidRPr="00CB0ABC" w:rsidRDefault="00962002" w:rsidP="00CB0ABC">
            <w:pPr>
              <w:pStyle w:val="TableHeading"/>
              <w:jc w:val="right"/>
            </w:pPr>
          </w:p>
        </w:tc>
        <w:tc>
          <w:tcPr>
            <w:tcW w:w="1162" w:type="dxa"/>
          </w:tcPr>
          <w:p w14:paraId="1F6C8424" w14:textId="77777777" w:rsidR="00962002" w:rsidRPr="00CB0ABC" w:rsidRDefault="00962002" w:rsidP="00CB0ABC">
            <w:pPr>
              <w:pStyle w:val="TableHeading"/>
              <w:jc w:val="right"/>
            </w:pPr>
          </w:p>
        </w:tc>
        <w:tc>
          <w:tcPr>
            <w:tcW w:w="1217" w:type="dxa"/>
          </w:tcPr>
          <w:p w14:paraId="21162D60" w14:textId="77777777" w:rsidR="00962002" w:rsidRPr="00CB0ABC" w:rsidRDefault="00962002" w:rsidP="00CB0ABC">
            <w:pPr>
              <w:pStyle w:val="TableHeading"/>
              <w:jc w:val="right"/>
            </w:pPr>
          </w:p>
        </w:tc>
        <w:tc>
          <w:tcPr>
            <w:tcW w:w="1218" w:type="dxa"/>
          </w:tcPr>
          <w:p w14:paraId="6AD77C9C" w14:textId="77777777" w:rsidR="00962002" w:rsidRPr="00CB0ABC" w:rsidRDefault="00962002" w:rsidP="00CB0ABC">
            <w:pPr>
              <w:pStyle w:val="TableHeading"/>
              <w:jc w:val="right"/>
            </w:pPr>
          </w:p>
        </w:tc>
        <w:tc>
          <w:tcPr>
            <w:tcW w:w="1106" w:type="dxa"/>
          </w:tcPr>
          <w:p w14:paraId="67D46A79" w14:textId="77777777" w:rsidR="00962002" w:rsidRPr="00CB0ABC" w:rsidRDefault="00962002" w:rsidP="00CB0ABC">
            <w:pPr>
              <w:pStyle w:val="TableHeading"/>
              <w:jc w:val="right"/>
            </w:pPr>
          </w:p>
        </w:tc>
        <w:tc>
          <w:tcPr>
            <w:tcW w:w="1106" w:type="dxa"/>
          </w:tcPr>
          <w:p w14:paraId="5B05A342" w14:textId="77777777" w:rsidR="00962002" w:rsidRPr="00CB0ABC" w:rsidRDefault="00962002" w:rsidP="00CB0ABC">
            <w:pPr>
              <w:pStyle w:val="TableHeading"/>
              <w:jc w:val="right"/>
            </w:pPr>
          </w:p>
        </w:tc>
      </w:tr>
      <w:tr w:rsidR="00962002" w14:paraId="7A892825" w14:textId="77777777" w:rsidTr="00247F5B">
        <w:trPr>
          <w:cantSplit/>
        </w:trPr>
        <w:tc>
          <w:tcPr>
            <w:tcW w:w="3681" w:type="dxa"/>
          </w:tcPr>
          <w:p w14:paraId="13BEBF61" w14:textId="77777777" w:rsidR="00962002" w:rsidRDefault="00962002" w:rsidP="00CB0ABC">
            <w:pPr>
              <w:pStyle w:val="TableCopy"/>
            </w:pPr>
            <w:r>
              <w:t>Grants</w:t>
            </w:r>
          </w:p>
        </w:tc>
        <w:tc>
          <w:tcPr>
            <w:tcW w:w="1106" w:type="dxa"/>
          </w:tcPr>
          <w:p w14:paraId="17C0B5F9" w14:textId="77777777" w:rsidR="00962002" w:rsidRDefault="00962002" w:rsidP="00CB0ABC">
            <w:pPr>
              <w:pStyle w:val="TableCopy"/>
              <w:jc w:val="right"/>
            </w:pPr>
            <w:r>
              <w:t>(41,340)</w:t>
            </w:r>
          </w:p>
        </w:tc>
        <w:tc>
          <w:tcPr>
            <w:tcW w:w="1106" w:type="dxa"/>
          </w:tcPr>
          <w:p w14:paraId="5711D1BF" w14:textId="77777777" w:rsidR="00962002" w:rsidRPr="00CB0ABC" w:rsidRDefault="00962002" w:rsidP="00CB0ABC">
            <w:pPr>
              <w:pStyle w:val="TableCopy"/>
              <w:jc w:val="right"/>
              <w:rPr>
                <w:spacing w:val="-4"/>
              </w:rPr>
            </w:pPr>
            <w:r w:rsidRPr="00CB0ABC">
              <w:rPr>
                <w:spacing w:val="-4"/>
              </w:rPr>
              <w:t>(138,603)</w:t>
            </w:r>
          </w:p>
        </w:tc>
        <w:tc>
          <w:tcPr>
            <w:tcW w:w="1106" w:type="dxa"/>
          </w:tcPr>
          <w:p w14:paraId="24575EF1" w14:textId="77777777" w:rsidR="00962002" w:rsidRDefault="00962002" w:rsidP="00CB0ABC">
            <w:pPr>
              <w:pStyle w:val="TableCopy"/>
              <w:jc w:val="right"/>
            </w:pPr>
            <w:r>
              <w:t>(30,127)</w:t>
            </w:r>
          </w:p>
        </w:tc>
        <w:tc>
          <w:tcPr>
            <w:tcW w:w="1105" w:type="dxa"/>
          </w:tcPr>
          <w:p w14:paraId="46E21AEB" w14:textId="77777777" w:rsidR="00962002" w:rsidRDefault="00962002" w:rsidP="00CB0ABC">
            <w:pPr>
              <w:pStyle w:val="TableCopy"/>
              <w:jc w:val="right"/>
            </w:pPr>
            <w:r>
              <w:t>(26,567)</w:t>
            </w:r>
          </w:p>
        </w:tc>
        <w:tc>
          <w:tcPr>
            <w:tcW w:w="1162" w:type="dxa"/>
          </w:tcPr>
          <w:p w14:paraId="6B2F7B44" w14:textId="77777777" w:rsidR="00962002" w:rsidRDefault="00962002" w:rsidP="00CB0ABC">
            <w:pPr>
              <w:pStyle w:val="TableCopy"/>
              <w:jc w:val="right"/>
            </w:pPr>
            <w:r>
              <w:t>(167)</w:t>
            </w:r>
          </w:p>
        </w:tc>
        <w:tc>
          <w:tcPr>
            <w:tcW w:w="1162" w:type="dxa"/>
          </w:tcPr>
          <w:p w14:paraId="1798CE00" w14:textId="77777777" w:rsidR="00962002" w:rsidRDefault="00962002" w:rsidP="00CB0ABC">
            <w:pPr>
              <w:pStyle w:val="TableCopy"/>
              <w:jc w:val="right"/>
            </w:pPr>
            <w:r>
              <w:t>(2,073)</w:t>
            </w:r>
          </w:p>
        </w:tc>
        <w:tc>
          <w:tcPr>
            <w:tcW w:w="1217" w:type="dxa"/>
          </w:tcPr>
          <w:p w14:paraId="5C2397DC" w14:textId="77777777" w:rsidR="00962002" w:rsidRDefault="00962002" w:rsidP="00CB0ABC">
            <w:pPr>
              <w:pStyle w:val="TableCopy"/>
              <w:jc w:val="right"/>
            </w:pPr>
            <w:r>
              <w:t>(8,771)</w:t>
            </w:r>
          </w:p>
        </w:tc>
        <w:tc>
          <w:tcPr>
            <w:tcW w:w="1218" w:type="dxa"/>
          </w:tcPr>
          <w:p w14:paraId="5C85C629" w14:textId="77777777" w:rsidR="00962002" w:rsidRDefault="00962002" w:rsidP="00CB0ABC">
            <w:pPr>
              <w:pStyle w:val="TableCopy"/>
              <w:jc w:val="right"/>
            </w:pPr>
            <w:r>
              <w:t>(39,085)</w:t>
            </w:r>
          </w:p>
        </w:tc>
        <w:tc>
          <w:tcPr>
            <w:tcW w:w="1106" w:type="dxa"/>
          </w:tcPr>
          <w:p w14:paraId="130FFAAC" w14:textId="77777777" w:rsidR="00962002" w:rsidRPr="00CB0ABC" w:rsidRDefault="00962002" w:rsidP="00CB0ABC">
            <w:pPr>
              <w:pStyle w:val="TableCopy"/>
              <w:jc w:val="right"/>
              <w:rPr>
                <w:spacing w:val="-4"/>
              </w:rPr>
            </w:pPr>
            <w:r w:rsidRPr="00CB0ABC">
              <w:rPr>
                <w:spacing w:val="-4"/>
              </w:rPr>
              <w:t>(148,489)</w:t>
            </w:r>
          </w:p>
        </w:tc>
        <w:tc>
          <w:tcPr>
            <w:tcW w:w="1106" w:type="dxa"/>
          </w:tcPr>
          <w:p w14:paraId="671061E9" w14:textId="77777777" w:rsidR="00962002" w:rsidRPr="00CB0ABC" w:rsidRDefault="00962002" w:rsidP="00CB0ABC">
            <w:pPr>
              <w:pStyle w:val="TableCopy"/>
              <w:jc w:val="right"/>
              <w:rPr>
                <w:spacing w:val="-4"/>
              </w:rPr>
            </w:pPr>
            <w:r w:rsidRPr="00CB0ABC">
              <w:rPr>
                <w:spacing w:val="-4"/>
              </w:rPr>
              <w:t>(179,891)</w:t>
            </w:r>
          </w:p>
        </w:tc>
      </w:tr>
      <w:tr w:rsidR="00962002" w14:paraId="5843F9AE" w14:textId="77777777" w:rsidTr="00247F5B">
        <w:trPr>
          <w:cantSplit/>
        </w:trPr>
        <w:tc>
          <w:tcPr>
            <w:tcW w:w="3681" w:type="dxa"/>
          </w:tcPr>
          <w:p w14:paraId="7AD600FC" w14:textId="2079DD8E" w:rsidR="00962002" w:rsidRDefault="00962002" w:rsidP="00CB0ABC">
            <w:pPr>
              <w:pStyle w:val="TableCopy"/>
            </w:pPr>
            <w:r>
              <w:t>Employee expenses</w:t>
            </w:r>
          </w:p>
        </w:tc>
        <w:tc>
          <w:tcPr>
            <w:tcW w:w="1106" w:type="dxa"/>
          </w:tcPr>
          <w:p w14:paraId="7EF0B2F6" w14:textId="77777777" w:rsidR="00962002" w:rsidRDefault="00962002" w:rsidP="00CB0ABC">
            <w:pPr>
              <w:pStyle w:val="TableCopy"/>
              <w:jc w:val="right"/>
            </w:pPr>
            <w:r>
              <w:t>(99,745)</w:t>
            </w:r>
          </w:p>
        </w:tc>
        <w:tc>
          <w:tcPr>
            <w:tcW w:w="1106" w:type="dxa"/>
          </w:tcPr>
          <w:p w14:paraId="730E8B77" w14:textId="77777777" w:rsidR="00962002" w:rsidRPr="00455E52" w:rsidRDefault="00962002" w:rsidP="00CB0ABC">
            <w:pPr>
              <w:pStyle w:val="TableCopy"/>
              <w:jc w:val="right"/>
              <w:rPr>
                <w:spacing w:val="-4"/>
              </w:rPr>
            </w:pPr>
            <w:r w:rsidRPr="00455E52">
              <w:rPr>
                <w:spacing w:val="-4"/>
              </w:rPr>
              <w:t>(189,567)</w:t>
            </w:r>
          </w:p>
        </w:tc>
        <w:tc>
          <w:tcPr>
            <w:tcW w:w="1106" w:type="dxa"/>
          </w:tcPr>
          <w:p w14:paraId="1E7F85C2" w14:textId="77777777" w:rsidR="00962002" w:rsidRDefault="00962002" w:rsidP="00CB0ABC">
            <w:pPr>
              <w:pStyle w:val="TableCopy"/>
              <w:jc w:val="right"/>
            </w:pPr>
            <w:r>
              <w:t>(4,020)</w:t>
            </w:r>
          </w:p>
        </w:tc>
        <w:tc>
          <w:tcPr>
            <w:tcW w:w="1105" w:type="dxa"/>
          </w:tcPr>
          <w:p w14:paraId="1D3B342D" w14:textId="77777777" w:rsidR="00962002" w:rsidRDefault="00962002" w:rsidP="00CB0ABC">
            <w:pPr>
              <w:pStyle w:val="TableCopy"/>
              <w:jc w:val="right"/>
            </w:pPr>
            <w:r>
              <w:t>(8,091)</w:t>
            </w:r>
          </w:p>
        </w:tc>
        <w:tc>
          <w:tcPr>
            <w:tcW w:w="1162" w:type="dxa"/>
          </w:tcPr>
          <w:p w14:paraId="034D6DE1" w14:textId="77777777" w:rsidR="00962002" w:rsidRDefault="00962002" w:rsidP="00CB0ABC">
            <w:pPr>
              <w:pStyle w:val="TableCopy"/>
              <w:jc w:val="right"/>
            </w:pPr>
            <w:r>
              <w:t>(20,550)</w:t>
            </w:r>
          </w:p>
        </w:tc>
        <w:tc>
          <w:tcPr>
            <w:tcW w:w="1162" w:type="dxa"/>
          </w:tcPr>
          <w:p w14:paraId="4C7D07CF" w14:textId="77777777" w:rsidR="00962002" w:rsidRDefault="00962002" w:rsidP="00CB0ABC">
            <w:pPr>
              <w:pStyle w:val="TableCopy"/>
              <w:jc w:val="right"/>
            </w:pPr>
            <w:r>
              <w:t>(37,636)</w:t>
            </w:r>
          </w:p>
        </w:tc>
        <w:tc>
          <w:tcPr>
            <w:tcW w:w="1217" w:type="dxa"/>
          </w:tcPr>
          <w:p w14:paraId="73A17D72" w14:textId="77777777" w:rsidR="00962002" w:rsidRDefault="00962002" w:rsidP="00CB0ABC">
            <w:pPr>
              <w:pStyle w:val="TableCopy"/>
              <w:jc w:val="right"/>
            </w:pPr>
            <w:r>
              <w:t>(4,556)</w:t>
            </w:r>
          </w:p>
        </w:tc>
        <w:tc>
          <w:tcPr>
            <w:tcW w:w="1218" w:type="dxa"/>
          </w:tcPr>
          <w:p w14:paraId="155668D1" w14:textId="77777777" w:rsidR="00962002" w:rsidRDefault="00962002" w:rsidP="00CB0ABC">
            <w:pPr>
              <w:pStyle w:val="TableCopy"/>
              <w:jc w:val="right"/>
            </w:pPr>
            <w:r>
              <w:t>(6,512)</w:t>
            </w:r>
          </w:p>
        </w:tc>
        <w:tc>
          <w:tcPr>
            <w:tcW w:w="1106" w:type="dxa"/>
          </w:tcPr>
          <w:p w14:paraId="2EFFCAB5" w14:textId="77777777" w:rsidR="00962002" w:rsidRDefault="00962002" w:rsidP="00CB0ABC">
            <w:pPr>
              <w:pStyle w:val="TableCopy"/>
              <w:jc w:val="right"/>
            </w:pPr>
            <w:r>
              <w:t>(5,626)</w:t>
            </w:r>
          </w:p>
        </w:tc>
        <w:tc>
          <w:tcPr>
            <w:tcW w:w="1106" w:type="dxa"/>
          </w:tcPr>
          <w:p w14:paraId="26103EBF" w14:textId="77777777" w:rsidR="00962002" w:rsidRDefault="00962002" w:rsidP="00CB0ABC">
            <w:pPr>
              <w:pStyle w:val="TableCopy"/>
              <w:jc w:val="right"/>
            </w:pPr>
            <w:r>
              <w:t>(9,440)</w:t>
            </w:r>
          </w:p>
        </w:tc>
      </w:tr>
      <w:tr w:rsidR="00962002" w14:paraId="5255853E" w14:textId="77777777" w:rsidTr="00247F5B">
        <w:trPr>
          <w:cantSplit/>
        </w:trPr>
        <w:tc>
          <w:tcPr>
            <w:tcW w:w="3681" w:type="dxa"/>
          </w:tcPr>
          <w:p w14:paraId="42CE6F50" w14:textId="5DE72138" w:rsidR="00962002" w:rsidRDefault="00962002" w:rsidP="00CB0ABC">
            <w:pPr>
              <w:pStyle w:val="TableCopy"/>
            </w:pPr>
            <w:r>
              <w:lastRenderedPageBreak/>
              <w:t xml:space="preserve">Depreciation and amortisation </w:t>
            </w:r>
          </w:p>
        </w:tc>
        <w:tc>
          <w:tcPr>
            <w:tcW w:w="1106" w:type="dxa"/>
          </w:tcPr>
          <w:p w14:paraId="04912782" w14:textId="77777777" w:rsidR="00962002" w:rsidRDefault="00962002" w:rsidP="00CB0ABC">
            <w:pPr>
              <w:pStyle w:val="TableCopy"/>
              <w:jc w:val="right"/>
            </w:pPr>
            <w:r>
              <w:t>(15,104)</w:t>
            </w:r>
          </w:p>
        </w:tc>
        <w:tc>
          <w:tcPr>
            <w:tcW w:w="1106" w:type="dxa"/>
          </w:tcPr>
          <w:p w14:paraId="4FA558BA" w14:textId="77777777" w:rsidR="00962002" w:rsidRDefault="00962002" w:rsidP="00CB0ABC">
            <w:pPr>
              <w:pStyle w:val="TableCopy"/>
              <w:jc w:val="right"/>
            </w:pPr>
            <w:r>
              <w:t>(21,529)</w:t>
            </w:r>
          </w:p>
        </w:tc>
        <w:tc>
          <w:tcPr>
            <w:tcW w:w="1106" w:type="dxa"/>
          </w:tcPr>
          <w:p w14:paraId="46F8897B" w14:textId="2908959C" w:rsidR="00962002" w:rsidRDefault="00962002" w:rsidP="00CB0ABC">
            <w:pPr>
              <w:pStyle w:val="TableCopy"/>
              <w:jc w:val="right"/>
            </w:pPr>
            <w:r>
              <w:t>–</w:t>
            </w:r>
          </w:p>
        </w:tc>
        <w:tc>
          <w:tcPr>
            <w:tcW w:w="1105" w:type="dxa"/>
          </w:tcPr>
          <w:p w14:paraId="47BF06DB" w14:textId="77777777" w:rsidR="00962002" w:rsidRDefault="00962002" w:rsidP="00CB0ABC">
            <w:pPr>
              <w:pStyle w:val="TableCopy"/>
              <w:jc w:val="right"/>
            </w:pPr>
            <w:r>
              <w:t>(786)</w:t>
            </w:r>
          </w:p>
        </w:tc>
        <w:tc>
          <w:tcPr>
            <w:tcW w:w="1162" w:type="dxa"/>
          </w:tcPr>
          <w:p w14:paraId="0676CADE" w14:textId="77777777" w:rsidR="00962002" w:rsidRDefault="00962002" w:rsidP="00CB0ABC">
            <w:pPr>
              <w:pStyle w:val="TableCopy"/>
              <w:jc w:val="right"/>
            </w:pPr>
            <w:r>
              <w:t>(918)</w:t>
            </w:r>
          </w:p>
        </w:tc>
        <w:tc>
          <w:tcPr>
            <w:tcW w:w="1162" w:type="dxa"/>
          </w:tcPr>
          <w:p w14:paraId="165148D2" w14:textId="77777777" w:rsidR="00962002" w:rsidRDefault="00962002" w:rsidP="00CB0ABC">
            <w:pPr>
              <w:pStyle w:val="TableCopy"/>
              <w:jc w:val="right"/>
            </w:pPr>
            <w:r>
              <w:t>(2,471)</w:t>
            </w:r>
          </w:p>
        </w:tc>
        <w:tc>
          <w:tcPr>
            <w:tcW w:w="1217" w:type="dxa"/>
          </w:tcPr>
          <w:p w14:paraId="47634D2C" w14:textId="77777777" w:rsidR="00962002" w:rsidRDefault="00962002" w:rsidP="00CB0ABC">
            <w:pPr>
              <w:pStyle w:val="TableCopy"/>
              <w:jc w:val="right"/>
            </w:pPr>
            <w:r>
              <w:t>(6)</w:t>
            </w:r>
          </w:p>
        </w:tc>
        <w:tc>
          <w:tcPr>
            <w:tcW w:w="1218" w:type="dxa"/>
          </w:tcPr>
          <w:p w14:paraId="47946341" w14:textId="77777777" w:rsidR="00962002" w:rsidRDefault="00962002" w:rsidP="00CB0ABC">
            <w:pPr>
              <w:pStyle w:val="TableCopy"/>
              <w:jc w:val="right"/>
            </w:pPr>
            <w:r>
              <w:t>(488)</w:t>
            </w:r>
          </w:p>
        </w:tc>
        <w:tc>
          <w:tcPr>
            <w:tcW w:w="1106" w:type="dxa"/>
          </w:tcPr>
          <w:p w14:paraId="22B09F63" w14:textId="77777777" w:rsidR="00962002" w:rsidRDefault="00962002" w:rsidP="00CB0ABC">
            <w:pPr>
              <w:pStyle w:val="TableCopy"/>
              <w:jc w:val="right"/>
            </w:pPr>
            <w:r>
              <w:t>(63)</w:t>
            </w:r>
          </w:p>
        </w:tc>
        <w:tc>
          <w:tcPr>
            <w:tcW w:w="1106" w:type="dxa"/>
          </w:tcPr>
          <w:p w14:paraId="6CDF6C95" w14:textId="77777777" w:rsidR="00962002" w:rsidRDefault="00962002" w:rsidP="00CB0ABC">
            <w:pPr>
              <w:pStyle w:val="TableCopy"/>
              <w:jc w:val="right"/>
            </w:pPr>
            <w:r>
              <w:t>(11)</w:t>
            </w:r>
          </w:p>
        </w:tc>
      </w:tr>
      <w:tr w:rsidR="00962002" w14:paraId="64601D58" w14:textId="77777777" w:rsidTr="00247F5B">
        <w:trPr>
          <w:cantSplit/>
        </w:trPr>
        <w:tc>
          <w:tcPr>
            <w:tcW w:w="3681" w:type="dxa"/>
          </w:tcPr>
          <w:p w14:paraId="35E571C4" w14:textId="5F10231C" w:rsidR="00962002" w:rsidRDefault="00962002" w:rsidP="00CB0ABC">
            <w:pPr>
              <w:pStyle w:val="TableCopy"/>
            </w:pPr>
            <w:r>
              <w:t>Other operating expenses</w:t>
            </w:r>
          </w:p>
        </w:tc>
        <w:tc>
          <w:tcPr>
            <w:tcW w:w="1106" w:type="dxa"/>
          </w:tcPr>
          <w:p w14:paraId="3E4A48AA" w14:textId="77777777" w:rsidR="00962002" w:rsidRDefault="00962002" w:rsidP="00CB0ABC">
            <w:pPr>
              <w:pStyle w:val="TableCopy"/>
              <w:jc w:val="right"/>
            </w:pPr>
            <w:r>
              <w:t>(61,480)</w:t>
            </w:r>
          </w:p>
        </w:tc>
        <w:tc>
          <w:tcPr>
            <w:tcW w:w="1106" w:type="dxa"/>
          </w:tcPr>
          <w:p w14:paraId="42D28124" w14:textId="77777777" w:rsidR="00962002" w:rsidRPr="002D15C0" w:rsidRDefault="00962002" w:rsidP="00CB0ABC">
            <w:pPr>
              <w:pStyle w:val="TableCopy"/>
              <w:jc w:val="right"/>
              <w:rPr>
                <w:spacing w:val="-4"/>
              </w:rPr>
            </w:pPr>
            <w:r w:rsidRPr="002D15C0">
              <w:rPr>
                <w:spacing w:val="-4"/>
              </w:rPr>
              <w:t>(142,852)</w:t>
            </w:r>
          </w:p>
        </w:tc>
        <w:tc>
          <w:tcPr>
            <w:tcW w:w="1106" w:type="dxa"/>
          </w:tcPr>
          <w:p w14:paraId="14035C99" w14:textId="77777777" w:rsidR="00962002" w:rsidRDefault="00962002" w:rsidP="00CB0ABC">
            <w:pPr>
              <w:pStyle w:val="TableCopy"/>
              <w:jc w:val="right"/>
            </w:pPr>
            <w:r>
              <w:t>(1,357)</w:t>
            </w:r>
          </w:p>
        </w:tc>
        <w:tc>
          <w:tcPr>
            <w:tcW w:w="1105" w:type="dxa"/>
          </w:tcPr>
          <w:p w14:paraId="600406E9" w14:textId="77777777" w:rsidR="00962002" w:rsidRDefault="00962002" w:rsidP="00CB0ABC">
            <w:pPr>
              <w:pStyle w:val="TableCopy"/>
              <w:jc w:val="right"/>
            </w:pPr>
            <w:r>
              <w:t>(3,885)</w:t>
            </w:r>
          </w:p>
        </w:tc>
        <w:tc>
          <w:tcPr>
            <w:tcW w:w="1162" w:type="dxa"/>
          </w:tcPr>
          <w:p w14:paraId="158A14BB" w14:textId="77777777" w:rsidR="00962002" w:rsidRDefault="00962002" w:rsidP="00CB0ABC">
            <w:pPr>
              <w:pStyle w:val="TableCopy"/>
              <w:jc w:val="right"/>
            </w:pPr>
            <w:r>
              <w:t>(5,876)</w:t>
            </w:r>
          </w:p>
        </w:tc>
        <w:tc>
          <w:tcPr>
            <w:tcW w:w="1162" w:type="dxa"/>
          </w:tcPr>
          <w:p w14:paraId="6D49F59D" w14:textId="77777777" w:rsidR="00962002" w:rsidRDefault="00962002" w:rsidP="00CB0ABC">
            <w:pPr>
              <w:pStyle w:val="TableCopy"/>
              <w:jc w:val="right"/>
            </w:pPr>
            <w:r>
              <w:t>(16,116)</w:t>
            </w:r>
          </w:p>
        </w:tc>
        <w:tc>
          <w:tcPr>
            <w:tcW w:w="1217" w:type="dxa"/>
          </w:tcPr>
          <w:p w14:paraId="49608444" w14:textId="77777777" w:rsidR="00962002" w:rsidRDefault="00962002" w:rsidP="00CB0ABC">
            <w:pPr>
              <w:pStyle w:val="TableCopy"/>
              <w:jc w:val="right"/>
            </w:pPr>
            <w:r>
              <w:t>(1,687)</w:t>
            </w:r>
          </w:p>
        </w:tc>
        <w:tc>
          <w:tcPr>
            <w:tcW w:w="1218" w:type="dxa"/>
          </w:tcPr>
          <w:p w14:paraId="16BF04D7" w14:textId="77777777" w:rsidR="00962002" w:rsidRDefault="00962002" w:rsidP="00CB0ABC">
            <w:pPr>
              <w:pStyle w:val="TableCopy"/>
              <w:jc w:val="right"/>
            </w:pPr>
            <w:r>
              <w:t>(2,871)</w:t>
            </w:r>
          </w:p>
        </w:tc>
        <w:tc>
          <w:tcPr>
            <w:tcW w:w="1106" w:type="dxa"/>
          </w:tcPr>
          <w:p w14:paraId="3929614E" w14:textId="77777777" w:rsidR="00962002" w:rsidRDefault="00962002" w:rsidP="00CB0ABC">
            <w:pPr>
              <w:pStyle w:val="TableCopy"/>
              <w:jc w:val="right"/>
            </w:pPr>
            <w:r>
              <w:t>(1,741)</w:t>
            </w:r>
          </w:p>
        </w:tc>
        <w:tc>
          <w:tcPr>
            <w:tcW w:w="1106" w:type="dxa"/>
          </w:tcPr>
          <w:p w14:paraId="0386C5D5" w14:textId="77777777" w:rsidR="00962002" w:rsidRDefault="00962002" w:rsidP="00CB0ABC">
            <w:pPr>
              <w:pStyle w:val="TableCopy"/>
              <w:jc w:val="right"/>
            </w:pPr>
            <w:r>
              <w:t>(2,951)</w:t>
            </w:r>
          </w:p>
        </w:tc>
      </w:tr>
      <w:tr w:rsidR="00962002" w:rsidRPr="00CB0ABC" w14:paraId="2E949737" w14:textId="77777777" w:rsidTr="00247F5B">
        <w:trPr>
          <w:cantSplit/>
        </w:trPr>
        <w:tc>
          <w:tcPr>
            <w:tcW w:w="3681" w:type="dxa"/>
          </w:tcPr>
          <w:p w14:paraId="5652B62C" w14:textId="2F8D7E1E" w:rsidR="00962002" w:rsidRPr="00CB0ABC" w:rsidRDefault="00962002" w:rsidP="00CB0ABC">
            <w:pPr>
              <w:pStyle w:val="TableCopy"/>
              <w:rPr>
                <w:b/>
                <w:bCs/>
              </w:rPr>
            </w:pPr>
            <w:r w:rsidRPr="00CB0ABC">
              <w:rPr>
                <w:b/>
                <w:bCs/>
              </w:rPr>
              <w:t>Total expenses from transactions</w:t>
            </w:r>
          </w:p>
        </w:tc>
        <w:tc>
          <w:tcPr>
            <w:tcW w:w="1106" w:type="dxa"/>
          </w:tcPr>
          <w:p w14:paraId="3E23A3D4" w14:textId="77777777" w:rsidR="00962002" w:rsidRPr="002D15C0" w:rsidRDefault="00962002" w:rsidP="00CB0ABC">
            <w:pPr>
              <w:pStyle w:val="TableCopy"/>
              <w:jc w:val="right"/>
              <w:rPr>
                <w:rFonts w:ascii="Arial Bold" w:hAnsi="Arial Bold" w:hint="eastAsia"/>
                <w:b/>
                <w:bCs/>
                <w:spacing w:val="-4"/>
              </w:rPr>
            </w:pPr>
            <w:r w:rsidRPr="002D15C0">
              <w:rPr>
                <w:rFonts w:ascii="Arial Bold" w:hAnsi="Arial Bold"/>
                <w:b/>
                <w:bCs/>
                <w:spacing w:val="-4"/>
              </w:rPr>
              <w:t>(217,669)</w:t>
            </w:r>
          </w:p>
        </w:tc>
        <w:tc>
          <w:tcPr>
            <w:tcW w:w="1106" w:type="dxa"/>
          </w:tcPr>
          <w:p w14:paraId="7850E0CB" w14:textId="77777777" w:rsidR="00962002" w:rsidRPr="002D15C0" w:rsidRDefault="00962002" w:rsidP="00CB0ABC">
            <w:pPr>
              <w:pStyle w:val="TableCopy"/>
              <w:jc w:val="right"/>
              <w:rPr>
                <w:rFonts w:ascii="Arial Bold" w:hAnsi="Arial Bold" w:hint="eastAsia"/>
                <w:b/>
                <w:bCs/>
                <w:spacing w:val="-4"/>
              </w:rPr>
            </w:pPr>
            <w:r w:rsidRPr="002D15C0">
              <w:rPr>
                <w:rFonts w:ascii="Arial Bold" w:hAnsi="Arial Bold"/>
                <w:b/>
                <w:bCs/>
                <w:spacing w:val="-4"/>
              </w:rPr>
              <w:t>(492,551)</w:t>
            </w:r>
          </w:p>
        </w:tc>
        <w:tc>
          <w:tcPr>
            <w:tcW w:w="1106" w:type="dxa"/>
          </w:tcPr>
          <w:p w14:paraId="3FDB3E7B" w14:textId="77777777" w:rsidR="00962002" w:rsidRPr="00CB0ABC" w:rsidRDefault="00962002" w:rsidP="00CB0ABC">
            <w:pPr>
              <w:pStyle w:val="TableCopy"/>
              <w:jc w:val="right"/>
              <w:rPr>
                <w:b/>
                <w:bCs/>
              </w:rPr>
            </w:pPr>
            <w:r w:rsidRPr="00CB0ABC">
              <w:rPr>
                <w:b/>
                <w:bCs/>
              </w:rPr>
              <w:t>(35,504)</w:t>
            </w:r>
          </w:p>
        </w:tc>
        <w:tc>
          <w:tcPr>
            <w:tcW w:w="1105" w:type="dxa"/>
          </w:tcPr>
          <w:p w14:paraId="58F8D75D" w14:textId="77777777" w:rsidR="00962002" w:rsidRPr="00CB0ABC" w:rsidRDefault="00962002" w:rsidP="00CB0ABC">
            <w:pPr>
              <w:pStyle w:val="TableCopy"/>
              <w:jc w:val="right"/>
              <w:rPr>
                <w:b/>
                <w:bCs/>
              </w:rPr>
            </w:pPr>
            <w:r w:rsidRPr="00CB0ABC">
              <w:rPr>
                <w:b/>
                <w:bCs/>
              </w:rPr>
              <w:t>(39,329)</w:t>
            </w:r>
          </w:p>
        </w:tc>
        <w:tc>
          <w:tcPr>
            <w:tcW w:w="1162" w:type="dxa"/>
          </w:tcPr>
          <w:p w14:paraId="5D6AED17" w14:textId="77777777" w:rsidR="00962002" w:rsidRPr="00CB0ABC" w:rsidRDefault="00962002" w:rsidP="00CB0ABC">
            <w:pPr>
              <w:pStyle w:val="TableCopy"/>
              <w:jc w:val="right"/>
              <w:rPr>
                <w:b/>
                <w:bCs/>
              </w:rPr>
            </w:pPr>
            <w:r w:rsidRPr="00CB0ABC">
              <w:rPr>
                <w:b/>
                <w:bCs/>
              </w:rPr>
              <w:t>(27,511)</w:t>
            </w:r>
          </w:p>
        </w:tc>
        <w:tc>
          <w:tcPr>
            <w:tcW w:w="1162" w:type="dxa"/>
          </w:tcPr>
          <w:p w14:paraId="6A16712E" w14:textId="77777777" w:rsidR="00962002" w:rsidRPr="00CB0ABC" w:rsidRDefault="00962002" w:rsidP="00CB0ABC">
            <w:pPr>
              <w:pStyle w:val="TableCopy"/>
              <w:jc w:val="right"/>
              <w:rPr>
                <w:b/>
                <w:bCs/>
              </w:rPr>
            </w:pPr>
            <w:r w:rsidRPr="00CB0ABC">
              <w:rPr>
                <w:b/>
                <w:bCs/>
              </w:rPr>
              <w:t>(58,296)</w:t>
            </w:r>
          </w:p>
        </w:tc>
        <w:tc>
          <w:tcPr>
            <w:tcW w:w="1217" w:type="dxa"/>
          </w:tcPr>
          <w:p w14:paraId="7A00EC24" w14:textId="77777777" w:rsidR="00962002" w:rsidRPr="00CB0ABC" w:rsidRDefault="00962002" w:rsidP="00CB0ABC">
            <w:pPr>
              <w:pStyle w:val="TableCopy"/>
              <w:jc w:val="right"/>
              <w:rPr>
                <w:b/>
                <w:bCs/>
              </w:rPr>
            </w:pPr>
            <w:r w:rsidRPr="00CB0ABC">
              <w:rPr>
                <w:b/>
                <w:bCs/>
              </w:rPr>
              <w:t>(15,020)</w:t>
            </w:r>
          </w:p>
        </w:tc>
        <w:tc>
          <w:tcPr>
            <w:tcW w:w="1218" w:type="dxa"/>
          </w:tcPr>
          <w:p w14:paraId="107019A4" w14:textId="77777777" w:rsidR="00962002" w:rsidRPr="00CB0ABC" w:rsidRDefault="00962002" w:rsidP="00CB0ABC">
            <w:pPr>
              <w:pStyle w:val="TableCopy"/>
              <w:jc w:val="right"/>
              <w:rPr>
                <w:b/>
                <w:bCs/>
              </w:rPr>
            </w:pPr>
            <w:r w:rsidRPr="00CB0ABC">
              <w:rPr>
                <w:b/>
                <w:bCs/>
              </w:rPr>
              <w:t>(48,956)</w:t>
            </w:r>
          </w:p>
        </w:tc>
        <w:tc>
          <w:tcPr>
            <w:tcW w:w="1106" w:type="dxa"/>
          </w:tcPr>
          <w:p w14:paraId="37946618" w14:textId="77777777" w:rsidR="00962002" w:rsidRPr="002D15C0" w:rsidRDefault="00962002" w:rsidP="00CB0ABC">
            <w:pPr>
              <w:pStyle w:val="TableCopy"/>
              <w:jc w:val="right"/>
              <w:rPr>
                <w:rFonts w:ascii="Arial Bold" w:hAnsi="Arial Bold" w:hint="eastAsia"/>
                <w:b/>
                <w:bCs/>
                <w:spacing w:val="-4"/>
              </w:rPr>
            </w:pPr>
            <w:r w:rsidRPr="002D15C0">
              <w:rPr>
                <w:rFonts w:ascii="Arial Bold" w:hAnsi="Arial Bold"/>
                <w:b/>
                <w:bCs/>
                <w:spacing w:val="-4"/>
              </w:rPr>
              <w:t>(155,919)</w:t>
            </w:r>
          </w:p>
        </w:tc>
        <w:tc>
          <w:tcPr>
            <w:tcW w:w="1106" w:type="dxa"/>
          </w:tcPr>
          <w:p w14:paraId="531D856D" w14:textId="77777777" w:rsidR="00962002" w:rsidRPr="002D15C0" w:rsidRDefault="00962002" w:rsidP="00CB0ABC">
            <w:pPr>
              <w:pStyle w:val="TableCopy"/>
              <w:jc w:val="right"/>
              <w:rPr>
                <w:rFonts w:ascii="Arial Bold" w:hAnsi="Arial Bold" w:hint="eastAsia"/>
                <w:b/>
                <w:bCs/>
                <w:spacing w:val="-4"/>
              </w:rPr>
            </w:pPr>
            <w:r w:rsidRPr="002D15C0">
              <w:rPr>
                <w:rFonts w:ascii="Arial Bold" w:hAnsi="Arial Bold"/>
                <w:b/>
                <w:bCs/>
                <w:spacing w:val="-4"/>
              </w:rPr>
              <w:t>(192,293)</w:t>
            </w:r>
          </w:p>
        </w:tc>
      </w:tr>
      <w:tr w:rsidR="00962002" w:rsidRPr="00CB0ABC" w14:paraId="4B034829" w14:textId="77777777" w:rsidTr="00247F5B">
        <w:trPr>
          <w:cantSplit/>
        </w:trPr>
        <w:tc>
          <w:tcPr>
            <w:tcW w:w="3681" w:type="dxa"/>
          </w:tcPr>
          <w:p w14:paraId="3C723073" w14:textId="551BC1F4" w:rsidR="00962002" w:rsidRPr="00CB0ABC" w:rsidRDefault="00962002" w:rsidP="00CB0ABC">
            <w:pPr>
              <w:pStyle w:val="TableCopy"/>
              <w:rPr>
                <w:b/>
                <w:bCs/>
              </w:rPr>
            </w:pPr>
            <w:r w:rsidRPr="00CB0ABC">
              <w:rPr>
                <w:b/>
                <w:bCs/>
              </w:rPr>
              <w:t>Net result from transactions</w:t>
            </w:r>
          </w:p>
        </w:tc>
        <w:tc>
          <w:tcPr>
            <w:tcW w:w="1106" w:type="dxa"/>
          </w:tcPr>
          <w:p w14:paraId="03B974C3" w14:textId="49605CC9" w:rsidR="00962002" w:rsidRPr="00CB0ABC" w:rsidRDefault="00962002" w:rsidP="00CB0ABC">
            <w:pPr>
              <w:pStyle w:val="TableCopy"/>
              <w:jc w:val="right"/>
              <w:rPr>
                <w:b/>
                <w:bCs/>
              </w:rPr>
            </w:pPr>
            <w:r w:rsidRPr="00CB0ABC">
              <w:rPr>
                <w:b/>
                <w:bCs/>
              </w:rPr>
              <w:t>15,607</w:t>
            </w:r>
          </w:p>
        </w:tc>
        <w:tc>
          <w:tcPr>
            <w:tcW w:w="1106" w:type="dxa"/>
          </w:tcPr>
          <w:p w14:paraId="7CC10D2A" w14:textId="10D46011" w:rsidR="00962002" w:rsidRPr="00CB0ABC" w:rsidRDefault="00962002" w:rsidP="00CB0ABC">
            <w:pPr>
              <w:pStyle w:val="TableCopy"/>
              <w:jc w:val="right"/>
              <w:rPr>
                <w:b/>
                <w:bCs/>
              </w:rPr>
            </w:pPr>
            <w:r w:rsidRPr="00CB0ABC">
              <w:rPr>
                <w:b/>
                <w:bCs/>
              </w:rPr>
              <w:t>34,679</w:t>
            </w:r>
          </w:p>
        </w:tc>
        <w:tc>
          <w:tcPr>
            <w:tcW w:w="1106" w:type="dxa"/>
          </w:tcPr>
          <w:p w14:paraId="4EEFACAA" w14:textId="3E7625DF" w:rsidR="00962002" w:rsidRPr="00CB0ABC" w:rsidRDefault="00962002" w:rsidP="00CB0ABC">
            <w:pPr>
              <w:pStyle w:val="TableCopy"/>
              <w:jc w:val="right"/>
              <w:rPr>
                <w:b/>
                <w:bCs/>
              </w:rPr>
            </w:pPr>
            <w:r w:rsidRPr="00CB0ABC">
              <w:rPr>
                <w:b/>
                <w:bCs/>
              </w:rPr>
              <w:t>696</w:t>
            </w:r>
          </w:p>
        </w:tc>
        <w:tc>
          <w:tcPr>
            <w:tcW w:w="1105" w:type="dxa"/>
          </w:tcPr>
          <w:p w14:paraId="5BBFE27A" w14:textId="77777777" w:rsidR="00962002" w:rsidRPr="00CB0ABC" w:rsidRDefault="00962002" w:rsidP="00CB0ABC">
            <w:pPr>
              <w:pStyle w:val="TableCopy"/>
              <w:jc w:val="right"/>
              <w:rPr>
                <w:b/>
                <w:bCs/>
              </w:rPr>
            </w:pPr>
            <w:r w:rsidRPr="00CB0ABC">
              <w:rPr>
                <w:b/>
                <w:bCs/>
              </w:rPr>
              <w:t>(1,073)</w:t>
            </w:r>
          </w:p>
        </w:tc>
        <w:tc>
          <w:tcPr>
            <w:tcW w:w="1162" w:type="dxa"/>
          </w:tcPr>
          <w:p w14:paraId="6B6051A9" w14:textId="77777777" w:rsidR="00962002" w:rsidRPr="00CB0ABC" w:rsidRDefault="00962002" w:rsidP="00CB0ABC">
            <w:pPr>
              <w:pStyle w:val="TableCopy"/>
              <w:jc w:val="right"/>
              <w:rPr>
                <w:b/>
                <w:bCs/>
              </w:rPr>
            </w:pPr>
            <w:r w:rsidRPr="00CB0ABC">
              <w:rPr>
                <w:b/>
                <w:bCs/>
              </w:rPr>
              <w:t>1,111</w:t>
            </w:r>
          </w:p>
        </w:tc>
        <w:tc>
          <w:tcPr>
            <w:tcW w:w="1162" w:type="dxa"/>
          </w:tcPr>
          <w:p w14:paraId="6929BD73" w14:textId="77777777" w:rsidR="00962002" w:rsidRPr="00CB0ABC" w:rsidRDefault="00962002" w:rsidP="00CB0ABC">
            <w:pPr>
              <w:pStyle w:val="TableCopy"/>
              <w:jc w:val="right"/>
              <w:rPr>
                <w:b/>
                <w:bCs/>
              </w:rPr>
            </w:pPr>
            <w:r w:rsidRPr="00CB0ABC">
              <w:rPr>
                <w:b/>
                <w:bCs/>
              </w:rPr>
              <w:t>(4,117)</w:t>
            </w:r>
          </w:p>
        </w:tc>
        <w:tc>
          <w:tcPr>
            <w:tcW w:w="1217" w:type="dxa"/>
          </w:tcPr>
          <w:p w14:paraId="0155C4C4" w14:textId="5597B09B" w:rsidR="00962002" w:rsidRPr="00CB0ABC" w:rsidRDefault="00962002" w:rsidP="00CB0ABC">
            <w:pPr>
              <w:pStyle w:val="TableCopy"/>
              <w:jc w:val="right"/>
              <w:rPr>
                <w:b/>
                <w:bCs/>
              </w:rPr>
            </w:pPr>
            <w:r w:rsidRPr="00CB0ABC">
              <w:rPr>
                <w:b/>
                <w:bCs/>
              </w:rPr>
              <w:t>1,000</w:t>
            </w:r>
          </w:p>
        </w:tc>
        <w:tc>
          <w:tcPr>
            <w:tcW w:w="1218" w:type="dxa"/>
          </w:tcPr>
          <w:p w14:paraId="526A3A77" w14:textId="77777777" w:rsidR="00962002" w:rsidRPr="00CB0ABC" w:rsidRDefault="00962002" w:rsidP="00CB0ABC">
            <w:pPr>
              <w:pStyle w:val="TableCopy"/>
              <w:jc w:val="right"/>
              <w:rPr>
                <w:b/>
                <w:bCs/>
              </w:rPr>
            </w:pPr>
            <w:r w:rsidRPr="00CB0ABC">
              <w:rPr>
                <w:b/>
                <w:bCs/>
              </w:rPr>
              <w:t>(187)</w:t>
            </w:r>
          </w:p>
        </w:tc>
        <w:tc>
          <w:tcPr>
            <w:tcW w:w="1106" w:type="dxa"/>
          </w:tcPr>
          <w:p w14:paraId="5051C7F7" w14:textId="77777777" w:rsidR="00962002" w:rsidRPr="00CB0ABC" w:rsidRDefault="00962002" w:rsidP="00CB0ABC">
            <w:pPr>
              <w:pStyle w:val="TableCopy"/>
              <w:jc w:val="right"/>
              <w:rPr>
                <w:b/>
                <w:bCs/>
              </w:rPr>
            </w:pPr>
            <w:r w:rsidRPr="00CB0ABC">
              <w:rPr>
                <w:b/>
                <w:bCs/>
              </w:rPr>
              <w:t>2,008</w:t>
            </w:r>
          </w:p>
        </w:tc>
        <w:tc>
          <w:tcPr>
            <w:tcW w:w="1106" w:type="dxa"/>
          </w:tcPr>
          <w:p w14:paraId="6C7120C6" w14:textId="375F06EC" w:rsidR="00962002" w:rsidRPr="00CB0ABC" w:rsidRDefault="00962002" w:rsidP="00CB0ABC">
            <w:pPr>
              <w:pStyle w:val="TableCopy"/>
              <w:jc w:val="right"/>
              <w:rPr>
                <w:b/>
                <w:bCs/>
              </w:rPr>
            </w:pPr>
            <w:r w:rsidRPr="00CB0ABC">
              <w:rPr>
                <w:b/>
                <w:bCs/>
              </w:rPr>
              <w:t>12,490</w:t>
            </w:r>
          </w:p>
        </w:tc>
      </w:tr>
      <w:tr w:rsidR="00962002" w14:paraId="1D97F487" w14:textId="77777777" w:rsidTr="00247F5B">
        <w:trPr>
          <w:cantSplit/>
        </w:trPr>
        <w:tc>
          <w:tcPr>
            <w:tcW w:w="3681" w:type="dxa"/>
          </w:tcPr>
          <w:p w14:paraId="4C52D4E1" w14:textId="2D159EEE" w:rsidR="00962002" w:rsidRDefault="00962002" w:rsidP="00CB0ABC">
            <w:pPr>
              <w:pStyle w:val="TableHeading"/>
            </w:pPr>
            <w:r>
              <w:t>Other economic flows included in net result</w:t>
            </w:r>
          </w:p>
        </w:tc>
        <w:tc>
          <w:tcPr>
            <w:tcW w:w="1106" w:type="dxa"/>
          </w:tcPr>
          <w:p w14:paraId="20BD998D" w14:textId="77777777" w:rsidR="00962002" w:rsidRDefault="00962002" w:rsidP="00CB0ABC">
            <w:pPr>
              <w:pStyle w:val="TableHeading"/>
              <w:jc w:val="right"/>
              <w:rPr>
                <w:rFonts w:ascii="VIC Light" w:hAnsi="VIC Light" w:cstheme="minorBidi"/>
                <w:lang w:val="en-AU"/>
              </w:rPr>
            </w:pPr>
          </w:p>
        </w:tc>
        <w:tc>
          <w:tcPr>
            <w:tcW w:w="1106" w:type="dxa"/>
          </w:tcPr>
          <w:p w14:paraId="24B87996" w14:textId="77777777" w:rsidR="00962002" w:rsidRDefault="00962002" w:rsidP="00CB0ABC">
            <w:pPr>
              <w:pStyle w:val="TableHeading"/>
              <w:jc w:val="right"/>
              <w:rPr>
                <w:rFonts w:ascii="VIC Light" w:hAnsi="VIC Light" w:cstheme="minorBidi"/>
                <w:lang w:val="en-AU"/>
              </w:rPr>
            </w:pPr>
          </w:p>
        </w:tc>
        <w:tc>
          <w:tcPr>
            <w:tcW w:w="1106" w:type="dxa"/>
          </w:tcPr>
          <w:p w14:paraId="5E168F15" w14:textId="77777777" w:rsidR="00962002" w:rsidRDefault="00962002" w:rsidP="00CB0ABC">
            <w:pPr>
              <w:pStyle w:val="TableHeading"/>
              <w:jc w:val="right"/>
              <w:rPr>
                <w:rFonts w:ascii="VIC Light" w:hAnsi="VIC Light" w:cstheme="minorBidi"/>
                <w:lang w:val="en-AU"/>
              </w:rPr>
            </w:pPr>
          </w:p>
        </w:tc>
        <w:tc>
          <w:tcPr>
            <w:tcW w:w="1105" w:type="dxa"/>
          </w:tcPr>
          <w:p w14:paraId="227BF910" w14:textId="77777777" w:rsidR="00962002" w:rsidRDefault="00962002" w:rsidP="00CB0ABC">
            <w:pPr>
              <w:pStyle w:val="TableHeading"/>
              <w:jc w:val="right"/>
              <w:rPr>
                <w:rFonts w:ascii="VIC Light" w:hAnsi="VIC Light" w:cstheme="minorBidi"/>
                <w:lang w:val="en-AU"/>
              </w:rPr>
            </w:pPr>
          </w:p>
        </w:tc>
        <w:tc>
          <w:tcPr>
            <w:tcW w:w="1162" w:type="dxa"/>
          </w:tcPr>
          <w:p w14:paraId="090EABE3" w14:textId="77777777" w:rsidR="00962002" w:rsidRDefault="00962002" w:rsidP="00CB0ABC">
            <w:pPr>
              <w:pStyle w:val="TableHeading"/>
              <w:jc w:val="right"/>
              <w:rPr>
                <w:rFonts w:ascii="VIC Light" w:hAnsi="VIC Light" w:cstheme="minorBidi"/>
                <w:lang w:val="en-AU"/>
              </w:rPr>
            </w:pPr>
          </w:p>
        </w:tc>
        <w:tc>
          <w:tcPr>
            <w:tcW w:w="1162" w:type="dxa"/>
          </w:tcPr>
          <w:p w14:paraId="12E4EB79" w14:textId="77777777" w:rsidR="00962002" w:rsidRDefault="00962002" w:rsidP="00CB0ABC">
            <w:pPr>
              <w:pStyle w:val="TableHeading"/>
              <w:jc w:val="right"/>
              <w:rPr>
                <w:rFonts w:ascii="VIC Light" w:hAnsi="VIC Light" w:cstheme="minorBidi"/>
                <w:lang w:val="en-AU"/>
              </w:rPr>
            </w:pPr>
          </w:p>
        </w:tc>
        <w:tc>
          <w:tcPr>
            <w:tcW w:w="1217" w:type="dxa"/>
          </w:tcPr>
          <w:p w14:paraId="732A49C9" w14:textId="77777777" w:rsidR="00962002" w:rsidRDefault="00962002" w:rsidP="00CB0ABC">
            <w:pPr>
              <w:pStyle w:val="TableHeading"/>
              <w:jc w:val="right"/>
              <w:rPr>
                <w:rFonts w:ascii="VIC Light" w:hAnsi="VIC Light" w:cstheme="minorBidi"/>
                <w:lang w:val="en-AU"/>
              </w:rPr>
            </w:pPr>
          </w:p>
        </w:tc>
        <w:tc>
          <w:tcPr>
            <w:tcW w:w="1218" w:type="dxa"/>
          </w:tcPr>
          <w:p w14:paraId="385D9324" w14:textId="77777777" w:rsidR="00962002" w:rsidRDefault="00962002" w:rsidP="00CB0ABC">
            <w:pPr>
              <w:pStyle w:val="TableHeading"/>
              <w:jc w:val="right"/>
              <w:rPr>
                <w:rFonts w:ascii="VIC Light" w:hAnsi="VIC Light" w:cstheme="minorBidi"/>
                <w:lang w:val="en-AU"/>
              </w:rPr>
            </w:pPr>
          </w:p>
        </w:tc>
        <w:tc>
          <w:tcPr>
            <w:tcW w:w="1106" w:type="dxa"/>
          </w:tcPr>
          <w:p w14:paraId="78E28DF0" w14:textId="77777777" w:rsidR="00962002" w:rsidRDefault="00962002" w:rsidP="00CB0ABC">
            <w:pPr>
              <w:pStyle w:val="TableHeading"/>
              <w:jc w:val="right"/>
              <w:rPr>
                <w:rFonts w:ascii="VIC Light" w:hAnsi="VIC Light" w:cstheme="minorBidi"/>
                <w:lang w:val="en-AU"/>
              </w:rPr>
            </w:pPr>
          </w:p>
        </w:tc>
        <w:tc>
          <w:tcPr>
            <w:tcW w:w="1106" w:type="dxa"/>
          </w:tcPr>
          <w:p w14:paraId="266C236E" w14:textId="77777777" w:rsidR="00962002" w:rsidRDefault="00962002" w:rsidP="00CB0ABC">
            <w:pPr>
              <w:pStyle w:val="TableHeading"/>
              <w:jc w:val="right"/>
              <w:rPr>
                <w:rFonts w:ascii="VIC Light" w:hAnsi="VIC Light" w:cstheme="minorBidi"/>
                <w:lang w:val="en-AU"/>
              </w:rPr>
            </w:pPr>
          </w:p>
        </w:tc>
      </w:tr>
      <w:tr w:rsidR="00962002" w14:paraId="7B7E5BA2" w14:textId="77777777" w:rsidTr="00247F5B">
        <w:trPr>
          <w:cantSplit/>
        </w:trPr>
        <w:tc>
          <w:tcPr>
            <w:tcW w:w="3681" w:type="dxa"/>
          </w:tcPr>
          <w:p w14:paraId="698C900B" w14:textId="0FC95D47" w:rsidR="00962002" w:rsidRDefault="00962002" w:rsidP="00CB0ABC">
            <w:pPr>
              <w:pStyle w:val="TableCopy"/>
            </w:pPr>
            <w:r>
              <w:t>Net gains/(losses) on non-financial assets</w:t>
            </w:r>
          </w:p>
        </w:tc>
        <w:tc>
          <w:tcPr>
            <w:tcW w:w="1106" w:type="dxa"/>
          </w:tcPr>
          <w:p w14:paraId="507EEE41" w14:textId="539952B1" w:rsidR="00962002" w:rsidRDefault="00962002" w:rsidP="00CB0ABC">
            <w:pPr>
              <w:pStyle w:val="TableCopy"/>
              <w:jc w:val="right"/>
            </w:pPr>
            <w:r>
              <w:t>642</w:t>
            </w:r>
          </w:p>
        </w:tc>
        <w:tc>
          <w:tcPr>
            <w:tcW w:w="1106" w:type="dxa"/>
          </w:tcPr>
          <w:p w14:paraId="308721E9" w14:textId="3C062AAA" w:rsidR="00962002" w:rsidRDefault="00962002" w:rsidP="00CB0ABC">
            <w:pPr>
              <w:pStyle w:val="TableCopy"/>
              <w:jc w:val="right"/>
            </w:pPr>
            <w:r>
              <w:t>139</w:t>
            </w:r>
          </w:p>
        </w:tc>
        <w:tc>
          <w:tcPr>
            <w:tcW w:w="1106" w:type="dxa"/>
          </w:tcPr>
          <w:p w14:paraId="5650A638" w14:textId="539F97D8" w:rsidR="00962002" w:rsidRDefault="00962002" w:rsidP="00CB0ABC">
            <w:pPr>
              <w:pStyle w:val="TableCopy"/>
              <w:jc w:val="right"/>
            </w:pPr>
            <w:r>
              <w:t>2</w:t>
            </w:r>
          </w:p>
        </w:tc>
        <w:tc>
          <w:tcPr>
            <w:tcW w:w="1105" w:type="dxa"/>
          </w:tcPr>
          <w:p w14:paraId="6F05A222" w14:textId="2C911C60" w:rsidR="00962002" w:rsidRDefault="00962002" w:rsidP="00CB0ABC">
            <w:pPr>
              <w:pStyle w:val="TableCopy"/>
              <w:jc w:val="right"/>
            </w:pPr>
            <w:r>
              <w:t>2</w:t>
            </w:r>
          </w:p>
        </w:tc>
        <w:tc>
          <w:tcPr>
            <w:tcW w:w="1162" w:type="dxa"/>
          </w:tcPr>
          <w:p w14:paraId="4629F2DB" w14:textId="55FA5FB9" w:rsidR="00962002" w:rsidRDefault="00962002" w:rsidP="00CB0ABC">
            <w:pPr>
              <w:pStyle w:val="TableCopy"/>
              <w:jc w:val="right"/>
            </w:pPr>
            <w:r>
              <w:t>151</w:t>
            </w:r>
          </w:p>
        </w:tc>
        <w:tc>
          <w:tcPr>
            <w:tcW w:w="1162" w:type="dxa"/>
          </w:tcPr>
          <w:p w14:paraId="525682D1" w14:textId="013715AD" w:rsidR="00962002" w:rsidRDefault="00962002" w:rsidP="00CB0ABC">
            <w:pPr>
              <w:pStyle w:val="TableCopy"/>
              <w:jc w:val="right"/>
            </w:pPr>
            <w:r>
              <w:t>349</w:t>
            </w:r>
          </w:p>
        </w:tc>
        <w:tc>
          <w:tcPr>
            <w:tcW w:w="1217" w:type="dxa"/>
          </w:tcPr>
          <w:p w14:paraId="5BE55BCC" w14:textId="39473CAE" w:rsidR="00962002" w:rsidRDefault="00962002" w:rsidP="00CB0ABC">
            <w:pPr>
              <w:pStyle w:val="TableCopy"/>
              <w:jc w:val="right"/>
            </w:pPr>
            <w:r>
              <w:t>13</w:t>
            </w:r>
          </w:p>
        </w:tc>
        <w:tc>
          <w:tcPr>
            <w:tcW w:w="1218" w:type="dxa"/>
          </w:tcPr>
          <w:p w14:paraId="08FF9314" w14:textId="7CEFA6D7" w:rsidR="00962002" w:rsidRDefault="00962002" w:rsidP="00CB0ABC">
            <w:pPr>
              <w:pStyle w:val="TableCopy"/>
              <w:jc w:val="right"/>
            </w:pPr>
            <w:r>
              <w:t>18</w:t>
            </w:r>
          </w:p>
        </w:tc>
        <w:tc>
          <w:tcPr>
            <w:tcW w:w="1106" w:type="dxa"/>
          </w:tcPr>
          <w:p w14:paraId="4FBA244E" w14:textId="10E0844A" w:rsidR="00962002" w:rsidRDefault="00962002" w:rsidP="00CB0ABC">
            <w:pPr>
              <w:pStyle w:val="TableCopy"/>
              <w:jc w:val="right"/>
            </w:pPr>
            <w:r>
              <w:t>13</w:t>
            </w:r>
          </w:p>
        </w:tc>
        <w:tc>
          <w:tcPr>
            <w:tcW w:w="1106" w:type="dxa"/>
          </w:tcPr>
          <w:p w14:paraId="330FAD76" w14:textId="77CA28DA" w:rsidR="00962002" w:rsidRDefault="00962002" w:rsidP="00CB0ABC">
            <w:pPr>
              <w:pStyle w:val="TableCopy"/>
              <w:jc w:val="right"/>
            </w:pPr>
            <w:r>
              <w:t>–</w:t>
            </w:r>
          </w:p>
        </w:tc>
      </w:tr>
      <w:tr w:rsidR="00962002" w14:paraId="402616E9" w14:textId="77777777" w:rsidTr="00247F5B">
        <w:trPr>
          <w:cantSplit/>
        </w:trPr>
        <w:tc>
          <w:tcPr>
            <w:tcW w:w="3681" w:type="dxa"/>
          </w:tcPr>
          <w:p w14:paraId="398E58E7" w14:textId="3700F575" w:rsidR="00962002" w:rsidRDefault="00962002" w:rsidP="00CB0ABC">
            <w:pPr>
              <w:pStyle w:val="TableCopy"/>
            </w:pPr>
            <w:r>
              <w:t>Net (losses)/gains on financial instruments</w:t>
            </w:r>
          </w:p>
        </w:tc>
        <w:tc>
          <w:tcPr>
            <w:tcW w:w="1106" w:type="dxa"/>
          </w:tcPr>
          <w:p w14:paraId="24F563EC" w14:textId="6415074E" w:rsidR="00962002" w:rsidRDefault="00962002" w:rsidP="00CB0ABC">
            <w:pPr>
              <w:pStyle w:val="TableCopy"/>
              <w:jc w:val="right"/>
            </w:pPr>
            <w:r>
              <w:t>–</w:t>
            </w:r>
          </w:p>
        </w:tc>
        <w:tc>
          <w:tcPr>
            <w:tcW w:w="1106" w:type="dxa"/>
          </w:tcPr>
          <w:p w14:paraId="75070B94" w14:textId="77777777" w:rsidR="00962002" w:rsidRDefault="00962002" w:rsidP="00CB0ABC">
            <w:pPr>
              <w:pStyle w:val="TableCopy"/>
              <w:jc w:val="right"/>
            </w:pPr>
            <w:r>
              <w:t>(297)</w:t>
            </w:r>
          </w:p>
        </w:tc>
        <w:tc>
          <w:tcPr>
            <w:tcW w:w="1106" w:type="dxa"/>
          </w:tcPr>
          <w:p w14:paraId="7EA98DA6" w14:textId="6D017BAE" w:rsidR="00962002" w:rsidRDefault="00962002" w:rsidP="00CB0ABC">
            <w:pPr>
              <w:pStyle w:val="TableCopy"/>
              <w:jc w:val="right"/>
            </w:pPr>
            <w:r>
              <w:t>–</w:t>
            </w:r>
          </w:p>
        </w:tc>
        <w:tc>
          <w:tcPr>
            <w:tcW w:w="1105" w:type="dxa"/>
          </w:tcPr>
          <w:p w14:paraId="49AC026E" w14:textId="33DD7F16" w:rsidR="00962002" w:rsidRDefault="00962002" w:rsidP="00CB0ABC">
            <w:pPr>
              <w:pStyle w:val="TableCopy"/>
              <w:jc w:val="right"/>
            </w:pPr>
            <w:r>
              <w:t>–</w:t>
            </w:r>
          </w:p>
        </w:tc>
        <w:tc>
          <w:tcPr>
            <w:tcW w:w="1162" w:type="dxa"/>
          </w:tcPr>
          <w:p w14:paraId="66E609CE" w14:textId="55596EE1" w:rsidR="00962002" w:rsidRDefault="00962002" w:rsidP="00CB0ABC">
            <w:pPr>
              <w:pStyle w:val="TableCopy"/>
              <w:jc w:val="right"/>
            </w:pPr>
            <w:r>
              <w:t>–</w:t>
            </w:r>
          </w:p>
        </w:tc>
        <w:tc>
          <w:tcPr>
            <w:tcW w:w="1162" w:type="dxa"/>
          </w:tcPr>
          <w:p w14:paraId="2213077E" w14:textId="77777777" w:rsidR="00962002" w:rsidRDefault="00962002" w:rsidP="00CB0ABC">
            <w:pPr>
              <w:pStyle w:val="TableCopy"/>
              <w:jc w:val="right"/>
            </w:pPr>
            <w:r>
              <w:t>(47)</w:t>
            </w:r>
          </w:p>
        </w:tc>
        <w:tc>
          <w:tcPr>
            <w:tcW w:w="1217" w:type="dxa"/>
          </w:tcPr>
          <w:p w14:paraId="4F133694" w14:textId="00E1405B" w:rsidR="00962002" w:rsidRDefault="00962002" w:rsidP="00CB0ABC">
            <w:pPr>
              <w:pStyle w:val="TableCopy"/>
              <w:jc w:val="right"/>
            </w:pPr>
            <w:r>
              <w:t>–</w:t>
            </w:r>
          </w:p>
        </w:tc>
        <w:tc>
          <w:tcPr>
            <w:tcW w:w="1218" w:type="dxa"/>
          </w:tcPr>
          <w:p w14:paraId="2F21A262" w14:textId="5C6E878C" w:rsidR="00962002" w:rsidRDefault="00962002" w:rsidP="00CB0ABC">
            <w:pPr>
              <w:pStyle w:val="TableCopy"/>
              <w:jc w:val="right"/>
            </w:pPr>
            <w:r>
              <w:t>2</w:t>
            </w:r>
          </w:p>
        </w:tc>
        <w:tc>
          <w:tcPr>
            <w:tcW w:w="1106" w:type="dxa"/>
          </w:tcPr>
          <w:p w14:paraId="385F628B" w14:textId="640034C5" w:rsidR="00962002" w:rsidRDefault="00962002" w:rsidP="00CB0ABC">
            <w:pPr>
              <w:pStyle w:val="TableCopy"/>
              <w:jc w:val="right"/>
            </w:pPr>
            <w:r>
              <w:t>–</w:t>
            </w:r>
          </w:p>
        </w:tc>
        <w:tc>
          <w:tcPr>
            <w:tcW w:w="1106" w:type="dxa"/>
          </w:tcPr>
          <w:p w14:paraId="3E543946" w14:textId="3D3B5B05" w:rsidR="00962002" w:rsidRDefault="00962002" w:rsidP="00CB0ABC">
            <w:pPr>
              <w:pStyle w:val="TableCopy"/>
              <w:jc w:val="right"/>
            </w:pPr>
            <w:r>
              <w:t>–</w:t>
            </w:r>
          </w:p>
        </w:tc>
      </w:tr>
      <w:tr w:rsidR="00962002" w14:paraId="4321DEB4" w14:textId="77777777" w:rsidTr="00247F5B">
        <w:trPr>
          <w:cantSplit/>
        </w:trPr>
        <w:tc>
          <w:tcPr>
            <w:tcW w:w="3681" w:type="dxa"/>
          </w:tcPr>
          <w:p w14:paraId="1049B261" w14:textId="39AF8642" w:rsidR="00962002" w:rsidRDefault="00962002" w:rsidP="00CB0ABC">
            <w:pPr>
              <w:pStyle w:val="TableCopy"/>
            </w:pPr>
            <w:r>
              <w:t>Other gains from other economic flows</w:t>
            </w:r>
          </w:p>
        </w:tc>
        <w:tc>
          <w:tcPr>
            <w:tcW w:w="1106" w:type="dxa"/>
          </w:tcPr>
          <w:p w14:paraId="764CDC85" w14:textId="291F9793" w:rsidR="00962002" w:rsidRDefault="00962002" w:rsidP="00CB0ABC">
            <w:pPr>
              <w:pStyle w:val="TableCopy"/>
              <w:jc w:val="right"/>
            </w:pPr>
            <w:r>
              <w:t>165</w:t>
            </w:r>
          </w:p>
        </w:tc>
        <w:tc>
          <w:tcPr>
            <w:tcW w:w="1106" w:type="dxa"/>
          </w:tcPr>
          <w:p w14:paraId="7DB4DDBD" w14:textId="3C06A431" w:rsidR="00962002" w:rsidRDefault="00962002" w:rsidP="00CB0ABC">
            <w:pPr>
              <w:pStyle w:val="TableCopy"/>
              <w:jc w:val="right"/>
            </w:pPr>
            <w:r>
              <w:t>6,676</w:t>
            </w:r>
          </w:p>
        </w:tc>
        <w:tc>
          <w:tcPr>
            <w:tcW w:w="1106" w:type="dxa"/>
          </w:tcPr>
          <w:p w14:paraId="576D9491" w14:textId="65D5B1B5" w:rsidR="00962002" w:rsidRDefault="00962002" w:rsidP="00CB0ABC">
            <w:pPr>
              <w:pStyle w:val="TableCopy"/>
              <w:jc w:val="right"/>
            </w:pPr>
            <w:r>
              <w:t>6</w:t>
            </w:r>
          </w:p>
        </w:tc>
        <w:tc>
          <w:tcPr>
            <w:tcW w:w="1105" w:type="dxa"/>
          </w:tcPr>
          <w:p w14:paraId="21E96F72" w14:textId="520F58A6" w:rsidR="00962002" w:rsidRDefault="00962002" w:rsidP="00CB0ABC">
            <w:pPr>
              <w:pStyle w:val="TableCopy"/>
              <w:jc w:val="right"/>
            </w:pPr>
            <w:r>
              <w:t>51</w:t>
            </w:r>
          </w:p>
        </w:tc>
        <w:tc>
          <w:tcPr>
            <w:tcW w:w="1162" w:type="dxa"/>
          </w:tcPr>
          <w:p w14:paraId="13652A0E" w14:textId="31C8C7B9" w:rsidR="00962002" w:rsidRDefault="00962002" w:rsidP="00CB0ABC">
            <w:pPr>
              <w:pStyle w:val="TableCopy"/>
              <w:jc w:val="right"/>
            </w:pPr>
            <w:r>
              <w:t>29</w:t>
            </w:r>
          </w:p>
        </w:tc>
        <w:tc>
          <w:tcPr>
            <w:tcW w:w="1162" w:type="dxa"/>
          </w:tcPr>
          <w:p w14:paraId="2B0B130F" w14:textId="7EA2E1DD" w:rsidR="00962002" w:rsidRDefault="00962002" w:rsidP="00CB0ABC">
            <w:pPr>
              <w:pStyle w:val="TableCopy"/>
              <w:jc w:val="right"/>
            </w:pPr>
            <w:r>
              <w:t>249</w:t>
            </w:r>
          </w:p>
        </w:tc>
        <w:tc>
          <w:tcPr>
            <w:tcW w:w="1217" w:type="dxa"/>
          </w:tcPr>
          <w:p w14:paraId="62E6F439" w14:textId="49BFDD6F" w:rsidR="00962002" w:rsidRDefault="00962002" w:rsidP="00CB0ABC">
            <w:pPr>
              <w:pStyle w:val="TableCopy"/>
              <w:jc w:val="right"/>
            </w:pPr>
            <w:r>
              <w:t>6</w:t>
            </w:r>
          </w:p>
        </w:tc>
        <w:tc>
          <w:tcPr>
            <w:tcW w:w="1218" w:type="dxa"/>
          </w:tcPr>
          <w:p w14:paraId="51341D60" w14:textId="609ED8CB" w:rsidR="00962002" w:rsidRDefault="00962002" w:rsidP="00CB0ABC">
            <w:pPr>
              <w:pStyle w:val="TableCopy"/>
              <w:jc w:val="right"/>
            </w:pPr>
            <w:r>
              <w:t>51</w:t>
            </w:r>
          </w:p>
        </w:tc>
        <w:tc>
          <w:tcPr>
            <w:tcW w:w="1106" w:type="dxa"/>
          </w:tcPr>
          <w:p w14:paraId="5757D094" w14:textId="48EFCC0C" w:rsidR="00962002" w:rsidRDefault="00962002" w:rsidP="00CB0ABC">
            <w:pPr>
              <w:pStyle w:val="TableCopy"/>
              <w:jc w:val="right"/>
            </w:pPr>
            <w:r>
              <w:t>12</w:t>
            </w:r>
          </w:p>
        </w:tc>
        <w:tc>
          <w:tcPr>
            <w:tcW w:w="1106" w:type="dxa"/>
          </w:tcPr>
          <w:p w14:paraId="5EE99C66" w14:textId="3273BC35" w:rsidR="00962002" w:rsidRDefault="00962002" w:rsidP="00CB0ABC">
            <w:pPr>
              <w:pStyle w:val="TableCopy"/>
              <w:jc w:val="right"/>
            </w:pPr>
            <w:r>
              <w:t>75</w:t>
            </w:r>
          </w:p>
        </w:tc>
      </w:tr>
      <w:tr w:rsidR="00962002" w:rsidRPr="00CB0ABC" w14:paraId="17ECC181" w14:textId="77777777" w:rsidTr="00247F5B">
        <w:trPr>
          <w:cantSplit/>
        </w:trPr>
        <w:tc>
          <w:tcPr>
            <w:tcW w:w="3681" w:type="dxa"/>
          </w:tcPr>
          <w:p w14:paraId="05697D94" w14:textId="5261A024" w:rsidR="00962002" w:rsidRPr="00CB0ABC" w:rsidRDefault="00962002" w:rsidP="00CB0ABC">
            <w:pPr>
              <w:pStyle w:val="TableCopy"/>
              <w:rPr>
                <w:b/>
                <w:bCs/>
              </w:rPr>
            </w:pPr>
            <w:r w:rsidRPr="00CB0ABC">
              <w:rPr>
                <w:b/>
                <w:bCs/>
              </w:rPr>
              <w:lastRenderedPageBreak/>
              <w:t>Total other economic flows included in net result</w:t>
            </w:r>
          </w:p>
        </w:tc>
        <w:tc>
          <w:tcPr>
            <w:tcW w:w="1106" w:type="dxa"/>
          </w:tcPr>
          <w:p w14:paraId="3B03569B" w14:textId="1D07FA8C" w:rsidR="00962002" w:rsidRPr="00CB0ABC" w:rsidRDefault="00962002" w:rsidP="00CB0ABC">
            <w:pPr>
              <w:pStyle w:val="TableCopy"/>
              <w:jc w:val="right"/>
              <w:rPr>
                <w:b/>
                <w:bCs/>
              </w:rPr>
            </w:pPr>
            <w:r w:rsidRPr="00CB0ABC">
              <w:rPr>
                <w:b/>
                <w:bCs/>
              </w:rPr>
              <w:t>807</w:t>
            </w:r>
          </w:p>
        </w:tc>
        <w:tc>
          <w:tcPr>
            <w:tcW w:w="1106" w:type="dxa"/>
          </w:tcPr>
          <w:p w14:paraId="0A1E48DC" w14:textId="562396AA" w:rsidR="00962002" w:rsidRPr="00CB0ABC" w:rsidRDefault="00962002" w:rsidP="00CB0ABC">
            <w:pPr>
              <w:pStyle w:val="TableCopy"/>
              <w:jc w:val="right"/>
              <w:rPr>
                <w:b/>
                <w:bCs/>
              </w:rPr>
            </w:pPr>
            <w:r w:rsidRPr="00CB0ABC">
              <w:rPr>
                <w:b/>
                <w:bCs/>
              </w:rPr>
              <w:t>6,518</w:t>
            </w:r>
          </w:p>
        </w:tc>
        <w:tc>
          <w:tcPr>
            <w:tcW w:w="1106" w:type="dxa"/>
          </w:tcPr>
          <w:p w14:paraId="1D4DAD34" w14:textId="2E57CE60" w:rsidR="00962002" w:rsidRPr="00CB0ABC" w:rsidRDefault="00962002" w:rsidP="00CB0ABC">
            <w:pPr>
              <w:pStyle w:val="TableCopy"/>
              <w:jc w:val="right"/>
              <w:rPr>
                <w:b/>
                <w:bCs/>
              </w:rPr>
            </w:pPr>
            <w:r w:rsidRPr="00CB0ABC">
              <w:rPr>
                <w:b/>
                <w:bCs/>
              </w:rPr>
              <w:t>8</w:t>
            </w:r>
          </w:p>
        </w:tc>
        <w:tc>
          <w:tcPr>
            <w:tcW w:w="1105" w:type="dxa"/>
          </w:tcPr>
          <w:p w14:paraId="47FA57F7" w14:textId="799511D0" w:rsidR="00962002" w:rsidRPr="00CB0ABC" w:rsidRDefault="00962002" w:rsidP="00CB0ABC">
            <w:pPr>
              <w:pStyle w:val="TableCopy"/>
              <w:jc w:val="right"/>
              <w:rPr>
                <w:b/>
                <w:bCs/>
              </w:rPr>
            </w:pPr>
            <w:r w:rsidRPr="00CB0ABC">
              <w:rPr>
                <w:b/>
                <w:bCs/>
              </w:rPr>
              <w:t>53</w:t>
            </w:r>
          </w:p>
        </w:tc>
        <w:tc>
          <w:tcPr>
            <w:tcW w:w="1162" w:type="dxa"/>
          </w:tcPr>
          <w:p w14:paraId="6A0D81C9" w14:textId="66D949B4" w:rsidR="00962002" w:rsidRPr="00CB0ABC" w:rsidRDefault="00962002" w:rsidP="00CB0ABC">
            <w:pPr>
              <w:pStyle w:val="TableCopy"/>
              <w:jc w:val="right"/>
              <w:rPr>
                <w:b/>
                <w:bCs/>
              </w:rPr>
            </w:pPr>
            <w:r w:rsidRPr="00CB0ABC">
              <w:rPr>
                <w:b/>
                <w:bCs/>
              </w:rPr>
              <w:t>180</w:t>
            </w:r>
          </w:p>
        </w:tc>
        <w:tc>
          <w:tcPr>
            <w:tcW w:w="1162" w:type="dxa"/>
          </w:tcPr>
          <w:p w14:paraId="2338DACE" w14:textId="38ED6305" w:rsidR="00962002" w:rsidRPr="00CB0ABC" w:rsidRDefault="00962002" w:rsidP="00CB0ABC">
            <w:pPr>
              <w:pStyle w:val="TableCopy"/>
              <w:jc w:val="right"/>
              <w:rPr>
                <w:b/>
                <w:bCs/>
              </w:rPr>
            </w:pPr>
            <w:r w:rsidRPr="00CB0ABC">
              <w:rPr>
                <w:b/>
                <w:bCs/>
              </w:rPr>
              <w:t>551</w:t>
            </w:r>
          </w:p>
        </w:tc>
        <w:tc>
          <w:tcPr>
            <w:tcW w:w="1217" w:type="dxa"/>
          </w:tcPr>
          <w:p w14:paraId="572EE20F" w14:textId="05FC8E7D" w:rsidR="00962002" w:rsidRPr="00CB0ABC" w:rsidRDefault="00962002" w:rsidP="00CB0ABC">
            <w:pPr>
              <w:pStyle w:val="TableCopy"/>
              <w:jc w:val="right"/>
              <w:rPr>
                <w:b/>
                <w:bCs/>
              </w:rPr>
            </w:pPr>
            <w:r w:rsidRPr="00CB0ABC">
              <w:rPr>
                <w:b/>
                <w:bCs/>
              </w:rPr>
              <w:t>19</w:t>
            </w:r>
          </w:p>
        </w:tc>
        <w:tc>
          <w:tcPr>
            <w:tcW w:w="1218" w:type="dxa"/>
          </w:tcPr>
          <w:p w14:paraId="3CA32F64" w14:textId="77777777" w:rsidR="00962002" w:rsidRPr="00CB0ABC" w:rsidRDefault="00962002" w:rsidP="00CB0ABC">
            <w:pPr>
              <w:pStyle w:val="TableCopy"/>
              <w:jc w:val="right"/>
              <w:rPr>
                <w:b/>
                <w:bCs/>
              </w:rPr>
            </w:pPr>
            <w:r w:rsidRPr="00CB0ABC">
              <w:rPr>
                <w:b/>
                <w:bCs/>
              </w:rPr>
              <w:t>71</w:t>
            </w:r>
          </w:p>
        </w:tc>
        <w:tc>
          <w:tcPr>
            <w:tcW w:w="1106" w:type="dxa"/>
          </w:tcPr>
          <w:p w14:paraId="5B5DF647" w14:textId="77777777" w:rsidR="00962002" w:rsidRPr="00CB0ABC" w:rsidRDefault="00962002" w:rsidP="00CB0ABC">
            <w:pPr>
              <w:pStyle w:val="TableCopy"/>
              <w:jc w:val="right"/>
              <w:rPr>
                <w:b/>
                <w:bCs/>
              </w:rPr>
            </w:pPr>
            <w:r w:rsidRPr="00CB0ABC">
              <w:rPr>
                <w:b/>
                <w:bCs/>
              </w:rPr>
              <w:t>25</w:t>
            </w:r>
          </w:p>
        </w:tc>
        <w:tc>
          <w:tcPr>
            <w:tcW w:w="1106" w:type="dxa"/>
          </w:tcPr>
          <w:p w14:paraId="3EBDF1A9" w14:textId="44F2F274" w:rsidR="00962002" w:rsidRPr="00CB0ABC" w:rsidRDefault="00962002" w:rsidP="00CB0ABC">
            <w:pPr>
              <w:pStyle w:val="TableCopy"/>
              <w:jc w:val="right"/>
              <w:rPr>
                <w:b/>
                <w:bCs/>
              </w:rPr>
            </w:pPr>
            <w:r w:rsidRPr="00CB0ABC">
              <w:rPr>
                <w:b/>
                <w:bCs/>
              </w:rPr>
              <w:t>75</w:t>
            </w:r>
          </w:p>
        </w:tc>
      </w:tr>
      <w:tr w:rsidR="00962002" w:rsidRPr="00CB0ABC" w14:paraId="641B8F6C" w14:textId="77777777" w:rsidTr="00247F5B">
        <w:trPr>
          <w:cantSplit/>
        </w:trPr>
        <w:tc>
          <w:tcPr>
            <w:tcW w:w="3681" w:type="dxa"/>
          </w:tcPr>
          <w:p w14:paraId="70C834EC" w14:textId="5B53DC7E" w:rsidR="00962002" w:rsidRPr="00CB0ABC" w:rsidRDefault="00962002" w:rsidP="00CB0ABC">
            <w:pPr>
              <w:pStyle w:val="TableCopy"/>
              <w:rPr>
                <w:b/>
                <w:bCs/>
              </w:rPr>
            </w:pPr>
            <w:r w:rsidRPr="00CB0ABC">
              <w:rPr>
                <w:b/>
                <w:bCs/>
              </w:rPr>
              <w:t>Net result from continuing operations</w:t>
            </w:r>
          </w:p>
        </w:tc>
        <w:tc>
          <w:tcPr>
            <w:tcW w:w="1106" w:type="dxa"/>
          </w:tcPr>
          <w:p w14:paraId="4BA33161" w14:textId="374C29F4" w:rsidR="00962002" w:rsidRPr="00CB0ABC" w:rsidRDefault="00962002" w:rsidP="00CB0ABC">
            <w:pPr>
              <w:pStyle w:val="TableCopy"/>
              <w:jc w:val="right"/>
              <w:rPr>
                <w:b/>
                <w:bCs/>
              </w:rPr>
            </w:pPr>
            <w:r w:rsidRPr="00CB0ABC">
              <w:rPr>
                <w:b/>
                <w:bCs/>
              </w:rPr>
              <w:t>16,414</w:t>
            </w:r>
          </w:p>
        </w:tc>
        <w:tc>
          <w:tcPr>
            <w:tcW w:w="1106" w:type="dxa"/>
          </w:tcPr>
          <w:p w14:paraId="4EAA2297" w14:textId="7FF238FF" w:rsidR="00962002" w:rsidRPr="00CB0ABC" w:rsidRDefault="00962002" w:rsidP="00CB0ABC">
            <w:pPr>
              <w:pStyle w:val="TableCopy"/>
              <w:jc w:val="right"/>
              <w:rPr>
                <w:b/>
                <w:bCs/>
              </w:rPr>
            </w:pPr>
            <w:r w:rsidRPr="00CB0ABC">
              <w:rPr>
                <w:b/>
                <w:bCs/>
              </w:rPr>
              <w:t>41,197</w:t>
            </w:r>
          </w:p>
        </w:tc>
        <w:tc>
          <w:tcPr>
            <w:tcW w:w="1106" w:type="dxa"/>
          </w:tcPr>
          <w:p w14:paraId="13E36792" w14:textId="0A819A28" w:rsidR="00962002" w:rsidRPr="00CB0ABC" w:rsidRDefault="00962002" w:rsidP="00CB0ABC">
            <w:pPr>
              <w:pStyle w:val="TableCopy"/>
              <w:jc w:val="right"/>
              <w:rPr>
                <w:b/>
                <w:bCs/>
              </w:rPr>
            </w:pPr>
            <w:r w:rsidRPr="00CB0ABC">
              <w:rPr>
                <w:b/>
                <w:bCs/>
              </w:rPr>
              <w:t>704</w:t>
            </w:r>
          </w:p>
        </w:tc>
        <w:tc>
          <w:tcPr>
            <w:tcW w:w="1105" w:type="dxa"/>
          </w:tcPr>
          <w:p w14:paraId="16090C8E" w14:textId="77777777" w:rsidR="00962002" w:rsidRPr="00CB0ABC" w:rsidRDefault="00962002" w:rsidP="00CB0ABC">
            <w:pPr>
              <w:pStyle w:val="TableCopy"/>
              <w:jc w:val="right"/>
              <w:rPr>
                <w:b/>
                <w:bCs/>
              </w:rPr>
            </w:pPr>
            <w:r w:rsidRPr="00CB0ABC">
              <w:rPr>
                <w:b/>
                <w:bCs/>
              </w:rPr>
              <w:t>(1,020)</w:t>
            </w:r>
          </w:p>
        </w:tc>
        <w:tc>
          <w:tcPr>
            <w:tcW w:w="1162" w:type="dxa"/>
          </w:tcPr>
          <w:p w14:paraId="7433661F" w14:textId="2903AC67" w:rsidR="00962002" w:rsidRPr="00CB0ABC" w:rsidRDefault="00962002" w:rsidP="00CB0ABC">
            <w:pPr>
              <w:pStyle w:val="TableCopy"/>
              <w:jc w:val="right"/>
              <w:rPr>
                <w:b/>
                <w:bCs/>
              </w:rPr>
            </w:pPr>
            <w:r w:rsidRPr="00CB0ABC">
              <w:rPr>
                <w:b/>
                <w:bCs/>
              </w:rPr>
              <w:t>1,291</w:t>
            </w:r>
          </w:p>
        </w:tc>
        <w:tc>
          <w:tcPr>
            <w:tcW w:w="1162" w:type="dxa"/>
          </w:tcPr>
          <w:p w14:paraId="72E1987D" w14:textId="77777777" w:rsidR="00962002" w:rsidRPr="00CB0ABC" w:rsidRDefault="00962002" w:rsidP="00CB0ABC">
            <w:pPr>
              <w:pStyle w:val="TableCopy"/>
              <w:jc w:val="right"/>
              <w:rPr>
                <w:b/>
                <w:bCs/>
              </w:rPr>
            </w:pPr>
            <w:r w:rsidRPr="00CB0ABC">
              <w:rPr>
                <w:b/>
                <w:bCs/>
              </w:rPr>
              <w:t>(3,566)</w:t>
            </w:r>
          </w:p>
        </w:tc>
        <w:tc>
          <w:tcPr>
            <w:tcW w:w="1217" w:type="dxa"/>
          </w:tcPr>
          <w:p w14:paraId="53A3DC89" w14:textId="0CF9A3EB" w:rsidR="00962002" w:rsidRPr="00CB0ABC" w:rsidRDefault="00962002" w:rsidP="00CB0ABC">
            <w:pPr>
              <w:pStyle w:val="TableCopy"/>
              <w:jc w:val="right"/>
              <w:rPr>
                <w:b/>
                <w:bCs/>
              </w:rPr>
            </w:pPr>
            <w:r w:rsidRPr="00CB0ABC">
              <w:rPr>
                <w:b/>
                <w:bCs/>
              </w:rPr>
              <w:t>1,019</w:t>
            </w:r>
          </w:p>
        </w:tc>
        <w:tc>
          <w:tcPr>
            <w:tcW w:w="1218" w:type="dxa"/>
          </w:tcPr>
          <w:p w14:paraId="5050479D" w14:textId="77777777" w:rsidR="00962002" w:rsidRPr="00CB0ABC" w:rsidRDefault="00962002" w:rsidP="00CB0ABC">
            <w:pPr>
              <w:pStyle w:val="TableCopy"/>
              <w:jc w:val="right"/>
              <w:rPr>
                <w:b/>
                <w:bCs/>
              </w:rPr>
            </w:pPr>
            <w:r w:rsidRPr="00CB0ABC">
              <w:rPr>
                <w:b/>
                <w:bCs/>
              </w:rPr>
              <w:t>(116)</w:t>
            </w:r>
          </w:p>
        </w:tc>
        <w:tc>
          <w:tcPr>
            <w:tcW w:w="1106" w:type="dxa"/>
          </w:tcPr>
          <w:p w14:paraId="32D835B1" w14:textId="60122032" w:rsidR="00962002" w:rsidRPr="00CB0ABC" w:rsidRDefault="00962002" w:rsidP="00CB0ABC">
            <w:pPr>
              <w:pStyle w:val="TableCopy"/>
              <w:jc w:val="right"/>
              <w:rPr>
                <w:b/>
                <w:bCs/>
              </w:rPr>
            </w:pPr>
            <w:r w:rsidRPr="00CB0ABC">
              <w:rPr>
                <w:b/>
                <w:bCs/>
              </w:rPr>
              <w:t>2,033</w:t>
            </w:r>
          </w:p>
        </w:tc>
        <w:tc>
          <w:tcPr>
            <w:tcW w:w="1106" w:type="dxa"/>
          </w:tcPr>
          <w:p w14:paraId="2B90911B" w14:textId="326A165A" w:rsidR="00962002" w:rsidRPr="00CB0ABC" w:rsidRDefault="00962002" w:rsidP="00CB0ABC">
            <w:pPr>
              <w:pStyle w:val="TableCopy"/>
              <w:jc w:val="right"/>
              <w:rPr>
                <w:b/>
                <w:bCs/>
              </w:rPr>
            </w:pPr>
            <w:r w:rsidRPr="00CB0ABC">
              <w:rPr>
                <w:b/>
                <w:bCs/>
              </w:rPr>
              <w:t>12,565</w:t>
            </w:r>
          </w:p>
        </w:tc>
      </w:tr>
      <w:tr w:rsidR="00962002" w14:paraId="40EFE956" w14:textId="77777777" w:rsidTr="00247F5B">
        <w:trPr>
          <w:cantSplit/>
        </w:trPr>
        <w:tc>
          <w:tcPr>
            <w:tcW w:w="3681" w:type="dxa"/>
          </w:tcPr>
          <w:p w14:paraId="0C1F4E19" w14:textId="7DE791D1" w:rsidR="00962002" w:rsidRPr="00247F5B" w:rsidRDefault="00962002" w:rsidP="00CB0ABC">
            <w:pPr>
              <w:pStyle w:val="TableHeading"/>
              <w:rPr>
                <w:rFonts w:ascii="Arial Bold" w:hAnsi="Arial Bold" w:hint="eastAsia"/>
              </w:rPr>
            </w:pPr>
            <w:r w:rsidRPr="00247F5B">
              <w:rPr>
                <w:rFonts w:ascii="Arial Bold" w:hAnsi="Arial Bold"/>
              </w:rPr>
              <w:t>Other economic flows – other comprehensive income: Items that what will not be reclassified to net result</w:t>
            </w:r>
          </w:p>
        </w:tc>
        <w:tc>
          <w:tcPr>
            <w:tcW w:w="1106" w:type="dxa"/>
          </w:tcPr>
          <w:p w14:paraId="2803CCE8" w14:textId="77777777" w:rsidR="00962002" w:rsidRDefault="00962002" w:rsidP="00CB0ABC">
            <w:pPr>
              <w:pStyle w:val="TableHeading"/>
              <w:jc w:val="right"/>
              <w:rPr>
                <w:rFonts w:ascii="VIC Light" w:hAnsi="VIC Light" w:cstheme="minorBidi"/>
                <w:lang w:val="en-AU"/>
              </w:rPr>
            </w:pPr>
          </w:p>
        </w:tc>
        <w:tc>
          <w:tcPr>
            <w:tcW w:w="1106" w:type="dxa"/>
          </w:tcPr>
          <w:p w14:paraId="34D8A01F" w14:textId="77777777" w:rsidR="00962002" w:rsidRDefault="00962002" w:rsidP="00CB0ABC">
            <w:pPr>
              <w:pStyle w:val="TableHeading"/>
              <w:jc w:val="right"/>
              <w:rPr>
                <w:rFonts w:ascii="VIC Light" w:hAnsi="VIC Light" w:cstheme="minorBidi"/>
                <w:lang w:val="en-AU"/>
              </w:rPr>
            </w:pPr>
          </w:p>
        </w:tc>
        <w:tc>
          <w:tcPr>
            <w:tcW w:w="1106" w:type="dxa"/>
          </w:tcPr>
          <w:p w14:paraId="12ED6000" w14:textId="77777777" w:rsidR="00962002" w:rsidRDefault="00962002" w:rsidP="00CB0ABC">
            <w:pPr>
              <w:pStyle w:val="TableHeading"/>
              <w:jc w:val="right"/>
              <w:rPr>
                <w:rFonts w:ascii="VIC Light" w:hAnsi="VIC Light" w:cstheme="minorBidi"/>
                <w:lang w:val="en-AU"/>
              </w:rPr>
            </w:pPr>
          </w:p>
        </w:tc>
        <w:tc>
          <w:tcPr>
            <w:tcW w:w="1105" w:type="dxa"/>
          </w:tcPr>
          <w:p w14:paraId="37888DB5" w14:textId="77777777" w:rsidR="00962002" w:rsidRDefault="00962002" w:rsidP="00CB0ABC">
            <w:pPr>
              <w:pStyle w:val="TableHeading"/>
              <w:jc w:val="right"/>
              <w:rPr>
                <w:rFonts w:ascii="VIC Light" w:hAnsi="VIC Light" w:cstheme="minorBidi"/>
                <w:lang w:val="en-AU"/>
              </w:rPr>
            </w:pPr>
          </w:p>
        </w:tc>
        <w:tc>
          <w:tcPr>
            <w:tcW w:w="1162" w:type="dxa"/>
          </w:tcPr>
          <w:p w14:paraId="0CB12AF4" w14:textId="77777777" w:rsidR="00962002" w:rsidRDefault="00962002" w:rsidP="00CB0ABC">
            <w:pPr>
              <w:pStyle w:val="TableHeading"/>
              <w:jc w:val="right"/>
              <w:rPr>
                <w:rFonts w:ascii="VIC Light" w:hAnsi="VIC Light" w:cstheme="minorBidi"/>
                <w:lang w:val="en-AU"/>
              </w:rPr>
            </w:pPr>
          </w:p>
        </w:tc>
        <w:tc>
          <w:tcPr>
            <w:tcW w:w="1162" w:type="dxa"/>
          </w:tcPr>
          <w:p w14:paraId="03C99016" w14:textId="77777777" w:rsidR="00962002" w:rsidRDefault="00962002" w:rsidP="00CB0ABC">
            <w:pPr>
              <w:pStyle w:val="TableHeading"/>
              <w:jc w:val="right"/>
              <w:rPr>
                <w:rFonts w:ascii="VIC Light" w:hAnsi="VIC Light" w:cstheme="minorBidi"/>
                <w:lang w:val="en-AU"/>
              </w:rPr>
            </w:pPr>
          </w:p>
        </w:tc>
        <w:tc>
          <w:tcPr>
            <w:tcW w:w="1217" w:type="dxa"/>
          </w:tcPr>
          <w:p w14:paraId="66A94D5E" w14:textId="77777777" w:rsidR="00962002" w:rsidRDefault="00962002" w:rsidP="00CB0ABC">
            <w:pPr>
              <w:pStyle w:val="TableHeading"/>
              <w:jc w:val="right"/>
              <w:rPr>
                <w:rFonts w:ascii="VIC Light" w:hAnsi="VIC Light" w:cstheme="minorBidi"/>
                <w:lang w:val="en-AU"/>
              </w:rPr>
            </w:pPr>
          </w:p>
        </w:tc>
        <w:tc>
          <w:tcPr>
            <w:tcW w:w="1218" w:type="dxa"/>
          </w:tcPr>
          <w:p w14:paraId="080A03E4" w14:textId="77777777" w:rsidR="00962002" w:rsidRDefault="00962002" w:rsidP="00CB0ABC">
            <w:pPr>
              <w:pStyle w:val="TableHeading"/>
              <w:jc w:val="right"/>
              <w:rPr>
                <w:rFonts w:ascii="VIC Light" w:hAnsi="VIC Light" w:cstheme="minorBidi"/>
                <w:lang w:val="en-AU"/>
              </w:rPr>
            </w:pPr>
          </w:p>
        </w:tc>
        <w:tc>
          <w:tcPr>
            <w:tcW w:w="1106" w:type="dxa"/>
          </w:tcPr>
          <w:p w14:paraId="0343F528" w14:textId="77777777" w:rsidR="00962002" w:rsidRDefault="00962002" w:rsidP="00CB0ABC">
            <w:pPr>
              <w:pStyle w:val="TableHeading"/>
              <w:jc w:val="right"/>
              <w:rPr>
                <w:rFonts w:ascii="VIC Light" w:hAnsi="VIC Light" w:cstheme="minorBidi"/>
                <w:lang w:val="en-AU"/>
              </w:rPr>
            </w:pPr>
          </w:p>
        </w:tc>
        <w:tc>
          <w:tcPr>
            <w:tcW w:w="1106" w:type="dxa"/>
          </w:tcPr>
          <w:p w14:paraId="6120C344" w14:textId="77777777" w:rsidR="00962002" w:rsidRDefault="00962002" w:rsidP="00CB0ABC">
            <w:pPr>
              <w:pStyle w:val="TableHeading"/>
              <w:jc w:val="right"/>
              <w:rPr>
                <w:rFonts w:ascii="VIC Light" w:hAnsi="VIC Light" w:cstheme="minorBidi"/>
                <w:lang w:val="en-AU"/>
              </w:rPr>
            </w:pPr>
          </w:p>
        </w:tc>
      </w:tr>
      <w:tr w:rsidR="00962002" w14:paraId="36713D05" w14:textId="77777777" w:rsidTr="00247F5B">
        <w:trPr>
          <w:cantSplit/>
        </w:trPr>
        <w:tc>
          <w:tcPr>
            <w:tcW w:w="3681" w:type="dxa"/>
          </w:tcPr>
          <w:p w14:paraId="4ED76CB8" w14:textId="012799B3" w:rsidR="00962002" w:rsidRDefault="00962002" w:rsidP="00CB0ABC">
            <w:pPr>
              <w:pStyle w:val="TableCopy"/>
            </w:pPr>
            <w:r>
              <w:t>Changes in physical asset revaluation surplus</w:t>
            </w:r>
          </w:p>
        </w:tc>
        <w:tc>
          <w:tcPr>
            <w:tcW w:w="1106" w:type="dxa"/>
          </w:tcPr>
          <w:p w14:paraId="3972BEF0" w14:textId="2A458861" w:rsidR="00962002" w:rsidRDefault="00962002" w:rsidP="00CB0ABC">
            <w:pPr>
              <w:pStyle w:val="TableCopy"/>
              <w:jc w:val="right"/>
            </w:pPr>
            <w:r>
              <w:t>–</w:t>
            </w:r>
          </w:p>
        </w:tc>
        <w:tc>
          <w:tcPr>
            <w:tcW w:w="1106" w:type="dxa"/>
          </w:tcPr>
          <w:p w14:paraId="0213CCD7" w14:textId="00B4E6F6" w:rsidR="00962002" w:rsidRDefault="00962002" w:rsidP="00CB0ABC">
            <w:pPr>
              <w:pStyle w:val="TableCopy"/>
              <w:jc w:val="right"/>
            </w:pPr>
            <w:r>
              <w:t>–</w:t>
            </w:r>
          </w:p>
        </w:tc>
        <w:tc>
          <w:tcPr>
            <w:tcW w:w="1106" w:type="dxa"/>
          </w:tcPr>
          <w:p w14:paraId="2EC8622A" w14:textId="0E060EE7" w:rsidR="00962002" w:rsidRDefault="00962002" w:rsidP="00CB0ABC">
            <w:pPr>
              <w:pStyle w:val="TableCopy"/>
              <w:jc w:val="right"/>
            </w:pPr>
            <w:r>
              <w:t>–</w:t>
            </w:r>
          </w:p>
        </w:tc>
        <w:tc>
          <w:tcPr>
            <w:tcW w:w="1105" w:type="dxa"/>
          </w:tcPr>
          <w:p w14:paraId="586ABA86" w14:textId="6FF8ED62" w:rsidR="00962002" w:rsidRDefault="00962002" w:rsidP="00CB0ABC">
            <w:pPr>
              <w:pStyle w:val="TableCopy"/>
              <w:jc w:val="right"/>
            </w:pPr>
            <w:r>
              <w:t>–</w:t>
            </w:r>
          </w:p>
        </w:tc>
        <w:tc>
          <w:tcPr>
            <w:tcW w:w="1162" w:type="dxa"/>
          </w:tcPr>
          <w:p w14:paraId="11829BA5" w14:textId="14F2B4C3" w:rsidR="00962002" w:rsidRDefault="00962002" w:rsidP="00CB0ABC">
            <w:pPr>
              <w:pStyle w:val="TableCopy"/>
              <w:jc w:val="right"/>
            </w:pPr>
            <w:r>
              <w:t>–</w:t>
            </w:r>
          </w:p>
        </w:tc>
        <w:tc>
          <w:tcPr>
            <w:tcW w:w="1162" w:type="dxa"/>
          </w:tcPr>
          <w:p w14:paraId="5A99D12C" w14:textId="1F142D82" w:rsidR="00962002" w:rsidRDefault="00962002" w:rsidP="00CB0ABC">
            <w:pPr>
              <w:pStyle w:val="TableCopy"/>
              <w:jc w:val="right"/>
            </w:pPr>
            <w:r>
              <w:t>–</w:t>
            </w:r>
          </w:p>
        </w:tc>
        <w:tc>
          <w:tcPr>
            <w:tcW w:w="1217" w:type="dxa"/>
          </w:tcPr>
          <w:p w14:paraId="59FA62B8" w14:textId="1B91B801" w:rsidR="00962002" w:rsidRDefault="00962002" w:rsidP="00CB0ABC">
            <w:pPr>
              <w:pStyle w:val="TableCopy"/>
              <w:jc w:val="right"/>
            </w:pPr>
            <w:r>
              <w:t>–</w:t>
            </w:r>
          </w:p>
        </w:tc>
        <w:tc>
          <w:tcPr>
            <w:tcW w:w="1218" w:type="dxa"/>
          </w:tcPr>
          <w:p w14:paraId="75AA0F99" w14:textId="5CC1CF13" w:rsidR="00962002" w:rsidRDefault="00962002" w:rsidP="00CB0ABC">
            <w:pPr>
              <w:pStyle w:val="TableCopy"/>
              <w:jc w:val="right"/>
            </w:pPr>
            <w:r>
              <w:t>–</w:t>
            </w:r>
          </w:p>
        </w:tc>
        <w:tc>
          <w:tcPr>
            <w:tcW w:w="1106" w:type="dxa"/>
          </w:tcPr>
          <w:p w14:paraId="182549DC" w14:textId="1F55DB0D" w:rsidR="00962002" w:rsidRDefault="00962002" w:rsidP="00CB0ABC">
            <w:pPr>
              <w:pStyle w:val="TableCopy"/>
              <w:jc w:val="right"/>
            </w:pPr>
            <w:r>
              <w:t>–</w:t>
            </w:r>
          </w:p>
        </w:tc>
        <w:tc>
          <w:tcPr>
            <w:tcW w:w="1106" w:type="dxa"/>
          </w:tcPr>
          <w:p w14:paraId="698F3856" w14:textId="00BAB954" w:rsidR="00962002" w:rsidRDefault="00962002" w:rsidP="00CB0ABC">
            <w:pPr>
              <w:pStyle w:val="TableCopy"/>
              <w:jc w:val="right"/>
            </w:pPr>
            <w:r>
              <w:t>–</w:t>
            </w:r>
          </w:p>
        </w:tc>
      </w:tr>
      <w:tr w:rsidR="00962002" w:rsidRPr="00D05F44" w14:paraId="52F06BAD" w14:textId="77777777" w:rsidTr="00247F5B">
        <w:trPr>
          <w:cantSplit/>
        </w:trPr>
        <w:tc>
          <w:tcPr>
            <w:tcW w:w="3681" w:type="dxa"/>
          </w:tcPr>
          <w:p w14:paraId="313EB35F" w14:textId="74F1866E" w:rsidR="00962002" w:rsidRPr="00CB0ABC" w:rsidRDefault="00962002" w:rsidP="00CB0ABC">
            <w:pPr>
              <w:pStyle w:val="TableCopy"/>
              <w:rPr>
                <w:b/>
                <w:bCs/>
              </w:rPr>
            </w:pPr>
            <w:r w:rsidRPr="00CB0ABC">
              <w:rPr>
                <w:b/>
                <w:bCs/>
              </w:rPr>
              <w:t>Comprehensive result</w:t>
            </w:r>
          </w:p>
        </w:tc>
        <w:tc>
          <w:tcPr>
            <w:tcW w:w="1106" w:type="dxa"/>
          </w:tcPr>
          <w:p w14:paraId="4D741316" w14:textId="166485AA" w:rsidR="00962002" w:rsidRPr="00D05F44" w:rsidRDefault="00962002" w:rsidP="00D05F44">
            <w:pPr>
              <w:pStyle w:val="TableCopy"/>
              <w:jc w:val="right"/>
              <w:rPr>
                <w:b/>
                <w:bCs/>
              </w:rPr>
            </w:pPr>
            <w:r w:rsidRPr="00D05F44">
              <w:rPr>
                <w:b/>
                <w:bCs/>
              </w:rPr>
              <w:t>16,414</w:t>
            </w:r>
          </w:p>
        </w:tc>
        <w:tc>
          <w:tcPr>
            <w:tcW w:w="1106" w:type="dxa"/>
          </w:tcPr>
          <w:p w14:paraId="790D0915" w14:textId="29687C70" w:rsidR="00962002" w:rsidRPr="00D05F44" w:rsidRDefault="00962002" w:rsidP="00D05F44">
            <w:pPr>
              <w:pStyle w:val="TableCopy"/>
              <w:jc w:val="right"/>
              <w:rPr>
                <w:b/>
                <w:bCs/>
              </w:rPr>
            </w:pPr>
            <w:r w:rsidRPr="00D05F44">
              <w:rPr>
                <w:b/>
                <w:bCs/>
              </w:rPr>
              <w:t>41,197</w:t>
            </w:r>
          </w:p>
        </w:tc>
        <w:tc>
          <w:tcPr>
            <w:tcW w:w="1106" w:type="dxa"/>
          </w:tcPr>
          <w:p w14:paraId="501C399F" w14:textId="287AA413" w:rsidR="00962002" w:rsidRPr="00D05F44" w:rsidRDefault="00962002" w:rsidP="00D05F44">
            <w:pPr>
              <w:pStyle w:val="TableCopy"/>
              <w:jc w:val="right"/>
              <w:rPr>
                <w:b/>
                <w:bCs/>
              </w:rPr>
            </w:pPr>
            <w:r w:rsidRPr="00D05F44">
              <w:rPr>
                <w:b/>
                <w:bCs/>
              </w:rPr>
              <w:t>704</w:t>
            </w:r>
          </w:p>
        </w:tc>
        <w:tc>
          <w:tcPr>
            <w:tcW w:w="1105" w:type="dxa"/>
          </w:tcPr>
          <w:p w14:paraId="65DB6B24" w14:textId="77777777" w:rsidR="00962002" w:rsidRPr="00D05F44" w:rsidRDefault="00962002" w:rsidP="00D05F44">
            <w:pPr>
              <w:pStyle w:val="TableCopy"/>
              <w:jc w:val="right"/>
              <w:rPr>
                <w:b/>
                <w:bCs/>
              </w:rPr>
            </w:pPr>
            <w:r w:rsidRPr="00D05F44">
              <w:rPr>
                <w:b/>
                <w:bCs/>
              </w:rPr>
              <w:t>(1,020)</w:t>
            </w:r>
          </w:p>
        </w:tc>
        <w:tc>
          <w:tcPr>
            <w:tcW w:w="1162" w:type="dxa"/>
          </w:tcPr>
          <w:p w14:paraId="2DAA30E0" w14:textId="03F544C2" w:rsidR="00962002" w:rsidRPr="00D05F44" w:rsidRDefault="00962002" w:rsidP="00D05F44">
            <w:pPr>
              <w:pStyle w:val="TableCopy"/>
              <w:jc w:val="right"/>
              <w:rPr>
                <w:b/>
                <w:bCs/>
              </w:rPr>
            </w:pPr>
            <w:r w:rsidRPr="00D05F44">
              <w:rPr>
                <w:b/>
                <w:bCs/>
              </w:rPr>
              <w:t>1,291</w:t>
            </w:r>
          </w:p>
        </w:tc>
        <w:tc>
          <w:tcPr>
            <w:tcW w:w="1162" w:type="dxa"/>
          </w:tcPr>
          <w:p w14:paraId="7521D152" w14:textId="77777777" w:rsidR="00962002" w:rsidRPr="00D05F44" w:rsidRDefault="00962002" w:rsidP="00D05F44">
            <w:pPr>
              <w:pStyle w:val="TableCopy"/>
              <w:jc w:val="right"/>
              <w:rPr>
                <w:b/>
                <w:bCs/>
              </w:rPr>
            </w:pPr>
            <w:r w:rsidRPr="00D05F44">
              <w:rPr>
                <w:b/>
                <w:bCs/>
              </w:rPr>
              <w:t>(3,566)</w:t>
            </w:r>
          </w:p>
        </w:tc>
        <w:tc>
          <w:tcPr>
            <w:tcW w:w="1217" w:type="dxa"/>
          </w:tcPr>
          <w:p w14:paraId="2D682FBA" w14:textId="735B8C1F" w:rsidR="00962002" w:rsidRPr="00D05F44" w:rsidRDefault="00962002" w:rsidP="00D05F44">
            <w:pPr>
              <w:pStyle w:val="TableCopy"/>
              <w:jc w:val="right"/>
              <w:rPr>
                <w:b/>
                <w:bCs/>
              </w:rPr>
            </w:pPr>
            <w:r w:rsidRPr="00D05F44">
              <w:rPr>
                <w:b/>
                <w:bCs/>
              </w:rPr>
              <w:t>1,019</w:t>
            </w:r>
          </w:p>
        </w:tc>
        <w:tc>
          <w:tcPr>
            <w:tcW w:w="1218" w:type="dxa"/>
          </w:tcPr>
          <w:p w14:paraId="10FBACA5" w14:textId="77777777" w:rsidR="00962002" w:rsidRPr="00D05F44" w:rsidRDefault="00962002" w:rsidP="00D05F44">
            <w:pPr>
              <w:pStyle w:val="TableCopy"/>
              <w:jc w:val="right"/>
              <w:rPr>
                <w:b/>
                <w:bCs/>
              </w:rPr>
            </w:pPr>
            <w:r w:rsidRPr="00D05F44">
              <w:rPr>
                <w:b/>
                <w:bCs/>
              </w:rPr>
              <w:t>(116)</w:t>
            </w:r>
          </w:p>
        </w:tc>
        <w:tc>
          <w:tcPr>
            <w:tcW w:w="1106" w:type="dxa"/>
          </w:tcPr>
          <w:p w14:paraId="221AE0A7" w14:textId="1A1B67F4" w:rsidR="00962002" w:rsidRPr="00D05F44" w:rsidRDefault="00962002" w:rsidP="00D05F44">
            <w:pPr>
              <w:pStyle w:val="TableCopy"/>
              <w:jc w:val="right"/>
              <w:rPr>
                <w:b/>
                <w:bCs/>
              </w:rPr>
            </w:pPr>
            <w:r w:rsidRPr="00D05F44">
              <w:rPr>
                <w:b/>
                <w:bCs/>
              </w:rPr>
              <w:t>2,033</w:t>
            </w:r>
          </w:p>
        </w:tc>
        <w:tc>
          <w:tcPr>
            <w:tcW w:w="1106" w:type="dxa"/>
          </w:tcPr>
          <w:p w14:paraId="7C292EAC" w14:textId="286FC00D" w:rsidR="00962002" w:rsidRPr="00D05F44" w:rsidRDefault="00962002" w:rsidP="00D05F44">
            <w:pPr>
              <w:pStyle w:val="TableCopy"/>
              <w:jc w:val="right"/>
              <w:rPr>
                <w:b/>
                <w:bCs/>
              </w:rPr>
            </w:pPr>
            <w:r w:rsidRPr="00D05F44">
              <w:rPr>
                <w:b/>
                <w:bCs/>
              </w:rPr>
              <w:t>12,565</w:t>
            </w:r>
          </w:p>
        </w:tc>
      </w:tr>
    </w:tbl>
    <w:p w14:paraId="2F947DE2" w14:textId="4BEAD158" w:rsidR="000756EB" w:rsidRDefault="004A4D88" w:rsidP="002D15C0">
      <w:pPr>
        <w:pStyle w:val="FootnoteText"/>
        <w:spacing w:before="120"/>
      </w:pPr>
      <w:r>
        <w:t>(ii)</w:t>
      </w:r>
      <w:r w:rsidR="002D15C0">
        <w:t xml:space="preserve"> </w:t>
      </w:r>
      <w:r>
        <w:t>For</w:t>
      </w:r>
      <w:r w:rsidR="00A03629">
        <w:t xml:space="preserve"> </w:t>
      </w:r>
      <w:r>
        <w:t>the</w:t>
      </w:r>
      <w:r w:rsidR="00A03629">
        <w:t xml:space="preserve"> </w:t>
      </w:r>
      <w:r>
        <w:t>functions</w:t>
      </w:r>
      <w:r w:rsidR="00A03629">
        <w:t xml:space="preserve"> </w:t>
      </w:r>
      <w:r>
        <w:t>relinquished</w:t>
      </w:r>
      <w:r w:rsidR="00A03629">
        <w:t xml:space="preserve"> </w:t>
      </w:r>
      <w:proofErr w:type="gramStart"/>
      <w:r>
        <w:t>as</w:t>
      </w:r>
      <w:r w:rsidR="00A03629">
        <w:t xml:space="preserve"> </w:t>
      </w:r>
      <w:r>
        <w:t>a</w:t>
      </w:r>
      <w:r w:rsidR="00A03629">
        <w:t xml:space="preserve"> </w:t>
      </w:r>
      <w:r>
        <w:t>result</w:t>
      </w:r>
      <w:r w:rsidR="00A03629">
        <w:t xml:space="preserve"> </w:t>
      </w:r>
      <w:r>
        <w:t>of</w:t>
      </w:r>
      <w:proofErr w:type="gramEnd"/>
      <w:r w:rsidR="00A03629">
        <w:t xml:space="preserve"> </w:t>
      </w:r>
      <w:r>
        <w:t>the</w:t>
      </w:r>
      <w:r w:rsidR="00A03629">
        <w:t xml:space="preserve"> </w:t>
      </w:r>
      <w:r>
        <w:t>machinery</w:t>
      </w:r>
      <w:r w:rsidR="00A03629">
        <w:t xml:space="preserve"> </w:t>
      </w:r>
      <w:r>
        <w:t>of</w:t>
      </w:r>
      <w:r w:rsidR="00A03629">
        <w:t xml:space="preserve"> </w:t>
      </w:r>
      <w:r>
        <w:t>government</w:t>
      </w:r>
      <w:r w:rsidR="00A03629">
        <w:t xml:space="preserve"> </w:t>
      </w:r>
      <w:r>
        <w:t>changes,</w:t>
      </w:r>
      <w:r w:rsidR="00A03629">
        <w:t xml:space="preserve"> </w:t>
      </w:r>
      <w:r>
        <w:t>the</w:t>
      </w:r>
      <w:r w:rsidR="00A03629">
        <w:t xml:space="preserve"> </w:t>
      </w:r>
      <w:r>
        <w:t>2023</w:t>
      </w:r>
      <w:r w:rsidR="00A03629">
        <w:t xml:space="preserve"> </w:t>
      </w:r>
      <w:r>
        <w:t>outputs</w:t>
      </w:r>
      <w:r w:rsidR="00A03629">
        <w:t xml:space="preserve"> </w:t>
      </w:r>
      <w:r>
        <w:t>are</w:t>
      </w:r>
      <w:r w:rsidR="00A03629">
        <w:t xml:space="preserve"> </w:t>
      </w:r>
      <w:r>
        <w:t>for</w:t>
      </w:r>
      <w:r w:rsidR="00A03629">
        <w:t xml:space="preserve"> </w:t>
      </w:r>
      <w:r>
        <w:t>the</w:t>
      </w:r>
      <w:r w:rsidR="00A03629">
        <w:t xml:space="preserve"> </w:t>
      </w:r>
      <w:r>
        <w:t>period</w:t>
      </w:r>
      <w:r w:rsidR="00A03629">
        <w:t xml:space="preserve"> </w:t>
      </w:r>
      <w:r>
        <w:t>from</w:t>
      </w:r>
      <w:r w:rsidR="00A03629">
        <w:t xml:space="preserve"> </w:t>
      </w:r>
      <w:r>
        <w:t>1</w:t>
      </w:r>
      <w:r w:rsidR="00A03629">
        <w:t xml:space="preserve"> </w:t>
      </w:r>
      <w:r>
        <w:t>July</w:t>
      </w:r>
      <w:r w:rsidR="00A03629">
        <w:t xml:space="preserve"> </w:t>
      </w:r>
      <w:r>
        <w:t>2022</w:t>
      </w:r>
      <w:r w:rsidR="00A03629">
        <w:t xml:space="preserve"> </w:t>
      </w:r>
      <w:r>
        <w:t>to</w:t>
      </w:r>
      <w:r w:rsidR="00A03629">
        <w:rPr>
          <w:rFonts w:ascii="Cambria" w:hAnsi="Cambria" w:cs="Cambria"/>
        </w:rPr>
        <w:t xml:space="preserve"> </w:t>
      </w:r>
      <w:r>
        <w:t>31</w:t>
      </w:r>
      <w:r w:rsidR="00A03629">
        <w:t xml:space="preserve"> </w:t>
      </w:r>
      <w:r>
        <w:t>December</w:t>
      </w:r>
      <w:r w:rsidR="00A03629">
        <w:t xml:space="preserve"> </w:t>
      </w:r>
      <w:r>
        <w:t>2022</w:t>
      </w:r>
      <w:r w:rsidR="00A03629">
        <w:t xml:space="preserve"> </w:t>
      </w:r>
      <w:r>
        <w:t>compared</w:t>
      </w:r>
      <w:r w:rsidR="00A03629">
        <w:t xml:space="preserve"> </w:t>
      </w:r>
      <w:r>
        <w:t>to</w:t>
      </w:r>
      <w:r w:rsidR="00A03629">
        <w:t xml:space="preserve"> </w:t>
      </w:r>
      <w:r>
        <w:t>the</w:t>
      </w:r>
      <w:r w:rsidR="00A03629">
        <w:t xml:space="preserve"> </w:t>
      </w:r>
      <w:r>
        <w:t>2022</w:t>
      </w:r>
      <w:r w:rsidR="00A03629">
        <w:t xml:space="preserve"> </w:t>
      </w:r>
      <w:r>
        <w:t>outputs</w:t>
      </w:r>
      <w:r w:rsidR="00A03629">
        <w:t xml:space="preserve"> </w:t>
      </w:r>
      <w:r>
        <w:t>which</w:t>
      </w:r>
      <w:r w:rsidR="00A03629">
        <w:t xml:space="preserve"> </w:t>
      </w:r>
      <w:r>
        <w:t>is</w:t>
      </w:r>
      <w:r w:rsidR="00A03629">
        <w:t xml:space="preserve"> </w:t>
      </w:r>
      <w:r>
        <w:t>from</w:t>
      </w:r>
      <w:r w:rsidR="00A03629">
        <w:t xml:space="preserve"> </w:t>
      </w:r>
      <w:r>
        <w:t>1</w:t>
      </w:r>
      <w:r w:rsidR="00A03629">
        <w:t xml:space="preserve"> </w:t>
      </w:r>
      <w:r>
        <w:t>July</w:t>
      </w:r>
      <w:r w:rsidR="00A03629">
        <w:t xml:space="preserve"> </w:t>
      </w:r>
      <w:r>
        <w:t>2021</w:t>
      </w:r>
      <w:r w:rsidR="00A03629">
        <w:t xml:space="preserve"> </w:t>
      </w:r>
      <w:r>
        <w:t>to</w:t>
      </w:r>
      <w:r w:rsidR="00A03629">
        <w:t xml:space="preserve"> </w:t>
      </w:r>
      <w:r>
        <w:t>30</w:t>
      </w:r>
      <w:r w:rsidR="00A03629">
        <w:t xml:space="preserve"> </w:t>
      </w:r>
      <w:r>
        <w:t>June</w:t>
      </w:r>
      <w:r w:rsidR="00A03629">
        <w:t xml:space="preserve"> </w:t>
      </w:r>
      <w:r>
        <w:t>2022.</w:t>
      </w:r>
    </w:p>
    <w:p w14:paraId="6EAE0D28" w14:textId="0A6DFAB5" w:rsidR="000756EB" w:rsidRDefault="004A4D88" w:rsidP="0044296A">
      <w:pPr>
        <w:pStyle w:val="FootnoteText"/>
        <w:spacing w:after="280"/>
      </w:pPr>
      <w:r>
        <w:t>(iii)</w:t>
      </w:r>
      <w:r w:rsidR="00A03629">
        <w:t xml:space="preserve"> </w:t>
      </w:r>
      <w:r>
        <w:t>For</w:t>
      </w:r>
      <w:r w:rsidR="00A03629">
        <w:t xml:space="preserve"> </w:t>
      </w:r>
      <w:r>
        <w:t>the</w:t>
      </w:r>
      <w:r w:rsidR="00A03629">
        <w:t xml:space="preserve"> </w:t>
      </w:r>
      <w:r>
        <w:t>functions</w:t>
      </w:r>
      <w:r w:rsidR="00A03629">
        <w:t xml:space="preserve"> </w:t>
      </w:r>
      <w:r>
        <w:t>relinquished</w:t>
      </w:r>
      <w:r w:rsidR="00A03629">
        <w:t xml:space="preserve"> </w:t>
      </w:r>
      <w:proofErr w:type="gramStart"/>
      <w:r>
        <w:t>as</w:t>
      </w:r>
      <w:r w:rsidR="00A03629">
        <w:t xml:space="preserve"> </w:t>
      </w:r>
      <w:r>
        <w:t>a</w:t>
      </w:r>
      <w:r w:rsidR="00A03629">
        <w:t xml:space="preserve"> </w:t>
      </w:r>
      <w:r>
        <w:t>result</w:t>
      </w:r>
      <w:r w:rsidR="00A03629">
        <w:t xml:space="preserve"> </w:t>
      </w:r>
      <w:r>
        <w:t>of</w:t>
      </w:r>
      <w:proofErr w:type="gramEnd"/>
      <w:r w:rsidR="00A03629">
        <w:t xml:space="preserve"> </w:t>
      </w:r>
      <w:r>
        <w:t>the</w:t>
      </w:r>
      <w:r w:rsidR="00A03629">
        <w:t xml:space="preserve"> </w:t>
      </w:r>
      <w:r>
        <w:t>machinery</w:t>
      </w:r>
      <w:r w:rsidR="00A03629">
        <w:t xml:space="preserve"> </w:t>
      </w:r>
      <w:r>
        <w:t>of</w:t>
      </w:r>
      <w:r w:rsidR="00A03629">
        <w:t xml:space="preserve"> </w:t>
      </w:r>
      <w:r>
        <w:t>government</w:t>
      </w:r>
      <w:r w:rsidR="00A03629">
        <w:t xml:space="preserve"> </w:t>
      </w:r>
      <w:r>
        <w:t>changes:</w:t>
      </w:r>
      <w:r w:rsidR="00A03629">
        <w:t xml:space="preserve"> </w:t>
      </w:r>
      <w:r>
        <w:t>Racing</w:t>
      </w:r>
      <w:r w:rsidR="00A03629">
        <w:t xml:space="preserve"> </w:t>
      </w:r>
      <w:r>
        <w:t>of</w:t>
      </w:r>
      <w:r w:rsidR="00A03629">
        <w:t xml:space="preserve"> </w:t>
      </w:r>
      <w:r>
        <w:t>the</w:t>
      </w:r>
      <w:r w:rsidR="00A03629">
        <w:t xml:space="preserve"> </w:t>
      </w:r>
      <w:r>
        <w:t>Sport,</w:t>
      </w:r>
      <w:r w:rsidR="00A03629">
        <w:t xml:space="preserve"> </w:t>
      </w:r>
      <w:r>
        <w:t>Recreation</w:t>
      </w:r>
      <w:r w:rsidR="00A03629">
        <w:t xml:space="preserve"> </w:t>
      </w:r>
      <w:r>
        <w:t>and</w:t>
      </w:r>
      <w:r w:rsidR="00A03629">
        <w:t xml:space="preserve"> </w:t>
      </w:r>
      <w:r>
        <w:t>Racing</w:t>
      </w:r>
      <w:r w:rsidR="00A03629">
        <w:t xml:space="preserve"> </w:t>
      </w:r>
      <w:r>
        <w:t>output;</w:t>
      </w:r>
      <w:r w:rsidR="00A03629">
        <w:t xml:space="preserve"> </w:t>
      </w:r>
      <w:r>
        <w:t>Local</w:t>
      </w:r>
      <w:r w:rsidR="00A03629">
        <w:t xml:space="preserve"> </w:t>
      </w:r>
      <w:r>
        <w:t>Government</w:t>
      </w:r>
      <w:r w:rsidR="00A03629">
        <w:t xml:space="preserve"> </w:t>
      </w:r>
      <w:r>
        <w:t>of</w:t>
      </w:r>
      <w:r w:rsidR="00A03629">
        <w:t xml:space="preserve"> </w:t>
      </w:r>
      <w:r>
        <w:t>the</w:t>
      </w:r>
      <w:r w:rsidR="00A03629">
        <w:t xml:space="preserve"> </w:t>
      </w:r>
      <w:r>
        <w:t>Local</w:t>
      </w:r>
      <w:r w:rsidR="00A03629">
        <w:t xml:space="preserve"> </w:t>
      </w:r>
      <w:r>
        <w:t>Government</w:t>
      </w:r>
      <w:r w:rsidR="00A03629">
        <w:t xml:space="preserve"> </w:t>
      </w:r>
      <w:r>
        <w:t>and</w:t>
      </w:r>
      <w:r w:rsidR="00A03629">
        <w:t xml:space="preserve"> </w:t>
      </w:r>
      <w:r>
        <w:t>Suburban</w:t>
      </w:r>
      <w:r w:rsidR="00A03629">
        <w:t xml:space="preserve"> </w:t>
      </w:r>
      <w:r>
        <w:t>Development</w:t>
      </w:r>
      <w:r w:rsidR="00A03629">
        <w:t xml:space="preserve"> </w:t>
      </w:r>
      <w:r>
        <w:t>output;</w:t>
      </w:r>
      <w:r w:rsidR="00A03629">
        <w:t xml:space="preserve"> </w:t>
      </w:r>
      <w:r>
        <w:t>Medical</w:t>
      </w:r>
      <w:r w:rsidR="00A03629">
        <w:t xml:space="preserve"> </w:t>
      </w:r>
      <w:r>
        <w:t>Research</w:t>
      </w:r>
      <w:r w:rsidR="00A03629">
        <w:t xml:space="preserve"> </w:t>
      </w:r>
      <w:r>
        <w:t>and</w:t>
      </w:r>
      <w:r w:rsidR="00A03629">
        <w:t xml:space="preserve"> </w:t>
      </w:r>
      <w:r>
        <w:t>Telecommunication</w:t>
      </w:r>
      <w:r w:rsidR="00A03629">
        <w:t xml:space="preserve"> </w:t>
      </w:r>
      <w:r>
        <w:t>of</w:t>
      </w:r>
      <w:r w:rsidR="00A03629">
        <w:t xml:space="preserve"> </w:t>
      </w:r>
      <w:r>
        <w:t>the</w:t>
      </w:r>
      <w:r w:rsidR="00A03629">
        <w:t xml:space="preserve"> </w:t>
      </w:r>
      <w:r>
        <w:t>Industry,</w:t>
      </w:r>
      <w:r w:rsidR="00A03629">
        <w:t xml:space="preserve"> </w:t>
      </w:r>
      <w:r>
        <w:t>Innovation,</w:t>
      </w:r>
      <w:r w:rsidR="00A03629">
        <w:t xml:space="preserve"> </w:t>
      </w:r>
      <w:r>
        <w:t>Medical</w:t>
      </w:r>
      <w:r w:rsidR="00A03629">
        <w:t xml:space="preserve"> </w:t>
      </w:r>
      <w:r>
        <w:t>Research</w:t>
      </w:r>
      <w:r w:rsidR="00A03629">
        <w:t xml:space="preserve"> </w:t>
      </w:r>
      <w:r>
        <w:t>and</w:t>
      </w:r>
      <w:r w:rsidR="00A03629">
        <w:t xml:space="preserve"> </w:t>
      </w:r>
      <w:r>
        <w:t>Small</w:t>
      </w:r>
      <w:r w:rsidR="00A03629">
        <w:t xml:space="preserve"> </w:t>
      </w:r>
      <w:r>
        <w:t>Business</w:t>
      </w:r>
      <w:r w:rsidR="00A03629">
        <w:t xml:space="preserve"> </w:t>
      </w:r>
      <w:r>
        <w:t>output.</w:t>
      </w:r>
    </w:p>
    <w:p w14:paraId="263BB15E" w14:textId="1A48D76C" w:rsidR="000756EB" w:rsidRDefault="004A4D88" w:rsidP="00FE7999">
      <w:pPr>
        <w:pStyle w:val="Heading3"/>
      </w:pPr>
      <w:r>
        <w:lastRenderedPageBreak/>
        <w:t>4.1.2</w:t>
      </w:r>
      <w:r w:rsidR="00DE38B5">
        <w:t xml:space="preserve"> </w:t>
      </w:r>
      <w:r>
        <w:t>Departmental</w:t>
      </w:r>
      <w:r w:rsidR="00A03629">
        <w:t xml:space="preserve"> </w:t>
      </w:r>
      <w:r>
        <w:t>outputs:</w:t>
      </w:r>
      <w:r w:rsidR="00A03629">
        <w:t xml:space="preserve"> </w:t>
      </w:r>
      <w:r>
        <w:t>Controlled</w:t>
      </w:r>
      <w:r w:rsidR="00A03629">
        <w:t xml:space="preserve"> </w:t>
      </w:r>
      <w:r>
        <w:t>revenue</w:t>
      </w:r>
      <w:r w:rsidR="00A03629">
        <w:t xml:space="preserve"> </w:t>
      </w:r>
      <w:r>
        <w:t>and</w:t>
      </w:r>
      <w:r w:rsidR="00A03629">
        <w:t xml:space="preserve"> </w:t>
      </w:r>
      <w:r>
        <w:t>income</w:t>
      </w:r>
      <w:r w:rsidR="00A03629">
        <w:t xml:space="preserve"> </w:t>
      </w:r>
      <w:r>
        <w:t>and</w:t>
      </w:r>
      <w:r w:rsidR="00A03629">
        <w:t xml:space="preserve"> </w:t>
      </w:r>
      <w:r>
        <w:t>expenses</w:t>
      </w:r>
      <w:r w:rsidR="00A03629">
        <w:t xml:space="preserve"> </w:t>
      </w:r>
      <w:r>
        <w:t>for</w:t>
      </w:r>
      <w:r w:rsidR="00A03629">
        <w:t xml:space="preserve"> </w:t>
      </w:r>
      <w:r>
        <w:t>the</w:t>
      </w:r>
      <w:r w:rsidR="00A03629">
        <w:t xml:space="preserve"> </w:t>
      </w:r>
      <w:r>
        <w:t>year</w:t>
      </w:r>
      <w:r w:rsidR="00A03629">
        <w:t xml:space="preserve"> </w:t>
      </w:r>
      <w:r>
        <w:t>ended</w:t>
      </w:r>
      <w:r w:rsidR="00A03629">
        <w:t xml:space="preserve"> </w:t>
      </w:r>
      <w:r>
        <w:t>30</w:t>
      </w:r>
      <w:r w:rsidR="00A03629">
        <w:t xml:space="preserve"> </w:t>
      </w:r>
      <w:r>
        <w:t>June</w:t>
      </w:r>
      <w:r w:rsidR="00A03629">
        <w:t xml:space="preserve"> </w:t>
      </w:r>
      <w:r>
        <w:t>2023</w:t>
      </w:r>
      <w:r w:rsidR="00A03629">
        <w:t xml:space="preserve"> </w:t>
      </w:r>
      <w:r>
        <w:t>Outputs</w:t>
      </w:r>
      <w:r w:rsidR="00A03629">
        <w:t xml:space="preserve"> </w:t>
      </w:r>
      <w:r>
        <w:t>transferred</w:t>
      </w:r>
      <w:r w:rsidR="00A03629">
        <w:t xml:space="preserve"> </w:t>
      </w:r>
      <w:r>
        <w:t>out</w:t>
      </w:r>
      <w:r w:rsidR="00A03629">
        <w:t xml:space="preserve"> </w:t>
      </w:r>
      <w:r>
        <w:t>as</w:t>
      </w:r>
      <w:r w:rsidR="00A03629">
        <w:t xml:space="preserve"> </w:t>
      </w:r>
      <w:r>
        <w:t>part</w:t>
      </w:r>
      <w:r w:rsidR="00A03629">
        <w:t xml:space="preserve"> </w:t>
      </w:r>
      <w:r>
        <w:t>of</w:t>
      </w:r>
      <w:r w:rsidR="00A03629">
        <w:t xml:space="preserve"> </w:t>
      </w:r>
      <w:r>
        <w:t>Machinery-of-Governments</w:t>
      </w:r>
      <w:r w:rsidR="00A03629">
        <w:t xml:space="preserve"> </w:t>
      </w:r>
      <w:r>
        <w:t>Change</w:t>
      </w:r>
      <w:r w:rsidR="00A03629">
        <w:t xml:space="preserve"> </w:t>
      </w:r>
      <w:r>
        <w:t>(continued)</w:t>
      </w:r>
      <w:r w:rsidR="00A03629" w:rsidRPr="00614829">
        <w:rPr>
          <w:rStyle w:val="FootnotereferencessuperscriptMisc"/>
          <w:b w:val="0"/>
          <w:bCs w:val="0"/>
        </w:rPr>
        <w:t xml:space="preserve"> </w:t>
      </w:r>
      <w:r w:rsidRPr="00614829">
        <w:rPr>
          <w:rStyle w:val="FootnotereferencessuperscriptMisc"/>
          <w:b w:val="0"/>
          <w:bCs w:val="0"/>
        </w:rPr>
        <w:t>(ii)</w:t>
      </w:r>
    </w:p>
    <w:tbl>
      <w:tblPr>
        <w:tblStyle w:val="TableGrid"/>
        <w:tblW w:w="15084" w:type="dxa"/>
        <w:tblLayout w:type="fixed"/>
        <w:tblLook w:val="0020" w:firstRow="1" w:lastRow="0" w:firstColumn="0" w:lastColumn="0" w:noHBand="0" w:noVBand="0"/>
      </w:tblPr>
      <w:tblGrid>
        <w:gridCol w:w="4815"/>
        <w:gridCol w:w="1204"/>
        <w:gridCol w:w="1205"/>
        <w:gridCol w:w="1205"/>
        <w:gridCol w:w="1204"/>
        <w:gridCol w:w="1308"/>
        <w:gridCol w:w="1276"/>
        <w:gridCol w:w="1419"/>
        <w:gridCol w:w="1448"/>
      </w:tblGrid>
      <w:tr w:rsidR="00247F5B" w:rsidRPr="00444259" w14:paraId="70B0C713" w14:textId="77777777" w:rsidTr="00BB0239">
        <w:trPr>
          <w:tblHeader/>
        </w:trPr>
        <w:tc>
          <w:tcPr>
            <w:tcW w:w="4815" w:type="dxa"/>
          </w:tcPr>
          <w:p w14:paraId="26AF4FC2" w14:textId="77777777" w:rsidR="00247F5B" w:rsidRPr="00444259" w:rsidRDefault="00247F5B" w:rsidP="00444259">
            <w:pPr>
              <w:pStyle w:val="TableColumnHeading"/>
              <w:rPr>
                <w:sz w:val="20"/>
                <w:szCs w:val="28"/>
              </w:rPr>
            </w:pPr>
            <w:bookmarkStart w:id="41" w:name="ColumnTitles_18"/>
            <w:bookmarkEnd w:id="41"/>
          </w:p>
        </w:tc>
        <w:tc>
          <w:tcPr>
            <w:tcW w:w="1204" w:type="dxa"/>
          </w:tcPr>
          <w:p w14:paraId="532C1808" w14:textId="0B2E6CCF" w:rsidR="00247F5B" w:rsidRPr="00444259" w:rsidRDefault="00444259" w:rsidP="00622A65">
            <w:pPr>
              <w:pStyle w:val="TableColumnHeading"/>
              <w:jc w:val="right"/>
              <w:rPr>
                <w:sz w:val="20"/>
                <w:szCs w:val="28"/>
              </w:rPr>
            </w:pPr>
            <w:r w:rsidRPr="00444259">
              <w:rPr>
                <w:sz w:val="20"/>
                <w:szCs w:val="28"/>
              </w:rPr>
              <w:t>Industry, Innovation, Medical Research and Small Business (Medical Research function)</w:t>
            </w:r>
            <w:r w:rsidRPr="00614829">
              <w:rPr>
                <w:rStyle w:val="FootnotereferencessuperscriptMisc"/>
                <w:sz w:val="20"/>
                <w:szCs w:val="28"/>
                <w:vertAlign w:val="baseline"/>
              </w:rPr>
              <w:t xml:space="preserve"> </w:t>
            </w:r>
            <w:r w:rsidRPr="00614829">
              <w:rPr>
                <w:rStyle w:val="FootnotereferencessuperscriptMisc"/>
                <w:sz w:val="20"/>
                <w:szCs w:val="28"/>
              </w:rPr>
              <w:t xml:space="preserve">(iii) </w:t>
            </w:r>
            <w:r w:rsidR="00247F5B" w:rsidRPr="00444259">
              <w:rPr>
                <w:sz w:val="20"/>
                <w:szCs w:val="28"/>
              </w:rPr>
              <w:t xml:space="preserve">2023 </w:t>
            </w:r>
            <w:r w:rsidRPr="00444259">
              <w:rPr>
                <w:sz w:val="20"/>
                <w:szCs w:val="28"/>
              </w:rPr>
              <w:t>($ thousand)</w:t>
            </w:r>
          </w:p>
        </w:tc>
        <w:tc>
          <w:tcPr>
            <w:tcW w:w="1205" w:type="dxa"/>
          </w:tcPr>
          <w:p w14:paraId="5DA2D753" w14:textId="0F10F846" w:rsidR="00247F5B" w:rsidRPr="00444259" w:rsidRDefault="00444259" w:rsidP="00622A65">
            <w:pPr>
              <w:pStyle w:val="TableColumnHeading"/>
              <w:jc w:val="right"/>
              <w:rPr>
                <w:sz w:val="20"/>
                <w:szCs w:val="28"/>
              </w:rPr>
            </w:pPr>
            <w:r w:rsidRPr="00444259">
              <w:rPr>
                <w:sz w:val="20"/>
                <w:szCs w:val="28"/>
              </w:rPr>
              <w:t>Industry, Innovation, Medical Research and Small Business (Medical Research function)</w:t>
            </w:r>
            <w:r w:rsidRPr="00614829">
              <w:rPr>
                <w:rStyle w:val="FootnotereferencessuperscriptMisc"/>
                <w:sz w:val="20"/>
                <w:szCs w:val="28"/>
                <w:vertAlign w:val="baseline"/>
              </w:rPr>
              <w:t xml:space="preserve"> </w:t>
            </w:r>
            <w:r w:rsidRPr="00614829">
              <w:rPr>
                <w:rStyle w:val="FootnotereferencessuperscriptMisc"/>
                <w:sz w:val="20"/>
                <w:szCs w:val="28"/>
              </w:rPr>
              <w:t xml:space="preserve">(iii) </w:t>
            </w:r>
            <w:r w:rsidR="00247F5B" w:rsidRPr="00444259">
              <w:rPr>
                <w:sz w:val="20"/>
                <w:szCs w:val="28"/>
              </w:rPr>
              <w:t>2022</w:t>
            </w:r>
            <w:r>
              <w:rPr>
                <w:sz w:val="20"/>
                <w:szCs w:val="28"/>
              </w:rPr>
              <w:t xml:space="preserve"> </w:t>
            </w:r>
            <w:r w:rsidRPr="00444259">
              <w:rPr>
                <w:sz w:val="20"/>
                <w:szCs w:val="28"/>
              </w:rPr>
              <w:t>($ thousand)</w:t>
            </w:r>
          </w:p>
        </w:tc>
        <w:tc>
          <w:tcPr>
            <w:tcW w:w="1205" w:type="dxa"/>
          </w:tcPr>
          <w:p w14:paraId="4B2B84FC" w14:textId="19115C51" w:rsidR="00247F5B" w:rsidRPr="00444259" w:rsidRDefault="00444259" w:rsidP="00622A65">
            <w:pPr>
              <w:pStyle w:val="TableColumnHeading"/>
              <w:jc w:val="right"/>
              <w:rPr>
                <w:sz w:val="20"/>
                <w:szCs w:val="28"/>
              </w:rPr>
            </w:pPr>
            <w:r w:rsidRPr="00444259">
              <w:rPr>
                <w:sz w:val="20"/>
                <w:szCs w:val="28"/>
              </w:rPr>
              <w:t>Industry, Innovation, Medical Research and Small Business (Telecommunication function)</w:t>
            </w:r>
            <w:r w:rsidRPr="00614829">
              <w:rPr>
                <w:rStyle w:val="FootnotereferencessuperscriptMisc"/>
                <w:sz w:val="20"/>
                <w:szCs w:val="28"/>
                <w:vertAlign w:val="baseline"/>
              </w:rPr>
              <w:t xml:space="preserve"> </w:t>
            </w:r>
            <w:r w:rsidRPr="00614829">
              <w:rPr>
                <w:rStyle w:val="FootnotereferencessuperscriptMisc"/>
                <w:sz w:val="20"/>
                <w:szCs w:val="28"/>
              </w:rPr>
              <w:t xml:space="preserve">(iii) </w:t>
            </w:r>
            <w:r w:rsidR="00247F5B" w:rsidRPr="00444259">
              <w:rPr>
                <w:sz w:val="20"/>
                <w:szCs w:val="28"/>
              </w:rPr>
              <w:t xml:space="preserve">2023 </w:t>
            </w:r>
            <w:r w:rsidRPr="00444259">
              <w:rPr>
                <w:sz w:val="20"/>
                <w:szCs w:val="28"/>
              </w:rPr>
              <w:t>($ thousand)</w:t>
            </w:r>
          </w:p>
        </w:tc>
        <w:tc>
          <w:tcPr>
            <w:tcW w:w="1204" w:type="dxa"/>
          </w:tcPr>
          <w:p w14:paraId="5F999EB9" w14:textId="4A0F3C75" w:rsidR="00247F5B" w:rsidRPr="00444259" w:rsidRDefault="00444259" w:rsidP="00622A65">
            <w:pPr>
              <w:pStyle w:val="TableColumnHeading"/>
              <w:jc w:val="right"/>
              <w:rPr>
                <w:sz w:val="20"/>
                <w:szCs w:val="28"/>
              </w:rPr>
            </w:pPr>
            <w:r w:rsidRPr="00444259">
              <w:rPr>
                <w:sz w:val="20"/>
                <w:szCs w:val="28"/>
              </w:rPr>
              <w:t>Industry, Innovation, Medical Research and Small Business (Telecommunication function)</w:t>
            </w:r>
            <w:r w:rsidRPr="00614829">
              <w:rPr>
                <w:rStyle w:val="FootnotereferencessuperscriptMisc"/>
                <w:sz w:val="20"/>
                <w:szCs w:val="28"/>
                <w:vertAlign w:val="baseline"/>
              </w:rPr>
              <w:t xml:space="preserve"> </w:t>
            </w:r>
            <w:r w:rsidRPr="00614829">
              <w:rPr>
                <w:rStyle w:val="FootnotereferencessuperscriptMisc"/>
                <w:sz w:val="20"/>
                <w:szCs w:val="28"/>
              </w:rPr>
              <w:t xml:space="preserve">(iii) </w:t>
            </w:r>
            <w:r w:rsidR="00247F5B" w:rsidRPr="00444259">
              <w:rPr>
                <w:sz w:val="20"/>
                <w:szCs w:val="28"/>
              </w:rPr>
              <w:t>2022</w:t>
            </w:r>
            <w:r>
              <w:rPr>
                <w:sz w:val="20"/>
                <w:szCs w:val="28"/>
              </w:rPr>
              <w:t xml:space="preserve"> </w:t>
            </w:r>
            <w:r w:rsidRPr="00444259">
              <w:rPr>
                <w:sz w:val="20"/>
                <w:szCs w:val="28"/>
              </w:rPr>
              <w:t>($ thousand)</w:t>
            </w:r>
          </w:p>
        </w:tc>
        <w:tc>
          <w:tcPr>
            <w:tcW w:w="1308" w:type="dxa"/>
          </w:tcPr>
          <w:p w14:paraId="236AFD9E" w14:textId="439D991F" w:rsidR="00247F5B" w:rsidRPr="00444259" w:rsidRDefault="00444259" w:rsidP="00622A65">
            <w:pPr>
              <w:pStyle w:val="TableColumnHeading"/>
              <w:jc w:val="right"/>
              <w:rPr>
                <w:sz w:val="20"/>
                <w:szCs w:val="28"/>
              </w:rPr>
            </w:pPr>
            <w:r w:rsidRPr="00444259">
              <w:rPr>
                <w:sz w:val="20"/>
                <w:szCs w:val="28"/>
              </w:rPr>
              <w:t xml:space="preserve">Transferred Out Outputs Subtotals </w:t>
            </w:r>
            <w:r w:rsidR="00247F5B" w:rsidRPr="00444259">
              <w:rPr>
                <w:sz w:val="20"/>
                <w:szCs w:val="28"/>
              </w:rPr>
              <w:t xml:space="preserve">2023 </w:t>
            </w:r>
            <w:r w:rsidRPr="00444259">
              <w:rPr>
                <w:sz w:val="20"/>
                <w:szCs w:val="28"/>
              </w:rPr>
              <w:t>($ thousand)</w:t>
            </w:r>
          </w:p>
        </w:tc>
        <w:tc>
          <w:tcPr>
            <w:tcW w:w="1276" w:type="dxa"/>
          </w:tcPr>
          <w:p w14:paraId="5A906B24" w14:textId="2BAE60C9" w:rsidR="00247F5B" w:rsidRPr="00444259" w:rsidRDefault="00444259" w:rsidP="00622A65">
            <w:pPr>
              <w:pStyle w:val="TableColumnHeading"/>
              <w:jc w:val="right"/>
              <w:rPr>
                <w:sz w:val="20"/>
                <w:szCs w:val="28"/>
              </w:rPr>
            </w:pPr>
            <w:r w:rsidRPr="00444259">
              <w:rPr>
                <w:sz w:val="20"/>
                <w:szCs w:val="28"/>
              </w:rPr>
              <w:t xml:space="preserve">Transferred Out Outputs Subtotals </w:t>
            </w:r>
            <w:r w:rsidR="00247F5B" w:rsidRPr="00444259">
              <w:rPr>
                <w:sz w:val="20"/>
                <w:szCs w:val="28"/>
              </w:rPr>
              <w:t>2022</w:t>
            </w:r>
            <w:r>
              <w:rPr>
                <w:sz w:val="20"/>
                <w:szCs w:val="28"/>
              </w:rPr>
              <w:t xml:space="preserve"> </w:t>
            </w:r>
            <w:r w:rsidRPr="00444259">
              <w:rPr>
                <w:sz w:val="20"/>
                <w:szCs w:val="28"/>
              </w:rPr>
              <w:t>($ thousand)</w:t>
            </w:r>
          </w:p>
        </w:tc>
        <w:tc>
          <w:tcPr>
            <w:tcW w:w="1419" w:type="dxa"/>
          </w:tcPr>
          <w:p w14:paraId="716B2EA0" w14:textId="39FC59C0" w:rsidR="00247F5B" w:rsidRPr="00444259" w:rsidRDefault="00444259" w:rsidP="00622A65">
            <w:pPr>
              <w:pStyle w:val="TableColumnHeading"/>
              <w:jc w:val="right"/>
              <w:rPr>
                <w:sz w:val="20"/>
                <w:szCs w:val="28"/>
              </w:rPr>
            </w:pPr>
            <w:r w:rsidRPr="00444259">
              <w:rPr>
                <w:sz w:val="20"/>
                <w:szCs w:val="28"/>
              </w:rPr>
              <w:t xml:space="preserve">Department Consolidated Total </w:t>
            </w:r>
            <w:r w:rsidR="00247F5B" w:rsidRPr="00444259">
              <w:rPr>
                <w:sz w:val="20"/>
                <w:szCs w:val="28"/>
              </w:rPr>
              <w:t xml:space="preserve">2023 </w:t>
            </w:r>
            <w:r w:rsidRPr="00444259">
              <w:rPr>
                <w:sz w:val="20"/>
                <w:szCs w:val="28"/>
              </w:rPr>
              <w:t>($</w:t>
            </w:r>
            <w:r w:rsidR="00652DE3">
              <w:rPr>
                <w:sz w:val="20"/>
                <w:szCs w:val="28"/>
              </w:rPr>
              <w:t> </w:t>
            </w:r>
            <w:r w:rsidRPr="00444259">
              <w:rPr>
                <w:sz w:val="20"/>
                <w:szCs w:val="28"/>
              </w:rPr>
              <w:t>thousand)</w:t>
            </w:r>
          </w:p>
        </w:tc>
        <w:tc>
          <w:tcPr>
            <w:tcW w:w="1448" w:type="dxa"/>
          </w:tcPr>
          <w:p w14:paraId="37E89534" w14:textId="615A260B" w:rsidR="00247F5B" w:rsidRPr="00444259" w:rsidRDefault="00444259" w:rsidP="00622A65">
            <w:pPr>
              <w:pStyle w:val="TableColumnHeading"/>
              <w:jc w:val="right"/>
              <w:rPr>
                <w:sz w:val="20"/>
                <w:szCs w:val="28"/>
              </w:rPr>
            </w:pPr>
            <w:r w:rsidRPr="00444259">
              <w:rPr>
                <w:sz w:val="20"/>
                <w:szCs w:val="28"/>
              </w:rPr>
              <w:t xml:space="preserve">Department Consolidated Total </w:t>
            </w:r>
            <w:r w:rsidR="00247F5B" w:rsidRPr="00444259">
              <w:rPr>
                <w:sz w:val="20"/>
                <w:szCs w:val="28"/>
              </w:rPr>
              <w:t>2022</w:t>
            </w:r>
            <w:r>
              <w:rPr>
                <w:sz w:val="20"/>
                <w:szCs w:val="28"/>
              </w:rPr>
              <w:t xml:space="preserve"> </w:t>
            </w:r>
            <w:r w:rsidRPr="00444259">
              <w:rPr>
                <w:sz w:val="20"/>
                <w:szCs w:val="28"/>
              </w:rPr>
              <w:t>($</w:t>
            </w:r>
            <w:r w:rsidR="00652DE3">
              <w:rPr>
                <w:sz w:val="20"/>
                <w:szCs w:val="28"/>
              </w:rPr>
              <w:t> </w:t>
            </w:r>
            <w:r w:rsidRPr="00444259">
              <w:rPr>
                <w:sz w:val="20"/>
                <w:szCs w:val="28"/>
              </w:rPr>
              <w:t>thousand)</w:t>
            </w:r>
          </w:p>
        </w:tc>
      </w:tr>
      <w:tr w:rsidR="00247F5B" w:rsidRPr="0044296A" w14:paraId="671C4CCD" w14:textId="77777777" w:rsidTr="00BA3576">
        <w:tc>
          <w:tcPr>
            <w:tcW w:w="4815" w:type="dxa"/>
          </w:tcPr>
          <w:p w14:paraId="48D22647" w14:textId="5455FF39" w:rsidR="00247F5B" w:rsidRPr="0044296A" w:rsidRDefault="00247F5B" w:rsidP="0044296A">
            <w:pPr>
              <w:pStyle w:val="TableHeading"/>
            </w:pPr>
            <w:r w:rsidRPr="0044296A">
              <w:t>Revenue and income from transactions</w:t>
            </w:r>
          </w:p>
        </w:tc>
        <w:tc>
          <w:tcPr>
            <w:tcW w:w="1204" w:type="dxa"/>
          </w:tcPr>
          <w:p w14:paraId="79830B70" w14:textId="77777777" w:rsidR="00247F5B" w:rsidRPr="0044296A" w:rsidRDefault="00247F5B" w:rsidP="00622A65">
            <w:pPr>
              <w:pStyle w:val="TableHeading"/>
              <w:jc w:val="right"/>
            </w:pPr>
          </w:p>
        </w:tc>
        <w:tc>
          <w:tcPr>
            <w:tcW w:w="1205" w:type="dxa"/>
          </w:tcPr>
          <w:p w14:paraId="335ACA4A" w14:textId="77777777" w:rsidR="00247F5B" w:rsidRPr="0044296A" w:rsidRDefault="00247F5B" w:rsidP="00622A65">
            <w:pPr>
              <w:pStyle w:val="TableHeading"/>
              <w:jc w:val="right"/>
            </w:pPr>
          </w:p>
        </w:tc>
        <w:tc>
          <w:tcPr>
            <w:tcW w:w="1205" w:type="dxa"/>
          </w:tcPr>
          <w:p w14:paraId="3D0F4370" w14:textId="77777777" w:rsidR="00247F5B" w:rsidRPr="0044296A" w:rsidRDefault="00247F5B" w:rsidP="00622A65">
            <w:pPr>
              <w:pStyle w:val="TableHeading"/>
              <w:jc w:val="right"/>
            </w:pPr>
          </w:p>
        </w:tc>
        <w:tc>
          <w:tcPr>
            <w:tcW w:w="1204" w:type="dxa"/>
          </w:tcPr>
          <w:p w14:paraId="0D9AEF44" w14:textId="77777777" w:rsidR="00247F5B" w:rsidRPr="0044296A" w:rsidRDefault="00247F5B" w:rsidP="00622A65">
            <w:pPr>
              <w:pStyle w:val="TableHeading"/>
              <w:jc w:val="right"/>
            </w:pPr>
          </w:p>
        </w:tc>
        <w:tc>
          <w:tcPr>
            <w:tcW w:w="1308" w:type="dxa"/>
          </w:tcPr>
          <w:p w14:paraId="0BD9B370" w14:textId="77777777" w:rsidR="00247F5B" w:rsidRPr="0044296A" w:rsidRDefault="00247F5B" w:rsidP="00622A65">
            <w:pPr>
              <w:pStyle w:val="TableHeading"/>
              <w:jc w:val="right"/>
            </w:pPr>
          </w:p>
        </w:tc>
        <w:tc>
          <w:tcPr>
            <w:tcW w:w="1276" w:type="dxa"/>
          </w:tcPr>
          <w:p w14:paraId="39C577DA" w14:textId="77777777" w:rsidR="00247F5B" w:rsidRPr="0044296A" w:rsidRDefault="00247F5B" w:rsidP="00622A65">
            <w:pPr>
              <w:pStyle w:val="TableHeading"/>
              <w:jc w:val="right"/>
            </w:pPr>
          </w:p>
        </w:tc>
        <w:tc>
          <w:tcPr>
            <w:tcW w:w="1419" w:type="dxa"/>
          </w:tcPr>
          <w:p w14:paraId="6793A775" w14:textId="77777777" w:rsidR="00247F5B" w:rsidRPr="0044296A" w:rsidRDefault="00247F5B" w:rsidP="00622A65">
            <w:pPr>
              <w:pStyle w:val="TableHeading"/>
              <w:jc w:val="right"/>
            </w:pPr>
          </w:p>
        </w:tc>
        <w:tc>
          <w:tcPr>
            <w:tcW w:w="1448" w:type="dxa"/>
          </w:tcPr>
          <w:p w14:paraId="268C155D" w14:textId="77777777" w:rsidR="00247F5B" w:rsidRPr="0044296A" w:rsidRDefault="00247F5B" w:rsidP="00622A65">
            <w:pPr>
              <w:pStyle w:val="TableHeading"/>
              <w:jc w:val="right"/>
            </w:pPr>
          </w:p>
        </w:tc>
      </w:tr>
      <w:tr w:rsidR="00247F5B" w14:paraId="7CA9F3EF" w14:textId="77777777" w:rsidTr="00BA3576">
        <w:tc>
          <w:tcPr>
            <w:tcW w:w="4815" w:type="dxa"/>
          </w:tcPr>
          <w:p w14:paraId="43BB4145" w14:textId="168140C6" w:rsidR="00247F5B" w:rsidRDefault="00247F5B" w:rsidP="00444259">
            <w:pPr>
              <w:pStyle w:val="TableCopy"/>
            </w:pPr>
            <w:r>
              <w:t>Output appropriations</w:t>
            </w:r>
          </w:p>
        </w:tc>
        <w:tc>
          <w:tcPr>
            <w:tcW w:w="1204" w:type="dxa"/>
          </w:tcPr>
          <w:p w14:paraId="3ABC3D5F" w14:textId="2348A288" w:rsidR="00247F5B" w:rsidRDefault="00247F5B" w:rsidP="00622A65">
            <w:pPr>
              <w:pStyle w:val="TableCopy"/>
              <w:jc w:val="right"/>
            </w:pPr>
            <w:r>
              <w:t>38,780</w:t>
            </w:r>
          </w:p>
        </w:tc>
        <w:tc>
          <w:tcPr>
            <w:tcW w:w="1205" w:type="dxa"/>
          </w:tcPr>
          <w:p w14:paraId="628B2CB1" w14:textId="348FF208" w:rsidR="00247F5B" w:rsidRDefault="00247F5B" w:rsidP="00622A65">
            <w:pPr>
              <w:pStyle w:val="TableCopy"/>
              <w:jc w:val="right"/>
            </w:pPr>
            <w:r>
              <w:t>94,720</w:t>
            </w:r>
          </w:p>
        </w:tc>
        <w:tc>
          <w:tcPr>
            <w:tcW w:w="1205" w:type="dxa"/>
          </w:tcPr>
          <w:p w14:paraId="103E7193" w14:textId="77777777" w:rsidR="00247F5B" w:rsidRDefault="00247F5B" w:rsidP="00622A65">
            <w:pPr>
              <w:pStyle w:val="TableCopy"/>
              <w:jc w:val="right"/>
            </w:pPr>
            <w:r>
              <w:t>71,598</w:t>
            </w:r>
          </w:p>
        </w:tc>
        <w:tc>
          <w:tcPr>
            <w:tcW w:w="1204" w:type="dxa"/>
          </w:tcPr>
          <w:p w14:paraId="4697BDC3" w14:textId="1144E058" w:rsidR="00247F5B" w:rsidRDefault="00247F5B" w:rsidP="00622A65">
            <w:pPr>
              <w:pStyle w:val="TableCopy"/>
              <w:jc w:val="right"/>
            </w:pPr>
            <w:r>
              <w:t>55,861</w:t>
            </w:r>
          </w:p>
        </w:tc>
        <w:tc>
          <w:tcPr>
            <w:tcW w:w="1308" w:type="dxa"/>
          </w:tcPr>
          <w:p w14:paraId="4657C5DE" w14:textId="77777777" w:rsidR="00247F5B" w:rsidRDefault="00247F5B" w:rsidP="00622A65">
            <w:pPr>
              <w:pStyle w:val="TableCopy"/>
              <w:jc w:val="right"/>
            </w:pPr>
            <w:r>
              <w:t>532,676</w:t>
            </w:r>
          </w:p>
        </w:tc>
        <w:tc>
          <w:tcPr>
            <w:tcW w:w="1276" w:type="dxa"/>
          </w:tcPr>
          <w:p w14:paraId="304EC24C" w14:textId="1A5F55BB" w:rsidR="00247F5B" w:rsidRDefault="00247F5B" w:rsidP="00622A65">
            <w:pPr>
              <w:pStyle w:val="TableCopy"/>
              <w:jc w:val="right"/>
            </w:pPr>
            <w:r>
              <w:t>930,594</w:t>
            </w:r>
          </w:p>
        </w:tc>
        <w:tc>
          <w:tcPr>
            <w:tcW w:w="1419" w:type="dxa"/>
          </w:tcPr>
          <w:p w14:paraId="58809F9F" w14:textId="56689E88" w:rsidR="00247F5B" w:rsidRDefault="00247F5B" w:rsidP="00622A65">
            <w:pPr>
              <w:pStyle w:val="TableCopy"/>
              <w:jc w:val="right"/>
            </w:pPr>
            <w:r>
              <w:t>3,825,952</w:t>
            </w:r>
          </w:p>
        </w:tc>
        <w:tc>
          <w:tcPr>
            <w:tcW w:w="1448" w:type="dxa"/>
          </w:tcPr>
          <w:p w14:paraId="59787193" w14:textId="069698B5" w:rsidR="00247F5B" w:rsidRDefault="00247F5B" w:rsidP="00622A65">
            <w:pPr>
              <w:pStyle w:val="TableCopy"/>
              <w:jc w:val="right"/>
            </w:pPr>
            <w:r>
              <w:t>10,824,626</w:t>
            </w:r>
          </w:p>
        </w:tc>
      </w:tr>
      <w:tr w:rsidR="00247F5B" w14:paraId="45A3E55E" w14:textId="77777777" w:rsidTr="00BA3576">
        <w:tc>
          <w:tcPr>
            <w:tcW w:w="4815" w:type="dxa"/>
          </w:tcPr>
          <w:p w14:paraId="1F00085E" w14:textId="77777777" w:rsidR="00247F5B" w:rsidRDefault="00247F5B" w:rsidP="00444259">
            <w:pPr>
              <w:pStyle w:val="TableCopy"/>
            </w:pPr>
            <w:r>
              <w:t>Grants</w:t>
            </w:r>
          </w:p>
        </w:tc>
        <w:tc>
          <w:tcPr>
            <w:tcW w:w="1204" w:type="dxa"/>
          </w:tcPr>
          <w:p w14:paraId="42BB89B3" w14:textId="24CA82CE" w:rsidR="00247F5B" w:rsidRDefault="00247F5B" w:rsidP="00622A65">
            <w:pPr>
              <w:pStyle w:val="TableCopy"/>
              <w:jc w:val="right"/>
            </w:pPr>
            <w:r>
              <w:t>–</w:t>
            </w:r>
          </w:p>
        </w:tc>
        <w:tc>
          <w:tcPr>
            <w:tcW w:w="1205" w:type="dxa"/>
          </w:tcPr>
          <w:p w14:paraId="2F9E66C7" w14:textId="0808E2B8" w:rsidR="00247F5B" w:rsidRDefault="00247F5B" w:rsidP="00622A65">
            <w:pPr>
              <w:pStyle w:val="TableCopy"/>
              <w:jc w:val="right"/>
            </w:pPr>
            <w:r>
              <w:t>2</w:t>
            </w:r>
          </w:p>
        </w:tc>
        <w:tc>
          <w:tcPr>
            <w:tcW w:w="1205" w:type="dxa"/>
          </w:tcPr>
          <w:p w14:paraId="6AD9B675" w14:textId="6F81B4FE" w:rsidR="00247F5B" w:rsidRDefault="00247F5B" w:rsidP="00622A65">
            <w:pPr>
              <w:pStyle w:val="TableCopy"/>
              <w:jc w:val="right"/>
            </w:pPr>
            <w:r>
              <w:t>–</w:t>
            </w:r>
          </w:p>
        </w:tc>
        <w:tc>
          <w:tcPr>
            <w:tcW w:w="1204" w:type="dxa"/>
          </w:tcPr>
          <w:p w14:paraId="3D39A25C" w14:textId="2992D76B" w:rsidR="00247F5B" w:rsidRDefault="00247F5B" w:rsidP="00622A65">
            <w:pPr>
              <w:pStyle w:val="TableCopy"/>
              <w:jc w:val="right"/>
            </w:pPr>
            <w:r>
              <w:t>–</w:t>
            </w:r>
          </w:p>
        </w:tc>
        <w:tc>
          <w:tcPr>
            <w:tcW w:w="1308" w:type="dxa"/>
          </w:tcPr>
          <w:p w14:paraId="67168700" w14:textId="77777777" w:rsidR="00247F5B" w:rsidRDefault="00247F5B" w:rsidP="00622A65">
            <w:pPr>
              <w:pStyle w:val="TableCopy"/>
              <w:jc w:val="right"/>
            </w:pPr>
            <w:r>
              <w:t>32,931</w:t>
            </w:r>
          </w:p>
        </w:tc>
        <w:tc>
          <w:tcPr>
            <w:tcW w:w="1276" w:type="dxa"/>
          </w:tcPr>
          <w:p w14:paraId="6645F433" w14:textId="015EDFF8" w:rsidR="00247F5B" w:rsidRDefault="00247F5B" w:rsidP="00622A65">
            <w:pPr>
              <w:pStyle w:val="TableCopy"/>
              <w:jc w:val="right"/>
            </w:pPr>
            <w:r>
              <w:t>47,750</w:t>
            </w:r>
          </w:p>
        </w:tc>
        <w:tc>
          <w:tcPr>
            <w:tcW w:w="1419" w:type="dxa"/>
          </w:tcPr>
          <w:p w14:paraId="24B62344" w14:textId="2FC2D422" w:rsidR="00247F5B" w:rsidRDefault="00247F5B" w:rsidP="00622A65">
            <w:pPr>
              <w:pStyle w:val="TableCopy"/>
              <w:jc w:val="right"/>
            </w:pPr>
            <w:r>
              <w:t>280,147</w:t>
            </w:r>
          </w:p>
        </w:tc>
        <w:tc>
          <w:tcPr>
            <w:tcW w:w="1448" w:type="dxa"/>
          </w:tcPr>
          <w:p w14:paraId="7A73C044" w14:textId="6050E82E" w:rsidR="00247F5B" w:rsidRDefault="00247F5B" w:rsidP="00622A65">
            <w:pPr>
              <w:pStyle w:val="TableCopy"/>
              <w:jc w:val="right"/>
            </w:pPr>
            <w:r>
              <w:t>219,708</w:t>
            </w:r>
          </w:p>
        </w:tc>
      </w:tr>
      <w:tr w:rsidR="00247F5B" w14:paraId="4290C716" w14:textId="77777777" w:rsidTr="00BA3576">
        <w:tc>
          <w:tcPr>
            <w:tcW w:w="4815" w:type="dxa"/>
          </w:tcPr>
          <w:p w14:paraId="3BA319F2" w14:textId="3B3D2A49" w:rsidR="00247F5B" w:rsidRDefault="00247F5B" w:rsidP="00444259">
            <w:pPr>
              <w:pStyle w:val="TableCopy"/>
            </w:pPr>
            <w:r>
              <w:t>Sale of services</w:t>
            </w:r>
          </w:p>
        </w:tc>
        <w:tc>
          <w:tcPr>
            <w:tcW w:w="1204" w:type="dxa"/>
          </w:tcPr>
          <w:p w14:paraId="59DBD36F" w14:textId="5300E8FA" w:rsidR="00247F5B" w:rsidRDefault="00247F5B" w:rsidP="00622A65">
            <w:pPr>
              <w:pStyle w:val="TableCopy"/>
              <w:jc w:val="right"/>
            </w:pPr>
            <w:r>
              <w:t>–</w:t>
            </w:r>
          </w:p>
        </w:tc>
        <w:tc>
          <w:tcPr>
            <w:tcW w:w="1205" w:type="dxa"/>
          </w:tcPr>
          <w:p w14:paraId="614B23E9" w14:textId="6602FDC4" w:rsidR="00247F5B" w:rsidRDefault="00247F5B" w:rsidP="00622A65">
            <w:pPr>
              <w:pStyle w:val="TableCopy"/>
              <w:jc w:val="right"/>
            </w:pPr>
            <w:r>
              <w:t>–</w:t>
            </w:r>
          </w:p>
        </w:tc>
        <w:tc>
          <w:tcPr>
            <w:tcW w:w="1205" w:type="dxa"/>
          </w:tcPr>
          <w:p w14:paraId="1AAD92A4" w14:textId="53B10FF8" w:rsidR="00247F5B" w:rsidRDefault="00247F5B" w:rsidP="00622A65">
            <w:pPr>
              <w:pStyle w:val="TableCopy"/>
              <w:jc w:val="right"/>
            </w:pPr>
            <w:r>
              <w:t>–</w:t>
            </w:r>
          </w:p>
        </w:tc>
        <w:tc>
          <w:tcPr>
            <w:tcW w:w="1204" w:type="dxa"/>
          </w:tcPr>
          <w:p w14:paraId="0FDF4DC3" w14:textId="0A4CA4D3" w:rsidR="00247F5B" w:rsidRDefault="00247F5B" w:rsidP="00622A65">
            <w:pPr>
              <w:pStyle w:val="TableCopy"/>
              <w:jc w:val="right"/>
            </w:pPr>
            <w:r>
              <w:t>–</w:t>
            </w:r>
          </w:p>
        </w:tc>
        <w:tc>
          <w:tcPr>
            <w:tcW w:w="1308" w:type="dxa"/>
          </w:tcPr>
          <w:p w14:paraId="04B6DD74" w14:textId="395BE621" w:rsidR="00247F5B" w:rsidRDefault="00247F5B" w:rsidP="00622A65">
            <w:pPr>
              <w:pStyle w:val="TableCopy"/>
              <w:jc w:val="right"/>
            </w:pPr>
            <w:r>
              <w:t>10,022</w:t>
            </w:r>
          </w:p>
        </w:tc>
        <w:tc>
          <w:tcPr>
            <w:tcW w:w="1276" w:type="dxa"/>
          </w:tcPr>
          <w:p w14:paraId="765A53AD" w14:textId="159851AA" w:rsidR="00247F5B" w:rsidRDefault="00247F5B" w:rsidP="00622A65">
            <w:pPr>
              <w:pStyle w:val="TableCopy"/>
              <w:jc w:val="right"/>
            </w:pPr>
            <w:r>
              <w:t>29,756</w:t>
            </w:r>
          </w:p>
        </w:tc>
        <w:tc>
          <w:tcPr>
            <w:tcW w:w="1419" w:type="dxa"/>
          </w:tcPr>
          <w:p w14:paraId="0248F7F5" w14:textId="0F8199CA" w:rsidR="00247F5B" w:rsidRDefault="00247F5B" w:rsidP="00622A65">
            <w:pPr>
              <w:pStyle w:val="TableCopy"/>
              <w:jc w:val="right"/>
            </w:pPr>
            <w:r>
              <w:t>10,052</w:t>
            </w:r>
          </w:p>
        </w:tc>
        <w:tc>
          <w:tcPr>
            <w:tcW w:w="1448" w:type="dxa"/>
          </w:tcPr>
          <w:p w14:paraId="445D18E4" w14:textId="79F5823E" w:rsidR="00247F5B" w:rsidRDefault="00247F5B" w:rsidP="00622A65">
            <w:pPr>
              <w:pStyle w:val="TableCopy"/>
              <w:jc w:val="right"/>
            </w:pPr>
            <w:r>
              <w:t>29,756</w:t>
            </w:r>
          </w:p>
        </w:tc>
      </w:tr>
      <w:tr w:rsidR="00247F5B" w14:paraId="2C94B351" w14:textId="77777777" w:rsidTr="00BA3576">
        <w:tc>
          <w:tcPr>
            <w:tcW w:w="4815" w:type="dxa"/>
          </w:tcPr>
          <w:p w14:paraId="473262D2" w14:textId="09C59173" w:rsidR="00247F5B" w:rsidRDefault="00247F5B" w:rsidP="00444259">
            <w:pPr>
              <w:pStyle w:val="TableCopy"/>
            </w:pPr>
            <w:r>
              <w:t>Other income</w:t>
            </w:r>
          </w:p>
        </w:tc>
        <w:tc>
          <w:tcPr>
            <w:tcW w:w="1204" w:type="dxa"/>
          </w:tcPr>
          <w:p w14:paraId="31908D55" w14:textId="3FDE3DA1" w:rsidR="00247F5B" w:rsidRDefault="00247F5B" w:rsidP="00622A65">
            <w:pPr>
              <w:pStyle w:val="TableCopy"/>
              <w:jc w:val="right"/>
            </w:pPr>
            <w:r>
              <w:t>–</w:t>
            </w:r>
          </w:p>
        </w:tc>
        <w:tc>
          <w:tcPr>
            <w:tcW w:w="1205" w:type="dxa"/>
          </w:tcPr>
          <w:p w14:paraId="118ACA7A" w14:textId="3244A701" w:rsidR="00247F5B" w:rsidRDefault="00247F5B" w:rsidP="00622A65">
            <w:pPr>
              <w:pStyle w:val="TableCopy"/>
              <w:jc w:val="right"/>
            </w:pPr>
            <w:r>
              <w:t>–</w:t>
            </w:r>
          </w:p>
        </w:tc>
        <w:tc>
          <w:tcPr>
            <w:tcW w:w="1205" w:type="dxa"/>
          </w:tcPr>
          <w:p w14:paraId="14866092" w14:textId="1C6D2229" w:rsidR="00247F5B" w:rsidRDefault="00247F5B" w:rsidP="00622A65">
            <w:pPr>
              <w:pStyle w:val="TableCopy"/>
              <w:jc w:val="right"/>
            </w:pPr>
            <w:r>
              <w:t>–</w:t>
            </w:r>
          </w:p>
        </w:tc>
        <w:tc>
          <w:tcPr>
            <w:tcW w:w="1204" w:type="dxa"/>
          </w:tcPr>
          <w:p w14:paraId="02338800" w14:textId="017C3947" w:rsidR="00247F5B" w:rsidRDefault="00247F5B" w:rsidP="00622A65">
            <w:pPr>
              <w:pStyle w:val="TableCopy"/>
              <w:jc w:val="right"/>
            </w:pPr>
            <w:r>
              <w:t>–</w:t>
            </w:r>
          </w:p>
        </w:tc>
        <w:tc>
          <w:tcPr>
            <w:tcW w:w="1308" w:type="dxa"/>
          </w:tcPr>
          <w:p w14:paraId="0DF51C01" w14:textId="15AE1856" w:rsidR="00247F5B" w:rsidRDefault="00247F5B" w:rsidP="00622A65">
            <w:pPr>
              <w:pStyle w:val="TableCopy"/>
              <w:jc w:val="right"/>
            </w:pPr>
            <w:r>
              <w:t>6,794</w:t>
            </w:r>
          </w:p>
        </w:tc>
        <w:tc>
          <w:tcPr>
            <w:tcW w:w="1276" w:type="dxa"/>
          </w:tcPr>
          <w:p w14:paraId="0F400818" w14:textId="52E84FEB" w:rsidR="00247F5B" w:rsidRDefault="00247F5B" w:rsidP="00622A65">
            <w:pPr>
              <w:pStyle w:val="TableCopy"/>
              <w:jc w:val="right"/>
            </w:pPr>
            <w:r>
              <w:t>15,700</w:t>
            </w:r>
          </w:p>
        </w:tc>
        <w:tc>
          <w:tcPr>
            <w:tcW w:w="1419" w:type="dxa"/>
          </w:tcPr>
          <w:p w14:paraId="26832DE7" w14:textId="354EC3F3" w:rsidR="00247F5B" w:rsidRDefault="00247F5B" w:rsidP="00622A65">
            <w:pPr>
              <w:pStyle w:val="TableCopy"/>
              <w:jc w:val="right"/>
            </w:pPr>
            <w:r>
              <w:t>19,910</w:t>
            </w:r>
          </w:p>
        </w:tc>
        <w:tc>
          <w:tcPr>
            <w:tcW w:w="1448" w:type="dxa"/>
          </w:tcPr>
          <w:p w14:paraId="1184BEB4" w14:textId="29C00DB5" w:rsidR="00247F5B" w:rsidRDefault="00247F5B" w:rsidP="00622A65">
            <w:pPr>
              <w:pStyle w:val="TableCopy"/>
              <w:jc w:val="right"/>
            </w:pPr>
            <w:r>
              <w:t>20,725</w:t>
            </w:r>
          </w:p>
        </w:tc>
      </w:tr>
      <w:tr w:rsidR="00247F5B" w:rsidRPr="00444259" w14:paraId="29C41AA2" w14:textId="77777777" w:rsidTr="00BA3576">
        <w:tc>
          <w:tcPr>
            <w:tcW w:w="4815" w:type="dxa"/>
          </w:tcPr>
          <w:p w14:paraId="5FAFFF8B" w14:textId="6A684084" w:rsidR="00247F5B" w:rsidRPr="00444259" w:rsidRDefault="00247F5B" w:rsidP="00444259">
            <w:pPr>
              <w:pStyle w:val="TableCopy"/>
              <w:rPr>
                <w:b/>
                <w:bCs/>
              </w:rPr>
            </w:pPr>
            <w:r w:rsidRPr="00444259">
              <w:rPr>
                <w:b/>
                <w:bCs/>
              </w:rPr>
              <w:t>Total revenue and income from transactions</w:t>
            </w:r>
          </w:p>
        </w:tc>
        <w:tc>
          <w:tcPr>
            <w:tcW w:w="1204" w:type="dxa"/>
          </w:tcPr>
          <w:p w14:paraId="79AFE5B4" w14:textId="47DA96B8" w:rsidR="00247F5B" w:rsidRPr="00444259" w:rsidRDefault="00247F5B" w:rsidP="00622A65">
            <w:pPr>
              <w:pStyle w:val="TableCopy"/>
              <w:jc w:val="right"/>
              <w:rPr>
                <w:b/>
                <w:bCs/>
              </w:rPr>
            </w:pPr>
            <w:r w:rsidRPr="00444259">
              <w:rPr>
                <w:b/>
                <w:bCs/>
              </w:rPr>
              <w:t>38,780</w:t>
            </w:r>
          </w:p>
        </w:tc>
        <w:tc>
          <w:tcPr>
            <w:tcW w:w="1205" w:type="dxa"/>
          </w:tcPr>
          <w:p w14:paraId="6C0C34A2" w14:textId="27D4F300" w:rsidR="00247F5B" w:rsidRPr="00444259" w:rsidRDefault="00247F5B" w:rsidP="00622A65">
            <w:pPr>
              <w:pStyle w:val="TableCopy"/>
              <w:jc w:val="right"/>
              <w:rPr>
                <w:b/>
                <w:bCs/>
              </w:rPr>
            </w:pPr>
            <w:r w:rsidRPr="00444259">
              <w:rPr>
                <w:b/>
                <w:bCs/>
              </w:rPr>
              <w:t>94,722</w:t>
            </w:r>
          </w:p>
        </w:tc>
        <w:tc>
          <w:tcPr>
            <w:tcW w:w="1205" w:type="dxa"/>
          </w:tcPr>
          <w:p w14:paraId="2B4C09A3" w14:textId="77777777" w:rsidR="00247F5B" w:rsidRPr="00444259" w:rsidRDefault="00247F5B" w:rsidP="00622A65">
            <w:pPr>
              <w:pStyle w:val="TableCopy"/>
              <w:jc w:val="right"/>
              <w:rPr>
                <w:b/>
                <w:bCs/>
              </w:rPr>
            </w:pPr>
            <w:r w:rsidRPr="00444259">
              <w:rPr>
                <w:b/>
                <w:bCs/>
              </w:rPr>
              <w:t>71,598</w:t>
            </w:r>
          </w:p>
        </w:tc>
        <w:tc>
          <w:tcPr>
            <w:tcW w:w="1204" w:type="dxa"/>
          </w:tcPr>
          <w:p w14:paraId="1F1A8384" w14:textId="2F7B1EE4" w:rsidR="00247F5B" w:rsidRPr="00444259" w:rsidRDefault="00247F5B" w:rsidP="00622A65">
            <w:pPr>
              <w:pStyle w:val="TableCopy"/>
              <w:jc w:val="right"/>
              <w:rPr>
                <w:b/>
                <w:bCs/>
              </w:rPr>
            </w:pPr>
            <w:r w:rsidRPr="00444259">
              <w:rPr>
                <w:b/>
                <w:bCs/>
              </w:rPr>
              <w:t>55,861</w:t>
            </w:r>
          </w:p>
        </w:tc>
        <w:tc>
          <w:tcPr>
            <w:tcW w:w="1308" w:type="dxa"/>
          </w:tcPr>
          <w:p w14:paraId="57341580" w14:textId="77777777" w:rsidR="00247F5B" w:rsidRPr="00444259" w:rsidRDefault="00247F5B" w:rsidP="00622A65">
            <w:pPr>
              <w:pStyle w:val="TableCopy"/>
              <w:jc w:val="right"/>
              <w:rPr>
                <w:b/>
                <w:bCs/>
              </w:rPr>
            </w:pPr>
            <w:r w:rsidRPr="00444259">
              <w:rPr>
                <w:b/>
                <w:bCs/>
              </w:rPr>
              <w:t>582,423</w:t>
            </w:r>
          </w:p>
        </w:tc>
        <w:tc>
          <w:tcPr>
            <w:tcW w:w="1276" w:type="dxa"/>
          </w:tcPr>
          <w:p w14:paraId="0429B256" w14:textId="77777777" w:rsidR="00247F5B" w:rsidRPr="00444259" w:rsidRDefault="00247F5B" w:rsidP="00622A65">
            <w:pPr>
              <w:pStyle w:val="TableCopy"/>
              <w:jc w:val="right"/>
              <w:rPr>
                <w:b/>
                <w:bCs/>
              </w:rPr>
            </w:pPr>
            <w:r w:rsidRPr="00444259">
              <w:rPr>
                <w:b/>
                <w:bCs/>
              </w:rPr>
              <w:t>1,023,800</w:t>
            </w:r>
          </w:p>
        </w:tc>
        <w:tc>
          <w:tcPr>
            <w:tcW w:w="1419" w:type="dxa"/>
          </w:tcPr>
          <w:p w14:paraId="4EAB30C2" w14:textId="215CED24" w:rsidR="00247F5B" w:rsidRPr="00444259" w:rsidRDefault="00247F5B" w:rsidP="00622A65">
            <w:pPr>
              <w:pStyle w:val="TableCopy"/>
              <w:jc w:val="right"/>
              <w:rPr>
                <w:b/>
                <w:bCs/>
              </w:rPr>
            </w:pPr>
            <w:r w:rsidRPr="00444259">
              <w:rPr>
                <w:b/>
                <w:bCs/>
              </w:rPr>
              <w:t>4,136,061</w:t>
            </w:r>
          </w:p>
        </w:tc>
        <w:tc>
          <w:tcPr>
            <w:tcW w:w="1448" w:type="dxa"/>
          </w:tcPr>
          <w:p w14:paraId="187A6011" w14:textId="77777777" w:rsidR="00247F5B" w:rsidRPr="00444259" w:rsidRDefault="00247F5B" w:rsidP="00622A65">
            <w:pPr>
              <w:pStyle w:val="TableCopy"/>
              <w:jc w:val="right"/>
              <w:rPr>
                <w:b/>
                <w:bCs/>
              </w:rPr>
            </w:pPr>
            <w:r w:rsidRPr="00444259">
              <w:rPr>
                <w:b/>
                <w:bCs/>
              </w:rPr>
              <w:t>11,094,815</w:t>
            </w:r>
          </w:p>
        </w:tc>
      </w:tr>
      <w:tr w:rsidR="00247F5B" w:rsidRPr="0044296A" w14:paraId="30149278" w14:textId="77777777" w:rsidTr="00BA3576">
        <w:tc>
          <w:tcPr>
            <w:tcW w:w="4815" w:type="dxa"/>
          </w:tcPr>
          <w:p w14:paraId="68924A14" w14:textId="00F8EAB0" w:rsidR="00247F5B" w:rsidRPr="0044296A" w:rsidRDefault="00247F5B" w:rsidP="0044296A">
            <w:pPr>
              <w:pStyle w:val="TableHeading"/>
            </w:pPr>
            <w:r w:rsidRPr="0044296A">
              <w:t>Expenses from transactions</w:t>
            </w:r>
          </w:p>
        </w:tc>
        <w:tc>
          <w:tcPr>
            <w:tcW w:w="1204" w:type="dxa"/>
          </w:tcPr>
          <w:p w14:paraId="69E05935" w14:textId="77777777" w:rsidR="00247F5B" w:rsidRPr="0044296A" w:rsidRDefault="00247F5B" w:rsidP="00622A65">
            <w:pPr>
              <w:pStyle w:val="TableHeading"/>
              <w:jc w:val="right"/>
            </w:pPr>
          </w:p>
        </w:tc>
        <w:tc>
          <w:tcPr>
            <w:tcW w:w="1205" w:type="dxa"/>
          </w:tcPr>
          <w:p w14:paraId="5ECB47F4" w14:textId="77777777" w:rsidR="00247F5B" w:rsidRPr="0044296A" w:rsidRDefault="00247F5B" w:rsidP="00622A65">
            <w:pPr>
              <w:pStyle w:val="TableHeading"/>
              <w:jc w:val="right"/>
            </w:pPr>
          </w:p>
        </w:tc>
        <w:tc>
          <w:tcPr>
            <w:tcW w:w="1205" w:type="dxa"/>
          </w:tcPr>
          <w:p w14:paraId="37944597" w14:textId="77777777" w:rsidR="00247F5B" w:rsidRPr="0044296A" w:rsidRDefault="00247F5B" w:rsidP="00622A65">
            <w:pPr>
              <w:pStyle w:val="TableHeading"/>
              <w:jc w:val="right"/>
            </w:pPr>
          </w:p>
        </w:tc>
        <w:tc>
          <w:tcPr>
            <w:tcW w:w="1204" w:type="dxa"/>
          </w:tcPr>
          <w:p w14:paraId="4E3E858D" w14:textId="77777777" w:rsidR="00247F5B" w:rsidRPr="0044296A" w:rsidRDefault="00247F5B" w:rsidP="00622A65">
            <w:pPr>
              <w:pStyle w:val="TableHeading"/>
              <w:jc w:val="right"/>
            </w:pPr>
          </w:p>
        </w:tc>
        <w:tc>
          <w:tcPr>
            <w:tcW w:w="1308" w:type="dxa"/>
          </w:tcPr>
          <w:p w14:paraId="4F9647F1" w14:textId="77777777" w:rsidR="00247F5B" w:rsidRPr="0044296A" w:rsidRDefault="00247F5B" w:rsidP="00622A65">
            <w:pPr>
              <w:pStyle w:val="TableHeading"/>
              <w:jc w:val="right"/>
            </w:pPr>
          </w:p>
        </w:tc>
        <w:tc>
          <w:tcPr>
            <w:tcW w:w="1276" w:type="dxa"/>
          </w:tcPr>
          <w:p w14:paraId="5352BA99" w14:textId="77777777" w:rsidR="00247F5B" w:rsidRPr="0044296A" w:rsidRDefault="00247F5B" w:rsidP="00622A65">
            <w:pPr>
              <w:pStyle w:val="TableHeading"/>
              <w:jc w:val="right"/>
            </w:pPr>
          </w:p>
        </w:tc>
        <w:tc>
          <w:tcPr>
            <w:tcW w:w="1419" w:type="dxa"/>
          </w:tcPr>
          <w:p w14:paraId="27CD5574" w14:textId="77777777" w:rsidR="00247F5B" w:rsidRPr="0044296A" w:rsidRDefault="00247F5B" w:rsidP="00622A65">
            <w:pPr>
              <w:pStyle w:val="TableHeading"/>
              <w:jc w:val="right"/>
            </w:pPr>
          </w:p>
        </w:tc>
        <w:tc>
          <w:tcPr>
            <w:tcW w:w="1448" w:type="dxa"/>
          </w:tcPr>
          <w:p w14:paraId="0B53FCC4" w14:textId="77777777" w:rsidR="00247F5B" w:rsidRPr="0044296A" w:rsidRDefault="00247F5B" w:rsidP="00622A65">
            <w:pPr>
              <w:pStyle w:val="TableHeading"/>
              <w:jc w:val="right"/>
            </w:pPr>
          </w:p>
        </w:tc>
      </w:tr>
      <w:tr w:rsidR="00247F5B" w14:paraId="454768FE" w14:textId="77777777" w:rsidTr="00BA3576">
        <w:tc>
          <w:tcPr>
            <w:tcW w:w="4815" w:type="dxa"/>
          </w:tcPr>
          <w:p w14:paraId="2043BFF7" w14:textId="77777777" w:rsidR="00247F5B" w:rsidRDefault="00247F5B" w:rsidP="0044296A">
            <w:pPr>
              <w:pStyle w:val="TableCopy"/>
            </w:pPr>
            <w:r>
              <w:t>Grants</w:t>
            </w:r>
          </w:p>
        </w:tc>
        <w:tc>
          <w:tcPr>
            <w:tcW w:w="1204" w:type="dxa"/>
          </w:tcPr>
          <w:p w14:paraId="74220A56" w14:textId="77777777" w:rsidR="00247F5B" w:rsidRDefault="00247F5B" w:rsidP="00622A65">
            <w:pPr>
              <w:pStyle w:val="TableCopy"/>
              <w:jc w:val="right"/>
            </w:pPr>
            <w:r>
              <w:t>(34,111)</w:t>
            </w:r>
          </w:p>
        </w:tc>
        <w:tc>
          <w:tcPr>
            <w:tcW w:w="1205" w:type="dxa"/>
          </w:tcPr>
          <w:p w14:paraId="58F38E23" w14:textId="77777777" w:rsidR="00247F5B" w:rsidRDefault="00247F5B" w:rsidP="00622A65">
            <w:pPr>
              <w:pStyle w:val="TableCopy"/>
              <w:jc w:val="right"/>
            </w:pPr>
            <w:r>
              <w:t>(81,065)</w:t>
            </w:r>
          </w:p>
        </w:tc>
        <w:tc>
          <w:tcPr>
            <w:tcW w:w="1205" w:type="dxa"/>
          </w:tcPr>
          <w:p w14:paraId="12A0A92A" w14:textId="77777777" w:rsidR="00247F5B" w:rsidRDefault="00247F5B" w:rsidP="00622A65">
            <w:pPr>
              <w:pStyle w:val="TableCopy"/>
              <w:jc w:val="right"/>
            </w:pPr>
            <w:r>
              <w:t>(65,813)</w:t>
            </w:r>
          </w:p>
        </w:tc>
        <w:tc>
          <w:tcPr>
            <w:tcW w:w="1204" w:type="dxa"/>
          </w:tcPr>
          <w:p w14:paraId="38865892" w14:textId="77777777" w:rsidR="00247F5B" w:rsidRDefault="00247F5B" w:rsidP="00622A65">
            <w:pPr>
              <w:pStyle w:val="TableCopy"/>
              <w:jc w:val="right"/>
            </w:pPr>
            <w:r>
              <w:t>(47,608)</w:t>
            </w:r>
          </w:p>
        </w:tc>
        <w:tc>
          <w:tcPr>
            <w:tcW w:w="1308" w:type="dxa"/>
          </w:tcPr>
          <w:p w14:paraId="1500A83E" w14:textId="77777777" w:rsidR="00247F5B" w:rsidRDefault="00247F5B" w:rsidP="00622A65">
            <w:pPr>
              <w:pStyle w:val="TableCopy"/>
              <w:jc w:val="right"/>
            </w:pPr>
            <w:r>
              <w:t>(328,817)</w:t>
            </w:r>
          </w:p>
        </w:tc>
        <w:tc>
          <w:tcPr>
            <w:tcW w:w="1276" w:type="dxa"/>
          </w:tcPr>
          <w:p w14:paraId="554305C6" w14:textId="77777777" w:rsidR="00247F5B" w:rsidRDefault="00247F5B" w:rsidP="00622A65">
            <w:pPr>
              <w:pStyle w:val="TableCopy"/>
              <w:jc w:val="right"/>
            </w:pPr>
            <w:r>
              <w:t>(514,892)</w:t>
            </w:r>
          </w:p>
        </w:tc>
        <w:tc>
          <w:tcPr>
            <w:tcW w:w="1419" w:type="dxa"/>
          </w:tcPr>
          <w:p w14:paraId="07416010" w14:textId="77777777" w:rsidR="00247F5B" w:rsidRDefault="00247F5B" w:rsidP="00622A65">
            <w:pPr>
              <w:pStyle w:val="TableCopy"/>
              <w:jc w:val="right"/>
            </w:pPr>
            <w:r>
              <w:t>(2,926,786)</w:t>
            </w:r>
          </w:p>
        </w:tc>
        <w:tc>
          <w:tcPr>
            <w:tcW w:w="1448" w:type="dxa"/>
          </w:tcPr>
          <w:p w14:paraId="720F0533" w14:textId="77777777" w:rsidR="00247F5B" w:rsidRDefault="00247F5B" w:rsidP="00622A65">
            <w:pPr>
              <w:pStyle w:val="TableCopy"/>
              <w:jc w:val="right"/>
            </w:pPr>
            <w:r>
              <w:t>(9,892,275)</w:t>
            </w:r>
          </w:p>
        </w:tc>
      </w:tr>
      <w:tr w:rsidR="00247F5B" w14:paraId="644044C8" w14:textId="77777777" w:rsidTr="00BA3576">
        <w:tc>
          <w:tcPr>
            <w:tcW w:w="4815" w:type="dxa"/>
          </w:tcPr>
          <w:p w14:paraId="5F93AEAA" w14:textId="62BFBBC6" w:rsidR="00247F5B" w:rsidRDefault="00247F5B" w:rsidP="0044296A">
            <w:pPr>
              <w:pStyle w:val="TableCopy"/>
            </w:pPr>
            <w:r>
              <w:t>Employee expenses</w:t>
            </w:r>
          </w:p>
        </w:tc>
        <w:tc>
          <w:tcPr>
            <w:tcW w:w="1204" w:type="dxa"/>
          </w:tcPr>
          <w:p w14:paraId="6DCBB066" w14:textId="77777777" w:rsidR="00247F5B" w:rsidRDefault="00247F5B" w:rsidP="00622A65">
            <w:pPr>
              <w:pStyle w:val="TableCopy"/>
              <w:jc w:val="right"/>
            </w:pPr>
            <w:r>
              <w:t>(4,281)</w:t>
            </w:r>
          </w:p>
        </w:tc>
        <w:tc>
          <w:tcPr>
            <w:tcW w:w="1205" w:type="dxa"/>
          </w:tcPr>
          <w:p w14:paraId="3A3B2028" w14:textId="77777777" w:rsidR="00247F5B" w:rsidRDefault="00247F5B" w:rsidP="00622A65">
            <w:pPr>
              <w:pStyle w:val="TableCopy"/>
              <w:jc w:val="right"/>
            </w:pPr>
            <w:r>
              <w:t>(7,191)</w:t>
            </w:r>
          </w:p>
        </w:tc>
        <w:tc>
          <w:tcPr>
            <w:tcW w:w="1205" w:type="dxa"/>
          </w:tcPr>
          <w:p w14:paraId="094D75FA" w14:textId="77777777" w:rsidR="00247F5B" w:rsidRDefault="00247F5B" w:rsidP="00622A65">
            <w:pPr>
              <w:pStyle w:val="TableCopy"/>
              <w:jc w:val="right"/>
            </w:pPr>
            <w:r>
              <w:t>(3,792)</w:t>
            </w:r>
          </w:p>
        </w:tc>
        <w:tc>
          <w:tcPr>
            <w:tcW w:w="1204" w:type="dxa"/>
          </w:tcPr>
          <w:p w14:paraId="7BB3AA52" w14:textId="77777777" w:rsidR="00247F5B" w:rsidRDefault="00247F5B" w:rsidP="00622A65">
            <w:pPr>
              <w:pStyle w:val="TableCopy"/>
              <w:jc w:val="right"/>
            </w:pPr>
            <w:r>
              <w:t>(3,737)</w:t>
            </w:r>
          </w:p>
        </w:tc>
        <w:tc>
          <w:tcPr>
            <w:tcW w:w="1308" w:type="dxa"/>
          </w:tcPr>
          <w:p w14:paraId="3699F5F7" w14:textId="77777777" w:rsidR="00247F5B" w:rsidRDefault="00247F5B" w:rsidP="00622A65">
            <w:pPr>
              <w:pStyle w:val="TableCopy"/>
              <w:jc w:val="right"/>
            </w:pPr>
            <w:r>
              <w:t>(142,570)</w:t>
            </w:r>
          </w:p>
        </w:tc>
        <w:tc>
          <w:tcPr>
            <w:tcW w:w="1276" w:type="dxa"/>
          </w:tcPr>
          <w:p w14:paraId="4B7DC70B" w14:textId="77777777" w:rsidR="00247F5B" w:rsidRDefault="00247F5B" w:rsidP="00622A65">
            <w:pPr>
              <w:pStyle w:val="TableCopy"/>
              <w:jc w:val="right"/>
            </w:pPr>
            <w:r>
              <w:t>(262,174)</w:t>
            </w:r>
          </w:p>
        </w:tc>
        <w:tc>
          <w:tcPr>
            <w:tcW w:w="1419" w:type="dxa"/>
          </w:tcPr>
          <w:p w14:paraId="3349C152" w14:textId="77777777" w:rsidR="00247F5B" w:rsidRDefault="00247F5B" w:rsidP="00622A65">
            <w:pPr>
              <w:pStyle w:val="TableCopy"/>
              <w:jc w:val="right"/>
            </w:pPr>
            <w:r>
              <w:t>(488,156)</w:t>
            </w:r>
          </w:p>
        </w:tc>
        <w:tc>
          <w:tcPr>
            <w:tcW w:w="1448" w:type="dxa"/>
          </w:tcPr>
          <w:p w14:paraId="2F8A35D7" w14:textId="77777777" w:rsidR="00247F5B" w:rsidRDefault="00247F5B" w:rsidP="00622A65">
            <w:pPr>
              <w:pStyle w:val="TableCopy"/>
              <w:jc w:val="right"/>
            </w:pPr>
            <w:r>
              <w:t>(577,228)</w:t>
            </w:r>
          </w:p>
        </w:tc>
      </w:tr>
      <w:tr w:rsidR="00247F5B" w14:paraId="21379EB7" w14:textId="77777777" w:rsidTr="00BA3576">
        <w:tc>
          <w:tcPr>
            <w:tcW w:w="4815" w:type="dxa"/>
          </w:tcPr>
          <w:p w14:paraId="109B9808" w14:textId="25B4CF1E" w:rsidR="00247F5B" w:rsidRDefault="00247F5B" w:rsidP="0044296A">
            <w:pPr>
              <w:pStyle w:val="TableCopy"/>
            </w:pPr>
            <w:r>
              <w:t xml:space="preserve">Depreciation and amortisation </w:t>
            </w:r>
          </w:p>
        </w:tc>
        <w:tc>
          <w:tcPr>
            <w:tcW w:w="1204" w:type="dxa"/>
          </w:tcPr>
          <w:p w14:paraId="48CF11BA" w14:textId="44B1B287" w:rsidR="00247F5B" w:rsidRDefault="00247F5B" w:rsidP="00622A65">
            <w:pPr>
              <w:pStyle w:val="TableCopy"/>
              <w:jc w:val="right"/>
            </w:pPr>
            <w:r>
              <w:t>–</w:t>
            </w:r>
          </w:p>
        </w:tc>
        <w:tc>
          <w:tcPr>
            <w:tcW w:w="1205" w:type="dxa"/>
          </w:tcPr>
          <w:p w14:paraId="4AE7E4C3" w14:textId="77777777" w:rsidR="00247F5B" w:rsidRDefault="00247F5B" w:rsidP="00622A65">
            <w:pPr>
              <w:pStyle w:val="TableCopy"/>
              <w:jc w:val="right"/>
            </w:pPr>
            <w:r>
              <w:t>(320)</w:t>
            </w:r>
          </w:p>
        </w:tc>
        <w:tc>
          <w:tcPr>
            <w:tcW w:w="1205" w:type="dxa"/>
          </w:tcPr>
          <w:p w14:paraId="3D3FDEA9" w14:textId="77777777" w:rsidR="00247F5B" w:rsidRDefault="00247F5B" w:rsidP="00622A65">
            <w:pPr>
              <w:pStyle w:val="TableCopy"/>
              <w:jc w:val="right"/>
            </w:pPr>
            <w:r>
              <w:t>(4)</w:t>
            </w:r>
          </w:p>
        </w:tc>
        <w:tc>
          <w:tcPr>
            <w:tcW w:w="1204" w:type="dxa"/>
          </w:tcPr>
          <w:p w14:paraId="564DE0B8" w14:textId="77777777" w:rsidR="00247F5B" w:rsidRDefault="00247F5B" w:rsidP="00622A65">
            <w:pPr>
              <w:pStyle w:val="TableCopy"/>
              <w:jc w:val="right"/>
            </w:pPr>
            <w:r>
              <w:t>(1)</w:t>
            </w:r>
          </w:p>
        </w:tc>
        <w:tc>
          <w:tcPr>
            <w:tcW w:w="1308" w:type="dxa"/>
          </w:tcPr>
          <w:p w14:paraId="04B2DF32" w14:textId="77777777" w:rsidR="00247F5B" w:rsidRDefault="00247F5B" w:rsidP="00622A65">
            <w:pPr>
              <w:pStyle w:val="TableCopy"/>
              <w:jc w:val="right"/>
            </w:pPr>
            <w:r>
              <w:t>(16,095)</w:t>
            </w:r>
          </w:p>
        </w:tc>
        <w:tc>
          <w:tcPr>
            <w:tcW w:w="1276" w:type="dxa"/>
          </w:tcPr>
          <w:p w14:paraId="5D29274D" w14:textId="77777777" w:rsidR="00247F5B" w:rsidRDefault="00247F5B" w:rsidP="00622A65">
            <w:pPr>
              <w:pStyle w:val="TableCopy"/>
              <w:jc w:val="right"/>
            </w:pPr>
            <w:r>
              <w:t>(25,605)</w:t>
            </w:r>
          </w:p>
        </w:tc>
        <w:tc>
          <w:tcPr>
            <w:tcW w:w="1419" w:type="dxa"/>
          </w:tcPr>
          <w:p w14:paraId="0ED5A046" w14:textId="77777777" w:rsidR="00247F5B" w:rsidRDefault="00247F5B" w:rsidP="00622A65">
            <w:pPr>
              <w:pStyle w:val="TableCopy"/>
              <w:jc w:val="right"/>
            </w:pPr>
            <w:r>
              <w:t>(32,410)</w:t>
            </w:r>
          </w:p>
        </w:tc>
        <w:tc>
          <w:tcPr>
            <w:tcW w:w="1448" w:type="dxa"/>
          </w:tcPr>
          <w:p w14:paraId="3472551A" w14:textId="77777777" w:rsidR="00247F5B" w:rsidRDefault="00247F5B" w:rsidP="00622A65">
            <w:pPr>
              <w:pStyle w:val="TableCopy"/>
              <w:jc w:val="right"/>
            </w:pPr>
            <w:r>
              <w:t>(48,844)</w:t>
            </w:r>
          </w:p>
        </w:tc>
      </w:tr>
      <w:tr w:rsidR="00247F5B" w14:paraId="1846FAFC" w14:textId="77777777" w:rsidTr="00BA3576">
        <w:tc>
          <w:tcPr>
            <w:tcW w:w="4815" w:type="dxa"/>
          </w:tcPr>
          <w:p w14:paraId="6DD084E8" w14:textId="49ABC0BE" w:rsidR="00247F5B" w:rsidRDefault="00247F5B" w:rsidP="0044296A">
            <w:pPr>
              <w:pStyle w:val="TableCopy"/>
            </w:pPr>
            <w:r>
              <w:lastRenderedPageBreak/>
              <w:t>Other operating expenses</w:t>
            </w:r>
          </w:p>
        </w:tc>
        <w:tc>
          <w:tcPr>
            <w:tcW w:w="1204" w:type="dxa"/>
          </w:tcPr>
          <w:p w14:paraId="01CE576D" w14:textId="77777777" w:rsidR="00247F5B" w:rsidRDefault="00247F5B" w:rsidP="00622A65">
            <w:pPr>
              <w:pStyle w:val="TableCopy"/>
              <w:jc w:val="right"/>
            </w:pPr>
            <w:r>
              <w:t>(1,638)</w:t>
            </w:r>
          </w:p>
        </w:tc>
        <w:tc>
          <w:tcPr>
            <w:tcW w:w="1205" w:type="dxa"/>
          </w:tcPr>
          <w:p w14:paraId="63FCA605" w14:textId="77777777" w:rsidR="00247F5B" w:rsidRDefault="00247F5B" w:rsidP="00622A65">
            <w:pPr>
              <w:pStyle w:val="TableCopy"/>
              <w:jc w:val="right"/>
            </w:pPr>
            <w:r>
              <w:t>(6,277)</w:t>
            </w:r>
          </w:p>
        </w:tc>
        <w:tc>
          <w:tcPr>
            <w:tcW w:w="1205" w:type="dxa"/>
          </w:tcPr>
          <w:p w14:paraId="6E79FB36" w14:textId="77777777" w:rsidR="00247F5B" w:rsidRDefault="00247F5B" w:rsidP="00622A65">
            <w:pPr>
              <w:pStyle w:val="TableCopy"/>
              <w:jc w:val="right"/>
            </w:pPr>
            <w:r>
              <w:t>(2,331)</w:t>
            </w:r>
          </w:p>
        </w:tc>
        <w:tc>
          <w:tcPr>
            <w:tcW w:w="1204" w:type="dxa"/>
          </w:tcPr>
          <w:p w14:paraId="58A73EF3" w14:textId="77777777" w:rsidR="00247F5B" w:rsidRDefault="00247F5B" w:rsidP="00622A65">
            <w:pPr>
              <w:pStyle w:val="TableCopy"/>
              <w:jc w:val="right"/>
            </w:pPr>
            <w:r>
              <w:t>(4,711)</w:t>
            </w:r>
          </w:p>
        </w:tc>
        <w:tc>
          <w:tcPr>
            <w:tcW w:w="1308" w:type="dxa"/>
          </w:tcPr>
          <w:p w14:paraId="2326E5B1" w14:textId="77777777" w:rsidR="00247F5B" w:rsidRDefault="00247F5B" w:rsidP="00622A65">
            <w:pPr>
              <w:pStyle w:val="TableCopy"/>
              <w:jc w:val="right"/>
            </w:pPr>
            <w:r>
              <w:t>(76,110)</w:t>
            </w:r>
          </w:p>
        </w:tc>
        <w:tc>
          <w:tcPr>
            <w:tcW w:w="1276" w:type="dxa"/>
          </w:tcPr>
          <w:p w14:paraId="264682FB" w14:textId="77777777" w:rsidR="00247F5B" w:rsidRDefault="00247F5B" w:rsidP="00622A65">
            <w:pPr>
              <w:pStyle w:val="TableCopy"/>
              <w:jc w:val="right"/>
            </w:pPr>
            <w:r>
              <w:t>(179,664)</w:t>
            </w:r>
          </w:p>
        </w:tc>
        <w:tc>
          <w:tcPr>
            <w:tcW w:w="1419" w:type="dxa"/>
          </w:tcPr>
          <w:p w14:paraId="7A1B9C30" w14:textId="77777777" w:rsidR="00247F5B" w:rsidRDefault="00247F5B" w:rsidP="00622A65">
            <w:pPr>
              <w:pStyle w:val="TableCopy"/>
              <w:jc w:val="right"/>
            </w:pPr>
            <w:r>
              <w:t>(555,602)</w:t>
            </w:r>
          </w:p>
        </w:tc>
        <w:tc>
          <w:tcPr>
            <w:tcW w:w="1448" w:type="dxa"/>
          </w:tcPr>
          <w:p w14:paraId="1043E8CF" w14:textId="77777777" w:rsidR="00247F5B" w:rsidRDefault="00247F5B" w:rsidP="00622A65">
            <w:pPr>
              <w:pStyle w:val="TableCopy"/>
              <w:jc w:val="right"/>
            </w:pPr>
            <w:r>
              <w:t>(454,254)</w:t>
            </w:r>
          </w:p>
        </w:tc>
      </w:tr>
      <w:tr w:rsidR="00247F5B" w:rsidRPr="0044296A" w14:paraId="67731679" w14:textId="77777777" w:rsidTr="00BA3576">
        <w:tc>
          <w:tcPr>
            <w:tcW w:w="4815" w:type="dxa"/>
          </w:tcPr>
          <w:p w14:paraId="76174858" w14:textId="388D4674" w:rsidR="00247F5B" w:rsidRPr="0044296A" w:rsidRDefault="00247F5B" w:rsidP="0044296A">
            <w:pPr>
              <w:pStyle w:val="TableCopy"/>
              <w:rPr>
                <w:b/>
                <w:bCs/>
              </w:rPr>
            </w:pPr>
            <w:r w:rsidRPr="0044296A">
              <w:rPr>
                <w:b/>
                <w:bCs/>
              </w:rPr>
              <w:t>Total expenses from transactions</w:t>
            </w:r>
          </w:p>
        </w:tc>
        <w:tc>
          <w:tcPr>
            <w:tcW w:w="1204" w:type="dxa"/>
          </w:tcPr>
          <w:p w14:paraId="4E1A0E1C" w14:textId="77777777" w:rsidR="00247F5B" w:rsidRPr="0044296A" w:rsidRDefault="00247F5B" w:rsidP="00622A65">
            <w:pPr>
              <w:pStyle w:val="TableCopy"/>
              <w:jc w:val="right"/>
              <w:rPr>
                <w:b/>
                <w:bCs/>
              </w:rPr>
            </w:pPr>
            <w:r w:rsidRPr="0044296A">
              <w:rPr>
                <w:b/>
                <w:bCs/>
              </w:rPr>
              <w:t>(40,030)</w:t>
            </w:r>
          </w:p>
        </w:tc>
        <w:tc>
          <w:tcPr>
            <w:tcW w:w="1205" w:type="dxa"/>
          </w:tcPr>
          <w:p w14:paraId="589C375D" w14:textId="77777777" w:rsidR="00247F5B" w:rsidRPr="0044296A" w:rsidRDefault="00247F5B" w:rsidP="00622A65">
            <w:pPr>
              <w:pStyle w:val="TableCopy"/>
              <w:jc w:val="right"/>
              <w:rPr>
                <w:b/>
                <w:bCs/>
              </w:rPr>
            </w:pPr>
            <w:r w:rsidRPr="0044296A">
              <w:rPr>
                <w:b/>
                <w:bCs/>
              </w:rPr>
              <w:t>(94,853)</w:t>
            </w:r>
          </w:p>
        </w:tc>
        <w:tc>
          <w:tcPr>
            <w:tcW w:w="1205" w:type="dxa"/>
          </w:tcPr>
          <w:p w14:paraId="7C04D9E7" w14:textId="77777777" w:rsidR="00247F5B" w:rsidRPr="0044296A" w:rsidRDefault="00247F5B" w:rsidP="00622A65">
            <w:pPr>
              <w:pStyle w:val="TableCopy"/>
              <w:jc w:val="right"/>
              <w:rPr>
                <w:b/>
                <w:bCs/>
              </w:rPr>
            </w:pPr>
            <w:r w:rsidRPr="0044296A">
              <w:rPr>
                <w:b/>
                <w:bCs/>
              </w:rPr>
              <w:t>(71,940)</w:t>
            </w:r>
          </w:p>
        </w:tc>
        <w:tc>
          <w:tcPr>
            <w:tcW w:w="1204" w:type="dxa"/>
          </w:tcPr>
          <w:p w14:paraId="61285B11" w14:textId="77777777" w:rsidR="00247F5B" w:rsidRPr="0044296A" w:rsidRDefault="00247F5B" w:rsidP="00622A65">
            <w:pPr>
              <w:pStyle w:val="TableCopy"/>
              <w:jc w:val="right"/>
              <w:rPr>
                <w:b/>
                <w:bCs/>
              </w:rPr>
            </w:pPr>
            <w:r w:rsidRPr="0044296A">
              <w:rPr>
                <w:b/>
                <w:bCs/>
              </w:rPr>
              <w:t>(56,057)</w:t>
            </w:r>
          </w:p>
        </w:tc>
        <w:tc>
          <w:tcPr>
            <w:tcW w:w="1308" w:type="dxa"/>
          </w:tcPr>
          <w:p w14:paraId="643A8798" w14:textId="77777777" w:rsidR="00247F5B" w:rsidRPr="0044296A" w:rsidRDefault="00247F5B" w:rsidP="00622A65">
            <w:pPr>
              <w:pStyle w:val="TableCopy"/>
              <w:jc w:val="right"/>
              <w:rPr>
                <w:b/>
                <w:bCs/>
              </w:rPr>
            </w:pPr>
            <w:r w:rsidRPr="0044296A">
              <w:rPr>
                <w:b/>
                <w:bCs/>
              </w:rPr>
              <w:t>(563,592)</w:t>
            </w:r>
          </w:p>
        </w:tc>
        <w:tc>
          <w:tcPr>
            <w:tcW w:w="1276" w:type="dxa"/>
          </w:tcPr>
          <w:p w14:paraId="3470CC0E" w14:textId="77777777" w:rsidR="00247F5B" w:rsidRPr="0044296A" w:rsidRDefault="00247F5B" w:rsidP="00622A65">
            <w:pPr>
              <w:pStyle w:val="TableCopy"/>
              <w:jc w:val="right"/>
              <w:rPr>
                <w:b/>
                <w:bCs/>
              </w:rPr>
            </w:pPr>
            <w:r w:rsidRPr="0044296A">
              <w:rPr>
                <w:b/>
                <w:bCs/>
              </w:rPr>
              <w:t>(982,335)</w:t>
            </w:r>
          </w:p>
        </w:tc>
        <w:tc>
          <w:tcPr>
            <w:tcW w:w="1419" w:type="dxa"/>
          </w:tcPr>
          <w:p w14:paraId="6650F5E6" w14:textId="77777777" w:rsidR="00247F5B" w:rsidRPr="0044296A" w:rsidRDefault="00247F5B" w:rsidP="00622A65">
            <w:pPr>
              <w:pStyle w:val="TableCopy"/>
              <w:jc w:val="right"/>
              <w:rPr>
                <w:b/>
                <w:bCs/>
              </w:rPr>
            </w:pPr>
            <w:r w:rsidRPr="0044296A">
              <w:rPr>
                <w:b/>
                <w:bCs/>
              </w:rPr>
              <w:t>(4,002,954)</w:t>
            </w:r>
          </w:p>
        </w:tc>
        <w:tc>
          <w:tcPr>
            <w:tcW w:w="1448" w:type="dxa"/>
          </w:tcPr>
          <w:p w14:paraId="4AF656F7" w14:textId="77777777" w:rsidR="00247F5B" w:rsidRPr="0044296A" w:rsidRDefault="00247F5B" w:rsidP="00622A65">
            <w:pPr>
              <w:pStyle w:val="TableCopy"/>
              <w:jc w:val="right"/>
              <w:rPr>
                <w:b/>
                <w:bCs/>
              </w:rPr>
            </w:pPr>
            <w:r w:rsidRPr="0044296A">
              <w:rPr>
                <w:b/>
                <w:bCs/>
              </w:rPr>
              <w:t>(10,972,601)</w:t>
            </w:r>
          </w:p>
        </w:tc>
      </w:tr>
      <w:tr w:rsidR="00247F5B" w:rsidRPr="0044296A" w14:paraId="4DDBBD74" w14:textId="77777777" w:rsidTr="00BA3576">
        <w:tc>
          <w:tcPr>
            <w:tcW w:w="4815" w:type="dxa"/>
          </w:tcPr>
          <w:p w14:paraId="57E295E9" w14:textId="779FC9D9" w:rsidR="00247F5B" w:rsidRPr="0044296A" w:rsidRDefault="00247F5B" w:rsidP="0044296A">
            <w:pPr>
              <w:pStyle w:val="TableCopy"/>
              <w:rPr>
                <w:b/>
                <w:bCs/>
              </w:rPr>
            </w:pPr>
            <w:r w:rsidRPr="0044296A">
              <w:rPr>
                <w:b/>
                <w:bCs/>
              </w:rPr>
              <w:t>Net result from transactions</w:t>
            </w:r>
          </w:p>
        </w:tc>
        <w:tc>
          <w:tcPr>
            <w:tcW w:w="1204" w:type="dxa"/>
          </w:tcPr>
          <w:p w14:paraId="592D93DA" w14:textId="77777777" w:rsidR="00247F5B" w:rsidRPr="0044296A" w:rsidRDefault="00247F5B" w:rsidP="00622A65">
            <w:pPr>
              <w:pStyle w:val="TableCopy"/>
              <w:jc w:val="right"/>
              <w:rPr>
                <w:b/>
                <w:bCs/>
              </w:rPr>
            </w:pPr>
            <w:r w:rsidRPr="0044296A">
              <w:rPr>
                <w:b/>
                <w:bCs/>
              </w:rPr>
              <w:t>(1,250)</w:t>
            </w:r>
          </w:p>
        </w:tc>
        <w:tc>
          <w:tcPr>
            <w:tcW w:w="1205" w:type="dxa"/>
          </w:tcPr>
          <w:p w14:paraId="448DEFA2" w14:textId="77777777" w:rsidR="00247F5B" w:rsidRPr="0044296A" w:rsidRDefault="00247F5B" w:rsidP="00622A65">
            <w:pPr>
              <w:pStyle w:val="TableCopy"/>
              <w:jc w:val="right"/>
              <w:rPr>
                <w:b/>
                <w:bCs/>
              </w:rPr>
            </w:pPr>
            <w:r w:rsidRPr="0044296A">
              <w:rPr>
                <w:b/>
                <w:bCs/>
              </w:rPr>
              <w:t>(131)</w:t>
            </w:r>
          </w:p>
        </w:tc>
        <w:tc>
          <w:tcPr>
            <w:tcW w:w="1205" w:type="dxa"/>
          </w:tcPr>
          <w:p w14:paraId="142EE0BD" w14:textId="77777777" w:rsidR="00247F5B" w:rsidRPr="0044296A" w:rsidRDefault="00247F5B" w:rsidP="00622A65">
            <w:pPr>
              <w:pStyle w:val="TableCopy"/>
              <w:jc w:val="right"/>
              <w:rPr>
                <w:b/>
                <w:bCs/>
              </w:rPr>
            </w:pPr>
            <w:r w:rsidRPr="0044296A">
              <w:rPr>
                <w:b/>
                <w:bCs/>
              </w:rPr>
              <w:t>(342)</w:t>
            </w:r>
          </w:p>
        </w:tc>
        <w:tc>
          <w:tcPr>
            <w:tcW w:w="1204" w:type="dxa"/>
          </w:tcPr>
          <w:p w14:paraId="65705FB1" w14:textId="77777777" w:rsidR="00247F5B" w:rsidRPr="0044296A" w:rsidRDefault="00247F5B" w:rsidP="00622A65">
            <w:pPr>
              <w:pStyle w:val="TableCopy"/>
              <w:jc w:val="right"/>
              <w:rPr>
                <w:b/>
                <w:bCs/>
              </w:rPr>
            </w:pPr>
            <w:r w:rsidRPr="0044296A">
              <w:rPr>
                <w:b/>
                <w:bCs/>
              </w:rPr>
              <w:t>(196)</w:t>
            </w:r>
          </w:p>
        </w:tc>
        <w:tc>
          <w:tcPr>
            <w:tcW w:w="1308" w:type="dxa"/>
          </w:tcPr>
          <w:p w14:paraId="2313E983" w14:textId="77777777" w:rsidR="00247F5B" w:rsidRPr="0044296A" w:rsidRDefault="00247F5B" w:rsidP="00622A65">
            <w:pPr>
              <w:pStyle w:val="TableCopy"/>
              <w:jc w:val="right"/>
              <w:rPr>
                <w:b/>
                <w:bCs/>
              </w:rPr>
            </w:pPr>
            <w:r w:rsidRPr="0044296A">
              <w:rPr>
                <w:b/>
                <w:bCs/>
              </w:rPr>
              <w:t>18,831</w:t>
            </w:r>
          </w:p>
        </w:tc>
        <w:tc>
          <w:tcPr>
            <w:tcW w:w="1276" w:type="dxa"/>
          </w:tcPr>
          <w:p w14:paraId="4DF202C2" w14:textId="701ABFA1" w:rsidR="00247F5B" w:rsidRPr="0044296A" w:rsidRDefault="00247F5B" w:rsidP="00622A65">
            <w:pPr>
              <w:pStyle w:val="TableCopy"/>
              <w:jc w:val="right"/>
              <w:rPr>
                <w:b/>
                <w:bCs/>
              </w:rPr>
            </w:pPr>
            <w:r w:rsidRPr="0044296A">
              <w:rPr>
                <w:b/>
                <w:bCs/>
              </w:rPr>
              <w:t>41,465</w:t>
            </w:r>
          </w:p>
        </w:tc>
        <w:tc>
          <w:tcPr>
            <w:tcW w:w="1419" w:type="dxa"/>
          </w:tcPr>
          <w:p w14:paraId="5860A0D8" w14:textId="77777777" w:rsidR="00247F5B" w:rsidRPr="0044296A" w:rsidRDefault="00247F5B" w:rsidP="00622A65">
            <w:pPr>
              <w:pStyle w:val="TableCopy"/>
              <w:jc w:val="right"/>
              <w:rPr>
                <w:b/>
                <w:bCs/>
              </w:rPr>
            </w:pPr>
            <w:r w:rsidRPr="0044296A">
              <w:rPr>
                <w:b/>
                <w:bCs/>
              </w:rPr>
              <w:t>133,107</w:t>
            </w:r>
          </w:p>
        </w:tc>
        <w:tc>
          <w:tcPr>
            <w:tcW w:w="1448" w:type="dxa"/>
          </w:tcPr>
          <w:p w14:paraId="0E076C8B" w14:textId="77777777" w:rsidR="00247F5B" w:rsidRPr="0044296A" w:rsidRDefault="00247F5B" w:rsidP="00622A65">
            <w:pPr>
              <w:pStyle w:val="TableCopy"/>
              <w:jc w:val="right"/>
              <w:rPr>
                <w:b/>
                <w:bCs/>
              </w:rPr>
            </w:pPr>
            <w:r w:rsidRPr="0044296A">
              <w:rPr>
                <w:b/>
                <w:bCs/>
              </w:rPr>
              <w:t>122,214</w:t>
            </w:r>
          </w:p>
        </w:tc>
      </w:tr>
      <w:tr w:rsidR="00247F5B" w:rsidRPr="0044296A" w14:paraId="21231D0C" w14:textId="77777777" w:rsidTr="00BA3576">
        <w:tc>
          <w:tcPr>
            <w:tcW w:w="4815" w:type="dxa"/>
          </w:tcPr>
          <w:p w14:paraId="4BA88A34" w14:textId="44679AAB" w:rsidR="00247F5B" w:rsidRPr="00351571" w:rsidRDefault="00247F5B" w:rsidP="0044296A">
            <w:pPr>
              <w:pStyle w:val="TableHeading"/>
              <w:rPr>
                <w:rFonts w:ascii="Arial Bold" w:hAnsi="Arial Bold" w:hint="eastAsia"/>
                <w:spacing w:val="-4"/>
              </w:rPr>
            </w:pPr>
            <w:r w:rsidRPr="00351571">
              <w:rPr>
                <w:rFonts w:ascii="Arial Bold" w:hAnsi="Arial Bold"/>
                <w:spacing w:val="-4"/>
              </w:rPr>
              <w:t>Other economic flows included in net result</w:t>
            </w:r>
          </w:p>
        </w:tc>
        <w:tc>
          <w:tcPr>
            <w:tcW w:w="1204" w:type="dxa"/>
          </w:tcPr>
          <w:p w14:paraId="78C95E98" w14:textId="77777777" w:rsidR="00247F5B" w:rsidRPr="0044296A" w:rsidRDefault="00247F5B" w:rsidP="00622A65">
            <w:pPr>
              <w:pStyle w:val="TableHeading"/>
              <w:jc w:val="right"/>
            </w:pPr>
          </w:p>
        </w:tc>
        <w:tc>
          <w:tcPr>
            <w:tcW w:w="1205" w:type="dxa"/>
          </w:tcPr>
          <w:p w14:paraId="603EF37D" w14:textId="77777777" w:rsidR="00247F5B" w:rsidRPr="0044296A" w:rsidRDefault="00247F5B" w:rsidP="00622A65">
            <w:pPr>
              <w:pStyle w:val="TableHeading"/>
              <w:jc w:val="right"/>
            </w:pPr>
          </w:p>
        </w:tc>
        <w:tc>
          <w:tcPr>
            <w:tcW w:w="1205" w:type="dxa"/>
          </w:tcPr>
          <w:p w14:paraId="6A0FEF6E" w14:textId="77777777" w:rsidR="00247F5B" w:rsidRPr="0044296A" w:rsidRDefault="00247F5B" w:rsidP="00622A65">
            <w:pPr>
              <w:pStyle w:val="TableHeading"/>
              <w:jc w:val="right"/>
            </w:pPr>
          </w:p>
        </w:tc>
        <w:tc>
          <w:tcPr>
            <w:tcW w:w="1204" w:type="dxa"/>
          </w:tcPr>
          <w:p w14:paraId="006133D2" w14:textId="77777777" w:rsidR="00247F5B" w:rsidRPr="0044296A" w:rsidRDefault="00247F5B" w:rsidP="00622A65">
            <w:pPr>
              <w:pStyle w:val="TableHeading"/>
              <w:jc w:val="right"/>
            </w:pPr>
          </w:p>
        </w:tc>
        <w:tc>
          <w:tcPr>
            <w:tcW w:w="1308" w:type="dxa"/>
          </w:tcPr>
          <w:p w14:paraId="2C0D9F23" w14:textId="77777777" w:rsidR="00247F5B" w:rsidRPr="0044296A" w:rsidRDefault="00247F5B" w:rsidP="00622A65">
            <w:pPr>
              <w:pStyle w:val="TableHeading"/>
              <w:jc w:val="right"/>
            </w:pPr>
          </w:p>
        </w:tc>
        <w:tc>
          <w:tcPr>
            <w:tcW w:w="1276" w:type="dxa"/>
          </w:tcPr>
          <w:p w14:paraId="219EBCC3" w14:textId="77777777" w:rsidR="00247F5B" w:rsidRPr="0044296A" w:rsidRDefault="00247F5B" w:rsidP="00622A65">
            <w:pPr>
              <w:pStyle w:val="TableHeading"/>
              <w:jc w:val="right"/>
            </w:pPr>
          </w:p>
        </w:tc>
        <w:tc>
          <w:tcPr>
            <w:tcW w:w="1419" w:type="dxa"/>
          </w:tcPr>
          <w:p w14:paraId="61BC4BCC" w14:textId="77777777" w:rsidR="00247F5B" w:rsidRPr="0044296A" w:rsidRDefault="00247F5B" w:rsidP="00622A65">
            <w:pPr>
              <w:pStyle w:val="TableHeading"/>
              <w:jc w:val="right"/>
            </w:pPr>
          </w:p>
        </w:tc>
        <w:tc>
          <w:tcPr>
            <w:tcW w:w="1448" w:type="dxa"/>
          </w:tcPr>
          <w:p w14:paraId="0FB4AB7A" w14:textId="77777777" w:rsidR="00247F5B" w:rsidRPr="0044296A" w:rsidRDefault="00247F5B" w:rsidP="00622A65">
            <w:pPr>
              <w:pStyle w:val="TableHeading"/>
              <w:jc w:val="right"/>
            </w:pPr>
          </w:p>
        </w:tc>
      </w:tr>
      <w:tr w:rsidR="00247F5B" w14:paraId="693A5E09" w14:textId="77777777" w:rsidTr="00BA3576">
        <w:tc>
          <w:tcPr>
            <w:tcW w:w="4815" w:type="dxa"/>
          </w:tcPr>
          <w:p w14:paraId="5B1E11E6" w14:textId="7FD4F93A" w:rsidR="00247F5B" w:rsidRDefault="00247F5B" w:rsidP="0044296A">
            <w:pPr>
              <w:pStyle w:val="TableCopy"/>
            </w:pPr>
            <w:r>
              <w:t>Net gains/(losses) on non-financial assets</w:t>
            </w:r>
          </w:p>
        </w:tc>
        <w:tc>
          <w:tcPr>
            <w:tcW w:w="1204" w:type="dxa"/>
          </w:tcPr>
          <w:p w14:paraId="512D6B22" w14:textId="4D36747B" w:rsidR="00247F5B" w:rsidRDefault="00247F5B" w:rsidP="00622A65">
            <w:pPr>
              <w:pStyle w:val="TableCopy"/>
              <w:jc w:val="right"/>
            </w:pPr>
            <w:r>
              <w:t>16</w:t>
            </w:r>
          </w:p>
        </w:tc>
        <w:tc>
          <w:tcPr>
            <w:tcW w:w="1205" w:type="dxa"/>
          </w:tcPr>
          <w:p w14:paraId="5673CABF" w14:textId="3D1F693A" w:rsidR="00247F5B" w:rsidRDefault="00247F5B" w:rsidP="00622A65">
            <w:pPr>
              <w:pStyle w:val="TableCopy"/>
              <w:jc w:val="right"/>
            </w:pPr>
            <w:r>
              <w:t>11</w:t>
            </w:r>
          </w:p>
        </w:tc>
        <w:tc>
          <w:tcPr>
            <w:tcW w:w="1205" w:type="dxa"/>
          </w:tcPr>
          <w:p w14:paraId="3335E199" w14:textId="287F7CE6" w:rsidR="00247F5B" w:rsidRDefault="00247F5B" w:rsidP="00622A65">
            <w:pPr>
              <w:pStyle w:val="TableCopy"/>
              <w:jc w:val="right"/>
            </w:pPr>
            <w:r>
              <w:t>–</w:t>
            </w:r>
          </w:p>
        </w:tc>
        <w:tc>
          <w:tcPr>
            <w:tcW w:w="1204" w:type="dxa"/>
          </w:tcPr>
          <w:p w14:paraId="351C66C0" w14:textId="6BC3ADBB" w:rsidR="00247F5B" w:rsidRDefault="00247F5B" w:rsidP="00622A65">
            <w:pPr>
              <w:pStyle w:val="TableCopy"/>
              <w:jc w:val="right"/>
            </w:pPr>
            <w:r>
              <w:t>–</w:t>
            </w:r>
          </w:p>
        </w:tc>
        <w:tc>
          <w:tcPr>
            <w:tcW w:w="1308" w:type="dxa"/>
          </w:tcPr>
          <w:p w14:paraId="1D9EA81F" w14:textId="4CECBF11" w:rsidR="00247F5B" w:rsidRDefault="00247F5B" w:rsidP="00622A65">
            <w:pPr>
              <w:pStyle w:val="TableCopy"/>
              <w:jc w:val="right"/>
            </w:pPr>
            <w:r>
              <w:t>837</w:t>
            </w:r>
          </w:p>
        </w:tc>
        <w:tc>
          <w:tcPr>
            <w:tcW w:w="1276" w:type="dxa"/>
          </w:tcPr>
          <w:p w14:paraId="6AA474F7" w14:textId="316ACAD0" w:rsidR="00247F5B" w:rsidRDefault="00247F5B" w:rsidP="00622A65">
            <w:pPr>
              <w:pStyle w:val="TableCopy"/>
              <w:jc w:val="right"/>
            </w:pPr>
            <w:r>
              <w:t>519</w:t>
            </w:r>
          </w:p>
        </w:tc>
        <w:tc>
          <w:tcPr>
            <w:tcW w:w="1419" w:type="dxa"/>
          </w:tcPr>
          <w:p w14:paraId="4228216A" w14:textId="77777777" w:rsidR="00247F5B" w:rsidRDefault="00247F5B" w:rsidP="00622A65">
            <w:pPr>
              <w:pStyle w:val="TableCopy"/>
              <w:jc w:val="right"/>
            </w:pPr>
            <w:r>
              <w:t>(146)</w:t>
            </w:r>
          </w:p>
        </w:tc>
        <w:tc>
          <w:tcPr>
            <w:tcW w:w="1448" w:type="dxa"/>
          </w:tcPr>
          <w:p w14:paraId="1896B8C0" w14:textId="68F36D05" w:rsidR="00247F5B" w:rsidRDefault="00247F5B" w:rsidP="00622A65">
            <w:pPr>
              <w:pStyle w:val="TableCopy"/>
              <w:jc w:val="right"/>
            </w:pPr>
            <w:r>
              <w:t>1,381</w:t>
            </w:r>
          </w:p>
        </w:tc>
      </w:tr>
      <w:tr w:rsidR="00247F5B" w14:paraId="0CAE626D" w14:textId="77777777" w:rsidTr="00BA3576">
        <w:tc>
          <w:tcPr>
            <w:tcW w:w="4815" w:type="dxa"/>
          </w:tcPr>
          <w:p w14:paraId="7F3679A0" w14:textId="09C9222F" w:rsidR="00247F5B" w:rsidRDefault="00247F5B" w:rsidP="0044296A">
            <w:pPr>
              <w:pStyle w:val="TableCopy"/>
            </w:pPr>
            <w:r>
              <w:t>Net (losses)/gains on financial instruments</w:t>
            </w:r>
          </w:p>
        </w:tc>
        <w:tc>
          <w:tcPr>
            <w:tcW w:w="1204" w:type="dxa"/>
          </w:tcPr>
          <w:p w14:paraId="67BA70B3" w14:textId="67C1CD8B" w:rsidR="00247F5B" w:rsidRDefault="00247F5B" w:rsidP="00622A65">
            <w:pPr>
              <w:pStyle w:val="TableCopy"/>
              <w:jc w:val="right"/>
            </w:pPr>
            <w:r>
              <w:t>–</w:t>
            </w:r>
          </w:p>
        </w:tc>
        <w:tc>
          <w:tcPr>
            <w:tcW w:w="1205" w:type="dxa"/>
          </w:tcPr>
          <w:p w14:paraId="76827152" w14:textId="10F737D3" w:rsidR="00247F5B" w:rsidRDefault="00247F5B" w:rsidP="00622A65">
            <w:pPr>
              <w:pStyle w:val="TableCopy"/>
              <w:jc w:val="right"/>
            </w:pPr>
            <w:r>
              <w:t>1</w:t>
            </w:r>
          </w:p>
        </w:tc>
        <w:tc>
          <w:tcPr>
            <w:tcW w:w="1205" w:type="dxa"/>
          </w:tcPr>
          <w:p w14:paraId="05423F05" w14:textId="6B99ED57" w:rsidR="00247F5B" w:rsidRDefault="00247F5B" w:rsidP="00622A65">
            <w:pPr>
              <w:pStyle w:val="TableCopy"/>
              <w:jc w:val="right"/>
            </w:pPr>
            <w:r>
              <w:t>–</w:t>
            </w:r>
          </w:p>
        </w:tc>
        <w:tc>
          <w:tcPr>
            <w:tcW w:w="1204" w:type="dxa"/>
          </w:tcPr>
          <w:p w14:paraId="59784967" w14:textId="42EAFB09" w:rsidR="00247F5B" w:rsidRDefault="00247F5B" w:rsidP="00622A65">
            <w:pPr>
              <w:pStyle w:val="TableCopy"/>
              <w:jc w:val="right"/>
            </w:pPr>
            <w:r>
              <w:t>–</w:t>
            </w:r>
          </w:p>
        </w:tc>
        <w:tc>
          <w:tcPr>
            <w:tcW w:w="1308" w:type="dxa"/>
          </w:tcPr>
          <w:p w14:paraId="76A4E329" w14:textId="53019BB8" w:rsidR="00247F5B" w:rsidRDefault="00247F5B" w:rsidP="00622A65">
            <w:pPr>
              <w:pStyle w:val="TableCopy"/>
              <w:jc w:val="right"/>
            </w:pPr>
            <w:r>
              <w:t>–</w:t>
            </w:r>
          </w:p>
        </w:tc>
        <w:tc>
          <w:tcPr>
            <w:tcW w:w="1276" w:type="dxa"/>
          </w:tcPr>
          <w:p w14:paraId="2EAB8791" w14:textId="77777777" w:rsidR="00247F5B" w:rsidRDefault="00247F5B" w:rsidP="00622A65">
            <w:pPr>
              <w:pStyle w:val="TableCopy"/>
              <w:jc w:val="right"/>
            </w:pPr>
            <w:r>
              <w:t>(341)</w:t>
            </w:r>
          </w:p>
        </w:tc>
        <w:tc>
          <w:tcPr>
            <w:tcW w:w="1419" w:type="dxa"/>
          </w:tcPr>
          <w:p w14:paraId="057CA045" w14:textId="77777777" w:rsidR="00247F5B" w:rsidRDefault="00247F5B" w:rsidP="00622A65">
            <w:pPr>
              <w:pStyle w:val="TableCopy"/>
              <w:jc w:val="right"/>
            </w:pPr>
            <w:r>
              <w:t>(815)</w:t>
            </w:r>
          </w:p>
        </w:tc>
        <w:tc>
          <w:tcPr>
            <w:tcW w:w="1448" w:type="dxa"/>
          </w:tcPr>
          <w:p w14:paraId="191D1B56" w14:textId="77777777" w:rsidR="00247F5B" w:rsidRDefault="00247F5B" w:rsidP="00622A65">
            <w:pPr>
              <w:pStyle w:val="TableCopy"/>
              <w:jc w:val="right"/>
            </w:pPr>
            <w:r>
              <w:t>(27,538)</w:t>
            </w:r>
          </w:p>
        </w:tc>
      </w:tr>
      <w:tr w:rsidR="00247F5B" w14:paraId="7CDDFD14" w14:textId="77777777" w:rsidTr="00BA3576">
        <w:tc>
          <w:tcPr>
            <w:tcW w:w="4815" w:type="dxa"/>
          </w:tcPr>
          <w:p w14:paraId="19029B35" w14:textId="73616AD6" w:rsidR="00247F5B" w:rsidRDefault="00247F5B" w:rsidP="0044296A">
            <w:pPr>
              <w:pStyle w:val="TableCopy"/>
            </w:pPr>
            <w:r>
              <w:t>Other gains from other economic flows</w:t>
            </w:r>
          </w:p>
        </w:tc>
        <w:tc>
          <w:tcPr>
            <w:tcW w:w="1204" w:type="dxa"/>
          </w:tcPr>
          <w:p w14:paraId="16FFC078" w14:textId="7FBFB41D" w:rsidR="00247F5B" w:rsidRDefault="00247F5B" w:rsidP="00622A65">
            <w:pPr>
              <w:pStyle w:val="TableCopy"/>
              <w:jc w:val="right"/>
            </w:pPr>
            <w:r>
              <w:t>7</w:t>
            </w:r>
          </w:p>
        </w:tc>
        <w:tc>
          <w:tcPr>
            <w:tcW w:w="1205" w:type="dxa"/>
          </w:tcPr>
          <w:p w14:paraId="6C87706A" w14:textId="786DA74E" w:rsidR="00247F5B" w:rsidRDefault="00247F5B" w:rsidP="00622A65">
            <w:pPr>
              <w:pStyle w:val="TableCopy"/>
              <w:jc w:val="right"/>
            </w:pPr>
            <w:r>
              <w:t>53</w:t>
            </w:r>
          </w:p>
        </w:tc>
        <w:tc>
          <w:tcPr>
            <w:tcW w:w="1205" w:type="dxa"/>
          </w:tcPr>
          <w:p w14:paraId="22F094E3" w14:textId="21B85565" w:rsidR="00247F5B" w:rsidRDefault="00247F5B" w:rsidP="00622A65">
            <w:pPr>
              <w:pStyle w:val="TableCopy"/>
              <w:jc w:val="right"/>
            </w:pPr>
            <w:r>
              <w:t>2</w:t>
            </w:r>
          </w:p>
        </w:tc>
        <w:tc>
          <w:tcPr>
            <w:tcW w:w="1204" w:type="dxa"/>
          </w:tcPr>
          <w:p w14:paraId="028C7E0B" w14:textId="37B0D97C" w:rsidR="00247F5B" w:rsidRDefault="00247F5B" w:rsidP="00622A65">
            <w:pPr>
              <w:pStyle w:val="TableCopy"/>
              <w:jc w:val="right"/>
            </w:pPr>
            <w:r>
              <w:t>23</w:t>
            </w:r>
          </w:p>
        </w:tc>
        <w:tc>
          <w:tcPr>
            <w:tcW w:w="1308" w:type="dxa"/>
          </w:tcPr>
          <w:p w14:paraId="62CC1A9A" w14:textId="16944311" w:rsidR="00247F5B" w:rsidRDefault="00247F5B" w:rsidP="00622A65">
            <w:pPr>
              <w:pStyle w:val="TableCopy"/>
              <w:jc w:val="right"/>
            </w:pPr>
            <w:r>
              <w:t>227</w:t>
            </w:r>
          </w:p>
        </w:tc>
        <w:tc>
          <w:tcPr>
            <w:tcW w:w="1276" w:type="dxa"/>
          </w:tcPr>
          <w:p w14:paraId="4B255F09" w14:textId="50DD8E8F" w:rsidR="00247F5B" w:rsidRDefault="00247F5B" w:rsidP="00622A65">
            <w:pPr>
              <w:pStyle w:val="TableCopy"/>
              <w:jc w:val="right"/>
            </w:pPr>
            <w:r>
              <w:t>7,176</w:t>
            </w:r>
          </w:p>
        </w:tc>
        <w:tc>
          <w:tcPr>
            <w:tcW w:w="1419" w:type="dxa"/>
          </w:tcPr>
          <w:p w14:paraId="73BBCBFC" w14:textId="5EB2E44E" w:rsidR="00247F5B" w:rsidRDefault="00247F5B" w:rsidP="00622A65">
            <w:pPr>
              <w:pStyle w:val="TableCopy"/>
              <w:jc w:val="right"/>
            </w:pPr>
            <w:r>
              <w:t>441</w:t>
            </w:r>
          </w:p>
        </w:tc>
        <w:tc>
          <w:tcPr>
            <w:tcW w:w="1448" w:type="dxa"/>
          </w:tcPr>
          <w:p w14:paraId="068D7C16" w14:textId="0FED74CE" w:rsidR="00247F5B" w:rsidRDefault="00247F5B" w:rsidP="00622A65">
            <w:pPr>
              <w:pStyle w:val="TableCopy"/>
              <w:jc w:val="right"/>
            </w:pPr>
            <w:r>
              <w:t>8,968</w:t>
            </w:r>
          </w:p>
        </w:tc>
      </w:tr>
      <w:tr w:rsidR="00247F5B" w:rsidRPr="0044296A" w14:paraId="6171369D" w14:textId="77777777" w:rsidTr="00BA3576">
        <w:tc>
          <w:tcPr>
            <w:tcW w:w="4815" w:type="dxa"/>
          </w:tcPr>
          <w:p w14:paraId="6B42E518" w14:textId="70CAD086" w:rsidR="00247F5B" w:rsidRPr="0044296A" w:rsidRDefault="00247F5B" w:rsidP="0044296A">
            <w:pPr>
              <w:pStyle w:val="TableCopy"/>
              <w:rPr>
                <w:b/>
                <w:bCs/>
              </w:rPr>
            </w:pPr>
            <w:r w:rsidRPr="0044296A">
              <w:rPr>
                <w:b/>
                <w:bCs/>
              </w:rPr>
              <w:t>Total other economic flows included in net result</w:t>
            </w:r>
          </w:p>
        </w:tc>
        <w:tc>
          <w:tcPr>
            <w:tcW w:w="1204" w:type="dxa"/>
          </w:tcPr>
          <w:p w14:paraId="73159DBE" w14:textId="23A6CEF7" w:rsidR="00247F5B" w:rsidRPr="0044296A" w:rsidRDefault="00247F5B" w:rsidP="00622A65">
            <w:pPr>
              <w:pStyle w:val="TableCopy"/>
              <w:jc w:val="right"/>
              <w:rPr>
                <w:b/>
                <w:bCs/>
              </w:rPr>
            </w:pPr>
            <w:r w:rsidRPr="0044296A">
              <w:rPr>
                <w:b/>
                <w:bCs/>
              </w:rPr>
              <w:t>23</w:t>
            </w:r>
          </w:p>
        </w:tc>
        <w:tc>
          <w:tcPr>
            <w:tcW w:w="1205" w:type="dxa"/>
          </w:tcPr>
          <w:p w14:paraId="1F516F6C" w14:textId="515EA22F" w:rsidR="00247F5B" w:rsidRPr="0044296A" w:rsidRDefault="00247F5B" w:rsidP="00622A65">
            <w:pPr>
              <w:pStyle w:val="TableCopy"/>
              <w:jc w:val="right"/>
              <w:rPr>
                <w:b/>
                <w:bCs/>
              </w:rPr>
            </w:pPr>
            <w:r w:rsidRPr="0044296A">
              <w:rPr>
                <w:b/>
                <w:bCs/>
              </w:rPr>
              <w:t>65</w:t>
            </w:r>
          </w:p>
        </w:tc>
        <w:tc>
          <w:tcPr>
            <w:tcW w:w="1205" w:type="dxa"/>
          </w:tcPr>
          <w:p w14:paraId="122C3D35" w14:textId="3680D7B7" w:rsidR="00247F5B" w:rsidRPr="0044296A" w:rsidRDefault="00247F5B" w:rsidP="00622A65">
            <w:pPr>
              <w:pStyle w:val="TableCopy"/>
              <w:jc w:val="right"/>
              <w:rPr>
                <w:b/>
                <w:bCs/>
              </w:rPr>
            </w:pPr>
            <w:r w:rsidRPr="0044296A">
              <w:rPr>
                <w:b/>
                <w:bCs/>
              </w:rPr>
              <w:t>2</w:t>
            </w:r>
          </w:p>
        </w:tc>
        <w:tc>
          <w:tcPr>
            <w:tcW w:w="1204" w:type="dxa"/>
          </w:tcPr>
          <w:p w14:paraId="4634CBDB" w14:textId="07E05DE0" w:rsidR="00247F5B" w:rsidRPr="0044296A" w:rsidRDefault="00247F5B" w:rsidP="00622A65">
            <w:pPr>
              <w:pStyle w:val="TableCopy"/>
              <w:jc w:val="right"/>
              <w:rPr>
                <w:b/>
                <w:bCs/>
              </w:rPr>
            </w:pPr>
            <w:r w:rsidRPr="0044296A">
              <w:rPr>
                <w:b/>
                <w:bCs/>
              </w:rPr>
              <w:t>23</w:t>
            </w:r>
          </w:p>
        </w:tc>
        <w:tc>
          <w:tcPr>
            <w:tcW w:w="1308" w:type="dxa"/>
          </w:tcPr>
          <w:p w14:paraId="727D73D6" w14:textId="457E1E69" w:rsidR="00247F5B" w:rsidRPr="0044296A" w:rsidRDefault="00247F5B" w:rsidP="00622A65">
            <w:pPr>
              <w:pStyle w:val="TableCopy"/>
              <w:jc w:val="right"/>
              <w:rPr>
                <w:b/>
                <w:bCs/>
              </w:rPr>
            </w:pPr>
            <w:r w:rsidRPr="0044296A">
              <w:rPr>
                <w:b/>
                <w:bCs/>
              </w:rPr>
              <w:t>1,064</w:t>
            </w:r>
          </w:p>
        </w:tc>
        <w:tc>
          <w:tcPr>
            <w:tcW w:w="1276" w:type="dxa"/>
          </w:tcPr>
          <w:p w14:paraId="51D1CC6E" w14:textId="1261794A" w:rsidR="00247F5B" w:rsidRPr="0044296A" w:rsidRDefault="00247F5B" w:rsidP="00622A65">
            <w:pPr>
              <w:pStyle w:val="TableCopy"/>
              <w:jc w:val="right"/>
              <w:rPr>
                <w:b/>
                <w:bCs/>
              </w:rPr>
            </w:pPr>
            <w:r w:rsidRPr="0044296A">
              <w:rPr>
                <w:b/>
                <w:bCs/>
              </w:rPr>
              <w:t>7,354</w:t>
            </w:r>
          </w:p>
        </w:tc>
        <w:tc>
          <w:tcPr>
            <w:tcW w:w="1419" w:type="dxa"/>
          </w:tcPr>
          <w:p w14:paraId="789C832E" w14:textId="77777777" w:rsidR="00247F5B" w:rsidRPr="0044296A" w:rsidRDefault="00247F5B" w:rsidP="00622A65">
            <w:pPr>
              <w:pStyle w:val="TableCopy"/>
              <w:jc w:val="right"/>
              <w:rPr>
                <w:b/>
                <w:bCs/>
              </w:rPr>
            </w:pPr>
            <w:r w:rsidRPr="0044296A">
              <w:rPr>
                <w:b/>
                <w:bCs/>
              </w:rPr>
              <w:t>(520)</w:t>
            </w:r>
          </w:p>
        </w:tc>
        <w:tc>
          <w:tcPr>
            <w:tcW w:w="1448" w:type="dxa"/>
          </w:tcPr>
          <w:p w14:paraId="27617925" w14:textId="77777777" w:rsidR="00247F5B" w:rsidRPr="0044296A" w:rsidRDefault="00247F5B" w:rsidP="00622A65">
            <w:pPr>
              <w:pStyle w:val="TableCopy"/>
              <w:jc w:val="right"/>
              <w:rPr>
                <w:b/>
                <w:bCs/>
              </w:rPr>
            </w:pPr>
            <w:r w:rsidRPr="0044296A">
              <w:rPr>
                <w:b/>
                <w:bCs/>
              </w:rPr>
              <w:t>(17,189)</w:t>
            </w:r>
          </w:p>
        </w:tc>
      </w:tr>
      <w:tr w:rsidR="00247F5B" w:rsidRPr="0044296A" w14:paraId="53009897" w14:textId="77777777" w:rsidTr="00BA3576">
        <w:tc>
          <w:tcPr>
            <w:tcW w:w="4815" w:type="dxa"/>
          </w:tcPr>
          <w:p w14:paraId="4F490B63" w14:textId="56C8752C" w:rsidR="00247F5B" w:rsidRPr="0044296A" w:rsidRDefault="00247F5B" w:rsidP="0044296A">
            <w:pPr>
              <w:pStyle w:val="TableCopy"/>
              <w:rPr>
                <w:b/>
                <w:bCs/>
              </w:rPr>
            </w:pPr>
            <w:r w:rsidRPr="0044296A">
              <w:rPr>
                <w:b/>
                <w:bCs/>
              </w:rPr>
              <w:t>Net result from continuing operations</w:t>
            </w:r>
          </w:p>
        </w:tc>
        <w:tc>
          <w:tcPr>
            <w:tcW w:w="1204" w:type="dxa"/>
          </w:tcPr>
          <w:p w14:paraId="58650245" w14:textId="77777777" w:rsidR="00247F5B" w:rsidRPr="0044296A" w:rsidRDefault="00247F5B" w:rsidP="00622A65">
            <w:pPr>
              <w:pStyle w:val="TableCopy"/>
              <w:jc w:val="right"/>
              <w:rPr>
                <w:b/>
                <w:bCs/>
              </w:rPr>
            </w:pPr>
            <w:r w:rsidRPr="0044296A">
              <w:rPr>
                <w:b/>
                <w:bCs/>
              </w:rPr>
              <w:t>(1,227)</w:t>
            </w:r>
          </w:p>
        </w:tc>
        <w:tc>
          <w:tcPr>
            <w:tcW w:w="1205" w:type="dxa"/>
          </w:tcPr>
          <w:p w14:paraId="3614EFA0" w14:textId="77777777" w:rsidR="00247F5B" w:rsidRPr="0044296A" w:rsidRDefault="00247F5B" w:rsidP="00622A65">
            <w:pPr>
              <w:pStyle w:val="TableCopy"/>
              <w:jc w:val="right"/>
              <w:rPr>
                <w:b/>
                <w:bCs/>
              </w:rPr>
            </w:pPr>
            <w:r w:rsidRPr="0044296A">
              <w:rPr>
                <w:b/>
                <w:bCs/>
              </w:rPr>
              <w:t>(66)</w:t>
            </w:r>
          </w:p>
        </w:tc>
        <w:tc>
          <w:tcPr>
            <w:tcW w:w="1205" w:type="dxa"/>
          </w:tcPr>
          <w:p w14:paraId="5C39AFCE" w14:textId="77777777" w:rsidR="00247F5B" w:rsidRPr="0044296A" w:rsidRDefault="00247F5B" w:rsidP="00622A65">
            <w:pPr>
              <w:pStyle w:val="TableCopy"/>
              <w:jc w:val="right"/>
              <w:rPr>
                <w:b/>
                <w:bCs/>
              </w:rPr>
            </w:pPr>
            <w:r w:rsidRPr="0044296A">
              <w:rPr>
                <w:b/>
                <w:bCs/>
              </w:rPr>
              <w:t>(340)</w:t>
            </w:r>
          </w:p>
        </w:tc>
        <w:tc>
          <w:tcPr>
            <w:tcW w:w="1204" w:type="dxa"/>
          </w:tcPr>
          <w:p w14:paraId="2C1A5425" w14:textId="77777777" w:rsidR="00247F5B" w:rsidRPr="0044296A" w:rsidRDefault="00247F5B" w:rsidP="00622A65">
            <w:pPr>
              <w:pStyle w:val="TableCopy"/>
              <w:jc w:val="right"/>
              <w:rPr>
                <w:b/>
                <w:bCs/>
              </w:rPr>
            </w:pPr>
            <w:r w:rsidRPr="0044296A">
              <w:rPr>
                <w:b/>
                <w:bCs/>
              </w:rPr>
              <w:t>(173)</w:t>
            </w:r>
          </w:p>
        </w:tc>
        <w:tc>
          <w:tcPr>
            <w:tcW w:w="1308" w:type="dxa"/>
          </w:tcPr>
          <w:p w14:paraId="091ACEE9" w14:textId="77777777" w:rsidR="00247F5B" w:rsidRPr="0044296A" w:rsidRDefault="00247F5B" w:rsidP="00622A65">
            <w:pPr>
              <w:pStyle w:val="TableCopy"/>
              <w:jc w:val="right"/>
              <w:rPr>
                <w:b/>
                <w:bCs/>
              </w:rPr>
            </w:pPr>
            <w:r w:rsidRPr="0044296A">
              <w:rPr>
                <w:b/>
                <w:bCs/>
              </w:rPr>
              <w:t>19,895</w:t>
            </w:r>
          </w:p>
        </w:tc>
        <w:tc>
          <w:tcPr>
            <w:tcW w:w="1276" w:type="dxa"/>
          </w:tcPr>
          <w:p w14:paraId="64806E59" w14:textId="4076C8E0" w:rsidR="00247F5B" w:rsidRPr="0044296A" w:rsidRDefault="00247F5B" w:rsidP="00622A65">
            <w:pPr>
              <w:pStyle w:val="TableCopy"/>
              <w:jc w:val="right"/>
              <w:rPr>
                <w:b/>
                <w:bCs/>
              </w:rPr>
            </w:pPr>
            <w:r w:rsidRPr="0044296A">
              <w:rPr>
                <w:b/>
                <w:bCs/>
              </w:rPr>
              <w:t>48,819</w:t>
            </w:r>
          </w:p>
        </w:tc>
        <w:tc>
          <w:tcPr>
            <w:tcW w:w="1419" w:type="dxa"/>
          </w:tcPr>
          <w:p w14:paraId="2E1644E5" w14:textId="28050DAC" w:rsidR="00247F5B" w:rsidRPr="0044296A" w:rsidRDefault="00247F5B" w:rsidP="00622A65">
            <w:pPr>
              <w:pStyle w:val="TableCopy"/>
              <w:jc w:val="right"/>
              <w:rPr>
                <w:b/>
                <w:bCs/>
              </w:rPr>
            </w:pPr>
            <w:r w:rsidRPr="0044296A">
              <w:rPr>
                <w:b/>
                <w:bCs/>
              </w:rPr>
              <w:t>132,587</w:t>
            </w:r>
          </w:p>
        </w:tc>
        <w:tc>
          <w:tcPr>
            <w:tcW w:w="1448" w:type="dxa"/>
          </w:tcPr>
          <w:p w14:paraId="275DC2A2" w14:textId="77777777" w:rsidR="00247F5B" w:rsidRPr="0044296A" w:rsidRDefault="00247F5B" w:rsidP="00622A65">
            <w:pPr>
              <w:pStyle w:val="TableCopy"/>
              <w:jc w:val="right"/>
              <w:rPr>
                <w:b/>
                <w:bCs/>
              </w:rPr>
            </w:pPr>
            <w:r w:rsidRPr="0044296A">
              <w:rPr>
                <w:b/>
                <w:bCs/>
              </w:rPr>
              <w:t>105,025</w:t>
            </w:r>
          </w:p>
        </w:tc>
      </w:tr>
      <w:tr w:rsidR="00247F5B" w:rsidRPr="0044296A" w14:paraId="7004AFC2" w14:textId="77777777" w:rsidTr="00BA3576">
        <w:tc>
          <w:tcPr>
            <w:tcW w:w="4815" w:type="dxa"/>
          </w:tcPr>
          <w:p w14:paraId="6173219F" w14:textId="29614E66" w:rsidR="00247F5B" w:rsidRPr="0044296A" w:rsidRDefault="00247F5B" w:rsidP="0044296A">
            <w:pPr>
              <w:pStyle w:val="TableHeading"/>
            </w:pPr>
            <w:r w:rsidRPr="0044296A">
              <w:lastRenderedPageBreak/>
              <w:t>Other economic flows – other comprehensive income: Items that what will not be reclassified to net result</w:t>
            </w:r>
          </w:p>
        </w:tc>
        <w:tc>
          <w:tcPr>
            <w:tcW w:w="1204" w:type="dxa"/>
          </w:tcPr>
          <w:p w14:paraId="36B29D75" w14:textId="77777777" w:rsidR="00247F5B" w:rsidRPr="0044296A" w:rsidRDefault="00247F5B" w:rsidP="00622A65">
            <w:pPr>
              <w:pStyle w:val="TableHeading"/>
              <w:jc w:val="right"/>
            </w:pPr>
          </w:p>
        </w:tc>
        <w:tc>
          <w:tcPr>
            <w:tcW w:w="1205" w:type="dxa"/>
          </w:tcPr>
          <w:p w14:paraId="7D4F6545" w14:textId="77777777" w:rsidR="00247F5B" w:rsidRPr="0044296A" w:rsidRDefault="00247F5B" w:rsidP="00622A65">
            <w:pPr>
              <w:pStyle w:val="TableHeading"/>
              <w:jc w:val="right"/>
            </w:pPr>
          </w:p>
        </w:tc>
        <w:tc>
          <w:tcPr>
            <w:tcW w:w="1205" w:type="dxa"/>
          </w:tcPr>
          <w:p w14:paraId="69ED0B1D" w14:textId="77777777" w:rsidR="00247F5B" w:rsidRPr="0044296A" w:rsidRDefault="00247F5B" w:rsidP="00622A65">
            <w:pPr>
              <w:pStyle w:val="TableHeading"/>
              <w:jc w:val="right"/>
            </w:pPr>
          </w:p>
        </w:tc>
        <w:tc>
          <w:tcPr>
            <w:tcW w:w="1204" w:type="dxa"/>
          </w:tcPr>
          <w:p w14:paraId="45D04BE6" w14:textId="77777777" w:rsidR="00247F5B" w:rsidRPr="0044296A" w:rsidRDefault="00247F5B" w:rsidP="00622A65">
            <w:pPr>
              <w:pStyle w:val="TableHeading"/>
              <w:jc w:val="right"/>
            </w:pPr>
          </w:p>
        </w:tc>
        <w:tc>
          <w:tcPr>
            <w:tcW w:w="1308" w:type="dxa"/>
          </w:tcPr>
          <w:p w14:paraId="62FC93C4" w14:textId="77777777" w:rsidR="00247F5B" w:rsidRPr="0044296A" w:rsidRDefault="00247F5B" w:rsidP="00622A65">
            <w:pPr>
              <w:pStyle w:val="TableHeading"/>
              <w:jc w:val="right"/>
            </w:pPr>
          </w:p>
        </w:tc>
        <w:tc>
          <w:tcPr>
            <w:tcW w:w="1276" w:type="dxa"/>
          </w:tcPr>
          <w:p w14:paraId="0EBD9E8C" w14:textId="77777777" w:rsidR="00247F5B" w:rsidRPr="0044296A" w:rsidRDefault="00247F5B" w:rsidP="00622A65">
            <w:pPr>
              <w:pStyle w:val="TableHeading"/>
              <w:jc w:val="right"/>
            </w:pPr>
          </w:p>
        </w:tc>
        <w:tc>
          <w:tcPr>
            <w:tcW w:w="1419" w:type="dxa"/>
          </w:tcPr>
          <w:p w14:paraId="1B781A42" w14:textId="77777777" w:rsidR="00247F5B" w:rsidRPr="0044296A" w:rsidRDefault="00247F5B" w:rsidP="00622A65">
            <w:pPr>
              <w:pStyle w:val="TableHeading"/>
              <w:jc w:val="right"/>
            </w:pPr>
          </w:p>
        </w:tc>
        <w:tc>
          <w:tcPr>
            <w:tcW w:w="1448" w:type="dxa"/>
          </w:tcPr>
          <w:p w14:paraId="69940EB2" w14:textId="77777777" w:rsidR="00247F5B" w:rsidRPr="0044296A" w:rsidRDefault="00247F5B" w:rsidP="00622A65">
            <w:pPr>
              <w:pStyle w:val="TableHeading"/>
              <w:jc w:val="right"/>
            </w:pPr>
          </w:p>
        </w:tc>
      </w:tr>
      <w:tr w:rsidR="00247F5B" w14:paraId="243322AF" w14:textId="77777777" w:rsidTr="00BA3576">
        <w:tc>
          <w:tcPr>
            <w:tcW w:w="4815" w:type="dxa"/>
          </w:tcPr>
          <w:p w14:paraId="7ED7914B" w14:textId="23691ED1" w:rsidR="00247F5B" w:rsidRPr="00FE7999" w:rsidRDefault="00247F5B" w:rsidP="0044296A">
            <w:pPr>
              <w:pStyle w:val="TableCopy"/>
              <w:rPr>
                <w:spacing w:val="-2"/>
              </w:rPr>
            </w:pPr>
            <w:r w:rsidRPr="00FE7999">
              <w:rPr>
                <w:spacing w:val="-2"/>
              </w:rPr>
              <w:t>Changes in physical asset revaluation surplus</w:t>
            </w:r>
          </w:p>
        </w:tc>
        <w:tc>
          <w:tcPr>
            <w:tcW w:w="1204" w:type="dxa"/>
          </w:tcPr>
          <w:p w14:paraId="357979A1" w14:textId="09AEA227" w:rsidR="00247F5B" w:rsidRDefault="00247F5B" w:rsidP="00622A65">
            <w:pPr>
              <w:pStyle w:val="TableCopy"/>
              <w:jc w:val="right"/>
            </w:pPr>
            <w:r>
              <w:t>–</w:t>
            </w:r>
          </w:p>
        </w:tc>
        <w:tc>
          <w:tcPr>
            <w:tcW w:w="1205" w:type="dxa"/>
          </w:tcPr>
          <w:p w14:paraId="103BEFEE" w14:textId="1715DE4C" w:rsidR="00247F5B" w:rsidRDefault="00247F5B" w:rsidP="00622A65">
            <w:pPr>
              <w:pStyle w:val="TableCopy"/>
              <w:jc w:val="right"/>
            </w:pPr>
            <w:r>
              <w:t>–</w:t>
            </w:r>
          </w:p>
        </w:tc>
        <w:tc>
          <w:tcPr>
            <w:tcW w:w="1205" w:type="dxa"/>
          </w:tcPr>
          <w:p w14:paraId="66703A27" w14:textId="6F820D2F" w:rsidR="00247F5B" w:rsidRDefault="00247F5B" w:rsidP="00622A65">
            <w:pPr>
              <w:pStyle w:val="TableCopy"/>
              <w:jc w:val="right"/>
            </w:pPr>
            <w:r>
              <w:t>–</w:t>
            </w:r>
          </w:p>
        </w:tc>
        <w:tc>
          <w:tcPr>
            <w:tcW w:w="1204" w:type="dxa"/>
          </w:tcPr>
          <w:p w14:paraId="7A73C8F3" w14:textId="2DB6D520" w:rsidR="00247F5B" w:rsidRDefault="00247F5B" w:rsidP="00622A65">
            <w:pPr>
              <w:pStyle w:val="TableCopy"/>
              <w:jc w:val="right"/>
            </w:pPr>
            <w:r>
              <w:t>–</w:t>
            </w:r>
          </w:p>
        </w:tc>
        <w:tc>
          <w:tcPr>
            <w:tcW w:w="1308" w:type="dxa"/>
          </w:tcPr>
          <w:p w14:paraId="46F109DD" w14:textId="59555A97" w:rsidR="00247F5B" w:rsidRDefault="00247F5B" w:rsidP="00622A65">
            <w:pPr>
              <w:pStyle w:val="TableCopy"/>
              <w:jc w:val="right"/>
            </w:pPr>
            <w:r>
              <w:t>–</w:t>
            </w:r>
          </w:p>
        </w:tc>
        <w:tc>
          <w:tcPr>
            <w:tcW w:w="1276" w:type="dxa"/>
          </w:tcPr>
          <w:p w14:paraId="2814393B" w14:textId="0CB88B02" w:rsidR="00247F5B" w:rsidRDefault="00247F5B" w:rsidP="00622A65">
            <w:pPr>
              <w:pStyle w:val="TableCopy"/>
              <w:jc w:val="right"/>
            </w:pPr>
            <w:r>
              <w:t>–</w:t>
            </w:r>
          </w:p>
        </w:tc>
        <w:tc>
          <w:tcPr>
            <w:tcW w:w="1419" w:type="dxa"/>
          </w:tcPr>
          <w:p w14:paraId="2AE44D06" w14:textId="1EB9729E" w:rsidR="00247F5B" w:rsidRDefault="00247F5B" w:rsidP="00622A65">
            <w:pPr>
              <w:pStyle w:val="TableCopy"/>
              <w:jc w:val="right"/>
            </w:pPr>
            <w:r>
              <w:t>1,054</w:t>
            </w:r>
          </w:p>
        </w:tc>
        <w:tc>
          <w:tcPr>
            <w:tcW w:w="1448" w:type="dxa"/>
          </w:tcPr>
          <w:p w14:paraId="136BA8B0" w14:textId="75F95311" w:rsidR="00247F5B" w:rsidRDefault="00247F5B" w:rsidP="00622A65">
            <w:pPr>
              <w:pStyle w:val="TableCopy"/>
              <w:jc w:val="right"/>
            </w:pPr>
            <w:r>
              <w:t>–</w:t>
            </w:r>
          </w:p>
        </w:tc>
      </w:tr>
      <w:tr w:rsidR="00247F5B" w:rsidRPr="0044296A" w14:paraId="4A20C542" w14:textId="77777777" w:rsidTr="00BA3576">
        <w:tc>
          <w:tcPr>
            <w:tcW w:w="4815" w:type="dxa"/>
          </w:tcPr>
          <w:p w14:paraId="58C656A2" w14:textId="6690D237" w:rsidR="00247F5B" w:rsidRPr="0044296A" w:rsidRDefault="00247F5B" w:rsidP="0044296A">
            <w:pPr>
              <w:pStyle w:val="TableCopy"/>
              <w:rPr>
                <w:b/>
                <w:bCs/>
              </w:rPr>
            </w:pPr>
            <w:r w:rsidRPr="0044296A">
              <w:rPr>
                <w:b/>
                <w:bCs/>
              </w:rPr>
              <w:t>Comprehensive result</w:t>
            </w:r>
          </w:p>
        </w:tc>
        <w:tc>
          <w:tcPr>
            <w:tcW w:w="1204" w:type="dxa"/>
          </w:tcPr>
          <w:p w14:paraId="6399880F" w14:textId="77777777" w:rsidR="00247F5B" w:rsidRPr="00D05F44" w:rsidRDefault="00247F5B" w:rsidP="00D05F44">
            <w:pPr>
              <w:pStyle w:val="TableCopy"/>
              <w:jc w:val="right"/>
              <w:rPr>
                <w:b/>
                <w:bCs/>
              </w:rPr>
            </w:pPr>
            <w:r w:rsidRPr="00D05F44">
              <w:rPr>
                <w:b/>
                <w:bCs/>
              </w:rPr>
              <w:t>(1,227)</w:t>
            </w:r>
          </w:p>
        </w:tc>
        <w:tc>
          <w:tcPr>
            <w:tcW w:w="1205" w:type="dxa"/>
          </w:tcPr>
          <w:p w14:paraId="1405A495" w14:textId="77777777" w:rsidR="00247F5B" w:rsidRPr="00D05F44" w:rsidRDefault="00247F5B" w:rsidP="00D05F44">
            <w:pPr>
              <w:pStyle w:val="TableCopy"/>
              <w:jc w:val="right"/>
              <w:rPr>
                <w:b/>
                <w:bCs/>
              </w:rPr>
            </w:pPr>
            <w:r w:rsidRPr="00D05F44">
              <w:rPr>
                <w:b/>
                <w:bCs/>
              </w:rPr>
              <w:t>(66)</w:t>
            </w:r>
          </w:p>
        </w:tc>
        <w:tc>
          <w:tcPr>
            <w:tcW w:w="1205" w:type="dxa"/>
          </w:tcPr>
          <w:p w14:paraId="3787A8A5" w14:textId="77777777" w:rsidR="00247F5B" w:rsidRPr="00D05F44" w:rsidRDefault="00247F5B" w:rsidP="00D05F44">
            <w:pPr>
              <w:pStyle w:val="TableCopy"/>
              <w:jc w:val="right"/>
              <w:rPr>
                <w:b/>
                <w:bCs/>
              </w:rPr>
            </w:pPr>
            <w:r w:rsidRPr="00D05F44">
              <w:rPr>
                <w:b/>
                <w:bCs/>
              </w:rPr>
              <w:t>(340)</w:t>
            </w:r>
          </w:p>
        </w:tc>
        <w:tc>
          <w:tcPr>
            <w:tcW w:w="1204" w:type="dxa"/>
          </w:tcPr>
          <w:p w14:paraId="6A5D847A" w14:textId="77777777" w:rsidR="00247F5B" w:rsidRPr="00D05F44" w:rsidRDefault="00247F5B" w:rsidP="00D05F44">
            <w:pPr>
              <w:pStyle w:val="TableCopy"/>
              <w:jc w:val="right"/>
              <w:rPr>
                <w:b/>
                <w:bCs/>
              </w:rPr>
            </w:pPr>
            <w:r w:rsidRPr="00D05F44">
              <w:rPr>
                <w:b/>
                <w:bCs/>
              </w:rPr>
              <w:t>(173)</w:t>
            </w:r>
          </w:p>
        </w:tc>
        <w:tc>
          <w:tcPr>
            <w:tcW w:w="1308" w:type="dxa"/>
          </w:tcPr>
          <w:p w14:paraId="20B0218D" w14:textId="77777777" w:rsidR="00247F5B" w:rsidRPr="00D05F44" w:rsidRDefault="00247F5B" w:rsidP="00D05F44">
            <w:pPr>
              <w:pStyle w:val="TableCopy"/>
              <w:jc w:val="right"/>
              <w:rPr>
                <w:b/>
                <w:bCs/>
              </w:rPr>
            </w:pPr>
            <w:r w:rsidRPr="00D05F44">
              <w:rPr>
                <w:b/>
                <w:bCs/>
              </w:rPr>
              <w:t>19,895</w:t>
            </w:r>
          </w:p>
        </w:tc>
        <w:tc>
          <w:tcPr>
            <w:tcW w:w="1276" w:type="dxa"/>
          </w:tcPr>
          <w:p w14:paraId="2003E0E9" w14:textId="78F4B58C" w:rsidR="00247F5B" w:rsidRPr="00D05F44" w:rsidRDefault="00247F5B" w:rsidP="00D05F44">
            <w:pPr>
              <w:pStyle w:val="TableCopy"/>
              <w:jc w:val="right"/>
              <w:rPr>
                <w:b/>
                <w:bCs/>
              </w:rPr>
            </w:pPr>
            <w:r w:rsidRPr="00D05F44">
              <w:rPr>
                <w:b/>
                <w:bCs/>
              </w:rPr>
              <w:t>48,819</w:t>
            </w:r>
          </w:p>
        </w:tc>
        <w:tc>
          <w:tcPr>
            <w:tcW w:w="1419" w:type="dxa"/>
          </w:tcPr>
          <w:p w14:paraId="4FD81772" w14:textId="77777777" w:rsidR="00247F5B" w:rsidRPr="00D05F44" w:rsidRDefault="00247F5B" w:rsidP="00D05F44">
            <w:pPr>
              <w:pStyle w:val="TableCopy"/>
              <w:jc w:val="right"/>
              <w:rPr>
                <w:b/>
                <w:bCs/>
              </w:rPr>
            </w:pPr>
            <w:r w:rsidRPr="00D05F44">
              <w:rPr>
                <w:b/>
                <w:bCs/>
              </w:rPr>
              <w:t>133,641</w:t>
            </w:r>
          </w:p>
        </w:tc>
        <w:tc>
          <w:tcPr>
            <w:tcW w:w="1448" w:type="dxa"/>
          </w:tcPr>
          <w:p w14:paraId="30085139" w14:textId="77777777" w:rsidR="00247F5B" w:rsidRPr="00D05F44" w:rsidRDefault="00247F5B" w:rsidP="00D05F44">
            <w:pPr>
              <w:pStyle w:val="TableCopy"/>
              <w:jc w:val="right"/>
              <w:rPr>
                <w:b/>
                <w:bCs/>
              </w:rPr>
            </w:pPr>
            <w:r w:rsidRPr="00D05F44">
              <w:rPr>
                <w:b/>
                <w:bCs/>
              </w:rPr>
              <w:t>105,025</w:t>
            </w:r>
          </w:p>
        </w:tc>
      </w:tr>
    </w:tbl>
    <w:p w14:paraId="32A599BA" w14:textId="17FB5F8F" w:rsidR="000756EB" w:rsidRDefault="004A4D88" w:rsidP="0044296A">
      <w:pPr>
        <w:pStyle w:val="FootnoteText"/>
        <w:spacing w:before="120"/>
      </w:pPr>
      <w:r>
        <w:t>(ii)</w:t>
      </w:r>
      <w:r w:rsidR="0044296A">
        <w:t xml:space="preserve"> </w:t>
      </w:r>
      <w:r>
        <w:t>For</w:t>
      </w:r>
      <w:r w:rsidR="00A03629">
        <w:t xml:space="preserve"> </w:t>
      </w:r>
      <w:r>
        <w:t>the</w:t>
      </w:r>
      <w:r w:rsidR="00A03629">
        <w:t xml:space="preserve"> </w:t>
      </w:r>
      <w:r>
        <w:t>functions</w:t>
      </w:r>
      <w:r w:rsidR="00A03629">
        <w:t xml:space="preserve"> </w:t>
      </w:r>
      <w:r>
        <w:t>relinquished</w:t>
      </w:r>
      <w:r w:rsidR="00A03629">
        <w:t xml:space="preserve"> </w:t>
      </w:r>
      <w:proofErr w:type="gramStart"/>
      <w:r>
        <w:t>as</w:t>
      </w:r>
      <w:r w:rsidR="00A03629">
        <w:t xml:space="preserve"> </w:t>
      </w:r>
      <w:r>
        <w:t>a</w:t>
      </w:r>
      <w:r w:rsidR="00A03629">
        <w:t xml:space="preserve"> </w:t>
      </w:r>
      <w:r>
        <w:t>result</w:t>
      </w:r>
      <w:r w:rsidR="00A03629">
        <w:t xml:space="preserve"> </w:t>
      </w:r>
      <w:r>
        <w:t>of</w:t>
      </w:r>
      <w:proofErr w:type="gramEnd"/>
      <w:r w:rsidR="00A03629">
        <w:t xml:space="preserve"> </w:t>
      </w:r>
      <w:r>
        <w:t>the</w:t>
      </w:r>
      <w:r w:rsidR="00A03629">
        <w:t xml:space="preserve"> </w:t>
      </w:r>
      <w:r>
        <w:t>machinery</w:t>
      </w:r>
      <w:r w:rsidR="00A03629">
        <w:t xml:space="preserve"> </w:t>
      </w:r>
      <w:r>
        <w:t>of</w:t>
      </w:r>
      <w:r w:rsidR="00A03629">
        <w:t xml:space="preserve"> </w:t>
      </w:r>
      <w:r>
        <w:t>government</w:t>
      </w:r>
      <w:r w:rsidR="00A03629">
        <w:t xml:space="preserve"> </w:t>
      </w:r>
      <w:r>
        <w:t>changes,</w:t>
      </w:r>
      <w:r w:rsidR="00A03629">
        <w:t xml:space="preserve"> </w:t>
      </w:r>
      <w:r>
        <w:t>the</w:t>
      </w:r>
      <w:r w:rsidR="00A03629">
        <w:t xml:space="preserve"> </w:t>
      </w:r>
      <w:r>
        <w:t>2023</w:t>
      </w:r>
      <w:r w:rsidR="00A03629">
        <w:t xml:space="preserve"> </w:t>
      </w:r>
      <w:r>
        <w:t>outputs</w:t>
      </w:r>
      <w:r w:rsidR="00A03629">
        <w:t xml:space="preserve"> </w:t>
      </w:r>
      <w:r>
        <w:t>are</w:t>
      </w:r>
      <w:r w:rsidR="00A03629">
        <w:t xml:space="preserve"> </w:t>
      </w:r>
      <w:r>
        <w:t>for</w:t>
      </w:r>
      <w:r w:rsidR="00A03629">
        <w:t xml:space="preserve"> </w:t>
      </w:r>
      <w:r>
        <w:t>the</w:t>
      </w:r>
      <w:r w:rsidR="00A03629">
        <w:t xml:space="preserve"> </w:t>
      </w:r>
      <w:r>
        <w:t>period</w:t>
      </w:r>
      <w:r w:rsidR="00A03629">
        <w:t xml:space="preserve"> </w:t>
      </w:r>
      <w:r>
        <w:t>from</w:t>
      </w:r>
      <w:r w:rsidR="00A03629">
        <w:t xml:space="preserve"> </w:t>
      </w:r>
      <w:r>
        <w:t>1</w:t>
      </w:r>
      <w:r w:rsidR="00A03629">
        <w:t xml:space="preserve"> </w:t>
      </w:r>
      <w:r>
        <w:t>July</w:t>
      </w:r>
      <w:r w:rsidR="00A03629">
        <w:t xml:space="preserve"> </w:t>
      </w:r>
      <w:r>
        <w:t>2022</w:t>
      </w:r>
      <w:r w:rsidR="00A03629">
        <w:t xml:space="preserve"> </w:t>
      </w:r>
      <w:r>
        <w:t>to</w:t>
      </w:r>
      <w:r w:rsidR="00A03629">
        <w:rPr>
          <w:rFonts w:ascii="Cambria" w:hAnsi="Cambria" w:cs="Cambria"/>
        </w:rPr>
        <w:t xml:space="preserve"> </w:t>
      </w:r>
      <w:r>
        <w:t>31</w:t>
      </w:r>
      <w:r w:rsidR="00A03629">
        <w:t xml:space="preserve"> </w:t>
      </w:r>
      <w:r>
        <w:t>December</w:t>
      </w:r>
      <w:r w:rsidR="00A03629">
        <w:t xml:space="preserve"> </w:t>
      </w:r>
      <w:r>
        <w:t>2022</w:t>
      </w:r>
      <w:r w:rsidR="00A03629">
        <w:t xml:space="preserve"> </w:t>
      </w:r>
      <w:r>
        <w:t>compared</w:t>
      </w:r>
      <w:r w:rsidR="00A03629">
        <w:t xml:space="preserve"> </w:t>
      </w:r>
      <w:r>
        <w:t>to</w:t>
      </w:r>
      <w:r w:rsidR="00A03629">
        <w:t xml:space="preserve"> </w:t>
      </w:r>
      <w:r>
        <w:t>the</w:t>
      </w:r>
      <w:r w:rsidR="00A03629">
        <w:t xml:space="preserve"> </w:t>
      </w:r>
      <w:r>
        <w:t>2022</w:t>
      </w:r>
      <w:r w:rsidR="00A03629">
        <w:t xml:space="preserve"> </w:t>
      </w:r>
      <w:r>
        <w:t>outputs</w:t>
      </w:r>
      <w:r w:rsidR="00A03629">
        <w:t xml:space="preserve"> </w:t>
      </w:r>
      <w:r>
        <w:t>which</w:t>
      </w:r>
      <w:r w:rsidR="00A03629">
        <w:t xml:space="preserve"> </w:t>
      </w:r>
      <w:r>
        <w:t>is</w:t>
      </w:r>
      <w:r w:rsidR="00A03629">
        <w:t xml:space="preserve"> </w:t>
      </w:r>
      <w:r>
        <w:t>from</w:t>
      </w:r>
      <w:r w:rsidR="00A03629">
        <w:t xml:space="preserve"> </w:t>
      </w:r>
      <w:r>
        <w:t>1</w:t>
      </w:r>
      <w:r w:rsidR="00A03629">
        <w:t xml:space="preserve"> </w:t>
      </w:r>
      <w:r>
        <w:t>July</w:t>
      </w:r>
      <w:r w:rsidR="00A03629">
        <w:t xml:space="preserve"> </w:t>
      </w:r>
      <w:r>
        <w:t>2021</w:t>
      </w:r>
      <w:r w:rsidR="00A03629">
        <w:t xml:space="preserve"> </w:t>
      </w:r>
      <w:r>
        <w:t>to</w:t>
      </w:r>
      <w:r w:rsidR="00A03629">
        <w:t xml:space="preserve"> </w:t>
      </w:r>
      <w:r>
        <w:t>30</w:t>
      </w:r>
      <w:r w:rsidR="00A03629">
        <w:t xml:space="preserve"> </w:t>
      </w:r>
      <w:r>
        <w:t>June</w:t>
      </w:r>
      <w:r w:rsidR="00A03629">
        <w:t xml:space="preserve"> </w:t>
      </w:r>
      <w:r>
        <w:t>2022.</w:t>
      </w:r>
    </w:p>
    <w:p w14:paraId="16075215" w14:textId="78F988A0" w:rsidR="000756EB" w:rsidRDefault="004A4D88" w:rsidP="0044296A">
      <w:pPr>
        <w:pStyle w:val="FootnoteText"/>
        <w:spacing w:after="280"/>
      </w:pPr>
      <w:r>
        <w:t>(iii)</w:t>
      </w:r>
      <w:r w:rsidR="00A03629">
        <w:t xml:space="preserve"> </w:t>
      </w:r>
      <w:r>
        <w:t>For</w:t>
      </w:r>
      <w:r w:rsidR="00A03629">
        <w:t xml:space="preserve"> </w:t>
      </w:r>
      <w:r>
        <w:t>the</w:t>
      </w:r>
      <w:r w:rsidR="00A03629">
        <w:t xml:space="preserve"> </w:t>
      </w:r>
      <w:r>
        <w:t>functions</w:t>
      </w:r>
      <w:r w:rsidR="00A03629">
        <w:t xml:space="preserve"> </w:t>
      </w:r>
      <w:r>
        <w:t>relinquished</w:t>
      </w:r>
      <w:r w:rsidR="00A03629">
        <w:t xml:space="preserve"> </w:t>
      </w:r>
      <w:proofErr w:type="gramStart"/>
      <w:r>
        <w:t>as</w:t>
      </w:r>
      <w:r w:rsidR="00A03629">
        <w:t xml:space="preserve"> </w:t>
      </w:r>
      <w:r>
        <w:t>a</w:t>
      </w:r>
      <w:r w:rsidR="00A03629">
        <w:t xml:space="preserve"> </w:t>
      </w:r>
      <w:r>
        <w:t>result</w:t>
      </w:r>
      <w:r w:rsidR="00A03629">
        <w:t xml:space="preserve"> </w:t>
      </w:r>
      <w:r>
        <w:t>of</w:t>
      </w:r>
      <w:proofErr w:type="gramEnd"/>
      <w:r w:rsidR="00A03629">
        <w:t xml:space="preserve"> </w:t>
      </w:r>
      <w:r>
        <w:t>the</w:t>
      </w:r>
      <w:r w:rsidR="00A03629">
        <w:t xml:space="preserve"> </w:t>
      </w:r>
      <w:r>
        <w:t>machinery</w:t>
      </w:r>
      <w:r w:rsidR="00A03629">
        <w:t xml:space="preserve"> </w:t>
      </w:r>
      <w:r>
        <w:t>of</w:t>
      </w:r>
      <w:r w:rsidR="00A03629">
        <w:t xml:space="preserve"> </w:t>
      </w:r>
      <w:r>
        <w:t>government</w:t>
      </w:r>
      <w:r w:rsidR="00A03629">
        <w:t xml:space="preserve"> </w:t>
      </w:r>
      <w:r>
        <w:t>changes:</w:t>
      </w:r>
      <w:r w:rsidR="00A03629">
        <w:t xml:space="preserve"> </w:t>
      </w:r>
      <w:r>
        <w:t>Racing</w:t>
      </w:r>
      <w:r w:rsidR="00A03629">
        <w:t xml:space="preserve"> </w:t>
      </w:r>
      <w:r>
        <w:t>of</w:t>
      </w:r>
      <w:r w:rsidR="00A03629">
        <w:t xml:space="preserve"> </w:t>
      </w:r>
      <w:r>
        <w:t>the</w:t>
      </w:r>
      <w:r w:rsidR="00A03629">
        <w:t xml:space="preserve"> </w:t>
      </w:r>
      <w:r>
        <w:t>Sport,</w:t>
      </w:r>
      <w:r w:rsidR="00A03629">
        <w:t xml:space="preserve"> </w:t>
      </w:r>
      <w:r>
        <w:t>Recreation</w:t>
      </w:r>
      <w:r w:rsidR="00A03629">
        <w:t xml:space="preserve"> </w:t>
      </w:r>
      <w:r>
        <w:t>and</w:t>
      </w:r>
      <w:r w:rsidR="00A03629">
        <w:t xml:space="preserve"> </w:t>
      </w:r>
      <w:r>
        <w:t>Racing</w:t>
      </w:r>
      <w:r w:rsidR="00A03629">
        <w:t xml:space="preserve"> </w:t>
      </w:r>
      <w:r>
        <w:t>output;</w:t>
      </w:r>
      <w:r w:rsidR="00A03629">
        <w:t xml:space="preserve"> </w:t>
      </w:r>
      <w:r>
        <w:t>Local</w:t>
      </w:r>
      <w:r w:rsidR="00A03629">
        <w:t xml:space="preserve"> </w:t>
      </w:r>
      <w:r>
        <w:t>Government</w:t>
      </w:r>
      <w:r w:rsidR="00A03629">
        <w:t xml:space="preserve"> </w:t>
      </w:r>
      <w:r>
        <w:t>of</w:t>
      </w:r>
      <w:r w:rsidR="00A03629">
        <w:t xml:space="preserve"> </w:t>
      </w:r>
      <w:r>
        <w:t>the</w:t>
      </w:r>
      <w:r w:rsidR="00A03629">
        <w:t xml:space="preserve"> </w:t>
      </w:r>
      <w:r>
        <w:t>Local</w:t>
      </w:r>
      <w:r w:rsidR="00A03629">
        <w:t xml:space="preserve"> </w:t>
      </w:r>
      <w:r>
        <w:t>Government</w:t>
      </w:r>
      <w:r w:rsidR="00A03629">
        <w:t xml:space="preserve"> </w:t>
      </w:r>
      <w:r>
        <w:t>and</w:t>
      </w:r>
      <w:r w:rsidR="00A03629">
        <w:t xml:space="preserve"> </w:t>
      </w:r>
      <w:r>
        <w:t>Suburban</w:t>
      </w:r>
      <w:r w:rsidR="00A03629">
        <w:t xml:space="preserve"> </w:t>
      </w:r>
      <w:r>
        <w:t>Development</w:t>
      </w:r>
      <w:r w:rsidR="00A03629">
        <w:t xml:space="preserve"> </w:t>
      </w:r>
      <w:r>
        <w:t>output;</w:t>
      </w:r>
      <w:r w:rsidR="00A03629">
        <w:t xml:space="preserve"> </w:t>
      </w:r>
      <w:r>
        <w:t>Medical</w:t>
      </w:r>
      <w:r w:rsidR="00A03629">
        <w:t xml:space="preserve"> </w:t>
      </w:r>
      <w:r>
        <w:t>Research</w:t>
      </w:r>
      <w:r w:rsidR="00A03629">
        <w:t xml:space="preserve"> </w:t>
      </w:r>
      <w:r>
        <w:t>and</w:t>
      </w:r>
      <w:r w:rsidR="00A03629">
        <w:t xml:space="preserve"> </w:t>
      </w:r>
      <w:r>
        <w:t>Telecommunication</w:t>
      </w:r>
      <w:r w:rsidR="00A03629">
        <w:t xml:space="preserve"> </w:t>
      </w:r>
      <w:r>
        <w:t>of</w:t>
      </w:r>
      <w:r w:rsidR="00A03629">
        <w:t xml:space="preserve"> </w:t>
      </w:r>
      <w:r>
        <w:t>the</w:t>
      </w:r>
      <w:r w:rsidR="00A03629">
        <w:t xml:space="preserve"> </w:t>
      </w:r>
      <w:r>
        <w:t>Industry,</w:t>
      </w:r>
      <w:r w:rsidR="00A03629">
        <w:t xml:space="preserve"> </w:t>
      </w:r>
      <w:r>
        <w:t>Innovation,</w:t>
      </w:r>
      <w:r w:rsidR="00A03629">
        <w:t xml:space="preserve"> </w:t>
      </w:r>
      <w:r>
        <w:t>Medical</w:t>
      </w:r>
      <w:r w:rsidR="00A03629">
        <w:t xml:space="preserve"> </w:t>
      </w:r>
      <w:r>
        <w:t>Research</w:t>
      </w:r>
      <w:r w:rsidR="00A03629">
        <w:t xml:space="preserve"> </w:t>
      </w:r>
      <w:r>
        <w:t>and</w:t>
      </w:r>
      <w:r w:rsidR="00A03629">
        <w:t xml:space="preserve"> </w:t>
      </w:r>
      <w:r>
        <w:t>Small</w:t>
      </w:r>
      <w:r w:rsidR="00A03629">
        <w:t xml:space="preserve"> </w:t>
      </w:r>
      <w:r>
        <w:t>Business</w:t>
      </w:r>
      <w:r w:rsidR="00A03629">
        <w:t xml:space="preserve"> </w:t>
      </w:r>
      <w:r>
        <w:t>output.</w:t>
      </w:r>
    </w:p>
    <w:p w14:paraId="31E4BD7B" w14:textId="1337889C" w:rsidR="000756EB" w:rsidRDefault="004A4D88" w:rsidP="00BB0239">
      <w:pPr>
        <w:pStyle w:val="Heading3"/>
      </w:pPr>
      <w:r>
        <w:lastRenderedPageBreak/>
        <w:t>4.1.3</w:t>
      </w:r>
      <w:r w:rsidR="00DE38B5">
        <w:t xml:space="preserve"> </w:t>
      </w:r>
      <w:r>
        <w:t>Departmental</w:t>
      </w:r>
      <w:r w:rsidR="00A03629">
        <w:t xml:space="preserve"> </w:t>
      </w:r>
      <w:r>
        <w:t>outputs:</w:t>
      </w:r>
      <w:r w:rsidR="00A03629">
        <w:t xml:space="preserve"> </w:t>
      </w:r>
      <w:r>
        <w:t>Controlled</w:t>
      </w:r>
      <w:r w:rsidR="00A03629">
        <w:t xml:space="preserve"> </w:t>
      </w:r>
      <w:r>
        <w:t>assets</w:t>
      </w:r>
      <w:r w:rsidR="00A03629">
        <w:t xml:space="preserve"> </w:t>
      </w:r>
      <w:r>
        <w:t>and</w:t>
      </w:r>
      <w:r w:rsidR="00A03629">
        <w:t xml:space="preserve"> </w:t>
      </w:r>
      <w:r>
        <w:t>liabilities</w:t>
      </w:r>
      <w:r w:rsidR="00A03629">
        <w:t xml:space="preserve"> </w:t>
      </w:r>
      <w:proofErr w:type="gramStart"/>
      <w:r>
        <w:t>at</w:t>
      </w:r>
      <w:proofErr w:type="gramEnd"/>
      <w:r w:rsidR="00A03629">
        <w:t xml:space="preserve"> </w:t>
      </w:r>
      <w:r>
        <w:t>30</w:t>
      </w:r>
      <w:r w:rsidR="00A03629">
        <w:t xml:space="preserve"> </w:t>
      </w:r>
      <w:r>
        <w:t>June</w:t>
      </w:r>
      <w:r w:rsidR="00A03629">
        <w:t xml:space="preserve"> </w:t>
      </w:r>
      <w:r>
        <w:t>2023</w:t>
      </w:r>
      <w:r w:rsidR="00582D2F">
        <w:t xml:space="preserve"> </w:t>
      </w:r>
      <w:r>
        <w:t>Department</w:t>
      </w:r>
      <w:r w:rsidR="00A03629">
        <w:t xml:space="preserve"> </w:t>
      </w:r>
      <w:r>
        <w:t>of</w:t>
      </w:r>
      <w:r w:rsidR="00A03629">
        <w:t xml:space="preserve"> </w:t>
      </w:r>
      <w:r>
        <w:t>Jobs,</w:t>
      </w:r>
      <w:r w:rsidR="00A03629">
        <w:t xml:space="preserve"> </w:t>
      </w:r>
      <w:r>
        <w:t>Skills,</w:t>
      </w:r>
      <w:r w:rsidR="00A03629">
        <w:t xml:space="preserve"> </w:t>
      </w:r>
      <w:r>
        <w:t>Industry</w:t>
      </w:r>
      <w:r w:rsidR="00A03629">
        <w:t xml:space="preserve"> </w:t>
      </w:r>
      <w:r>
        <w:t>and</w:t>
      </w:r>
      <w:r w:rsidR="00A03629">
        <w:t xml:space="preserve"> </w:t>
      </w:r>
      <w:r>
        <w:t>Regions</w:t>
      </w:r>
      <w:r w:rsidR="00A03629">
        <w:t xml:space="preserve"> </w:t>
      </w:r>
      <w:r>
        <w:t>Outputs</w:t>
      </w:r>
    </w:p>
    <w:tbl>
      <w:tblPr>
        <w:tblStyle w:val="TableGrid"/>
        <w:tblW w:w="14879" w:type="dxa"/>
        <w:tblLayout w:type="fixed"/>
        <w:tblLook w:val="0020" w:firstRow="1" w:lastRow="0" w:firstColumn="0" w:lastColumn="0" w:noHBand="0" w:noVBand="0"/>
      </w:tblPr>
      <w:tblGrid>
        <w:gridCol w:w="2972"/>
        <w:gridCol w:w="1205"/>
        <w:gridCol w:w="1205"/>
        <w:gridCol w:w="1204"/>
        <w:gridCol w:w="1205"/>
        <w:gridCol w:w="1205"/>
        <w:gridCol w:w="1204"/>
        <w:gridCol w:w="1205"/>
        <w:gridCol w:w="1205"/>
        <w:gridCol w:w="1135"/>
        <w:gridCol w:w="1134"/>
      </w:tblGrid>
      <w:tr w:rsidR="00582D2F" w:rsidRPr="00DB4E71" w14:paraId="5FB3E25D" w14:textId="77777777" w:rsidTr="00BB0239">
        <w:trPr>
          <w:trHeight w:val="113"/>
        </w:trPr>
        <w:tc>
          <w:tcPr>
            <w:tcW w:w="2972" w:type="dxa"/>
          </w:tcPr>
          <w:p w14:paraId="6F7CB1EE" w14:textId="77777777" w:rsidR="00582D2F" w:rsidRPr="00DB4E71" w:rsidRDefault="00582D2F" w:rsidP="00DB4E71">
            <w:pPr>
              <w:pStyle w:val="TableColumnHeading"/>
              <w:rPr>
                <w:sz w:val="20"/>
                <w:szCs w:val="28"/>
              </w:rPr>
            </w:pPr>
            <w:bookmarkStart w:id="42" w:name="ColumnTitles_19"/>
            <w:bookmarkEnd w:id="42"/>
          </w:p>
        </w:tc>
        <w:tc>
          <w:tcPr>
            <w:tcW w:w="1205" w:type="dxa"/>
          </w:tcPr>
          <w:p w14:paraId="1DC2E5FC" w14:textId="6C0E82FA" w:rsidR="00582D2F" w:rsidRPr="00DB4E71" w:rsidRDefault="00582D2F" w:rsidP="002F6415">
            <w:pPr>
              <w:pStyle w:val="TableColumnHeading"/>
              <w:jc w:val="right"/>
              <w:rPr>
                <w:sz w:val="20"/>
                <w:szCs w:val="28"/>
              </w:rPr>
            </w:pPr>
            <w:r w:rsidRPr="00DB4E71">
              <w:rPr>
                <w:sz w:val="20"/>
                <w:szCs w:val="28"/>
              </w:rPr>
              <w:t>Creative Industries Access, Develop</w:t>
            </w:r>
            <w:r w:rsidR="00DB4E71">
              <w:rPr>
                <w:sz w:val="20"/>
                <w:szCs w:val="28"/>
              </w:rPr>
              <w:t xml:space="preserve"> </w:t>
            </w:r>
            <w:proofErr w:type="spellStart"/>
            <w:r w:rsidRPr="00DB4E71">
              <w:rPr>
                <w:sz w:val="20"/>
                <w:szCs w:val="28"/>
              </w:rPr>
              <w:t>ment</w:t>
            </w:r>
            <w:proofErr w:type="spellEnd"/>
            <w:r w:rsidRPr="00DB4E71">
              <w:rPr>
                <w:sz w:val="20"/>
                <w:szCs w:val="28"/>
              </w:rPr>
              <w:t xml:space="preserve"> and Innovation 2023</w:t>
            </w:r>
            <w:r w:rsidR="00DB4E71" w:rsidRPr="00DB4E71">
              <w:rPr>
                <w:sz w:val="20"/>
                <w:szCs w:val="28"/>
              </w:rPr>
              <w:t xml:space="preserve"> </w:t>
            </w:r>
            <w:r w:rsidRPr="00DB4E71">
              <w:rPr>
                <w:sz w:val="20"/>
                <w:szCs w:val="28"/>
              </w:rPr>
              <w:t xml:space="preserve">($ thousand) </w:t>
            </w:r>
          </w:p>
        </w:tc>
        <w:tc>
          <w:tcPr>
            <w:tcW w:w="1205" w:type="dxa"/>
          </w:tcPr>
          <w:p w14:paraId="58FDA506" w14:textId="03C39D52" w:rsidR="00582D2F" w:rsidRPr="00DB4E71" w:rsidRDefault="00582D2F" w:rsidP="002F6415">
            <w:pPr>
              <w:pStyle w:val="TableColumnHeading"/>
              <w:jc w:val="right"/>
              <w:rPr>
                <w:sz w:val="20"/>
                <w:szCs w:val="28"/>
              </w:rPr>
            </w:pPr>
            <w:r w:rsidRPr="00DB4E71">
              <w:rPr>
                <w:sz w:val="20"/>
                <w:szCs w:val="28"/>
              </w:rPr>
              <w:t>Creative Industries Access, Develop</w:t>
            </w:r>
            <w:r w:rsidR="00DB4E71">
              <w:rPr>
                <w:sz w:val="20"/>
                <w:szCs w:val="28"/>
              </w:rPr>
              <w:t xml:space="preserve"> </w:t>
            </w:r>
            <w:proofErr w:type="spellStart"/>
            <w:r w:rsidRPr="00DB4E71">
              <w:rPr>
                <w:sz w:val="20"/>
                <w:szCs w:val="28"/>
              </w:rPr>
              <w:t>ment</w:t>
            </w:r>
            <w:proofErr w:type="spellEnd"/>
            <w:r w:rsidRPr="00DB4E71">
              <w:rPr>
                <w:sz w:val="20"/>
                <w:szCs w:val="28"/>
              </w:rPr>
              <w:t xml:space="preserve"> and Innovation 2022</w:t>
            </w:r>
            <w:r w:rsidR="00DB4E71" w:rsidRPr="00DB4E71">
              <w:rPr>
                <w:sz w:val="20"/>
                <w:szCs w:val="28"/>
              </w:rPr>
              <w:t xml:space="preserve"> </w:t>
            </w:r>
            <w:r w:rsidRPr="00DB4E71">
              <w:rPr>
                <w:sz w:val="20"/>
                <w:szCs w:val="28"/>
              </w:rPr>
              <w:t>($ thousand)</w:t>
            </w:r>
          </w:p>
        </w:tc>
        <w:tc>
          <w:tcPr>
            <w:tcW w:w="1204" w:type="dxa"/>
          </w:tcPr>
          <w:p w14:paraId="39835BF5" w14:textId="46014900" w:rsidR="00582D2F" w:rsidRPr="00DB4E71" w:rsidRDefault="00582D2F" w:rsidP="002F6415">
            <w:pPr>
              <w:pStyle w:val="TableColumnHeading"/>
              <w:jc w:val="right"/>
              <w:rPr>
                <w:sz w:val="20"/>
                <w:szCs w:val="28"/>
              </w:rPr>
            </w:pPr>
            <w:r w:rsidRPr="00DB4E71">
              <w:rPr>
                <w:sz w:val="20"/>
                <w:szCs w:val="28"/>
              </w:rPr>
              <w:t>Creative Industries Portfolio Agencies 2023</w:t>
            </w:r>
            <w:r w:rsidR="00DB4E71" w:rsidRPr="00DB4E71">
              <w:rPr>
                <w:sz w:val="20"/>
                <w:szCs w:val="28"/>
              </w:rPr>
              <w:t xml:space="preserve"> </w:t>
            </w:r>
            <w:r w:rsidRPr="00DB4E71">
              <w:rPr>
                <w:sz w:val="20"/>
                <w:szCs w:val="28"/>
              </w:rPr>
              <w:t xml:space="preserve">($ thousand) </w:t>
            </w:r>
          </w:p>
        </w:tc>
        <w:tc>
          <w:tcPr>
            <w:tcW w:w="1205" w:type="dxa"/>
          </w:tcPr>
          <w:p w14:paraId="7F6BAB9A" w14:textId="2ED53FE7" w:rsidR="00582D2F" w:rsidRPr="00DB4E71" w:rsidRDefault="00582D2F" w:rsidP="002F6415">
            <w:pPr>
              <w:pStyle w:val="TableColumnHeading"/>
              <w:jc w:val="right"/>
              <w:rPr>
                <w:sz w:val="20"/>
                <w:szCs w:val="28"/>
              </w:rPr>
            </w:pPr>
            <w:r w:rsidRPr="00DB4E71">
              <w:rPr>
                <w:sz w:val="20"/>
                <w:szCs w:val="28"/>
              </w:rPr>
              <w:t>Creative Industries Portfolio Agencies 2022</w:t>
            </w:r>
            <w:r w:rsidR="00DB4E71" w:rsidRPr="00DB4E71">
              <w:rPr>
                <w:sz w:val="20"/>
                <w:szCs w:val="28"/>
              </w:rPr>
              <w:t xml:space="preserve"> </w:t>
            </w:r>
            <w:r w:rsidRPr="00DB4E71">
              <w:rPr>
                <w:sz w:val="20"/>
                <w:szCs w:val="28"/>
              </w:rPr>
              <w:t>($ thousand)</w:t>
            </w:r>
          </w:p>
        </w:tc>
        <w:tc>
          <w:tcPr>
            <w:tcW w:w="1205" w:type="dxa"/>
          </w:tcPr>
          <w:p w14:paraId="60A33ED6" w14:textId="027706DE" w:rsidR="00582D2F" w:rsidRPr="00DB4E71" w:rsidRDefault="00582D2F" w:rsidP="002F6415">
            <w:pPr>
              <w:pStyle w:val="TableColumnHeading"/>
              <w:jc w:val="right"/>
              <w:rPr>
                <w:sz w:val="20"/>
                <w:szCs w:val="28"/>
              </w:rPr>
            </w:pPr>
            <w:r w:rsidRPr="00DB4E71">
              <w:rPr>
                <w:sz w:val="20"/>
                <w:szCs w:val="28"/>
              </w:rPr>
              <w:t>Cultural Infra</w:t>
            </w:r>
            <w:r w:rsidR="00DB4E71">
              <w:rPr>
                <w:sz w:val="20"/>
                <w:szCs w:val="28"/>
              </w:rPr>
              <w:t xml:space="preserve"> </w:t>
            </w:r>
            <w:r w:rsidRPr="00DB4E71">
              <w:rPr>
                <w:sz w:val="20"/>
                <w:szCs w:val="28"/>
              </w:rPr>
              <w:t>structure and Facilities 2023</w:t>
            </w:r>
            <w:r w:rsidR="00DB4E71" w:rsidRPr="00DB4E71">
              <w:rPr>
                <w:sz w:val="20"/>
                <w:szCs w:val="28"/>
              </w:rPr>
              <w:t xml:space="preserve"> </w:t>
            </w:r>
            <w:r w:rsidRPr="00DB4E71">
              <w:rPr>
                <w:sz w:val="20"/>
                <w:szCs w:val="28"/>
              </w:rPr>
              <w:t xml:space="preserve">($ thousand) </w:t>
            </w:r>
          </w:p>
        </w:tc>
        <w:tc>
          <w:tcPr>
            <w:tcW w:w="1204" w:type="dxa"/>
          </w:tcPr>
          <w:p w14:paraId="71AE7660" w14:textId="2B4F2F58" w:rsidR="00582D2F" w:rsidRPr="00DB4E71" w:rsidRDefault="00582D2F" w:rsidP="002F6415">
            <w:pPr>
              <w:pStyle w:val="TableColumnHeading"/>
              <w:jc w:val="right"/>
              <w:rPr>
                <w:sz w:val="20"/>
                <w:szCs w:val="28"/>
              </w:rPr>
            </w:pPr>
            <w:r w:rsidRPr="00DB4E71">
              <w:rPr>
                <w:sz w:val="20"/>
                <w:szCs w:val="28"/>
              </w:rPr>
              <w:t>Cultural Infra</w:t>
            </w:r>
            <w:r w:rsidR="00DB4E71">
              <w:rPr>
                <w:sz w:val="20"/>
                <w:szCs w:val="28"/>
              </w:rPr>
              <w:t xml:space="preserve"> </w:t>
            </w:r>
            <w:r w:rsidRPr="00DB4E71">
              <w:rPr>
                <w:sz w:val="20"/>
                <w:szCs w:val="28"/>
              </w:rPr>
              <w:t>structure and Facilities 2022</w:t>
            </w:r>
            <w:r w:rsidR="00DB4E71" w:rsidRPr="00DB4E71">
              <w:rPr>
                <w:sz w:val="20"/>
                <w:szCs w:val="28"/>
              </w:rPr>
              <w:t xml:space="preserve"> </w:t>
            </w:r>
            <w:r w:rsidRPr="00DB4E71">
              <w:rPr>
                <w:sz w:val="20"/>
                <w:szCs w:val="28"/>
              </w:rPr>
              <w:t>($ thousand)</w:t>
            </w:r>
          </w:p>
        </w:tc>
        <w:tc>
          <w:tcPr>
            <w:tcW w:w="1205" w:type="dxa"/>
          </w:tcPr>
          <w:p w14:paraId="4D002A86" w14:textId="06FBE5EB" w:rsidR="00582D2F" w:rsidRPr="00DB4E71" w:rsidRDefault="00582D2F" w:rsidP="002F6415">
            <w:pPr>
              <w:pStyle w:val="TableColumnHeading"/>
              <w:jc w:val="right"/>
              <w:rPr>
                <w:sz w:val="20"/>
                <w:szCs w:val="28"/>
              </w:rPr>
            </w:pPr>
            <w:r w:rsidRPr="00DB4E71">
              <w:rPr>
                <w:sz w:val="20"/>
                <w:szCs w:val="28"/>
              </w:rPr>
              <w:t>Industry, Innovation, and Small Business 2023</w:t>
            </w:r>
            <w:r w:rsidR="00DB4E71" w:rsidRPr="00DB4E71">
              <w:rPr>
                <w:sz w:val="20"/>
                <w:szCs w:val="28"/>
              </w:rPr>
              <w:t xml:space="preserve"> </w:t>
            </w:r>
            <w:r w:rsidRPr="00DB4E71">
              <w:rPr>
                <w:sz w:val="20"/>
                <w:szCs w:val="28"/>
              </w:rPr>
              <w:t xml:space="preserve">($ thousand) </w:t>
            </w:r>
          </w:p>
        </w:tc>
        <w:tc>
          <w:tcPr>
            <w:tcW w:w="1205" w:type="dxa"/>
          </w:tcPr>
          <w:p w14:paraId="1A6C3504" w14:textId="272243C0" w:rsidR="00582D2F" w:rsidRPr="00DB4E71" w:rsidRDefault="00582D2F" w:rsidP="002F6415">
            <w:pPr>
              <w:pStyle w:val="TableColumnHeading"/>
              <w:jc w:val="right"/>
              <w:rPr>
                <w:sz w:val="20"/>
                <w:szCs w:val="28"/>
              </w:rPr>
            </w:pPr>
            <w:r w:rsidRPr="00DB4E71">
              <w:rPr>
                <w:sz w:val="20"/>
                <w:szCs w:val="28"/>
              </w:rPr>
              <w:t>Industry, Innovation, and Small Business 2022 ($ thousand)</w:t>
            </w:r>
          </w:p>
        </w:tc>
        <w:tc>
          <w:tcPr>
            <w:tcW w:w="1135" w:type="dxa"/>
          </w:tcPr>
          <w:p w14:paraId="443AA83B" w14:textId="661DFA90" w:rsidR="00582D2F" w:rsidRPr="00DB4E71" w:rsidRDefault="00582D2F" w:rsidP="002F6415">
            <w:pPr>
              <w:pStyle w:val="TableColumnHeading"/>
              <w:jc w:val="right"/>
              <w:rPr>
                <w:sz w:val="20"/>
                <w:szCs w:val="28"/>
              </w:rPr>
            </w:pPr>
            <w:r w:rsidRPr="00DB4E71">
              <w:rPr>
                <w:sz w:val="20"/>
                <w:szCs w:val="28"/>
              </w:rPr>
              <w:t xml:space="preserve">Jobs 2023 ($ thousand) </w:t>
            </w:r>
          </w:p>
        </w:tc>
        <w:tc>
          <w:tcPr>
            <w:tcW w:w="1134" w:type="dxa"/>
          </w:tcPr>
          <w:p w14:paraId="1954A7BE" w14:textId="6EF5C89C" w:rsidR="00582D2F" w:rsidRPr="00DB4E71" w:rsidRDefault="00582D2F" w:rsidP="002F6415">
            <w:pPr>
              <w:pStyle w:val="TableColumnHeading"/>
              <w:jc w:val="right"/>
              <w:rPr>
                <w:sz w:val="20"/>
                <w:szCs w:val="28"/>
              </w:rPr>
            </w:pPr>
            <w:r w:rsidRPr="00DB4E71">
              <w:rPr>
                <w:sz w:val="20"/>
                <w:szCs w:val="28"/>
              </w:rPr>
              <w:t>Jobs 2022 ($ thousand)</w:t>
            </w:r>
          </w:p>
        </w:tc>
      </w:tr>
      <w:tr w:rsidR="00582D2F" w:rsidRPr="00071A02" w14:paraId="0A84C557" w14:textId="77777777" w:rsidTr="00BB0239">
        <w:trPr>
          <w:trHeight w:val="113"/>
        </w:trPr>
        <w:tc>
          <w:tcPr>
            <w:tcW w:w="2972" w:type="dxa"/>
          </w:tcPr>
          <w:p w14:paraId="12FFE86C" w14:textId="77777777" w:rsidR="00582D2F" w:rsidRPr="00071A02" w:rsidRDefault="00582D2F" w:rsidP="00071A02">
            <w:pPr>
              <w:pStyle w:val="TableHeading"/>
            </w:pPr>
            <w:r w:rsidRPr="00071A02">
              <w:t>Assets</w:t>
            </w:r>
          </w:p>
        </w:tc>
        <w:tc>
          <w:tcPr>
            <w:tcW w:w="1205" w:type="dxa"/>
          </w:tcPr>
          <w:p w14:paraId="7E843A84" w14:textId="77777777" w:rsidR="00582D2F" w:rsidRPr="00071A02" w:rsidRDefault="00582D2F" w:rsidP="002F6415">
            <w:pPr>
              <w:pStyle w:val="TableHeading"/>
              <w:jc w:val="right"/>
            </w:pPr>
          </w:p>
        </w:tc>
        <w:tc>
          <w:tcPr>
            <w:tcW w:w="1205" w:type="dxa"/>
          </w:tcPr>
          <w:p w14:paraId="31C5DE81" w14:textId="77777777" w:rsidR="00582D2F" w:rsidRPr="00071A02" w:rsidRDefault="00582D2F" w:rsidP="002F6415">
            <w:pPr>
              <w:pStyle w:val="TableHeading"/>
              <w:jc w:val="right"/>
            </w:pPr>
          </w:p>
        </w:tc>
        <w:tc>
          <w:tcPr>
            <w:tcW w:w="1204" w:type="dxa"/>
          </w:tcPr>
          <w:p w14:paraId="3E025408" w14:textId="77777777" w:rsidR="00582D2F" w:rsidRPr="00071A02" w:rsidRDefault="00582D2F" w:rsidP="002F6415">
            <w:pPr>
              <w:pStyle w:val="TableHeading"/>
              <w:jc w:val="right"/>
            </w:pPr>
          </w:p>
        </w:tc>
        <w:tc>
          <w:tcPr>
            <w:tcW w:w="1205" w:type="dxa"/>
          </w:tcPr>
          <w:p w14:paraId="7A5E9CF5" w14:textId="77777777" w:rsidR="00582D2F" w:rsidRPr="00071A02" w:rsidRDefault="00582D2F" w:rsidP="002F6415">
            <w:pPr>
              <w:pStyle w:val="TableHeading"/>
              <w:jc w:val="right"/>
            </w:pPr>
          </w:p>
        </w:tc>
        <w:tc>
          <w:tcPr>
            <w:tcW w:w="1205" w:type="dxa"/>
          </w:tcPr>
          <w:p w14:paraId="1AB84BFB" w14:textId="77777777" w:rsidR="00582D2F" w:rsidRPr="00071A02" w:rsidRDefault="00582D2F" w:rsidP="002F6415">
            <w:pPr>
              <w:pStyle w:val="TableHeading"/>
              <w:jc w:val="right"/>
            </w:pPr>
          </w:p>
        </w:tc>
        <w:tc>
          <w:tcPr>
            <w:tcW w:w="1204" w:type="dxa"/>
          </w:tcPr>
          <w:p w14:paraId="2B47A218" w14:textId="77777777" w:rsidR="00582D2F" w:rsidRPr="00071A02" w:rsidRDefault="00582D2F" w:rsidP="002F6415">
            <w:pPr>
              <w:pStyle w:val="TableHeading"/>
              <w:jc w:val="right"/>
            </w:pPr>
          </w:p>
        </w:tc>
        <w:tc>
          <w:tcPr>
            <w:tcW w:w="1205" w:type="dxa"/>
          </w:tcPr>
          <w:p w14:paraId="76223840" w14:textId="77777777" w:rsidR="00582D2F" w:rsidRPr="00071A02" w:rsidRDefault="00582D2F" w:rsidP="002F6415">
            <w:pPr>
              <w:pStyle w:val="TableHeading"/>
              <w:jc w:val="right"/>
            </w:pPr>
          </w:p>
        </w:tc>
        <w:tc>
          <w:tcPr>
            <w:tcW w:w="1205" w:type="dxa"/>
          </w:tcPr>
          <w:p w14:paraId="19D4DEAC" w14:textId="77777777" w:rsidR="00582D2F" w:rsidRPr="00071A02" w:rsidRDefault="00582D2F" w:rsidP="002F6415">
            <w:pPr>
              <w:pStyle w:val="TableHeading"/>
              <w:jc w:val="right"/>
            </w:pPr>
          </w:p>
        </w:tc>
        <w:tc>
          <w:tcPr>
            <w:tcW w:w="1135" w:type="dxa"/>
          </w:tcPr>
          <w:p w14:paraId="166F23DC" w14:textId="77777777" w:rsidR="00582D2F" w:rsidRPr="00071A02" w:rsidRDefault="00582D2F" w:rsidP="002F6415">
            <w:pPr>
              <w:pStyle w:val="TableHeading"/>
              <w:jc w:val="right"/>
            </w:pPr>
          </w:p>
        </w:tc>
        <w:tc>
          <w:tcPr>
            <w:tcW w:w="1134" w:type="dxa"/>
          </w:tcPr>
          <w:p w14:paraId="40BF6B50" w14:textId="77777777" w:rsidR="00582D2F" w:rsidRPr="00071A02" w:rsidRDefault="00582D2F" w:rsidP="002F6415">
            <w:pPr>
              <w:pStyle w:val="TableHeading"/>
              <w:jc w:val="right"/>
            </w:pPr>
          </w:p>
        </w:tc>
      </w:tr>
      <w:tr w:rsidR="00582D2F" w14:paraId="79A452CF" w14:textId="77777777" w:rsidTr="00BB0239">
        <w:trPr>
          <w:trHeight w:val="113"/>
        </w:trPr>
        <w:tc>
          <w:tcPr>
            <w:tcW w:w="2972" w:type="dxa"/>
          </w:tcPr>
          <w:p w14:paraId="229355F3" w14:textId="009D1BE8" w:rsidR="00582D2F" w:rsidRDefault="00582D2F" w:rsidP="00071A02">
            <w:pPr>
              <w:pStyle w:val="TableCopy"/>
            </w:pPr>
            <w:r>
              <w:t>Financial assets</w:t>
            </w:r>
          </w:p>
        </w:tc>
        <w:tc>
          <w:tcPr>
            <w:tcW w:w="1205" w:type="dxa"/>
          </w:tcPr>
          <w:p w14:paraId="09551FBA" w14:textId="77777777" w:rsidR="00582D2F" w:rsidRDefault="00582D2F" w:rsidP="002F6415">
            <w:pPr>
              <w:pStyle w:val="TableCopy"/>
              <w:jc w:val="right"/>
            </w:pPr>
            <w:r>
              <w:t>(62,785)</w:t>
            </w:r>
          </w:p>
        </w:tc>
        <w:tc>
          <w:tcPr>
            <w:tcW w:w="1205" w:type="dxa"/>
          </w:tcPr>
          <w:p w14:paraId="21AECAE2" w14:textId="77777777" w:rsidR="00582D2F" w:rsidRDefault="00582D2F" w:rsidP="002F6415">
            <w:pPr>
              <w:pStyle w:val="TableCopy"/>
              <w:jc w:val="right"/>
            </w:pPr>
            <w:r>
              <w:t>(106,937)</w:t>
            </w:r>
          </w:p>
        </w:tc>
        <w:tc>
          <w:tcPr>
            <w:tcW w:w="1204" w:type="dxa"/>
          </w:tcPr>
          <w:p w14:paraId="264A1BA0" w14:textId="348468BA" w:rsidR="00582D2F" w:rsidRDefault="00582D2F" w:rsidP="002F6415">
            <w:pPr>
              <w:pStyle w:val="TableCopy"/>
              <w:jc w:val="right"/>
            </w:pPr>
            <w:r>
              <w:t>131,391</w:t>
            </w:r>
          </w:p>
        </w:tc>
        <w:tc>
          <w:tcPr>
            <w:tcW w:w="1205" w:type="dxa"/>
          </w:tcPr>
          <w:p w14:paraId="04128885" w14:textId="56B27BF0" w:rsidR="00582D2F" w:rsidRDefault="00582D2F" w:rsidP="002F6415">
            <w:pPr>
              <w:pStyle w:val="TableCopy"/>
              <w:jc w:val="right"/>
            </w:pPr>
            <w:r>
              <w:t>159,769</w:t>
            </w:r>
          </w:p>
        </w:tc>
        <w:tc>
          <w:tcPr>
            <w:tcW w:w="1205" w:type="dxa"/>
          </w:tcPr>
          <w:p w14:paraId="560BFD0E" w14:textId="77777777" w:rsidR="00582D2F" w:rsidRDefault="00582D2F" w:rsidP="002F6415">
            <w:pPr>
              <w:pStyle w:val="TableCopy"/>
              <w:jc w:val="right"/>
            </w:pPr>
            <w:r>
              <w:t>(4,620)</w:t>
            </w:r>
          </w:p>
        </w:tc>
        <w:tc>
          <w:tcPr>
            <w:tcW w:w="1204" w:type="dxa"/>
          </w:tcPr>
          <w:p w14:paraId="24F7D868" w14:textId="18499443" w:rsidR="00582D2F" w:rsidRDefault="00582D2F" w:rsidP="002F6415">
            <w:pPr>
              <w:pStyle w:val="TableCopy"/>
              <w:jc w:val="right"/>
            </w:pPr>
            <w:r>
              <w:t>6,373</w:t>
            </w:r>
          </w:p>
        </w:tc>
        <w:tc>
          <w:tcPr>
            <w:tcW w:w="1205" w:type="dxa"/>
          </w:tcPr>
          <w:p w14:paraId="5335CAD9" w14:textId="59C97B4C" w:rsidR="00582D2F" w:rsidRDefault="00582D2F" w:rsidP="002F6415">
            <w:pPr>
              <w:pStyle w:val="TableCopy"/>
              <w:jc w:val="right"/>
            </w:pPr>
            <w:r>
              <w:t>492,381</w:t>
            </w:r>
          </w:p>
        </w:tc>
        <w:tc>
          <w:tcPr>
            <w:tcW w:w="1205" w:type="dxa"/>
          </w:tcPr>
          <w:p w14:paraId="51B3C218" w14:textId="218BEBDA" w:rsidR="00582D2F" w:rsidRDefault="00582D2F" w:rsidP="002F6415">
            <w:pPr>
              <w:pStyle w:val="TableCopy"/>
              <w:jc w:val="right"/>
            </w:pPr>
            <w:r>
              <w:t>481,583</w:t>
            </w:r>
          </w:p>
        </w:tc>
        <w:tc>
          <w:tcPr>
            <w:tcW w:w="1135" w:type="dxa"/>
          </w:tcPr>
          <w:p w14:paraId="7829F5B2" w14:textId="0FE3CA7D" w:rsidR="00582D2F" w:rsidRDefault="00582D2F" w:rsidP="002F6415">
            <w:pPr>
              <w:pStyle w:val="TableCopy"/>
              <w:jc w:val="right"/>
            </w:pPr>
            <w:r>
              <w:t>16,024</w:t>
            </w:r>
          </w:p>
        </w:tc>
        <w:tc>
          <w:tcPr>
            <w:tcW w:w="1134" w:type="dxa"/>
          </w:tcPr>
          <w:p w14:paraId="7CC3ABD7" w14:textId="30DBCB0B" w:rsidR="00582D2F" w:rsidRDefault="00582D2F" w:rsidP="002F6415">
            <w:pPr>
              <w:pStyle w:val="TableCopy"/>
              <w:jc w:val="right"/>
            </w:pPr>
            <w:r>
              <w:t>93,402</w:t>
            </w:r>
          </w:p>
        </w:tc>
      </w:tr>
      <w:tr w:rsidR="00582D2F" w14:paraId="3E33E050" w14:textId="77777777" w:rsidTr="00BB0239">
        <w:trPr>
          <w:trHeight w:val="113"/>
        </w:trPr>
        <w:tc>
          <w:tcPr>
            <w:tcW w:w="2972" w:type="dxa"/>
          </w:tcPr>
          <w:p w14:paraId="3009CB35" w14:textId="579DC057" w:rsidR="00582D2F" w:rsidRDefault="00582D2F" w:rsidP="00071A02">
            <w:pPr>
              <w:pStyle w:val="TableCopy"/>
            </w:pPr>
            <w:r>
              <w:t>Non-financial assets</w:t>
            </w:r>
          </w:p>
        </w:tc>
        <w:tc>
          <w:tcPr>
            <w:tcW w:w="1205" w:type="dxa"/>
          </w:tcPr>
          <w:p w14:paraId="02C57B69" w14:textId="7B093039" w:rsidR="00582D2F" w:rsidRDefault="00582D2F" w:rsidP="002F6415">
            <w:pPr>
              <w:pStyle w:val="TableCopy"/>
              <w:jc w:val="right"/>
            </w:pPr>
            <w:r>
              <w:t>374,919</w:t>
            </w:r>
          </w:p>
        </w:tc>
        <w:tc>
          <w:tcPr>
            <w:tcW w:w="1205" w:type="dxa"/>
          </w:tcPr>
          <w:p w14:paraId="6D1C25BC" w14:textId="2A8BE2A2" w:rsidR="00582D2F" w:rsidRDefault="00582D2F" w:rsidP="002F6415">
            <w:pPr>
              <w:pStyle w:val="TableCopy"/>
              <w:jc w:val="right"/>
            </w:pPr>
            <w:r>
              <w:t>376,942</w:t>
            </w:r>
          </w:p>
        </w:tc>
        <w:tc>
          <w:tcPr>
            <w:tcW w:w="1204" w:type="dxa"/>
          </w:tcPr>
          <w:p w14:paraId="5D774857" w14:textId="5382384B" w:rsidR="00582D2F" w:rsidRDefault="00582D2F" w:rsidP="002F6415">
            <w:pPr>
              <w:pStyle w:val="TableCopy"/>
              <w:jc w:val="right"/>
            </w:pPr>
            <w:r>
              <w:t>26,455</w:t>
            </w:r>
          </w:p>
        </w:tc>
        <w:tc>
          <w:tcPr>
            <w:tcW w:w="1205" w:type="dxa"/>
          </w:tcPr>
          <w:p w14:paraId="441F0FDE" w14:textId="45B66E1C" w:rsidR="00582D2F" w:rsidRDefault="00582D2F" w:rsidP="002F6415">
            <w:pPr>
              <w:pStyle w:val="TableCopy"/>
              <w:jc w:val="right"/>
            </w:pPr>
            <w:r>
              <w:t>25,407</w:t>
            </w:r>
          </w:p>
        </w:tc>
        <w:tc>
          <w:tcPr>
            <w:tcW w:w="1205" w:type="dxa"/>
          </w:tcPr>
          <w:p w14:paraId="76B07E74" w14:textId="02AB1259" w:rsidR="00582D2F" w:rsidRDefault="00582D2F" w:rsidP="002F6415">
            <w:pPr>
              <w:pStyle w:val="TableCopy"/>
              <w:jc w:val="right"/>
            </w:pPr>
            <w:r>
              <w:t>54,692</w:t>
            </w:r>
          </w:p>
        </w:tc>
        <w:tc>
          <w:tcPr>
            <w:tcW w:w="1204" w:type="dxa"/>
          </w:tcPr>
          <w:p w14:paraId="6BF01AEE" w14:textId="77EBA291" w:rsidR="00582D2F" w:rsidRDefault="00582D2F" w:rsidP="002F6415">
            <w:pPr>
              <w:pStyle w:val="TableCopy"/>
              <w:jc w:val="right"/>
            </w:pPr>
            <w:r>
              <w:t>65,477</w:t>
            </w:r>
          </w:p>
        </w:tc>
        <w:tc>
          <w:tcPr>
            <w:tcW w:w="1205" w:type="dxa"/>
          </w:tcPr>
          <w:p w14:paraId="754600C9" w14:textId="25C88466" w:rsidR="00582D2F" w:rsidRDefault="00582D2F" w:rsidP="002F6415">
            <w:pPr>
              <w:pStyle w:val="TableCopy"/>
              <w:jc w:val="right"/>
            </w:pPr>
            <w:r>
              <w:t>13,135</w:t>
            </w:r>
          </w:p>
        </w:tc>
        <w:tc>
          <w:tcPr>
            <w:tcW w:w="1205" w:type="dxa"/>
          </w:tcPr>
          <w:p w14:paraId="1999279E" w14:textId="188C00DE" w:rsidR="00582D2F" w:rsidRDefault="00582D2F" w:rsidP="002F6415">
            <w:pPr>
              <w:pStyle w:val="TableCopy"/>
              <w:jc w:val="right"/>
            </w:pPr>
            <w:r>
              <w:t>16,482</w:t>
            </w:r>
          </w:p>
        </w:tc>
        <w:tc>
          <w:tcPr>
            <w:tcW w:w="1135" w:type="dxa"/>
          </w:tcPr>
          <w:p w14:paraId="239190F9" w14:textId="4E0A06E2" w:rsidR="00582D2F" w:rsidRDefault="00582D2F" w:rsidP="002F6415">
            <w:pPr>
              <w:pStyle w:val="TableCopy"/>
              <w:jc w:val="right"/>
            </w:pPr>
            <w:r>
              <w:t>10,648</w:t>
            </w:r>
          </w:p>
        </w:tc>
        <w:tc>
          <w:tcPr>
            <w:tcW w:w="1134" w:type="dxa"/>
          </w:tcPr>
          <w:p w14:paraId="22735941" w14:textId="71B6FBD1" w:rsidR="00582D2F" w:rsidRDefault="00582D2F" w:rsidP="002F6415">
            <w:pPr>
              <w:pStyle w:val="TableCopy"/>
              <w:jc w:val="right"/>
            </w:pPr>
            <w:r>
              <w:t>5,630</w:t>
            </w:r>
          </w:p>
        </w:tc>
      </w:tr>
      <w:tr w:rsidR="00582D2F" w:rsidRPr="00071A02" w14:paraId="1FE6A2D9" w14:textId="77777777" w:rsidTr="00BB0239">
        <w:trPr>
          <w:trHeight w:val="113"/>
        </w:trPr>
        <w:tc>
          <w:tcPr>
            <w:tcW w:w="2972" w:type="dxa"/>
          </w:tcPr>
          <w:p w14:paraId="673144C3" w14:textId="2491943C" w:rsidR="00582D2F" w:rsidRPr="00071A02" w:rsidRDefault="00582D2F" w:rsidP="00071A02">
            <w:pPr>
              <w:pStyle w:val="TableCopy"/>
              <w:rPr>
                <w:b/>
                <w:bCs/>
              </w:rPr>
            </w:pPr>
            <w:r w:rsidRPr="00071A02">
              <w:rPr>
                <w:b/>
                <w:bCs/>
              </w:rPr>
              <w:t>Total assets</w:t>
            </w:r>
          </w:p>
        </w:tc>
        <w:tc>
          <w:tcPr>
            <w:tcW w:w="1205" w:type="dxa"/>
          </w:tcPr>
          <w:p w14:paraId="6827D5AA" w14:textId="13E77A76" w:rsidR="00582D2F" w:rsidRPr="00071A02" w:rsidRDefault="00582D2F" w:rsidP="002F6415">
            <w:pPr>
              <w:pStyle w:val="TableCopy"/>
              <w:jc w:val="right"/>
              <w:rPr>
                <w:b/>
                <w:bCs/>
              </w:rPr>
            </w:pPr>
            <w:r w:rsidRPr="00071A02">
              <w:rPr>
                <w:b/>
                <w:bCs/>
              </w:rPr>
              <w:t>312,134</w:t>
            </w:r>
          </w:p>
        </w:tc>
        <w:tc>
          <w:tcPr>
            <w:tcW w:w="1205" w:type="dxa"/>
          </w:tcPr>
          <w:p w14:paraId="5B3CB904" w14:textId="3251CC52" w:rsidR="00582D2F" w:rsidRPr="00071A02" w:rsidRDefault="00582D2F" w:rsidP="002F6415">
            <w:pPr>
              <w:pStyle w:val="TableCopy"/>
              <w:jc w:val="right"/>
              <w:rPr>
                <w:b/>
                <w:bCs/>
              </w:rPr>
            </w:pPr>
            <w:r w:rsidRPr="00071A02">
              <w:rPr>
                <w:b/>
                <w:bCs/>
              </w:rPr>
              <w:t>270,005</w:t>
            </w:r>
          </w:p>
        </w:tc>
        <w:tc>
          <w:tcPr>
            <w:tcW w:w="1204" w:type="dxa"/>
          </w:tcPr>
          <w:p w14:paraId="5425C68D" w14:textId="07183C43" w:rsidR="00582D2F" w:rsidRPr="00071A02" w:rsidRDefault="00582D2F" w:rsidP="002F6415">
            <w:pPr>
              <w:pStyle w:val="TableCopy"/>
              <w:jc w:val="right"/>
              <w:rPr>
                <w:b/>
                <w:bCs/>
              </w:rPr>
            </w:pPr>
            <w:r w:rsidRPr="00071A02">
              <w:rPr>
                <w:b/>
                <w:bCs/>
              </w:rPr>
              <w:t>157,846</w:t>
            </w:r>
          </w:p>
        </w:tc>
        <w:tc>
          <w:tcPr>
            <w:tcW w:w="1205" w:type="dxa"/>
          </w:tcPr>
          <w:p w14:paraId="483EF174" w14:textId="47CC7AFB" w:rsidR="00582D2F" w:rsidRPr="00071A02" w:rsidRDefault="00582D2F" w:rsidP="002F6415">
            <w:pPr>
              <w:pStyle w:val="TableCopy"/>
              <w:jc w:val="right"/>
              <w:rPr>
                <w:b/>
                <w:bCs/>
              </w:rPr>
            </w:pPr>
            <w:r w:rsidRPr="00071A02">
              <w:rPr>
                <w:b/>
                <w:bCs/>
              </w:rPr>
              <w:t>185,176</w:t>
            </w:r>
          </w:p>
        </w:tc>
        <w:tc>
          <w:tcPr>
            <w:tcW w:w="1205" w:type="dxa"/>
          </w:tcPr>
          <w:p w14:paraId="31C1CE00" w14:textId="0A96C235" w:rsidR="00582D2F" w:rsidRPr="00071A02" w:rsidRDefault="00582D2F" w:rsidP="002F6415">
            <w:pPr>
              <w:pStyle w:val="TableCopy"/>
              <w:jc w:val="right"/>
              <w:rPr>
                <w:b/>
                <w:bCs/>
              </w:rPr>
            </w:pPr>
            <w:r w:rsidRPr="00071A02">
              <w:rPr>
                <w:b/>
                <w:bCs/>
              </w:rPr>
              <w:t>50,072</w:t>
            </w:r>
          </w:p>
        </w:tc>
        <w:tc>
          <w:tcPr>
            <w:tcW w:w="1204" w:type="dxa"/>
          </w:tcPr>
          <w:p w14:paraId="7308AE30" w14:textId="54A5289F" w:rsidR="00582D2F" w:rsidRPr="00071A02" w:rsidRDefault="00582D2F" w:rsidP="002F6415">
            <w:pPr>
              <w:pStyle w:val="TableCopy"/>
              <w:jc w:val="right"/>
              <w:rPr>
                <w:b/>
                <w:bCs/>
              </w:rPr>
            </w:pPr>
            <w:r w:rsidRPr="00071A02">
              <w:rPr>
                <w:b/>
                <w:bCs/>
              </w:rPr>
              <w:t>71,850</w:t>
            </w:r>
          </w:p>
        </w:tc>
        <w:tc>
          <w:tcPr>
            <w:tcW w:w="1205" w:type="dxa"/>
          </w:tcPr>
          <w:p w14:paraId="2F0F5FA0" w14:textId="5F142C88" w:rsidR="00582D2F" w:rsidRPr="00071A02" w:rsidRDefault="00582D2F" w:rsidP="002F6415">
            <w:pPr>
              <w:pStyle w:val="TableCopy"/>
              <w:jc w:val="right"/>
              <w:rPr>
                <w:b/>
                <w:bCs/>
              </w:rPr>
            </w:pPr>
            <w:r w:rsidRPr="00071A02">
              <w:rPr>
                <w:b/>
                <w:bCs/>
              </w:rPr>
              <w:t>505,516</w:t>
            </w:r>
          </w:p>
        </w:tc>
        <w:tc>
          <w:tcPr>
            <w:tcW w:w="1205" w:type="dxa"/>
          </w:tcPr>
          <w:p w14:paraId="7BD43E16" w14:textId="23FD5645" w:rsidR="00582D2F" w:rsidRPr="00071A02" w:rsidRDefault="00582D2F" w:rsidP="002F6415">
            <w:pPr>
              <w:pStyle w:val="TableCopy"/>
              <w:jc w:val="right"/>
              <w:rPr>
                <w:b/>
                <w:bCs/>
              </w:rPr>
            </w:pPr>
            <w:r w:rsidRPr="00071A02">
              <w:rPr>
                <w:b/>
                <w:bCs/>
              </w:rPr>
              <w:t>498,065</w:t>
            </w:r>
          </w:p>
        </w:tc>
        <w:tc>
          <w:tcPr>
            <w:tcW w:w="1135" w:type="dxa"/>
          </w:tcPr>
          <w:p w14:paraId="185EBE57" w14:textId="48E34804" w:rsidR="00582D2F" w:rsidRPr="00071A02" w:rsidRDefault="00582D2F" w:rsidP="002F6415">
            <w:pPr>
              <w:pStyle w:val="TableCopy"/>
              <w:jc w:val="right"/>
              <w:rPr>
                <w:b/>
                <w:bCs/>
              </w:rPr>
            </w:pPr>
            <w:r w:rsidRPr="00071A02">
              <w:rPr>
                <w:b/>
                <w:bCs/>
              </w:rPr>
              <w:t>26,672</w:t>
            </w:r>
          </w:p>
        </w:tc>
        <w:tc>
          <w:tcPr>
            <w:tcW w:w="1134" w:type="dxa"/>
          </w:tcPr>
          <w:p w14:paraId="05B8DC43" w14:textId="524EAF13" w:rsidR="00582D2F" w:rsidRPr="00071A02" w:rsidRDefault="00582D2F" w:rsidP="002F6415">
            <w:pPr>
              <w:pStyle w:val="TableCopy"/>
              <w:jc w:val="right"/>
              <w:rPr>
                <w:b/>
                <w:bCs/>
              </w:rPr>
            </w:pPr>
            <w:r w:rsidRPr="00071A02">
              <w:rPr>
                <w:b/>
                <w:bCs/>
              </w:rPr>
              <w:t>99,032</w:t>
            </w:r>
          </w:p>
        </w:tc>
      </w:tr>
      <w:tr w:rsidR="00582D2F" w:rsidRPr="00071A02" w14:paraId="50C62419" w14:textId="77777777" w:rsidTr="00BB0239">
        <w:trPr>
          <w:trHeight w:val="113"/>
        </w:trPr>
        <w:tc>
          <w:tcPr>
            <w:tcW w:w="2972" w:type="dxa"/>
          </w:tcPr>
          <w:p w14:paraId="704A0EF1" w14:textId="31D83EE4" w:rsidR="00582D2F" w:rsidRPr="00071A02" w:rsidRDefault="00582D2F" w:rsidP="00071A02">
            <w:pPr>
              <w:pStyle w:val="TableCopy"/>
              <w:rPr>
                <w:b/>
                <w:bCs/>
              </w:rPr>
            </w:pPr>
            <w:r w:rsidRPr="00071A02">
              <w:rPr>
                <w:b/>
                <w:bCs/>
              </w:rPr>
              <w:t>Total liabilities</w:t>
            </w:r>
          </w:p>
        </w:tc>
        <w:tc>
          <w:tcPr>
            <w:tcW w:w="1205" w:type="dxa"/>
          </w:tcPr>
          <w:p w14:paraId="642C3387" w14:textId="2F9F3BC7" w:rsidR="00582D2F" w:rsidRPr="00071A02" w:rsidRDefault="00582D2F" w:rsidP="002F6415">
            <w:pPr>
              <w:pStyle w:val="TableCopy"/>
              <w:jc w:val="right"/>
              <w:rPr>
                <w:b/>
                <w:bCs/>
              </w:rPr>
            </w:pPr>
            <w:r w:rsidRPr="00071A02">
              <w:rPr>
                <w:b/>
                <w:bCs/>
              </w:rPr>
              <w:t>16,383</w:t>
            </w:r>
          </w:p>
        </w:tc>
        <w:tc>
          <w:tcPr>
            <w:tcW w:w="1205" w:type="dxa"/>
          </w:tcPr>
          <w:p w14:paraId="0EC1A52D" w14:textId="0AC50CE6" w:rsidR="00582D2F" w:rsidRPr="00071A02" w:rsidRDefault="00582D2F" w:rsidP="002F6415">
            <w:pPr>
              <w:pStyle w:val="TableCopy"/>
              <w:jc w:val="right"/>
              <w:rPr>
                <w:b/>
                <w:bCs/>
              </w:rPr>
            </w:pPr>
            <w:r w:rsidRPr="00071A02">
              <w:rPr>
                <w:b/>
                <w:bCs/>
              </w:rPr>
              <w:t>19,053</w:t>
            </w:r>
          </w:p>
        </w:tc>
        <w:tc>
          <w:tcPr>
            <w:tcW w:w="1204" w:type="dxa"/>
          </w:tcPr>
          <w:p w14:paraId="0DFAB029" w14:textId="448C9198" w:rsidR="00582D2F" w:rsidRPr="00071A02" w:rsidRDefault="00582D2F" w:rsidP="002F6415">
            <w:pPr>
              <w:pStyle w:val="TableCopy"/>
              <w:jc w:val="right"/>
              <w:rPr>
                <w:b/>
                <w:bCs/>
              </w:rPr>
            </w:pPr>
            <w:r w:rsidRPr="00071A02">
              <w:rPr>
                <w:b/>
                <w:bCs/>
              </w:rPr>
              <w:t>2,149</w:t>
            </w:r>
          </w:p>
        </w:tc>
        <w:tc>
          <w:tcPr>
            <w:tcW w:w="1205" w:type="dxa"/>
          </w:tcPr>
          <w:p w14:paraId="6544D1F6" w14:textId="5FBA5D57" w:rsidR="00582D2F" w:rsidRPr="00071A02" w:rsidRDefault="00582D2F" w:rsidP="002F6415">
            <w:pPr>
              <w:pStyle w:val="TableCopy"/>
              <w:jc w:val="right"/>
              <w:rPr>
                <w:b/>
                <w:bCs/>
              </w:rPr>
            </w:pPr>
            <w:r w:rsidRPr="00071A02">
              <w:rPr>
                <w:b/>
                <w:bCs/>
              </w:rPr>
              <w:t>5,001</w:t>
            </w:r>
          </w:p>
        </w:tc>
        <w:tc>
          <w:tcPr>
            <w:tcW w:w="1205" w:type="dxa"/>
          </w:tcPr>
          <w:p w14:paraId="1C37A5A2" w14:textId="77777777" w:rsidR="00582D2F" w:rsidRPr="00071A02" w:rsidRDefault="00582D2F" w:rsidP="002F6415">
            <w:pPr>
              <w:pStyle w:val="TableCopy"/>
              <w:jc w:val="right"/>
              <w:rPr>
                <w:b/>
                <w:bCs/>
              </w:rPr>
            </w:pPr>
            <w:r w:rsidRPr="00071A02">
              <w:rPr>
                <w:b/>
                <w:bCs/>
              </w:rPr>
              <w:t>(135)</w:t>
            </w:r>
          </w:p>
        </w:tc>
        <w:tc>
          <w:tcPr>
            <w:tcW w:w="1204" w:type="dxa"/>
          </w:tcPr>
          <w:p w14:paraId="1DD9F479" w14:textId="0B9BCCBE" w:rsidR="00582D2F" w:rsidRPr="00071A02" w:rsidRDefault="00582D2F" w:rsidP="002F6415">
            <w:pPr>
              <w:pStyle w:val="TableCopy"/>
              <w:jc w:val="right"/>
              <w:rPr>
                <w:b/>
                <w:bCs/>
              </w:rPr>
            </w:pPr>
            <w:r w:rsidRPr="00071A02">
              <w:rPr>
                <w:b/>
                <w:bCs/>
              </w:rPr>
              <w:t>7,565</w:t>
            </w:r>
          </w:p>
        </w:tc>
        <w:tc>
          <w:tcPr>
            <w:tcW w:w="1205" w:type="dxa"/>
          </w:tcPr>
          <w:p w14:paraId="4D847769" w14:textId="730A4B58" w:rsidR="00582D2F" w:rsidRPr="00071A02" w:rsidRDefault="00582D2F" w:rsidP="002F6415">
            <w:pPr>
              <w:pStyle w:val="TableCopy"/>
              <w:jc w:val="right"/>
              <w:rPr>
                <w:b/>
                <w:bCs/>
              </w:rPr>
            </w:pPr>
            <w:r w:rsidRPr="00071A02">
              <w:rPr>
                <w:b/>
                <w:bCs/>
              </w:rPr>
              <w:t>50,377</w:t>
            </w:r>
          </w:p>
        </w:tc>
        <w:tc>
          <w:tcPr>
            <w:tcW w:w="1205" w:type="dxa"/>
          </w:tcPr>
          <w:p w14:paraId="6DE5CC7C" w14:textId="6CF96341" w:rsidR="00582D2F" w:rsidRPr="00071A02" w:rsidRDefault="00582D2F" w:rsidP="002F6415">
            <w:pPr>
              <w:pStyle w:val="TableCopy"/>
              <w:jc w:val="right"/>
              <w:rPr>
                <w:b/>
                <w:bCs/>
              </w:rPr>
            </w:pPr>
            <w:r w:rsidRPr="00071A02">
              <w:rPr>
                <w:b/>
                <w:bCs/>
              </w:rPr>
              <w:t>50,798</w:t>
            </w:r>
          </w:p>
        </w:tc>
        <w:tc>
          <w:tcPr>
            <w:tcW w:w="1135" w:type="dxa"/>
          </w:tcPr>
          <w:p w14:paraId="23E2ACFB" w14:textId="3661B138" w:rsidR="00582D2F" w:rsidRPr="00071A02" w:rsidRDefault="00582D2F" w:rsidP="002F6415">
            <w:pPr>
              <w:pStyle w:val="TableCopy"/>
              <w:jc w:val="right"/>
              <w:rPr>
                <w:b/>
                <w:bCs/>
              </w:rPr>
            </w:pPr>
            <w:r w:rsidRPr="00071A02">
              <w:rPr>
                <w:b/>
                <w:bCs/>
              </w:rPr>
              <w:t>89,765</w:t>
            </w:r>
          </w:p>
        </w:tc>
        <w:tc>
          <w:tcPr>
            <w:tcW w:w="1134" w:type="dxa"/>
          </w:tcPr>
          <w:p w14:paraId="4A12DD71" w14:textId="5CD88DE1" w:rsidR="00582D2F" w:rsidRPr="00071A02" w:rsidRDefault="00582D2F" w:rsidP="002F6415">
            <w:pPr>
              <w:pStyle w:val="TableCopy"/>
              <w:jc w:val="right"/>
              <w:rPr>
                <w:b/>
                <w:bCs/>
              </w:rPr>
            </w:pPr>
            <w:r w:rsidRPr="00071A02">
              <w:rPr>
                <w:b/>
                <w:bCs/>
              </w:rPr>
              <w:t>184,569</w:t>
            </w:r>
          </w:p>
        </w:tc>
      </w:tr>
      <w:tr w:rsidR="00582D2F" w:rsidRPr="00071A02" w14:paraId="30D4CB1F" w14:textId="77777777" w:rsidTr="00BB0239">
        <w:trPr>
          <w:trHeight w:val="113"/>
        </w:trPr>
        <w:tc>
          <w:tcPr>
            <w:tcW w:w="2972" w:type="dxa"/>
          </w:tcPr>
          <w:p w14:paraId="0D4029BC" w14:textId="2822C214" w:rsidR="00582D2F" w:rsidRPr="00071A02" w:rsidRDefault="00582D2F" w:rsidP="00071A02">
            <w:pPr>
              <w:pStyle w:val="TableCopy"/>
              <w:rPr>
                <w:b/>
                <w:bCs/>
              </w:rPr>
            </w:pPr>
            <w:r w:rsidRPr="00071A02">
              <w:rPr>
                <w:b/>
                <w:bCs/>
              </w:rPr>
              <w:t>Net assets/(liabilities)</w:t>
            </w:r>
          </w:p>
        </w:tc>
        <w:tc>
          <w:tcPr>
            <w:tcW w:w="1205" w:type="dxa"/>
          </w:tcPr>
          <w:p w14:paraId="718DD0D5" w14:textId="7AC7D716" w:rsidR="00582D2F" w:rsidRPr="00071A02" w:rsidRDefault="00582D2F" w:rsidP="002F6415">
            <w:pPr>
              <w:pStyle w:val="TableCopy"/>
              <w:jc w:val="right"/>
              <w:rPr>
                <w:b/>
                <w:bCs/>
              </w:rPr>
            </w:pPr>
            <w:r w:rsidRPr="00071A02">
              <w:rPr>
                <w:b/>
                <w:bCs/>
              </w:rPr>
              <w:t>295,751</w:t>
            </w:r>
          </w:p>
        </w:tc>
        <w:tc>
          <w:tcPr>
            <w:tcW w:w="1205" w:type="dxa"/>
          </w:tcPr>
          <w:p w14:paraId="68917CC7" w14:textId="5F936BD7" w:rsidR="00582D2F" w:rsidRPr="00071A02" w:rsidRDefault="00582D2F" w:rsidP="002F6415">
            <w:pPr>
              <w:pStyle w:val="TableCopy"/>
              <w:jc w:val="right"/>
              <w:rPr>
                <w:b/>
                <w:bCs/>
              </w:rPr>
            </w:pPr>
            <w:r w:rsidRPr="00071A02">
              <w:rPr>
                <w:b/>
                <w:bCs/>
              </w:rPr>
              <w:t>250,952</w:t>
            </w:r>
          </w:p>
        </w:tc>
        <w:tc>
          <w:tcPr>
            <w:tcW w:w="1204" w:type="dxa"/>
          </w:tcPr>
          <w:p w14:paraId="046B7AA6" w14:textId="359CF2E5" w:rsidR="00582D2F" w:rsidRPr="00071A02" w:rsidRDefault="00582D2F" w:rsidP="002F6415">
            <w:pPr>
              <w:pStyle w:val="TableCopy"/>
              <w:jc w:val="right"/>
              <w:rPr>
                <w:b/>
                <w:bCs/>
              </w:rPr>
            </w:pPr>
            <w:r w:rsidRPr="00071A02">
              <w:rPr>
                <w:b/>
                <w:bCs/>
              </w:rPr>
              <w:t>155,697</w:t>
            </w:r>
          </w:p>
        </w:tc>
        <w:tc>
          <w:tcPr>
            <w:tcW w:w="1205" w:type="dxa"/>
          </w:tcPr>
          <w:p w14:paraId="2A4CEC73" w14:textId="611F0239" w:rsidR="00582D2F" w:rsidRPr="00071A02" w:rsidRDefault="00582D2F" w:rsidP="002F6415">
            <w:pPr>
              <w:pStyle w:val="TableCopy"/>
              <w:jc w:val="right"/>
              <w:rPr>
                <w:b/>
                <w:bCs/>
              </w:rPr>
            </w:pPr>
            <w:r w:rsidRPr="00071A02">
              <w:rPr>
                <w:b/>
                <w:bCs/>
              </w:rPr>
              <w:t>180,175</w:t>
            </w:r>
          </w:p>
        </w:tc>
        <w:tc>
          <w:tcPr>
            <w:tcW w:w="1205" w:type="dxa"/>
          </w:tcPr>
          <w:p w14:paraId="6417CFD1" w14:textId="7DA52609" w:rsidR="00582D2F" w:rsidRPr="00071A02" w:rsidRDefault="00582D2F" w:rsidP="002F6415">
            <w:pPr>
              <w:pStyle w:val="TableCopy"/>
              <w:jc w:val="right"/>
              <w:rPr>
                <w:b/>
                <w:bCs/>
              </w:rPr>
            </w:pPr>
            <w:r w:rsidRPr="00071A02">
              <w:rPr>
                <w:b/>
                <w:bCs/>
              </w:rPr>
              <w:t>50,207</w:t>
            </w:r>
          </w:p>
        </w:tc>
        <w:tc>
          <w:tcPr>
            <w:tcW w:w="1204" w:type="dxa"/>
          </w:tcPr>
          <w:p w14:paraId="008C6F2E" w14:textId="43B12599" w:rsidR="00582D2F" w:rsidRPr="00071A02" w:rsidRDefault="00582D2F" w:rsidP="002F6415">
            <w:pPr>
              <w:pStyle w:val="TableCopy"/>
              <w:jc w:val="right"/>
              <w:rPr>
                <w:b/>
                <w:bCs/>
              </w:rPr>
            </w:pPr>
            <w:r w:rsidRPr="00071A02">
              <w:rPr>
                <w:b/>
                <w:bCs/>
              </w:rPr>
              <w:t>64,285</w:t>
            </w:r>
          </w:p>
        </w:tc>
        <w:tc>
          <w:tcPr>
            <w:tcW w:w="1205" w:type="dxa"/>
          </w:tcPr>
          <w:p w14:paraId="2691DA8E" w14:textId="7DFC4202" w:rsidR="00582D2F" w:rsidRPr="00071A02" w:rsidRDefault="00582D2F" w:rsidP="002F6415">
            <w:pPr>
              <w:pStyle w:val="TableCopy"/>
              <w:jc w:val="right"/>
              <w:rPr>
                <w:b/>
                <w:bCs/>
              </w:rPr>
            </w:pPr>
            <w:r w:rsidRPr="00071A02">
              <w:rPr>
                <w:b/>
                <w:bCs/>
              </w:rPr>
              <w:t>455,140</w:t>
            </w:r>
          </w:p>
        </w:tc>
        <w:tc>
          <w:tcPr>
            <w:tcW w:w="1205" w:type="dxa"/>
          </w:tcPr>
          <w:p w14:paraId="447A3ED2" w14:textId="517D485A" w:rsidR="00582D2F" w:rsidRPr="00071A02" w:rsidRDefault="00582D2F" w:rsidP="002F6415">
            <w:pPr>
              <w:pStyle w:val="TableCopy"/>
              <w:jc w:val="right"/>
              <w:rPr>
                <w:b/>
                <w:bCs/>
              </w:rPr>
            </w:pPr>
            <w:r w:rsidRPr="00071A02">
              <w:rPr>
                <w:b/>
                <w:bCs/>
              </w:rPr>
              <w:t>447,267</w:t>
            </w:r>
          </w:p>
        </w:tc>
        <w:tc>
          <w:tcPr>
            <w:tcW w:w="1135" w:type="dxa"/>
          </w:tcPr>
          <w:p w14:paraId="20C8DD56" w14:textId="77777777" w:rsidR="00582D2F" w:rsidRPr="00071A02" w:rsidRDefault="00582D2F" w:rsidP="002F6415">
            <w:pPr>
              <w:pStyle w:val="TableCopy"/>
              <w:jc w:val="right"/>
              <w:rPr>
                <w:b/>
                <w:bCs/>
              </w:rPr>
            </w:pPr>
            <w:r w:rsidRPr="00071A02">
              <w:rPr>
                <w:b/>
                <w:bCs/>
              </w:rPr>
              <w:t>(63,093)</w:t>
            </w:r>
          </w:p>
        </w:tc>
        <w:tc>
          <w:tcPr>
            <w:tcW w:w="1134" w:type="dxa"/>
          </w:tcPr>
          <w:p w14:paraId="54E002B5" w14:textId="77777777" w:rsidR="00582D2F" w:rsidRPr="00071A02" w:rsidRDefault="00582D2F" w:rsidP="002F6415">
            <w:pPr>
              <w:pStyle w:val="TableCopy"/>
              <w:jc w:val="right"/>
              <w:rPr>
                <w:b/>
                <w:bCs/>
              </w:rPr>
            </w:pPr>
            <w:r w:rsidRPr="00071A02">
              <w:rPr>
                <w:b/>
                <w:bCs/>
              </w:rPr>
              <w:t>(85,537)</w:t>
            </w:r>
          </w:p>
        </w:tc>
      </w:tr>
    </w:tbl>
    <w:p w14:paraId="6E813748" w14:textId="77777777" w:rsidR="000756EB" w:rsidRDefault="000756EB" w:rsidP="002F6415"/>
    <w:p w14:paraId="2885DD50" w14:textId="5F97D5F1" w:rsidR="000756EB" w:rsidRDefault="004A4D88" w:rsidP="00BB0239">
      <w:pPr>
        <w:pStyle w:val="Heading3"/>
      </w:pPr>
      <w:r>
        <w:lastRenderedPageBreak/>
        <w:t>4.1.3</w:t>
      </w:r>
      <w:r w:rsidR="00DE38B5">
        <w:t xml:space="preserve"> </w:t>
      </w:r>
      <w:r>
        <w:t>Departmental</w:t>
      </w:r>
      <w:r w:rsidR="00A03629">
        <w:t xml:space="preserve"> </w:t>
      </w:r>
      <w:r>
        <w:t>outputs:</w:t>
      </w:r>
      <w:r w:rsidR="00A03629">
        <w:t xml:space="preserve"> </w:t>
      </w:r>
      <w:r>
        <w:t>Controlled</w:t>
      </w:r>
      <w:r w:rsidR="00A03629">
        <w:t xml:space="preserve"> </w:t>
      </w:r>
      <w:r>
        <w:t>assets</w:t>
      </w:r>
      <w:r w:rsidR="00A03629">
        <w:t xml:space="preserve"> </w:t>
      </w:r>
      <w:r>
        <w:t>and</w:t>
      </w:r>
      <w:r w:rsidR="00A03629">
        <w:t xml:space="preserve"> </w:t>
      </w:r>
      <w:r>
        <w:t>liabilities</w:t>
      </w:r>
      <w:r w:rsidR="00A03629">
        <w:t xml:space="preserve"> </w:t>
      </w:r>
      <w:proofErr w:type="gramStart"/>
      <w:r>
        <w:t>at</w:t>
      </w:r>
      <w:proofErr w:type="gramEnd"/>
      <w:r w:rsidR="00A03629">
        <w:t xml:space="preserve"> </w:t>
      </w:r>
      <w:r>
        <w:t>30</w:t>
      </w:r>
      <w:r w:rsidR="00A03629">
        <w:t xml:space="preserve"> </w:t>
      </w:r>
      <w:r>
        <w:t>June</w:t>
      </w:r>
      <w:r w:rsidR="00A03629">
        <w:t xml:space="preserve"> </w:t>
      </w:r>
      <w:r>
        <w:t>2023</w:t>
      </w:r>
      <w:r w:rsidR="002F6415">
        <w:t xml:space="preserve"> </w:t>
      </w:r>
      <w:r>
        <w:t>Department</w:t>
      </w:r>
      <w:r w:rsidR="00A03629">
        <w:t xml:space="preserve"> </w:t>
      </w:r>
      <w:r>
        <w:t>of</w:t>
      </w:r>
      <w:r w:rsidR="00A03629">
        <w:t xml:space="preserve"> </w:t>
      </w:r>
      <w:r>
        <w:t>Jobs,</w:t>
      </w:r>
      <w:r w:rsidR="00A03629">
        <w:t xml:space="preserve"> </w:t>
      </w:r>
      <w:r>
        <w:t>Skills,</w:t>
      </w:r>
      <w:r w:rsidR="00A03629">
        <w:t xml:space="preserve"> </w:t>
      </w:r>
      <w:r>
        <w:t>Industry</w:t>
      </w:r>
      <w:r w:rsidR="00A03629">
        <w:t xml:space="preserve"> </w:t>
      </w:r>
      <w:r>
        <w:t>and</w:t>
      </w:r>
      <w:r w:rsidR="00A03629">
        <w:t xml:space="preserve"> </w:t>
      </w:r>
      <w:r>
        <w:t>Regions</w:t>
      </w:r>
      <w:r w:rsidR="00A03629">
        <w:t xml:space="preserve"> </w:t>
      </w:r>
      <w:r>
        <w:t>Outputs</w:t>
      </w:r>
      <w:r w:rsidR="00A03629">
        <w:t xml:space="preserve"> </w:t>
      </w:r>
      <w:r>
        <w:t>(continued)</w:t>
      </w:r>
    </w:p>
    <w:tbl>
      <w:tblPr>
        <w:tblStyle w:val="TableGrid"/>
        <w:tblW w:w="14988" w:type="dxa"/>
        <w:tblLayout w:type="fixed"/>
        <w:tblLook w:val="0020" w:firstRow="1" w:lastRow="0" w:firstColumn="0" w:lastColumn="0" w:noHBand="0" w:noVBand="0"/>
      </w:tblPr>
      <w:tblGrid>
        <w:gridCol w:w="2941"/>
        <w:gridCol w:w="1204"/>
        <w:gridCol w:w="1205"/>
        <w:gridCol w:w="1205"/>
        <w:gridCol w:w="1204"/>
        <w:gridCol w:w="1205"/>
        <w:gridCol w:w="1205"/>
        <w:gridCol w:w="1204"/>
        <w:gridCol w:w="1205"/>
        <w:gridCol w:w="1205"/>
        <w:gridCol w:w="1205"/>
      </w:tblGrid>
      <w:tr w:rsidR="002F6415" w:rsidRPr="00E23024" w14:paraId="776257C8" w14:textId="77777777" w:rsidTr="00E23024">
        <w:trPr>
          <w:trHeight w:val="113"/>
        </w:trPr>
        <w:tc>
          <w:tcPr>
            <w:tcW w:w="2941" w:type="dxa"/>
          </w:tcPr>
          <w:p w14:paraId="6ECEA269" w14:textId="77777777" w:rsidR="002F6415" w:rsidRPr="00E23024" w:rsidRDefault="002F6415" w:rsidP="00E23024">
            <w:pPr>
              <w:pStyle w:val="TableColumnHeading"/>
              <w:rPr>
                <w:sz w:val="20"/>
                <w:szCs w:val="28"/>
              </w:rPr>
            </w:pPr>
            <w:bookmarkStart w:id="43" w:name="ColumnTitles_20"/>
            <w:bookmarkEnd w:id="43"/>
          </w:p>
        </w:tc>
        <w:tc>
          <w:tcPr>
            <w:tcW w:w="1204" w:type="dxa"/>
          </w:tcPr>
          <w:p w14:paraId="08398DA9" w14:textId="6742ECFE" w:rsidR="002F6415" w:rsidRPr="00E23024" w:rsidRDefault="00E23024" w:rsidP="00E23024">
            <w:pPr>
              <w:pStyle w:val="TableColumnHeading"/>
              <w:jc w:val="right"/>
              <w:rPr>
                <w:sz w:val="20"/>
                <w:szCs w:val="28"/>
              </w:rPr>
            </w:pPr>
            <w:r w:rsidRPr="00E23024">
              <w:rPr>
                <w:sz w:val="20"/>
                <w:szCs w:val="28"/>
              </w:rPr>
              <w:t>Suburban Develop</w:t>
            </w:r>
            <w:r>
              <w:rPr>
                <w:sz w:val="20"/>
                <w:szCs w:val="28"/>
              </w:rPr>
              <w:t>-</w:t>
            </w:r>
            <w:proofErr w:type="spellStart"/>
            <w:r w:rsidRPr="00E23024">
              <w:rPr>
                <w:sz w:val="20"/>
                <w:szCs w:val="28"/>
              </w:rPr>
              <w:t>ment</w:t>
            </w:r>
            <w:proofErr w:type="spellEnd"/>
            <w:r w:rsidRPr="00E23024">
              <w:rPr>
                <w:sz w:val="20"/>
                <w:szCs w:val="28"/>
              </w:rPr>
              <w:t xml:space="preserve"> </w:t>
            </w:r>
            <w:r w:rsidR="002F6415" w:rsidRPr="00E23024">
              <w:rPr>
                <w:sz w:val="20"/>
                <w:szCs w:val="28"/>
              </w:rPr>
              <w:t>2023</w:t>
            </w:r>
            <w:r w:rsidRPr="00E23024">
              <w:rPr>
                <w:sz w:val="20"/>
                <w:szCs w:val="28"/>
              </w:rPr>
              <w:t xml:space="preserve"> ($ thousand)</w:t>
            </w:r>
            <w:r w:rsidR="002F6415" w:rsidRPr="00E23024">
              <w:rPr>
                <w:sz w:val="20"/>
                <w:szCs w:val="28"/>
              </w:rPr>
              <w:t xml:space="preserve"> </w:t>
            </w:r>
          </w:p>
        </w:tc>
        <w:tc>
          <w:tcPr>
            <w:tcW w:w="1205" w:type="dxa"/>
          </w:tcPr>
          <w:p w14:paraId="22FC3515" w14:textId="0D8AC3B6" w:rsidR="002F6415" w:rsidRPr="00E23024" w:rsidRDefault="00E23024" w:rsidP="00E23024">
            <w:pPr>
              <w:pStyle w:val="TableColumnHeading"/>
              <w:jc w:val="right"/>
              <w:rPr>
                <w:sz w:val="20"/>
                <w:szCs w:val="28"/>
              </w:rPr>
            </w:pPr>
            <w:r w:rsidRPr="00E23024">
              <w:rPr>
                <w:sz w:val="20"/>
                <w:szCs w:val="28"/>
              </w:rPr>
              <w:t>Suburban Develop</w:t>
            </w:r>
            <w:r>
              <w:rPr>
                <w:sz w:val="20"/>
                <w:szCs w:val="28"/>
              </w:rPr>
              <w:t>-</w:t>
            </w:r>
            <w:proofErr w:type="spellStart"/>
            <w:r w:rsidRPr="00E23024">
              <w:rPr>
                <w:sz w:val="20"/>
                <w:szCs w:val="28"/>
              </w:rPr>
              <w:t>ment</w:t>
            </w:r>
            <w:proofErr w:type="spellEnd"/>
            <w:r w:rsidRPr="00E23024">
              <w:rPr>
                <w:sz w:val="20"/>
                <w:szCs w:val="28"/>
              </w:rPr>
              <w:t xml:space="preserve"> </w:t>
            </w:r>
            <w:r w:rsidR="002F6415" w:rsidRPr="00E23024">
              <w:rPr>
                <w:sz w:val="20"/>
                <w:szCs w:val="28"/>
              </w:rPr>
              <w:t>2022</w:t>
            </w:r>
            <w:r w:rsidRPr="00E23024">
              <w:rPr>
                <w:sz w:val="20"/>
                <w:szCs w:val="28"/>
              </w:rPr>
              <w:t xml:space="preserve"> ($ thousand)</w:t>
            </w:r>
          </w:p>
        </w:tc>
        <w:tc>
          <w:tcPr>
            <w:tcW w:w="1205" w:type="dxa"/>
          </w:tcPr>
          <w:p w14:paraId="54E095C2" w14:textId="1F82E520" w:rsidR="002F6415" w:rsidRPr="00E23024" w:rsidRDefault="00E23024" w:rsidP="00E23024">
            <w:pPr>
              <w:pStyle w:val="TableColumnHeading"/>
              <w:jc w:val="right"/>
              <w:rPr>
                <w:sz w:val="20"/>
                <w:szCs w:val="28"/>
              </w:rPr>
            </w:pPr>
            <w:r w:rsidRPr="00E23024">
              <w:rPr>
                <w:sz w:val="20"/>
                <w:szCs w:val="28"/>
              </w:rPr>
              <w:t>Regional Develop</w:t>
            </w:r>
            <w:r>
              <w:rPr>
                <w:sz w:val="20"/>
                <w:szCs w:val="28"/>
              </w:rPr>
              <w:t>-</w:t>
            </w:r>
            <w:proofErr w:type="spellStart"/>
            <w:r w:rsidRPr="00E23024">
              <w:rPr>
                <w:sz w:val="20"/>
                <w:szCs w:val="28"/>
              </w:rPr>
              <w:t>ment</w:t>
            </w:r>
            <w:proofErr w:type="spellEnd"/>
            <w:r w:rsidRPr="00E23024">
              <w:rPr>
                <w:sz w:val="20"/>
                <w:szCs w:val="28"/>
              </w:rPr>
              <w:t xml:space="preserve"> </w:t>
            </w:r>
            <w:r w:rsidR="002F6415" w:rsidRPr="00E23024">
              <w:rPr>
                <w:sz w:val="20"/>
                <w:szCs w:val="28"/>
              </w:rPr>
              <w:t>2023</w:t>
            </w:r>
            <w:r w:rsidRPr="00E23024">
              <w:rPr>
                <w:sz w:val="20"/>
                <w:szCs w:val="28"/>
              </w:rPr>
              <w:t xml:space="preserve"> ($ thousand)</w:t>
            </w:r>
            <w:r w:rsidR="002F6415" w:rsidRPr="00E23024">
              <w:rPr>
                <w:sz w:val="20"/>
                <w:szCs w:val="28"/>
              </w:rPr>
              <w:t xml:space="preserve"> </w:t>
            </w:r>
          </w:p>
        </w:tc>
        <w:tc>
          <w:tcPr>
            <w:tcW w:w="1204" w:type="dxa"/>
          </w:tcPr>
          <w:p w14:paraId="46DE079F" w14:textId="7B9CC574" w:rsidR="002F6415" w:rsidRPr="00E23024" w:rsidRDefault="00E23024" w:rsidP="00E23024">
            <w:pPr>
              <w:pStyle w:val="TableColumnHeading"/>
              <w:jc w:val="right"/>
              <w:rPr>
                <w:sz w:val="20"/>
                <w:szCs w:val="28"/>
              </w:rPr>
            </w:pPr>
            <w:r w:rsidRPr="00E23024">
              <w:rPr>
                <w:sz w:val="20"/>
                <w:szCs w:val="28"/>
              </w:rPr>
              <w:t>Regional Develop</w:t>
            </w:r>
            <w:r>
              <w:rPr>
                <w:sz w:val="20"/>
                <w:szCs w:val="28"/>
              </w:rPr>
              <w:t>-</w:t>
            </w:r>
            <w:proofErr w:type="spellStart"/>
            <w:r w:rsidRPr="00E23024">
              <w:rPr>
                <w:sz w:val="20"/>
                <w:szCs w:val="28"/>
              </w:rPr>
              <w:t>ment</w:t>
            </w:r>
            <w:proofErr w:type="spellEnd"/>
            <w:r w:rsidRPr="00E23024">
              <w:rPr>
                <w:sz w:val="20"/>
                <w:szCs w:val="28"/>
              </w:rPr>
              <w:t xml:space="preserve"> </w:t>
            </w:r>
            <w:r w:rsidR="002F6415" w:rsidRPr="00E23024">
              <w:rPr>
                <w:sz w:val="20"/>
                <w:szCs w:val="28"/>
              </w:rPr>
              <w:t>2022</w:t>
            </w:r>
            <w:r w:rsidRPr="00E23024">
              <w:rPr>
                <w:sz w:val="20"/>
                <w:szCs w:val="28"/>
              </w:rPr>
              <w:t xml:space="preserve"> ($ thousand)</w:t>
            </w:r>
          </w:p>
        </w:tc>
        <w:tc>
          <w:tcPr>
            <w:tcW w:w="1205" w:type="dxa"/>
          </w:tcPr>
          <w:p w14:paraId="4ED737ED" w14:textId="03E91DFB" w:rsidR="002F6415" w:rsidRPr="00E23024" w:rsidRDefault="00E23024" w:rsidP="00E23024">
            <w:pPr>
              <w:pStyle w:val="TableColumnHeading"/>
              <w:jc w:val="right"/>
              <w:rPr>
                <w:sz w:val="20"/>
                <w:szCs w:val="28"/>
              </w:rPr>
            </w:pPr>
            <w:r w:rsidRPr="00E23024">
              <w:rPr>
                <w:sz w:val="20"/>
                <w:szCs w:val="28"/>
              </w:rPr>
              <w:t xml:space="preserve">Sport and Recreation </w:t>
            </w:r>
            <w:r w:rsidR="002F6415" w:rsidRPr="00E23024">
              <w:rPr>
                <w:sz w:val="20"/>
                <w:szCs w:val="28"/>
              </w:rPr>
              <w:t>2023</w:t>
            </w:r>
            <w:r w:rsidRPr="00E23024">
              <w:rPr>
                <w:sz w:val="20"/>
                <w:szCs w:val="28"/>
              </w:rPr>
              <w:t xml:space="preserve"> ($ thousand)</w:t>
            </w:r>
            <w:r w:rsidR="002F6415" w:rsidRPr="00E23024">
              <w:rPr>
                <w:sz w:val="20"/>
                <w:szCs w:val="28"/>
              </w:rPr>
              <w:t xml:space="preserve"> </w:t>
            </w:r>
          </w:p>
        </w:tc>
        <w:tc>
          <w:tcPr>
            <w:tcW w:w="1205" w:type="dxa"/>
          </w:tcPr>
          <w:p w14:paraId="31895EC8" w14:textId="212FCCD9" w:rsidR="002F6415" w:rsidRPr="00E23024" w:rsidRDefault="00E23024" w:rsidP="00E23024">
            <w:pPr>
              <w:pStyle w:val="TableColumnHeading"/>
              <w:jc w:val="right"/>
              <w:rPr>
                <w:sz w:val="20"/>
                <w:szCs w:val="28"/>
              </w:rPr>
            </w:pPr>
            <w:r w:rsidRPr="00E23024">
              <w:rPr>
                <w:sz w:val="20"/>
                <w:szCs w:val="28"/>
              </w:rPr>
              <w:t xml:space="preserve">Sport and Recreation </w:t>
            </w:r>
            <w:r w:rsidR="002F6415" w:rsidRPr="00E23024">
              <w:rPr>
                <w:sz w:val="20"/>
                <w:szCs w:val="28"/>
              </w:rPr>
              <w:t>2022</w:t>
            </w:r>
            <w:r w:rsidRPr="00E23024">
              <w:rPr>
                <w:sz w:val="20"/>
                <w:szCs w:val="28"/>
              </w:rPr>
              <w:t xml:space="preserve"> ($ thousand)</w:t>
            </w:r>
          </w:p>
        </w:tc>
        <w:tc>
          <w:tcPr>
            <w:tcW w:w="1204" w:type="dxa"/>
          </w:tcPr>
          <w:p w14:paraId="7E05F6C5" w14:textId="41D2702E" w:rsidR="002F6415" w:rsidRPr="00E23024" w:rsidRDefault="00E23024" w:rsidP="00E23024">
            <w:pPr>
              <w:pStyle w:val="TableColumnHeading"/>
              <w:jc w:val="right"/>
              <w:rPr>
                <w:sz w:val="20"/>
                <w:szCs w:val="28"/>
              </w:rPr>
            </w:pPr>
            <w:r w:rsidRPr="00E23024">
              <w:rPr>
                <w:sz w:val="20"/>
                <w:szCs w:val="28"/>
              </w:rPr>
              <w:t xml:space="preserve">Trade and Investment </w:t>
            </w:r>
            <w:r w:rsidR="002F6415" w:rsidRPr="00E23024">
              <w:rPr>
                <w:sz w:val="20"/>
                <w:szCs w:val="28"/>
              </w:rPr>
              <w:t>2023</w:t>
            </w:r>
            <w:r w:rsidRPr="00E23024">
              <w:rPr>
                <w:sz w:val="20"/>
                <w:szCs w:val="28"/>
              </w:rPr>
              <w:t xml:space="preserve"> ($ thousand)</w:t>
            </w:r>
            <w:r w:rsidR="002F6415" w:rsidRPr="00E23024">
              <w:rPr>
                <w:sz w:val="20"/>
                <w:szCs w:val="28"/>
              </w:rPr>
              <w:t xml:space="preserve"> </w:t>
            </w:r>
          </w:p>
        </w:tc>
        <w:tc>
          <w:tcPr>
            <w:tcW w:w="1205" w:type="dxa"/>
          </w:tcPr>
          <w:p w14:paraId="45D8D4C8" w14:textId="41267C43" w:rsidR="002F6415" w:rsidRPr="00E23024" w:rsidRDefault="00E23024" w:rsidP="00E23024">
            <w:pPr>
              <w:pStyle w:val="TableColumnHeading"/>
              <w:jc w:val="right"/>
              <w:rPr>
                <w:sz w:val="20"/>
                <w:szCs w:val="28"/>
              </w:rPr>
            </w:pPr>
            <w:r w:rsidRPr="00E23024">
              <w:rPr>
                <w:sz w:val="20"/>
                <w:szCs w:val="28"/>
              </w:rPr>
              <w:t xml:space="preserve">Trade and Investment </w:t>
            </w:r>
            <w:r w:rsidR="002F6415" w:rsidRPr="00E23024">
              <w:rPr>
                <w:sz w:val="20"/>
                <w:szCs w:val="28"/>
              </w:rPr>
              <w:t>2022</w:t>
            </w:r>
            <w:r w:rsidRPr="00E23024">
              <w:rPr>
                <w:sz w:val="20"/>
                <w:szCs w:val="28"/>
              </w:rPr>
              <w:t xml:space="preserve"> ($ thousand)</w:t>
            </w:r>
          </w:p>
        </w:tc>
        <w:tc>
          <w:tcPr>
            <w:tcW w:w="1205" w:type="dxa"/>
          </w:tcPr>
          <w:p w14:paraId="2A67E82E" w14:textId="7C79F139" w:rsidR="002F6415" w:rsidRPr="00E23024" w:rsidRDefault="00E23024" w:rsidP="00E23024">
            <w:pPr>
              <w:pStyle w:val="TableColumnHeading"/>
              <w:jc w:val="right"/>
              <w:rPr>
                <w:sz w:val="20"/>
                <w:szCs w:val="28"/>
              </w:rPr>
            </w:pPr>
            <w:r w:rsidRPr="00E23024">
              <w:rPr>
                <w:sz w:val="20"/>
                <w:szCs w:val="28"/>
              </w:rPr>
              <w:t xml:space="preserve">Tourism and Major Events </w:t>
            </w:r>
            <w:r w:rsidR="002F6415" w:rsidRPr="00E23024">
              <w:rPr>
                <w:sz w:val="20"/>
                <w:szCs w:val="28"/>
              </w:rPr>
              <w:t>2023</w:t>
            </w:r>
            <w:r w:rsidRPr="00E23024">
              <w:rPr>
                <w:sz w:val="20"/>
                <w:szCs w:val="28"/>
              </w:rPr>
              <w:t xml:space="preserve"> ($ thousand)</w:t>
            </w:r>
            <w:r w:rsidR="002F6415" w:rsidRPr="00E23024">
              <w:rPr>
                <w:sz w:val="20"/>
                <w:szCs w:val="28"/>
              </w:rPr>
              <w:t xml:space="preserve"> </w:t>
            </w:r>
          </w:p>
        </w:tc>
        <w:tc>
          <w:tcPr>
            <w:tcW w:w="1205" w:type="dxa"/>
          </w:tcPr>
          <w:p w14:paraId="6F42F949" w14:textId="6D282492" w:rsidR="002F6415" w:rsidRPr="00E23024" w:rsidRDefault="00E23024" w:rsidP="00E23024">
            <w:pPr>
              <w:pStyle w:val="TableColumnHeading"/>
              <w:jc w:val="right"/>
              <w:rPr>
                <w:sz w:val="20"/>
                <w:szCs w:val="28"/>
              </w:rPr>
            </w:pPr>
            <w:r w:rsidRPr="00E23024">
              <w:rPr>
                <w:sz w:val="20"/>
                <w:szCs w:val="28"/>
              </w:rPr>
              <w:t xml:space="preserve">Tourism and Major Events </w:t>
            </w:r>
            <w:r w:rsidR="002F6415" w:rsidRPr="00E23024">
              <w:rPr>
                <w:sz w:val="20"/>
                <w:szCs w:val="28"/>
              </w:rPr>
              <w:t>2022</w:t>
            </w:r>
            <w:r w:rsidRPr="00E23024">
              <w:rPr>
                <w:sz w:val="20"/>
                <w:szCs w:val="28"/>
              </w:rPr>
              <w:t xml:space="preserve"> ($ thousand)</w:t>
            </w:r>
          </w:p>
        </w:tc>
      </w:tr>
      <w:tr w:rsidR="002F6415" w:rsidRPr="00E23024" w14:paraId="330856A0" w14:textId="77777777" w:rsidTr="00E23024">
        <w:trPr>
          <w:trHeight w:val="113"/>
        </w:trPr>
        <w:tc>
          <w:tcPr>
            <w:tcW w:w="2941" w:type="dxa"/>
          </w:tcPr>
          <w:p w14:paraId="12CE9403" w14:textId="77777777" w:rsidR="002F6415" w:rsidRPr="00E23024" w:rsidRDefault="002F6415" w:rsidP="00E23024">
            <w:pPr>
              <w:pStyle w:val="TableHeading"/>
            </w:pPr>
            <w:r w:rsidRPr="00E23024">
              <w:t>Assets</w:t>
            </w:r>
          </w:p>
        </w:tc>
        <w:tc>
          <w:tcPr>
            <w:tcW w:w="1204" w:type="dxa"/>
          </w:tcPr>
          <w:p w14:paraId="1A10F06A" w14:textId="77777777" w:rsidR="002F6415" w:rsidRPr="00E23024" w:rsidRDefault="002F6415" w:rsidP="00E23024">
            <w:pPr>
              <w:pStyle w:val="TableHeading"/>
              <w:jc w:val="right"/>
            </w:pPr>
          </w:p>
        </w:tc>
        <w:tc>
          <w:tcPr>
            <w:tcW w:w="1205" w:type="dxa"/>
          </w:tcPr>
          <w:p w14:paraId="16E3C443" w14:textId="77777777" w:rsidR="002F6415" w:rsidRPr="00E23024" w:rsidRDefault="002F6415" w:rsidP="00E23024">
            <w:pPr>
              <w:pStyle w:val="TableHeading"/>
              <w:jc w:val="right"/>
            </w:pPr>
          </w:p>
        </w:tc>
        <w:tc>
          <w:tcPr>
            <w:tcW w:w="1205" w:type="dxa"/>
          </w:tcPr>
          <w:p w14:paraId="6E25C4DB" w14:textId="77777777" w:rsidR="002F6415" w:rsidRPr="00E23024" w:rsidRDefault="002F6415" w:rsidP="00E23024">
            <w:pPr>
              <w:pStyle w:val="TableHeading"/>
              <w:jc w:val="right"/>
            </w:pPr>
          </w:p>
        </w:tc>
        <w:tc>
          <w:tcPr>
            <w:tcW w:w="1204" w:type="dxa"/>
          </w:tcPr>
          <w:p w14:paraId="39FDFBF2" w14:textId="77777777" w:rsidR="002F6415" w:rsidRPr="00E23024" w:rsidRDefault="002F6415" w:rsidP="00E23024">
            <w:pPr>
              <w:pStyle w:val="TableHeading"/>
              <w:jc w:val="right"/>
            </w:pPr>
          </w:p>
        </w:tc>
        <w:tc>
          <w:tcPr>
            <w:tcW w:w="1205" w:type="dxa"/>
          </w:tcPr>
          <w:p w14:paraId="5FB74C74" w14:textId="77777777" w:rsidR="002F6415" w:rsidRPr="00E23024" w:rsidRDefault="002F6415" w:rsidP="00E23024">
            <w:pPr>
              <w:pStyle w:val="TableHeading"/>
              <w:jc w:val="right"/>
            </w:pPr>
          </w:p>
        </w:tc>
        <w:tc>
          <w:tcPr>
            <w:tcW w:w="1205" w:type="dxa"/>
          </w:tcPr>
          <w:p w14:paraId="15FCDA4E" w14:textId="77777777" w:rsidR="002F6415" w:rsidRPr="00E23024" w:rsidRDefault="002F6415" w:rsidP="00E23024">
            <w:pPr>
              <w:pStyle w:val="TableHeading"/>
              <w:jc w:val="right"/>
            </w:pPr>
          </w:p>
        </w:tc>
        <w:tc>
          <w:tcPr>
            <w:tcW w:w="1204" w:type="dxa"/>
          </w:tcPr>
          <w:p w14:paraId="204FA5D9" w14:textId="77777777" w:rsidR="002F6415" w:rsidRPr="00E23024" w:rsidRDefault="002F6415" w:rsidP="00E23024">
            <w:pPr>
              <w:pStyle w:val="TableHeading"/>
              <w:jc w:val="right"/>
            </w:pPr>
          </w:p>
        </w:tc>
        <w:tc>
          <w:tcPr>
            <w:tcW w:w="1205" w:type="dxa"/>
          </w:tcPr>
          <w:p w14:paraId="2A9A428F" w14:textId="77777777" w:rsidR="002F6415" w:rsidRPr="00E23024" w:rsidRDefault="002F6415" w:rsidP="00E23024">
            <w:pPr>
              <w:pStyle w:val="TableHeading"/>
              <w:jc w:val="right"/>
            </w:pPr>
          </w:p>
        </w:tc>
        <w:tc>
          <w:tcPr>
            <w:tcW w:w="1205" w:type="dxa"/>
          </w:tcPr>
          <w:p w14:paraId="7AF841C9" w14:textId="77777777" w:rsidR="002F6415" w:rsidRPr="00E23024" w:rsidRDefault="002F6415" w:rsidP="00E23024">
            <w:pPr>
              <w:pStyle w:val="TableHeading"/>
              <w:jc w:val="right"/>
            </w:pPr>
          </w:p>
        </w:tc>
        <w:tc>
          <w:tcPr>
            <w:tcW w:w="1205" w:type="dxa"/>
          </w:tcPr>
          <w:p w14:paraId="2100B40F" w14:textId="77777777" w:rsidR="002F6415" w:rsidRPr="00E23024" w:rsidRDefault="002F6415" w:rsidP="00E23024">
            <w:pPr>
              <w:pStyle w:val="TableHeading"/>
              <w:jc w:val="right"/>
            </w:pPr>
          </w:p>
        </w:tc>
      </w:tr>
      <w:tr w:rsidR="002F6415" w14:paraId="57F5D27C" w14:textId="77777777" w:rsidTr="00E23024">
        <w:trPr>
          <w:trHeight w:val="113"/>
        </w:trPr>
        <w:tc>
          <w:tcPr>
            <w:tcW w:w="2941" w:type="dxa"/>
          </w:tcPr>
          <w:p w14:paraId="61F01449" w14:textId="2496E2E9" w:rsidR="002F6415" w:rsidRDefault="002F6415" w:rsidP="00E23024">
            <w:pPr>
              <w:pStyle w:val="TableCopy"/>
            </w:pPr>
            <w:r>
              <w:t>Financial assets</w:t>
            </w:r>
          </w:p>
        </w:tc>
        <w:tc>
          <w:tcPr>
            <w:tcW w:w="1204" w:type="dxa"/>
          </w:tcPr>
          <w:p w14:paraId="52471E64" w14:textId="4E4D87D3" w:rsidR="002F6415" w:rsidRDefault="002F6415" w:rsidP="00E23024">
            <w:pPr>
              <w:pStyle w:val="TableCopy"/>
              <w:jc w:val="right"/>
            </w:pPr>
            <w:r>
              <w:t>4,092</w:t>
            </w:r>
          </w:p>
        </w:tc>
        <w:tc>
          <w:tcPr>
            <w:tcW w:w="1205" w:type="dxa"/>
          </w:tcPr>
          <w:p w14:paraId="0D65D56C" w14:textId="77777777" w:rsidR="002F6415" w:rsidRDefault="002F6415" w:rsidP="00E23024">
            <w:pPr>
              <w:pStyle w:val="TableCopy"/>
              <w:jc w:val="right"/>
            </w:pPr>
            <w:r>
              <w:t>(17,266)</w:t>
            </w:r>
          </w:p>
        </w:tc>
        <w:tc>
          <w:tcPr>
            <w:tcW w:w="1205" w:type="dxa"/>
          </w:tcPr>
          <w:p w14:paraId="071214C7" w14:textId="77777777" w:rsidR="002F6415" w:rsidRDefault="002F6415" w:rsidP="00E23024">
            <w:pPr>
              <w:pStyle w:val="TableCopy"/>
              <w:jc w:val="right"/>
            </w:pPr>
            <w:r>
              <w:t>(67,941)</w:t>
            </w:r>
          </w:p>
        </w:tc>
        <w:tc>
          <w:tcPr>
            <w:tcW w:w="1204" w:type="dxa"/>
          </w:tcPr>
          <w:p w14:paraId="5BB3BE27" w14:textId="0F608F69" w:rsidR="002F6415" w:rsidRDefault="002F6415" w:rsidP="00E23024">
            <w:pPr>
              <w:pStyle w:val="TableCopy"/>
              <w:jc w:val="right"/>
            </w:pPr>
            <w:r>
              <w:t>31,148</w:t>
            </w:r>
          </w:p>
        </w:tc>
        <w:tc>
          <w:tcPr>
            <w:tcW w:w="1205" w:type="dxa"/>
          </w:tcPr>
          <w:p w14:paraId="1992D049" w14:textId="77777777" w:rsidR="002F6415" w:rsidRDefault="002F6415" w:rsidP="00E23024">
            <w:pPr>
              <w:pStyle w:val="TableCopy"/>
              <w:jc w:val="right"/>
            </w:pPr>
            <w:r>
              <w:t>(38,207)</w:t>
            </w:r>
          </w:p>
        </w:tc>
        <w:tc>
          <w:tcPr>
            <w:tcW w:w="1205" w:type="dxa"/>
          </w:tcPr>
          <w:p w14:paraId="304D4C80" w14:textId="77777777" w:rsidR="002F6415" w:rsidRDefault="002F6415" w:rsidP="00E23024">
            <w:pPr>
              <w:pStyle w:val="TableCopy"/>
              <w:jc w:val="right"/>
            </w:pPr>
            <w:r>
              <w:t>(51,806)</w:t>
            </w:r>
          </w:p>
        </w:tc>
        <w:tc>
          <w:tcPr>
            <w:tcW w:w="1204" w:type="dxa"/>
          </w:tcPr>
          <w:p w14:paraId="207C8505" w14:textId="066A55E3" w:rsidR="002F6415" w:rsidRDefault="002F6415" w:rsidP="00E23024">
            <w:pPr>
              <w:pStyle w:val="TableCopy"/>
              <w:jc w:val="right"/>
            </w:pPr>
            <w:r>
              <w:t>185,105</w:t>
            </w:r>
          </w:p>
        </w:tc>
        <w:tc>
          <w:tcPr>
            <w:tcW w:w="1205" w:type="dxa"/>
          </w:tcPr>
          <w:p w14:paraId="6407E555" w14:textId="386D956B" w:rsidR="002F6415" w:rsidRDefault="002F6415" w:rsidP="00E23024">
            <w:pPr>
              <w:pStyle w:val="TableCopy"/>
              <w:jc w:val="right"/>
            </w:pPr>
            <w:r>
              <w:t>149,323</w:t>
            </w:r>
          </w:p>
        </w:tc>
        <w:tc>
          <w:tcPr>
            <w:tcW w:w="1205" w:type="dxa"/>
          </w:tcPr>
          <w:p w14:paraId="1DF5E9E3" w14:textId="77777777" w:rsidR="002F6415" w:rsidRDefault="002F6415" w:rsidP="00E23024">
            <w:pPr>
              <w:pStyle w:val="TableCopy"/>
              <w:jc w:val="right"/>
            </w:pPr>
            <w:r>
              <w:t>(134,421)</w:t>
            </w:r>
          </w:p>
        </w:tc>
        <w:tc>
          <w:tcPr>
            <w:tcW w:w="1205" w:type="dxa"/>
          </w:tcPr>
          <w:p w14:paraId="7E1A748A" w14:textId="77777777" w:rsidR="002F6415" w:rsidRDefault="002F6415" w:rsidP="00E23024">
            <w:pPr>
              <w:pStyle w:val="TableCopy"/>
              <w:jc w:val="right"/>
            </w:pPr>
            <w:r>
              <w:t>(116,803)</w:t>
            </w:r>
          </w:p>
        </w:tc>
      </w:tr>
      <w:tr w:rsidR="002F6415" w14:paraId="4BE0FFBC" w14:textId="77777777" w:rsidTr="00E23024">
        <w:trPr>
          <w:trHeight w:val="113"/>
        </w:trPr>
        <w:tc>
          <w:tcPr>
            <w:tcW w:w="2941" w:type="dxa"/>
          </w:tcPr>
          <w:p w14:paraId="0C98BEBC" w14:textId="0C050703" w:rsidR="002F6415" w:rsidRDefault="002F6415" w:rsidP="00E23024">
            <w:pPr>
              <w:pStyle w:val="TableCopy"/>
            </w:pPr>
            <w:r>
              <w:t>Non-financial assets</w:t>
            </w:r>
          </w:p>
        </w:tc>
        <w:tc>
          <w:tcPr>
            <w:tcW w:w="1204" w:type="dxa"/>
          </w:tcPr>
          <w:p w14:paraId="5AD9E40C" w14:textId="5F0A0D4D" w:rsidR="002F6415" w:rsidRDefault="002F6415" w:rsidP="00E23024">
            <w:pPr>
              <w:pStyle w:val="TableCopy"/>
              <w:jc w:val="right"/>
            </w:pPr>
            <w:r>
              <w:t>34</w:t>
            </w:r>
          </w:p>
        </w:tc>
        <w:tc>
          <w:tcPr>
            <w:tcW w:w="1205" w:type="dxa"/>
          </w:tcPr>
          <w:p w14:paraId="740E9193" w14:textId="1FAD1E3D" w:rsidR="002F6415" w:rsidRDefault="002F6415" w:rsidP="00E23024">
            <w:pPr>
              <w:pStyle w:val="TableCopy"/>
              <w:jc w:val="right"/>
            </w:pPr>
            <w:r>
              <w:t>136</w:t>
            </w:r>
          </w:p>
        </w:tc>
        <w:tc>
          <w:tcPr>
            <w:tcW w:w="1205" w:type="dxa"/>
          </w:tcPr>
          <w:p w14:paraId="0AFDF5AE" w14:textId="4F6DC6C7" w:rsidR="002F6415" w:rsidRDefault="002F6415" w:rsidP="00E23024">
            <w:pPr>
              <w:pStyle w:val="TableCopy"/>
              <w:jc w:val="right"/>
            </w:pPr>
            <w:r>
              <w:t>54,563</w:t>
            </w:r>
          </w:p>
        </w:tc>
        <w:tc>
          <w:tcPr>
            <w:tcW w:w="1204" w:type="dxa"/>
          </w:tcPr>
          <w:p w14:paraId="4BC6C61D" w14:textId="416F981C" w:rsidR="002F6415" w:rsidRDefault="002F6415" w:rsidP="00E23024">
            <w:pPr>
              <w:pStyle w:val="TableCopy"/>
              <w:jc w:val="right"/>
            </w:pPr>
            <w:r>
              <w:t>4,455</w:t>
            </w:r>
          </w:p>
        </w:tc>
        <w:tc>
          <w:tcPr>
            <w:tcW w:w="1205" w:type="dxa"/>
          </w:tcPr>
          <w:p w14:paraId="23AB1F54" w14:textId="712B3F83" w:rsidR="002F6415" w:rsidRDefault="002F6415" w:rsidP="00E23024">
            <w:pPr>
              <w:pStyle w:val="TableCopy"/>
              <w:jc w:val="right"/>
            </w:pPr>
            <w:r>
              <w:t>35,617</w:t>
            </w:r>
          </w:p>
        </w:tc>
        <w:tc>
          <w:tcPr>
            <w:tcW w:w="1205" w:type="dxa"/>
          </w:tcPr>
          <w:p w14:paraId="76DD965B" w14:textId="23308086" w:rsidR="002F6415" w:rsidRDefault="002F6415" w:rsidP="00E23024">
            <w:pPr>
              <w:pStyle w:val="TableCopy"/>
              <w:jc w:val="right"/>
            </w:pPr>
            <w:r>
              <w:t>37,578</w:t>
            </w:r>
          </w:p>
        </w:tc>
        <w:tc>
          <w:tcPr>
            <w:tcW w:w="1204" w:type="dxa"/>
          </w:tcPr>
          <w:p w14:paraId="2DDE0DC8" w14:textId="77777777" w:rsidR="002F6415" w:rsidRDefault="002F6415" w:rsidP="00E23024">
            <w:pPr>
              <w:pStyle w:val="TableCopy"/>
              <w:jc w:val="right"/>
            </w:pPr>
            <w:r>
              <w:t>(5,492)</w:t>
            </w:r>
          </w:p>
        </w:tc>
        <w:tc>
          <w:tcPr>
            <w:tcW w:w="1205" w:type="dxa"/>
          </w:tcPr>
          <w:p w14:paraId="3AC37AB6" w14:textId="16BF58F1" w:rsidR="002F6415" w:rsidRDefault="002F6415" w:rsidP="00E23024">
            <w:pPr>
              <w:pStyle w:val="TableCopy"/>
              <w:jc w:val="right"/>
            </w:pPr>
            <w:r>
              <w:t>729</w:t>
            </w:r>
          </w:p>
        </w:tc>
        <w:tc>
          <w:tcPr>
            <w:tcW w:w="1205" w:type="dxa"/>
          </w:tcPr>
          <w:p w14:paraId="784775C6" w14:textId="45C3DB3C" w:rsidR="002F6415" w:rsidRDefault="002F6415" w:rsidP="00E23024">
            <w:pPr>
              <w:pStyle w:val="TableCopy"/>
              <w:jc w:val="right"/>
            </w:pPr>
            <w:r>
              <w:t>103,901</w:t>
            </w:r>
          </w:p>
        </w:tc>
        <w:tc>
          <w:tcPr>
            <w:tcW w:w="1205" w:type="dxa"/>
          </w:tcPr>
          <w:p w14:paraId="687E2F14" w14:textId="05BE63CB" w:rsidR="002F6415" w:rsidRDefault="002F6415" w:rsidP="00E23024">
            <w:pPr>
              <w:pStyle w:val="TableCopy"/>
              <w:jc w:val="right"/>
            </w:pPr>
            <w:r>
              <w:t>120,158</w:t>
            </w:r>
          </w:p>
        </w:tc>
      </w:tr>
      <w:tr w:rsidR="002F6415" w:rsidRPr="00E23024" w14:paraId="6C5AB623" w14:textId="77777777" w:rsidTr="00E23024">
        <w:trPr>
          <w:trHeight w:val="113"/>
        </w:trPr>
        <w:tc>
          <w:tcPr>
            <w:tcW w:w="2941" w:type="dxa"/>
          </w:tcPr>
          <w:p w14:paraId="11BFB79A" w14:textId="5A73189A" w:rsidR="002F6415" w:rsidRPr="00E23024" w:rsidRDefault="002F6415" w:rsidP="00E23024">
            <w:pPr>
              <w:pStyle w:val="TableCopy"/>
              <w:rPr>
                <w:b/>
                <w:bCs/>
              </w:rPr>
            </w:pPr>
            <w:r w:rsidRPr="00E23024">
              <w:rPr>
                <w:b/>
                <w:bCs/>
              </w:rPr>
              <w:t>Total assets</w:t>
            </w:r>
          </w:p>
        </w:tc>
        <w:tc>
          <w:tcPr>
            <w:tcW w:w="1204" w:type="dxa"/>
          </w:tcPr>
          <w:p w14:paraId="02F33C6E" w14:textId="740711CC" w:rsidR="002F6415" w:rsidRPr="00E23024" w:rsidRDefault="002F6415" w:rsidP="00E23024">
            <w:pPr>
              <w:pStyle w:val="TableCopy"/>
              <w:jc w:val="right"/>
              <w:rPr>
                <w:b/>
                <w:bCs/>
              </w:rPr>
            </w:pPr>
            <w:r w:rsidRPr="00E23024">
              <w:rPr>
                <w:b/>
                <w:bCs/>
              </w:rPr>
              <w:t>4,125</w:t>
            </w:r>
          </w:p>
        </w:tc>
        <w:tc>
          <w:tcPr>
            <w:tcW w:w="1205" w:type="dxa"/>
          </w:tcPr>
          <w:p w14:paraId="48620541" w14:textId="77777777" w:rsidR="002F6415" w:rsidRPr="00E23024" w:rsidRDefault="002F6415" w:rsidP="00E23024">
            <w:pPr>
              <w:pStyle w:val="TableCopy"/>
              <w:jc w:val="right"/>
              <w:rPr>
                <w:b/>
                <w:bCs/>
              </w:rPr>
            </w:pPr>
            <w:r w:rsidRPr="00E23024">
              <w:rPr>
                <w:b/>
                <w:bCs/>
              </w:rPr>
              <w:t>(17,130)</w:t>
            </w:r>
          </w:p>
        </w:tc>
        <w:tc>
          <w:tcPr>
            <w:tcW w:w="1205" w:type="dxa"/>
          </w:tcPr>
          <w:p w14:paraId="7D5627B8" w14:textId="77777777" w:rsidR="002F6415" w:rsidRPr="00E23024" w:rsidRDefault="002F6415" w:rsidP="00E23024">
            <w:pPr>
              <w:pStyle w:val="TableCopy"/>
              <w:jc w:val="right"/>
              <w:rPr>
                <w:b/>
                <w:bCs/>
              </w:rPr>
            </w:pPr>
            <w:r w:rsidRPr="00E23024">
              <w:rPr>
                <w:b/>
                <w:bCs/>
              </w:rPr>
              <w:t>(13,378)</w:t>
            </w:r>
          </w:p>
        </w:tc>
        <w:tc>
          <w:tcPr>
            <w:tcW w:w="1204" w:type="dxa"/>
          </w:tcPr>
          <w:p w14:paraId="6D3EB6C7" w14:textId="4E42C202" w:rsidR="002F6415" w:rsidRPr="00E23024" w:rsidRDefault="002F6415" w:rsidP="00E23024">
            <w:pPr>
              <w:pStyle w:val="TableCopy"/>
              <w:jc w:val="right"/>
              <w:rPr>
                <w:b/>
                <w:bCs/>
              </w:rPr>
            </w:pPr>
            <w:r w:rsidRPr="00E23024">
              <w:rPr>
                <w:b/>
                <w:bCs/>
              </w:rPr>
              <w:t>35,603</w:t>
            </w:r>
          </w:p>
        </w:tc>
        <w:tc>
          <w:tcPr>
            <w:tcW w:w="1205" w:type="dxa"/>
          </w:tcPr>
          <w:p w14:paraId="19F6D0BA" w14:textId="77777777" w:rsidR="002F6415" w:rsidRPr="00E23024" w:rsidRDefault="002F6415" w:rsidP="00E23024">
            <w:pPr>
              <w:pStyle w:val="TableCopy"/>
              <w:jc w:val="right"/>
              <w:rPr>
                <w:b/>
                <w:bCs/>
              </w:rPr>
            </w:pPr>
            <w:r w:rsidRPr="00E23024">
              <w:rPr>
                <w:b/>
                <w:bCs/>
              </w:rPr>
              <w:t>(2,590)</w:t>
            </w:r>
          </w:p>
        </w:tc>
        <w:tc>
          <w:tcPr>
            <w:tcW w:w="1205" w:type="dxa"/>
          </w:tcPr>
          <w:p w14:paraId="2CB240B8" w14:textId="77777777" w:rsidR="002F6415" w:rsidRPr="00E23024" w:rsidRDefault="002F6415" w:rsidP="00E23024">
            <w:pPr>
              <w:pStyle w:val="TableCopy"/>
              <w:jc w:val="right"/>
              <w:rPr>
                <w:b/>
                <w:bCs/>
              </w:rPr>
            </w:pPr>
            <w:r w:rsidRPr="00E23024">
              <w:rPr>
                <w:b/>
                <w:bCs/>
              </w:rPr>
              <w:t>(14,228)</w:t>
            </w:r>
          </w:p>
        </w:tc>
        <w:tc>
          <w:tcPr>
            <w:tcW w:w="1204" w:type="dxa"/>
          </w:tcPr>
          <w:p w14:paraId="4D69A1D1" w14:textId="7219AD27" w:rsidR="002F6415" w:rsidRPr="00E23024" w:rsidRDefault="002F6415" w:rsidP="00E23024">
            <w:pPr>
              <w:pStyle w:val="TableCopy"/>
              <w:jc w:val="right"/>
              <w:rPr>
                <w:b/>
                <w:bCs/>
              </w:rPr>
            </w:pPr>
            <w:r w:rsidRPr="00E23024">
              <w:rPr>
                <w:b/>
                <w:bCs/>
              </w:rPr>
              <w:t>179,613</w:t>
            </w:r>
          </w:p>
        </w:tc>
        <w:tc>
          <w:tcPr>
            <w:tcW w:w="1205" w:type="dxa"/>
          </w:tcPr>
          <w:p w14:paraId="6871B9FF" w14:textId="5E14969F" w:rsidR="002F6415" w:rsidRPr="00E23024" w:rsidRDefault="002F6415" w:rsidP="00E23024">
            <w:pPr>
              <w:pStyle w:val="TableCopy"/>
              <w:jc w:val="right"/>
              <w:rPr>
                <w:b/>
                <w:bCs/>
              </w:rPr>
            </w:pPr>
            <w:r w:rsidRPr="00E23024">
              <w:rPr>
                <w:b/>
                <w:bCs/>
              </w:rPr>
              <w:t>150,052</w:t>
            </w:r>
          </w:p>
        </w:tc>
        <w:tc>
          <w:tcPr>
            <w:tcW w:w="1205" w:type="dxa"/>
          </w:tcPr>
          <w:p w14:paraId="6DF95B21" w14:textId="77777777" w:rsidR="002F6415" w:rsidRPr="00E23024" w:rsidRDefault="002F6415" w:rsidP="00E23024">
            <w:pPr>
              <w:pStyle w:val="TableCopy"/>
              <w:jc w:val="right"/>
              <w:rPr>
                <w:b/>
                <w:bCs/>
              </w:rPr>
            </w:pPr>
            <w:r w:rsidRPr="00E23024">
              <w:rPr>
                <w:b/>
                <w:bCs/>
              </w:rPr>
              <w:t>(30,520)</w:t>
            </w:r>
          </w:p>
        </w:tc>
        <w:tc>
          <w:tcPr>
            <w:tcW w:w="1205" w:type="dxa"/>
          </w:tcPr>
          <w:p w14:paraId="1229E59F" w14:textId="56E32980" w:rsidR="002F6415" w:rsidRPr="00E23024" w:rsidRDefault="002F6415" w:rsidP="00E23024">
            <w:pPr>
              <w:pStyle w:val="TableCopy"/>
              <w:jc w:val="right"/>
              <w:rPr>
                <w:b/>
                <w:bCs/>
              </w:rPr>
            </w:pPr>
            <w:r w:rsidRPr="00E23024">
              <w:rPr>
                <w:b/>
                <w:bCs/>
              </w:rPr>
              <w:t>3,355</w:t>
            </w:r>
          </w:p>
        </w:tc>
      </w:tr>
      <w:tr w:rsidR="002F6415" w:rsidRPr="00E23024" w14:paraId="30F64D26" w14:textId="77777777" w:rsidTr="00E23024">
        <w:trPr>
          <w:trHeight w:val="113"/>
        </w:trPr>
        <w:tc>
          <w:tcPr>
            <w:tcW w:w="2941" w:type="dxa"/>
          </w:tcPr>
          <w:p w14:paraId="351AA324" w14:textId="1486B6F3" w:rsidR="002F6415" w:rsidRPr="00E23024" w:rsidRDefault="002F6415" w:rsidP="00E23024">
            <w:pPr>
              <w:pStyle w:val="TableCopy"/>
              <w:rPr>
                <w:b/>
                <w:bCs/>
              </w:rPr>
            </w:pPr>
            <w:r w:rsidRPr="00E23024">
              <w:rPr>
                <w:b/>
                <w:bCs/>
              </w:rPr>
              <w:t>Total liabilities</w:t>
            </w:r>
          </w:p>
        </w:tc>
        <w:tc>
          <w:tcPr>
            <w:tcW w:w="1204" w:type="dxa"/>
          </w:tcPr>
          <w:p w14:paraId="59F1752B" w14:textId="63BC083D" w:rsidR="002F6415" w:rsidRPr="00E23024" w:rsidRDefault="002F6415" w:rsidP="00E23024">
            <w:pPr>
              <w:pStyle w:val="TableCopy"/>
              <w:jc w:val="right"/>
              <w:rPr>
                <w:b/>
                <w:bCs/>
              </w:rPr>
            </w:pPr>
            <w:r w:rsidRPr="00E23024">
              <w:rPr>
                <w:b/>
                <w:bCs/>
              </w:rPr>
              <w:t>2,629</w:t>
            </w:r>
          </w:p>
        </w:tc>
        <w:tc>
          <w:tcPr>
            <w:tcW w:w="1205" w:type="dxa"/>
          </w:tcPr>
          <w:p w14:paraId="1F28CB57" w14:textId="3F94E5DA" w:rsidR="002F6415" w:rsidRPr="00E23024" w:rsidRDefault="002F6415" w:rsidP="00E23024">
            <w:pPr>
              <w:pStyle w:val="TableCopy"/>
              <w:jc w:val="right"/>
              <w:rPr>
                <w:b/>
                <w:bCs/>
              </w:rPr>
            </w:pPr>
            <w:r w:rsidRPr="00E23024">
              <w:rPr>
                <w:b/>
                <w:bCs/>
              </w:rPr>
              <w:t>2,597</w:t>
            </w:r>
          </w:p>
        </w:tc>
        <w:tc>
          <w:tcPr>
            <w:tcW w:w="1205" w:type="dxa"/>
          </w:tcPr>
          <w:p w14:paraId="2D7EB704" w14:textId="4E429FEE" w:rsidR="002F6415" w:rsidRPr="00E23024" w:rsidRDefault="002F6415" w:rsidP="00E23024">
            <w:pPr>
              <w:pStyle w:val="TableCopy"/>
              <w:jc w:val="right"/>
              <w:rPr>
                <w:b/>
                <w:bCs/>
              </w:rPr>
            </w:pPr>
            <w:r w:rsidRPr="00E23024">
              <w:rPr>
                <w:b/>
                <w:bCs/>
              </w:rPr>
              <w:t>28,213</w:t>
            </w:r>
          </w:p>
        </w:tc>
        <w:tc>
          <w:tcPr>
            <w:tcW w:w="1204" w:type="dxa"/>
          </w:tcPr>
          <w:p w14:paraId="713FD63D" w14:textId="6CFE4F17" w:rsidR="002F6415" w:rsidRPr="00E23024" w:rsidRDefault="002F6415" w:rsidP="00E23024">
            <w:pPr>
              <w:pStyle w:val="TableCopy"/>
              <w:jc w:val="right"/>
              <w:rPr>
                <w:b/>
                <w:bCs/>
              </w:rPr>
            </w:pPr>
            <w:r w:rsidRPr="00E23024">
              <w:rPr>
                <w:b/>
                <w:bCs/>
              </w:rPr>
              <w:t>200,808</w:t>
            </w:r>
          </w:p>
        </w:tc>
        <w:tc>
          <w:tcPr>
            <w:tcW w:w="1205" w:type="dxa"/>
          </w:tcPr>
          <w:p w14:paraId="390ACE6F" w14:textId="732D1931" w:rsidR="002F6415" w:rsidRPr="00E23024" w:rsidRDefault="002F6415" w:rsidP="00E23024">
            <w:pPr>
              <w:pStyle w:val="TableCopy"/>
              <w:jc w:val="right"/>
              <w:rPr>
                <w:b/>
                <w:bCs/>
              </w:rPr>
            </w:pPr>
            <w:r w:rsidRPr="00E23024">
              <w:rPr>
                <w:b/>
                <w:bCs/>
              </w:rPr>
              <w:t>21,765</w:t>
            </w:r>
          </w:p>
        </w:tc>
        <w:tc>
          <w:tcPr>
            <w:tcW w:w="1205" w:type="dxa"/>
          </w:tcPr>
          <w:p w14:paraId="6E9E3DEE" w14:textId="242C661D" w:rsidR="002F6415" w:rsidRPr="00E23024" w:rsidRDefault="002F6415" w:rsidP="00E23024">
            <w:pPr>
              <w:pStyle w:val="TableCopy"/>
              <w:jc w:val="right"/>
              <w:rPr>
                <w:b/>
                <w:bCs/>
              </w:rPr>
            </w:pPr>
            <w:r w:rsidRPr="00E23024">
              <w:rPr>
                <w:b/>
                <w:bCs/>
              </w:rPr>
              <w:t>28,538</w:t>
            </w:r>
          </w:p>
        </w:tc>
        <w:tc>
          <w:tcPr>
            <w:tcW w:w="1204" w:type="dxa"/>
          </w:tcPr>
          <w:p w14:paraId="47BAC9D9" w14:textId="56561D02" w:rsidR="002F6415" w:rsidRPr="00E23024" w:rsidRDefault="002F6415" w:rsidP="00E23024">
            <w:pPr>
              <w:pStyle w:val="TableCopy"/>
              <w:jc w:val="right"/>
              <w:rPr>
                <w:b/>
                <w:bCs/>
              </w:rPr>
            </w:pPr>
            <w:r w:rsidRPr="00E23024">
              <w:rPr>
                <w:b/>
                <w:bCs/>
              </w:rPr>
              <w:t>32,416</w:t>
            </w:r>
          </w:p>
        </w:tc>
        <w:tc>
          <w:tcPr>
            <w:tcW w:w="1205" w:type="dxa"/>
          </w:tcPr>
          <w:p w14:paraId="63DE635F" w14:textId="40A3B197" w:rsidR="002F6415" w:rsidRPr="00E23024" w:rsidRDefault="002F6415" w:rsidP="00E23024">
            <w:pPr>
              <w:pStyle w:val="TableCopy"/>
              <w:jc w:val="right"/>
              <w:rPr>
                <w:b/>
                <w:bCs/>
              </w:rPr>
            </w:pPr>
            <w:r w:rsidRPr="00E23024">
              <w:rPr>
                <w:b/>
                <w:bCs/>
              </w:rPr>
              <w:t>8,852</w:t>
            </w:r>
          </w:p>
        </w:tc>
        <w:tc>
          <w:tcPr>
            <w:tcW w:w="1205" w:type="dxa"/>
          </w:tcPr>
          <w:p w14:paraId="65970FAC" w14:textId="62E0BBDB" w:rsidR="002F6415" w:rsidRPr="00E23024" w:rsidRDefault="002F6415" w:rsidP="00E23024">
            <w:pPr>
              <w:pStyle w:val="TableCopy"/>
              <w:jc w:val="right"/>
              <w:rPr>
                <w:b/>
                <w:bCs/>
              </w:rPr>
            </w:pPr>
            <w:r w:rsidRPr="00E23024">
              <w:rPr>
                <w:b/>
                <w:bCs/>
              </w:rPr>
              <w:t>12,298</w:t>
            </w:r>
          </w:p>
        </w:tc>
        <w:tc>
          <w:tcPr>
            <w:tcW w:w="1205" w:type="dxa"/>
          </w:tcPr>
          <w:p w14:paraId="6F41235B" w14:textId="62939DC5" w:rsidR="002F6415" w:rsidRPr="00E23024" w:rsidRDefault="002F6415" w:rsidP="00E23024">
            <w:pPr>
              <w:pStyle w:val="TableCopy"/>
              <w:jc w:val="right"/>
              <w:rPr>
                <w:b/>
                <w:bCs/>
              </w:rPr>
            </w:pPr>
            <w:r w:rsidRPr="00E23024">
              <w:rPr>
                <w:b/>
                <w:bCs/>
              </w:rPr>
              <w:t>33,488</w:t>
            </w:r>
          </w:p>
        </w:tc>
      </w:tr>
      <w:tr w:rsidR="002F6415" w:rsidRPr="00E23024" w14:paraId="1CA23C62" w14:textId="77777777" w:rsidTr="00E23024">
        <w:trPr>
          <w:trHeight w:val="113"/>
        </w:trPr>
        <w:tc>
          <w:tcPr>
            <w:tcW w:w="2941" w:type="dxa"/>
          </w:tcPr>
          <w:p w14:paraId="7F42E43E" w14:textId="4205D73B" w:rsidR="002F6415" w:rsidRPr="00E23024" w:rsidRDefault="002F6415" w:rsidP="00E23024">
            <w:pPr>
              <w:pStyle w:val="TableCopy"/>
              <w:rPr>
                <w:b/>
                <w:bCs/>
              </w:rPr>
            </w:pPr>
            <w:r w:rsidRPr="00E23024">
              <w:rPr>
                <w:b/>
                <w:bCs/>
              </w:rPr>
              <w:t>Net assets/(liabilities)</w:t>
            </w:r>
          </w:p>
        </w:tc>
        <w:tc>
          <w:tcPr>
            <w:tcW w:w="1204" w:type="dxa"/>
          </w:tcPr>
          <w:p w14:paraId="443B14E9" w14:textId="541866E8" w:rsidR="002F6415" w:rsidRPr="00E23024" w:rsidRDefault="002F6415" w:rsidP="00E23024">
            <w:pPr>
              <w:pStyle w:val="TableCopy"/>
              <w:jc w:val="right"/>
              <w:rPr>
                <w:b/>
                <w:bCs/>
              </w:rPr>
            </w:pPr>
            <w:r w:rsidRPr="00E23024">
              <w:rPr>
                <w:b/>
                <w:bCs/>
              </w:rPr>
              <w:t>1,496</w:t>
            </w:r>
          </w:p>
        </w:tc>
        <w:tc>
          <w:tcPr>
            <w:tcW w:w="1205" w:type="dxa"/>
          </w:tcPr>
          <w:p w14:paraId="299E082F" w14:textId="77777777" w:rsidR="002F6415" w:rsidRPr="00E23024" w:rsidRDefault="002F6415" w:rsidP="00E23024">
            <w:pPr>
              <w:pStyle w:val="TableCopy"/>
              <w:jc w:val="right"/>
              <w:rPr>
                <w:b/>
                <w:bCs/>
              </w:rPr>
            </w:pPr>
            <w:r w:rsidRPr="00E23024">
              <w:rPr>
                <w:b/>
                <w:bCs/>
              </w:rPr>
              <w:t>(19,727)</w:t>
            </w:r>
          </w:p>
        </w:tc>
        <w:tc>
          <w:tcPr>
            <w:tcW w:w="1205" w:type="dxa"/>
          </w:tcPr>
          <w:p w14:paraId="5DE70536" w14:textId="77777777" w:rsidR="002F6415" w:rsidRPr="00E23024" w:rsidRDefault="002F6415" w:rsidP="00E23024">
            <w:pPr>
              <w:pStyle w:val="TableCopy"/>
              <w:jc w:val="right"/>
              <w:rPr>
                <w:b/>
                <w:bCs/>
              </w:rPr>
            </w:pPr>
            <w:r w:rsidRPr="00E23024">
              <w:rPr>
                <w:b/>
                <w:bCs/>
              </w:rPr>
              <w:t>(41,591)</w:t>
            </w:r>
          </w:p>
        </w:tc>
        <w:tc>
          <w:tcPr>
            <w:tcW w:w="1204" w:type="dxa"/>
          </w:tcPr>
          <w:p w14:paraId="02BFC276" w14:textId="77777777" w:rsidR="002F6415" w:rsidRPr="00E23024" w:rsidRDefault="002F6415" w:rsidP="00E23024">
            <w:pPr>
              <w:pStyle w:val="TableCopy"/>
              <w:jc w:val="right"/>
              <w:rPr>
                <w:b/>
                <w:bCs/>
              </w:rPr>
            </w:pPr>
            <w:r w:rsidRPr="00E23024">
              <w:rPr>
                <w:b/>
                <w:bCs/>
              </w:rPr>
              <w:t>(165,205)</w:t>
            </w:r>
          </w:p>
        </w:tc>
        <w:tc>
          <w:tcPr>
            <w:tcW w:w="1205" w:type="dxa"/>
          </w:tcPr>
          <w:p w14:paraId="1193D42E" w14:textId="77777777" w:rsidR="002F6415" w:rsidRPr="00E23024" w:rsidRDefault="002F6415" w:rsidP="00E23024">
            <w:pPr>
              <w:pStyle w:val="TableCopy"/>
              <w:jc w:val="right"/>
              <w:rPr>
                <w:b/>
                <w:bCs/>
              </w:rPr>
            </w:pPr>
            <w:r w:rsidRPr="00E23024">
              <w:rPr>
                <w:b/>
                <w:bCs/>
              </w:rPr>
              <w:t>(24,355)</w:t>
            </w:r>
          </w:p>
        </w:tc>
        <w:tc>
          <w:tcPr>
            <w:tcW w:w="1205" w:type="dxa"/>
          </w:tcPr>
          <w:p w14:paraId="6F3F9BBD" w14:textId="77777777" w:rsidR="002F6415" w:rsidRPr="00E23024" w:rsidRDefault="002F6415" w:rsidP="00E23024">
            <w:pPr>
              <w:pStyle w:val="TableCopy"/>
              <w:jc w:val="right"/>
              <w:rPr>
                <w:b/>
                <w:bCs/>
              </w:rPr>
            </w:pPr>
            <w:r w:rsidRPr="00E23024">
              <w:rPr>
                <w:b/>
                <w:bCs/>
              </w:rPr>
              <w:t>(42,766)</w:t>
            </w:r>
          </w:p>
        </w:tc>
        <w:tc>
          <w:tcPr>
            <w:tcW w:w="1204" w:type="dxa"/>
          </w:tcPr>
          <w:p w14:paraId="764686E3" w14:textId="4730B20A" w:rsidR="002F6415" w:rsidRPr="00E23024" w:rsidRDefault="002F6415" w:rsidP="00E23024">
            <w:pPr>
              <w:pStyle w:val="TableCopy"/>
              <w:jc w:val="right"/>
              <w:rPr>
                <w:b/>
                <w:bCs/>
              </w:rPr>
            </w:pPr>
            <w:r w:rsidRPr="00E23024">
              <w:rPr>
                <w:b/>
                <w:bCs/>
              </w:rPr>
              <w:t>147,198</w:t>
            </w:r>
          </w:p>
        </w:tc>
        <w:tc>
          <w:tcPr>
            <w:tcW w:w="1205" w:type="dxa"/>
          </w:tcPr>
          <w:p w14:paraId="0AB19B98" w14:textId="322B08B8" w:rsidR="002F6415" w:rsidRPr="00E23024" w:rsidRDefault="002F6415" w:rsidP="00E23024">
            <w:pPr>
              <w:pStyle w:val="TableCopy"/>
              <w:jc w:val="right"/>
              <w:rPr>
                <w:b/>
                <w:bCs/>
              </w:rPr>
            </w:pPr>
            <w:r w:rsidRPr="00E23024">
              <w:rPr>
                <w:b/>
                <w:bCs/>
              </w:rPr>
              <w:t>141,201</w:t>
            </w:r>
          </w:p>
        </w:tc>
        <w:tc>
          <w:tcPr>
            <w:tcW w:w="1205" w:type="dxa"/>
          </w:tcPr>
          <w:p w14:paraId="5AAAC3B3" w14:textId="77777777" w:rsidR="002F6415" w:rsidRPr="00E23024" w:rsidRDefault="002F6415" w:rsidP="00E23024">
            <w:pPr>
              <w:pStyle w:val="TableCopy"/>
              <w:jc w:val="right"/>
              <w:rPr>
                <w:b/>
                <w:bCs/>
              </w:rPr>
            </w:pPr>
            <w:r w:rsidRPr="00E23024">
              <w:rPr>
                <w:b/>
                <w:bCs/>
              </w:rPr>
              <w:t>(42,817)</w:t>
            </w:r>
          </w:p>
        </w:tc>
        <w:tc>
          <w:tcPr>
            <w:tcW w:w="1205" w:type="dxa"/>
          </w:tcPr>
          <w:p w14:paraId="64228DAE" w14:textId="77777777" w:rsidR="002F6415" w:rsidRPr="00E23024" w:rsidRDefault="002F6415" w:rsidP="00E23024">
            <w:pPr>
              <w:pStyle w:val="TableCopy"/>
              <w:jc w:val="right"/>
              <w:rPr>
                <w:b/>
                <w:bCs/>
              </w:rPr>
            </w:pPr>
            <w:r w:rsidRPr="00E23024">
              <w:rPr>
                <w:b/>
                <w:bCs/>
              </w:rPr>
              <w:t>(30,133)</w:t>
            </w:r>
          </w:p>
        </w:tc>
      </w:tr>
    </w:tbl>
    <w:p w14:paraId="16F32BDC" w14:textId="77777777" w:rsidR="000756EB" w:rsidRDefault="000756EB" w:rsidP="00E23024"/>
    <w:p w14:paraId="09E64981" w14:textId="5417AE34" w:rsidR="000756EB" w:rsidRDefault="004A4D88" w:rsidP="00BB0239">
      <w:pPr>
        <w:pStyle w:val="Heading3"/>
      </w:pPr>
      <w:r>
        <w:lastRenderedPageBreak/>
        <w:t>4.1.3</w:t>
      </w:r>
      <w:r w:rsidR="00DE38B5">
        <w:t xml:space="preserve"> </w:t>
      </w:r>
      <w:r>
        <w:t>Departmental</w:t>
      </w:r>
      <w:r w:rsidR="00A03629">
        <w:t xml:space="preserve"> </w:t>
      </w:r>
      <w:r>
        <w:t>outputs:</w:t>
      </w:r>
      <w:r w:rsidR="00A03629">
        <w:t xml:space="preserve"> </w:t>
      </w:r>
      <w:r>
        <w:t>Controlled</w:t>
      </w:r>
      <w:r w:rsidR="00A03629">
        <w:t xml:space="preserve"> </w:t>
      </w:r>
      <w:r>
        <w:t>assets</w:t>
      </w:r>
      <w:r w:rsidR="00A03629">
        <w:t xml:space="preserve"> </w:t>
      </w:r>
      <w:r>
        <w:t>and</w:t>
      </w:r>
      <w:r w:rsidR="00A03629">
        <w:t xml:space="preserve"> </w:t>
      </w:r>
      <w:r>
        <w:t>liabilities</w:t>
      </w:r>
      <w:r w:rsidR="00A03629">
        <w:t xml:space="preserve"> </w:t>
      </w:r>
      <w:proofErr w:type="gramStart"/>
      <w:r>
        <w:t>at</w:t>
      </w:r>
      <w:proofErr w:type="gramEnd"/>
      <w:r w:rsidR="00A03629">
        <w:t xml:space="preserve"> </w:t>
      </w:r>
      <w:r>
        <w:t>30</w:t>
      </w:r>
      <w:r w:rsidR="00A03629">
        <w:t xml:space="preserve"> </w:t>
      </w:r>
      <w:r>
        <w:t>June</w:t>
      </w:r>
      <w:r w:rsidR="00A03629">
        <w:t xml:space="preserve"> </w:t>
      </w:r>
      <w:r>
        <w:t>2023</w:t>
      </w:r>
      <w:r w:rsidR="000607CB">
        <w:t xml:space="preserve"> </w:t>
      </w:r>
      <w:r>
        <w:t>Department</w:t>
      </w:r>
      <w:r w:rsidR="00A03629">
        <w:t xml:space="preserve"> </w:t>
      </w:r>
      <w:r>
        <w:t>of</w:t>
      </w:r>
      <w:r w:rsidR="00A03629">
        <w:t xml:space="preserve"> </w:t>
      </w:r>
      <w:r>
        <w:t>Jobs,</w:t>
      </w:r>
      <w:r w:rsidR="00A03629">
        <w:t xml:space="preserve"> </w:t>
      </w:r>
      <w:r>
        <w:t>Skills,</w:t>
      </w:r>
      <w:r w:rsidR="00A03629">
        <w:t xml:space="preserve"> </w:t>
      </w:r>
      <w:r>
        <w:t>Industry</w:t>
      </w:r>
      <w:r w:rsidR="00A03629">
        <w:t xml:space="preserve"> </w:t>
      </w:r>
      <w:r>
        <w:t>and</w:t>
      </w:r>
      <w:r w:rsidR="00A03629">
        <w:t xml:space="preserve"> </w:t>
      </w:r>
      <w:r>
        <w:t>Regions</w:t>
      </w:r>
      <w:r w:rsidR="00A03629">
        <w:t xml:space="preserve"> </w:t>
      </w:r>
      <w:r>
        <w:t>Outputs</w:t>
      </w:r>
      <w:r w:rsidR="00A03629">
        <w:t xml:space="preserve"> </w:t>
      </w:r>
      <w:r>
        <w:t>(continued)</w:t>
      </w:r>
    </w:p>
    <w:tbl>
      <w:tblPr>
        <w:tblStyle w:val="TableGrid"/>
        <w:tblW w:w="14874" w:type="dxa"/>
        <w:tblLayout w:type="fixed"/>
        <w:tblLook w:val="0020" w:firstRow="1" w:lastRow="0" w:firstColumn="0" w:lastColumn="0" w:noHBand="0" w:noVBand="0"/>
      </w:tblPr>
      <w:tblGrid>
        <w:gridCol w:w="3964"/>
        <w:gridCol w:w="1328"/>
        <w:gridCol w:w="1329"/>
        <w:gridCol w:w="1343"/>
        <w:gridCol w:w="1417"/>
        <w:gridCol w:w="1418"/>
        <w:gridCol w:w="1417"/>
        <w:gridCol w:w="1329"/>
        <w:gridCol w:w="1329"/>
      </w:tblGrid>
      <w:tr w:rsidR="000607CB" w:rsidRPr="00420825" w14:paraId="64767984" w14:textId="77777777" w:rsidTr="00BB0239">
        <w:trPr>
          <w:trHeight w:val="113"/>
        </w:trPr>
        <w:tc>
          <w:tcPr>
            <w:tcW w:w="3964" w:type="dxa"/>
          </w:tcPr>
          <w:p w14:paraId="12419C31" w14:textId="77777777" w:rsidR="000607CB" w:rsidRPr="00420825" w:rsidRDefault="000607CB" w:rsidP="00420825">
            <w:pPr>
              <w:pStyle w:val="TableColumnHeading"/>
              <w:rPr>
                <w:sz w:val="20"/>
                <w:szCs w:val="28"/>
              </w:rPr>
            </w:pPr>
            <w:bookmarkStart w:id="44" w:name="ColumnTitles_21"/>
            <w:bookmarkEnd w:id="44"/>
          </w:p>
        </w:tc>
        <w:tc>
          <w:tcPr>
            <w:tcW w:w="1328" w:type="dxa"/>
          </w:tcPr>
          <w:p w14:paraId="1EFBEF7C" w14:textId="778BC735" w:rsidR="000607CB" w:rsidRPr="00420825" w:rsidRDefault="00420825" w:rsidP="000A0312">
            <w:pPr>
              <w:pStyle w:val="TableColumnHeading"/>
              <w:jc w:val="right"/>
              <w:rPr>
                <w:sz w:val="20"/>
                <w:szCs w:val="28"/>
              </w:rPr>
            </w:pPr>
            <w:r w:rsidRPr="00420825">
              <w:rPr>
                <w:sz w:val="20"/>
                <w:szCs w:val="28"/>
              </w:rPr>
              <w:t>Business Precincts</w:t>
            </w:r>
            <w:r w:rsidRPr="00614829">
              <w:rPr>
                <w:rStyle w:val="FootnotereferencessuperscriptMisc"/>
                <w:sz w:val="20"/>
                <w:szCs w:val="28"/>
                <w:vertAlign w:val="baseline"/>
              </w:rPr>
              <w:t xml:space="preserve"> </w:t>
            </w:r>
            <w:r w:rsidRPr="00614829">
              <w:rPr>
                <w:rStyle w:val="FootnotereferencessuperscriptMisc"/>
                <w:sz w:val="20"/>
                <w:szCs w:val="28"/>
              </w:rPr>
              <w:t>(</w:t>
            </w:r>
            <w:proofErr w:type="spellStart"/>
            <w:r w:rsidRPr="00614829">
              <w:rPr>
                <w:rStyle w:val="FootnotereferencessuperscriptMisc"/>
                <w:sz w:val="20"/>
                <w:szCs w:val="28"/>
              </w:rPr>
              <w:t>i</w:t>
            </w:r>
            <w:proofErr w:type="spellEnd"/>
            <w:r w:rsidRPr="00614829">
              <w:rPr>
                <w:rStyle w:val="FootnotereferencessuperscriptMisc"/>
                <w:sz w:val="20"/>
                <w:szCs w:val="28"/>
              </w:rPr>
              <w:t>)</w:t>
            </w:r>
            <w:r w:rsidRPr="00614829">
              <w:rPr>
                <w:rStyle w:val="FootnotereferencessuperscriptMisc"/>
                <w:sz w:val="20"/>
                <w:szCs w:val="28"/>
                <w:vertAlign w:val="baseline"/>
              </w:rPr>
              <w:t xml:space="preserve"> </w:t>
            </w:r>
            <w:r w:rsidR="000607CB" w:rsidRPr="00420825">
              <w:rPr>
                <w:sz w:val="20"/>
                <w:szCs w:val="28"/>
              </w:rPr>
              <w:t>2023</w:t>
            </w:r>
            <w:r w:rsidRPr="00420825">
              <w:rPr>
                <w:sz w:val="20"/>
                <w:szCs w:val="28"/>
              </w:rPr>
              <w:t xml:space="preserve"> ($</w:t>
            </w:r>
            <w:r w:rsidR="00652DE3">
              <w:rPr>
                <w:sz w:val="20"/>
                <w:szCs w:val="28"/>
              </w:rPr>
              <w:t> </w:t>
            </w:r>
            <w:r w:rsidRPr="00420825">
              <w:rPr>
                <w:sz w:val="20"/>
                <w:szCs w:val="28"/>
              </w:rPr>
              <w:t>thousand)</w:t>
            </w:r>
            <w:r w:rsidR="000607CB" w:rsidRPr="00420825">
              <w:rPr>
                <w:sz w:val="20"/>
                <w:szCs w:val="28"/>
              </w:rPr>
              <w:t xml:space="preserve"> </w:t>
            </w:r>
          </w:p>
        </w:tc>
        <w:tc>
          <w:tcPr>
            <w:tcW w:w="1329" w:type="dxa"/>
          </w:tcPr>
          <w:p w14:paraId="421F372C" w14:textId="15C83F37" w:rsidR="000607CB" w:rsidRPr="00420825" w:rsidRDefault="00420825" w:rsidP="000A0312">
            <w:pPr>
              <w:pStyle w:val="TableColumnHeading"/>
              <w:jc w:val="right"/>
              <w:rPr>
                <w:sz w:val="20"/>
                <w:szCs w:val="28"/>
              </w:rPr>
            </w:pPr>
            <w:r w:rsidRPr="00420825">
              <w:rPr>
                <w:sz w:val="20"/>
                <w:szCs w:val="28"/>
              </w:rPr>
              <w:t>Business Precincts</w:t>
            </w:r>
            <w:r w:rsidRPr="00614829">
              <w:rPr>
                <w:rStyle w:val="FootnotereferencessuperscriptMisc"/>
                <w:sz w:val="20"/>
                <w:szCs w:val="28"/>
                <w:vertAlign w:val="baseline"/>
              </w:rPr>
              <w:t xml:space="preserve"> </w:t>
            </w:r>
            <w:r w:rsidRPr="00614829">
              <w:rPr>
                <w:rStyle w:val="FootnotereferencessuperscriptMisc"/>
                <w:sz w:val="20"/>
                <w:szCs w:val="28"/>
              </w:rPr>
              <w:t>(</w:t>
            </w:r>
            <w:proofErr w:type="spellStart"/>
            <w:r w:rsidRPr="00614829">
              <w:rPr>
                <w:rStyle w:val="FootnotereferencessuperscriptMisc"/>
                <w:sz w:val="20"/>
                <w:szCs w:val="28"/>
              </w:rPr>
              <w:t>i</w:t>
            </w:r>
            <w:proofErr w:type="spellEnd"/>
            <w:r w:rsidRPr="00614829">
              <w:rPr>
                <w:rStyle w:val="FootnotereferencessuperscriptMisc"/>
                <w:sz w:val="20"/>
                <w:szCs w:val="28"/>
              </w:rPr>
              <w:t>)</w:t>
            </w:r>
            <w:r w:rsidRPr="00614829">
              <w:rPr>
                <w:rStyle w:val="FootnotereferencessuperscriptMisc"/>
                <w:sz w:val="20"/>
                <w:szCs w:val="28"/>
                <w:vertAlign w:val="baseline"/>
              </w:rPr>
              <w:t xml:space="preserve"> </w:t>
            </w:r>
            <w:r w:rsidR="000607CB" w:rsidRPr="00420825">
              <w:rPr>
                <w:sz w:val="20"/>
                <w:szCs w:val="28"/>
              </w:rPr>
              <w:t>2022</w:t>
            </w:r>
            <w:r w:rsidRPr="00420825">
              <w:rPr>
                <w:sz w:val="20"/>
                <w:szCs w:val="28"/>
              </w:rPr>
              <w:t xml:space="preserve"> ($</w:t>
            </w:r>
            <w:r w:rsidR="00652DE3">
              <w:rPr>
                <w:sz w:val="20"/>
                <w:szCs w:val="28"/>
              </w:rPr>
              <w:t> </w:t>
            </w:r>
            <w:r w:rsidRPr="00420825">
              <w:rPr>
                <w:sz w:val="20"/>
                <w:szCs w:val="28"/>
              </w:rPr>
              <w:t>thousand)</w:t>
            </w:r>
          </w:p>
        </w:tc>
        <w:tc>
          <w:tcPr>
            <w:tcW w:w="1343" w:type="dxa"/>
          </w:tcPr>
          <w:p w14:paraId="42947CA2" w14:textId="01C8E0D3" w:rsidR="000607CB" w:rsidRPr="00420825" w:rsidRDefault="00420825" w:rsidP="000A0312">
            <w:pPr>
              <w:pStyle w:val="TableColumnHeading"/>
              <w:jc w:val="right"/>
              <w:rPr>
                <w:sz w:val="20"/>
                <w:szCs w:val="28"/>
              </w:rPr>
            </w:pPr>
            <w:r w:rsidRPr="00420825">
              <w:rPr>
                <w:sz w:val="20"/>
                <w:szCs w:val="28"/>
              </w:rPr>
              <w:t>Fishing, Boating and Game Management</w:t>
            </w:r>
            <w:r w:rsidRPr="00614829">
              <w:rPr>
                <w:rStyle w:val="FootnotereferencessuperscriptMisc"/>
                <w:sz w:val="20"/>
                <w:szCs w:val="28"/>
                <w:vertAlign w:val="baseline"/>
              </w:rPr>
              <w:t xml:space="preserve"> </w:t>
            </w:r>
            <w:r w:rsidRPr="00614829">
              <w:rPr>
                <w:rStyle w:val="FootnotereferencessuperscriptMisc"/>
                <w:sz w:val="20"/>
                <w:szCs w:val="28"/>
              </w:rPr>
              <w:t>(ii)</w:t>
            </w:r>
            <w:r w:rsidRPr="00614829">
              <w:rPr>
                <w:rStyle w:val="FootnotereferencessuperscriptMisc"/>
                <w:sz w:val="20"/>
                <w:szCs w:val="28"/>
                <w:vertAlign w:val="baseline"/>
              </w:rPr>
              <w:t xml:space="preserve"> </w:t>
            </w:r>
            <w:r w:rsidR="000607CB" w:rsidRPr="00420825">
              <w:rPr>
                <w:sz w:val="20"/>
                <w:szCs w:val="28"/>
              </w:rPr>
              <w:t>2023</w:t>
            </w:r>
            <w:r w:rsidRPr="00420825">
              <w:rPr>
                <w:sz w:val="20"/>
                <w:szCs w:val="28"/>
              </w:rPr>
              <w:t xml:space="preserve"> ($</w:t>
            </w:r>
            <w:r w:rsidR="00652DE3">
              <w:rPr>
                <w:sz w:val="20"/>
                <w:szCs w:val="28"/>
              </w:rPr>
              <w:t> </w:t>
            </w:r>
            <w:r w:rsidRPr="00420825">
              <w:rPr>
                <w:sz w:val="20"/>
                <w:szCs w:val="28"/>
              </w:rPr>
              <w:t>thousand)</w:t>
            </w:r>
            <w:r w:rsidR="000607CB" w:rsidRPr="00420825">
              <w:rPr>
                <w:sz w:val="20"/>
                <w:szCs w:val="28"/>
              </w:rPr>
              <w:t xml:space="preserve"> </w:t>
            </w:r>
          </w:p>
        </w:tc>
        <w:tc>
          <w:tcPr>
            <w:tcW w:w="1417" w:type="dxa"/>
          </w:tcPr>
          <w:p w14:paraId="557E3109" w14:textId="6027E7EA" w:rsidR="000607CB" w:rsidRPr="00420825" w:rsidRDefault="00420825" w:rsidP="000A0312">
            <w:pPr>
              <w:pStyle w:val="TableColumnHeading"/>
              <w:jc w:val="right"/>
              <w:rPr>
                <w:sz w:val="20"/>
                <w:szCs w:val="28"/>
              </w:rPr>
            </w:pPr>
            <w:r w:rsidRPr="00420825">
              <w:rPr>
                <w:sz w:val="20"/>
                <w:szCs w:val="28"/>
              </w:rPr>
              <w:t>Fishing, Boating and Game Management</w:t>
            </w:r>
            <w:r w:rsidRPr="00614829">
              <w:rPr>
                <w:rStyle w:val="FootnotereferencessuperscriptMisc"/>
                <w:sz w:val="20"/>
                <w:szCs w:val="28"/>
                <w:vertAlign w:val="baseline"/>
              </w:rPr>
              <w:t xml:space="preserve"> </w:t>
            </w:r>
            <w:r w:rsidRPr="00614829">
              <w:rPr>
                <w:rStyle w:val="FootnotereferencessuperscriptMisc"/>
                <w:sz w:val="20"/>
                <w:szCs w:val="28"/>
              </w:rPr>
              <w:t>(ii)</w:t>
            </w:r>
            <w:r w:rsidRPr="00614829">
              <w:rPr>
                <w:rStyle w:val="FootnotereferencessuperscriptMisc"/>
                <w:sz w:val="20"/>
                <w:szCs w:val="28"/>
                <w:vertAlign w:val="baseline"/>
              </w:rPr>
              <w:t xml:space="preserve"> </w:t>
            </w:r>
            <w:r w:rsidR="000607CB" w:rsidRPr="00420825">
              <w:rPr>
                <w:sz w:val="20"/>
                <w:szCs w:val="28"/>
              </w:rPr>
              <w:t>2022</w:t>
            </w:r>
            <w:r w:rsidRPr="00420825">
              <w:rPr>
                <w:sz w:val="20"/>
                <w:szCs w:val="28"/>
              </w:rPr>
              <w:t xml:space="preserve"> ($</w:t>
            </w:r>
            <w:r w:rsidR="00652DE3">
              <w:rPr>
                <w:sz w:val="20"/>
                <w:szCs w:val="28"/>
              </w:rPr>
              <w:t> </w:t>
            </w:r>
            <w:r w:rsidRPr="00420825">
              <w:rPr>
                <w:sz w:val="20"/>
                <w:szCs w:val="28"/>
              </w:rPr>
              <w:t>thousand)</w:t>
            </w:r>
          </w:p>
        </w:tc>
        <w:tc>
          <w:tcPr>
            <w:tcW w:w="1418" w:type="dxa"/>
          </w:tcPr>
          <w:p w14:paraId="652C0C78" w14:textId="68755D61" w:rsidR="000607CB" w:rsidRPr="00420825" w:rsidRDefault="00420825" w:rsidP="000A0312">
            <w:pPr>
              <w:pStyle w:val="TableColumnHeading"/>
              <w:jc w:val="right"/>
              <w:rPr>
                <w:sz w:val="20"/>
                <w:szCs w:val="28"/>
              </w:rPr>
            </w:pPr>
            <w:r w:rsidRPr="00420825">
              <w:rPr>
                <w:sz w:val="20"/>
                <w:szCs w:val="28"/>
              </w:rPr>
              <w:t>Training, Higher Education and Workforce Development</w:t>
            </w:r>
            <w:r w:rsidRPr="00614829">
              <w:rPr>
                <w:rStyle w:val="FootnotereferencessuperscriptMisc"/>
                <w:sz w:val="20"/>
                <w:szCs w:val="28"/>
                <w:vertAlign w:val="baseline"/>
              </w:rPr>
              <w:t xml:space="preserve"> </w:t>
            </w:r>
            <w:r w:rsidRPr="00614829">
              <w:rPr>
                <w:rStyle w:val="FootnotereferencessuperscriptMisc"/>
                <w:sz w:val="20"/>
                <w:szCs w:val="28"/>
              </w:rPr>
              <w:t>(ii)</w:t>
            </w:r>
            <w:r w:rsidRPr="00614829">
              <w:rPr>
                <w:rStyle w:val="FootnotereferencessuperscriptMisc"/>
                <w:sz w:val="20"/>
                <w:szCs w:val="28"/>
                <w:vertAlign w:val="baseline"/>
              </w:rPr>
              <w:t xml:space="preserve"> </w:t>
            </w:r>
            <w:r w:rsidR="000607CB" w:rsidRPr="00420825">
              <w:rPr>
                <w:sz w:val="20"/>
                <w:szCs w:val="28"/>
              </w:rPr>
              <w:t>2023</w:t>
            </w:r>
            <w:r w:rsidRPr="00420825">
              <w:rPr>
                <w:sz w:val="20"/>
                <w:szCs w:val="28"/>
              </w:rPr>
              <w:t xml:space="preserve"> ($</w:t>
            </w:r>
            <w:r w:rsidR="00652DE3">
              <w:rPr>
                <w:sz w:val="20"/>
                <w:szCs w:val="28"/>
              </w:rPr>
              <w:t> </w:t>
            </w:r>
            <w:r w:rsidRPr="00420825">
              <w:rPr>
                <w:sz w:val="20"/>
                <w:szCs w:val="28"/>
              </w:rPr>
              <w:t>thousand)</w:t>
            </w:r>
            <w:r w:rsidR="000607CB" w:rsidRPr="00420825">
              <w:rPr>
                <w:sz w:val="20"/>
                <w:szCs w:val="28"/>
              </w:rPr>
              <w:t xml:space="preserve"> </w:t>
            </w:r>
          </w:p>
        </w:tc>
        <w:tc>
          <w:tcPr>
            <w:tcW w:w="1417" w:type="dxa"/>
          </w:tcPr>
          <w:p w14:paraId="65E74E81" w14:textId="132D39CD" w:rsidR="000607CB" w:rsidRPr="00420825" w:rsidRDefault="00420825" w:rsidP="000A0312">
            <w:pPr>
              <w:pStyle w:val="TableColumnHeading"/>
              <w:jc w:val="right"/>
              <w:rPr>
                <w:sz w:val="20"/>
                <w:szCs w:val="28"/>
              </w:rPr>
            </w:pPr>
            <w:r w:rsidRPr="00420825">
              <w:rPr>
                <w:sz w:val="20"/>
                <w:szCs w:val="28"/>
              </w:rPr>
              <w:t>Training, Higher Education and Workforce Development</w:t>
            </w:r>
            <w:r w:rsidRPr="00614829">
              <w:rPr>
                <w:rStyle w:val="FootnotereferencessuperscriptMisc"/>
                <w:sz w:val="20"/>
                <w:szCs w:val="28"/>
                <w:vertAlign w:val="baseline"/>
              </w:rPr>
              <w:t xml:space="preserve"> </w:t>
            </w:r>
            <w:r w:rsidRPr="00614829">
              <w:rPr>
                <w:rStyle w:val="FootnotereferencessuperscriptMisc"/>
                <w:sz w:val="20"/>
                <w:szCs w:val="28"/>
              </w:rPr>
              <w:t>(ii)</w:t>
            </w:r>
            <w:r w:rsidRPr="00614829">
              <w:rPr>
                <w:rStyle w:val="FootnotereferencessuperscriptMisc"/>
                <w:sz w:val="20"/>
                <w:szCs w:val="28"/>
                <w:vertAlign w:val="baseline"/>
              </w:rPr>
              <w:t xml:space="preserve"> </w:t>
            </w:r>
            <w:r w:rsidR="000607CB" w:rsidRPr="00420825">
              <w:rPr>
                <w:sz w:val="20"/>
                <w:szCs w:val="28"/>
              </w:rPr>
              <w:t>2022</w:t>
            </w:r>
            <w:r w:rsidRPr="00420825">
              <w:rPr>
                <w:sz w:val="20"/>
                <w:szCs w:val="28"/>
              </w:rPr>
              <w:t xml:space="preserve"> ($</w:t>
            </w:r>
            <w:r w:rsidR="00652DE3">
              <w:rPr>
                <w:sz w:val="20"/>
                <w:szCs w:val="28"/>
              </w:rPr>
              <w:t> </w:t>
            </w:r>
            <w:r w:rsidRPr="00420825">
              <w:rPr>
                <w:sz w:val="20"/>
                <w:szCs w:val="28"/>
              </w:rPr>
              <w:t>thousand)</w:t>
            </w:r>
          </w:p>
        </w:tc>
        <w:tc>
          <w:tcPr>
            <w:tcW w:w="1329" w:type="dxa"/>
          </w:tcPr>
          <w:p w14:paraId="75BB8ED1" w14:textId="64F9D5BD" w:rsidR="000607CB" w:rsidRPr="00420825" w:rsidRDefault="00420825" w:rsidP="000A0312">
            <w:pPr>
              <w:pStyle w:val="TableColumnHeading"/>
              <w:jc w:val="right"/>
              <w:rPr>
                <w:sz w:val="20"/>
                <w:szCs w:val="28"/>
              </w:rPr>
            </w:pPr>
            <w:r w:rsidRPr="00420825">
              <w:rPr>
                <w:sz w:val="20"/>
                <w:szCs w:val="28"/>
              </w:rPr>
              <w:t xml:space="preserve">DJSIR Existing and New Outputs Subtotal </w:t>
            </w:r>
            <w:r w:rsidR="000607CB" w:rsidRPr="00420825">
              <w:rPr>
                <w:sz w:val="20"/>
                <w:szCs w:val="28"/>
              </w:rPr>
              <w:t>2023</w:t>
            </w:r>
            <w:r w:rsidRPr="00420825">
              <w:rPr>
                <w:sz w:val="20"/>
                <w:szCs w:val="28"/>
              </w:rPr>
              <w:t xml:space="preserve"> ($</w:t>
            </w:r>
            <w:r w:rsidR="00652DE3">
              <w:rPr>
                <w:sz w:val="20"/>
                <w:szCs w:val="28"/>
              </w:rPr>
              <w:t> </w:t>
            </w:r>
            <w:r w:rsidRPr="00420825">
              <w:rPr>
                <w:sz w:val="20"/>
                <w:szCs w:val="28"/>
              </w:rPr>
              <w:t>thousand)</w:t>
            </w:r>
            <w:r w:rsidR="000607CB" w:rsidRPr="00420825">
              <w:rPr>
                <w:sz w:val="20"/>
                <w:szCs w:val="28"/>
              </w:rPr>
              <w:t xml:space="preserve"> </w:t>
            </w:r>
          </w:p>
        </w:tc>
        <w:tc>
          <w:tcPr>
            <w:tcW w:w="1329" w:type="dxa"/>
          </w:tcPr>
          <w:p w14:paraId="3762CD9B" w14:textId="3FCEC214" w:rsidR="000607CB" w:rsidRPr="00420825" w:rsidRDefault="00420825" w:rsidP="000A0312">
            <w:pPr>
              <w:pStyle w:val="TableColumnHeading"/>
              <w:jc w:val="right"/>
              <w:rPr>
                <w:sz w:val="20"/>
                <w:szCs w:val="28"/>
              </w:rPr>
            </w:pPr>
            <w:r w:rsidRPr="00420825">
              <w:rPr>
                <w:sz w:val="20"/>
                <w:szCs w:val="28"/>
              </w:rPr>
              <w:t xml:space="preserve">DJSIR Existing and New Outputs Subtotal </w:t>
            </w:r>
            <w:r w:rsidR="000607CB" w:rsidRPr="00420825">
              <w:rPr>
                <w:sz w:val="20"/>
                <w:szCs w:val="28"/>
              </w:rPr>
              <w:t>2022</w:t>
            </w:r>
            <w:r w:rsidRPr="00420825">
              <w:rPr>
                <w:sz w:val="20"/>
                <w:szCs w:val="28"/>
              </w:rPr>
              <w:t xml:space="preserve"> ($</w:t>
            </w:r>
            <w:r w:rsidR="00652DE3">
              <w:rPr>
                <w:sz w:val="20"/>
                <w:szCs w:val="28"/>
              </w:rPr>
              <w:t> </w:t>
            </w:r>
            <w:r w:rsidRPr="00420825">
              <w:rPr>
                <w:sz w:val="20"/>
                <w:szCs w:val="28"/>
              </w:rPr>
              <w:t>thousand)</w:t>
            </w:r>
          </w:p>
        </w:tc>
      </w:tr>
      <w:tr w:rsidR="000607CB" w:rsidRPr="00420825" w14:paraId="64931834" w14:textId="77777777" w:rsidTr="00BB0239">
        <w:trPr>
          <w:trHeight w:val="113"/>
        </w:trPr>
        <w:tc>
          <w:tcPr>
            <w:tcW w:w="3964" w:type="dxa"/>
          </w:tcPr>
          <w:p w14:paraId="30209E5C" w14:textId="77777777" w:rsidR="000607CB" w:rsidRPr="00420825" w:rsidRDefault="000607CB" w:rsidP="00420825">
            <w:pPr>
              <w:pStyle w:val="TableHeading"/>
            </w:pPr>
            <w:r w:rsidRPr="00420825">
              <w:t>Assets</w:t>
            </w:r>
          </w:p>
        </w:tc>
        <w:tc>
          <w:tcPr>
            <w:tcW w:w="1328" w:type="dxa"/>
          </w:tcPr>
          <w:p w14:paraId="5023DC45" w14:textId="77777777" w:rsidR="000607CB" w:rsidRPr="00420825" w:rsidRDefault="000607CB" w:rsidP="000A0312">
            <w:pPr>
              <w:pStyle w:val="TableHeading"/>
              <w:jc w:val="right"/>
            </w:pPr>
          </w:p>
        </w:tc>
        <w:tc>
          <w:tcPr>
            <w:tcW w:w="1329" w:type="dxa"/>
          </w:tcPr>
          <w:p w14:paraId="0AC62227" w14:textId="77777777" w:rsidR="000607CB" w:rsidRPr="00420825" w:rsidRDefault="000607CB" w:rsidP="000A0312">
            <w:pPr>
              <w:pStyle w:val="TableHeading"/>
              <w:jc w:val="right"/>
            </w:pPr>
          </w:p>
        </w:tc>
        <w:tc>
          <w:tcPr>
            <w:tcW w:w="1343" w:type="dxa"/>
          </w:tcPr>
          <w:p w14:paraId="6E18F8E6" w14:textId="77777777" w:rsidR="000607CB" w:rsidRPr="00420825" w:rsidRDefault="000607CB" w:rsidP="000A0312">
            <w:pPr>
              <w:pStyle w:val="TableHeading"/>
              <w:jc w:val="right"/>
            </w:pPr>
          </w:p>
        </w:tc>
        <w:tc>
          <w:tcPr>
            <w:tcW w:w="1417" w:type="dxa"/>
          </w:tcPr>
          <w:p w14:paraId="4F117B60" w14:textId="77777777" w:rsidR="000607CB" w:rsidRPr="00420825" w:rsidRDefault="000607CB" w:rsidP="000A0312">
            <w:pPr>
              <w:pStyle w:val="TableHeading"/>
              <w:jc w:val="right"/>
            </w:pPr>
          </w:p>
        </w:tc>
        <w:tc>
          <w:tcPr>
            <w:tcW w:w="1418" w:type="dxa"/>
          </w:tcPr>
          <w:p w14:paraId="6CB6FA66" w14:textId="77777777" w:rsidR="000607CB" w:rsidRPr="00420825" w:rsidRDefault="000607CB" w:rsidP="000A0312">
            <w:pPr>
              <w:pStyle w:val="TableHeading"/>
              <w:jc w:val="right"/>
            </w:pPr>
          </w:p>
        </w:tc>
        <w:tc>
          <w:tcPr>
            <w:tcW w:w="1417" w:type="dxa"/>
          </w:tcPr>
          <w:p w14:paraId="42B103CE" w14:textId="77777777" w:rsidR="000607CB" w:rsidRPr="00420825" w:rsidRDefault="000607CB" w:rsidP="000A0312">
            <w:pPr>
              <w:pStyle w:val="TableHeading"/>
              <w:jc w:val="right"/>
            </w:pPr>
          </w:p>
        </w:tc>
        <w:tc>
          <w:tcPr>
            <w:tcW w:w="1329" w:type="dxa"/>
          </w:tcPr>
          <w:p w14:paraId="1BEBCD48" w14:textId="77777777" w:rsidR="000607CB" w:rsidRPr="00420825" w:rsidRDefault="000607CB" w:rsidP="000A0312">
            <w:pPr>
              <w:pStyle w:val="TableHeading"/>
              <w:jc w:val="right"/>
            </w:pPr>
          </w:p>
        </w:tc>
        <w:tc>
          <w:tcPr>
            <w:tcW w:w="1329" w:type="dxa"/>
          </w:tcPr>
          <w:p w14:paraId="402EF5A9" w14:textId="77777777" w:rsidR="000607CB" w:rsidRPr="00420825" w:rsidRDefault="000607CB" w:rsidP="000A0312">
            <w:pPr>
              <w:pStyle w:val="TableHeading"/>
              <w:jc w:val="right"/>
            </w:pPr>
          </w:p>
        </w:tc>
      </w:tr>
      <w:tr w:rsidR="000607CB" w14:paraId="3293426D" w14:textId="77777777" w:rsidTr="00BB0239">
        <w:trPr>
          <w:trHeight w:val="113"/>
        </w:trPr>
        <w:tc>
          <w:tcPr>
            <w:tcW w:w="3964" w:type="dxa"/>
          </w:tcPr>
          <w:p w14:paraId="7A146B7D" w14:textId="68CDF068" w:rsidR="000607CB" w:rsidRDefault="000607CB" w:rsidP="00420825">
            <w:pPr>
              <w:pStyle w:val="TableCopy"/>
            </w:pPr>
            <w:r>
              <w:t>Financial assets</w:t>
            </w:r>
          </w:p>
        </w:tc>
        <w:tc>
          <w:tcPr>
            <w:tcW w:w="1328" w:type="dxa"/>
          </w:tcPr>
          <w:p w14:paraId="00B038AA" w14:textId="387DB674" w:rsidR="000607CB" w:rsidRDefault="000607CB" w:rsidP="000A0312">
            <w:pPr>
              <w:pStyle w:val="TableCopy"/>
              <w:jc w:val="right"/>
            </w:pPr>
            <w:r>
              <w:t>39,389</w:t>
            </w:r>
          </w:p>
        </w:tc>
        <w:tc>
          <w:tcPr>
            <w:tcW w:w="1329" w:type="dxa"/>
          </w:tcPr>
          <w:p w14:paraId="037A7667" w14:textId="49CD44C7" w:rsidR="000607CB" w:rsidRDefault="000607CB" w:rsidP="000A0312">
            <w:pPr>
              <w:pStyle w:val="TableCopy"/>
              <w:jc w:val="right"/>
            </w:pPr>
            <w:r>
              <w:t>11,179</w:t>
            </w:r>
          </w:p>
        </w:tc>
        <w:tc>
          <w:tcPr>
            <w:tcW w:w="1343" w:type="dxa"/>
          </w:tcPr>
          <w:p w14:paraId="0C1D0594" w14:textId="62D45F75" w:rsidR="000607CB" w:rsidRDefault="000607CB" w:rsidP="000A0312">
            <w:pPr>
              <w:pStyle w:val="TableCopy"/>
              <w:jc w:val="right"/>
            </w:pPr>
            <w:r>
              <w:t>83,894</w:t>
            </w:r>
          </w:p>
        </w:tc>
        <w:tc>
          <w:tcPr>
            <w:tcW w:w="1417" w:type="dxa"/>
          </w:tcPr>
          <w:p w14:paraId="506BB3C9" w14:textId="085EEB31" w:rsidR="000607CB" w:rsidRDefault="000607CB" w:rsidP="000A0312">
            <w:pPr>
              <w:pStyle w:val="TableCopy"/>
              <w:jc w:val="right"/>
            </w:pPr>
            <w:r>
              <w:t>23,525</w:t>
            </w:r>
          </w:p>
        </w:tc>
        <w:tc>
          <w:tcPr>
            <w:tcW w:w="1418" w:type="dxa"/>
          </w:tcPr>
          <w:p w14:paraId="4EDD0F87" w14:textId="3C71688E" w:rsidR="000607CB" w:rsidRDefault="000607CB" w:rsidP="000A0312">
            <w:pPr>
              <w:pStyle w:val="TableCopy"/>
              <w:jc w:val="right"/>
            </w:pPr>
            <w:r>
              <w:t>263,766</w:t>
            </w:r>
          </w:p>
        </w:tc>
        <w:tc>
          <w:tcPr>
            <w:tcW w:w="1417" w:type="dxa"/>
          </w:tcPr>
          <w:p w14:paraId="11A98D94" w14:textId="4BFCE622" w:rsidR="000607CB" w:rsidRDefault="000607CB" w:rsidP="000A0312">
            <w:pPr>
              <w:pStyle w:val="TableCopy"/>
              <w:jc w:val="right"/>
            </w:pPr>
            <w:r>
              <w:t>–</w:t>
            </w:r>
          </w:p>
        </w:tc>
        <w:tc>
          <w:tcPr>
            <w:tcW w:w="1329" w:type="dxa"/>
          </w:tcPr>
          <w:p w14:paraId="30A930F2" w14:textId="40159253" w:rsidR="000607CB" w:rsidRDefault="000607CB" w:rsidP="000A0312">
            <w:pPr>
              <w:pStyle w:val="TableCopy"/>
              <w:jc w:val="right"/>
            </w:pPr>
            <w:r>
              <w:t>908,068</w:t>
            </w:r>
          </w:p>
        </w:tc>
        <w:tc>
          <w:tcPr>
            <w:tcW w:w="1329" w:type="dxa"/>
          </w:tcPr>
          <w:p w14:paraId="65C78702" w14:textId="169B4A2E" w:rsidR="000607CB" w:rsidRDefault="000607CB" w:rsidP="000A0312">
            <w:pPr>
              <w:pStyle w:val="TableCopy"/>
              <w:jc w:val="right"/>
            </w:pPr>
            <w:r>
              <w:t>663,490</w:t>
            </w:r>
          </w:p>
        </w:tc>
      </w:tr>
      <w:tr w:rsidR="000607CB" w14:paraId="6A5814E7" w14:textId="77777777" w:rsidTr="00BB0239">
        <w:trPr>
          <w:trHeight w:val="113"/>
        </w:trPr>
        <w:tc>
          <w:tcPr>
            <w:tcW w:w="3964" w:type="dxa"/>
          </w:tcPr>
          <w:p w14:paraId="56681C40" w14:textId="3F85A58D" w:rsidR="000607CB" w:rsidRDefault="000607CB" w:rsidP="00420825">
            <w:pPr>
              <w:pStyle w:val="TableCopy"/>
            </w:pPr>
            <w:r>
              <w:t>Non-financial assets</w:t>
            </w:r>
          </w:p>
        </w:tc>
        <w:tc>
          <w:tcPr>
            <w:tcW w:w="1328" w:type="dxa"/>
          </w:tcPr>
          <w:p w14:paraId="1C50FC0D" w14:textId="5E7979E3" w:rsidR="000607CB" w:rsidRDefault="000607CB" w:rsidP="000A0312">
            <w:pPr>
              <w:pStyle w:val="TableCopy"/>
              <w:jc w:val="right"/>
            </w:pPr>
            <w:r>
              <w:t>298,032</w:t>
            </w:r>
          </w:p>
        </w:tc>
        <w:tc>
          <w:tcPr>
            <w:tcW w:w="1329" w:type="dxa"/>
          </w:tcPr>
          <w:p w14:paraId="69E24946" w14:textId="7545D5A0" w:rsidR="000607CB" w:rsidRDefault="000607CB" w:rsidP="000A0312">
            <w:pPr>
              <w:pStyle w:val="TableCopy"/>
              <w:jc w:val="right"/>
            </w:pPr>
            <w:r>
              <w:t>44,842</w:t>
            </w:r>
          </w:p>
        </w:tc>
        <w:tc>
          <w:tcPr>
            <w:tcW w:w="1343" w:type="dxa"/>
          </w:tcPr>
          <w:p w14:paraId="2921F85E" w14:textId="7E60DDCC" w:rsidR="000607CB" w:rsidRDefault="000607CB" w:rsidP="000A0312">
            <w:pPr>
              <w:pStyle w:val="TableCopy"/>
              <w:jc w:val="right"/>
            </w:pPr>
            <w:r>
              <w:t>–</w:t>
            </w:r>
          </w:p>
        </w:tc>
        <w:tc>
          <w:tcPr>
            <w:tcW w:w="1417" w:type="dxa"/>
          </w:tcPr>
          <w:p w14:paraId="1742043E" w14:textId="12DAB1B6" w:rsidR="000607CB" w:rsidRDefault="000607CB" w:rsidP="000A0312">
            <w:pPr>
              <w:pStyle w:val="TableCopy"/>
              <w:jc w:val="right"/>
            </w:pPr>
            <w:r>
              <w:t>–</w:t>
            </w:r>
          </w:p>
        </w:tc>
        <w:tc>
          <w:tcPr>
            <w:tcW w:w="1418" w:type="dxa"/>
          </w:tcPr>
          <w:p w14:paraId="5AA98D0C" w14:textId="6AE04684" w:rsidR="000607CB" w:rsidRDefault="000607CB" w:rsidP="000A0312">
            <w:pPr>
              <w:pStyle w:val="TableCopy"/>
              <w:jc w:val="right"/>
            </w:pPr>
            <w:r>
              <w:t>189,421</w:t>
            </w:r>
          </w:p>
        </w:tc>
        <w:tc>
          <w:tcPr>
            <w:tcW w:w="1417" w:type="dxa"/>
          </w:tcPr>
          <w:p w14:paraId="3594ECFC" w14:textId="092BC868" w:rsidR="000607CB" w:rsidRDefault="000607CB" w:rsidP="000A0312">
            <w:pPr>
              <w:pStyle w:val="TableCopy"/>
              <w:jc w:val="right"/>
            </w:pPr>
            <w:r>
              <w:t>–</w:t>
            </w:r>
          </w:p>
        </w:tc>
        <w:tc>
          <w:tcPr>
            <w:tcW w:w="1329" w:type="dxa"/>
          </w:tcPr>
          <w:p w14:paraId="2D546168" w14:textId="6FB3EC3C" w:rsidR="000607CB" w:rsidRDefault="000607CB" w:rsidP="000A0312">
            <w:pPr>
              <w:pStyle w:val="TableCopy"/>
              <w:jc w:val="right"/>
            </w:pPr>
            <w:r>
              <w:t>1,155,924</w:t>
            </w:r>
          </w:p>
        </w:tc>
        <w:tc>
          <w:tcPr>
            <w:tcW w:w="1329" w:type="dxa"/>
          </w:tcPr>
          <w:p w14:paraId="19298ECD" w14:textId="647AAB50" w:rsidR="000607CB" w:rsidRDefault="000607CB" w:rsidP="000A0312">
            <w:pPr>
              <w:pStyle w:val="TableCopy"/>
              <w:jc w:val="right"/>
            </w:pPr>
            <w:r>
              <w:t>697,837</w:t>
            </w:r>
          </w:p>
        </w:tc>
      </w:tr>
      <w:tr w:rsidR="000607CB" w:rsidRPr="00420825" w14:paraId="10B76FA3" w14:textId="77777777" w:rsidTr="00BB0239">
        <w:trPr>
          <w:trHeight w:val="113"/>
        </w:trPr>
        <w:tc>
          <w:tcPr>
            <w:tcW w:w="3964" w:type="dxa"/>
          </w:tcPr>
          <w:p w14:paraId="5026D83B" w14:textId="312129BB" w:rsidR="000607CB" w:rsidRPr="00420825" w:rsidRDefault="000607CB" w:rsidP="00420825">
            <w:pPr>
              <w:pStyle w:val="TableCopy"/>
              <w:rPr>
                <w:b/>
                <w:bCs/>
              </w:rPr>
            </w:pPr>
            <w:r w:rsidRPr="00420825">
              <w:rPr>
                <w:b/>
                <w:bCs/>
              </w:rPr>
              <w:t>Total assets</w:t>
            </w:r>
          </w:p>
        </w:tc>
        <w:tc>
          <w:tcPr>
            <w:tcW w:w="1328" w:type="dxa"/>
          </w:tcPr>
          <w:p w14:paraId="490AD9D1" w14:textId="510AFD18" w:rsidR="000607CB" w:rsidRPr="00420825" w:rsidRDefault="000607CB" w:rsidP="000A0312">
            <w:pPr>
              <w:pStyle w:val="TableCopy"/>
              <w:jc w:val="right"/>
              <w:rPr>
                <w:b/>
                <w:bCs/>
              </w:rPr>
            </w:pPr>
            <w:r w:rsidRPr="00420825">
              <w:rPr>
                <w:b/>
                <w:bCs/>
              </w:rPr>
              <w:t>337,420</w:t>
            </w:r>
          </w:p>
        </w:tc>
        <w:tc>
          <w:tcPr>
            <w:tcW w:w="1329" w:type="dxa"/>
          </w:tcPr>
          <w:p w14:paraId="4052F2FA" w14:textId="2D9C642D" w:rsidR="000607CB" w:rsidRPr="00420825" w:rsidRDefault="000607CB" w:rsidP="000A0312">
            <w:pPr>
              <w:pStyle w:val="TableCopy"/>
              <w:jc w:val="right"/>
              <w:rPr>
                <w:b/>
                <w:bCs/>
              </w:rPr>
            </w:pPr>
            <w:r w:rsidRPr="00420825">
              <w:rPr>
                <w:b/>
                <w:bCs/>
              </w:rPr>
              <w:t>56,021</w:t>
            </w:r>
          </w:p>
        </w:tc>
        <w:tc>
          <w:tcPr>
            <w:tcW w:w="1343" w:type="dxa"/>
          </w:tcPr>
          <w:p w14:paraId="494048AC" w14:textId="63BBDFBF" w:rsidR="000607CB" w:rsidRPr="00420825" w:rsidRDefault="000607CB" w:rsidP="000A0312">
            <w:pPr>
              <w:pStyle w:val="TableCopy"/>
              <w:jc w:val="right"/>
              <w:rPr>
                <w:b/>
                <w:bCs/>
              </w:rPr>
            </w:pPr>
            <w:r w:rsidRPr="00420825">
              <w:rPr>
                <w:b/>
                <w:bCs/>
              </w:rPr>
              <w:t>83,894</w:t>
            </w:r>
          </w:p>
        </w:tc>
        <w:tc>
          <w:tcPr>
            <w:tcW w:w="1417" w:type="dxa"/>
          </w:tcPr>
          <w:p w14:paraId="4230BEE2" w14:textId="39839494" w:rsidR="000607CB" w:rsidRPr="00420825" w:rsidRDefault="000607CB" w:rsidP="000A0312">
            <w:pPr>
              <w:pStyle w:val="TableCopy"/>
              <w:jc w:val="right"/>
              <w:rPr>
                <w:b/>
                <w:bCs/>
              </w:rPr>
            </w:pPr>
            <w:r w:rsidRPr="00420825">
              <w:rPr>
                <w:b/>
                <w:bCs/>
              </w:rPr>
              <w:t>23,525</w:t>
            </w:r>
          </w:p>
        </w:tc>
        <w:tc>
          <w:tcPr>
            <w:tcW w:w="1418" w:type="dxa"/>
          </w:tcPr>
          <w:p w14:paraId="6317BA1E" w14:textId="77777777" w:rsidR="000607CB" w:rsidRPr="00420825" w:rsidRDefault="000607CB" w:rsidP="000A0312">
            <w:pPr>
              <w:pStyle w:val="TableCopy"/>
              <w:jc w:val="right"/>
              <w:rPr>
                <w:b/>
                <w:bCs/>
              </w:rPr>
            </w:pPr>
            <w:r w:rsidRPr="00420825">
              <w:rPr>
                <w:b/>
                <w:bCs/>
              </w:rPr>
              <w:t>453,187</w:t>
            </w:r>
          </w:p>
        </w:tc>
        <w:tc>
          <w:tcPr>
            <w:tcW w:w="1417" w:type="dxa"/>
          </w:tcPr>
          <w:p w14:paraId="204BFED2" w14:textId="617256E0" w:rsidR="000607CB" w:rsidRPr="00420825" w:rsidRDefault="000607CB" w:rsidP="000A0312">
            <w:pPr>
              <w:pStyle w:val="TableCopy"/>
              <w:jc w:val="right"/>
              <w:rPr>
                <w:b/>
                <w:bCs/>
              </w:rPr>
            </w:pPr>
            <w:r w:rsidRPr="00420825">
              <w:rPr>
                <w:b/>
                <w:bCs/>
              </w:rPr>
              <w:t>–</w:t>
            </w:r>
          </w:p>
        </w:tc>
        <w:tc>
          <w:tcPr>
            <w:tcW w:w="1329" w:type="dxa"/>
          </w:tcPr>
          <w:p w14:paraId="1E7B83AD" w14:textId="7A7BCAA1" w:rsidR="000607CB" w:rsidRPr="00420825" w:rsidRDefault="000607CB" w:rsidP="000A0312">
            <w:pPr>
              <w:pStyle w:val="TableCopy"/>
              <w:jc w:val="right"/>
              <w:rPr>
                <w:b/>
                <w:bCs/>
              </w:rPr>
            </w:pPr>
            <w:r w:rsidRPr="00420825">
              <w:rPr>
                <w:b/>
                <w:bCs/>
              </w:rPr>
              <w:t>2,063,992</w:t>
            </w:r>
          </w:p>
        </w:tc>
        <w:tc>
          <w:tcPr>
            <w:tcW w:w="1329" w:type="dxa"/>
          </w:tcPr>
          <w:p w14:paraId="03773EF8" w14:textId="7A197AF8" w:rsidR="000607CB" w:rsidRPr="00420825" w:rsidRDefault="000607CB" w:rsidP="000A0312">
            <w:pPr>
              <w:pStyle w:val="TableCopy"/>
              <w:jc w:val="right"/>
              <w:rPr>
                <w:b/>
                <w:bCs/>
              </w:rPr>
            </w:pPr>
            <w:r w:rsidRPr="00420825">
              <w:rPr>
                <w:b/>
                <w:bCs/>
              </w:rPr>
              <w:t>1,361,327</w:t>
            </w:r>
          </w:p>
        </w:tc>
      </w:tr>
      <w:tr w:rsidR="000607CB" w:rsidRPr="00420825" w14:paraId="35FAC7F6" w14:textId="77777777" w:rsidTr="00BB0239">
        <w:trPr>
          <w:trHeight w:val="113"/>
        </w:trPr>
        <w:tc>
          <w:tcPr>
            <w:tcW w:w="3964" w:type="dxa"/>
          </w:tcPr>
          <w:p w14:paraId="2D6F3CDF" w14:textId="46C83B96" w:rsidR="000607CB" w:rsidRPr="00420825" w:rsidRDefault="000607CB" w:rsidP="00420825">
            <w:pPr>
              <w:pStyle w:val="TableCopy"/>
              <w:rPr>
                <w:b/>
                <w:bCs/>
              </w:rPr>
            </w:pPr>
            <w:r w:rsidRPr="00420825">
              <w:rPr>
                <w:b/>
                <w:bCs/>
              </w:rPr>
              <w:t>Total liabilities</w:t>
            </w:r>
          </w:p>
        </w:tc>
        <w:tc>
          <w:tcPr>
            <w:tcW w:w="1328" w:type="dxa"/>
          </w:tcPr>
          <w:p w14:paraId="62E1901A" w14:textId="3E8F7F4B" w:rsidR="000607CB" w:rsidRPr="00420825" w:rsidRDefault="000607CB" w:rsidP="000A0312">
            <w:pPr>
              <w:pStyle w:val="TableCopy"/>
              <w:jc w:val="right"/>
              <w:rPr>
                <w:b/>
                <w:bCs/>
              </w:rPr>
            </w:pPr>
            <w:r w:rsidRPr="00420825">
              <w:rPr>
                <w:b/>
                <w:bCs/>
              </w:rPr>
              <w:t>3,473</w:t>
            </w:r>
          </w:p>
        </w:tc>
        <w:tc>
          <w:tcPr>
            <w:tcW w:w="1329" w:type="dxa"/>
          </w:tcPr>
          <w:p w14:paraId="0262168E" w14:textId="22133C2F" w:rsidR="000607CB" w:rsidRPr="00420825" w:rsidRDefault="000607CB" w:rsidP="000A0312">
            <w:pPr>
              <w:pStyle w:val="TableCopy"/>
              <w:jc w:val="right"/>
              <w:rPr>
                <w:b/>
                <w:bCs/>
              </w:rPr>
            </w:pPr>
            <w:r w:rsidRPr="00420825">
              <w:rPr>
                <w:b/>
                <w:bCs/>
              </w:rPr>
              <w:t>478</w:t>
            </w:r>
          </w:p>
        </w:tc>
        <w:tc>
          <w:tcPr>
            <w:tcW w:w="1343" w:type="dxa"/>
          </w:tcPr>
          <w:p w14:paraId="080808A7" w14:textId="56F8AC0B" w:rsidR="000607CB" w:rsidRPr="00420825" w:rsidRDefault="000607CB" w:rsidP="000A0312">
            <w:pPr>
              <w:pStyle w:val="TableCopy"/>
              <w:jc w:val="right"/>
              <w:rPr>
                <w:b/>
                <w:bCs/>
              </w:rPr>
            </w:pPr>
            <w:r w:rsidRPr="00420825">
              <w:rPr>
                <w:b/>
                <w:bCs/>
              </w:rPr>
              <w:t>21,416</w:t>
            </w:r>
          </w:p>
        </w:tc>
        <w:tc>
          <w:tcPr>
            <w:tcW w:w="1417" w:type="dxa"/>
          </w:tcPr>
          <w:p w14:paraId="37409196" w14:textId="4A6953B5" w:rsidR="000607CB" w:rsidRPr="00420825" w:rsidRDefault="000607CB" w:rsidP="000A0312">
            <w:pPr>
              <w:pStyle w:val="TableCopy"/>
              <w:jc w:val="right"/>
              <w:rPr>
                <w:b/>
                <w:bCs/>
              </w:rPr>
            </w:pPr>
            <w:r w:rsidRPr="00420825">
              <w:rPr>
                <w:b/>
                <w:bCs/>
              </w:rPr>
              <w:t>–</w:t>
            </w:r>
          </w:p>
        </w:tc>
        <w:tc>
          <w:tcPr>
            <w:tcW w:w="1418" w:type="dxa"/>
          </w:tcPr>
          <w:p w14:paraId="431E0AB0" w14:textId="45BD22FE" w:rsidR="000607CB" w:rsidRPr="00420825" w:rsidRDefault="000607CB" w:rsidP="000A0312">
            <w:pPr>
              <w:pStyle w:val="TableCopy"/>
              <w:jc w:val="right"/>
              <w:rPr>
                <w:b/>
                <w:bCs/>
              </w:rPr>
            </w:pPr>
            <w:r w:rsidRPr="00420825">
              <w:rPr>
                <w:b/>
                <w:bCs/>
              </w:rPr>
              <w:t>281,389</w:t>
            </w:r>
          </w:p>
        </w:tc>
        <w:tc>
          <w:tcPr>
            <w:tcW w:w="1417" w:type="dxa"/>
          </w:tcPr>
          <w:p w14:paraId="728CDF5F" w14:textId="4A9898B8" w:rsidR="000607CB" w:rsidRPr="00420825" w:rsidRDefault="000607CB" w:rsidP="000A0312">
            <w:pPr>
              <w:pStyle w:val="TableCopy"/>
              <w:jc w:val="right"/>
              <w:rPr>
                <w:b/>
                <w:bCs/>
              </w:rPr>
            </w:pPr>
            <w:r w:rsidRPr="00420825">
              <w:rPr>
                <w:b/>
                <w:bCs/>
              </w:rPr>
              <w:t>–</w:t>
            </w:r>
          </w:p>
        </w:tc>
        <w:tc>
          <w:tcPr>
            <w:tcW w:w="1329" w:type="dxa"/>
          </w:tcPr>
          <w:p w14:paraId="21622CC2" w14:textId="5B27A50E" w:rsidR="000607CB" w:rsidRPr="00420825" w:rsidRDefault="000607CB" w:rsidP="000A0312">
            <w:pPr>
              <w:pStyle w:val="TableCopy"/>
              <w:jc w:val="right"/>
              <w:rPr>
                <w:b/>
                <w:bCs/>
              </w:rPr>
            </w:pPr>
            <w:r w:rsidRPr="00420825">
              <w:rPr>
                <w:b/>
                <w:bCs/>
              </w:rPr>
              <w:t>562,136</w:t>
            </w:r>
          </w:p>
        </w:tc>
        <w:tc>
          <w:tcPr>
            <w:tcW w:w="1329" w:type="dxa"/>
          </w:tcPr>
          <w:p w14:paraId="4E5BE205" w14:textId="1AF3FE9A" w:rsidR="000607CB" w:rsidRPr="00420825" w:rsidRDefault="000607CB" w:rsidP="000A0312">
            <w:pPr>
              <w:pStyle w:val="TableCopy"/>
              <w:jc w:val="right"/>
              <w:rPr>
                <w:b/>
                <w:bCs/>
              </w:rPr>
            </w:pPr>
            <w:r w:rsidRPr="00420825">
              <w:rPr>
                <w:b/>
                <w:bCs/>
              </w:rPr>
              <w:t>541,747</w:t>
            </w:r>
          </w:p>
        </w:tc>
      </w:tr>
      <w:tr w:rsidR="000607CB" w:rsidRPr="00420825" w14:paraId="62305403" w14:textId="77777777" w:rsidTr="00BB0239">
        <w:trPr>
          <w:trHeight w:val="113"/>
        </w:trPr>
        <w:tc>
          <w:tcPr>
            <w:tcW w:w="3964" w:type="dxa"/>
          </w:tcPr>
          <w:p w14:paraId="24D6C8F2" w14:textId="529227E7" w:rsidR="000607CB" w:rsidRPr="00420825" w:rsidRDefault="000607CB" w:rsidP="00420825">
            <w:pPr>
              <w:pStyle w:val="TableCopy"/>
              <w:rPr>
                <w:b/>
                <w:bCs/>
              </w:rPr>
            </w:pPr>
            <w:r w:rsidRPr="00420825">
              <w:rPr>
                <w:b/>
                <w:bCs/>
              </w:rPr>
              <w:t>Net assets/(liabilities)</w:t>
            </w:r>
          </w:p>
        </w:tc>
        <w:tc>
          <w:tcPr>
            <w:tcW w:w="1328" w:type="dxa"/>
          </w:tcPr>
          <w:p w14:paraId="03EE57B5" w14:textId="1D7B1EBB" w:rsidR="000607CB" w:rsidRPr="00420825" w:rsidRDefault="000607CB" w:rsidP="000A0312">
            <w:pPr>
              <w:pStyle w:val="TableCopy"/>
              <w:jc w:val="right"/>
              <w:rPr>
                <w:b/>
                <w:bCs/>
              </w:rPr>
            </w:pPr>
            <w:r w:rsidRPr="00420825">
              <w:rPr>
                <w:b/>
                <w:bCs/>
              </w:rPr>
              <w:t>333,948</w:t>
            </w:r>
          </w:p>
        </w:tc>
        <w:tc>
          <w:tcPr>
            <w:tcW w:w="1329" w:type="dxa"/>
          </w:tcPr>
          <w:p w14:paraId="69A76A8E" w14:textId="1756BC09" w:rsidR="000607CB" w:rsidRPr="00420825" w:rsidRDefault="000607CB" w:rsidP="000A0312">
            <w:pPr>
              <w:pStyle w:val="TableCopy"/>
              <w:jc w:val="right"/>
              <w:rPr>
                <w:b/>
                <w:bCs/>
              </w:rPr>
            </w:pPr>
            <w:r w:rsidRPr="00420825">
              <w:rPr>
                <w:b/>
                <w:bCs/>
              </w:rPr>
              <w:t>55,543</w:t>
            </w:r>
          </w:p>
        </w:tc>
        <w:tc>
          <w:tcPr>
            <w:tcW w:w="1343" w:type="dxa"/>
          </w:tcPr>
          <w:p w14:paraId="56AFC571" w14:textId="75785F69" w:rsidR="000607CB" w:rsidRPr="00420825" w:rsidRDefault="000607CB" w:rsidP="000A0312">
            <w:pPr>
              <w:pStyle w:val="TableCopy"/>
              <w:jc w:val="right"/>
              <w:rPr>
                <w:b/>
                <w:bCs/>
              </w:rPr>
            </w:pPr>
            <w:r w:rsidRPr="00420825">
              <w:rPr>
                <w:b/>
                <w:bCs/>
              </w:rPr>
              <w:t>62,478</w:t>
            </w:r>
          </w:p>
        </w:tc>
        <w:tc>
          <w:tcPr>
            <w:tcW w:w="1417" w:type="dxa"/>
          </w:tcPr>
          <w:p w14:paraId="3036638F" w14:textId="25F13D8D" w:rsidR="000607CB" w:rsidRPr="00420825" w:rsidRDefault="000607CB" w:rsidP="000A0312">
            <w:pPr>
              <w:pStyle w:val="TableCopy"/>
              <w:jc w:val="right"/>
              <w:rPr>
                <w:b/>
                <w:bCs/>
              </w:rPr>
            </w:pPr>
            <w:r w:rsidRPr="00420825">
              <w:rPr>
                <w:b/>
                <w:bCs/>
              </w:rPr>
              <w:t>23,525</w:t>
            </w:r>
          </w:p>
        </w:tc>
        <w:tc>
          <w:tcPr>
            <w:tcW w:w="1418" w:type="dxa"/>
          </w:tcPr>
          <w:p w14:paraId="319620D1" w14:textId="32D30E2F" w:rsidR="000607CB" w:rsidRPr="00420825" w:rsidRDefault="000607CB" w:rsidP="000A0312">
            <w:pPr>
              <w:pStyle w:val="TableCopy"/>
              <w:jc w:val="right"/>
              <w:rPr>
                <w:b/>
                <w:bCs/>
              </w:rPr>
            </w:pPr>
            <w:r w:rsidRPr="00420825">
              <w:rPr>
                <w:b/>
                <w:bCs/>
              </w:rPr>
              <w:t>171,798</w:t>
            </w:r>
          </w:p>
        </w:tc>
        <w:tc>
          <w:tcPr>
            <w:tcW w:w="1417" w:type="dxa"/>
          </w:tcPr>
          <w:p w14:paraId="6775D0C8" w14:textId="0EDAE55E" w:rsidR="000607CB" w:rsidRPr="00420825" w:rsidRDefault="000607CB" w:rsidP="000A0312">
            <w:pPr>
              <w:pStyle w:val="TableCopy"/>
              <w:jc w:val="right"/>
              <w:rPr>
                <w:b/>
                <w:bCs/>
              </w:rPr>
            </w:pPr>
            <w:r w:rsidRPr="00420825">
              <w:rPr>
                <w:b/>
                <w:bCs/>
              </w:rPr>
              <w:t>–</w:t>
            </w:r>
          </w:p>
        </w:tc>
        <w:tc>
          <w:tcPr>
            <w:tcW w:w="1329" w:type="dxa"/>
          </w:tcPr>
          <w:p w14:paraId="2DD78736" w14:textId="77777777" w:rsidR="000607CB" w:rsidRPr="00420825" w:rsidRDefault="000607CB" w:rsidP="000A0312">
            <w:pPr>
              <w:pStyle w:val="TableCopy"/>
              <w:jc w:val="right"/>
              <w:rPr>
                <w:b/>
                <w:bCs/>
              </w:rPr>
            </w:pPr>
            <w:r w:rsidRPr="00420825">
              <w:rPr>
                <w:b/>
                <w:bCs/>
              </w:rPr>
              <w:t>1,501,856</w:t>
            </w:r>
          </w:p>
        </w:tc>
        <w:tc>
          <w:tcPr>
            <w:tcW w:w="1329" w:type="dxa"/>
          </w:tcPr>
          <w:p w14:paraId="406AF470" w14:textId="7E9DF4B4" w:rsidR="000607CB" w:rsidRPr="00420825" w:rsidRDefault="000607CB" w:rsidP="000A0312">
            <w:pPr>
              <w:pStyle w:val="TableCopy"/>
              <w:jc w:val="right"/>
              <w:rPr>
                <w:b/>
                <w:bCs/>
              </w:rPr>
            </w:pPr>
            <w:r w:rsidRPr="00420825">
              <w:rPr>
                <w:b/>
                <w:bCs/>
              </w:rPr>
              <w:t>819,580</w:t>
            </w:r>
          </w:p>
        </w:tc>
      </w:tr>
    </w:tbl>
    <w:p w14:paraId="5D090C30" w14:textId="513251EE" w:rsidR="000756EB" w:rsidRPr="00420825" w:rsidRDefault="004A4D88" w:rsidP="000A0312">
      <w:pPr>
        <w:pStyle w:val="FootnoteText"/>
        <w:spacing w:before="120"/>
      </w:pPr>
      <w:r w:rsidRPr="00420825">
        <w:t>(</w:t>
      </w:r>
      <w:proofErr w:type="spellStart"/>
      <w:r w:rsidRPr="00420825">
        <w:t>i</w:t>
      </w:r>
      <w:proofErr w:type="spellEnd"/>
      <w:r w:rsidRPr="00420825">
        <w:t>)</w:t>
      </w:r>
      <w:r w:rsidR="000A0312">
        <w:t xml:space="preserve"> </w:t>
      </w:r>
      <w:r w:rsidRPr="00420825">
        <w:t>These</w:t>
      </w:r>
      <w:r w:rsidR="00A03629" w:rsidRPr="00420825">
        <w:t xml:space="preserve"> </w:t>
      </w:r>
      <w:r w:rsidRPr="00420825">
        <w:t>balances</w:t>
      </w:r>
      <w:r w:rsidR="00A03629" w:rsidRPr="00420825">
        <w:t xml:space="preserve"> </w:t>
      </w:r>
      <w:proofErr w:type="gramStart"/>
      <w:r w:rsidRPr="00420825">
        <w:t>relates</w:t>
      </w:r>
      <w:proofErr w:type="gramEnd"/>
      <w:r w:rsidR="00A03629" w:rsidRPr="00420825">
        <w:t xml:space="preserve"> </w:t>
      </w:r>
      <w:r w:rsidRPr="00420825">
        <w:t>to</w:t>
      </w:r>
      <w:r w:rsidR="00A03629" w:rsidRPr="00420825">
        <w:t xml:space="preserve"> </w:t>
      </w:r>
      <w:r w:rsidRPr="00420825">
        <w:t>the</w:t>
      </w:r>
      <w:r w:rsidR="00A03629" w:rsidRPr="00420825">
        <w:t xml:space="preserve"> </w:t>
      </w:r>
      <w:r w:rsidRPr="00420825">
        <w:t>section</w:t>
      </w:r>
      <w:r w:rsidR="00A03629" w:rsidRPr="00420825">
        <w:t xml:space="preserve"> </w:t>
      </w:r>
      <w:r w:rsidRPr="00420825">
        <w:t>53(b)(1)</w:t>
      </w:r>
      <w:r w:rsidR="00A03629" w:rsidRPr="00420825">
        <w:t xml:space="preserve"> </w:t>
      </w:r>
      <w:r w:rsidRPr="00420825">
        <w:t>entity</w:t>
      </w:r>
      <w:r w:rsidR="00A03629" w:rsidRPr="00420825">
        <w:t xml:space="preserve"> </w:t>
      </w:r>
      <w:r w:rsidRPr="00420825">
        <w:t>Secretary,</w:t>
      </w:r>
      <w:r w:rsidR="00A03629" w:rsidRPr="00420825">
        <w:t xml:space="preserve"> </w:t>
      </w:r>
      <w:r w:rsidRPr="00420825">
        <w:t>Project</w:t>
      </w:r>
      <w:r w:rsidR="00A03629" w:rsidRPr="00420825">
        <w:t xml:space="preserve"> </w:t>
      </w:r>
      <w:r w:rsidRPr="00420825">
        <w:t>Development.</w:t>
      </w:r>
    </w:p>
    <w:p w14:paraId="3F2578CF" w14:textId="7E6EB11A" w:rsidR="000756EB" w:rsidRPr="00420825" w:rsidRDefault="004A4D88" w:rsidP="000A0312">
      <w:pPr>
        <w:pStyle w:val="FootnoteText"/>
        <w:spacing w:after="280"/>
      </w:pPr>
      <w:r w:rsidRPr="00420825">
        <w:t>(ii)</w:t>
      </w:r>
      <w:r w:rsidR="000A0312">
        <w:t xml:space="preserve"> </w:t>
      </w:r>
      <w:r w:rsidRPr="00420825">
        <w:t>For</w:t>
      </w:r>
      <w:r w:rsidR="00A03629" w:rsidRPr="00420825">
        <w:t xml:space="preserve"> </w:t>
      </w:r>
      <w:r w:rsidRPr="00420825">
        <w:t>the</w:t>
      </w:r>
      <w:r w:rsidR="00A03629" w:rsidRPr="00420825">
        <w:t xml:space="preserve"> </w:t>
      </w:r>
      <w:r w:rsidRPr="00420825">
        <w:t>functions</w:t>
      </w:r>
      <w:r w:rsidR="00A03629" w:rsidRPr="00420825">
        <w:t xml:space="preserve"> </w:t>
      </w:r>
      <w:r w:rsidRPr="00420825">
        <w:t>assumed</w:t>
      </w:r>
      <w:r w:rsidR="00A03629" w:rsidRPr="00420825">
        <w:t xml:space="preserve"> </w:t>
      </w:r>
      <w:r w:rsidRPr="00420825">
        <w:t>as</w:t>
      </w:r>
      <w:r w:rsidR="00A03629" w:rsidRPr="00420825">
        <w:t xml:space="preserve"> </w:t>
      </w:r>
      <w:r w:rsidRPr="00420825">
        <w:t>a</w:t>
      </w:r>
      <w:r w:rsidR="00A03629" w:rsidRPr="00420825">
        <w:t xml:space="preserve"> </w:t>
      </w:r>
      <w:r w:rsidRPr="00420825">
        <w:t>result</w:t>
      </w:r>
      <w:r w:rsidR="00A03629" w:rsidRPr="00420825">
        <w:t xml:space="preserve"> </w:t>
      </w:r>
      <w:r w:rsidRPr="00420825">
        <w:t>of</w:t>
      </w:r>
      <w:r w:rsidR="00A03629" w:rsidRPr="00420825">
        <w:t xml:space="preserve"> </w:t>
      </w:r>
      <w:r w:rsidRPr="00420825">
        <w:t>the</w:t>
      </w:r>
      <w:r w:rsidR="00A03629" w:rsidRPr="00420825">
        <w:t xml:space="preserve"> </w:t>
      </w:r>
      <w:r w:rsidRPr="00420825">
        <w:t>machinery</w:t>
      </w:r>
      <w:r w:rsidR="00A03629" w:rsidRPr="00420825">
        <w:t xml:space="preserve"> </w:t>
      </w:r>
      <w:r w:rsidRPr="00420825">
        <w:t>of</w:t>
      </w:r>
      <w:r w:rsidR="00A03629" w:rsidRPr="00420825">
        <w:t xml:space="preserve"> </w:t>
      </w:r>
      <w:r w:rsidRPr="00420825">
        <w:t>government</w:t>
      </w:r>
      <w:r w:rsidR="00A03629" w:rsidRPr="00420825">
        <w:t xml:space="preserve"> </w:t>
      </w:r>
      <w:r w:rsidRPr="00420825">
        <w:t>changes,</w:t>
      </w:r>
      <w:r w:rsidR="00A03629" w:rsidRPr="00420825">
        <w:t xml:space="preserve"> </w:t>
      </w:r>
      <w:r w:rsidRPr="00420825">
        <w:t>the</w:t>
      </w:r>
      <w:r w:rsidR="00A03629" w:rsidRPr="00420825">
        <w:t xml:space="preserve"> </w:t>
      </w:r>
      <w:r w:rsidRPr="00420825">
        <w:t>2023</w:t>
      </w:r>
      <w:r w:rsidR="00A03629" w:rsidRPr="00420825">
        <w:t xml:space="preserve"> </w:t>
      </w:r>
      <w:r w:rsidRPr="00420825">
        <w:t>outputs</w:t>
      </w:r>
      <w:r w:rsidR="00A03629" w:rsidRPr="00420825">
        <w:t xml:space="preserve"> </w:t>
      </w:r>
      <w:r w:rsidRPr="00420825">
        <w:t>are</w:t>
      </w:r>
      <w:r w:rsidR="00A03629" w:rsidRPr="00420825">
        <w:t xml:space="preserve"> </w:t>
      </w:r>
      <w:r w:rsidRPr="00420825">
        <w:t>as</w:t>
      </w:r>
      <w:r w:rsidR="00A03629" w:rsidRPr="00420825">
        <w:t xml:space="preserve"> </w:t>
      </w:r>
      <w:proofErr w:type="gramStart"/>
      <w:r w:rsidRPr="00420825">
        <w:t>at</w:t>
      </w:r>
      <w:proofErr w:type="gramEnd"/>
      <w:r w:rsidR="00A03629" w:rsidRPr="00420825">
        <w:t xml:space="preserve"> </w:t>
      </w:r>
      <w:r w:rsidRPr="00420825">
        <w:t>30</w:t>
      </w:r>
      <w:r w:rsidR="00A03629" w:rsidRPr="00420825">
        <w:t xml:space="preserve"> </w:t>
      </w:r>
      <w:r w:rsidRPr="00420825">
        <w:t>June</w:t>
      </w:r>
      <w:r w:rsidR="00A03629" w:rsidRPr="00420825">
        <w:t xml:space="preserve"> </w:t>
      </w:r>
      <w:r w:rsidRPr="00420825">
        <w:t>2023</w:t>
      </w:r>
      <w:r w:rsidR="00A03629" w:rsidRPr="00420825">
        <w:t xml:space="preserve"> </w:t>
      </w:r>
      <w:r w:rsidRPr="00420825">
        <w:t>with</w:t>
      </w:r>
      <w:r w:rsidR="00A03629" w:rsidRPr="00420825">
        <w:t xml:space="preserve"> </w:t>
      </w:r>
      <w:r w:rsidRPr="00420825">
        <w:t>nil</w:t>
      </w:r>
      <w:r w:rsidR="00A03629" w:rsidRPr="00420825">
        <w:t xml:space="preserve"> </w:t>
      </w:r>
      <w:r w:rsidRPr="00420825">
        <w:t>comparatives</w:t>
      </w:r>
      <w:r w:rsidR="00A03629" w:rsidRPr="00420825">
        <w:t xml:space="preserve"> </w:t>
      </w:r>
      <w:r w:rsidRPr="00420825">
        <w:t>for</w:t>
      </w:r>
      <w:r w:rsidR="00A03629" w:rsidRPr="00420825">
        <w:t xml:space="preserve"> </w:t>
      </w:r>
      <w:r w:rsidRPr="00420825">
        <w:t>2022.</w:t>
      </w:r>
    </w:p>
    <w:p w14:paraId="1B988235" w14:textId="5CBBBED1" w:rsidR="000756EB" w:rsidRDefault="004A4D88" w:rsidP="00BB0239">
      <w:pPr>
        <w:pStyle w:val="Heading3"/>
      </w:pPr>
      <w:r>
        <w:lastRenderedPageBreak/>
        <w:t>4.1.3</w:t>
      </w:r>
      <w:r w:rsidR="00A03629">
        <w:t xml:space="preserve"> </w:t>
      </w:r>
      <w:r>
        <w:t>Departmental</w:t>
      </w:r>
      <w:r w:rsidR="00A03629">
        <w:t xml:space="preserve"> </w:t>
      </w:r>
      <w:r>
        <w:t>outputs:</w:t>
      </w:r>
      <w:r w:rsidR="00A03629">
        <w:t xml:space="preserve"> </w:t>
      </w:r>
      <w:r>
        <w:t>Controlled</w:t>
      </w:r>
      <w:r w:rsidR="00A03629">
        <w:t xml:space="preserve"> </w:t>
      </w:r>
      <w:r>
        <w:t>assets</w:t>
      </w:r>
      <w:r w:rsidR="00A03629">
        <w:t xml:space="preserve"> </w:t>
      </w:r>
      <w:r>
        <w:t>and</w:t>
      </w:r>
      <w:r w:rsidR="00A03629">
        <w:t xml:space="preserve"> </w:t>
      </w:r>
      <w:r>
        <w:t>liabilities</w:t>
      </w:r>
      <w:r w:rsidR="00A03629">
        <w:t xml:space="preserve"> </w:t>
      </w:r>
      <w:proofErr w:type="gramStart"/>
      <w:r>
        <w:t>at</w:t>
      </w:r>
      <w:proofErr w:type="gramEnd"/>
      <w:r w:rsidR="00A03629">
        <w:t xml:space="preserve"> </w:t>
      </w:r>
      <w:r>
        <w:t>30</w:t>
      </w:r>
      <w:r w:rsidR="00A03629">
        <w:t xml:space="preserve"> </w:t>
      </w:r>
      <w:r>
        <w:t>June</w:t>
      </w:r>
      <w:r w:rsidR="00A03629">
        <w:t xml:space="preserve"> </w:t>
      </w:r>
      <w:r>
        <w:t>2023</w:t>
      </w:r>
      <w:r w:rsidR="000A0312">
        <w:t xml:space="preserve"> </w:t>
      </w:r>
      <w:r>
        <w:t>Outputs</w:t>
      </w:r>
      <w:r w:rsidR="00A03629">
        <w:t xml:space="preserve"> </w:t>
      </w:r>
      <w:r>
        <w:t>transferred</w:t>
      </w:r>
      <w:r w:rsidR="00A03629">
        <w:t xml:space="preserve"> </w:t>
      </w:r>
      <w:r>
        <w:t>out</w:t>
      </w:r>
      <w:r w:rsidR="00A03629">
        <w:t xml:space="preserve"> </w:t>
      </w:r>
      <w:r>
        <w:t>as</w:t>
      </w:r>
      <w:r w:rsidR="00A03629">
        <w:t xml:space="preserve"> </w:t>
      </w:r>
      <w:r>
        <w:t>part</w:t>
      </w:r>
      <w:r w:rsidR="00A03629">
        <w:t xml:space="preserve"> </w:t>
      </w:r>
      <w:r>
        <w:t>of</w:t>
      </w:r>
      <w:r w:rsidR="00A03629">
        <w:t xml:space="preserve"> </w:t>
      </w:r>
      <w:r>
        <w:t>Machinery-of-Governments</w:t>
      </w:r>
      <w:r w:rsidR="00A03629">
        <w:t xml:space="preserve"> </w:t>
      </w:r>
      <w:r>
        <w:t>Change</w:t>
      </w:r>
    </w:p>
    <w:tbl>
      <w:tblPr>
        <w:tblStyle w:val="TableGrid"/>
        <w:tblW w:w="15135" w:type="dxa"/>
        <w:tblLayout w:type="fixed"/>
        <w:tblLook w:val="0020" w:firstRow="1" w:lastRow="0" w:firstColumn="0" w:lastColumn="0" w:noHBand="0" w:noVBand="0"/>
      </w:tblPr>
      <w:tblGrid>
        <w:gridCol w:w="3114"/>
        <w:gridCol w:w="1276"/>
        <w:gridCol w:w="1276"/>
        <w:gridCol w:w="1120"/>
        <w:gridCol w:w="1120"/>
        <w:gridCol w:w="1162"/>
        <w:gridCol w:w="1276"/>
        <w:gridCol w:w="1275"/>
        <w:gridCol w:w="1276"/>
        <w:gridCol w:w="1120"/>
        <w:gridCol w:w="1120"/>
      </w:tblGrid>
      <w:tr w:rsidR="000A0312" w:rsidRPr="00BB0239" w14:paraId="5289F9FC" w14:textId="77777777" w:rsidTr="00647873">
        <w:trPr>
          <w:trHeight w:val="113"/>
        </w:trPr>
        <w:tc>
          <w:tcPr>
            <w:tcW w:w="3114" w:type="dxa"/>
          </w:tcPr>
          <w:p w14:paraId="2AB311CA" w14:textId="77777777" w:rsidR="000A0312" w:rsidRPr="00BB0239" w:rsidRDefault="000A0312" w:rsidP="00647873">
            <w:pPr>
              <w:pStyle w:val="TableColumnHeading"/>
              <w:rPr>
                <w:rFonts w:asciiTheme="minorHAnsi" w:hAnsiTheme="minorHAnsi" w:cstheme="minorHAnsi"/>
                <w:sz w:val="20"/>
                <w:szCs w:val="28"/>
              </w:rPr>
            </w:pPr>
            <w:bookmarkStart w:id="45" w:name="ColumnTitles_22"/>
            <w:bookmarkEnd w:id="45"/>
          </w:p>
        </w:tc>
        <w:tc>
          <w:tcPr>
            <w:tcW w:w="1276" w:type="dxa"/>
          </w:tcPr>
          <w:p w14:paraId="32BE3046" w14:textId="03A423DC" w:rsidR="000A0312" w:rsidRPr="00BB0239" w:rsidRDefault="000A0312" w:rsidP="00647873">
            <w:pPr>
              <w:pStyle w:val="TableColumnHeading"/>
              <w:jc w:val="right"/>
              <w:rPr>
                <w:rFonts w:asciiTheme="minorHAnsi" w:hAnsiTheme="minorHAnsi" w:cstheme="minorHAnsi"/>
                <w:sz w:val="20"/>
                <w:szCs w:val="28"/>
              </w:rPr>
            </w:pPr>
            <w:r w:rsidRPr="00BB0239">
              <w:rPr>
                <w:rFonts w:asciiTheme="minorHAnsi" w:hAnsiTheme="minorHAnsi" w:cstheme="minorHAnsi"/>
                <w:sz w:val="20"/>
                <w:szCs w:val="28"/>
              </w:rPr>
              <w:t xml:space="preserve">Agriculture 2023 ($ thousand) </w:t>
            </w:r>
          </w:p>
        </w:tc>
        <w:tc>
          <w:tcPr>
            <w:tcW w:w="1276" w:type="dxa"/>
          </w:tcPr>
          <w:p w14:paraId="454EC89E" w14:textId="4E7C6EA1" w:rsidR="000A0312" w:rsidRPr="00BB0239" w:rsidRDefault="000A0312" w:rsidP="00647873">
            <w:pPr>
              <w:pStyle w:val="TableColumnHeading"/>
              <w:jc w:val="right"/>
              <w:rPr>
                <w:rFonts w:asciiTheme="minorHAnsi" w:hAnsiTheme="minorHAnsi" w:cstheme="minorHAnsi"/>
                <w:sz w:val="20"/>
                <w:szCs w:val="28"/>
              </w:rPr>
            </w:pPr>
            <w:r w:rsidRPr="00BB0239">
              <w:rPr>
                <w:rFonts w:asciiTheme="minorHAnsi" w:hAnsiTheme="minorHAnsi" w:cstheme="minorHAnsi"/>
                <w:sz w:val="20"/>
                <w:szCs w:val="28"/>
              </w:rPr>
              <w:t>Agriculture 2022 ($ thousand)</w:t>
            </w:r>
          </w:p>
        </w:tc>
        <w:tc>
          <w:tcPr>
            <w:tcW w:w="1120" w:type="dxa"/>
          </w:tcPr>
          <w:p w14:paraId="303B6515" w14:textId="7274AA52" w:rsidR="000A0312" w:rsidRPr="00BB0239" w:rsidRDefault="000A0312" w:rsidP="00647873">
            <w:pPr>
              <w:pStyle w:val="TableColumnHeading"/>
              <w:jc w:val="right"/>
              <w:rPr>
                <w:rFonts w:asciiTheme="minorHAnsi" w:hAnsiTheme="minorHAnsi" w:cstheme="minorHAnsi"/>
                <w:sz w:val="20"/>
                <w:szCs w:val="28"/>
              </w:rPr>
            </w:pPr>
            <w:r w:rsidRPr="00BB0239">
              <w:rPr>
                <w:rFonts w:asciiTheme="minorHAnsi" w:hAnsiTheme="minorHAnsi" w:cstheme="minorHAnsi"/>
                <w:sz w:val="20"/>
                <w:szCs w:val="28"/>
              </w:rPr>
              <w:t xml:space="preserve">Business Precincts 2023 ($ thousand) </w:t>
            </w:r>
          </w:p>
        </w:tc>
        <w:tc>
          <w:tcPr>
            <w:tcW w:w="1120" w:type="dxa"/>
          </w:tcPr>
          <w:p w14:paraId="71A1ABAB" w14:textId="00B6F5D1" w:rsidR="000A0312" w:rsidRPr="00BB0239" w:rsidRDefault="000A0312" w:rsidP="00647873">
            <w:pPr>
              <w:pStyle w:val="TableColumnHeading"/>
              <w:jc w:val="right"/>
              <w:rPr>
                <w:rFonts w:asciiTheme="minorHAnsi" w:hAnsiTheme="minorHAnsi" w:cstheme="minorHAnsi"/>
                <w:sz w:val="20"/>
                <w:szCs w:val="28"/>
              </w:rPr>
            </w:pPr>
            <w:r w:rsidRPr="00BB0239">
              <w:rPr>
                <w:rFonts w:asciiTheme="minorHAnsi" w:hAnsiTheme="minorHAnsi" w:cstheme="minorHAnsi"/>
                <w:sz w:val="20"/>
                <w:szCs w:val="28"/>
              </w:rPr>
              <w:t>Business Precincts 2022 ($ thousand)</w:t>
            </w:r>
          </w:p>
        </w:tc>
        <w:tc>
          <w:tcPr>
            <w:tcW w:w="1162" w:type="dxa"/>
          </w:tcPr>
          <w:p w14:paraId="6243C58A" w14:textId="0601074E" w:rsidR="000A0312" w:rsidRPr="00BB0239" w:rsidRDefault="000A0312" w:rsidP="00647873">
            <w:pPr>
              <w:pStyle w:val="TableColumnHeading"/>
              <w:jc w:val="right"/>
              <w:rPr>
                <w:rFonts w:asciiTheme="minorHAnsi" w:hAnsiTheme="minorHAnsi" w:cstheme="minorHAnsi"/>
                <w:sz w:val="20"/>
                <w:szCs w:val="28"/>
              </w:rPr>
            </w:pPr>
            <w:r w:rsidRPr="00BB0239">
              <w:rPr>
                <w:rFonts w:asciiTheme="minorHAnsi" w:hAnsiTheme="minorHAnsi" w:cstheme="minorHAnsi"/>
                <w:sz w:val="20"/>
                <w:szCs w:val="28"/>
              </w:rPr>
              <w:t xml:space="preserve">Resources 2023 ($ thousand) </w:t>
            </w:r>
          </w:p>
        </w:tc>
        <w:tc>
          <w:tcPr>
            <w:tcW w:w="1276" w:type="dxa"/>
          </w:tcPr>
          <w:p w14:paraId="5CFE3A3D" w14:textId="7081ED89" w:rsidR="000A0312" w:rsidRPr="00BB0239" w:rsidRDefault="000A0312" w:rsidP="00647873">
            <w:pPr>
              <w:pStyle w:val="TableColumnHeading"/>
              <w:jc w:val="right"/>
              <w:rPr>
                <w:rFonts w:asciiTheme="minorHAnsi" w:hAnsiTheme="minorHAnsi" w:cstheme="minorHAnsi"/>
                <w:sz w:val="20"/>
                <w:szCs w:val="28"/>
              </w:rPr>
            </w:pPr>
            <w:r w:rsidRPr="00BB0239">
              <w:rPr>
                <w:rFonts w:asciiTheme="minorHAnsi" w:hAnsiTheme="minorHAnsi" w:cstheme="minorHAnsi"/>
                <w:sz w:val="20"/>
                <w:szCs w:val="28"/>
              </w:rPr>
              <w:t>Resources 2022 ($ thousand)</w:t>
            </w:r>
          </w:p>
        </w:tc>
        <w:tc>
          <w:tcPr>
            <w:tcW w:w="1275" w:type="dxa"/>
          </w:tcPr>
          <w:p w14:paraId="200D20B6" w14:textId="4382A0EE" w:rsidR="000A0312" w:rsidRPr="00BB0239" w:rsidRDefault="000A0312" w:rsidP="00647873">
            <w:pPr>
              <w:pStyle w:val="TableColumnHeading"/>
              <w:jc w:val="right"/>
              <w:rPr>
                <w:rFonts w:asciiTheme="minorHAnsi" w:hAnsiTheme="minorHAnsi" w:cstheme="minorHAnsi"/>
                <w:sz w:val="20"/>
                <w:szCs w:val="28"/>
              </w:rPr>
            </w:pPr>
            <w:r w:rsidRPr="00BB0239">
              <w:rPr>
                <w:rFonts w:asciiTheme="minorHAnsi" w:hAnsiTheme="minorHAnsi" w:cstheme="minorHAnsi"/>
                <w:sz w:val="20"/>
                <w:szCs w:val="28"/>
              </w:rPr>
              <w:t>Sport, Recreation and Racing (Racing function)</w:t>
            </w:r>
            <w:r w:rsidRPr="00614829">
              <w:rPr>
                <w:rStyle w:val="FootnotereferencessuperscriptMisc"/>
                <w:sz w:val="20"/>
                <w:szCs w:val="28"/>
                <w:vertAlign w:val="baseline"/>
              </w:rPr>
              <w:t xml:space="preserve"> </w:t>
            </w:r>
            <w:r w:rsidRPr="00614829">
              <w:rPr>
                <w:rStyle w:val="FootnotereferencessuperscriptMisc"/>
                <w:sz w:val="20"/>
                <w:szCs w:val="28"/>
              </w:rPr>
              <w:t>(iii)</w:t>
            </w:r>
            <w:r w:rsidRPr="00614829">
              <w:rPr>
                <w:rStyle w:val="FootnotereferencessuperscriptMisc"/>
                <w:sz w:val="20"/>
                <w:szCs w:val="28"/>
                <w:vertAlign w:val="baseline"/>
              </w:rPr>
              <w:t xml:space="preserve"> </w:t>
            </w:r>
            <w:r w:rsidRPr="00BB0239">
              <w:rPr>
                <w:rFonts w:asciiTheme="minorHAnsi" w:hAnsiTheme="minorHAnsi" w:cstheme="minorHAnsi"/>
                <w:sz w:val="20"/>
                <w:szCs w:val="28"/>
              </w:rPr>
              <w:t xml:space="preserve">2023 ($ thousand) </w:t>
            </w:r>
          </w:p>
        </w:tc>
        <w:tc>
          <w:tcPr>
            <w:tcW w:w="1276" w:type="dxa"/>
          </w:tcPr>
          <w:p w14:paraId="32ACA4D5" w14:textId="0564A44E" w:rsidR="000A0312" w:rsidRPr="00BB0239" w:rsidRDefault="000A0312" w:rsidP="00647873">
            <w:pPr>
              <w:pStyle w:val="TableColumnHeading"/>
              <w:jc w:val="right"/>
              <w:rPr>
                <w:rFonts w:asciiTheme="minorHAnsi" w:hAnsiTheme="minorHAnsi" w:cstheme="minorHAnsi"/>
                <w:sz w:val="20"/>
                <w:szCs w:val="28"/>
              </w:rPr>
            </w:pPr>
            <w:r w:rsidRPr="00BB0239">
              <w:rPr>
                <w:rFonts w:asciiTheme="minorHAnsi" w:hAnsiTheme="minorHAnsi" w:cstheme="minorHAnsi"/>
                <w:sz w:val="20"/>
                <w:szCs w:val="28"/>
              </w:rPr>
              <w:t>Sport, Recreation and Racing (Racing function)</w:t>
            </w:r>
            <w:r w:rsidRPr="00614829">
              <w:rPr>
                <w:rStyle w:val="FootnotereferencessuperscriptMisc"/>
                <w:sz w:val="20"/>
                <w:szCs w:val="28"/>
                <w:vertAlign w:val="baseline"/>
              </w:rPr>
              <w:t xml:space="preserve"> </w:t>
            </w:r>
            <w:r w:rsidRPr="00614829">
              <w:rPr>
                <w:rStyle w:val="FootnotereferencessuperscriptMisc"/>
                <w:sz w:val="20"/>
                <w:szCs w:val="28"/>
              </w:rPr>
              <w:t>(iii)</w:t>
            </w:r>
            <w:r w:rsidRPr="00614829">
              <w:rPr>
                <w:rStyle w:val="FootnotereferencessuperscriptMisc"/>
                <w:sz w:val="20"/>
                <w:szCs w:val="28"/>
                <w:vertAlign w:val="baseline"/>
              </w:rPr>
              <w:t xml:space="preserve"> </w:t>
            </w:r>
            <w:r w:rsidRPr="00BB0239">
              <w:rPr>
                <w:rFonts w:asciiTheme="minorHAnsi" w:hAnsiTheme="minorHAnsi" w:cstheme="minorHAnsi"/>
                <w:sz w:val="20"/>
                <w:szCs w:val="28"/>
              </w:rPr>
              <w:t>2022 ($ thousand)</w:t>
            </w:r>
          </w:p>
        </w:tc>
        <w:tc>
          <w:tcPr>
            <w:tcW w:w="1120" w:type="dxa"/>
          </w:tcPr>
          <w:p w14:paraId="243C5A7E" w14:textId="24C36BB9" w:rsidR="000A0312" w:rsidRPr="00BB0239" w:rsidRDefault="000A0312" w:rsidP="00647873">
            <w:pPr>
              <w:pStyle w:val="TableColumnHeading"/>
              <w:jc w:val="right"/>
              <w:rPr>
                <w:rFonts w:asciiTheme="minorHAnsi" w:hAnsiTheme="minorHAnsi" w:cstheme="minorHAnsi"/>
                <w:sz w:val="20"/>
                <w:szCs w:val="28"/>
              </w:rPr>
            </w:pPr>
            <w:r w:rsidRPr="00BB0239">
              <w:rPr>
                <w:rFonts w:asciiTheme="minorHAnsi" w:hAnsiTheme="minorHAnsi" w:cstheme="minorHAnsi"/>
                <w:sz w:val="20"/>
                <w:szCs w:val="28"/>
              </w:rPr>
              <w:t>Local Govern</w:t>
            </w:r>
            <w:r w:rsidR="00647873" w:rsidRPr="00BB0239">
              <w:rPr>
                <w:rFonts w:asciiTheme="minorHAnsi" w:hAnsiTheme="minorHAnsi" w:cstheme="minorHAnsi"/>
                <w:sz w:val="20"/>
                <w:szCs w:val="28"/>
              </w:rPr>
              <w:t>-</w:t>
            </w:r>
            <w:proofErr w:type="spellStart"/>
            <w:r w:rsidRPr="00BB0239">
              <w:rPr>
                <w:rFonts w:asciiTheme="minorHAnsi" w:hAnsiTheme="minorHAnsi" w:cstheme="minorHAnsi"/>
                <w:sz w:val="20"/>
                <w:szCs w:val="28"/>
              </w:rPr>
              <w:t>ment</w:t>
            </w:r>
            <w:proofErr w:type="spellEnd"/>
            <w:r w:rsidRPr="00BB0239">
              <w:rPr>
                <w:rFonts w:asciiTheme="minorHAnsi" w:hAnsiTheme="minorHAnsi" w:cstheme="minorHAnsi"/>
                <w:sz w:val="20"/>
                <w:szCs w:val="28"/>
              </w:rPr>
              <w:t xml:space="preserve"> and Suburban Develop</w:t>
            </w:r>
            <w:r w:rsidR="00647873" w:rsidRPr="00BB0239">
              <w:rPr>
                <w:rFonts w:asciiTheme="minorHAnsi" w:hAnsiTheme="minorHAnsi" w:cstheme="minorHAnsi"/>
                <w:sz w:val="20"/>
                <w:szCs w:val="28"/>
              </w:rPr>
              <w:t>-</w:t>
            </w:r>
            <w:proofErr w:type="spellStart"/>
            <w:r w:rsidRPr="00BB0239">
              <w:rPr>
                <w:rFonts w:asciiTheme="minorHAnsi" w:hAnsiTheme="minorHAnsi" w:cstheme="minorHAnsi"/>
                <w:sz w:val="20"/>
                <w:szCs w:val="28"/>
              </w:rPr>
              <w:t>ment</w:t>
            </w:r>
            <w:proofErr w:type="spellEnd"/>
            <w:r w:rsidRPr="00BB0239">
              <w:rPr>
                <w:rFonts w:asciiTheme="minorHAnsi" w:hAnsiTheme="minorHAnsi" w:cstheme="minorHAnsi"/>
                <w:sz w:val="20"/>
                <w:szCs w:val="28"/>
              </w:rPr>
              <w:t xml:space="preserve"> (Local Govern</w:t>
            </w:r>
            <w:r w:rsidR="00647873" w:rsidRPr="00BB0239">
              <w:rPr>
                <w:rFonts w:asciiTheme="minorHAnsi" w:hAnsiTheme="minorHAnsi" w:cstheme="minorHAnsi"/>
                <w:sz w:val="20"/>
                <w:szCs w:val="28"/>
              </w:rPr>
              <w:t>-</w:t>
            </w:r>
            <w:proofErr w:type="spellStart"/>
            <w:r w:rsidRPr="00BB0239">
              <w:rPr>
                <w:rFonts w:asciiTheme="minorHAnsi" w:hAnsiTheme="minorHAnsi" w:cstheme="minorHAnsi"/>
                <w:sz w:val="20"/>
                <w:szCs w:val="28"/>
              </w:rPr>
              <w:t>ment</w:t>
            </w:r>
            <w:proofErr w:type="spellEnd"/>
            <w:r w:rsidRPr="00BB0239">
              <w:rPr>
                <w:rFonts w:asciiTheme="minorHAnsi" w:hAnsiTheme="minorHAnsi" w:cstheme="minorHAnsi"/>
                <w:sz w:val="20"/>
                <w:szCs w:val="28"/>
              </w:rPr>
              <w:t xml:space="preserve"> function)</w:t>
            </w:r>
            <w:r w:rsidRPr="00614829">
              <w:rPr>
                <w:rStyle w:val="FootnotereferencessuperscriptMisc"/>
                <w:sz w:val="20"/>
                <w:szCs w:val="28"/>
                <w:vertAlign w:val="baseline"/>
              </w:rPr>
              <w:t xml:space="preserve"> </w:t>
            </w:r>
            <w:r w:rsidRPr="00614829">
              <w:rPr>
                <w:rStyle w:val="FootnotereferencessuperscriptMisc"/>
                <w:sz w:val="20"/>
                <w:szCs w:val="28"/>
              </w:rPr>
              <w:t>(iii)</w:t>
            </w:r>
            <w:r w:rsidRPr="00614829">
              <w:rPr>
                <w:rStyle w:val="FootnotereferencessuperscriptMisc"/>
                <w:sz w:val="20"/>
                <w:szCs w:val="28"/>
                <w:vertAlign w:val="baseline"/>
              </w:rPr>
              <w:t xml:space="preserve"> </w:t>
            </w:r>
            <w:r w:rsidRPr="00BB0239">
              <w:rPr>
                <w:rFonts w:asciiTheme="minorHAnsi" w:hAnsiTheme="minorHAnsi" w:cstheme="minorHAnsi"/>
                <w:sz w:val="20"/>
                <w:szCs w:val="28"/>
              </w:rPr>
              <w:t xml:space="preserve">2023 ($ thousand) </w:t>
            </w:r>
          </w:p>
        </w:tc>
        <w:tc>
          <w:tcPr>
            <w:tcW w:w="1120" w:type="dxa"/>
          </w:tcPr>
          <w:p w14:paraId="3A6868D1" w14:textId="4199AEB0" w:rsidR="000A0312" w:rsidRPr="00BB0239" w:rsidRDefault="000A0312" w:rsidP="00647873">
            <w:pPr>
              <w:pStyle w:val="TableColumnHeading"/>
              <w:jc w:val="right"/>
              <w:rPr>
                <w:rFonts w:asciiTheme="minorHAnsi" w:hAnsiTheme="minorHAnsi" w:cstheme="minorHAnsi"/>
                <w:sz w:val="20"/>
                <w:szCs w:val="28"/>
              </w:rPr>
            </w:pPr>
            <w:r w:rsidRPr="00BB0239">
              <w:rPr>
                <w:rFonts w:asciiTheme="minorHAnsi" w:hAnsiTheme="minorHAnsi" w:cstheme="minorHAnsi"/>
                <w:sz w:val="20"/>
                <w:szCs w:val="28"/>
              </w:rPr>
              <w:t>Local Govern</w:t>
            </w:r>
            <w:r w:rsidR="00647873" w:rsidRPr="00BB0239">
              <w:rPr>
                <w:rFonts w:asciiTheme="minorHAnsi" w:hAnsiTheme="minorHAnsi" w:cstheme="minorHAnsi"/>
                <w:sz w:val="20"/>
                <w:szCs w:val="28"/>
              </w:rPr>
              <w:t>-</w:t>
            </w:r>
            <w:proofErr w:type="spellStart"/>
            <w:r w:rsidRPr="00BB0239">
              <w:rPr>
                <w:rFonts w:asciiTheme="minorHAnsi" w:hAnsiTheme="minorHAnsi" w:cstheme="minorHAnsi"/>
                <w:sz w:val="20"/>
                <w:szCs w:val="28"/>
              </w:rPr>
              <w:t>ment</w:t>
            </w:r>
            <w:proofErr w:type="spellEnd"/>
            <w:r w:rsidRPr="00BB0239">
              <w:rPr>
                <w:rFonts w:asciiTheme="minorHAnsi" w:hAnsiTheme="minorHAnsi" w:cstheme="minorHAnsi"/>
                <w:sz w:val="20"/>
                <w:szCs w:val="28"/>
              </w:rPr>
              <w:t xml:space="preserve"> and Suburban Develop</w:t>
            </w:r>
            <w:r w:rsidR="00647873" w:rsidRPr="00BB0239">
              <w:rPr>
                <w:rFonts w:asciiTheme="minorHAnsi" w:hAnsiTheme="minorHAnsi" w:cstheme="minorHAnsi"/>
                <w:sz w:val="20"/>
                <w:szCs w:val="28"/>
              </w:rPr>
              <w:t>-</w:t>
            </w:r>
            <w:proofErr w:type="spellStart"/>
            <w:r w:rsidRPr="00BB0239">
              <w:rPr>
                <w:rFonts w:asciiTheme="minorHAnsi" w:hAnsiTheme="minorHAnsi" w:cstheme="minorHAnsi"/>
                <w:sz w:val="20"/>
                <w:szCs w:val="28"/>
              </w:rPr>
              <w:t>ment</w:t>
            </w:r>
            <w:proofErr w:type="spellEnd"/>
            <w:r w:rsidRPr="00BB0239">
              <w:rPr>
                <w:rFonts w:asciiTheme="minorHAnsi" w:hAnsiTheme="minorHAnsi" w:cstheme="minorHAnsi"/>
                <w:sz w:val="20"/>
                <w:szCs w:val="28"/>
              </w:rPr>
              <w:t xml:space="preserve"> (Local Govern</w:t>
            </w:r>
            <w:r w:rsidR="00647873" w:rsidRPr="00BB0239">
              <w:rPr>
                <w:rFonts w:asciiTheme="minorHAnsi" w:hAnsiTheme="minorHAnsi" w:cstheme="minorHAnsi"/>
                <w:sz w:val="20"/>
                <w:szCs w:val="28"/>
              </w:rPr>
              <w:t>-</w:t>
            </w:r>
            <w:proofErr w:type="spellStart"/>
            <w:r w:rsidRPr="00BB0239">
              <w:rPr>
                <w:rFonts w:asciiTheme="minorHAnsi" w:hAnsiTheme="minorHAnsi" w:cstheme="minorHAnsi"/>
                <w:sz w:val="20"/>
                <w:szCs w:val="28"/>
              </w:rPr>
              <w:t>ment</w:t>
            </w:r>
            <w:proofErr w:type="spellEnd"/>
            <w:r w:rsidRPr="00BB0239">
              <w:rPr>
                <w:rFonts w:asciiTheme="minorHAnsi" w:hAnsiTheme="minorHAnsi" w:cstheme="minorHAnsi"/>
                <w:sz w:val="20"/>
                <w:szCs w:val="28"/>
              </w:rPr>
              <w:t xml:space="preserve"> function)</w:t>
            </w:r>
            <w:r w:rsidRPr="00614829">
              <w:rPr>
                <w:rStyle w:val="FootnotereferencessuperscriptMisc"/>
                <w:sz w:val="20"/>
                <w:szCs w:val="28"/>
                <w:vertAlign w:val="baseline"/>
              </w:rPr>
              <w:t xml:space="preserve"> </w:t>
            </w:r>
            <w:r w:rsidRPr="00614829">
              <w:rPr>
                <w:rStyle w:val="FootnotereferencessuperscriptMisc"/>
                <w:sz w:val="20"/>
                <w:szCs w:val="28"/>
              </w:rPr>
              <w:t>(iii)</w:t>
            </w:r>
            <w:r w:rsidRPr="00614829">
              <w:rPr>
                <w:rStyle w:val="FootnotereferencessuperscriptMisc"/>
                <w:sz w:val="20"/>
                <w:szCs w:val="28"/>
                <w:vertAlign w:val="baseline"/>
              </w:rPr>
              <w:t xml:space="preserve"> </w:t>
            </w:r>
            <w:r w:rsidRPr="00BB0239">
              <w:rPr>
                <w:rFonts w:asciiTheme="minorHAnsi" w:hAnsiTheme="minorHAnsi" w:cstheme="minorHAnsi"/>
                <w:sz w:val="20"/>
                <w:szCs w:val="28"/>
              </w:rPr>
              <w:t>2022 ($ thousand)</w:t>
            </w:r>
          </w:p>
        </w:tc>
      </w:tr>
      <w:tr w:rsidR="000A0312" w:rsidRPr="00BB0239" w14:paraId="04720992" w14:textId="77777777" w:rsidTr="00647873">
        <w:trPr>
          <w:trHeight w:val="113"/>
        </w:trPr>
        <w:tc>
          <w:tcPr>
            <w:tcW w:w="3114" w:type="dxa"/>
          </w:tcPr>
          <w:p w14:paraId="12480D25" w14:textId="77777777" w:rsidR="000A0312" w:rsidRPr="00BB0239" w:rsidRDefault="000A0312" w:rsidP="00647873">
            <w:pPr>
              <w:pStyle w:val="TableHeading"/>
              <w:rPr>
                <w:rFonts w:asciiTheme="minorHAnsi" w:hAnsiTheme="minorHAnsi" w:cstheme="minorHAnsi"/>
              </w:rPr>
            </w:pPr>
            <w:r w:rsidRPr="00BB0239">
              <w:rPr>
                <w:rFonts w:asciiTheme="minorHAnsi" w:hAnsiTheme="minorHAnsi" w:cstheme="minorHAnsi"/>
              </w:rPr>
              <w:t>Assets</w:t>
            </w:r>
          </w:p>
        </w:tc>
        <w:tc>
          <w:tcPr>
            <w:tcW w:w="1276" w:type="dxa"/>
          </w:tcPr>
          <w:p w14:paraId="712CFAB0" w14:textId="77777777" w:rsidR="000A0312" w:rsidRPr="00BB0239" w:rsidRDefault="000A0312" w:rsidP="00647873">
            <w:pPr>
              <w:pStyle w:val="TableHeading"/>
              <w:jc w:val="right"/>
              <w:rPr>
                <w:rFonts w:asciiTheme="minorHAnsi" w:hAnsiTheme="minorHAnsi" w:cstheme="minorHAnsi"/>
              </w:rPr>
            </w:pPr>
          </w:p>
        </w:tc>
        <w:tc>
          <w:tcPr>
            <w:tcW w:w="1276" w:type="dxa"/>
          </w:tcPr>
          <w:p w14:paraId="659A1F42" w14:textId="77777777" w:rsidR="000A0312" w:rsidRPr="00BB0239" w:rsidRDefault="000A0312" w:rsidP="00647873">
            <w:pPr>
              <w:pStyle w:val="TableHeading"/>
              <w:jc w:val="right"/>
              <w:rPr>
                <w:rFonts w:asciiTheme="minorHAnsi" w:hAnsiTheme="minorHAnsi" w:cstheme="minorHAnsi"/>
              </w:rPr>
            </w:pPr>
          </w:p>
        </w:tc>
        <w:tc>
          <w:tcPr>
            <w:tcW w:w="1120" w:type="dxa"/>
          </w:tcPr>
          <w:p w14:paraId="7C2FCD18" w14:textId="77777777" w:rsidR="000A0312" w:rsidRPr="00BB0239" w:rsidRDefault="000A0312" w:rsidP="00647873">
            <w:pPr>
              <w:pStyle w:val="TableHeading"/>
              <w:jc w:val="right"/>
              <w:rPr>
                <w:rFonts w:asciiTheme="minorHAnsi" w:hAnsiTheme="minorHAnsi" w:cstheme="minorHAnsi"/>
              </w:rPr>
            </w:pPr>
          </w:p>
        </w:tc>
        <w:tc>
          <w:tcPr>
            <w:tcW w:w="1120" w:type="dxa"/>
          </w:tcPr>
          <w:p w14:paraId="50DC094E" w14:textId="77777777" w:rsidR="000A0312" w:rsidRPr="00BB0239" w:rsidRDefault="000A0312" w:rsidP="00647873">
            <w:pPr>
              <w:pStyle w:val="TableHeading"/>
              <w:jc w:val="right"/>
              <w:rPr>
                <w:rFonts w:asciiTheme="minorHAnsi" w:hAnsiTheme="minorHAnsi" w:cstheme="minorHAnsi"/>
              </w:rPr>
            </w:pPr>
          </w:p>
        </w:tc>
        <w:tc>
          <w:tcPr>
            <w:tcW w:w="1162" w:type="dxa"/>
          </w:tcPr>
          <w:p w14:paraId="245DE25C" w14:textId="77777777" w:rsidR="000A0312" w:rsidRPr="00BB0239" w:rsidRDefault="000A0312" w:rsidP="00647873">
            <w:pPr>
              <w:pStyle w:val="TableHeading"/>
              <w:jc w:val="right"/>
              <w:rPr>
                <w:rFonts w:asciiTheme="minorHAnsi" w:hAnsiTheme="minorHAnsi" w:cstheme="minorHAnsi"/>
              </w:rPr>
            </w:pPr>
          </w:p>
        </w:tc>
        <w:tc>
          <w:tcPr>
            <w:tcW w:w="1276" w:type="dxa"/>
          </w:tcPr>
          <w:p w14:paraId="40C1A1EA" w14:textId="77777777" w:rsidR="000A0312" w:rsidRPr="00BB0239" w:rsidRDefault="000A0312" w:rsidP="00647873">
            <w:pPr>
              <w:pStyle w:val="TableHeading"/>
              <w:jc w:val="right"/>
              <w:rPr>
                <w:rFonts w:asciiTheme="minorHAnsi" w:hAnsiTheme="minorHAnsi" w:cstheme="minorHAnsi"/>
              </w:rPr>
            </w:pPr>
          </w:p>
        </w:tc>
        <w:tc>
          <w:tcPr>
            <w:tcW w:w="1275" w:type="dxa"/>
          </w:tcPr>
          <w:p w14:paraId="5F6D5437" w14:textId="77777777" w:rsidR="000A0312" w:rsidRPr="00BB0239" w:rsidRDefault="000A0312" w:rsidP="00647873">
            <w:pPr>
              <w:pStyle w:val="TableHeading"/>
              <w:jc w:val="right"/>
              <w:rPr>
                <w:rFonts w:asciiTheme="minorHAnsi" w:hAnsiTheme="minorHAnsi" w:cstheme="minorHAnsi"/>
              </w:rPr>
            </w:pPr>
          </w:p>
        </w:tc>
        <w:tc>
          <w:tcPr>
            <w:tcW w:w="1276" w:type="dxa"/>
          </w:tcPr>
          <w:p w14:paraId="0044A364" w14:textId="77777777" w:rsidR="000A0312" w:rsidRPr="00BB0239" w:rsidRDefault="000A0312" w:rsidP="00647873">
            <w:pPr>
              <w:pStyle w:val="TableHeading"/>
              <w:jc w:val="right"/>
              <w:rPr>
                <w:rFonts w:asciiTheme="minorHAnsi" w:hAnsiTheme="minorHAnsi" w:cstheme="minorHAnsi"/>
              </w:rPr>
            </w:pPr>
          </w:p>
        </w:tc>
        <w:tc>
          <w:tcPr>
            <w:tcW w:w="1120" w:type="dxa"/>
          </w:tcPr>
          <w:p w14:paraId="643CEBE6" w14:textId="77777777" w:rsidR="000A0312" w:rsidRPr="00BB0239" w:rsidRDefault="000A0312" w:rsidP="00647873">
            <w:pPr>
              <w:pStyle w:val="TableHeading"/>
              <w:jc w:val="right"/>
              <w:rPr>
                <w:rFonts w:asciiTheme="minorHAnsi" w:hAnsiTheme="minorHAnsi" w:cstheme="minorHAnsi"/>
              </w:rPr>
            </w:pPr>
          </w:p>
        </w:tc>
        <w:tc>
          <w:tcPr>
            <w:tcW w:w="1120" w:type="dxa"/>
          </w:tcPr>
          <w:p w14:paraId="1032B5B8" w14:textId="77777777" w:rsidR="000A0312" w:rsidRPr="00BB0239" w:rsidRDefault="000A0312" w:rsidP="00647873">
            <w:pPr>
              <w:pStyle w:val="TableHeading"/>
              <w:jc w:val="right"/>
              <w:rPr>
                <w:rFonts w:asciiTheme="minorHAnsi" w:hAnsiTheme="minorHAnsi" w:cstheme="minorHAnsi"/>
              </w:rPr>
            </w:pPr>
          </w:p>
        </w:tc>
      </w:tr>
      <w:tr w:rsidR="000A0312" w:rsidRPr="00BB0239" w14:paraId="1B714C51" w14:textId="77777777" w:rsidTr="00647873">
        <w:trPr>
          <w:trHeight w:val="113"/>
        </w:trPr>
        <w:tc>
          <w:tcPr>
            <w:tcW w:w="3114" w:type="dxa"/>
          </w:tcPr>
          <w:p w14:paraId="25E5E295" w14:textId="1E53B634" w:rsidR="000A0312" w:rsidRPr="00BB0239" w:rsidRDefault="000A0312" w:rsidP="00647873">
            <w:pPr>
              <w:pStyle w:val="TableCopy"/>
              <w:rPr>
                <w:rFonts w:asciiTheme="minorHAnsi" w:hAnsiTheme="minorHAnsi" w:cstheme="minorHAnsi"/>
              </w:rPr>
            </w:pPr>
            <w:r w:rsidRPr="00BB0239">
              <w:rPr>
                <w:rFonts w:asciiTheme="minorHAnsi" w:hAnsiTheme="minorHAnsi" w:cstheme="minorHAnsi"/>
              </w:rPr>
              <w:t>Financial assets</w:t>
            </w:r>
          </w:p>
        </w:tc>
        <w:tc>
          <w:tcPr>
            <w:tcW w:w="1276" w:type="dxa"/>
          </w:tcPr>
          <w:p w14:paraId="7F323EF9" w14:textId="7896BCCD" w:rsidR="000A0312" w:rsidRPr="00BB0239" w:rsidRDefault="000A0312" w:rsidP="00647873">
            <w:pPr>
              <w:pStyle w:val="TableCopy"/>
              <w:jc w:val="right"/>
              <w:rPr>
                <w:rFonts w:asciiTheme="minorHAnsi" w:hAnsiTheme="minorHAnsi" w:cstheme="minorHAnsi"/>
              </w:rPr>
            </w:pPr>
            <w:r w:rsidRPr="00BB0239">
              <w:rPr>
                <w:rFonts w:asciiTheme="minorHAnsi" w:hAnsiTheme="minorHAnsi" w:cstheme="minorHAnsi"/>
              </w:rPr>
              <w:t>–</w:t>
            </w:r>
          </w:p>
        </w:tc>
        <w:tc>
          <w:tcPr>
            <w:tcW w:w="1276" w:type="dxa"/>
          </w:tcPr>
          <w:p w14:paraId="45A6D649" w14:textId="49D5F5EA" w:rsidR="000A0312" w:rsidRPr="00BB0239" w:rsidRDefault="000A0312" w:rsidP="00647873">
            <w:pPr>
              <w:pStyle w:val="TableCopy"/>
              <w:jc w:val="right"/>
              <w:rPr>
                <w:rFonts w:asciiTheme="minorHAnsi" w:hAnsiTheme="minorHAnsi" w:cstheme="minorHAnsi"/>
              </w:rPr>
            </w:pPr>
            <w:r w:rsidRPr="00BB0239">
              <w:rPr>
                <w:rFonts w:asciiTheme="minorHAnsi" w:hAnsiTheme="minorHAnsi" w:cstheme="minorHAnsi"/>
              </w:rPr>
              <w:t>617,761</w:t>
            </w:r>
          </w:p>
        </w:tc>
        <w:tc>
          <w:tcPr>
            <w:tcW w:w="1120" w:type="dxa"/>
          </w:tcPr>
          <w:p w14:paraId="2F7DB7AB" w14:textId="523B34FC" w:rsidR="000A0312" w:rsidRPr="00BB0239" w:rsidRDefault="000A0312" w:rsidP="00647873">
            <w:pPr>
              <w:pStyle w:val="TableCopy"/>
              <w:jc w:val="right"/>
              <w:rPr>
                <w:rFonts w:asciiTheme="minorHAnsi" w:hAnsiTheme="minorHAnsi" w:cstheme="minorHAnsi"/>
              </w:rPr>
            </w:pPr>
            <w:r w:rsidRPr="00BB0239">
              <w:rPr>
                <w:rFonts w:asciiTheme="minorHAnsi" w:hAnsiTheme="minorHAnsi" w:cstheme="minorHAnsi"/>
              </w:rPr>
              <w:t>–</w:t>
            </w:r>
          </w:p>
        </w:tc>
        <w:tc>
          <w:tcPr>
            <w:tcW w:w="1120" w:type="dxa"/>
          </w:tcPr>
          <w:p w14:paraId="04FBF93D" w14:textId="446C96D1" w:rsidR="000A0312" w:rsidRPr="00BB0239" w:rsidRDefault="000A0312" w:rsidP="00647873">
            <w:pPr>
              <w:pStyle w:val="TableCopy"/>
              <w:jc w:val="right"/>
              <w:rPr>
                <w:rFonts w:asciiTheme="minorHAnsi" w:hAnsiTheme="minorHAnsi" w:cstheme="minorHAnsi"/>
              </w:rPr>
            </w:pPr>
            <w:r w:rsidRPr="00BB0239">
              <w:rPr>
                <w:rFonts w:asciiTheme="minorHAnsi" w:hAnsiTheme="minorHAnsi" w:cstheme="minorHAnsi"/>
              </w:rPr>
              <w:t>5,474</w:t>
            </w:r>
          </w:p>
        </w:tc>
        <w:tc>
          <w:tcPr>
            <w:tcW w:w="1162" w:type="dxa"/>
          </w:tcPr>
          <w:p w14:paraId="5195394E" w14:textId="55138755" w:rsidR="000A0312" w:rsidRPr="00BB0239" w:rsidRDefault="000A0312" w:rsidP="00647873">
            <w:pPr>
              <w:pStyle w:val="TableCopy"/>
              <w:jc w:val="right"/>
              <w:rPr>
                <w:rFonts w:asciiTheme="minorHAnsi" w:hAnsiTheme="minorHAnsi" w:cstheme="minorHAnsi"/>
              </w:rPr>
            </w:pPr>
            <w:r w:rsidRPr="00BB0239">
              <w:rPr>
                <w:rFonts w:asciiTheme="minorHAnsi" w:hAnsiTheme="minorHAnsi" w:cstheme="minorHAnsi"/>
              </w:rPr>
              <w:t>–</w:t>
            </w:r>
          </w:p>
        </w:tc>
        <w:tc>
          <w:tcPr>
            <w:tcW w:w="1276" w:type="dxa"/>
          </w:tcPr>
          <w:p w14:paraId="64C43C40" w14:textId="693BB486" w:rsidR="000A0312" w:rsidRPr="00BB0239" w:rsidRDefault="000A0312" w:rsidP="00647873">
            <w:pPr>
              <w:pStyle w:val="TableCopy"/>
              <w:jc w:val="right"/>
              <w:rPr>
                <w:rFonts w:asciiTheme="minorHAnsi" w:hAnsiTheme="minorHAnsi" w:cstheme="minorHAnsi"/>
              </w:rPr>
            </w:pPr>
            <w:r w:rsidRPr="00BB0239">
              <w:rPr>
                <w:rFonts w:asciiTheme="minorHAnsi" w:hAnsiTheme="minorHAnsi" w:cstheme="minorHAnsi"/>
              </w:rPr>
              <w:t>26,898</w:t>
            </w:r>
          </w:p>
        </w:tc>
        <w:tc>
          <w:tcPr>
            <w:tcW w:w="1275" w:type="dxa"/>
          </w:tcPr>
          <w:p w14:paraId="57485810" w14:textId="5B5D30E6" w:rsidR="000A0312" w:rsidRPr="00BB0239" w:rsidRDefault="000A0312" w:rsidP="00647873">
            <w:pPr>
              <w:pStyle w:val="TableCopy"/>
              <w:jc w:val="right"/>
              <w:rPr>
                <w:rFonts w:asciiTheme="minorHAnsi" w:hAnsiTheme="minorHAnsi" w:cstheme="minorHAnsi"/>
              </w:rPr>
            </w:pPr>
            <w:r w:rsidRPr="00BB0239">
              <w:rPr>
                <w:rFonts w:asciiTheme="minorHAnsi" w:hAnsiTheme="minorHAnsi" w:cstheme="minorHAnsi"/>
              </w:rPr>
              <w:t>–</w:t>
            </w:r>
          </w:p>
        </w:tc>
        <w:tc>
          <w:tcPr>
            <w:tcW w:w="1276" w:type="dxa"/>
          </w:tcPr>
          <w:p w14:paraId="0D673E79" w14:textId="77777777" w:rsidR="000A0312" w:rsidRPr="00BB0239" w:rsidRDefault="000A0312" w:rsidP="00647873">
            <w:pPr>
              <w:pStyle w:val="TableCopy"/>
              <w:jc w:val="right"/>
              <w:rPr>
                <w:rFonts w:asciiTheme="minorHAnsi" w:hAnsiTheme="minorHAnsi" w:cstheme="minorHAnsi"/>
              </w:rPr>
            </w:pPr>
            <w:r w:rsidRPr="00BB0239">
              <w:rPr>
                <w:rFonts w:asciiTheme="minorHAnsi" w:hAnsiTheme="minorHAnsi" w:cstheme="minorHAnsi"/>
              </w:rPr>
              <w:t>(48,940)</w:t>
            </w:r>
          </w:p>
        </w:tc>
        <w:tc>
          <w:tcPr>
            <w:tcW w:w="1120" w:type="dxa"/>
          </w:tcPr>
          <w:p w14:paraId="4CD46792" w14:textId="5AC78788" w:rsidR="000A0312" w:rsidRPr="00BB0239" w:rsidRDefault="000A0312" w:rsidP="00647873">
            <w:pPr>
              <w:pStyle w:val="TableCopy"/>
              <w:jc w:val="right"/>
              <w:rPr>
                <w:rFonts w:asciiTheme="minorHAnsi" w:hAnsiTheme="minorHAnsi" w:cstheme="minorHAnsi"/>
              </w:rPr>
            </w:pPr>
            <w:r w:rsidRPr="00BB0239">
              <w:rPr>
                <w:rFonts w:asciiTheme="minorHAnsi" w:hAnsiTheme="minorHAnsi" w:cstheme="minorHAnsi"/>
              </w:rPr>
              <w:t>–</w:t>
            </w:r>
          </w:p>
        </w:tc>
        <w:tc>
          <w:tcPr>
            <w:tcW w:w="1120" w:type="dxa"/>
          </w:tcPr>
          <w:p w14:paraId="0B962E0C" w14:textId="33A765DE" w:rsidR="000A0312" w:rsidRPr="00BB0239" w:rsidRDefault="000A0312" w:rsidP="00647873">
            <w:pPr>
              <w:pStyle w:val="TableCopy"/>
              <w:jc w:val="right"/>
              <w:rPr>
                <w:rFonts w:asciiTheme="minorHAnsi" w:hAnsiTheme="minorHAnsi" w:cstheme="minorHAnsi"/>
              </w:rPr>
            </w:pPr>
            <w:r w:rsidRPr="00BB0239">
              <w:rPr>
                <w:rFonts w:asciiTheme="minorHAnsi" w:hAnsiTheme="minorHAnsi" w:cstheme="minorHAnsi"/>
              </w:rPr>
              <w:t>21,007</w:t>
            </w:r>
          </w:p>
        </w:tc>
      </w:tr>
      <w:tr w:rsidR="000A0312" w:rsidRPr="00BB0239" w14:paraId="776C3D02" w14:textId="77777777" w:rsidTr="00647873">
        <w:trPr>
          <w:trHeight w:val="113"/>
        </w:trPr>
        <w:tc>
          <w:tcPr>
            <w:tcW w:w="3114" w:type="dxa"/>
          </w:tcPr>
          <w:p w14:paraId="64897D9D" w14:textId="4F3D1980" w:rsidR="000A0312" w:rsidRPr="00BB0239" w:rsidRDefault="000A0312" w:rsidP="00647873">
            <w:pPr>
              <w:pStyle w:val="TableCopy"/>
              <w:rPr>
                <w:rFonts w:asciiTheme="minorHAnsi" w:hAnsiTheme="minorHAnsi" w:cstheme="minorHAnsi"/>
              </w:rPr>
            </w:pPr>
            <w:r w:rsidRPr="00BB0239">
              <w:rPr>
                <w:rFonts w:asciiTheme="minorHAnsi" w:hAnsiTheme="minorHAnsi" w:cstheme="minorHAnsi"/>
              </w:rPr>
              <w:t>Non-financial assets</w:t>
            </w:r>
          </w:p>
        </w:tc>
        <w:tc>
          <w:tcPr>
            <w:tcW w:w="1276" w:type="dxa"/>
          </w:tcPr>
          <w:p w14:paraId="09A4E71A" w14:textId="4F1AC533" w:rsidR="000A0312" w:rsidRPr="00BB0239" w:rsidRDefault="000A0312" w:rsidP="00647873">
            <w:pPr>
              <w:pStyle w:val="TableCopy"/>
              <w:jc w:val="right"/>
              <w:rPr>
                <w:rFonts w:asciiTheme="minorHAnsi" w:hAnsiTheme="minorHAnsi" w:cstheme="minorHAnsi"/>
              </w:rPr>
            </w:pPr>
            <w:r w:rsidRPr="00BB0239">
              <w:rPr>
                <w:rFonts w:asciiTheme="minorHAnsi" w:hAnsiTheme="minorHAnsi" w:cstheme="minorHAnsi"/>
              </w:rPr>
              <w:t>–</w:t>
            </w:r>
          </w:p>
        </w:tc>
        <w:tc>
          <w:tcPr>
            <w:tcW w:w="1276" w:type="dxa"/>
          </w:tcPr>
          <w:p w14:paraId="1642759D" w14:textId="510C0866" w:rsidR="000A0312" w:rsidRPr="00BB0239" w:rsidRDefault="000A0312" w:rsidP="00647873">
            <w:pPr>
              <w:pStyle w:val="TableCopy"/>
              <w:jc w:val="right"/>
              <w:rPr>
                <w:rFonts w:asciiTheme="minorHAnsi" w:hAnsiTheme="minorHAnsi" w:cstheme="minorHAnsi"/>
              </w:rPr>
            </w:pPr>
            <w:r w:rsidRPr="00BB0239">
              <w:rPr>
                <w:rFonts w:asciiTheme="minorHAnsi" w:hAnsiTheme="minorHAnsi" w:cstheme="minorHAnsi"/>
              </w:rPr>
              <w:t>815,734</w:t>
            </w:r>
          </w:p>
        </w:tc>
        <w:tc>
          <w:tcPr>
            <w:tcW w:w="1120" w:type="dxa"/>
          </w:tcPr>
          <w:p w14:paraId="121E587C" w14:textId="1D328BD9" w:rsidR="000A0312" w:rsidRPr="00BB0239" w:rsidRDefault="000A0312" w:rsidP="00647873">
            <w:pPr>
              <w:pStyle w:val="TableCopy"/>
              <w:jc w:val="right"/>
              <w:rPr>
                <w:rFonts w:asciiTheme="minorHAnsi" w:hAnsiTheme="minorHAnsi" w:cstheme="minorHAnsi"/>
              </w:rPr>
            </w:pPr>
            <w:r w:rsidRPr="00BB0239">
              <w:rPr>
                <w:rFonts w:asciiTheme="minorHAnsi" w:hAnsiTheme="minorHAnsi" w:cstheme="minorHAnsi"/>
              </w:rPr>
              <w:t>–</w:t>
            </w:r>
          </w:p>
        </w:tc>
        <w:tc>
          <w:tcPr>
            <w:tcW w:w="1120" w:type="dxa"/>
          </w:tcPr>
          <w:p w14:paraId="313546E5" w14:textId="372BD594" w:rsidR="000A0312" w:rsidRPr="00BB0239" w:rsidRDefault="000A0312" w:rsidP="00647873">
            <w:pPr>
              <w:pStyle w:val="TableCopy"/>
              <w:jc w:val="right"/>
              <w:rPr>
                <w:rFonts w:asciiTheme="minorHAnsi" w:hAnsiTheme="minorHAnsi" w:cstheme="minorHAnsi"/>
              </w:rPr>
            </w:pPr>
            <w:r w:rsidRPr="00BB0239">
              <w:rPr>
                <w:rFonts w:asciiTheme="minorHAnsi" w:hAnsiTheme="minorHAnsi" w:cstheme="minorHAnsi"/>
              </w:rPr>
              <w:t>92,085</w:t>
            </w:r>
          </w:p>
        </w:tc>
        <w:tc>
          <w:tcPr>
            <w:tcW w:w="1162" w:type="dxa"/>
          </w:tcPr>
          <w:p w14:paraId="63ED7B5B" w14:textId="438CE8BB" w:rsidR="000A0312" w:rsidRPr="00BB0239" w:rsidRDefault="000A0312" w:rsidP="00647873">
            <w:pPr>
              <w:pStyle w:val="TableCopy"/>
              <w:jc w:val="right"/>
              <w:rPr>
                <w:rFonts w:asciiTheme="minorHAnsi" w:hAnsiTheme="minorHAnsi" w:cstheme="minorHAnsi"/>
              </w:rPr>
            </w:pPr>
            <w:r w:rsidRPr="00BB0239">
              <w:rPr>
                <w:rFonts w:asciiTheme="minorHAnsi" w:hAnsiTheme="minorHAnsi" w:cstheme="minorHAnsi"/>
              </w:rPr>
              <w:t>–</w:t>
            </w:r>
          </w:p>
        </w:tc>
        <w:tc>
          <w:tcPr>
            <w:tcW w:w="1276" w:type="dxa"/>
          </w:tcPr>
          <w:p w14:paraId="28A24CCB" w14:textId="0FC91A10" w:rsidR="000A0312" w:rsidRPr="00BB0239" w:rsidRDefault="000A0312" w:rsidP="00647873">
            <w:pPr>
              <w:pStyle w:val="TableCopy"/>
              <w:jc w:val="right"/>
              <w:rPr>
                <w:rFonts w:asciiTheme="minorHAnsi" w:hAnsiTheme="minorHAnsi" w:cstheme="minorHAnsi"/>
              </w:rPr>
            </w:pPr>
            <w:r w:rsidRPr="00BB0239">
              <w:rPr>
                <w:rFonts w:asciiTheme="minorHAnsi" w:hAnsiTheme="minorHAnsi" w:cstheme="minorHAnsi"/>
              </w:rPr>
              <w:t>4,859</w:t>
            </w:r>
          </w:p>
        </w:tc>
        <w:tc>
          <w:tcPr>
            <w:tcW w:w="1275" w:type="dxa"/>
          </w:tcPr>
          <w:p w14:paraId="7568CF73" w14:textId="73864357" w:rsidR="000A0312" w:rsidRPr="00BB0239" w:rsidRDefault="000A0312" w:rsidP="00647873">
            <w:pPr>
              <w:pStyle w:val="TableCopy"/>
              <w:jc w:val="right"/>
              <w:rPr>
                <w:rFonts w:asciiTheme="minorHAnsi" w:hAnsiTheme="minorHAnsi" w:cstheme="minorHAnsi"/>
              </w:rPr>
            </w:pPr>
            <w:r w:rsidRPr="00BB0239">
              <w:rPr>
                <w:rFonts w:asciiTheme="minorHAnsi" w:hAnsiTheme="minorHAnsi" w:cstheme="minorHAnsi"/>
              </w:rPr>
              <w:t>–</w:t>
            </w:r>
          </w:p>
        </w:tc>
        <w:tc>
          <w:tcPr>
            <w:tcW w:w="1276" w:type="dxa"/>
          </w:tcPr>
          <w:p w14:paraId="50EB6876" w14:textId="00D25D5E" w:rsidR="000A0312" w:rsidRPr="00BB0239" w:rsidRDefault="000A0312" w:rsidP="00647873">
            <w:pPr>
              <w:pStyle w:val="TableCopy"/>
              <w:jc w:val="right"/>
              <w:rPr>
                <w:rFonts w:asciiTheme="minorHAnsi" w:hAnsiTheme="minorHAnsi" w:cstheme="minorHAnsi"/>
              </w:rPr>
            </w:pPr>
            <w:r w:rsidRPr="00BB0239">
              <w:rPr>
                <w:rFonts w:asciiTheme="minorHAnsi" w:hAnsiTheme="minorHAnsi" w:cstheme="minorHAnsi"/>
              </w:rPr>
              <w:t>634</w:t>
            </w:r>
          </w:p>
        </w:tc>
        <w:tc>
          <w:tcPr>
            <w:tcW w:w="1120" w:type="dxa"/>
          </w:tcPr>
          <w:p w14:paraId="7213501B" w14:textId="41483B4E" w:rsidR="000A0312" w:rsidRPr="00BB0239" w:rsidRDefault="000A0312" w:rsidP="00647873">
            <w:pPr>
              <w:pStyle w:val="TableCopy"/>
              <w:jc w:val="right"/>
              <w:rPr>
                <w:rFonts w:asciiTheme="minorHAnsi" w:hAnsiTheme="minorHAnsi" w:cstheme="minorHAnsi"/>
              </w:rPr>
            </w:pPr>
            <w:r w:rsidRPr="00BB0239">
              <w:rPr>
                <w:rFonts w:asciiTheme="minorHAnsi" w:hAnsiTheme="minorHAnsi" w:cstheme="minorHAnsi"/>
              </w:rPr>
              <w:t>–</w:t>
            </w:r>
          </w:p>
        </w:tc>
        <w:tc>
          <w:tcPr>
            <w:tcW w:w="1120" w:type="dxa"/>
          </w:tcPr>
          <w:p w14:paraId="69F50275" w14:textId="0B17E3B6" w:rsidR="000A0312" w:rsidRPr="00BB0239" w:rsidRDefault="000A0312" w:rsidP="00647873">
            <w:pPr>
              <w:pStyle w:val="TableCopy"/>
              <w:jc w:val="right"/>
              <w:rPr>
                <w:rFonts w:asciiTheme="minorHAnsi" w:hAnsiTheme="minorHAnsi" w:cstheme="minorHAnsi"/>
              </w:rPr>
            </w:pPr>
            <w:r w:rsidRPr="00BB0239">
              <w:rPr>
                <w:rFonts w:asciiTheme="minorHAnsi" w:hAnsiTheme="minorHAnsi" w:cstheme="minorHAnsi"/>
              </w:rPr>
              <w:t>56</w:t>
            </w:r>
          </w:p>
        </w:tc>
      </w:tr>
      <w:tr w:rsidR="000A0312" w:rsidRPr="00BB0239" w14:paraId="56A2EF75" w14:textId="77777777" w:rsidTr="00647873">
        <w:trPr>
          <w:trHeight w:val="113"/>
        </w:trPr>
        <w:tc>
          <w:tcPr>
            <w:tcW w:w="3114" w:type="dxa"/>
          </w:tcPr>
          <w:p w14:paraId="0E6D7542" w14:textId="701A5A02" w:rsidR="000A0312" w:rsidRPr="00BB0239" w:rsidRDefault="000A0312" w:rsidP="00647873">
            <w:pPr>
              <w:pStyle w:val="TableCopy"/>
              <w:rPr>
                <w:rFonts w:asciiTheme="minorHAnsi" w:hAnsiTheme="minorHAnsi" w:cstheme="minorHAnsi"/>
                <w:b/>
                <w:bCs/>
              </w:rPr>
            </w:pPr>
            <w:r w:rsidRPr="00BB0239">
              <w:rPr>
                <w:rFonts w:asciiTheme="minorHAnsi" w:hAnsiTheme="minorHAnsi" w:cstheme="minorHAnsi"/>
                <w:b/>
                <w:bCs/>
              </w:rPr>
              <w:t>Total assets</w:t>
            </w:r>
          </w:p>
        </w:tc>
        <w:tc>
          <w:tcPr>
            <w:tcW w:w="1276" w:type="dxa"/>
          </w:tcPr>
          <w:p w14:paraId="18381E73" w14:textId="1E645878" w:rsidR="000A0312" w:rsidRPr="00BB0239" w:rsidRDefault="000A0312" w:rsidP="00647873">
            <w:pPr>
              <w:pStyle w:val="TableCopy"/>
              <w:jc w:val="right"/>
              <w:rPr>
                <w:rFonts w:asciiTheme="minorHAnsi" w:hAnsiTheme="minorHAnsi" w:cstheme="minorHAnsi"/>
                <w:b/>
                <w:bCs/>
              </w:rPr>
            </w:pPr>
            <w:r w:rsidRPr="00BB0239">
              <w:rPr>
                <w:rFonts w:asciiTheme="minorHAnsi" w:hAnsiTheme="minorHAnsi" w:cstheme="minorHAnsi"/>
                <w:b/>
                <w:bCs/>
              </w:rPr>
              <w:t>–</w:t>
            </w:r>
          </w:p>
        </w:tc>
        <w:tc>
          <w:tcPr>
            <w:tcW w:w="1276" w:type="dxa"/>
          </w:tcPr>
          <w:p w14:paraId="3BF4E178" w14:textId="0AA2B456" w:rsidR="000A0312" w:rsidRPr="00BB0239" w:rsidRDefault="000A0312" w:rsidP="00647873">
            <w:pPr>
              <w:pStyle w:val="TableCopy"/>
              <w:jc w:val="right"/>
              <w:rPr>
                <w:rFonts w:asciiTheme="minorHAnsi" w:hAnsiTheme="minorHAnsi" w:cstheme="minorHAnsi"/>
                <w:b/>
                <w:bCs/>
              </w:rPr>
            </w:pPr>
            <w:r w:rsidRPr="00BB0239">
              <w:rPr>
                <w:rFonts w:asciiTheme="minorHAnsi" w:hAnsiTheme="minorHAnsi" w:cstheme="minorHAnsi"/>
                <w:b/>
                <w:bCs/>
              </w:rPr>
              <w:t>1,433,495</w:t>
            </w:r>
          </w:p>
        </w:tc>
        <w:tc>
          <w:tcPr>
            <w:tcW w:w="1120" w:type="dxa"/>
          </w:tcPr>
          <w:p w14:paraId="32BA3EEC" w14:textId="03FF3AA8" w:rsidR="000A0312" w:rsidRPr="00BB0239" w:rsidRDefault="000A0312" w:rsidP="00647873">
            <w:pPr>
              <w:pStyle w:val="TableCopy"/>
              <w:jc w:val="right"/>
              <w:rPr>
                <w:rFonts w:asciiTheme="minorHAnsi" w:hAnsiTheme="minorHAnsi" w:cstheme="minorHAnsi"/>
                <w:b/>
                <w:bCs/>
              </w:rPr>
            </w:pPr>
            <w:r w:rsidRPr="00BB0239">
              <w:rPr>
                <w:rFonts w:asciiTheme="minorHAnsi" w:hAnsiTheme="minorHAnsi" w:cstheme="minorHAnsi"/>
                <w:b/>
                <w:bCs/>
              </w:rPr>
              <w:t>–</w:t>
            </w:r>
          </w:p>
        </w:tc>
        <w:tc>
          <w:tcPr>
            <w:tcW w:w="1120" w:type="dxa"/>
          </w:tcPr>
          <w:p w14:paraId="2E0CB0E9" w14:textId="717A02D7" w:rsidR="000A0312" w:rsidRPr="00BB0239" w:rsidRDefault="000A0312" w:rsidP="00647873">
            <w:pPr>
              <w:pStyle w:val="TableCopy"/>
              <w:jc w:val="right"/>
              <w:rPr>
                <w:rFonts w:asciiTheme="minorHAnsi" w:hAnsiTheme="minorHAnsi" w:cstheme="minorHAnsi"/>
                <w:b/>
                <w:bCs/>
              </w:rPr>
            </w:pPr>
            <w:r w:rsidRPr="00BB0239">
              <w:rPr>
                <w:rFonts w:asciiTheme="minorHAnsi" w:hAnsiTheme="minorHAnsi" w:cstheme="minorHAnsi"/>
                <w:b/>
                <w:bCs/>
              </w:rPr>
              <w:t>97,559</w:t>
            </w:r>
          </w:p>
        </w:tc>
        <w:tc>
          <w:tcPr>
            <w:tcW w:w="1162" w:type="dxa"/>
          </w:tcPr>
          <w:p w14:paraId="37EBB7EE" w14:textId="57921B1C" w:rsidR="000A0312" w:rsidRPr="00BB0239" w:rsidRDefault="000A0312" w:rsidP="00647873">
            <w:pPr>
              <w:pStyle w:val="TableCopy"/>
              <w:jc w:val="right"/>
              <w:rPr>
                <w:rFonts w:asciiTheme="minorHAnsi" w:hAnsiTheme="minorHAnsi" w:cstheme="minorHAnsi"/>
                <w:b/>
                <w:bCs/>
              </w:rPr>
            </w:pPr>
            <w:r w:rsidRPr="00BB0239">
              <w:rPr>
                <w:rFonts w:asciiTheme="minorHAnsi" w:hAnsiTheme="minorHAnsi" w:cstheme="minorHAnsi"/>
                <w:b/>
                <w:bCs/>
              </w:rPr>
              <w:t>–</w:t>
            </w:r>
          </w:p>
        </w:tc>
        <w:tc>
          <w:tcPr>
            <w:tcW w:w="1276" w:type="dxa"/>
          </w:tcPr>
          <w:p w14:paraId="68FC04C4" w14:textId="1B26D46B" w:rsidR="000A0312" w:rsidRPr="00BB0239" w:rsidRDefault="000A0312" w:rsidP="00647873">
            <w:pPr>
              <w:pStyle w:val="TableCopy"/>
              <w:jc w:val="right"/>
              <w:rPr>
                <w:rFonts w:asciiTheme="minorHAnsi" w:hAnsiTheme="minorHAnsi" w:cstheme="minorHAnsi"/>
                <w:b/>
                <w:bCs/>
              </w:rPr>
            </w:pPr>
            <w:r w:rsidRPr="00BB0239">
              <w:rPr>
                <w:rFonts w:asciiTheme="minorHAnsi" w:hAnsiTheme="minorHAnsi" w:cstheme="minorHAnsi"/>
                <w:b/>
                <w:bCs/>
              </w:rPr>
              <w:t>31,757</w:t>
            </w:r>
          </w:p>
        </w:tc>
        <w:tc>
          <w:tcPr>
            <w:tcW w:w="1275" w:type="dxa"/>
          </w:tcPr>
          <w:p w14:paraId="274FD535" w14:textId="651052D9" w:rsidR="000A0312" w:rsidRPr="00BB0239" w:rsidRDefault="000A0312" w:rsidP="00647873">
            <w:pPr>
              <w:pStyle w:val="TableCopy"/>
              <w:jc w:val="right"/>
              <w:rPr>
                <w:rFonts w:asciiTheme="minorHAnsi" w:hAnsiTheme="minorHAnsi" w:cstheme="minorHAnsi"/>
                <w:b/>
                <w:bCs/>
              </w:rPr>
            </w:pPr>
            <w:r w:rsidRPr="00BB0239">
              <w:rPr>
                <w:rFonts w:asciiTheme="minorHAnsi" w:hAnsiTheme="minorHAnsi" w:cstheme="minorHAnsi"/>
                <w:b/>
                <w:bCs/>
              </w:rPr>
              <w:t>–</w:t>
            </w:r>
          </w:p>
        </w:tc>
        <w:tc>
          <w:tcPr>
            <w:tcW w:w="1276" w:type="dxa"/>
          </w:tcPr>
          <w:p w14:paraId="3CB30B5A" w14:textId="77777777" w:rsidR="000A0312" w:rsidRPr="00BB0239" w:rsidRDefault="000A0312" w:rsidP="00647873">
            <w:pPr>
              <w:pStyle w:val="TableCopy"/>
              <w:jc w:val="right"/>
              <w:rPr>
                <w:rFonts w:asciiTheme="minorHAnsi" w:hAnsiTheme="minorHAnsi" w:cstheme="minorHAnsi"/>
                <w:b/>
                <w:bCs/>
              </w:rPr>
            </w:pPr>
            <w:r w:rsidRPr="00BB0239">
              <w:rPr>
                <w:rFonts w:asciiTheme="minorHAnsi" w:hAnsiTheme="minorHAnsi" w:cstheme="minorHAnsi"/>
                <w:b/>
                <w:bCs/>
              </w:rPr>
              <w:t>(48,306)</w:t>
            </w:r>
          </w:p>
        </w:tc>
        <w:tc>
          <w:tcPr>
            <w:tcW w:w="1120" w:type="dxa"/>
          </w:tcPr>
          <w:p w14:paraId="3BC73EE8" w14:textId="4FC148AD" w:rsidR="000A0312" w:rsidRPr="00BB0239" w:rsidRDefault="000A0312" w:rsidP="00647873">
            <w:pPr>
              <w:pStyle w:val="TableCopy"/>
              <w:jc w:val="right"/>
              <w:rPr>
                <w:rFonts w:asciiTheme="minorHAnsi" w:hAnsiTheme="minorHAnsi" w:cstheme="minorHAnsi"/>
                <w:b/>
                <w:bCs/>
              </w:rPr>
            </w:pPr>
            <w:r w:rsidRPr="00BB0239">
              <w:rPr>
                <w:rFonts w:asciiTheme="minorHAnsi" w:hAnsiTheme="minorHAnsi" w:cstheme="minorHAnsi"/>
                <w:b/>
                <w:bCs/>
              </w:rPr>
              <w:t>–</w:t>
            </w:r>
          </w:p>
        </w:tc>
        <w:tc>
          <w:tcPr>
            <w:tcW w:w="1120" w:type="dxa"/>
          </w:tcPr>
          <w:p w14:paraId="65C5217F" w14:textId="450DEB04" w:rsidR="000A0312" w:rsidRPr="00BB0239" w:rsidRDefault="000A0312" w:rsidP="00647873">
            <w:pPr>
              <w:pStyle w:val="TableCopy"/>
              <w:jc w:val="right"/>
              <w:rPr>
                <w:rFonts w:asciiTheme="minorHAnsi" w:hAnsiTheme="minorHAnsi" w:cstheme="minorHAnsi"/>
                <w:b/>
                <w:bCs/>
              </w:rPr>
            </w:pPr>
            <w:r w:rsidRPr="00BB0239">
              <w:rPr>
                <w:rFonts w:asciiTheme="minorHAnsi" w:hAnsiTheme="minorHAnsi" w:cstheme="minorHAnsi"/>
                <w:b/>
                <w:bCs/>
              </w:rPr>
              <w:t>21,063</w:t>
            </w:r>
          </w:p>
        </w:tc>
      </w:tr>
      <w:tr w:rsidR="000A0312" w:rsidRPr="00BB0239" w14:paraId="3E6879A0" w14:textId="77777777" w:rsidTr="00647873">
        <w:trPr>
          <w:trHeight w:val="113"/>
        </w:trPr>
        <w:tc>
          <w:tcPr>
            <w:tcW w:w="3114" w:type="dxa"/>
          </w:tcPr>
          <w:p w14:paraId="693E9C71" w14:textId="76C6DCD2" w:rsidR="000A0312" w:rsidRPr="00BB0239" w:rsidRDefault="000A0312" w:rsidP="00647873">
            <w:pPr>
              <w:pStyle w:val="TableCopy"/>
              <w:rPr>
                <w:rFonts w:asciiTheme="minorHAnsi" w:hAnsiTheme="minorHAnsi" w:cstheme="minorHAnsi"/>
                <w:b/>
                <w:bCs/>
              </w:rPr>
            </w:pPr>
            <w:r w:rsidRPr="00BB0239">
              <w:rPr>
                <w:rFonts w:asciiTheme="minorHAnsi" w:hAnsiTheme="minorHAnsi" w:cstheme="minorHAnsi"/>
                <w:b/>
                <w:bCs/>
              </w:rPr>
              <w:t>Total liabilities</w:t>
            </w:r>
          </w:p>
        </w:tc>
        <w:tc>
          <w:tcPr>
            <w:tcW w:w="1276" w:type="dxa"/>
          </w:tcPr>
          <w:p w14:paraId="2204865A" w14:textId="40D2A06B" w:rsidR="000A0312" w:rsidRPr="00BB0239" w:rsidRDefault="000A0312" w:rsidP="00647873">
            <w:pPr>
              <w:pStyle w:val="TableCopy"/>
              <w:jc w:val="right"/>
              <w:rPr>
                <w:rFonts w:asciiTheme="minorHAnsi" w:hAnsiTheme="minorHAnsi" w:cstheme="minorHAnsi"/>
                <w:b/>
                <w:bCs/>
              </w:rPr>
            </w:pPr>
            <w:r w:rsidRPr="00BB0239">
              <w:rPr>
                <w:rFonts w:asciiTheme="minorHAnsi" w:hAnsiTheme="minorHAnsi" w:cstheme="minorHAnsi"/>
                <w:b/>
                <w:bCs/>
              </w:rPr>
              <w:t>–</w:t>
            </w:r>
          </w:p>
        </w:tc>
        <w:tc>
          <w:tcPr>
            <w:tcW w:w="1276" w:type="dxa"/>
          </w:tcPr>
          <w:p w14:paraId="22A2E25F" w14:textId="6B610B1A" w:rsidR="000A0312" w:rsidRPr="00BB0239" w:rsidRDefault="000A0312" w:rsidP="00647873">
            <w:pPr>
              <w:pStyle w:val="TableCopy"/>
              <w:jc w:val="right"/>
              <w:rPr>
                <w:rFonts w:asciiTheme="minorHAnsi" w:hAnsiTheme="minorHAnsi" w:cstheme="minorHAnsi"/>
                <w:b/>
                <w:bCs/>
              </w:rPr>
            </w:pPr>
            <w:r w:rsidRPr="00BB0239">
              <w:rPr>
                <w:rFonts w:asciiTheme="minorHAnsi" w:hAnsiTheme="minorHAnsi" w:cstheme="minorHAnsi"/>
                <w:b/>
                <w:bCs/>
              </w:rPr>
              <w:t>452,783</w:t>
            </w:r>
          </w:p>
        </w:tc>
        <w:tc>
          <w:tcPr>
            <w:tcW w:w="1120" w:type="dxa"/>
          </w:tcPr>
          <w:p w14:paraId="27E37DD1" w14:textId="16985FAE" w:rsidR="000A0312" w:rsidRPr="00BB0239" w:rsidRDefault="000A0312" w:rsidP="00647873">
            <w:pPr>
              <w:pStyle w:val="TableCopy"/>
              <w:jc w:val="right"/>
              <w:rPr>
                <w:rFonts w:asciiTheme="minorHAnsi" w:hAnsiTheme="minorHAnsi" w:cstheme="minorHAnsi"/>
                <w:b/>
                <w:bCs/>
              </w:rPr>
            </w:pPr>
            <w:r w:rsidRPr="00BB0239">
              <w:rPr>
                <w:rFonts w:asciiTheme="minorHAnsi" w:hAnsiTheme="minorHAnsi" w:cstheme="minorHAnsi"/>
                <w:b/>
                <w:bCs/>
              </w:rPr>
              <w:t>–</w:t>
            </w:r>
          </w:p>
        </w:tc>
        <w:tc>
          <w:tcPr>
            <w:tcW w:w="1120" w:type="dxa"/>
          </w:tcPr>
          <w:p w14:paraId="5D5E8148" w14:textId="6E9B4F9A" w:rsidR="000A0312" w:rsidRPr="00BB0239" w:rsidRDefault="000A0312" w:rsidP="00647873">
            <w:pPr>
              <w:pStyle w:val="TableCopy"/>
              <w:jc w:val="right"/>
              <w:rPr>
                <w:rFonts w:asciiTheme="minorHAnsi" w:hAnsiTheme="minorHAnsi" w:cstheme="minorHAnsi"/>
                <w:b/>
                <w:bCs/>
              </w:rPr>
            </w:pPr>
            <w:r w:rsidRPr="00BB0239">
              <w:rPr>
                <w:rFonts w:asciiTheme="minorHAnsi" w:hAnsiTheme="minorHAnsi" w:cstheme="minorHAnsi"/>
                <w:b/>
                <w:bCs/>
              </w:rPr>
              <w:t>7,560</w:t>
            </w:r>
          </w:p>
        </w:tc>
        <w:tc>
          <w:tcPr>
            <w:tcW w:w="1162" w:type="dxa"/>
          </w:tcPr>
          <w:p w14:paraId="0D929681" w14:textId="45330580" w:rsidR="000A0312" w:rsidRPr="00BB0239" w:rsidRDefault="000A0312" w:rsidP="00647873">
            <w:pPr>
              <w:pStyle w:val="TableCopy"/>
              <w:jc w:val="right"/>
              <w:rPr>
                <w:rFonts w:asciiTheme="minorHAnsi" w:hAnsiTheme="minorHAnsi" w:cstheme="minorHAnsi"/>
                <w:b/>
                <w:bCs/>
              </w:rPr>
            </w:pPr>
            <w:r w:rsidRPr="00BB0239">
              <w:rPr>
                <w:rFonts w:asciiTheme="minorHAnsi" w:hAnsiTheme="minorHAnsi" w:cstheme="minorHAnsi"/>
                <w:b/>
                <w:bCs/>
              </w:rPr>
              <w:t>–</w:t>
            </w:r>
          </w:p>
        </w:tc>
        <w:tc>
          <w:tcPr>
            <w:tcW w:w="1276" w:type="dxa"/>
          </w:tcPr>
          <w:p w14:paraId="4BA48331" w14:textId="5166CBED" w:rsidR="000A0312" w:rsidRPr="00BB0239" w:rsidRDefault="000A0312" w:rsidP="00647873">
            <w:pPr>
              <w:pStyle w:val="TableCopy"/>
              <w:jc w:val="right"/>
              <w:rPr>
                <w:rFonts w:asciiTheme="minorHAnsi" w:hAnsiTheme="minorHAnsi" w:cstheme="minorHAnsi"/>
                <w:b/>
                <w:bCs/>
              </w:rPr>
            </w:pPr>
            <w:r w:rsidRPr="00BB0239">
              <w:rPr>
                <w:rFonts w:asciiTheme="minorHAnsi" w:hAnsiTheme="minorHAnsi" w:cstheme="minorHAnsi"/>
                <w:b/>
                <w:bCs/>
              </w:rPr>
              <w:t>30,990</w:t>
            </w:r>
          </w:p>
        </w:tc>
        <w:tc>
          <w:tcPr>
            <w:tcW w:w="1275" w:type="dxa"/>
          </w:tcPr>
          <w:p w14:paraId="0149CEB7" w14:textId="6DB762C0" w:rsidR="000A0312" w:rsidRPr="00BB0239" w:rsidRDefault="000A0312" w:rsidP="00647873">
            <w:pPr>
              <w:pStyle w:val="TableCopy"/>
              <w:jc w:val="right"/>
              <w:rPr>
                <w:rFonts w:asciiTheme="minorHAnsi" w:hAnsiTheme="minorHAnsi" w:cstheme="minorHAnsi"/>
                <w:b/>
                <w:bCs/>
              </w:rPr>
            </w:pPr>
            <w:r w:rsidRPr="00BB0239">
              <w:rPr>
                <w:rFonts w:asciiTheme="minorHAnsi" w:hAnsiTheme="minorHAnsi" w:cstheme="minorHAnsi"/>
                <w:b/>
                <w:bCs/>
              </w:rPr>
              <w:t>–</w:t>
            </w:r>
          </w:p>
        </w:tc>
        <w:tc>
          <w:tcPr>
            <w:tcW w:w="1276" w:type="dxa"/>
          </w:tcPr>
          <w:p w14:paraId="078BE2C7" w14:textId="2F545E28" w:rsidR="000A0312" w:rsidRPr="00BB0239" w:rsidRDefault="000A0312" w:rsidP="00647873">
            <w:pPr>
              <w:pStyle w:val="TableCopy"/>
              <w:jc w:val="right"/>
              <w:rPr>
                <w:rFonts w:asciiTheme="minorHAnsi" w:hAnsiTheme="minorHAnsi" w:cstheme="minorHAnsi"/>
                <w:b/>
                <w:bCs/>
              </w:rPr>
            </w:pPr>
            <w:r w:rsidRPr="00BB0239">
              <w:rPr>
                <w:rFonts w:asciiTheme="minorHAnsi" w:hAnsiTheme="minorHAnsi" w:cstheme="minorHAnsi"/>
                <w:b/>
                <w:bCs/>
              </w:rPr>
              <w:t>5,399</w:t>
            </w:r>
          </w:p>
        </w:tc>
        <w:tc>
          <w:tcPr>
            <w:tcW w:w="1120" w:type="dxa"/>
          </w:tcPr>
          <w:p w14:paraId="1C87AAC9" w14:textId="4E5FF9F2" w:rsidR="000A0312" w:rsidRPr="00BB0239" w:rsidRDefault="000A0312" w:rsidP="00647873">
            <w:pPr>
              <w:pStyle w:val="TableCopy"/>
              <w:jc w:val="right"/>
              <w:rPr>
                <w:rFonts w:asciiTheme="minorHAnsi" w:hAnsiTheme="minorHAnsi" w:cstheme="minorHAnsi"/>
                <w:b/>
                <w:bCs/>
              </w:rPr>
            </w:pPr>
            <w:r w:rsidRPr="00BB0239">
              <w:rPr>
                <w:rFonts w:asciiTheme="minorHAnsi" w:hAnsiTheme="minorHAnsi" w:cstheme="minorHAnsi"/>
                <w:b/>
                <w:bCs/>
              </w:rPr>
              <w:t>–</w:t>
            </w:r>
          </w:p>
        </w:tc>
        <w:tc>
          <w:tcPr>
            <w:tcW w:w="1120" w:type="dxa"/>
          </w:tcPr>
          <w:p w14:paraId="1BAFB2BB" w14:textId="5304A064" w:rsidR="000A0312" w:rsidRPr="00BB0239" w:rsidRDefault="000A0312" w:rsidP="00647873">
            <w:pPr>
              <w:pStyle w:val="TableCopy"/>
              <w:jc w:val="right"/>
              <w:rPr>
                <w:rFonts w:asciiTheme="minorHAnsi" w:hAnsiTheme="minorHAnsi" w:cstheme="minorHAnsi"/>
                <w:b/>
                <w:bCs/>
              </w:rPr>
            </w:pPr>
            <w:r w:rsidRPr="00BB0239">
              <w:rPr>
                <w:rFonts w:asciiTheme="minorHAnsi" w:hAnsiTheme="minorHAnsi" w:cstheme="minorHAnsi"/>
                <w:b/>
                <w:bCs/>
              </w:rPr>
              <w:t>2,989</w:t>
            </w:r>
          </w:p>
        </w:tc>
      </w:tr>
      <w:tr w:rsidR="000A0312" w:rsidRPr="00BB0239" w14:paraId="180CA9E3" w14:textId="77777777" w:rsidTr="00647873">
        <w:trPr>
          <w:trHeight w:val="113"/>
        </w:trPr>
        <w:tc>
          <w:tcPr>
            <w:tcW w:w="3114" w:type="dxa"/>
          </w:tcPr>
          <w:p w14:paraId="3267B556" w14:textId="0DF7CEB4" w:rsidR="000A0312" w:rsidRPr="00BB0239" w:rsidRDefault="000A0312" w:rsidP="00647873">
            <w:pPr>
              <w:pStyle w:val="TableCopy"/>
              <w:rPr>
                <w:rFonts w:asciiTheme="minorHAnsi" w:hAnsiTheme="minorHAnsi" w:cstheme="minorHAnsi"/>
                <w:b/>
                <w:bCs/>
              </w:rPr>
            </w:pPr>
            <w:r w:rsidRPr="00BB0239">
              <w:rPr>
                <w:rFonts w:asciiTheme="minorHAnsi" w:hAnsiTheme="minorHAnsi" w:cstheme="minorHAnsi"/>
                <w:b/>
                <w:bCs/>
              </w:rPr>
              <w:t>Net assets/(liabilities)</w:t>
            </w:r>
          </w:p>
        </w:tc>
        <w:tc>
          <w:tcPr>
            <w:tcW w:w="1276" w:type="dxa"/>
          </w:tcPr>
          <w:p w14:paraId="4FA46534" w14:textId="0DD28B83" w:rsidR="000A0312" w:rsidRPr="00BB0239" w:rsidRDefault="000A0312" w:rsidP="00647873">
            <w:pPr>
              <w:pStyle w:val="TableCopy"/>
              <w:jc w:val="right"/>
              <w:rPr>
                <w:rFonts w:asciiTheme="minorHAnsi" w:hAnsiTheme="minorHAnsi" w:cstheme="minorHAnsi"/>
                <w:b/>
                <w:bCs/>
              </w:rPr>
            </w:pPr>
            <w:r w:rsidRPr="00BB0239">
              <w:rPr>
                <w:rFonts w:asciiTheme="minorHAnsi" w:hAnsiTheme="minorHAnsi" w:cstheme="minorHAnsi"/>
                <w:b/>
                <w:bCs/>
              </w:rPr>
              <w:t>–</w:t>
            </w:r>
          </w:p>
        </w:tc>
        <w:tc>
          <w:tcPr>
            <w:tcW w:w="1276" w:type="dxa"/>
          </w:tcPr>
          <w:p w14:paraId="70CB683C" w14:textId="613EE659" w:rsidR="000A0312" w:rsidRPr="00BB0239" w:rsidRDefault="000A0312" w:rsidP="00647873">
            <w:pPr>
              <w:pStyle w:val="TableCopy"/>
              <w:jc w:val="right"/>
              <w:rPr>
                <w:rFonts w:asciiTheme="minorHAnsi" w:hAnsiTheme="minorHAnsi" w:cstheme="minorHAnsi"/>
                <w:b/>
                <w:bCs/>
              </w:rPr>
            </w:pPr>
            <w:r w:rsidRPr="00BB0239">
              <w:rPr>
                <w:rFonts w:asciiTheme="minorHAnsi" w:hAnsiTheme="minorHAnsi" w:cstheme="minorHAnsi"/>
                <w:b/>
                <w:bCs/>
              </w:rPr>
              <w:t>980,712</w:t>
            </w:r>
          </w:p>
        </w:tc>
        <w:tc>
          <w:tcPr>
            <w:tcW w:w="1120" w:type="dxa"/>
          </w:tcPr>
          <w:p w14:paraId="00E54236" w14:textId="3B85888B" w:rsidR="000A0312" w:rsidRPr="00BB0239" w:rsidRDefault="000A0312" w:rsidP="00647873">
            <w:pPr>
              <w:pStyle w:val="TableCopy"/>
              <w:jc w:val="right"/>
              <w:rPr>
                <w:rFonts w:asciiTheme="minorHAnsi" w:hAnsiTheme="minorHAnsi" w:cstheme="minorHAnsi"/>
                <w:b/>
                <w:bCs/>
              </w:rPr>
            </w:pPr>
            <w:r w:rsidRPr="00BB0239">
              <w:rPr>
                <w:rFonts w:asciiTheme="minorHAnsi" w:hAnsiTheme="minorHAnsi" w:cstheme="minorHAnsi"/>
                <w:b/>
                <w:bCs/>
              </w:rPr>
              <w:t>–</w:t>
            </w:r>
          </w:p>
        </w:tc>
        <w:tc>
          <w:tcPr>
            <w:tcW w:w="1120" w:type="dxa"/>
          </w:tcPr>
          <w:p w14:paraId="7629BF65" w14:textId="0CD41969" w:rsidR="000A0312" w:rsidRPr="00BB0239" w:rsidRDefault="000A0312" w:rsidP="00647873">
            <w:pPr>
              <w:pStyle w:val="TableCopy"/>
              <w:jc w:val="right"/>
              <w:rPr>
                <w:rFonts w:asciiTheme="minorHAnsi" w:hAnsiTheme="minorHAnsi" w:cstheme="minorHAnsi"/>
                <w:b/>
                <w:bCs/>
              </w:rPr>
            </w:pPr>
            <w:r w:rsidRPr="00BB0239">
              <w:rPr>
                <w:rFonts w:asciiTheme="minorHAnsi" w:hAnsiTheme="minorHAnsi" w:cstheme="minorHAnsi"/>
                <w:b/>
                <w:bCs/>
              </w:rPr>
              <w:t>89,999</w:t>
            </w:r>
          </w:p>
        </w:tc>
        <w:tc>
          <w:tcPr>
            <w:tcW w:w="1162" w:type="dxa"/>
          </w:tcPr>
          <w:p w14:paraId="3AA08539" w14:textId="7E4889E9" w:rsidR="000A0312" w:rsidRPr="00BB0239" w:rsidRDefault="000A0312" w:rsidP="00647873">
            <w:pPr>
              <w:pStyle w:val="TableCopy"/>
              <w:jc w:val="right"/>
              <w:rPr>
                <w:rFonts w:asciiTheme="minorHAnsi" w:hAnsiTheme="minorHAnsi" w:cstheme="minorHAnsi"/>
                <w:b/>
                <w:bCs/>
              </w:rPr>
            </w:pPr>
            <w:r w:rsidRPr="00BB0239">
              <w:rPr>
                <w:rFonts w:asciiTheme="minorHAnsi" w:hAnsiTheme="minorHAnsi" w:cstheme="minorHAnsi"/>
                <w:b/>
                <w:bCs/>
              </w:rPr>
              <w:t>–</w:t>
            </w:r>
          </w:p>
        </w:tc>
        <w:tc>
          <w:tcPr>
            <w:tcW w:w="1276" w:type="dxa"/>
          </w:tcPr>
          <w:p w14:paraId="3B23A091" w14:textId="3FDFB398" w:rsidR="000A0312" w:rsidRPr="00BB0239" w:rsidRDefault="000A0312" w:rsidP="00647873">
            <w:pPr>
              <w:pStyle w:val="TableCopy"/>
              <w:jc w:val="right"/>
              <w:rPr>
                <w:rFonts w:asciiTheme="minorHAnsi" w:hAnsiTheme="minorHAnsi" w:cstheme="minorHAnsi"/>
                <w:b/>
                <w:bCs/>
              </w:rPr>
            </w:pPr>
            <w:r w:rsidRPr="00BB0239">
              <w:rPr>
                <w:rFonts w:asciiTheme="minorHAnsi" w:hAnsiTheme="minorHAnsi" w:cstheme="minorHAnsi"/>
                <w:b/>
                <w:bCs/>
              </w:rPr>
              <w:t>767</w:t>
            </w:r>
          </w:p>
        </w:tc>
        <w:tc>
          <w:tcPr>
            <w:tcW w:w="1275" w:type="dxa"/>
          </w:tcPr>
          <w:p w14:paraId="60D3B1BE" w14:textId="1AF361A9" w:rsidR="000A0312" w:rsidRPr="00BB0239" w:rsidRDefault="000A0312" w:rsidP="00647873">
            <w:pPr>
              <w:pStyle w:val="TableCopy"/>
              <w:jc w:val="right"/>
              <w:rPr>
                <w:rFonts w:asciiTheme="minorHAnsi" w:hAnsiTheme="minorHAnsi" w:cstheme="minorHAnsi"/>
                <w:b/>
                <w:bCs/>
              </w:rPr>
            </w:pPr>
            <w:r w:rsidRPr="00BB0239">
              <w:rPr>
                <w:rFonts w:asciiTheme="minorHAnsi" w:hAnsiTheme="minorHAnsi" w:cstheme="minorHAnsi"/>
                <w:b/>
                <w:bCs/>
              </w:rPr>
              <w:t>–</w:t>
            </w:r>
          </w:p>
        </w:tc>
        <w:tc>
          <w:tcPr>
            <w:tcW w:w="1276" w:type="dxa"/>
          </w:tcPr>
          <w:p w14:paraId="3456A269" w14:textId="77777777" w:rsidR="000A0312" w:rsidRPr="00BB0239" w:rsidRDefault="000A0312" w:rsidP="00647873">
            <w:pPr>
              <w:pStyle w:val="TableCopy"/>
              <w:jc w:val="right"/>
              <w:rPr>
                <w:rFonts w:asciiTheme="minorHAnsi" w:hAnsiTheme="minorHAnsi" w:cstheme="minorHAnsi"/>
                <w:b/>
                <w:bCs/>
              </w:rPr>
            </w:pPr>
            <w:r w:rsidRPr="00BB0239">
              <w:rPr>
                <w:rFonts w:asciiTheme="minorHAnsi" w:hAnsiTheme="minorHAnsi" w:cstheme="minorHAnsi"/>
                <w:b/>
                <w:bCs/>
              </w:rPr>
              <w:t>(53,705)</w:t>
            </w:r>
          </w:p>
        </w:tc>
        <w:tc>
          <w:tcPr>
            <w:tcW w:w="1120" w:type="dxa"/>
          </w:tcPr>
          <w:p w14:paraId="7AA16E8F" w14:textId="54098E82" w:rsidR="000A0312" w:rsidRPr="00BB0239" w:rsidRDefault="000A0312" w:rsidP="00647873">
            <w:pPr>
              <w:pStyle w:val="TableCopy"/>
              <w:jc w:val="right"/>
              <w:rPr>
                <w:rFonts w:asciiTheme="minorHAnsi" w:hAnsiTheme="minorHAnsi" w:cstheme="minorHAnsi"/>
                <w:b/>
                <w:bCs/>
              </w:rPr>
            </w:pPr>
            <w:r w:rsidRPr="00BB0239">
              <w:rPr>
                <w:rFonts w:asciiTheme="minorHAnsi" w:hAnsiTheme="minorHAnsi" w:cstheme="minorHAnsi"/>
                <w:b/>
                <w:bCs/>
              </w:rPr>
              <w:t>–</w:t>
            </w:r>
          </w:p>
        </w:tc>
        <w:tc>
          <w:tcPr>
            <w:tcW w:w="1120" w:type="dxa"/>
          </w:tcPr>
          <w:p w14:paraId="1E1B4AAE" w14:textId="0DAD0598" w:rsidR="000A0312" w:rsidRPr="00BB0239" w:rsidRDefault="000A0312" w:rsidP="00647873">
            <w:pPr>
              <w:pStyle w:val="TableCopy"/>
              <w:jc w:val="right"/>
              <w:rPr>
                <w:rFonts w:asciiTheme="minorHAnsi" w:hAnsiTheme="minorHAnsi" w:cstheme="minorHAnsi"/>
                <w:b/>
                <w:bCs/>
              </w:rPr>
            </w:pPr>
            <w:r w:rsidRPr="00BB0239">
              <w:rPr>
                <w:rFonts w:asciiTheme="minorHAnsi" w:hAnsiTheme="minorHAnsi" w:cstheme="minorHAnsi"/>
                <w:b/>
                <w:bCs/>
              </w:rPr>
              <w:t>18,074</w:t>
            </w:r>
          </w:p>
        </w:tc>
      </w:tr>
    </w:tbl>
    <w:p w14:paraId="40058D50" w14:textId="77777777" w:rsidR="000756EB" w:rsidRDefault="000756EB" w:rsidP="00E645A4"/>
    <w:p w14:paraId="300B0A48" w14:textId="7D4E183C" w:rsidR="000756EB" w:rsidRDefault="004A4D88" w:rsidP="00FE7999">
      <w:pPr>
        <w:pStyle w:val="Heading3"/>
      </w:pPr>
      <w:r>
        <w:lastRenderedPageBreak/>
        <w:t>4.1.3</w:t>
      </w:r>
      <w:r w:rsidR="00A03629">
        <w:t xml:space="preserve"> </w:t>
      </w:r>
      <w:r>
        <w:t>Departmental</w:t>
      </w:r>
      <w:r w:rsidR="00A03629">
        <w:t xml:space="preserve"> </w:t>
      </w:r>
      <w:r>
        <w:t>outputs:</w:t>
      </w:r>
      <w:r w:rsidR="00A03629">
        <w:t xml:space="preserve"> </w:t>
      </w:r>
      <w:r>
        <w:t>Controlled</w:t>
      </w:r>
      <w:r w:rsidR="00A03629">
        <w:t xml:space="preserve"> </w:t>
      </w:r>
      <w:r>
        <w:t>assets</w:t>
      </w:r>
      <w:r w:rsidR="00A03629">
        <w:t xml:space="preserve"> </w:t>
      </w:r>
      <w:r>
        <w:t>and</w:t>
      </w:r>
      <w:r w:rsidR="00A03629">
        <w:t xml:space="preserve"> </w:t>
      </w:r>
      <w:r>
        <w:t>liabilities</w:t>
      </w:r>
      <w:r w:rsidR="00A03629">
        <w:t xml:space="preserve"> </w:t>
      </w:r>
      <w:proofErr w:type="gramStart"/>
      <w:r>
        <w:t>at</w:t>
      </w:r>
      <w:proofErr w:type="gramEnd"/>
      <w:r w:rsidR="00A03629">
        <w:t xml:space="preserve"> </w:t>
      </w:r>
      <w:r>
        <w:t>30</w:t>
      </w:r>
      <w:r w:rsidR="00A03629">
        <w:t xml:space="preserve"> </w:t>
      </w:r>
      <w:r>
        <w:t>June</w:t>
      </w:r>
      <w:r w:rsidR="00A03629">
        <w:t xml:space="preserve"> </w:t>
      </w:r>
      <w:r>
        <w:t>2023 Outputs</w:t>
      </w:r>
      <w:r w:rsidR="00A03629">
        <w:t xml:space="preserve"> </w:t>
      </w:r>
      <w:r>
        <w:t>transferred</w:t>
      </w:r>
      <w:r w:rsidR="00A03629">
        <w:t xml:space="preserve"> </w:t>
      </w:r>
      <w:r>
        <w:t>out</w:t>
      </w:r>
      <w:r w:rsidR="00A03629">
        <w:t xml:space="preserve"> </w:t>
      </w:r>
      <w:r>
        <w:t>as</w:t>
      </w:r>
      <w:r w:rsidR="00A03629">
        <w:t xml:space="preserve"> </w:t>
      </w:r>
      <w:r>
        <w:t>part</w:t>
      </w:r>
      <w:r w:rsidR="00A03629">
        <w:t xml:space="preserve"> </w:t>
      </w:r>
      <w:r>
        <w:t>of</w:t>
      </w:r>
      <w:r w:rsidR="00A03629">
        <w:t xml:space="preserve"> </w:t>
      </w:r>
      <w:r>
        <w:t>Machinery-of-Governments</w:t>
      </w:r>
      <w:r w:rsidR="00A03629">
        <w:t xml:space="preserve"> </w:t>
      </w:r>
      <w:r>
        <w:t>Change</w:t>
      </w:r>
      <w:r w:rsidR="00A03629">
        <w:t xml:space="preserve"> </w:t>
      </w:r>
      <w:r>
        <w:t>(continued)</w:t>
      </w:r>
    </w:p>
    <w:tbl>
      <w:tblPr>
        <w:tblStyle w:val="TableGrid"/>
        <w:tblW w:w="14848" w:type="dxa"/>
        <w:tblLayout w:type="fixed"/>
        <w:tblLook w:val="0020" w:firstRow="1" w:lastRow="0" w:firstColumn="0" w:lastColumn="0" w:noHBand="0" w:noVBand="0"/>
      </w:tblPr>
      <w:tblGrid>
        <w:gridCol w:w="3508"/>
        <w:gridCol w:w="1417"/>
        <w:gridCol w:w="1418"/>
        <w:gridCol w:w="1417"/>
        <w:gridCol w:w="1418"/>
        <w:gridCol w:w="1417"/>
        <w:gridCol w:w="1418"/>
        <w:gridCol w:w="1417"/>
        <w:gridCol w:w="1418"/>
      </w:tblGrid>
      <w:tr w:rsidR="00145AF3" w:rsidRPr="00145AF3" w14:paraId="714419F3" w14:textId="77777777" w:rsidTr="00F510D8">
        <w:trPr>
          <w:trHeight w:val="113"/>
        </w:trPr>
        <w:tc>
          <w:tcPr>
            <w:tcW w:w="3508" w:type="dxa"/>
          </w:tcPr>
          <w:p w14:paraId="48AF2917" w14:textId="77777777" w:rsidR="00145AF3" w:rsidRPr="00145AF3" w:rsidRDefault="00145AF3" w:rsidP="00145AF3">
            <w:pPr>
              <w:pStyle w:val="TableColumnHeading"/>
              <w:rPr>
                <w:rFonts w:asciiTheme="minorHAnsi" w:hAnsiTheme="minorHAnsi" w:cstheme="minorHAnsi"/>
                <w:sz w:val="20"/>
                <w:szCs w:val="28"/>
              </w:rPr>
            </w:pPr>
            <w:bookmarkStart w:id="46" w:name="ColumnTitles_23"/>
            <w:bookmarkEnd w:id="46"/>
          </w:p>
        </w:tc>
        <w:tc>
          <w:tcPr>
            <w:tcW w:w="1417" w:type="dxa"/>
          </w:tcPr>
          <w:p w14:paraId="05E72656" w14:textId="2C31F6F0" w:rsidR="00145AF3" w:rsidRPr="00145AF3" w:rsidRDefault="00145AF3" w:rsidP="00BB0239">
            <w:pPr>
              <w:pStyle w:val="TableColumnHeading"/>
              <w:jc w:val="right"/>
              <w:rPr>
                <w:rFonts w:asciiTheme="minorHAnsi" w:hAnsiTheme="minorHAnsi" w:cstheme="minorHAnsi"/>
                <w:sz w:val="20"/>
                <w:szCs w:val="28"/>
              </w:rPr>
            </w:pPr>
            <w:r w:rsidRPr="00145AF3">
              <w:rPr>
                <w:rFonts w:asciiTheme="minorHAnsi" w:hAnsiTheme="minorHAnsi" w:cstheme="minorHAnsi"/>
                <w:sz w:val="20"/>
                <w:szCs w:val="28"/>
              </w:rPr>
              <w:t>Industry, Innovation, Medical Research and Small Business</w:t>
            </w:r>
            <w:r w:rsidRPr="00145AF3">
              <w:rPr>
                <w:rFonts w:asciiTheme="minorHAnsi" w:hAnsiTheme="minorHAnsi" w:cstheme="minorHAnsi"/>
                <w:spacing w:val="-4"/>
                <w:sz w:val="20"/>
                <w:szCs w:val="28"/>
              </w:rPr>
              <w:t xml:space="preserve"> (Medical Research function)</w:t>
            </w:r>
            <w:r w:rsidRPr="00614829">
              <w:rPr>
                <w:rStyle w:val="FootnotereferencessuperscriptMisc"/>
                <w:spacing w:val="-7"/>
                <w:sz w:val="20"/>
                <w:szCs w:val="28"/>
              </w:rPr>
              <w:t xml:space="preserve"> </w:t>
            </w:r>
            <w:r w:rsidRPr="00614829">
              <w:rPr>
                <w:rStyle w:val="FootnotereferencessuperscriptMisc"/>
                <w:sz w:val="20"/>
                <w:szCs w:val="28"/>
              </w:rPr>
              <w:t>(iii)</w:t>
            </w:r>
            <w:r w:rsidRPr="00145AF3">
              <w:rPr>
                <w:rFonts w:asciiTheme="minorHAnsi" w:hAnsiTheme="minorHAnsi" w:cstheme="minorHAnsi"/>
                <w:sz w:val="20"/>
                <w:szCs w:val="28"/>
              </w:rPr>
              <w:t xml:space="preserve"> 2023 ($ thousand) </w:t>
            </w:r>
          </w:p>
        </w:tc>
        <w:tc>
          <w:tcPr>
            <w:tcW w:w="1418" w:type="dxa"/>
          </w:tcPr>
          <w:p w14:paraId="0FB6579C" w14:textId="7A7DE523" w:rsidR="00145AF3" w:rsidRPr="00145AF3" w:rsidRDefault="00145AF3" w:rsidP="00BB0239">
            <w:pPr>
              <w:pStyle w:val="TableColumnHeading"/>
              <w:jc w:val="right"/>
              <w:rPr>
                <w:rFonts w:asciiTheme="minorHAnsi" w:hAnsiTheme="minorHAnsi" w:cstheme="minorHAnsi"/>
                <w:sz w:val="20"/>
                <w:szCs w:val="28"/>
              </w:rPr>
            </w:pPr>
            <w:r w:rsidRPr="00145AF3">
              <w:rPr>
                <w:rFonts w:asciiTheme="minorHAnsi" w:hAnsiTheme="minorHAnsi" w:cstheme="minorHAnsi"/>
                <w:sz w:val="20"/>
                <w:szCs w:val="28"/>
              </w:rPr>
              <w:t>Industry, Innovation, Medical Research and Small Business</w:t>
            </w:r>
            <w:r w:rsidRPr="00145AF3">
              <w:rPr>
                <w:rFonts w:asciiTheme="minorHAnsi" w:hAnsiTheme="minorHAnsi" w:cstheme="minorHAnsi"/>
                <w:spacing w:val="-4"/>
                <w:sz w:val="20"/>
                <w:szCs w:val="28"/>
              </w:rPr>
              <w:t xml:space="preserve"> (Medical Research function)</w:t>
            </w:r>
            <w:r w:rsidRPr="00614829">
              <w:rPr>
                <w:rStyle w:val="FootnotereferencessuperscriptMisc"/>
                <w:spacing w:val="-7"/>
                <w:sz w:val="20"/>
                <w:szCs w:val="28"/>
              </w:rPr>
              <w:t xml:space="preserve"> </w:t>
            </w:r>
            <w:r w:rsidRPr="00614829">
              <w:rPr>
                <w:rStyle w:val="FootnotereferencessuperscriptMisc"/>
                <w:sz w:val="20"/>
                <w:szCs w:val="28"/>
              </w:rPr>
              <w:t>(iii)</w:t>
            </w:r>
            <w:r w:rsidRPr="00145AF3">
              <w:rPr>
                <w:rFonts w:asciiTheme="minorHAnsi" w:hAnsiTheme="minorHAnsi" w:cstheme="minorHAnsi"/>
                <w:sz w:val="20"/>
                <w:szCs w:val="28"/>
              </w:rPr>
              <w:t xml:space="preserve"> 2022 ($ thousand)</w:t>
            </w:r>
          </w:p>
        </w:tc>
        <w:tc>
          <w:tcPr>
            <w:tcW w:w="1417" w:type="dxa"/>
          </w:tcPr>
          <w:p w14:paraId="614BAF25" w14:textId="53D71360" w:rsidR="00145AF3" w:rsidRPr="00145AF3" w:rsidRDefault="00145AF3" w:rsidP="00BB0239">
            <w:pPr>
              <w:pStyle w:val="TableColumnHeading"/>
              <w:jc w:val="right"/>
              <w:rPr>
                <w:rFonts w:asciiTheme="minorHAnsi" w:hAnsiTheme="minorHAnsi" w:cstheme="minorHAnsi"/>
                <w:sz w:val="20"/>
                <w:szCs w:val="28"/>
              </w:rPr>
            </w:pPr>
            <w:r w:rsidRPr="00145AF3">
              <w:rPr>
                <w:rFonts w:asciiTheme="minorHAnsi" w:hAnsiTheme="minorHAnsi" w:cstheme="minorHAnsi"/>
                <w:sz w:val="20"/>
                <w:szCs w:val="28"/>
              </w:rPr>
              <w:t>Industry, Innovation, Medical Research and Small Business</w:t>
            </w:r>
            <w:r w:rsidRPr="00145AF3">
              <w:rPr>
                <w:rFonts w:asciiTheme="minorHAnsi" w:hAnsiTheme="minorHAnsi" w:cstheme="minorHAnsi"/>
                <w:spacing w:val="-9"/>
                <w:sz w:val="20"/>
                <w:szCs w:val="28"/>
              </w:rPr>
              <w:t xml:space="preserve"> (Tele</w:t>
            </w:r>
            <w:r w:rsidR="00F510D8">
              <w:rPr>
                <w:rFonts w:asciiTheme="minorHAnsi" w:hAnsiTheme="minorHAnsi" w:cstheme="minorHAnsi"/>
                <w:spacing w:val="-9"/>
                <w:sz w:val="20"/>
                <w:szCs w:val="28"/>
              </w:rPr>
              <w:t xml:space="preserve"> </w:t>
            </w:r>
            <w:r w:rsidRPr="00145AF3">
              <w:rPr>
                <w:rFonts w:asciiTheme="minorHAnsi" w:hAnsiTheme="minorHAnsi" w:cstheme="minorHAnsi"/>
                <w:spacing w:val="-9"/>
                <w:sz w:val="20"/>
                <w:szCs w:val="28"/>
              </w:rPr>
              <w:t>communication function)</w:t>
            </w:r>
            <w:r w:rsidRPr="00614829">
              <w:rPr>
                <w:rStyle w:val="FootnotereferencessuperscriptMisc"/>
                <w:spacing w:val="-7"/>
                <w:sz w:val="20"/>
                <w:szCs w:val="28"/>
              </w:rPr>
              <w:t xml:space="preserve"> </w:t>
            </w:r>
            <w:r w:rsidRPr="00614829">
              <w:rPr>
                <w:rStyle w:val="FootnotereferencessuperscriptMisc"/>
                <w:sz w:val="20"/>
                <w:szCs w:val="28"/>
              </w:rPr>
              <w:t>(iii)</w:t>
            </w:r>
            <w:r w:rsidRPr="00145AF3">
              <w:rPr>
                <w:rFonts w:asciiTheme="minorHAnsi" w:hAnsiTheme="minorHAnsi" w:cstheme="minorHAnsi"/>
                <w:sz w:val="20"/>
                <w:szCs w:val="28"/>
              </w:rPr>
              <w:t xml:space="preserve"> 2023 ($ thousand) </w:t>
            </w:r>
          </w:p>
        </w:tc>
        <w:tc>
          <w:tcPr>
            <w:tcW w:w="1418" w:type="dxa"/>
          </w:tcPr>
          <w:p w14:paraId="2F8B167A" w14:textId="7D0F2715" w:rsidR="00145AF3" w:rsidRPr="00145AF3" w:rsidRDefault="00145AF3" w:rsidP="00BB0239">
            <w:pPr>
              <w:pStyle w:val="TableColumnHeading"/>
              <w:jc w:val="right"/>
              <w:rPr>
                <w:rFonts w:asciiTheme="minorHAnsi" w:hAnsiTheme="minorHAnsi" w:cstheme="minorHAnsi"/>
                <w:sz w:val="20"/>
                <w:szCs w:val="28"/>
              </w:rPr>
            </w:pPr>
            <w:r w:rsidRPr="00145AF3">
              <w:rPr>
                <w:rFonts w:asciiTheme="minorHAnsi" w:hAnsiTheme="minorHAnsi" w:cstheme="minorHAnsi"/>
                <w:sz w:val="20"/>
                <w:szCs w:val="28"/>
              </w:rPr>
              <w:t>Industry, Innovation, Medical Research and Small Business</w:t>
            </w:r>
            <w:r w:rsidRPr="00145AF3">
              <w:rPr>
                <w:rFonts w:asciiTheme="minorHAnsi" w:hAnsiTheme="minorHAnsi" w:cstheme="minorHAnsi"/>
                <w:spacing w:val="-9"/>
                <w:sz w:val="20"/>
                <w:szCs w:val="28"/>
              </w:rPr>
              <w:t xml:space="preserve"> (Tele</w:t>
            </w:r>
            <w:r w:rsidR="00F510D8">
              <w:rPr>
                <w:rFonts w:asciiTheme="minorHAnsi" w:hAnsiTheme="minorHAnsi" w:cstheme="minorHAnsi"/>
                <w:spacing w:val="-9"/>
                <w:sz w:val="20"/>
                <w:szCs w:val="28"/>
              </w:rPr>
              <w:t xml:space="preserve"> </w:t>
            </w:r>
            <w:r w:rsidRPr="00145AF3">
              <w:rPr>
                <w:rFonts w:asciiTheme="minorHAnsi" w:hAnsiTheme="minorHAnsi" w:cstheme="minorHAnsi"/>
                <w:spacing w:val="-9"/>
                <w:sz w:val="20"/>
                <w:szCs w:val="28"/>
              </w:rPr>
              <w:t>communication function)</w:t>
            </w:r>
            <w:r w:rsidRPr="00614829">
              <w:rPr>
                <w:rStyle w:val="FootnotereferencessuperscriptMisc"/>
                <w:spacing w:val="-7"/>
                <w:sz w:val="20"/>
                <w:szCs w:val="28"/>
              </w:rPr>
              <w:t xml:space="preserve"> </w:t>
            </w:r>
            <w:r w:rsidRPr="00614829">
              <w:rPr>
                <w:rStyle w:val="FootnotereferencessuperscriptMisc"/>
                <w:sz w:val="20"/>
                <w:szCs w:val="28"/>
              </w:rPr>
              <w:t>(iii)</w:t>
            </w:r>
            <w:r w:rsidRPr="00145AF3">
              <w:rPr>
                <w:rFonts w:asciiTheme="minorHAnsi" w:hAnsiTheme="minorHAnsi" w:cstheme="minorHAnsi"/>
                <w:sz w:val="20"/>
                <w:szCs w:val="28"/>
              </w:rPr>
              <w:t xml:space="preserve"> 2022 ($ thousand)</w:t>
            </w:r>
          </w:p>
        </w:tc>
        <w:tc>
          <w:tcPr>
            <w:tcW w:w="1417" w:type="dxa"/>
          </w:tcPr>
          <w:p w14:paraId="05EA1FB7" w14:textId="7B47EC99" w:rsidR="00145AF3" w:rsidRPr="00145AF3" w:rsidRDefault="00145AF3" w:rsidP="00BB0239">
            <w:pPr>
              <w:pStyle w:val="TableColumnHeading"/>
              <w:jc w:val="right"/>
              <w:rPr>
                <w:rFonts w:asciiTheme="minorHAnsi" w:hAnsiTheme="minorHAnsi" w:cstheme="minorHAnsi"/>
                <w:sz w:val="20"/>
                <w:szCs w:val="28"/>
              </w:rPr>
            </w:pPr>
            <w:r w:rsidRPr="00145AF3">
              <w:rPr>
                <w:rFonts w:asciiTheme="minorHAnsi" w:hAnsiTheme="minorHAnsi" w:cstheme="minorHAnsi"/>
                <w:sz w:val="20"/>
                <w:szCs w:val="28"/>
              </w:rPr>
              <w:t xml:space="preserve">Transferred Out Outputs Subtotals 2023 ($ thousand) </w:t>
            </w:r>
          </w:p>
        </w:tc>
        <w:tc>
          <w:tcPr>
            <w:tcW w:w="1418" w:type="dxa"/>
          </w:tcPr>
          <w:p w14:paraId="01CF5759" w14:textId="7A9A9F83" w:rsidR="00145AF3" w:rsidRPr="00145AF3" w:rsidRDefault="00145AF3" w:rsidP="00BB0239">
            <w:pPr>
              <w:pStyle w:val="TableColumnHeading"/>
              <w:jc w:val="right"/>
              <w:rPr>
                <w:rFonts w:asciiTheme="minorHAnsi" w:hAnsiTheme="minorHAnsi" w:cstheme="minorHAnsi"/>
                <w:sz w:val="20"/>
                <w:szCs w:val="28"/>
              </w:rPr>
            </w:pPr>
            <w:r w:rsidRPr="00145AF3">
              <w:rPr>
                <w:rFonts w:asciiTheme="minorHAnsi" w:hAnsiTheme="minorHAnsi" w:cstheme="minorHAnsi"/>
                <w:sz w:val="20"/>
                <w:szCs w:val="28"/>
              </w:rPr>
              <w:t>Transferred Out Outputs Subtotals 2022 ($ thousand)</w:t>
            </w:r>
          </w:p>
        </w:tc>
        <w:tc>
          <w:tcPr>
            <w:tcW w:w="1417" w:type="dxa"/>
          </w:tcPr>
          <w:p w14:paraId="0A5696BA" w14:textId="0B3A2104" w:rsidR="00145AF3" w:rsidRPr="00145AF3" w:rsidRDefault="00145AF3" w:rsidP="00BB0239">
            <w:pPr>
              <w:pStyle w:val="TableColumnHeading"/>
              <w:jc w:val="right"/>
              <w:rPr>
                <w:rFonts w:asciiTheme="minorHAnsi" w:hAnsiTheme="minorHAnsi" w:cstheme="minorHAnsi"/>
                <w:sz w:val="20"/>
                <w:szCs w:val="28"/>
              </w:rPr>
            </w:pPr>
            <w:r w:rsidRPr="00145AF3">
              <w:rPr>
                <w:rFonts w:asciiTheme="minorHAnsi" w:hAnsiTheme="minorHAnsi" w:cstheme="minorHAnsi"/>
                <w:sz w:val="20"/>
                <w:szCs w:val="28"/>
              </w:rPr>
              <w:t xml:space="preserve">Department Consolidated Total 2023 ($ thousand) </w:t>
            </w:r>
          </w:p>
        </w:tc>
        <w:tc>
          <w:tcPr>
            <w:tcW w:w="1418" w:type="dxa"/>
          </w:tcPr>
          <w:p w14:paraId="36E10330" w14:textId="53D19D53" w:rsidR="00145AF3" w:rsidRPr="00145AF3" w:rsidRDefault="00145AF3" w:rsidP="00BB0239">
            <w:pPr>
              <w:pStyle w:val="TableColumnHeading"/>
              <w:jc w:val="right"/>
              <w:rPr>
                <w:rFonts w:asciiTheme="minorHAnsi" w:hAnsiTheme="minorHAnsi" w:cstheme="minorHAnsi"/>
                <w:sz w:val="20"/>
                <w:szCs w:val="28"/>
              </w:rPr>
            </w:pPr>
            <w:r w:rsidRPr="00145AF3">
              <w:rPr>
                <w:rFonts w:asciiTheme="minorHAnsi" w:hAnsiTheme="minorHAnsi" w:cstheme="minorHAnsi"/>
                <w:sz w:val="20"/>
                <w:szCs w:val="28"/>
              </w:rPr>
              <w:t>Department Consolidated Total 2022 ($ thousand)</w:t>
            </w:r>
          </w:p>
        </w:tc>
      </w:tr>
      <w:tr w:rsidR="00145AF3" w14:paraId="48DF4509" w14:textId="77777777" w:rsidTr="00F510D8">
        <w:trPr>
          <w:trHeight w:val="113"/>
        </w:trPr>
        <w:tc>
          <w:tcPr>
            <w:tcW w:w="3508" w:type="dxa"/>
          </w:tcPr>
          <w:p w14:paraId="5CA461CE" w14:textId="77777777" w:rsidR="00145AF3" w:rsidRDefault="00145AF3" w:rsidP="00F510D8">
            <w:pPr>
              <w:pStyle w:val="TableHeading"/>
            </w:pPr>
            <w:r>
              <w:t>Assets</w:t>
            </w:r>
          </w:p>
        </w:tc>
        <w:tc>
          <w:tcPr>
            <w:tcW w:w="1417" w:type="dxa"/>
          </w:tcPr>
          <w:p w14:paraId="5852862A" w14:textId="77777777" w:rsidR="00145AF3" w:rsidRDefault="00145AF3" w:rsidP="00BB0239">
            <w:pPr>
              <w:pStyle w:val="TableHeading"/>
              <w:jc w:val="right"/>
              <w:rPr>
                <w:rFonts w:ascii="VIC Light" w:hAnsi="VIC Light" w:cstheme="minorBidi"/>
                <w:lang w:val="en-AU"/>
              </w:rPr>
            </w:pPr>
          </w:p>
        </w:tc>
        <w:tc>
          <w:tcPr>
            <w:tcW w:w="1418" w:type="dxa"/>
          </w:tcPr>
          <w:p w14:paraId="70F1DAE3" w14:textId="77777777" w:rsidR="00145AF3" w:rsidRDefault="00145AF3" w:rsidP="00BB0239">
            <w:pPr>
              <w:pStyle w:val="TableHeading"/>
              <w:jc w:val="right"/>
              <w:rPr>
                <w:rFonts w:ascii="VIC Light" w:hAnsi="VIC Light" w:cstheme="minorBidi"/>
                <w:lang w:val="en-AU"/>
              </w:rPr>
            </w:pPr>
          </w:p>
        </w:tc>
        <w:tc>
          <w:tcPr>
            <w:tcW w:w="1417" w:type="dxa"/>
          </w:tcPr>
          <w:p w14:paraId="09672A4F" w14:textId="77777777" w:rsidR="00145AF3" w:rsidRDefault="00145AF3" w:rsidP="00BB0239">
            <w:pPr>
              <w:pStyle w:val="TableHeading"/>
              <w:jc w:val="right"/>
              <w:rPr>
                <w:rFonts w:ascii="VIC Light" w:hAnsi="VIC Light" w:cstheme="minorBidi"/>
                <w:lang w:val="en-AU"/>
              </w:rPr>
            </w:pPr>
          </w:p>
        </w:tc>
        <w:tc>
          <w:tcPr>
            <w:tcW w:w="1418" w:type="dxa"/>
          </w:tcPr>
          <w:p w14:paraId="55CEC548" w14:textId="77777777" w:rsidR="00145AF3" w:rsidRDefault="00145AF3" w:rsidP="00BB0239">
            <w:pPr>
              <w:pStyle w:val="TableHeading"/>
              <w:jc w:val="right"/>
              <w:rPr>
                <w:rFonts w:ascii="VIC Light" w:hAnsi="VIC Light" w:cstheme="minorBidi"/>
                <w:lang w:val="en-AU"/>
              </w:rPr>
            </w:pPr>
          </w:p>
        </w:tc>
        <w:tc>
          <w:tcPr>
            <w:tcW w:w="1417" w:type="dxa"/>
          </w:tcPr>
          <w:p w14:paraId="787337EA" w14:textId="77777777" w:rsidR="00145AF3" w:rsidRDefault="00145AF3" w:rsidP="00BB0239">
            <w:pPr>
              <w:pStyle w:val="TableHeading"/>
              <w:jc w:val="right"/>
              <w:rPr>
                <w:rFonts w:ascii="VIC Light" w:hAnsi="VIC Light" w:cstheme="minorBidi"/>
                <w:lang w:val="en-AU"/>
              </w:rPr>
            </w:pPr>
          </w:p>
        </w:tc>
        <w:tc>
          <w:tcPr>
            <w:tcW w:w="1418" w:type="dxa"/>
          </w:tcPr>
          <w:p w14:paraId="77350743" w14:textId="77777777" w:rsidR="00145AF3" w:rsidRDefault="00145AF3" w:rsidP="00BB0239">
            <w:pPr>
              <w:pStyle w:val="TableHeading"/>
              <w:jc w:val="right"/>
              <w:rPr>
                <w:rFonts w:ascii="VIC Light" w:hAnsi="VIC Light" w:cstheme="minorBidi"/>
                <w:lang w:val="en-AU"/>
              </w:rPr>
            </w:pPr>
          </w:p>
        </w:tc>
        <w:tc>
          <w:tcPr>
            <w:tcW w:w="1417" w:type="dxa"/>
          </w:tcPr>
          <w:p w14:paraId="48648DE6" w14:textId="77777777" w:rsidR="00145AF3" w:rsidRDefault="00145AF3" w:rsidP="00BB0239">
            <w:pPr>
              <w:pStyle w:val="TableHeading"/>
              <w:jc w:val="right"/>
              <w:rPr>
                <w:rFonts w:ascii="VIC Light" w:hAnsi="VIC Light" w:cstheme="minorBidi"/>
                <w:lang w:val="en-AU"/>
              </w:rPr>
            </w:pPr>
          </w:p>
        </w:tc>
        <w:tc>
          <w:tcPr>
            <w:tcW w:w="1418" w:type="dxa"/>
          </w:tcPr>
          <w:p w14:paraId="54A4946F" w14:textId="77777777" w:rsidR="00145AF3" w:rsidRDefault="00145AF3" w:rsidP="00BB0239">
            <w:pPr>
              <w:pStyle w:val="TableHeading"/>
              <w:jc w:val="right"/>
              <w:rPr>
                <w:rFonts w:ascii="VIC Light" w:hAnsi="VIC Light" w:cstheme="minorBidi"/>
                <w:lang w:val="en-AU"/>
              </w:rPr>
            </w:pPr>
          </w:p>
        </w:tc>
      </w:tr>
      <w:tr w:rsidR="00145AF3" w14:paraId="639BF026" w14:textId="77777777" w:rsidTr="00F510D8">
        <w:trPr>
          <w:trHeight w:val="113"/>
        </w:trPr>
        <w:tc>
          <w:tcPr>
            <w:tcW w:w="3508" w:type="dxa"/>
          </w:tcPr>
          <w:p w14:paraId="38683486" w14:textId="74642499" w:rsidR="00145AF3" w:rsidRDefault="00145AF3" w:rsidP="00F510D8">
            <w:pPr>
              <w:pStyle w:val="TableCopy"/>
            </w:pPr>
            <w:r>
              <w:t>Financial assets</w:t>
            </w:r>
          </w:p>
        </w:tc>
        <w:tc>
          <w:tcPr>
            <w:tcW w:w="1417" w:type="dxa"/>
          </w:tcPr>
          <w:p w14:paraId="3BD93663" w14:textId="70321783" w:rsidR="00145AF3" w:rsidRDefault="00145AF3" w:rsidP="00BB0239">
            <w:pPr>
              <w:pStyle w:val="TableCopy"/>
              <w:jc w:val="right"/>
            </w:pPr>
            <w:r>
              <w:t>–</w:t>
            </w:r>
          </w:p>
        </w:tc>
        <w:tc>
          <w:tcPr>
            <w:tcW w:w="1418" w:type="dxa"/>
          </w:tcPr>
          <w:p w14:paraId="17084F01" w14:textId="77777777" w:rsidR="00145AF3" w:rsidRDefault="00145AF3" w:rsidP="00BB0239">
            <w:pPr>
              <w:pStyle w:val="TableCopy"/>
              <w:jc w:val="right"/>
            </w:pPr>
            <w:r>
              <w:t>(15,150)</w:t>
            </w:r>
          </w:p>
        </w:tc>
        <w:tc>
          <w:tcPr>
            <w:tcW w:w="1417" w:type="dxa"/>
          </w:tcPr>
          <w:p w14:paraId="34CBA771" w14:textId="0A1DDF5B" w:rsidR="00145AF3" w:rsidRDefault="00145AF3" w:rsidP="00BB0239">
            <w:pPr>
              <w:pStyle w:val="TableCopy"/>
              <w:jc w:val="right"/>
            </w:pPr>
            <w:r>
              <w:t>–</w:t>
            </w:r>
          </w:p>
        </w:tc>
        <w:tc>
          <w:tcPr>
            <w:tcW w:w="1418" w:type="dxa"/>
          </w:tcPr>
          <w:p w14:paraId="03E357DF" w14:textId="370E545D" w:rsidR="00145AF3" w:rsidRDefault="00145AF3" w:rsidP="00BB0239">
            <w:pPr>
              <w:pStyle w:val="TableCopy"/>
              <w:jc w:val="right"/>
            </w:pPr>
            <w:r>
              <w:t>4,710</w:t>
            </w:r>
          </w:p>
        </w:tc>
        <w:tc>
          <w:tcPr>
            <w:tcW w:w="1417" w:type="dxa"/>
          </w:tcPr>
          <w:p w14:paraId="43AEB3DE" w14:textId="696F73FB" w:rsidR="00145AF3" w:rsidRDefault="00145AF3" w:rsidP="00BB0239">
            <w:pPr>
              <w:pStyle w:val="TableCopy"/>
              <w:jc w:val="right"/>
            </w:pPr>
            <w:r>
              <w:t>–</w:t>
            </w:r>
          </w:p>
        </w:tc>
        <w:tc>
          <w:tcPr>
            <w:tcW w:w="1418" w:type="dxa"/>
          </w:tcPr>
          <w:p w14:paraId="20372BC9" w14:textId="73C16548" w:rsidR="00145AF3" w:rsidRDefault="00145AF3" w:rsidP="00BB0239">
            <w:pPr>
              <w:pStyle w:val="TableCopy"/>
              <w:jc w:val="right"/>
            </w:pPr>
            <w:r>
              <w:t>611,759</w:t>
            </w:r>
          </w:p>
        </w:tc>
        <w:tc>
          <w:tcPr>
            <w:tcW w:w="1417" w:type="dxa"/>
          </w:tcPr>
          <w:p w14:paraId="7F977337" w14:textId="5D577A15" w:rsidR="00145AF3" w:rsidRDefault="00145AF3" w:rsidP="00BB0239">
            <w:pPr>
              <w:pStyle w:val="TableCopy"/>
              <w:jc w:val="right"/>
            </w:pPr>
            <w:r>
              <w:t>908,068</w:t>
            </w:r>
          </w:p>
        </w:tc>
        <w:tc>
          <w:tcPr>
            <w:tcW w:w="1418" w:type="dxa"/>
          </w:tcPr>
          <w:p w14:paraId="702C03D5" w14:textId="7FF36C70" w:rsidR="00145AF3" w:rsidRDefault="00145AF3" w:rsidP="00BB0239">
            <w:pPr>
              <w:pStyle w:val="TableCopy"/>
              <w:jc w:val="right"/>
            </w:pPr>
            <w:r>
              <w:t>1,275,249</w:t>
            </w:r>
          </w:p>
        </w:tc>
      </w:tr>
      <w:tr w:rsidR="00145AF3" w14:paraId="4852137C" w14:textId="77777777" w:rsidTr="00F510D8">
        <w:trPr>
          <w:trHeight w:val="113"/>
        </w:trPr>
        <w:tc>
          <w:tcPr>
            <w:tcW w:w="3508" w:type="dxa"/>
          </w:tcPr>
          <w:p w14:paraId="7058BFB0" w14:textId="06035F71" w:rsidR="00145AF3" w:rsidRDefault="00145AF3" w:rsidP="00F510D8">
            <w:pPr>
              <w:pStyle w:val="TableCopy"/>
            </w:pPr>
            <w:r>
              <w:t>Non-financial assets</w:t>
            </w:r>
          </w:p>
        </w:tc>
        <w:tc>
          <w:tcPr>
            <w:tcW w:w="1417" w:type="dxa"/>
          </w:tcPr>
          <w:p w14:paraId="3E06F5C8" w14:textId="229204E2" w:rsidR="00145AF3" w:rsidRDefault="00145AF3" w:rsidP="00BB0239">
            <w:pPr>
              <w:pStyle w:val="TableCopy"/>
              <w:jc w:val="right"/>
            </w:pPr>
            <w:r>
              <w:t>–</w:t>
            </w:r>
          </w:p>
        </w:tc>
        <w:tc>
          <w:tcPr>
            <w:tcW w:w="1418" w:type="dxa"/>
          </w:tcPr>
          <w:p w14:paraId="2C0FD392" w14:textId="56D21BAE" w:rsidR="00145AF3" w:rsidRDefault="00145AF3" w:rsidP="00BB0239">
            <w:pPr>
              <w:pStyle w:val="TableCopy"/>
              <w:jc w:val="right"/>
            </w:pPr>
            <w:r>
              <w:t>378</w:t>
            </w:r>
          </w:p>
        </w:tc>
        <w:tc>
          <w:tcPr>
            <w:tcW w:w="1417" w:type="dxa"/>
          </w:tcPr>
          <w:p w14:paraId="763460AD" w14:textId="2F6937D3" w:rsidR="00145AF3" w:rsidRDefault="00145AF3" w:rsidP="00BB0239">
            <w:pPr>
              <w:pStyle w:val="TableCopy"/>
              <w:jc w:val="right"/>
            </w:pPr>
            <w:r>
              <w:t>–</w:t>
            </w:r>
          </w:p>
        </w:tc>
        <w:tc>
          <w:tcPr>
            <w:tcW w:w="1418" w:type="dxa"/>
          </w:tcPr>
          <w:p w14:paraId="526DC87B" w14:textId="77777777" w:rsidR="00145AF3" w:rsidRDefault="00145AF3" w:rsidP="00BB0239">
            <w:pPr>
              <w:pStyle w:val="TableCopy"/>
              <w:jc w:val="right"/>
            </w:pPr>
            <w:r>
              <w:t>(41)</w:t>
            </w:r>
          </w:p>
        </w:tc>
        <w:tc>
          <w:tcPr>
            <w:tcW w:w="1417" w:type="dxa"/>
          </w:tcPr>
          <w:p w14:paraId="58B0E56F" w14:textId="01E19662" w:rsidR="00145AF3" w:rsidRDefault="00145AF3" w:rsidP="00BB0239">
            <w:pPr>
              <w:pStyle w:val="TableCopy"/>
              <w:jc w:val="right"/>
            </w:pPr>
            <w:r>
              <w:t>–</w:t>
            </w:r>
          </w:p>
        </w:tc>
        <w:tc>
          <w:tcPr>
            <w:tcW w:w="1418" w:type="dxa"/>
          </w:tcPr>
          <w:p w14:paraId="155EA97F" w14:textId="4652E892" w:rsidR="00145AF3" w:rsidRDefault="00145AF3" w:rsidP="00BB0239">
            <w:pPr>
              <w:pStyle w:val="TableCopy"/>
              <w:jc w:val="right"/>
            </w:pPr>
            <w:r>
              <w:t>913,704</w:t>
            </w:r>
          </w:p>
        </w:tc>
        <w:tc>
          <w:tcPr>
            <w:tcW w:w="1417" w:type="dxa"/>
          </w:tcPr>
          <w:p w14:paraId="6B991C44" w14:textId="75B10101" w:rsidR="00145AF3" w:rsidRDefault="00145AF3" w:rsidP="00BB0239">
            <w:pPr>
              <w:pStyle w:val="TableCopy"/>
              <w:jc w:val="right"/>
            </w:pPr>
            <w:r>
              <w:t>1,155,924</w:t>
            </w:r>
          </w:p>
        </w:tc>
        <w:tc>
          <w:tcPr>
            <w:tcW w:w="1418" w:type="dxa"/>
          </w:tcPr>
          <w:p w14:paraId="6BDE4035" w14:textId="22807DA6" w:rsidR="00145AF3" w:rsidRDefault="00145AF3" w:rsidP="00BB0239">
            <w:pPr>
              <w:pStyle w:val="TableCopy"/>
              <w:jc w:val="right"/>
            </w:pPr>
            <w:r>
              <w:t>1,611,541</w:t>
            </w:r>
          </w:p>
        </w:tc>
      </w:tr>
      <w:tr w:rsidR="00145AF3" w:rsidRPr="00F510D8" w14:paraId="39A64DA2" w14:textId="77777777" w:rsidTr="00F510D8">
        <w:trPr>
          <w:trHeight w:val="113"/>
        </w:trPr>
        <w:tc>
          <w:tcPr>
            <w:tcW w:w="3508" w:type="dxa"/>
          </w:tcPr>
          <w:p w14:paraId="0FC25AFC" w14:textId="3FAF2E35" w:rsidR="00145AF3" w:rsidRPr="00F510D8" w:rsidRDefault="00145AF3" w:rsidP="00F510D8">
            <w:pPr>
              <w:pStyle w:val="TableCopy"/>
              <w:rPr>
                <w:b/>
                <w:bCs/>
              </w:rPr>
            </w:pPr>
            <w:r w:rsidRPr="00F510D8">
              <w:rPr>
                <w:b/>
                <w:bCs/>
              </w:rPr>
              <w:t>Total assets</w:t>
            </w:r>
          </w:p>
        </w:tc>
        <w:tc>
          <w:tcPr>
            <w:tcW w:w="1417" w:type="dxa"/>
          </w:tcPr>
          <w:p w14:paraId="69CBF1CB" w14:textId="4452395C" w:rsidR="00145AF3" w:rsidRPr="00F510D8" w:rsidRDefault="00145AF3" w:rsidP="00BB0239">
            <w:pPr>
              <w:pStyle w:val="TableCopy"/>
              <w:jc w:val="right"/>
              <w:rPr>
                <w:b/>
                <w:bCs/>
              </w:rPr>
            </w:pPr>
            <w:r w:rsidRPr="00F510D8">
              <w:rPr>
                <w:b/>
                <w:bCs/>
              </w:rPr>
              <w:t>–</w:t>
            </w:r>
          </w:p>
        </w:tc>
        <w:tc>
          <w:tcPr>
            <w:tcW w:w="1418" w:type="dxa"/>
          </w:tcPr>
          <w:p w14:paraId="5007E5EA" w14:textId="77777777" w:rsidR="00145AF3" w:rsidRPr="00F510D8" w:rsidRDefault="00145AF3" w:rsidP="00BB0239">
            <w:pPr>
              <w:pStyle w:val="TableCopy"/>
              <w:jc w:val="right"/>
              <w:rPr>
                <w:b/>
                <w:bCs/>
              </w:rPr>
            </w:pPr>
            <w:r w:rsidRPr="00F510D8">
              <w:rPr>
                <w:b/>
                <w:bCs/>
              </w:rPr>
              <w:t>(14,772)</w:t>
            </w:r>
          </w:p>
        </w:tc>
        <w:tc>
          <w:tcPr>
            <w:tcW w:w="1417" w:type="dxa"/>
          </w:tcPr>
          <w:p w14:paraId="5A0C34CC" w14:textId="472C98ED" w:rsidR="00145AF3" w:rsidRPr="00F510D8" w:rsidRDefault="00145AF3" w:rsidP="00BB0239">
            <w:pPr>
              <w:pStyle w:val="TableCopy"/>
              <w:jc w:val="right"/>
              <w:rPr>
                <w:b/>
                <w:bCs/>
              </w:rPr>
            </w:pPr>
            <w:r w:rsidRPr="00F510D8">
              <w:rPr>
                <w:b/>
                <w:bCs/>
              </w:rPr>
              <w:t>–</w:t>
            </w:r>
          </w:p>
        </w:tc>
        <w:tc>
          <w:tcPr>
            <w:tcW w:w="1418" w:type="dxa"/>
          </w:tcPr>
          <w:p w14:paraId="21525A71" w14:textId="14F398A3" w:rsidR="00145AF3" w:rsidRPr="00F510D8" w:rsidRDefault="00145AF3" w:rsidP="00BB0239">
            <w:pPr>
              <w:pStyle w:val="TableCopy"/>
              <w:jc w:val="right"/>
              <w:rPr>
                <w:b/>
                <w:bCs/>
              </w:rPr>
            </w:pPr>
            <w:r w:rsidRPr="00F510D8">
              <w:rPr>
                <w:b/>
                <w:bCs/>
              </w:rPr>
              <w:t>4,668</w:t>
            </w:r>
          </w:p>
        </w:tc>
        <w:tc>
          <w:tcPr>
            <w:tcW w:w="1417" w:type="dxa"/>
          </w:tcPr>
          <w:p w14:paraId="6F645CD7" w14:textId="2EBE5A60" w:rsidR="00145AF3" w:rsidRPr="00F510D8" w:rsidRDefault="00145AF3" w:rsidP="00BB0239">
            <w:pPr>
              <w:pStyle w:val="TableCopy"/>
              <w:jc w:val="right"/>
              <w:rPr>
                <w:b/>
                <w:bCs/>
              </w:rPr>
            </w:pPr>
            <w:r w:rsidRPr="00F510D8">
              <w:rPr>
                <w:b/>
                <w:bCs/>
              </w:rPr>
              <w:t>–</w:t>
            </w:r>
          </w:p>
        </w:tc>
        <w:tc>
          <w:tcPr>
            <w:tcW w:w="1418" w:type="dxa"/>
          </w:tcPr>
          <w:p w14:paraId="784AA25B" w14:textId="579DF096" w:rsidR="00145AF3" w:rsidRPr="00F510D8" w:rsidRDefault="00145AF3" w:rsidP="00BB0239">
            <w:pPr>
              <w:pStyle w:val="TableCopy"/>
              <w:jc w:val="right"/>
              <w:rPr>
                <w:b/>
                <w:bCs/>
              </w:rPr>
            </w:pPr>
            <w:r w:rsidRPr="00F510D8">
              <w:rPr>
                <w:b/>
                <w:bCs/>
              </w:rPr>
              <w:t>1,525,464</w:t>
            </w:r>
          </w:p>
        </w:tc>
        <w:tc>
          <w:tcPr>
            <w:tcW w:w="1417" w:type="dxa"/>
          </w:tcPr>
          <w:p w14:paraId="62437FCF" w14:textId="612390EB" w:rsidR="00145AF3" w:rsidRPr="00F510D8" w:rsidRDefault="00145AF3" w:rsidP="00BB0239">
            <w:pPr>
              <w:pStyle w:val="TableCopy"/>
              <w:jc w:val="right"/>
              <w:rPr>
                <w:b/>
                <w:bCs/>
              </w:rPr>
            </w:pPr>
            <w:r w:rsidRPr="00F510D8">
              <w:rPr>
                <w:b/>
                <w:bCs/>
              </w:rPr>
              <w:t>2,063,992</w:t>
            </w:r>
          </w:p>
        </w:tc>
        <w:tc>
          <w:tcPr>
            <w:tcW w:w="1418" w:type="dxa"/>
          </w:tcPr>
          <w:p w14:paraId="528B00B0" w14:textId="2C7B6CD3" w:rsidR="00145AF3" w:rsidRPr="00F510D8" w:rsidRDefault="00145AF3" w:rsidP="00BB0239">
            <w:pPr>
              <w:pStyle w:val="TableCopy"/>
              <w:jc w:val="right"/>
              <w:rPr>
                <w:b/>
                <w:bCs/>
              </w:rPr>
            </w:pPr>
            <w:r w:rsidRPr="00F510D8">
              <w:rPr>
                <w:b/>
                <w:bCs/>
              </w:rPr>
              <w:t>2,886,790</w:t>
            </w:r>
          </w:p>
        </w:tc>
      </w:tr>
      <w:tr w:rsidR="00145AF3" w:rsidRPr="00F510D8" w14:paraId="5908B749" w14:textId="77777777" w:rsidTr="00F510D8">
        <w:trPr>
          <w:trHeight w:val="113"/>
        </w:trPr>
        <w:tc>
          <w:tcPr>
            <w:tcW w:w="3508" w:type="dxa"/>
          </w:tcPr>
          <w:p w14:paraId="65EC4745" w14:textId="04C394E9" w:rsidR="00145AF3" w:rsidRPr="00F510D8" w:rsidRDefault="00145AF3" w:rsidP="00F510D8">
            <w:pPr>
              <w:pStyle w:val="TableCopy"/>
              <w:rPr>
                <w:b/>
                <w:bCs/>
              </w:rPr>
            </w:pPr>
            <w:r w:rsidRPr="00F510D8">
              <w:rPr>
                <w:b/>
                <w:bCs/>
              </w:rPr>
              <w:t>Total liabilities</w:t>
            </w:r>
          </w:p>
        </w:tc>
        <w:tc>
          <w:tcPr>
            <w:tcW w:w="1417" w:type="dxa"/>
          </w:tcPr>
          <w:p w14:paraId="1127EEE1" w14:textId="3364DB53" w:rsidR="00145AF3" w:rsidRPr="00F510D8" w:rsidRDefault="00145AF3" w:rsidP="00BB0239">
            <w:pPr>
              <w:pStyle w:val="TableCopy"/>
              <w:jc w:val="right"/>
              <w:rPr>
                <w:b/>
                <w:bCs/>
              </w:rPr>
            </w:pPr>
            <w:r w:rsidRPr="00F510D8">
              <w:rPr>
                <w:b/>
                <w:bCs/>
              </w:rPr>
              <w:t>–</w:t>
            </w:r>
          </w:p>
        </w:tc>
        <w:tc>
          <w:tcPr>
            <w:tcW w:w="1418" w:type="dxa"/>
          </w:tcPr>
          <w:p w14:paraId="4403D791" w14:textId="3F3EE116" w:rsidR="00145AF3" w:rsidRPr="00F510D8" w:rsidRDefault="00145AF3" w:rsidP="00BB0239">
            <w:pPr>
              <w:pStyle w:val="TableCopy"/>
              <w:jc w:val="right"/>
              <w:rPr>
                <w:b/>
                <w:bCs/>
              </w:rPr>
            </w:pPr>
            <w:r w:rsidRPr="00F510D8">
              <w:rPr>
                <w:b/>
                <w:bCs/>
              </w:rPr>
              <w:t>13,865</w:t>
            </w:r>
          </w:p>
        </w:tc>
        <w:tc>
          <w:tcPr>
            <w:tcW w:w="1417" w:type="dxa"/>
          </w:tcPr>
          <w:p w14:paraId="6271B54D" w14:textId="45971E7F" w:rsidR="00145AF3" w:rsidRPr="00F510D8" w:rsidRDefault="00145AF3" w:rsidP="00BB0239">
            <w:pPr>
              <w:pStyle w:val="TableCopy"/>
              <w:jc w:val="right"/>
              <w:rPr>
                <w:b/>
                <w:bCs/>
              </w:rPr>
            </w:pPr>
            <w:r w:rsidRPr="00F510D8">
              <w:rPr>
                <w:b/>
                <w:bCs/>
              </w:rPr>
              <w:t>–</w:t>
            </w:r>
          </w:p>
        </w:tc>
        <w:tc>
          <w:tcPr>
            <w:tcW w:w="1418" w:type="dxa"/>
          </w:tcPr>
          <w:p w14:paraId="3F453A9E" w14:textId="77777777" w:rsidR="00145AF3" w:rsidRPr="00F510D8" w:rsidRDefault="00145AF3" w:rsidP="00BB0239">
            <w:pPr>
              <w:pStyle w:val="TableCopy"/>
              <w:jc w:val="right"/>
              <w:rPr>
                <w:b/>
                <w:bCs/>
              </w:rPr>
            </w:pPr>
            <w:r w:rsidRPr="00F510D8">
              <w:rPr>
                <w:b/>
                <w:bCs/>
              </w:rPr>
              <w:t>(1,296)</w:t>
            </w:r>
          </w:p>
        </w:tc>
        <w:tc>
          <w:tcPr>
            <w:tcW w:w="1417" w:type="dxa"/>
          </w:tcPr>
          <w:p w14:paraId="5DE68B99" w14:textId="468C83EB" w:rsidR="00145AF3" w:rsidRPr="00F510D8" w:rsidRDefault="00145AF3" w:rsidP="00BB0239">
            <w:pPr>
              <w:pStyle w:val="TableCopy"/>
              <w:jc w:val="right"/>
              <w:rPr>
                <w:b/>
                <w:bCs/>
              </w:rPr>
            </w:pPr>
            <w:r w:rsidRPr="00F510D8">
              <w:rPr>
                <w:b/>
                <w:bCs/>
              </w:rPr>
              <w:t>–</w:t>
            </w:r>
          </w:p>
        </w:tc>
        <w:tc>
          <w:tcPr>
            <w:tcW w:w="1418" w:type="dxa"/>
          </w:tcPr>
          <w:p w14:paraId="7086625E" w14:textId="17AD9A0D" w:rsidR="00145AF3" w:rsidRPr="00F510D8" w:rsidRDefault="00145AF3" w:rsidP="00BB0239">
            <w:pPr>
              <w:pStyle w:val="TableCopy"/>
              <w:jc w:val="right"/>
              <w:rPr>
                <w:b/>
                <w:bCs/>
              </w:rPr>
            </w:pPr>
            <w:r w:rsidRPr="00F510D8">
              <w:rPr>
                <w:b/>
                <w:bCs/>
              </w:rPr>
              <w:t>512,290</w:t>
            </w:r>
          </w:p>
        </w:tc>
        <w:tc>
          <w:tcPr>
            <w:tcW w:w="1417" w:type="dxa"/>
          </w:tcPr>
          <w:p w14:paraId="6E789EAA" w14:textId="79FBA9BA" w:rsidR="00145AF3" w:rsidRPr="00F510D8" w:rsidRDefault="00145AF3" w:rsidP="00BB0239">
            <w:pPr>
              <w:pStyle w:val="TableCopy"/>
              <w:jc w:val="right"/>
              <w:rPr>
                <w:b/>
                <w:bCs/>
              </w:rPr>
            </w:pPr>
            <w:r w:rsidRPr="00F510D8">
              <w:rPr>
                <w:b/>
                <w:bCs/>
              </w:rPr>
              <w:t>562,136</w:t>
            </w:r>
          </w:p>
        </w:tc>
        <w:tc>
          <w:tcPr>
            <w:tcW w:w="1418" w:type="dxa"/>
          </w:tcPr>
          <w:p w14:paraId="246BDCF7" w14:textId="46AB4FF0" w:rsidR="00145AF3" w:rsidRPr="00F510D8" w:rsidRDefault="00145AF3" w:rsidP="00BB0239">
            <w:pPr>
              <w:pStyle w:val="TableCopy"/>
              <w:jc w:val="right"/>
              <w:rPr>
                <w:b/>
                <w:bCs/>
              </w:rPr>
            </w:pPr>
            <w:r w:rsidRPr="00F510D8">
              <w:rPr>
                <w:b/>
                <w:bCs/>
              </w:rPr>
              <w:t>1,054,037</w:t>
            </w:r>
          </w:p>
        </w:tc>
      </w:tr>
      <w:tr w:rsidR="00145AF3" w:rsidRPr="00F510D8" w14:paraId="057D1A9C" w14:textId="77777777" w:rsidTr="00F510D8">
        <w:trPr>
          <w:trHeight w:val="113"/>
        </w:trPr>
        <w:tc>
          <w:tcPr>
            <w:tcW w:w="3508" w:type="dxa"/>
          </w:tcPr>
          <w:p w14:paraId="49590502" w14:textId="3452C246" w:rsidR="00145AF3" w:rsidRPr="00F510D8" w:rsidRDefault="00145AF3" w:rsidP="00F510D8">
            <w:pPr>
              <w:pStyle w:val="TableCopy"/>
              <w:rPr>
                <w:b/>
                <w:bCs/>
              </w:rPr>
            </w:pPr>
            <w:r w:rsidRPr="00F510D8">
              <w:rPr>
                <w:b/>
                <w:bCs/>
              </w:rPr>
              <w:t>Net assets/(liabilities)</w:t>
            </w:r>
          </w:p>
        </w:tc>
        <w:tc>
          <w:tcPr>
            <w:tcW w:w="1417" w:type="dxa"/>
          </w:tcPr>
          <w:p w14:paraId="42F196C3" w14:textId="20C95C0C" w:rsidR="00145AF3" w:rsidRPr="00F510D8" w:rsidRDefault="00145AF3" w:rsidP="00BB0239">
            <w:pPr>
              <w:pStyle w:val="TableCopy"/>
              <w:jc w:val="right"/>
              <w:rPr>
                <w:b/>
                <w:bCs/>
              </w:rPr>
            </w:pPr>
            <w:r w:rsidRPr="00F510D8">
              <w:rPr>
                <w:b/>
                <w:bCs/>
              </w:rPr>
              <w:t>–</w:t>
            </w:r>
          </w:p>
        </w:tc>
        <w:tc>
          <w:tcPr>
            <w:tcW w:w="1418" w:type="dxa"/>
          </w:tcPr>
          <w:p w14:paraId="49319699" w14:textId="77777777" w:rsidR="00145AF3" w:rsidRPr="00F510D8" w:rsidRDefault="00145AF3" w:rsidP="00BB0239">
            <w:pPr>
              <w:pStyle w:val="TableCopy"/>
              <w:jc w:val="right"/>
              <w:rPr>
                <w:b/>
                <w:bCs/>
              </w:rPr>
            </w:pPr>
            <w:r w:rsidRPr="00F510D8">
              <w:rPr>
                <w:b/>
                <w:bCs/>
              </w:rPr>
              <w:t>(28,637)</w:t>
            </w:r>
          </w:p>
        </w:tc>
        <w:tc>
          <w:tcPr>
            <w:tcW w:w="1417" w:type="dxa"/>
          </w:tcPr>
          <w:p w14:paraId="0E6B4AAB" w14:textId="22307854" w:rsidR="00145AF3" w:rsidRPr="00F510D8" w:rsidRDefault="00145AF3" w:rsidP="00BB0239">
            <w:pPr>
              <w:pStyle w:val="TableCopy"/>
              <w:jc w:val="right"/>
              <w:rPr>
                <w:b/>
                <w:bCs/>
              </w:rPr>
            </w:pPr>
            <w:r w:rsidRPr="00F510D8">
              <w:rPr>
                <w:b/>
                <w:bCs/>
              </w:rPr>
              <w:t>–</w:t>
            </w:r>
          </w:p>
        </w:tc>
        <w:tc>
          <w:tcPr>
            <w:tcW w:w="1418" w:type="dxa"/>
          </w:tcPr>
          <w:p w14:paraId="451C48DA" w14:textId="3884F95F" w:rsidR="00145AF3" w:rsidRPr="00F510D8" w:rsidRDefault="00145AF3" w:rsidP="00BB0239">
            <w:pPr>
              <w:pStyle w:val="TableCopy"/>
              <w:jc w:val="right"/>
              <w:rPr>
                <w:b/>
                <w:bCs/>
              </w:rPr>
            </w:pPr>
            <w:r w:rsidRPr="00F510D8">
              <w:rPr>
                <w:b/>
                <w:bCs/>
              </w:rPr>
              <w:t>5,964</w:t>
            </w:r>
          </w:p>
        </w:tc>
        <w:tc>
          <w:tcPr>
            <w:tcW w:w="1417" w:type="dxa"/>
          </w:tcPr>
          <w:p w14:paraId="6923BF04" w14:textId="49559131" w:rsidR="00145AF3" w:rsidRPr="00F510D8" w:rsidRDefault="00145AF3" w:rsidP="00BB0239">
            <w:pPr>
              <w:pStyle w:val="TableCopy"/>
              <w:jc w:val="right"/>
              <w:rPr>
                <w:b/>
                <w:bCs/>
              </w:rPr>
            </w:pPr>
            <w:r w:rsidRPr="00F510D8">
              <w:rPr>
                <w:b/>
                <w:bCs/>
              </w:rPr>
              <w:t>–</w:t>
            </w:r>
          </w:p>
        </w:tc>
        <w:tc>
          <w:tcPr>
            <w:tcW w:w="1418" w:type="dxa"/>
          </w:tcPr>
          <w:p w14:paraId="1B63E4E8" w14:textId="72AFD4D2" w:rsidR="00145AF3" w:rsidRPr="00F510D8" w:rsidRDefault="00145AF3" w:rsidP="00BB0239">
            <w:pPr>
              <w:pStyle w:val="TableCopy"/>
              <w:jc w:val="right"/>
              <w:rPr>
                <w:b/>
                <w:bCs/>
              </w:rPr>
            </w:pPr>
            <w:r w:rsidRPr="00F510D8">
              <w:rPr>
                <w:b/>
                <w:bCs/>
              </w:rPr>
              <w:t>1,013,174</w:t>
            </w:r>
          </w:p>
        </w:tc>
        <w:tc>
          <w:tcPr>
            <w:tcW w:w="1417" w:type="dxa"/>
          </w:tcPr>
          <w:p w14:paraId="625153B3" w14:textId="77777777" w:rsidR="00145AF3" w:rsidRPr="00F510D8" w:rsidRDefault="00145AF3" w:rsidP="00BB0239">
            <w:pPr>
              <w:pStyle w:val="TableCopy"/>
              <w:jc w:val="right"/>
              <w:rPr>
                <w:b/>
                <w:bCs/>
              </w:rPr>
            </w:pPr>
            <w:r w:rsidRPr="00F510D8">
              <w:rPr>
                <w:b/>
                <w:bCs/>
              </w:rPr>
              <w:t>1,501,856</w:t>
            </w:r>
          </w:p>
        </w:tc>
        <w:tc>
          <w:tcPr>
            <w:tcW w:w="1418" w:type="dxa"/>
          </w:tcPr>
          <w:p w14:paraId="6504D570" w14:textId="5E847C31" w:rsidR="00145AF3" w:rsidRPr="00F510D8" w:rsidRDefault="00145AF3" w:rsidP="00BB0239">
            <w:pPr>
              <w:pStyle w:val="TableCopy"/>
              <w:jc w:val="right"/>
              <w:rPr>
                <w:b/>
                <w:bCs/>
              </w:rPr>
            </w:pPr>
            <w:r w:rsidRPr="00F510D8">
              <w:rPr>
                <w:b/>
                <w:bCs/>
              </w:rPr>
              <w:t>1,832,754</w:t>
            </w:r>
          </w:p>
        </w:tc>
      </w:tr>
    </w:tbl>
    <w:p w14:paraId="62076331" w14:textId="5220D443" w:rsidR="000756EB" w:rsidRDefault="004A4D88" w:rsidP="00F510D8">
      <w:pPr>
        <w:pStyle w:val="FootnoteText"/>
        <w:spacing w:before="120" w:after="280"/>
        <w:rPr>
          <w:i/>
          <w:iCs/>
        </w:rPr>
      </w:pPr>
      <w:r>
        <w:t>(iii)</w:t>
      </w:r>
      <w:r w:rsidR="00A03629">
        <w:t xml:space="preserve"> </w:t>
      </w:r>
      <w:r>
        <w:t>For</w:t>
      </w:r>
      <w:r w:rsidR="00A03629">
        <w:t xml:space="preserve"> </w:t>
      </w:r>
      <w:r>
        <w:t>the</w:t>
      </w:r>
      <w:r w:rsidR="00A03629">
        <w:t xml:space="preserve"> </w:t>
      </w:r>
      <w:r>
        <w:t>functions</w:t>
      </w:r>
      <w:r w:rsidR="00A03629">
        <w:t xml:space="preserve"> </w:t>
      </w:r>
      <w:r>
        <w:t>relinquished</w:t>
      </w:r>
      <w:r w:rsidR="00A03629">
        <w:t xml:space="preserve"> </w:t>
      </w:r>
      <w:proofErr w:type="gramStart"/>
      <w:r>
        <w:t>as</w:t>
      </w:r>
      <w:r w:rsidR="00A03629">
        <w:t xml:space="preserve"> </w:t>
      </w:r>
      <w:r>
        <w:t>a</w:t>
      </w:r>
      <w:r w:rsidR="00A03629">
        <w:t xml:space="preserve"> </w:t>
      </w:r>
      <w:r>
        <w:t>result</w:t>
      </w:r>
      <w:r w:rsidR="00A03629">
        <w:t xml:space="preserve"> </w:t>
      </w:r>
      <w:r>
        <w:t>of</w:t>
      </w:r>
      <w:proofErr w:type="gramEnd"/>
      <w:r w:rsidR="00A03629">
        <w:t xml:space="preserve"> </w:t>
      </w:r>
      <w:r>
        <w:t>the</w:t>
      </w:r>
      <w:r w:rsidR="00A03629">
        <w:t xml:space="preserve"> </w:t>
      </w:r>
      <w:r>
        <w:t>machinery</w:t>
      </w:r>
      <w:r w:rsidR="00A03629">
        <w:t xml:space="preserve"> </w:t>
      </w:r>
      <w:r>
        <w:t>of</w:t>
      </w:r>
      <w:r w:rsidR="00A03629">
        <w:t xml:space="preserve"> </w:t>
      </w:r>
      <w:r>
        <w:t>government</w:t>
      </w:r>
      <w:r w:rsidR="00A03629">
        <w:t xml:space="preserve"> </w:t>
      </w:r>
      <w:r>
        <w:t>changes:</w:t>
      </w:r>
      <w:r w:rsidR="00A03629">
        <w:t xml:space="preserve"> </w:t>
      </w:r>
      <w:r>
        <w:t>Racing</w:t>
      </w:r>
      <w:r w:rsidR="00A03629">
        <w:t xml:space="preserve"> </w:t>
      </w:r>
      <w:r>
        <w:t>of</w:t>
      </w:r>
      <w:r w:rsidR="00A03629">
        <w:t xml:space="preserve"> </w:t>
      </w:r>
      <w:r>
        <w:t>the</w:t>
      </w:r>
      <w:r w:rsidR="00A03629">
        <w:t xml:space="preserve"> </w:t>
      </w:r>
      <w:r>
        <w:t>Sport,</w:t>
      </w:r>
      <w:r w:rsidR="00A03629">
        <w:t xml:space="preserve"> </w:t>
      </w:r>
      <w:r>
        <w:t>Recreation</w:t>
      </w:r>
      <w:r w:rsidR="00A03629">
        <w:t xml:space="preserve"> </w:t>
      </w:r>
      <w:r>
        <w:t>and</w:t>
      </w:r>
      <w:r w:rsidR="00A03629">
        <w:t xml:space="preserve"> </w:t>
      </w:r>
      <w:r>
        <w:t>Racing</w:t>
      </w:r>
      <w:r w:rsidR="00A03629">
        <w:t xml:space="preserve"> </w:t>
      </w:r>
      <w:r>
        <w:t>output;</w:t>
      </w:r>
      <w:r w:rsidR="00A03629">
        <w:t xml:space="preserve"> </w:t>
      </w:r>
      <w:r>
        <w:t>Local</w:t>
      </w:r>
      <w:r w:rsidR="00A03629">
        <w:t xml:space="preserve"> </w:t>
      </w:r>
      <w:r>
        <w:t>Government</w:t>
      </w:r>
      <w:r w:rsidR="00A03629">
        <w:t xml:space="preserve"> </w:t>
      </w:r>
      <w:r>
        <w:t>of</w:t>
      </w:r>
      <w:r w:rsidR="00A03629">
        <w:t xml:space="preserve"> </w:t>
      </w:r>
      <w:r>
        <w:t>the</w:t>
      </w:r>
      <w:r w:rsidR="00A03629">
        <w:t xml:space="preserve"> </w:t>
      </w:r>
      <w:r>
        <w:t>Local</w:t>
      </w:r>
      <w:r w:rsidR="00A03629">
        <w:t xml:space="preserve"> </w:t>
      </w:r>
      <w:r>
        <w:t>Government</w:t>
      </w:r>
      <w:r w:rsidR="00A03629">
        <w:t xml:space="preserve"> </w:t>
      </w:r>
      <w:r>
        <w:t>and</w:t>
      </w:r>
      <w:r w:rsidR="00A03629">
        <w:t xml:space="preserve"> </w:t>
      </w:r>
      <w:r>
        <w:t>Suburban</w:t>
      </w:r>
      <w:r w:rsidR="00A03629">
        <w:t xml:space="preserve"> </w:t>
      </w:r>
      <w:r>
        <w:t>Development</w:t>
      </w:r>
      <w:r w:rsidR="00A03629">
        <w:t xml:space="preserve"> </w:t>
      </w:r>
      <w:r>
        <w:t>output;</w:t>
      </w:r>
      <w:r w:rsidR="00A03629">
        <w:t xml:space="preserve"> </w:t>
      </w:r>
      <w:r>
        <w:t>Medical</w:t>
      </w:r>
      <w:r w:rsidR="00A03629">
        <w:t xml:space="preserve"> </w:t>
      </w:r>
      <w:r>
        <w:t>Research</w:t>
      </w:r>
      <w:r w:rsidR="00A03629">
        <w:t xml:space="preserve"> </w:t>
      </w:r>
      <w:r>
        <w:t>and</w:t>
      </w:r>
      <w:r w:rsidR="00A03629">
        <w:t xml:space="preserve"> </w:t>
      </w:r>
      <w:r>
        <w:t>Telecommunication</w:t>
      </w:r>
      <w:r w:rsidR="00A03629">
        <w:t xml:space="preserve"> </w:t>
      </w:r>
      <w:r>
        <w:t>of</w:t>
      </w:r>
      <w:r w:rsidR="00A03629">
        <w:t xml:space="preserve"> </w:t>
      </w:r>
      <w:r>
        <w:t>the</w:t>
      </w:r>
      <w:r w:rsidR="00A03629">
        <w:t xml:space="preserve"> </w:t>
      </w:r>
      <w:r>
        <w:t>Industry,</w:t>
      </w:r>
      <w:r w:rsidR="00A03629">
        <w:t xml:space="preserve"> </w:t>
      </w:r>
      <w:r>
        <w:t>Innovation,</w:t>
      </w:r>
      <w:r w:rsidR="00A03629">
        <w:t xml:space="preserve"> </w:t>
      </w:r>
      <w:r>
        <w:t>Medical</w:t>
      </w:r>
      <w:r w:rsidR="00A03629">
        <w:t xml:space="preserve"> </w:t>
      </w:r>
      <w:r>
        <w:t>Research</w:t>
      </w:r>
      <w:r w:rsidR="00A03629">
        <w:t xml:space="preserve"> </w:t>
      </w:r>
      <w:r>
        <w:t>and</w:t>
      </w:r>
      <w:r w:rsidR="00A03629">
        <w:t xml:space="preserve"> </w:t>
      </w:r>
      <w:r>
        <w:t>Small</w:t>
      </w:r>
      <w:r w:rsidR="00A03629">
        <w:t xml:space="preserve"> </w:t>
      </w:r>
      <w:r>
        <w:t>Business</w:t>
      </w:r>
      <w:r w:rsidR="00A03629">
        <w:t xml:space="preserve"> </w:t>
      </w:r>
      <w:r>
        <w:t>output.</w:t>
      </w:r>
    </w:p>
    <w:p w14:paraId="15F337C0" w14:textId="77777777" w:rsidR="001D52B1" w:rsidRPr="00614829" w:rsidRDefault="001D52B1" w:rsidP="00614829">
      <w:pPr>
        <w:sectPr w:rsidR="001D52B1" w:rsidRPr="00614829" w:rsidSect="001D52B1">
          <w:pgSz w:w="16838" w:h="11906" w:orient="landscape" w:code="9"/>
          <w:pgMar w:top="851" w:right="1134" w:bottom="851" w:left="1134" w:header="397" w:footer="397" w:gutter="0"/>
          <w:cols w:space="720"/>
          <w:noEndnote/>
          <w:docGrid w:linePitch="326"/>
        </w:sectPr>
      </w:pPr>
    </w:p>
    <w:p w14:paraId="507543B0" w14:textId="5755BADC" w:rsidR="000756EB" w:rsidRDefault="004A4D88" w:rsidP="00F510D8">
      <w:pPr>
        <w:pStyle w:val="Heading2"/>
      </w:pPr>
      <w:bookmarkStart w:id="47" w:name="_Toc149911811"/>
      <w:r>
        <w:lastRenderedPageBreak/>
        <w:t>4.2</w:t>
      </w:r>
      <w:r w:rsidR="00DE38B5">
        <w:t xml:space="preserve"> </w:t>
      </w:r>
      <w:r>
        <w:t>Administered</w:t>
      </w:r>
      <w:r w:rsidR="00A03629">
        <w:t xml:space="preserve"> </w:t>
      </w:r>
      <w:r>
        <w:t>items</w:t>
      </w:r>
      <w:bookmarkEnd w:id="47"/>
    </w:p>
    <w:p w14:paraId="3DB29E90" w14:textId="35F95FD4" w:rsidR="000756EB" w:rsidRDefault="004A4D88" w:rsidP="00F510D8">
      <w:pPr>
        <w:pStyle w:val="Heading3"/>
      </w:pPr>
      <w:r>
        <w:t>4.2.1</w:t>
      </w:r>
      <w:r w:rsidR="00DE38B5">
        <w:t xml:space="preserve"> </w:t>
      </w:r>
      <w:r>
        <w:t>Administered</w:t>
      </w:r>
      <w:r w:rsidR="00A03629">
        <w:t xml:space="preserve"> </w:t>
      </w:r>
      <w:r>
        <w:t>(non-controlled)</w:t>
      </w:r>
      <w:r w:rsidR="00A03629">
        <w:t xml:space="preserve"> </w:t>
      </w:r>
      <w:r>
        <w:t>items</w:t>
      </w:r>
    </w:p>
    <w:p w14:paraId="0879DC2C" w14:textId="79EE39C7" w:rsidR="000756EB" w:rsidRDefault="004A4D88" w:rsidP="00F510D8">
      <w:r>
        <w:t>In</w:t>
      </w:r>
      <w:r w:rsidR="00A03629">
        <w:t xml:space="preserve"> </w:t>
      </w:r>
      <w:r>
        <w:t>addition</w:t>
      </w:r>
      <w:r w:rsidR="00A03629">
        <w:t xml:space="preserve"> </w:t>
      </w:r>
      <w:r>
        <w:t>to</w:t>
      </w:r>
      <w:r w:rsidR="00A03629">
        <w:t xml:space="preserve"> </w:t>
      </w:r>
      <w:r>
        <w:t>the</w:t>
      </w:r>
      <w:r w:rsidR="00A03629">
        <w:t xml:space="preserve"> </w:t>
      </w:r>
      <w:r>
        <w:t>specific</w:t>
      </w:r>
      <w:r w:rsidR="00A03629">
        <w:t xml:space="preserve"> </w:t>
      </w:r>
      <w:r>
        <w:t>departmental</w:t>
      </w:r>
      <w:r w:rsidR="00A03629">
        <w:t xml:space="preserve"> </w:t>
      </w:r>
      <w:r>
        <w:t>operations</w:t>
      </w:r>
      <w:r w:rsidR="00A03629">
        <w:t xml:space="preserve"> </w:t>
      </w:r>
      <w:r>
        <w:t>which</w:t>
      </w:r>
      <w:r w:rsidR="00A03629">
        <w:t xml:space="preserve"> </w:t>
      </w:r>
      <w:r>
        <w:t>are</w:t>
      </w:r>
      <w:r w:rsidR="00A03629">
        <w:t xml:space="preserve"> </w:t>
      </w:r>
      <w:r>
        <w:t>included</w:t>
      </w:r>
      <w:r w:rsidR="00A03629">
        <w:t xml:space="preserve"> </w:t>
      </w:r>
      <w:r>
        <w:t>in</w:t>
      </w:r>
      <w:r w:rsidR="00A03629">
        <w:t xml:space="preserve"> </w:t>
      </w:r>
      <w:r>
        <w:t>the</w:t>
      </w:r>
      <w:r w:rsidR="00A03629">
        <w:t xml:space="preserve"> </w:t>
      </w:r>
      <w:r>
        <w:t>balance</w:t>
      </w:r>
      <w:r w:rsidR="00A03629">
        <w:t xml:space="preserve"> </w:t>
      </w:r>
      <w:r>
        <w:t>sheet,</w:t>
      </w:r>
      <w:r w:rsidR="00A03629">
        <w:t xml:space="preserve"> </w:t>
      </w:r>
      <w:r>
        <w:t>comprehensive</w:t>
      </w:r>
      <w:r w:rsidR="00A03629">
        <w:t xml:space="preserve"> </w:t>
      </w:r>
      <w:r>
        <w:t>operating</w:t>
      </w:r>
      <w:r w:rsidR="00A03629">
        <w:t xml:space="preserve"> </w:t>
      </w:r>
      <w:proofErr w:type="gramStart"/>
      <w:r>
        <w:t>statement</w:t>
      </w:r>
      <w:proofErr w:type="gramEnd"/>
      <w:r w:rsidR="00A03629">
        <w:t xml:space="preserve"> </w:t>
      </w:r>
      <w:r>
        <w:t>and</w:t>
      </w:r>
      <w:r w:rsidR="00A03629">
        <w:t xml:space="preserve"> </w:t>
      </w:r>
      <w:r>
        <w:t>cash</w:t>
      </w:r>
      <w:r w:rsidR="00A03629">
        <w:t xml:space="preserve"> </w:t>
      </w:r>
      <w:r>
        <w:t>flow</w:t>
      </w:r>
      <w:r w:rsidR="00A03629">
        <w:t xml:space="preserve"> </w:t>
      </w:r>
      <w:r>
        <w:t>statement,</w:t>
      </w:r>
      <w:r w:rsidR="00A03629">
        <w:t xml:space="preserve"> </w:t>
      </w:r>
      <w:r>
        <w:t>DJSIR</w:t>
      </w:r>
      <w:r w:rsidR="00A03629">
        <w:t xml:space="preserve"> </w:t>
      </w:r>
      <w:r>
        <w:t>administers,</w:t>
      </w:r>
      <w:r w:rsidR="00A03629">
        <w:t xml:space="preserve"> </w:t>
      </w:r>
      <w:r>
        <w:t>but</w:t>
      </w:r>
      <w:r w:rsidR="00A03629">
        <w:t xml:space="preserve"> </w:t>
      </w:r>
      <w:r>
        <w:t>does</w:t>
      </w:r>
      <w:r w:rsidR="00A03629">
        <w:t xml:space="preserve"> </w:t>
      </w:r>
      <w:r>
        <w:t>not</w:t>
      </w:r>
      <w:r w:rsidR="00A03629">
        <w:t xml:space="preserve"> </w:t>
      </w:r>
      <w:r>
        <w:t>control,</w:t>
      </w:r>
      <w:r w:rsidR="00A03629">
        <w:t xml:space="preserve"> </w:t>
      </w:r>
      <w:r>
        <w:t>certain</w:t>
      </w:r>
      <w:r w:rsidR="00A03629">
        <w:t xml:space="preserve"> </w:t>
      </w:r>
      <w:r>
        <w:t>resources</w:t>
      </w:r>
      <w:r w:rsidR="00A03629">
        <w:t xml:space="preserve"> </w:t>
      </w:r>
      <w:r>
        <w:t>and</w:t>
      </w:r>
      <w:r w:rsidR="00A03629">
        <w:t xml:space="preserve"> </w:t>
      </w:r>
      <w:r>
        <w:t>activities</w:t>
      </w:r>
      <w:r w:rsidR="00A03629">
        <w:t xml:space="preserve"> </w:t>
      </w:r>
      <w:r>
        <w:t>on</w:t>
      </w:r>
      <w:r w:rsidR="00A03629">
        <w:t xml:space="preserve"> </w:t>
      </w:r>
      <w:r>
        <w:t>behalf</w:t>
      </w:r>
      <w:r w:rsidR="00A03629">
        <w:t xml:space="preserve"> </w:t>
      </w:r>
      <w:r>
        <w:t>of</w:t>
      </w:r>
      <w:r w:rsidR="00A03629">
        <w:t xml:space="preserve"> </w:t>
      </w:r>
      <w:r>
        <w:t>the</w:t>
      </w:r>
      <w:r w:rsidR="00A03629">
        <w:t xml:space="preserve"> </w:t>
      </w:r>
      <w:r>
        <w:t>State.</w:t>
      </w:r>
      <w:r w:rsidR="00A03629">
        <w:t xml:space="preserve"> </w:t>
      </w:r>
      <w:r>
        <w:t>It</w:t>
      </w:r>
      <w:r w:rsidR="00A03629">
        <w:t xml:space="preserve"> </w:t>
      </w:r>
      <w:r>
        <w:t>is</w:t>
      </w:r>
      <w:r w:rsidR="00A03629">
        <w:t xml:space="preserve"> </w:t>
      </w:r>
      <w:r>
        <w:t>accountable</w:t>
      </w:r>
      <w:r w:rsidR="00A03629">
        <w:t xml:space="preserve"> </w:t>
      </w:r>
      <w:r>
        <w:t>for</w:t>
      </w:r>
      <w:r w:rsidR="00A03629">
        <w:t xml:space="preserve"> </w:t>
      </w:r>
      <w:r>
        <w:t>the</w:t>
      </w:r>
      <w:r w:rsidR="00A03629">
        <w:t xml:space="preserve"> </w:t>
      </w:r>
      <w:r>
        <w:t>transactions</w:t>
      </w:r>
      <w:r w:rsidR="00A03629">
        <w:t xml:space="preserve"> </w:t>
      </w:r>
      <w:r>
        <w:t>involving</w:t>
      </w:r>
      <w:r w:rsidR="00A03629">
        <w:t xml:space="preserve"> </w:t>
      </w:r>
      <w:r>
        <w:t>those</w:t>
      </w:r>
      <w:r w:rsidR="00A03629">
        <w:t xml:space="preserve"> </w:t>
      </w:r>
      <w:r>
        <w:t>administered</w:t>
      </w:r>
      <w:r w:rsidR="00A03629">
        <w:t xml:space="preserve"> </w:t>
      </w:r>
      <w:proofErr w:type="gramStart"/>
      <w:r>
        <w:t>resources,</w:t>
      </w:r>
      <w:r w:rsidR="00A03629">
        <w:t xml:space="preserve"> </w:t>
      </w:r>
      <w:r>
        <w:t>but</w:t>
      </w:r>
      <w:proofErr w:type="gramEnd"/>
      <w:r w:rsidR="00A03629">
        <w:t xml:space="preserve"> </w:t>
      </w:r>
      <w:r>
        <w:t>does</w:t>
      </w:r>
      <w:r w:rsidR="00A03629">
        <w:t xml:space="preserve"> </w:t>
      </w:r>
      <w:r>
        <w:t>not</w:t>
      </w:r>
      <w:r w:rsidR="00A03629">
        <w:t xml:space="preserve"> </w:t>
      </w:r>
      <w:r>
        <w:t>have</w:t>
      </w:r>
      <w:r w:rsidR="00A03629">
        <w:t xml:space="preserve"> </w:t>
      </w:r>
      <w:r>
        <w:t>the</w:t>
      </w:r>
      <w:r w:rsidR="00A03629">
        <w:t xml:space="preserve"> </w:t>
      </w:r>
      <w:r>
        <w:t>discretion</w:t>
      </w:r>
      <w:r w:rsidR="00A03629">
        <w:t xml:space="preserve"> </w:t>
      </w:r>
      <w:r>
        <w:t>to</w:t>
      </w:r>
      <w:r w:rsidR="00A03629">
        <w:t xml:space="preserve"> </w:t>
      </w:r>
      <w:r>
        <w:t>deploy</w:t>
      </w:r>
      <w:r w:rsidR="00A03629">
        <w:t xml:space="preserve"> </w:t>
      </w:r>
      <w:r>
        <w:t>the</w:t>
      </w:r>
      <w:r w:rsidR="00A03629">
        <w:t xml:space="preserve"> </w:t>
      </w:r>
      <w:r>
        <w:t>resources</w:t>
      </w:r>
      <w:r w:rsidR="00A03629">
        <w:t xml:space="preserve"> </w:t>
      </w:r>
      <w:r>
        <w:t>for</w:t>
      </w:r>
      <w:r w:rsidR="00A03629">
        <w:t xml:space="preserve"> </w:t>
      </w:r>
      <w:r>
        <w:t>its</w:t>
      </w:r>
      <w:r w:rsidR="00A03629">
        <w:t xml:space="preserve"> </w:t>
      </w:r>
      <w:r>
        <w:t>own</w:t>
      </w:r>
      <w:r w:rsidR="00A03629">
        <w:t xml:space="preserve"> </w:t>
      </w:r>
      <w:r>
        <w:t>benefit</w:t>
      </w:r>
      <w:r w:rsidR="00A03629">
        <w:t xml:space="preserve"> </w:t>
      </w:r>
      <w:r>
        <w:t>or</w:t>
      </w:r>
      <w:r w:rsidR="00A03629">
        <w:t xml:space="preserve"> </w:t>
      </w:r>
      <w:r>
        <w:t>for</w:t>
      </w:r>
      <w:r w:rsidR="00A03629">
        <w:t xml:space="preserve"> </w:t>
      </w:r>
      <w:r>
        <w:t>the</w:t>
      </w:r>
      <w:r w:rsidR="00A03629">
        <w:t xml:space="preserve"> </w:t>
      </w:r>
      <w:r>
        <w:t>achievement</w:t>
      </w:r>
      <w:r w:rsidR="00A03629">
        <w:t xml:space="preserve"> </w:t>
      </w:r>
      <w:r>
        <w:t>of</w:t>
      </w:r>
      <w:r w:rsidR="00A03629">
        <w:t xml:space="preserve"> </w:t>
      </w:r>
      <w:r>
        <w:t>its</w:t>
      </w:r>
      <w:r w:rsidR="00A03629">
        <w:t xml:space="preserve"> </w:t>
      </w:r>
      <w:r>
        <w:t>objectives.</w:t>
      </w:r>
    </w:p>
    <w:p w14:paraId="46004000" w14:textId="2FB5403C" w:rsidR="000756EB" w:rsidRDefault="004A4D88" w:rsidP="00F510D8">
      <w:r>
        <w:t>Administered</w:t>
      </w:r>
      <w:r w:rsidR="00A03629">
        <w:t xml:space="preserve"> </w:t>
      </w:r>
      <w:r>
        <w:t>revenue</w:t>
      </w:r>
      <w:r w:rsidR="00A03629">
        <w:t xml:space="preserve"> </w:t>
      </w:r>
      <w:r>
        <w:t>and</w:t>
      </w:r>
      <w:r w:rsidR="00A03629">
        <w:t xml:space="preserve"> </w:t>
      </w:r>
      <w:r>
        <w:t>income</w:t>
      </w:r>
      <w:r w:rsidR="00A03629">
        <w:t xml:space="preserve"> </w:t>
      </w:r>
      <w:r>
        <w:t>includes</w:t>
      </w:r>
      <w:r w:rsidR="00A03629">
        <w:t xml:space="preserve"> </w:t>
      </w:r>
      <w:r>
        <w:t>taxes,</w:t>
      </w:r>
      <w:r w:rsidR="00A03629">
        <w:t xml:space="preserve"> </w:t>
      </w:r>
      <w:r>
        <w:t>fees</w:t>
      </w:r>
      <w:r w:rsidR="00A03629">
        <w:t xml:space="preserve"> </w:t>
      </w:r>
      <w:r>
        <w:t>and</w:t>
      </w:r>
      <w:r w:rsidR="00A03629">
        <w:t xml:space="preserve"> </w:t>
      </w:r>
      <w:r>
        <w:t>fines</w:t>
      </w:r>
      <w:r w:rsidR="00A03629">
        <w:t xml:space="preserve"> </w:t>
      </w:r>
      <w:r>
        <w:t>and</w:t>
      </w:r>
      <w:r w:rsidR="00A03629">
        <w:t xml:space="preserve"> </w:t>
      </w:r>
      <w:r>
        <w:t>the</w:t>
      </w:r>
      <w:r w:rsidR="00A03629">
        <w:t xml:space="preserve"> </w:t>
      </w:r>
      <w:r>
        <w:t>proceeds</w:t>
      </w:r>
      <w:r w:rsidR="00A03629">
        <w:t xml:space="preserve"> </w:t>
      </w:r>
      <w:r>
        <w:t>from</w:t>
      </w:r>
      <w:r w:rsidR="00A03629">
        <w:t xml:space="preserve"> </w:t>
      </w:r>
      <w:r>
        <w:t>the</w:t>
      </w:r>
      <w:r w:rsidR="00A03629">
        <w:t xml:space="preserve"> </w:t>
      </w:r>
      <w:r>
        <w:t>sale</w:t>
      </w:r>
      <w:r w:rsidR="00A03629">
        <w:t xml:space="preserve"> </w:t>
      </w:r>
      <w:r>
        <w:t>of</w:t>
      </w:r>
      <w:r w:rsidR="00A03629">
        <w:t xml:space="preserve"> </w:t>
      </w:r>
      <w:r>
        <w:t>administered</w:t>
      </w:r>
      <w:r w:rsidR="00A03629">
        <w:t xml:space="preserve"> </w:t>
      </w:r>
      <w:r>
        <w:t>surplus</w:t>
      </w:r>
      <w:r w:rsidR="00A03629">
        <w:t xml:space="preserve"> </w:t>
      </w:r>
      <w:r>
        <w:t>land</w:t>
      </w:r>
      <w:r w:rsidR="00A03629">
        <w:t xml:space="preserve"> </w:t>
      </w:r>
      <w:r>
        <w:t>and</w:t>
      </w:r>
      <w:r w:rsidR="00A03629">
        <w:t xml:space="preserve"> </w:t>
      </w:r>
      <w:r>
        <w:t>buildings.</w:t>
      </w:r>
      <w:r w:rsidR="00A03629">
        <w:t xml:space="preserve"> </w:t>
      </w:r>
      <w:r>
        <w:t>Administered</w:t>
      </w:r>
      <w:r w:rsidR="00A03629">
        <w:t xml:space="preserve"> </w:t>
      </w:r>
      <w:r>
        <w:t>expenses</w:t>
      </w:r>
      <w:r w:rsidR="00A03629">
        <w:t xml:space="preserve"> </w:t>
      </w:r>
      <w:r>
        <w:t>include</w:t>
      </w:r>
      <w:r w:rsidR="00A03629">
        <w:t xml:space="preserve"> </w:t>
      </w:r>
      <w:r>
        <w:t>payments</w:t>
      </w:r>
      <w:r w:rsidR="00A03629">
        <w:t xml:space="preserve"> </w:t>
      </w:r>
      <w:r>
        <w:t>made</w:t>
      </w:r>
      <w:r w:rsidR="00A03629">
        <w:t xml:space="preserve"> </w:t>
      </w:r>
      <w:r>
        <w:t>on</w:t>
      </w:r>
      <w:r w:rsidR="00A03629">
        <w:t xml:space="preserve"> </w:t>
      </w:r>
      <w:r>
        <w:t>behalf</w:t>
      </w:r>
      <w:r w:rsidR="00A03629">
        <w:t xml:space="preserve"> </w:t>
      </w:r>
      <w:r>
        <w:t>of</w:t>
      </w:r>
      <w:r w:rsidR="00A03629">
        <w:t xml:space="preserve"> </w:t>
      </w:r>
      <w:r>
        <w:t>the</w:t>
      </w:r>
      <w:r w:rsidR="00A03629">
        <w:t xml:space="preserve"> </w:t>
      </w:r>
      <w:r>
        <w:t>State</w:t>
      </w:r>
      <w:r w:rsidR="00A03629">
        <w:t xml:space="preserve"> </w:t>
      </w:r>
      <w:r>
        <w:t>and</w:t>
      </w:r>
      <w:r w:rsidR="00A03629">
        <w:t xml:space="preserve"> </w:t>
      </w:r>
      <w:r>
        <w:t>payments</w:t>
      </w:r>
      <w:r w:rsidR="00A03629">
        <w:t xml:space="preserve"> </w:t>
      </w:r>
      <w:r>
        <w:t>into</w:t>
      </w:r>
      <w:r w:rsidR="00A03629">
        <w:t xml:space="preserve"> </w:t>
      </w:r>
      <w:r>
        <w:t>the</w:t>
      </w:r>
      <w:r w:rsidR="00A03629">
        <w:t xml:space="preserve"> </w:t>
      </w:r>
      <w:r>
        <w:t>Consolidated</w:t>
      </w:r>
      <w:r w:rsidR="00A03629">
        <w:t xml:space="preserve"> </w:t>
      </w:r>
      <w:r>
        <w:t>Fund.</w:t>
      </w:r>
      <w:r w:rsidR="00A03629">
        <w:t xml:space="preserve"> </w:t>
      </w:r>
      <w:r>
        <w:t>Administered</w:t>
      </w:r>
      <w:r w:rsidR="00A03629">
        <w:t xml:space="preserve"> </w:t>
      </w:r>
      <w:r>
        <w:t>assets</w:t>
      </w:r>
      <w:r w:rsidR="00A03629">
        <w:t xml:space="preserve"> </w:t>
      </w:r>
      <w:r>
        <w:t>include</w:t>
      </w:r>
      <w:r w:rsidR="00A03629">
        <w:t xml:space="preserve"> </w:t>
      </w:r>
      <w:r>
        <w:t>government</w:t>
      </w:r>
      <w:r w:rsidR="00A03629">
        <w:t xml:space="preserve"> </w:t>
      </w:r>
      <w:r>
        <w:t>income</w:t>
      </w:r>
      <w:r w:rsidR="00A03629">
        <w:t xml:space="preserve"> </w:t>
      </w:r>
      <w:r>
        <w:t>earned</w:t>
      </w:r>
      <w:r w:rsidR="00A03629">
        <w:t xml:space="preserve"> </w:t>
      </w:r>
      <w:proofErr w:type="gramStart"/>
      <w:r>
        <w:t>but</w:t>
      </w:r>
      <w:r w:rsidR="00A03629">
        <w:t xml:space="preserve"> </w:t>
      </w:r>
      <w:r>
        <w:t>yet</w:t>
      </w:r>
      <w:proofErr w:type="gramEnd"/>
      <w:r w:rsidR="00A03629">
        <w:t xml:space="preserve"> </w:t>
      </w:r>
      <w:r>
        <w:t>to</w:t>
      </w:r>
      <w:r w:rsidR="00A03629">
        <w:t xml:space="preserve"> </w:t>
      </w:r>
      <w:r>
        <w:t>be</w:t>
      </w:r>
      <w:r w:rsidR="00A03629">
        <w:t xml:space="preserve"> </w:t>
      </w:r>
      <w:r>
        <w:t>collected.</w:t>
      </w:r>
      <w:r w:rsidR="00A03629">
        <w:t xml:space="preserve"> </w:t>
      </w:r>
      <w:r>
        <w:t>Administered</w:t>
      </w:r>
      <w:r w:rsidR="00A03629">
        <w:t xml:space="preserve"> </w:t>
      </w:r>
      <w:r>
        <w:t>liabilities</w:t>
      </w:r>
      <w:r w:rsidR="00A03629">
        <w:t xml:space="preserve"> </w:t>
      </w:r>
      <w:r>
        <w:t>include</w:t>
      </w:r>
      <w:r w:rsidR="00A03629">
        <w:t xml:space="preserve"> </w:t>
      </w:r>
      <w:r>
        <w:t>government</w:t>
      </w:r>
      <w:r w:rsidR="00A03629">
        <w:t xml:space="preserve"> </w:t>
      </w:r>
      <w:r>
        <w:t>expenses</w:t>
      </w:r>
      <w:r w:rsidR="00A03629">
        <w:t xml:space="preserve"> </w:t>
      </w:r>
      <w:r>
        <w:t>incurred</w:t>
      </w:r>
      <w:r w:rsidR="00A03629">
        <w:t xml:space="preserve"> </w:t>
      </w:r>
      <w:proofErr w:type="gramStart"/>
      <w:r>
        <w:t>but</w:t>
      </w:r>
      <w:r w:rsidR="00A03629">
        <w:t xml:space="preserve"> </w:t>
      </w:r>
      <w:r>
        <w:t>yet</w:t>
      </w:r>
      <w:proofErr w:type="gramEnd"/>
      <w:r w:rsidR="00A03629">
        <w:t xml:space="preserve"> </w:t>
      </w:r>
      <w:r>
        <w:t>to</w:t>
      </w:r>
      <w:r w:rsidR="00A03629">
        <w:t xml:space="preserve"> </w:t>
      </w:r>
      <w:r>
        <w:t>be</w:t>
      </w:r>
      <w:r w:rsidR="00A03629">
        <w:t xml:space="preserve"> </w:t>
      </w:r>
      <w:r>
        <w:t>paid.</w:t>
      </w:r>
      <w:r w:rsidR="00A03629">
        <w:t xml:space="preserve"> </w:t>
      </w:r>
      <w:r>
        <w:t>Except</w:t>
      </w:r>
      <w:r w:rsidR="00A03629">
        <w:t xml:space="preserve"> </w:t>
      </w:r>
      <w:r>
        <w:t>as</w:t>
      </w:r>
      <w:r w:rsidR="00A03629">
        <w:t xml:space="preserve"> </w:t>
      </w:r>
      <w:r>
        <w:t>otherwise</w:t>
      </w:r>
      <w:r w:rsidR="00A03629">
        <w:t xml:space="preserve"> </w:t>
      </w:r>
      <w:r>
        <w:t>disclosed,</w:t>
      </w:r>
      <w:r w:rsidR="00A03629">
        <w:t xml:space="preserve"> </w:t>
      </w:r>
      <w:r>
        <w:t>administered</w:t>
      </w:r>
      <w:r w:rsidR="00A03629">
        <w:t xml:space="preserve"> </w:t>
      </w:r>
      <w:r>
        <w:t>resources</w:t>
      </w:r>
      <w:r w:rsidR="00A03629">
        <w:t xml:space="preserve"> </w:t>
      </w:r>
      <w:r>
        <w:t>are</w:t>
      </w:r>
      <w:r w:rsidR="00A03629">
        <w:t xml:space="preserve"> </w:t>
      </w:r>
      <w:r>
        <w:t>accounted</w:t>
      </w:r>
      <w:r w:rsidR="00A03629">
        <w:t xml:space="preserve"> </w:t>
      </w:r>
      <w:r>
        <w:t>for</w:t>
      </w:r>
      <w:r w:rsidR="00A03629">
        <w:t xml:space="preserve"> </w:t>
      </w:r>
      <w:r>
        <w:t>on</w:t>
      </w:r>
      <w:r w:rsidR="00A03629">
        <w:t xml:space="preserve"> </w:t>
      </w:r>
      <w:r>
        <w:t>an</w:t>
      </w:r>
      <w:r w:rsidR="00A03629">
        <w:t xml:space="preserve"> </w:t>
      </w:r>
      <w:r>
        <w:t>accrual</w:t>
      </w:r>
      <w:r w:rsidR="00A03629">
        <w:t xml:space="preserve"> </w:t>
      </w:r>
      <w:r>
        <w:t>basis</w:t>
      </w:r>
      <w:r w:rsidR="00A03629">
        <w:t xml:space="preserve"> </w:t>
      </w:r>
      <w:r>
        <w:t>using</w:t>
      </w:r>
      <w:r w:rsidR="00A03629">
        <w:t xml:space="preserve"> </w:t>
      </w:r>
      <w:r>
        <w:t>same</w:t>
      </w:r>
      <w:r w:rsidR="00A03629">
        <w:t xml:space="preserve"> </w:t>
      </w:r>
      <w:r>
        <w:t>accounting</w:t>
      </w:r>
      <w:r w:rsidR="00A03629">
        <w:t xml:space="preserve"> </w:t>
      </w:r>
      <w:r>
        <w:t>policies</w:t>
      </w:r>
      <w:r w:rsidR="00A03629">
        <w:t xml:space="preserve"> </w:t>
      </w:r>
      <w:r>
        <w:t>adopted</w:t>
      </w:r>
      <w:r w:rsidR="00A03629">
        <w:t xml:space="preserve"> </w:t>
      </w:r>
      <w:r>
        <w:t>for</w:t>
      </w:r>
      <w:r w:rsidR="00A03629">
        <w:t xml:space="preserve"> </w:t>
      </w:r>
      <w:r>
        <w:t>recognition</w:t>
      </w:r>
      <w:r w:rsidR="00A03629">
        <w:t xml:space="preserve"> </w:t>
      </w:r>
      <w:r>
        <w:t>of</w:t>
      </w:r>
      <w:r w:rsidR="00A03629">
        <w:t xml:space="preserve"> </w:t>
      </w:r>
      <w:r>
        <w:t>the</w:t>
      </w:r>
      <w:r w:rsidR="00A03629">
        <w:t xml:space="preserve"> </w:t>
      </w:r>
      <w:r>
        <w:t>departmental</w:t>
      </w:r>
      <w:r w:rsidR="00A03629">
        <w:t xml:space="preserve"> </w:t>
      </w:r>
      <w:r>
        <w:t>items</w:t>
      </w:r>
      <w:r w:rsidR="00A03629">
        <w:t xml:space="preserve"> </w:t>
      </w:r>
      <w:r>
        <w:t>in</w:t>
      </w:r>
      <w:r w:rsidR="00A03629">
        <w:t xml:space="preserve"> </w:t>
      </w:r>
      <w:r>
        <w:t>the</w:t>
      </w:r>
      <w:r w:rsidR="00A03629">
        <w:t xml:space="preserve"> </w:t>
      </w:r>
      <w:r>
        <w:t>financial</w:t>
      </w:r>
      <w:r w:rsidR="00A03629">
        <w:t xml:space="preserve"> </w:t>
      </w:r>
      <w:r>
        <w:t>statements.</w:t>
      </w:r>
      <w:r w:rsidR="00A03629">
        <w:t xml:space="preserve"> </w:t>
      </w:r>
      <w:r>
        <w:t>Both</w:t>
      </w:r>
      <w:r w:rsidR="00A03629">
        <w:t xml:space="preserve"> </w:t>
      </w:r>
      <w:r>
        <w:t>controlled</w:t>
      </w:r>
      <w:r w:rsidR="00A03629">
        <w:t xml:space="preserve"> </w:t>
      </w:r>
      <w:r>
        <w:t>and</w:t>
      </w:r>
      <w:r w:rsidR="00A03629">
        <w:t xml:space="preserve"> </w:t>
      </w:r>
      <w:r>
        <w:t>administered</w:t>
      </w:r>
      <w:r w:rsidR="00A03629">
        <w:t xml:space="preserve"> </w:t>
      </w:r>
      <w:r>
        <w:t>items</w:t>
      </w:r>
      <w:r w:rsidR="00A03629">
        <w:t xml:space="preserve"> </w:t>
      </w:r>
      <w:r>
        <w:t>of</w:t>
      </w:r>
      <w:r w:rsidR="00A03629">
        <w:t xml:space="preserve"> </w:t>
      </w:r>
      <w:r>
        <w:t>DJSIR</w:t>
      </w:r>
      <w:r w:rsidR="00A03629">
        <w:t xml:space="preserve"> </w:t>
      </w:r>
      <w:r>
        <w:t>are</w:t>
      </w:r>
      <w:r w:rsidR="00A03629">
        <w:t xml:space="preserve"> </w:t>
      </w:r>
      <w:r>
        <w:t>consolidated</w:t>
      </w:r>
      <w:r w:rsidR="00A03629">
        <w:t xml:space="preserve"> </w:t>
      </w:r>
      <w:r>
        <w:t>into</w:t>
      </w:r>
      <w:r w:rsidR="00A03629">
        <w:t xml:space="preserve"> </w:t>
      </w:r>
      <w:r>
        <w:t>the</w:t>
      </w:r>
      <w:r w:rsidR="00A03629">
        <w:t xml:space="preserve"> </w:t>
      </w:r>
      <w:r>
        <w:t>financial</w:t>
      </w:r>
      <w:r w:rsidR="00A03629">
        <w:t xml:space="preserve"> </w:t>
      </w:r>
      <w:r>
        <w:t>statements</w:t>
      </w:r>
      <w:r w:rsidR="00A03629">
        <w:t xml:space="preserve"> </w:t>
      </w:r>
      <w:r>
        <w:t>of</w:t>
      </w:r>
      <w:r w:rsidR="00A03629">
        <w:rPr>
          <w:rFonts w:ascii="Cambria" w:hAnsi="Cambria" w:cs="Cambria"/>
        </w:rPr>
        <w:t xml:space="preserve"> </w:t>
      </w:r>
      <w:r>
        <w:t>the</w:t>
      </w:r>
      <w:r w:rsidR="00A03629">
        <w:rPr>
          <w:rFonts w:ascii="Cambria" w:hAnsi="Cambria" w:cs="Cambria"/>
        </w:rPr>
        <w:t xml:space="preserve"> </w:t>
      </w:r>
      <w:r>
        <w:t>State.</w:t>
      </w:r>
    </w:p>
    <w:p w14:paraId="12A42CCD" w14:textId="3A4455FD" w:rsidR="000756EB" w:rsidRDefault="004A4D88" w:rsidP="00F510D8">
      <w:r>
        <w:t>DJSIR</w:t>
      </w:r>
      <w:r w:rsidR="00A03629">
        <w:t xml:space="preserve"> </w:t>
      </w:r>
      <w:r>
        <w:t>does</w:t>
      </w:r>
      <w:r w:rsidR="00A03629">
        <w:t xml:space="preserve"> </w:t>
      </w:r>
      <w:r>
        <w:t>not</w:t>
      </w:r>
      <w:r w:rsidR="00A03629">
        <w:t xml:space="preserve"> </w:t>
      </w:r>
      <w:r>
        <w:t>gain</w:t>
      </w:r>
      <w:r w:rsidR="00A03629">
        <w:t xml:space="preserve"> </w:t>
      </w:r>
      <w:r>
        <w:t>control</w:t>
      </w:r>
      <w:r w:rsidR="00A03629">
        <w:t xml:space="preserve"> </w:t>
      </w:r>
      <w:r>
        <w:t>over</w:t>
      </w:r>
      <w:r w:rsidR="00A03629">
        <w:t xml:space="preserve"> </w:t>
      </w:r>
      <w:r>
        <w:t>assets</w:t>
      </w:r>
      <w:r w:rsidR="00A03629">
        <w:t xml:space="preserve"> </w:t>
      </w:r>
      <w:r>
        <w:t>arising</w:t>
      </w:r>
      <w:r w:rsidR="00A03629">
        <w:t xml:space="preserve"> </w:t>
      </w:r>
      <w:r>
        <w:t>from</w:t>
      </w:r>
      <w:r w:rsidR="00A03629">
        <w:t xml:space="preserve"> </w:t>
      </w:r>
      <w:r>
        <w:t>taxes,</w:t>
      </w:r>
      <w:r w:rsidR="00A03629">
        <w:t xml:space="preserve"> </w:t>
      </w:r>
      <w:proofErr w:type="gramStart"/>
      <w:r>
        <w:t>fines</w:t>
      </w:r>
      <w:proofErr w:type="gramEnd"/>
      <w:r w:rsidR="00A03629">
        <w:t xml:space="preserve"> </w:t>
      </w:r>
      <w:r>
        <w:t>and</w:t>
      </w:r>
      <w:r w:rsidR="00A03629">
        <w:t xml:space="preserve"> </w:t>
      </w:r>
      <w:r>
        <w:t>regulatory</w:t>
      </w:r>
      <w:r w:rsidR="00A03629">
        <w:t xml:space="preserve"> </w:t>
      </w:r>
      <w:r>
        <w:t>fees,</w:t>
      </w:r>
      <w:r w:rsidR="00A03629">
        <w:t xml:space="preserve"> </w:t>
      </w:r>
      <w:r>
        <w:t>consequently</w:t>
      </w:r>
      <w:r w:rsidR="00A03629">
        <w:t xml:space="preserve"> </w:t>
      </w:r>
      <w:r>
        <w:t>no</w:t>
      </w:r>
      <w:r w:rsidR="00A03629">
        <w:t xml:space="preserve"> </w:t>
      </w:r>
      <w:r>
        <w:t>income</w:t>
      </w:r>
      <w:r w:rsidR="00A03629">
        <w:t xml:space="preserve"> </w:t>
      </w:r>
      <w:r>
        <w:t>is</w:t>
      </w:r>
      <w:r w:rsidR="00A03629">
        <w:t xml:space="preserve"> </w:t>
      </w:r>
      <w:r>
        <w:t>recognised</w:t>
      </w:r>
      <w:r w:rsidR="00A03629">
        <w:t xml:space="preserve"> </w:t>
      </w:r>
      <w:r>
        <w:t>in</w:t>
      </w:r>
      <w:r w:rsidR="00A03629">
        <w:t xml:space="preserve"> </w:t>
      </w:r>
      <w:r>
        <w:t>DJSIR’s</w:t>
      </w:r>
      <w:r w:rsidR="00A03629">
        <w:t xml:space="preserve"> </w:t>
      </w:r>
      <w:r>
        <w:t>financial</w:t>
      </w:r>
      <w:r w:rsidR="00A03629">
        <w:t xml:space="preserve"> </w:t>
      </w:r>
      <w:r>
        <w:t>statements.</w:t>
      </w:r>
      <w:r w:rsidR="00A03629">
        <w:t xml:space="preserve"> </w:t>
      </w:r>
      <w:r>
        <w:t>DJSIR</w:t>
      </w:r>
      <w:r w:rsidR="00A03629">
        <w:t xml:space="preserve"> </w:t>
      </w:r>
      <w:r>
        <w:t>collects</w:t>
      </w:r>
      <w:r w:rsidR="00A03629">
        <w:t xml:space="preserve"> </w:t>
      </w:r>
      <w:r>
        <w:t>these</w:t>
      </w:r>
      <w:r w:rsidR="00A03629">
        <w:t xml:space="preserve"> </w:t>
      </w:r>
      <w:r>
        <w:t>amounts</w:t>
      </w:r>
      <w:r w:rsidR="00A03629">
        <w:t xml:space="preserve"> </w:t>
      </w:r>
      <w:r>
        <w:t>on</w:t>
      </w:r>
      <w:r w:rsidR="00A03629">
        <w:t xml:space="preserve"> </w:t>
      </w:r>
      <w:r>
        <w:t>behalf</w:t>
      </w:r>
      <w:r w:rsidR="00A03629">
        <w:t xml:space="preserve"> </w:t>
      </w:r>
      <w:r>
        <w:t>of</w:t>
      </w:r>
      <w:r w:rsidR="00A03629">
        <w:t xml:space="preserve"> </w:t>
      </w:r>
      <w:r>
        <w:t>the</w:t>
      </w:r>
      <w:r w:rsidR="00A03629">
        <w:t xml:space="preserve"> </w:t>
      </w:r>
      <w:r>
        <w:t>State.</w:t>
      </w:r>
      <w:r w:rsidR="00A03629">
        <w:t xml:space="preserve"> </w:t>
      </w:r>
      <w:r>
        <w:t>Accordingly,</w:t>
      </w:r>
      <w:r w:rsidR="00A03629">
        <w:t xml:space="preserve"> </w:t>
      </w:r>
      <w:r>
        <w:t>transactions</w:t>
      </w:r>
      <w:r w:rsidR="00A03629">
        <w:t xml:space="preserve"> </w:t>
      </w:r>
      <w:r>
        <w:t>and</w:t>
      </w:r>
      <w:r w:rsidR="00A03629">
        <w:t xml:space="preserve"> </w:t>
      </w:r>
      <w:r>
        <w:t>balances</w:t>
      </w:r>
      <w:r w:rsidR="00A03629">
        <w:t xml:space="preserve"> </w:t>
      </w:r>
      <w:r>
        <w:t>relating</w:t>
      </w:r>
      <w:r w:rsidR="00A03629">
        <w:t xml:space="preserve"> </w:t>
      </w:r>
      <w:r>
        <w:t>to</w:t>
      </w:r>
      <w:r w:rsidR="00A03629">
        <w:t xml:space="preserve"> </w:t>
      </w:r>
      <w:r>
        <w:t>these</w:t>
      </w:r>
      <w:r w:rsidR="00A03629">
        <w:t xml:space="preserve"> </w:t>
      </w:r>
      <w:r>
        <w:t>administered</w:t>
      </w:r>
      <w:r w:rsidR="00A03629">
        <w:t xml:space="preserve"> </w:t>
      </w:r>
      <w:r>
        <w:t>resources</w:t>
      </w:r>
      <w:r w:rsidR="00A03629">
        <w:t xml:space="preserve"> </w:t>
      </w:r>
      <w:r>
        <w:t>are</w:t>
      </w:r>
      <w:r w:rsidR="00A03629">
        <w:t xml:space="preserve"> </w:t>
      </w:r>
      <w:r>
        <w:t>not</w:t>
      </w:r>
      <w:r w:rsidR="00A03629">
        <w:t xml:space="preserve"> </w:t>
      </w:r>
      <w:r>
        <w:t>recognised</w:t>
      </w:r>
      <w:r w:rsidR="00A03629">
        <w:t xml:space="preserve"> </w:t>
      </w:r>
      <w:r>
        <w:t>as</w:t>
      </w:r>
      <w:r w:rsidR="00A03629">
        <w:t xml:space="preserve"> </w:t>
      </w:r>
      <w:r>
        <w:t>departmental</w:t>
      </w:r>
      <w:r w:rsidR="00A03629">
        <w:t xml:space="preserve"> </w:t>
      </w:r>
      <w:r>
        <w:t>income,</w:t>
      </w:r>
      <w:r w:rsidR="00A03629">
        <w:t xml:space="preserve"> </w:t>
      </w:r>
      <w:r>
        <w:t>expenses,</w:t>
      </w:r>
      <w:r w:rsidR="00A03629">
        <w:t xml:space="preserve"> </w:t>
      </w:r>
      <w:r>
        <w:t>assets</w:t>
      </w:r>
      <w:r w:rsidR="00A03629">
        <w:t xml:space="preserve"> </w:t>
      </w:r>
      <w:r>
        <w:t>or</w:t>
      </w:r>
      <w:r w:rsidR="00A03629">
        <w:t xml:space="preserve"> </w:t>
      </w:r>
      <w:r>
        <w:t>liabilities</w:t>
      </w:r>
      <w:r w:rsidR="00A03629">
        <w:t xml:space="preserve"> </w:t>
      </w:r>
      <w:r>
        <w:t>within</w:t>
      </w:r>
      <w:r w:rsidR="00A03629">
        <w:t xml:space="preserve"> </w:t>
      </w:r>
      <w:r>
        <w:t>the</w:t>
      </w:r>
      <w:r w:rsidR="00A03629">
        <w:t xml:space="preserve"> </w:t>
      </w:r>
      <w:r>
        <w:t>body</w:t>
      </w:r>
      <w:r w:rsidR="00A03629">
        <w:t xml:space="preserve"> </w:t>
      </w:r>
      <w:r>
        <w:t>of</w:t>
      </w:r>
      <w:r w:rsidR="00A03629">
        <w:t xml:space="preserve"> </w:t>
      </w:r>
      <w:r>
        <w:t>the</w:t>
      </w:r>
      <w:r w:rsidR="00A03629">
        <w:t xml:space="preserve"> </w:t>
      </w:r>
      <w:r>
        <w:t>financial</w:t>
      </w:r>
      <w:r w:rsidR="00A03629">
        <w:t xml:space="preserve"> </w:t>
      </w:r>
      <w:proofErr w:type="gramStart"/>
      <w:r>
        <w:t>statements,</w:t>
      </w:r>
      <w:r w:rsidR="00A03629">
        <w:t xml:space="preserve"> </w:t>
      </w:r>
      <w:r>
        <w:t>but</w:t>
      </w:r>
      <w:proofErr w:type="gramEnd"/>
      <w:r w:rsidR="00A03629">
        <w:t xml:space="preserve"> </w:t>
      </w:r>
      <w:r>
        <w:t>are</w:t>
      </w:r>
      <w:r w:rsidR="00A03629">
        <w:t xml:space="preserve"> </w:t>
      </w:r>
      <w:r>
        <w:t>disclosed</w:t>
      </w:r>
      <w:r w:rsidR="00A03629">
        <w:t xml:space="preserve"> </w:t>
      </w:r>
      <w:r>
        <w:t>separately</w:t>
      </w:r>
      <w:r w:rsidR="00A03629">
        <w:t xml:space="preserve"> </w:t>
      </w:r>
      <w:r>
        <w:t>in</w:t>
      </w:r>
      <w:r w:rsidR="00A03629">
        <w:t xml:space="preserve"> </w:t>
      </w:r>
      <w:r>
        <w:t>Notes</w:t>
      </w:r>
      <w:r w:rsidR="00A03629">
        <w:t xml:space="preserve"> </w:t>
      </w:r>
      <w:r>
        <w:t>4.2.2</w:t>
      </w:r>
      <w:r w:rsidR="00A03629">
        <w:t xml:space="preserve"> </w:t>
      </w:r>
      <w:r>
        <w:t>and</w:t>
      </w:r>
      <w:r w:rsidR="00A03629">
        <w:t xml:space="preserve"> </w:t>
      </w:r>
      <w:r>
        <w:t>4.2.3.</w:t>
      </w:r>
    </w:p>
    <w:p w14:paraId="6AA39995" w14:textId="77777777" w:rsidR="0016174E" w:rsidRDefault="0016174E" w:rsidP="00F510D8"/>
    <w:p w14:paraId="371EF907" w14:textId="77777777" w:rsidR="0016174E" w:rsidRPr="00614829" w:rsidRDefault="0016174E" w:rsidP="00614829">
      <w:pPr>
        <w:sectPr w:rsidR="0016174E" w:rsidRPr="00614829" w:rsidSect="00D76126">
          <w:pgSz w:w="11906" w:h="16838" w:code="9"/>
          <w:pgMar w:top="1134" w:right="851" w:bottom="1134" w:left="851" w:header="397" w:footer="397" w:gutter="0"/>
          <w:cols w:space="720"/>
          <w:noEndnote/>
        </w:sectPr>
      </w:pPr>
    </w:p>
    <w:p w14:paraId="15C03806" w14:textId="7666C47F" w:rsidR="000756EB" w:rsidRDefault="004A4D88" w:rsidP="00FE7999">
      <w:pPr>
        <w:pStyle w:val="Heading3"/>
      </w:pPr>
      <w:r>
        <w:lastRenderedPageBreak/>
        <w:t>4.2.2</w:t>
      </w:r>
      <w:r w:rsidR="00DE38B5">
        <w:t xml:space="preserve"> </w:t>
      </w:r>
      <w:r>
        <w:t>Administered</w:t>
      </w:r>
      <w:r w:rsidR="00A03629">
        <w:t xml:space="preserve"> </w:t>
      </w:r>
      <w:r>
        <w:t>revenue</w:t>
      </w:r>
      <w:r w:rsidR="00A03629">
        <w:t xml:space="preserve"> </w:t>
      </w:r>
      <w:r>
        <w:t>and</w:t>
      </w:r>
      <w:r w:rsidR="00A03629">
        <w:t xml:space="preserve"> </w:t>
      </w:r>
      <w:r>
        <w:t>income</w:t>
      </w:r>
      <w:r w:rsidR="00A03629">
        <w:t xml:space="preserve"> </w:t>
      </w:r>
      <w:r>
        <w:t>and</w:t>
      </w:r>
      <w:r w:rsidR="00A03629">
        <w:t xml:space="preserve"> </w:t>
      </w:r>
      <w:r>
        <w:t>expenses</w:t>
      </w:r>
      <w:r w:rsidR="00A03629">
        <w:t xml:space="preserve"> </w:t>
      </w:r>
      <w:r>
        <w:t>for</w:t>
      </w:r>
      <w:r w:rsidR="00A03629">
        <w:t xml:space="preserve"> </w:t>
      </w:r>
      <w:r>
        <w:t>the</w:t>
      </w:r>
      <w:r w:rsidR="00A03629">
        <w:t xml:space="preserve"> </w:t>
      </w:r>
      <w:r>
        <w:t>year</w:t>
      </w:r>
      <w:r w:rsidR="00A03629">
        <w:t xml:space="preserve"> </w:t>
      </w:r>
      <w:r>
        <w:t>ended</w:t>
      </w:r>
      <w:r w:rsidR="00A03629">
        <w:t xml:space="preserve"> </w:t>
      </w:r>
      <w:r>
        <w:t>30</w:t>
      </w:r>
      <w:r w:rsidR="00A03629">
        <w:t xml:space="preserve"> </w:t>
      </w:r>
      <w:r>
        <w:t>June</w:t>
      </w:r>
      <w:r w:rsidR="00A03629">
        <w:t xml:space="preserve"> </w:t>
      </w:r>
      <w:r>
        <w:t>2023</w:t>
      </w:r>
      <w:r w:rsidR="00FE7999">
        <w:t xml:space="preserve"> </w:t>
      </w:r>
      <w:r>
        <w:t>Department</w:t>
      </w:r>
      <w:r w:rsidR="00A03629">
        <w:t xml:space="preserve"> </w:t>
      </w:r>
      <w:r>
        <w:t>of</w:t>
      </w:r>
      <w:r w:rsidR="00A03629">
        <w:t xml:space="preserve"> </w:t>
      </w:r>
      <w:r>
        <w:t>Jobs,</w:t>
      </w:r>
      <w:r w:rsidR="00A03629">
        <w:t xml:space="preserve"> </w:t>
      </w:r>
      <w:r>
        <w:t>Skills,</w:t>
      </w:r>
      <w:r w:rsidR="00A03629">
        <w:t xml:space="preserve"> </w:t>
      </w:r>
      <w:r>
        <w:t>Industry</w:t>
      </w:r>
      <w:r w:rsidR="00A03629">
        <w:t xml:space="preserve"> </w:t>
      </w:r>
      <w:r>
        <w:t>and</w:t>
      </w:r>
      <w:r w:rsidR="00A03629">
        <w:t xml:space="preserve"> </w:t>
      </w:r>
      <w:r>
        <w:t>Regions</w:t>
      </w:r>
      <w:r w:rsidR="00A03629">
        <w:t xml:space="preserve"> </w:t>
      </w:r>
      <w:r>
        <w:t>Outputs</w:t>
      </w:r>
    </w:p>
    <w:tbl>
      <w:tblPr>
        <w:tblStyle w:val="TableGrid"/>
        <w:tblW w:w="15021" w:type="dxa"/>
        <w:tblLayout w:type="fixed"/>
        <w:tblLook w:val="0020" w:firstRow="1" w:lastRow="0" w:firstColumn="0" w:lastColumn="0" w:noHBand="0" w:noVBand="0"/>
      </w:tblPr>
      <w:tblGrid>
        <w:gridCol w:w="3681"/>
        <w:gridCol w:w="1134"/>
        <w:gridCol w:w="1134"/>
        <w:gridCol w:w="1134"/>
        <w:gridCol w:w="1134"/>
        <w:gridCol w:w="1134"/>
        <w:gridCol w:w="1134"/>
        <w:gridCol w:w="1134"/>
        <w:gridCol w:w="1134"/>
        <w:gridCol w:w="1134"/>
        <w:gridCol w:w="1134"/>
      </w:tblGrid>
      <w:tr w:rsidR="00B10169" w:rsidRPr="00BF636F" w14:paraId="7ED48C87" w14:textId="77777777" w:rsidTr="00B10169">
        <w:trPr>
          <w:trHeight w:val="113"/>
          <w:tblHeader/>
        </w:trPr>
        <w:tc>
          <w:tcPr>
            <w:tcW w:w="3681" w:type="dxa"/>
          </w:tcPr>
          <w:p w14:paraId="66D17D0C" w14:textId="77777777" w:rsidR="00BB0239" w:rsidRPr="00BF636F" w:rsidRDefault="00BB0239" w:rsidP="00BF636F">
            <w:pPr>
              <w:pStyle w:val="TableColumnHeading"/>
              <w:rPr>
                <w:rFonts w:asciiTheme="minorHAnsi" w:hAnsiTheme="minorHAnsi" w:cstheme="minorHAnsi"/>
                <w:sz w:val="20"/>
                <w:szCs w:val="28"/>
              </w:rPr>
            </w:pPr>
            <w:bookmarkStart w:id="48" w:name="ColumnTitles_24"/>
            <w:bookmarkStart w:id="49" w:name="ColumnTitles_25"/>
            <w:bookmarkEnd w:id="48"/>
            <w:bookmarkEnd w:id="49"/>
          </w:p>
        </w:tc>
        <w:tc>
          <w:tcPr>
            <w:tcW w:w="1134" w:type="dxa"/>
          </w:tcPr>
          <w:p w14:paraId="0DB7211C" w14:textId="28F1AF3D" w:rsidR="00BB0239" w:rsidRPr="00BF636F" w:rsidRDefault="00BF636F" w:rsidP="00B10169">
            <w:pPr>
              <w:pStyle w:val="TableColumnHeading"/>
              <w:jc w:val="right"/>
              <w:rPr>
                <w:rFonts w:asciiTheme="minorHAnsi" w:hAnsiTheme="minorHAnsi" w:cstheme="minorHAnsi"/>
                <w:sz w:val="20"/>
                <w:szCs w:val="28"/>
              </w:rPr>
            </w:pPr>
            <w:r w:rsidRPr="00BF636F">
              <w:rPr>
                <w:rFonts w:asciiTheme="minorHAnsi" w:hAnsiTheme="minorHAnsi" w:cstheme="minorHAnsi"/>
                <w:sz w:val="20"/>
                <w:szCs w:val="28"/>
              </w:rPr>
              <w:t>Creative Industries Access, Develop</w:t>
            </w:r>
            <w:r>
              <w:rPr>
                <w:rFonts w:asciiTheme="minorHAnsi" w:hAnsiTheme="minorHAnsi" w:cstheme="minorHAnsi"/>
                <w:sz w:val="20"/>
                <w:szCs w:val="28"/>
              </w:rPr>
              <w:t>-</w:t>
            </w:r>
            <w:proofErr w:type="spellStart"/>
            <w:r w:rsidRPr="00BF636F">
              <w:rPr>
                <w:rFonts w:asciiTheme="minorHAnsi" w:hAnsiTheme="minorHAnsi" w:cstheme="minorHAnsi"/>
                <w:sz w:val="20"/>
                <w:szCs w:val="28"/>
              </w:rPr>
              <w:t>ment</w:t>
            </w:r>
            <w:proofErr w:type="spellEnd"/>
            <w:r w:rsidRPr="00BF636F">
              <w:rPr>
                <w:rFonts w:asciiTheme="minorHAnsi" w:hAnsiTheme="minorHAnsi" w:cstheme="minorHAnsi"/>
                <w:sz w:val="20"/>
                <w:szCs w:val="28"/>
              </w:rPr>
              <w:t xml:space="preserve"> and Innovation </w:t>
            </w:r>
            <w:r w:rsidR="00BB0239" w:rsidRPr="00BF636F">
              <w:rPr>
                <w:rFonts w:asciiTheme="minorHAnsi" w:hAnsiTheme="minorHAnsi" w:cstheme="minorHAnsi"/>
                <w:sz w:val="20"/>
                <w:szCs w:val="28"/>
              </w:rPr>
              <w:t>2023</w:t>
            </w:r>
            <w:r w:rsidRPr="00BF636F">
              <w:rPr>
                <w:rFonts w:asciiTheme="minorHAnsi" w:hAnsiTheme="minorHAnsi" w:cstheme="minorHAnsi"/>
                <w:sz w:val="20"/>
                <w:szCs w:val="28"/>
              </w:rPr>
              <w:t xml:space="preserve"> ($ thousand)</w:t>
            </w:r>
            <w:r w:rsidR="00BB0239" w:rsidRPr="00BF636F">
              <w:rPr>
                <w:rFonts w:asciiTheme="minorHAnsi" w:hAnsiTheme="minorHAnsi" w:cstheme="minorHAnsi"/>
                <w:sz w:val="20"/>
                <w:szCs w:val="28"/>
              </w:rPr>
              <w:t xml:space="preserve"> </w:t>
            </w:r>
          </w:p>
        </w:tc>
        <w:tc>
          <w:tcPr>
            <w:tcW w:w="1134" w:type="dxa"/>
          </w:tcPr>
          <w:p w14:paraId="457DEA4A" w14:textId="0487D816" w:rsidR="00BB0239" w:rsidRPr="00BF636F" w:rsidRDefault="00BF636F" w:rsidP="00B10169">
            <w:pPr>
              <w:pStyle w:val="TableColumnHeading"/>
              <w:jc w:val="right"/>
              <w:rPr>
                <w:rFonts w:asciiTheme="minorHAnsi" w:hAnsiTheme="minorHAnsi" w:cstheme="minorHAnsi"/>
                <w:sz w:val="20"/>
                <w:szCs w:val="28"/>
              </w:rPr>
            </w:pPr>
            <w:r w:rsidRPr="00BF636F">
              <w:rPr>
                <w:rFonts w:asciiTheme="minorHAnsi" w:hAnsiTheme="minorHAnsi" w:cstheme="minorHAnsi"/>
                <w:sz w:val="20"/>
                <w:szCs w:val="28"/>
              </w:rPr>
              <w:t>Creative Industries Access, Develop</w:t>
            </w:r>
            <w:r>
              <w:rPr>
                <w:rFonts w:asciiTheme="minorHAnsi" w:hAnsiTheme="minorHAnsi" w:cstheme="minorHAnsi"/>
                <w:sz w:val="20"/>
                <w:szCs w:val="28"/>
              </w:rPr>
              <w:t>-</w:t>
            </w:r>
            <w:proofErr w:type="spellStart"/>
            <w:r w:rsidRPr="00BF636F">
              <w:rPr>
                <w:rFonts w:asciiTheme="minorHAnsi" w:hAnsiTheme="minorHAnsi" w:cstheme="minorHAnsi"/>
                <w:sz w:val="20"/>
                <w:szCs w:val="28"/>
              </w:rPr>
              <w:t>ment</w:t>
            </w:r>
            <w:proofErr w:type="spellEnd"/>
            <w:r w:rsidRPr="00BF636F">
              <w:rPr>
                <w:rFonts w:asciiTheme="minorHAnsi" w:hAnsiTheme="minorHAnsi" w:cstheme="minorHAnsi"/>
                <w:sz w:val="20"/>
                <w:szCs w:val="28"/>
              </w:rPr>
              <w:t xml:space="preserve"> and Innovation </w:t>
            </w:r>
            <w:r w:rsidR="00BB0239" w:rsidRPr="00BF636F">
              <w:rPr>
                <w:rFonts w:asciiTheme="minorHAnsi" w:hAnsiTheme="minorHAnsi" w:cstheme="minorHAnsi"/>
                <w:sz w:val="20"/>
                <w:szCs w:val="28"/>
              </w:rPr>
              <w:t>2022</w:t>
            </w:r>
            <w:r w:rsidRPr="00BF636F">
              <w:rPr>
                <w:rFonts w:asciiTheme="minorHAnsi" w:hAnsiTheme="minorHAnsi" w:cstheme="minorHAnsi"/>
                <w:sz w:val="20"/>
                <w:szCs w:val="28"/>
              </w:rPr>
              <w:t xml:space="preserve"> ($ thousand)</w:t>
            </w:r>
          </w:p>
        </w:tc>
        <w:tc>
          <w:tcPr>
            <w:tcW w:w="1134" w:type="dxa"/>
          </w:tcPr>
          <w:p w14:paraId="1DE8400F" w14:textId="60000A08" w:rsidR="00BB0239" w:rsidRPr="00BF636F" w:rsidRDefault="00BF636F" w:rsidP="00B10169">
            <w:pPr>
              <w:pStyle w:val="TableColumnHeading"/>
              <w:jc w:val="right"/>
              <w:rPr>
                <w:rFonts w:asciiTheme="minorHAnsi" w:hAnsiTheme="minorHAnsi" w:cstheme="minorHAnsi"/>
                <w:sz w:val="20"/>
                <w:szCs w:val="28"/>
              </w:rPr>
            </w:pPr>
            <w:r w:rsidRPr="00BF636F">
              <w:rPr>
                <w:rFonts w:asciiTheme="minorHAnsi" w:hAnsiTheme="minorHAnsi" w:cstheme="minorHAnsi"/>
                <w:sz w:val="20"/>
                <w:szCs w:val="28"/>
              </w:rPr>
              <w:t xml:space="preserve">Creative Industries Portfolio Agencies </w:t>
            </w:r>
            <w:r w:rsidR="00BB0239" w:rsidRPr="00BF636F">
              <w:rPr>
                <w:rFonts w:asciiTheme="minorHAnsi" w:hAnsiTheme="minorHAnsi" w:cstheme="minorHAnsi"/>
                <w:sz w:val="20"/>
                <w:szCs w:val="28"/>
              </w:rPr>
              <w:t>2023</w:t>
            </w:r>
            <w:r w:rsidRPr="00BF636F">
              <w:rPr>
                <w:rFonts w:asciiTheme="minorHAnsi" w:hAnsiTheme="minorHAnsi" w:cstheme="minorHAnsi"/>
                <w:sz w:val="20"/>
                <w:szCs w:val="28"/>
              </w:rPr>
              <w:t xml:space="preserve"> ($ thousand)</w:t>
            </w:r>
            <w:r w:rsidR="00BB0239" w:rsidRPr="00BF636F">
              <w:rPr>
                <w:rFonts w:asciiTheme="minorHAnsi" w:hAnsiTheme="minorHAnsi" w:cstheme="minorHAnsi"/>
                <w:sz w:val="20"/>
                <w:szCs w:val="28"/>
              </w:rPr>
              <w:t xml:space="preserve"> </w:t>
            </w:r>
          </w:p>
        </w:tc>
        <w:tc>
          <w:tcPr>
            <w:tcW w:w="1134" w:type="dxa"/>
          </w:tcPr>
          <w:p w14:paraId="71EE4D86" w14:textId="78365353" w:rsidR="00BB0239" w:rsidRPr="00BF636F" w:rsidRDefault="00BF636F" w:rsidP="00B10169">
            <w:pPr>
              <w:pStyle w:val="TableColumnHeading"/>
              <w:jc w:val="right"/>
              <w:rPr>
                <w:rFonts w:asciiTheme="minorHAnsi" w:hAnsiTheme="minorHAnsi" w:cstheme="minorHAnsi"/>
                <w:sz w:val="20"/>
                <w:szCs w:val="28"/>
              </w:rPr>
            </w:pPr>
            <w:r w:rsidRPr="00BF636F">
              <w:rPr>
                <w:rFonts w:asciiTheme="minorHAnsi" w:hAnsiTheme="minorHAnsi" w:cstheme="minorHAnsi"/>
                <w:sz w:val="20"/>
                <w:szCs w:val="28"/>
              </w:rPr>
              <w:t xml:space="preserve">Creative Industries Portfolio Agencies </w:t>
            </w:r>
            <w:r w:rsidR="00BB0239" w:rsidRPr="00BF636F">
              <w:rPr>
                <w:rFonts w:asciiTheme="minorHAnsi" w:hAnsiTheme="minorHAnsi" w:cstheme="minorHAnsi"/>
                <w:sz w:val="20"/>
                <w:szCs w:val="28"/>
              </w:rPr>
              <w:t>2022</w:t>
            </w:r>
            <w:r w:rsidRPr="00BF636F">
              <w:rPr>
                <w:rFonts w:asciiTheme="minorHAnsi" w:hAnsiTheme="minorHAnsi" w:cstheme="minorHAnsi"/>
                <w:sz w:val="20"/>
                <w:szCs w:val="28"/>
              </w:rPr>
              <w:t xml:space="preserve"> ($ thousand)</w:t>
            </w:r>
          </w:p>
        </w:tc>
        <w:tc>
          <w:tcPr>
            <w:tcW w:w="1134" w:type="dxa"/>
          </w:tcPr>
          <w:p w14:paraId="5E20F1DB" w14:textId="714AF255" w:rsidR="00BB0239" w:rsidRPr="00BF636F" w:rsidRDefault="00BF636F" w:rsidP="00B10169">
            <w:pPr>
              <w:pStyle w:val="TableColumnHeading"/>
              <w:jc w:val="right"/>
              <w:rPr>
                <w:rFonts w:asciiTheme="minorHAnsi" w:hAnsiTheme="minorHAnsi" w:cstheme="minorHAnsi"/>
                <w:sz w:val="20"/>
                <w:szCs w:val="28"/>
              </w:rPr>
            </w:pPr>
            <w:r w:rsidRPr="00BF636F">
              <w:rPr>
                <w:rFonts w:asciiTheme="minorHAnsi" w:hAnsiTheme="minorHAnsi" w:cstheme="minorHAnsi"/>
                <w:sz w:val="20"/>
                <w:szCs w:val="28"/>
              </w:rPr>
              <w:t>Cultural Infra</w:t>
            </w:r>
            <w:r w:rsidR="00B10169">
              <w:rPr>
                <w:rFonts w:asciiTheme="minorHAnsi" w:hAnsiTheme="minorHAnsi" w:cstheme="minorHAnsi"/>
                <w:sz w:val="20"/>
                <w:szCs w:val="28"/>
              </w:rPr>
              <w:t>-</w:t>
            </w:r>
            <w:r w:rsidRPr="00BF636F">
              <w:rPr>
                <w:rFonts w:asciiTheme="minorHAnsi" w:hAnsiTheme="minorHAnsi" w:cstheme="minorHAnsi"/>
                <w:sz w:val="20"/>
                <w:szCs w:val="28"/>
              </w:rPr>
              <w:t xml:space="preserve">structure and Facilities </w:t>
            </w:r>
            <w:r w:rsidR="00BB0239" w:rsidRPr="00BF636F">
              <w:rPr>
                <w:rFonts w:asciiTheme="minorHAnsi" w:hAnsiTheme="minorHAnsi" w:cstheme="minorHAnsi"/>
                <w:sz w:val="20"/>
                <w:szCs w:val="28"/>
              </w:rPr>
              <w:t>2023</w:t>
            </w:r>
            <w:r w:rsidRPr="00BF636F">
              <w:rPr>
                <w:rFonts w:asciiTheme="minorHAnsi" w:hAnsiTheme="minorHAnsi" w:cstheme="minorHAnsi"/>
                <w:sz w:val="20"/>
                <w:szCs w:val="28"/>
              </w:rPr>
              <w:t xml:space="preserve"> ($ thousand)</w:t>
            </w:r>
            <w:r w:rsidR="00BB0239" w:rsidRPr="00BF636F">
              <w:rPr>
                <w:rFonts w:asciiTheme="minorHAnsi" w:hAnsiTheme="minorHAnsi" w:cstheme="minorHAnsi"/>
                <w:sz w:val="20"/>
                <w:szCs w:val="28"/>
              </w:rPr>
              <w:t xml:space="preserve"> </w:t>
            </w:r>
          </w:p>
        </w:tc>
        <w:tc>
          <w:tcPr>
            <w:tcW w:w="1134" w:type="dxa"/>
          </w:tcPr>
          <w:p w14:paraId="30EB5938" w14:textId="299E702B" w:rsidR="00BB0239" w:rsidRPr="00BF636F" w:rsidRDefault="00BF636F" w:rsidP="00B10169">
            <w:pPr>
              <w:pStyle w:val="TableColumnHeading"/>
              <w:jc w:val="right"/>
              <w:rPr>
                <w:rFonts w:asciiTheme="minorHAnsi" w:hAnsiTheme="minorHAnsi" w:cstheme="minorHAnsi"/>
                <w:sz w:val="20"/>
                <w:szCs w:val="28"/>
              </w:rPr>
            </w:pPr>
            <w:r w:rsidRPr="00BF636F">
              <w:rPr>
                <w:rFonts w:asciiTheme="minorHAnsi" w:hAnsiTheme="minorHAnsi" w:cstheme="minorHAnsi"/>
                <w:sz w:val="20"/>
                <w:szCs w:val="28"/>
              </w:rPr>
              <w:t>Cultural Infra</w:t>
            </w:r>
            <w:r w:rsidR="00B10169">
              <w:rPr>
                <w:rFonts w:asciiTheme="minorHAnsi" w:hAnsiTheme="minorHAnsi" w:cstheme="minorHAnsi"/>
                <w:sz w:val="20"/>
                <w:szCs w:val="28"/>
              </w:rPr>
              <w:t>-</w:t>
            </w:r>
            <w:r w:rsidRPr="00BF636F">
              <w:rPr>
                <w:rFonts w:asciiTheme="minorHAnsi" w:hAnsiTheme="minorHAnsi" w:cstheme="minorHAnsi"/>
                <w:sz w:val="20"/>
                <w:szCs w:val="28"/>
              </w:rPr>
              <w:t xml:space="preserve">structure and Facilities </w:t>
            </w:r>
            <w:r w:rsidR="00BB0239" w:rsidRPr="00BF636F">
              <w:rPr>
                <w:rFonts w:asciiTheme="minorHAnsi" w:hAnsiTheme="minorHAnsi" w:cstheme="minorHAnsi"/>
                <w:sz w:val="20"/>
                <w:szCs w:val="28"/>
              </w:rPr>
              <w:t>2022</w:t>
            </w:r>
            <w:r w:rsidRPr="00BF636F">
              <w:rPr>
                <w:rFonts w:asciiTheme="minorHAnsi" w:hAnsiTheme="minorHAnsi" w:cstheme="minorHAnsi"/>
                <w:sz w:val="20"/>
                <w:szCs w:val="28"/>
              </w:rPr>
              <w:t xml:space="preserve"> ($ thousand)</w:t>
            </w:r>
          </w:p>
        </w:tc>
        <w:tc>
          <w:tcPr>
            <w:tcW w:w="1134" w:type="dxa"/>
          </w:tcPr>
          <w:p w14:paraId="4FCA7A15" w14:textId="5F1290D8" w:rsidR="00BB0239" w:rsidRPr="00BF636F" w:rsidRDefault="00BF636F" w:rsidP="00B10169">
            <w:pPr>
              <w:pStyle w:val="TableColumnHeading"/>
              <w:jc w:val="right"/>
              <w:rPr>
                <w:rFonts w:asciiTheme="minorHAnsi" w:hAnsiTheme="minorHAnsi" w:cstheme="minorHAnsi"/>
                <w:sz w:val="20"/>
                <w:szCs w:val="28"/>
              </w:rPr>
            </w:pPr>
            <w:r w:rsidRPr="00BF636F">
              <w:rPr>
                <w:rFonts w:asciiTheme="minorHAnsi" w:hAnsiTheme="minorHAnsi" w:cstheme="minorHAnsi"/>
                <w:sz w:val="20"/>
                <w:szCs w:val="28"/>
              </w:rPr>
              <w:t>Industry, Inno</w:t>
            </w:r>
            <w:r w:rsidR="00B10169">
              <w:rPr>
                <w:rFonts w:asciiTheme="minorHAnsi" w:hAnsiTheme="minorHAnsi" w:cstheme="minorHAnsi"/>
                <w:sz w:val="20"/>
                <w:szCs w:val="28"/>
              </w:rPr>
              <w:t>-</w:t>
            </w:r>
            <w:proofErr w:type="spellStart"/>
            <w:r w:rsidRPr="00BF636F">
              <w:rPr>
                <w:rFonts w:asciiTheme="minorHAnsi" w:hAnsiTheme="minorHAnsi" w:cstheme="minorHAnsi"/>
                <w:sz w:val="20"/>
                <w:szCs w:val="28"/>
              </w:rPr>
              <w:t>vation</w:t>
            </w:r>
            <w:proofErr w:type="spellEnd"/>
            <w:r w:rsidRPr="00BF636F">
              <w:rPr>
                <w:rFonts w:asciiTheme="minorHAnsi" w:hAnsiTheme="minorHAnsi" w:cstheme="minorHAnsi"/>
                <w:sz w:val="20"/>
                <w:szCs w:val="28"/>
              </w:rPr>
              <w:t xml:space="preserve">, and Small Business </w:t>
            </w:r>
            <w:r w:rsidR="00BB0239" w:rsidRPr="00BF636F">
              <w:rPr>
                <w:rFonts w:asciiTheme="minorHAnsi" w:hAnsiTheme="minorHAnsi" w:cstheme="minorHAnsi"/>
                <w:sz w:val="20"/>
                <w:szCs w:val="28"/>
              </w:rPr>
              <w:t xml:space="preserve">2023 </w:t>
            </w:r>
            <w:r w:rsidRPr="00BF636F">
              <w:rPr>
                <w:rFonts w:asciiTheme="minorHAnsi" w:hAnsiTheme="minorHAnsi" w:cstheme="minorHAnsi"/>
                <w:sz w:val="20"/>
                <w:szCs w:val="28"/>
              </w:rPr>
              <w:t>($ thousand)</w:t>
            </w:r>
          </w:p>
        </w:tc>
        <w:tc>
          <w:tcPr>
            <w:tcW w:w="1134" w:type="dxa"/>
          </w:tcPr>
          <w:p w14:paraId="25BA4F12" w14:textId="4F996336" w:rsidR="00BB0239" w:rsidRPr="00BF636F" w:rsidRDefault="00BF636F" w:rsidP="00B10169">
            <w:pPr>
              <w:pStyle w:val="TableColumnHeading"/>
              <w:jc w:val="right"/>
              <w:rPr>
                <w:rFonts w:asciiTheme="minorHAnsi" w:hAnsiTheme="minorHAnsi" w:cstheme="minorHAnsi"/>
                <w:sz w:val="20"/>
                <w:szCs w:val="28"/>
              </w:rPr>
            </w:pPr>
            <w:r w:rsidRPr="00BF636F">
              <w:rPr>
                <w:rFonts w:asciiTheme="minorHAnsi" w:hAnsiTheme="minorHAnsi" w:cstheme="minorHAnsi"/>
                <w:sz w:val="20"/>
                <w:szCs w:val="28"/>
              </w:rPr>
              <w:t>Industry, Inno</w:t>
            </w:r>
            <w:r w:rsidR="00B10169">
              <w:rPr>
                <w:rFonts w:asciiTheme="minorHAnsi" w:hAnsiTheme="minorHAnsi" w:cstheme="minorHAnsi"/>
                <w:sz w:val="20"/>
                <w:szCs w:val="28"/>
              </w:rPr>
              <w:t>-</w:t>
            </w:r>
            <w:proofErr w:type="spellStart"/>
            <w:r w:rsidRPr="00BF636F">
              <w:rPr>
                <w:rFonts w:asciiTheme="minorHAnsi" w:hAnsiTheme="minorHAnsi" w:cstheme="minorHAnsi"/>
                <w:sz w:val="20"/>
                <w:szCs w:val="28"/>
              </w:rPr>
              <w:t>vation</w:t>
            </w:r>
            <w:proofErr w:type="spellEnd"/>
            <w:r w:rsidRPr="00BF636F">
              <w:rPr>
                <w:rFonts w:asciiTheme="minorHAnsi" w:hAnsiTheme="minorHAnsi" w:cstheme="minorHAnsi"/>
                <w:sz w:val="20"/>
                <w:szCs w:val="28"/>
              </w:rPr>
              <w:t xml:space="preserve">, and Small Business </w:t>
            </w:r>
            <w:r w:rsidR="00BB0239" w:rsidRPr="00BF636F">
              <w:rPr>
                <w:rFonts w:asciiTheme="minorHAnsi" w:hAnsiTheme="minorHAnsi" w:cstheme="minorHAnsi"/>
                <w:sz w:val="20"/>
                <w:szCs w:val="28"/>
              </w:rPr>
              <w:t>2022</w:t>
            </w:r>
            <w:r w:rsidRPr="00BF636F">
              <w:rPr>
                <w:rFonts w:asciiTheme="minorHAnsi" w:hAnsiTheme="minorHAnsi" w:cstheme="minorHAnsi"/>
                <w:sz w:val="20"/>
                <w:szCs w:val="28"/>
              </w:rPr>
              <w:t xml:space="preserve"> ($ thousand)</w:t>
            </w:r>
          </w:p>
        </w:tc>
        <w:tc>
          <w:tcPr>
            <w:tcW w:w="1134" w:type="dxa"/>
          </w:tcPr>
          <w:p w14:paraId="77783E67" w14:textId="25EAB76F" w:rsidR="00BB0239" w:rsidRPr="00BF636F" w:rsidRDefault="00BF636F" w:rsidP="00B10169">
            <w:pPr>
              <w:pStyle w:val="TableColumnHeading"/>
              <w:jc w:val="right"/>
              <w:rPr>
                <w:rFonts w:asciiTheme="minorHAnsi" w:hAnsiTheme="minorHAnsi" w:cstheme="minorHAnsi"/>
                <w:sz w:val="20"/>
                <w:szCs w:val="28"/>
              </w:rPr>
            </w:pPr>
            <w:r w:rsidRPr="00BF636F">
              <w:rPr>
                <w:rFonts w:asciiTheme="minorHAnsi" w:hAnsiTheme="minorHAnsi" w:cstheme="minorHAnsi"/>
                <w:sz w:val="20"/>
                <w:szCs w:val="28"/>
              </w:rPr>
              <w:t xml:space="preserve">Jobs </w:t>
            </w:r>
            <w:r w:rsidR="00BB0239" w:rsidRPr="00BF636F">
              <w:rPr>
                <w:rFonts w:asciiTheme="minorHAnsi" w:hAnsiTheme="minorHAnsi" w:cstheme="minorHAnsi"/>
                <w:sz w:val="20"/>
                <w:szCs w:val="28"/>
              </w:rPr>
              <w:t>2023</w:t>
            </w:r>
            <w:r w:rsidRPr="00BF636F">
              <w:rPr>
                <w:rFonts w:asciiTheme="minorHAnsi" w:hAnsiTheme="minorHAnsi" w:cstheme="minorHAnsi"/>
                <w:sz w:val="20"/>
                <w:szCs w:val="28"/>
              </w:rPr>
              <w:t xml:space="preserve"> ($ thousand)</w:t>
            </w:r>
            <w:r w:rsidR="00BB0239" w:rsidRPr="00BF636F">
              <w:rPr>
                <w:rFonts w:asciiTheme="minorHAnsi" w:hAnsiTheme="minorHAnsi" w:cstheme="minorHAnsi"/>
                <w:sz w:val="20"/>
                <w:szCs w:val="28"/>
              </w:rPr>
              <w:t xml:space="preserve"> </w:t>
            </w:r>
          </w:p>
        </w:tc>
        <w:tc>
          <w:tcPr>
            <w:tcW w:w="1134" w:type="dxa"/>
          </w:tcPr>
          <w:p w14:paraId="5AFEDF97" w14:textId="3BEC7BBC" w:rsidR="00BB0239" w:rsidRPr="00BF636F" w:rsidRDefault="00BF636F" w:rsidP="00B10169">
            <w:pPr>
              <w:pStyle w:val="TableColumnHeading"/>
              <w:jc w:val="right"/>
              <w:rPr>
                <w:rFonts w:asciiTheme="minorHAnsi" w:hAnsiTheme="minorHAnsi" w:cstheme="minorHAnsi"/>
                <w:sz w:val="20"/>
                <w:szCs w:val="28"/>
              </w:rPr>
            </w:pPr>
            <w:r w:rsidRPr="00BF636F">
              <w:rPr>
                <w:rFonts w:asciiTheme="minorHAnsi" w:hAnsiTheme="minorHAnsi" w:cstheme="minorHAnsi"/>
                <w:sz w:val="20"/>
                <w:szCs w:val="28"/>
              </w:rPr>
              <w:t xml:space="preserve">Jobs </w:t>
            </w:r>
            <w:r w:rsidR="00BB0239" w:rsidRPr="00BF636F">
              <w:rPr>
                <w:rFonts w:asciiTheme="minorHAnsi" w:hAnsiTheme="minorHAnsi" w:cstheme="minorHAnsi"/>
                <w:sz w:val="20"/>
                <w:szCs w:val="28"/>
              </w:rPr>
              <w:t>2022</w:t>
            </w:r>
            <w:r w:rsidRPr="00BF636F">
              <w:rPr>
                <w:rFonts w:asciiTheme="minorHAnsi" w:hAnsiTheme="minorHAnsi" w:cstheme="minorHAnsi"/>
                <w:sz w:val="20"/>
                <w:szCs w:val="28"/>
              </w:rPr>
              <w:t xml:space="preserve"> ($ thousand)</w:t>
            </w:r>
          </w:p>
        </w:tc>
      </w:tr>
      <w:tr w:rsidR="00BB0239" w:rsidRPr="00B10169" w14:paraId="3C813C96" w14:textId="77777777" w:rsidTr="00B10169">
        <w:trPr>
          <w:trHeight w:val="113"/>
        </w:trPr>
        <w:tc>
          <w:tcPr>
            <w:tcW w:w="3681" w:type="dxa"/>
          </w:tcPr>
          <w:p w14:paraId="3B200DBB" w14:textId="15B40889" w:rsidR="00BB0239" w:rsidRPr="00B10169" w:rsidRDefault="00BB0239" w:rsidP="00B10169">
            <w:pPr>
              <w:pStyle w:val="TableHeading"/>
            </w:pPr>
            <w:r w:rsidRPr="00B10169">
              <w:t>Administered revenue and income from transactions</w:t>
            </w:r>
          </w:p>
        </w:tc>
        <w:tc>
          <w:tcPr>
            <w:tcW w:w="1134" w:type="dxa"/>
          </w:tcPr>
          <w:p w14:paraId="57BB8DFB" w14:textId="77777777" w:rsidR="00BB0239" w:rsidRPr="00B10169" w:rsidRDefault="00BB0239" w:rsidP="00B10169">
            <w:pPr>
              <w:pStyle w:val="TableHeading"/>
              <w:jc w:val="right"/>
            </w:pPr>
          </w:p>
        </w:tc>
        <w:tc>
          <w:tcPr>
            <w:tcW w:w="1134" w:type="dxa"/>
          </w:tcPr>
          <w:p w14:paraId="5142C839" w14:textId="77777777" w:rsidR="00BB0239" w:rsidRPr="00B10169" w:rsidRDefault="00BB0239" w:rsidP="00B10169">
            <w:pPr>
              <w:pStyle w:val="TableHeading"/>
              <w:jc w:val="right"/>
            </w:pPr>
          </w:p>
        </w:tc>
        <w:tc>
          <w:tcPr>
            <w:tcW w:w="1134" w:type="dxa"/>
          </w:tcPr>
          <w:p w14:paraId="7476CA44" w14:textId="77777777" w:rsidR="00BB0239" w:rsidRPr="00B10169" w:rsidRDefault="00BB0239" w:rsidP="00B10169">
            <w:pPr>
              <w:pStyle w:val="TableHeading"/>
              <w:jc w:val="right"/>
            </w:pPr>
          </w:p>
        </w:tc>
        <w:tc>
          <w:tcPr>
            <w:tcW w:w="1134" w:type="dxa"/>
          </w:tcPr>
          <w:p w14:paraId="0C3A8D37" w14:textId="77777777" w:rsidR="00BB0239" w:rsidRPr="00B10169" w:rsidRDefault="00BB0239" w:rsidP="00B10169">
            <w:pPr>
              <w:pStyle w:val="TableHeading"/>
              <w:jc w:val="right"/>
            </w:pPr>
          </w:p>
        </w:tc>
        <w:tc>
          <w:tcPr>
            <w:tcW w:w="1134" w:type="dxa"/>
          </w:tcPr>
          <w:p w14:paraId="3D4829DB" w14:textId="77777777" w:rsidR="00BB0239" w:rsidRPr="00B10169" w:rsidRDefault="00BB0239" w:rsidP="00B10169">
            <w:pPr>
              <w:pStyle w:val="TableHeading"/>
              <w:jc w:val="right"/>
            </w:pPr>
          </w:p>
        </w:tc>
        <w:tc>
          <w:tcPr>
            <w:tcW w:w="1134" w:type="dxa"/>
          </w:tcPr>
          <w:p w14:paraId="147A9D37" w14:textId="77777777" w:rsidR="00BB0239" w:rsidRPr="00B10169" w:rsidRDefault="00BB0239" w:rsidP="00B10169">
            <w:pPr>
              <w:pStyle w:val="TableHeading"/>
              <w:jc w:val="right"/>
            </w:pPr>
          </w:p>
        </w:tc>
        <w:tc>
          <w:tcPr>
            <w:tcW w:w="1134" w:type="dxa"/>
          </w:tcPr>
          <w:p w14:paraId="3EEDF49D" w14:textId="77777777" w:rsidR="00BB0239" w:rsidRPr="00B10169" w:rsidRDefault="00BB0239" w:rsidP="00B10169">
            <w:pPr>
              <w:pStyle w:val="TableHeading"/>
              <w:jc w:val="right"/>
            </w:pPr>
          </w:p>
        </w:tc>
        <w:tc>
          <w:tcPr>
            <w:tcW w:w="1134" w:type="dxa"/>
          </w:tcPr>
          <w:p w14:paraId="49CDF643" w14:textId="77777777" w:rsidR="00BB0239" w:rsidRPr="00B10169" w:rsidRDefault="00BB0239" w:rsidP="00B10169">
            <w:pPr>
              <w:pStyle w:val="TableHeading"/>
              <w:jc w:val="right"/>
            </w:pPr>
          </w:p>
        </w:tc>
        <w:tc>
          <w:tcPr>
            <w:tcW w:w="1134" w:type="dxa"/>
          </w:tcPr>
          <w:p w14:paraId="7D6D5043" w14:textId="77777777" w:rsidR="00BB0239" w:rsidRPr="00B10169" w:rsidRDefault="00BB0239" w:rsidP="00B10169">
            <w:pPr>
              <w:pStyle w:val="TableHeading"/>
              <w:jc w:val="right"/>
            </w:pPr>
          </w:p>
        </w:tc>
        <w:tc>
          <w:tcPr>
            <w:tcW w:w="1134" w:type="dxa"/>
          </w:tcPr>
          <w:p w14:paraId="65AD1811" w14:textId="77777777" w:rsidR="00BB0239" w:rsidRPr="00B10169" w:rsidRDefault="00BB0239" w:rsidP="00B10169">
            <w:pPr>
              <w:pStyle w:val="TableHeading"/>
              <w:jc w:val="right"/>
            </w:pPr>
          </w:p>
        </w:tc>
      </w:tr>
      <w:tr w:rsidR="00BB0239" w14:paraId="3DD43403" w14:textId="77777777" w:rsidTr="00B10169">
        <w:trPr>
          <w:trHeight w:val="113"/>
        </w:trPr>
        <w:tc>
          <w:tcPr>
            <w:tcW w:w="3681" w:type="dxa"/>
          </w:tcPr>
          <w:p w14:paraId="44FE1C5C" w14:textId="4BA96470" w:rsidR="00BB0239" w:rsidRDefault="00BB0239" w:rsidP="00B10169">
            <w:pPr>
              <w:pStyle w:val="TableCopy"/>
            </w:pPr>
            <w:r>
              <w:t xml:space="preserve">Sale of goods and services </w:t>
            </w:r>
          </w:p>
        </w:tc>
        <w:tc>
          <w:tcPr>
            <w:tcW w:w="1134" w:type="dxa"/>
          </w:tcPr>
          <w:p w14:paraId="6392D567" w14:textId="7AAE8A1C" w:rsidR="00BB0239" w:rsidRDefault="00BB0239" w:rsidP="00B10169">
            <w:pPr>
              <w:pStyle w:val="TableCopy"/>
              <w:jc w:val="right"/>
            </w:pPr>
            <w:r>
              <w:t>–</w:t>
            </w:r>
          </w:p>
        </w:tc>
        <w:tc>
          <w:tcPr>
            <w:tcW w:w="1134" w:type="dxa"/>
          </w:tcPr>
          <w:p w14:paraId="1311C469" w14:textId="14F54325" w:rsidR="00BB0239" w:rsidRDefault="00BB0239" w:rsidP="00B10169">
            <w:pPr>
              <w:pStyle w:val="TableCopy"/>
              <w:jc w:val="right"/>
            </w:pPr>
            <w:r>
              <w:t>2,362</w:t>
            </w:r>
          </w:p>
        </w:tc>
        <w:tc>
          <w:tcPr>
            <w:tcW w:w="1134" w:type="dxa"/>
          </w:tcPr>
          <w:p w14:paraId="00A2508A" w14:textId="2A1E6945" w:rsidR="00BB0239" w:rsidRDefault="00BB0239" w:rsidP="00B10169">
            <w:pPr>
              <w:pStyle w:val="TableCopy"/>
              <w:jc w:val="right"/>
            </w:pPr>
            <w:r>
              <w:t>–</w:t>
            </w:r>
          </w:p>
        </w:tc>
        <w:tc>
          <w:tcPr>
            <w:tcW w:w="1134" w:type="dxa"/>
          </w:tcPr>
          <w:p w14:paraId="6DF875A7" w14:textId="3C5BA268" w:rsidR="00BB0239" w:rsidRDefault="00BB0239" w:rsidP="00B10169">
            <w:pPr>
              <w:pStyle w:val="TableCopy"/>
              <w:jc w:val="right"/>
            </w:pPr>
            <w:r>
              <w:t>–</w:t>
            </w:r>
          </w:p>
        </w:tc>
        <w:tc>
          <w:tcPr>
            <w:tcW w:w="1134" w:type="dxa"/>
          </w:tcPr>
          <w:p w14:paraId="6FC6785C" w14:textId="15FDA4BF" w:rsidR="00BB0239" w:rsidRDefault="00BB0239" w:rsidP="00B10169">
            <w:pPr>
              <w:pStyle w:val="TableCopy"/>
              <w:jc w:val="right"/>
            </w:pPr>
            <w:r>
              <w:t>–</w:t>
            </w:r>
          </w:p>
        </w:tc>
        <w:tc>
          <w:tcPr>
            <w:tcW w:w="1134" w:type="dxa"/>
          </w:tcPr>
          <w:p w14:paraId="2C044DFF" w14:textId="7F17ACA0" w:rsidR="00BB0239" w:rsidRDefault="00BB0239" w:rsidP="00B10169">
            <w:pPr>
              <w:pStyle w:val="TableCopy"/>
              <w:jc w:val="right"/>
            </w:pPr>
            <w:r>
              <w:t>–</w:t>
            </w:r>
          </w:p>
        </w:tc>
        <w:tc>
          <w:tcPr>
            <w:tcW w:w="1134" w:type="dxa"/>
          </w:tcPr>
          <w:p w14:paraId="3C30EAC1" w14:textId="09E0612A" w:rsidR="00BB0239" w:rsidRDefault="00BB0239" w:rsidP="00B10169">
            <w:pPr>
              <w:pStyle w:val="TableCopy"/>
              <w:jc w:val="right"/>
            </w:pPr>
            <w:r>
              <w:t>–</w:t>
            </w:r>
          </w:p>
        </w:tc>
        <w:tc>
          <w:tcPr>
            <w:tcW w:w="1134" w:type="dxa"/>
          </w:tcPr>
          <w:p w14:paraId="3BAAD404" w14:textId="0D806AF6" w:rsidR="00BB0239" w:rsidRDefault="00BB0239" w:rsidP="00B10169">
            <w:pPr>
              <w:pStyle w:val="TableCopy"/>
              <w:jc w:val="right"/>
            </w:pPr>
            <w:r>
              <w:t>–</w:t>
            </w:r>
          </w:p>
        </w:tc>
        <w:tc>
          <w:tcPr>
            <w:tcW w:w="1134" w:type="dxa"/>
          </w:tcPr>
          <w:p w14:paraId="2394787E" w14:textId="54228B78" w:rsidR="00BB0239" w:rsidRDefault="00BB0239" w:rsidP="00B10169">
            <w:pPr>
              <w:pStyle w:val="TableCopy"/>
              <w:jc w:val="right"/>
            </w:pPr>
            <w:r>
              <w:t>–</w:t>
            </w:r>
          </w:p>
        </w:tc>
        <w:tc>
          <w:tcPr>
            <w:tcW w:w="1134" w:type="dxa"/>
          </w:tcPr>
          <w:p w14:paraId="11DF47DA" w14:textId="4FE05EA6" w:rsidR="00BB0239" w:rsidRDefault="00BB0239" w:rsidP="00B10169">
            <w:pPr>
              <w:pStyle w:val="TableCopy"/>
              <w:jc w:val="right"/>
            </w:pPr>
            <w:r>
              <w:t>–</w:t>
            </w:r>
          </w:p>
        </w:tc>
      </w:tr>
      <w:tr w:rsidR="00BB0239" w14:paraId="7B8784E4" w14:textId="77777777" w:rsidTr="00B10169">
        <w:trPr>
          <w:trHeight w:val="113"/>
        </w:trPr>
        <w:tc>
          <w:tcPr>
            <w:tcW w:w="3681" w:type="dxa"/>
          </w:tcPr>
          <w:p w14:paraId="10DC2B50" w14:textId="13116E0F" w:rsidR="00BB0239" w:rsidRDefault="00BB0239" w:rsidP="00B10169">
            <w:pPr>
              <w:pStyle w:val="TableCopy"/>
            </w:pPr>
            <w:r>
              <w:t>Appropriations – payments made on behalf of the State</w:t>
            </w:r>
          </w:p>
        </w:tc>
        <w:tc>
          <w:tcPr>
            <w:tcW w:w="1134" w:type="dxa"/>
          </w:tcPr>
          <w:p w14:paraId="697655D4" w14:textId="0F910183" w:rsidR="00BB0239" w:rsidRDefault="00BB0239" w:rsidP="00B10169">
            <w:pPr>
              <w:pStyle w:val="TableCopy"/>
              <w:jc w:val="right"/>
            </w:pPr>
            <w:r>
              <w:t>–</w:t>
            </w:r>
          </w:p>
        </w:tc>
        <w:tc>
          <w:tcPr>
            <w:tcW w:w="1134" w:type="dxa"/>
          </w:tcPr>
          <w:p w14:paraId="7BC7A7F0" w14:textId="4BB1DD6E" w:rsidR="00BB0239" w:rsidRDefault="00BB0239" w:rsidP="00B10169">
            <w:pPr>
              <w:pStyle w:val="TableCopy"/>
              <w:jc w:val="right"/>
            </w:pPr>
            <w:r>
              <w:t>–</w:t>
            </w:r>
          </w:p>
        </w:tc>
        <w:tc>
          <w:tcPr>
            <w:tcW w:w="1134" w:type="dxa"/>
          </w:tcPr>
          <w:p w14:paraId="6F68EA66" w14:textId="6FD6C070" w:rsidR="00BB0239" w:rsidRDefault="00BB0239" w:rsidP="00B10169">
            <w:pPr>
              <w:pStyle w:val="TableCopy"/>
              <w:jc w:val="right"/>
            </w:pPr>
            <w:r>
              <w:t>–</w:t>
            </w:r>
          </w:p>
        </w:tc>
        <w:tc>
          <w:tcPr>
            <w:tcW w:w="1134" w:type="dxa"/>
          </w:tcPr>
          <w:p w14:paraId="26F54F3B" w14:textId="79500FAB" w:rsidR="00BB0239" w:rsidRDefault="00BB0239" w:rsidP="00B10169">
            <w:pPr>
              <w:pStyle w:val="TableCopy"/>
              <w:jc w:val="right"/>
            </w:pPr>
            <w:r>
              <w:t>–</w:t>
            </w:r>
          </w:p>
        </w:tc>
        <w:tc>
          <w:tcPr>
            <w:tcW w:w="1134" w:type="dxa"/>
          </w:tcPr>
          <w:p w14:paraId="2BED4DCC" w14:textId="3C18B3A2" w:rsidR="00BB0239" w:rsidRDefault="00BB0239" w:rsidP="00B10169">
            <w:pPr>
              <w:pStyle w:val="TableCopy"/>
              <w:jc w:val="right"/>
            </w:pPr>
            <w:r>
              <w:t>–</w:t>
            </w:r>
          </w:p>
        </w:tc>
        <w:tc>
          <w:tcPr>
            <w:tcW w:w="1134" w:type="dxa"/>
          </w:tcPr>
          <w:p w14:paraId="49CE49E6" w14:textId="7051C11A" w:rsidR="00BB0239" w:rsidRDefault="00BB0239" w:rsidP="00B10169">
            <w:pPr>
              <w:pStyle w:val="TableCopy"/>
              <w:jc w:val="right"/>
            </w:pPr>
            <w:r>
              <w:t>–</w:t>
            </w:r>
          </w:p>
        </w:tc>
        <w:tc>
          <w:tcPr>
            <w:tcW w:w="1134" w:type="dxa"/>
          </w:tcPr>
          <w:p w14:paraId="09F5DEA4" w14:textId="7D0E4ACF" w:rsidR="00BB0239" w:rsidRDefault="00BB0239" w:rsidP="00B10169">
            <w:pPr>
              <w:pStyle w:val="TableCopy"/>
              <w:jc w:val="right"/>
            </w:pPr>
            <w:r>
              <w:t>–</w:t>
            </w:r>
          </w:p>
        </w:tc>
        <w:tc>
          <w:tcPr>
            <w:tcW w:w="1134" w:type="dxa"/>
          </w:tcPr>
          <w:p w14:paraId="386AE423" w14:textId="75D1CAD0" w:rsidR="00BB0239" w:rsidRDefault="00BB0239" w:rsidP="00B10169">
            <w:pPr>
              <w:pStyle w:val="TableCopy"/>
              <w:jc w:val="right"/>
            </w:pPr>
            <w:r>
              <w:t>–</w:t>
            </w:r>
          </w:p>
        </w:tc>
        <w:tc>
          <w:tcPr>
            <w:tcW w:w="1134" w:type="dxa"/>
          </w:tcPr>
          <w:p w14:paraId="77BEF325" w14:textId="236B7EC7" w:rsidR="00BB0239" w:rsidRDefault="00BB0239" w:rsidP="00B10169">
            <w:pPr>
              <w:pStyle w:val="TableCopy"/>
              <w:jc w:val="right"/>
            </w:pPr>
            <w:r>
              <w:t>–</w:t>
            </w:r>
          </w:p>
        </w:tc>
        <w:tc>
          <w:tcPr>
            <w:tcW w:w="1134" w:type="dxa"/>
          </w:tcPr>
          <w:p w14:paraId="7382C9E0" w14:textId="76CF35D9" w:rsidR="00BB0239" w:rsidRDefault="00BB0239" w:rsidP="00B10169">
            <w:pPr>
              <w:pStyle w:val="TableCopy"/>
              <w:jc w:val="right"/>
            </w:pPr>
            <w:r>
              <w:t>–</w:t>
            </w:r>
          </w:p>
        </w:tc>
      </w:tr>
      <w:tr w:rsidR="00BB0239" w14:paraId="4C27C9A5" w14:textId="77777777" w:rsidTr="00B10169">
        <w:trPr>
          <w:trHeight w:val="113"/>
        </w:trPr>
        <w:tc>
          <w:tcPr>
            <w:tcW w:w="3681" w:type="dxa"/>
          </w:tcPr>
          <w:p w14:paraId="19021C09" w14:textId="77777777" w:rsidR="00BB0239" w:rsidRDefault="00BB0239" w:rsidP="00B10169">
            <w:pPr>
              <w:pStyle w:val="TableCopy"/>
            </w:pPr>
            <w:r>
              <w:t>Royalties</w:t>
            </w:r>
          </w:p>
        </w:tc>
        <w:tc>
          <w:tcPr>
            <w:tcW w:w="1134" w:type="dxa"/>
          </w:tcPr>
          <w:p w14:paraId="00FA4CD5" w14:textId="083E6F01" w:rsidR="00BB0239" w:rsidRDefault="00BB0239" w:rsidP="00B10169">
            <w:pPr>
              <w:pStyle w:val="TableCopy"/>
              <w:jc w:val="right"/>
            </w:pPr>
            <w:r>
              <w:t>–</w:t>
            </w:r>
          </w:p>
        </w:tc>
        <w:tc>
          <w:tcPr>
            <w:tcW w:w="1134" w:type="dxa"/>
          </w:tcPr>
          <w:p w14:paraId="1D622667" w14:textId="3B814932" w:rsidR="00BB0239" w:rsidRDefault="00BB0239" w:rsidP="00B10169">
            <w:pPr>
              <w:pStyle w:val="TableCopy"/>
              <w:jc w:val="right"/>
            </w:pPr>
            <w:r>
              <w:t>–</w:t>
            </w:r>
          </w:p>
        </w:tc>
        <w:tc>
          <w:tcPr>
            <w:tcW w:w="1134" w:type="dxa"/>
          </w:tcPr>
          <w:p w14:paraId="04B6912D" w14:textId="1A55509D" w:rsidR="00BB0239" w:rsidRDefault="00BB0239" w:rsidP="00B10169">
            <w:pPr>
              <w:pStyle w:val="TableCopy"/>
              <w:jc w:val="right"/>
            </w:pPr>
            <w:r>
              <w:t>–</w:t>
            </w:r>
          </w:p>
        </w:tc>
        <w:tc>
          <w:tcPr>
            <w:tcW w:w="1134" w:type="dxa"/>
          </w:tcPr>
          <w:p w14:paraId="6AEC2EA2" w14:textId="32EE1E5F" w:rsidR="00BB0239" w:rsidRDefault="00BB0239" w:rsidP="00B10169">
            <w:pPr>
              <w:pStyle w:val="TableCopy"/>
              <w:jc w:val="right"/>
            </w:pPr>
            <w:r>
              <w:t>–</w:t>
            </w:r>
          </w:p>
        </w:tc>
        <w:tc>
          <w:tcPr>
            <w:tcW w:w="1134" w:type="dxa"/>
          </w:tcPr>
          <w:p w14:paraId="01C5DB0A" w14:textId="242B7C0D" w:rsidR="00BB0239" w:rsidRDefault="00BB0239" w:rsidP="00B10169">
            <w:pPr>
              <w:pStyle w:val="TableCopy"/>
              <w:jc w:val="right"/>
            </w:pPr>
            <w:r>
              <w:t>–</w:t>
            </w:r>
          </w:p>
        </w:tc>
        <w:tc>
          <w:tcPr>
            <w:tcW w:w="1134" w:type="dxa"/>
          </w:tcPr>
          <w:p w14:paraId="1E70CE8D" w14:textId="22F44698" w:rsidR="00BB0239" w:rsidRDefault="00BB0239" w:rsidP="00B10169">
            <w:pPr>
              <w:pStyle w:val="TableCopy"/>
              <w:jc w:val="right"/>
            </w:pPr>
            <w:r>
              <w:t>–</w:t>
            </w:r>
          </w:p>
        </w:tc>
        <w:tc>
          <w:tcPr>
            <w:tcW w:w="1134" w:type="dxa"/>
          </w:tcPr>
          <w:p w14:paraId="68B0A860" w14:textId="42C196BE" w:rsidR="00BB0239" w:rsidRDefault="00BB0239" w:rsidP="00B10169">
            <w:pPr>
              <w:pStyle w:val="TableCopy"/>
              <w:jc w:val="right"/>
            </w:pPr>
            <w:r>
              <w:t>–</w:t>
            </w:r>
          </w:p>
        </w:tc>
        <w:tc>
          <w:tcPr>
            <w:tcW w:w="1134" w:type="dxa"/>
          </w:tcPr>
          <w:p w14:paraId="5C3861B6" w14:textId="5DBA21B1" w:rsidR="00BB0239" w:rsidRDefault="00BB0239" w:rsidP="00B10169">
            <w:pPr>
              <w:pStyle w:val="TableCopy"/>
              <w:jc w:val="right"/>
            </w:pPr>
            <w:r>
              <w:t>–</w:t>
            </w:r>
          </w:p>
        </w:tc>
        <w:tc>
          <w:tcPr>
            <w:tcW w:w="1134" w:type="dxa"/>
          </w:tcPr>
          <w:p w14:paraId="7A09601A" w14:textId="7606475C" w:rsidR="00BB0239" w:rsidRDefault="00BB0239" w:rsidP="00B10169">
            <w:pPr>
              <w:pStyle w:val="TableCopy"/>
              <w:jc w:val="right"/>
            </w:pPr>
            <w:r>
              <w:t>–</w:t>
            </w:r>
          </w:p>
        </w:tc>
        <w:tc>
          <w:tcPr>
            <w:tcW w:w="1134" w:type="dxa"/>
          </w:tcPr>
          <w:p w14:paraId="54B8AF3E" w14:textId="34EEC5C9" w:rsidR="00BB0239" w:rsidRDefault="00BB0239" w:rsidP="00B10169">
            <w:pPr>
              <w:pStyle w:val="TableCopy"/>
              <w:jc w:val="right"/>
            </w:pPr>
            <w:r>
              <w:t>–</w:t>
            </w:r>
          </w:p>
        </w:tc>
      </w:tr>
      <w:tr w:rsidR="00BB0239" w14:paraId="3AD11D60" w14:textId="77777777" w:rsidTr="00B10169">
        <w:trPr>
          <w:trHeight w:val="113"/>
        </w:trPr>
        <w:tc>
          <w:tcPr>
            <w:tcW w:w="3681" w:type="dxa"/>
          </w:tcPr>
          <w:p w14:paraId="2D6F9CE7" w14:textId="5EC83F90" w:rsidR="00BB0239" w:rsidRDefault="00BB0239" w:rsidP="00B10169">
            <w:pPr>
              <w:pStyle w:val="TableCopy"/>
            </w:pPr>
            <w:r>
              <w:t>Other income</w:t>
            </w:r>
          </w:p>
        </w:tc>
        <w:tc>
          <w:tcPr>
            <w:tcW w:w="1134" w:type="dxa"/>
          </w:tcPr>
          <w:p w14:paraId="2DE31B37" w14:textId="472681D7" w:rsidR="00BB0239" w:rsidRDefault="00BB0239" w:rsidP="00B10169">
            <w:pPr>
              <w:pStyle w:val="TableCopy"/>
              <w:jc w:val="right"/>
            </w:pPr>
            <w:r>
              <w:t>3,600</w:t>
            </w:r>
          </w:p>
        </w:tc>
        <w:tc>
          <w:tcPr>
            <w:tcW w:w="1134" w:type="dxa"/>
          </w:tcPr>
          <w:p w14:paraId="7C97E9E3" w14:textId="2B4FFC6F" w:rsidR="00BB0239" w:rsidRDefault="00BB0239" w:rsidP="00B10169">
            <w:pPr>
              <w:pStyle w:val="TableCopy"/>
              <w:jc w:val="right"/>
            </w:pPr>
            <w:r>
              <w:t>12</w:t>
            </w:r>
          </w:p>
        </w:tc>
        <w:tc>
          <w:tcPr>
            <w:tcW w:w="1134" w:type="dxa"/>
          </w:tcPr>
          <w:p w14:paraId="4876C759" w14:textId="3693F44F" w:rsidR="00BB0239" w:rsidRDefault="00BB0239" w:rsidP="00B10169">
            <w:pPr>
              <w:pStyle w:val="TableCopy"/>
              <w:jc w:val="right"/>
            </w:pPr>
            <w:r>
              <w:t>456</w:t>
            </w:r>
          </w:p>
        </w:tc>
        <w:tc>
          <w:tcPr>
            <w:tcW w:w="1134" w:type="dxa"/>
          </w:tcPr>
          <w:p w14:paraId="0FCA85F7" w14:textId="65104733" w:rsidR="00BB0239" w:rsidRDefault="00BB0239" w:rsidP="00B10169">
            <w:pPr>
              <w:pStyle w:val="TableCopy"/>
              <w:jc w:val="right"/>
            </w:pPr>
            <w:r>
              <w:t>438</w:t>
            </w:r>
          </w:p>
        </w:tc>
        <w:tc>
          <w:tcPr>
            <w:tcW w:w="1134" w:type="dxa"/>
          </w:tcPr>
          <w:p w14:paraId="67820608" w14:textId="56112EB0" w:rsidR="00BB0239" w:rsidRDefault="00BB0239" w:rsidP="00B10169">
            <w:pPr>
              <w:pStyle w:val="TableCopy"/>
              <w:jc w:val="right"/>
            </w:pPr>
            <w:r>
              <w:t>–</w:t>
            </w:r>
          </w:p>
        </w:tc>
        <w:tc>
          <w:tcPr>
            <w:tcW w:w="1134" w:type="dxa"/>
          </w:tcPr>
          <w:p w14:paraId="022E4EAE" w14:textId="6C38EE33" w:rsidR="00BB0239" w:rsidRDefault="00BB0239" w:rsidP="00B10169">
            <w:pPr>
              <w:pStyle w:val="TableCopy"/>
              <w:jc w:val="right"/>
            </w:pPr>
            <w:r>
              <w:t>2</w:t>
            </w:r>
          </w:p>
        </w:tc>
        <w:tc>
          <w:tcPr>
            <w:tcW w:w="1134" w:type="dxa"/>
          </w:tcPr>
          <w:p w14:paraId="458D20A8" w14:textId="14410B7E" w:rsidR="00BB0239" w:rsidRDefault="00BB0239" w:rsidP="00B10169">
            <w:pPr>
              <w:pStyle w:val="TableCopy"/>
              <w:jc w:val="right"/>
            </w:pPr>
            <w:r>
              <w:t>–</w:t>
            </w:r>
          </w:p>
        </w:tc>
        <w:tc>
          <w:tcPr>
            <w:tcW w:w="1134" w:type="dxa"/>
          </w:tcPr>
          <w:p w14:paraId="522AB6C2" w14:textId="1E62AE1A" w:rsidR="00BB0239" w:rsidRDefault="00BB0239" w:rsidP="00B10169">
            <w:pPr>
              <w:pStyle w:val="TableCopy"/>
              <w:jc w:val="right"/>
            </w:pPr>
            <w:r>
              <w:t>212</w:t>
            </w:r>
          </w:p>
        </w:tc>
        <w:tc>
          <w:tcPr>
            <w:tcW w:w="1134" w:type="dxa"/>
          </w:tcPr>
          <w:p w14:paraId="4BB20645" w14:textId="4ABDE04E" w:rsidR="00BB0239" w:rsidRDefault="00BB0239" w:rsidP="00B10169">
            <w:pPr>
              <w:pStyle w:val="TableCopy"/>
              <w:jc w:val="right"/>
            </w:pPr>
            <w:r>
              <w:t>2,336</w:t>
            </w:r>
          </w:p>
        </w:tc>
        <w:tc>
          <w:tcPr>
            <w:tcW w:w="1134" w:type="dxa"/>
          </w:tcPr>
          <w:p w14:paraId="07A75E16" w14:textId="7152E766" w:rsidR="00BB0239" w:rsidRDefault="00BB0239" w:rsidP="00B10169">
            <w:pPr>
              <w:pStyle w:val="TableCopy"/>
              <w:jc w:val="right"/>
            </w:pPr>
            <w:r>
              <w:t>522</w:t>
            </w:r>
          </w:p>
        </w:tc>
      </w:tr>
      <w:tr w:rsidR="00BB0239" w14:paraId="4770C1BB" w14:textId="77777777" w:rsidTr="00B10169">
        <w:trPr>
          <w:trHeight w:val="113"/>
        </w:trPr>
        <w:tc>
          <w:tcPr>
            <w:tcW w:w="3681" w:type="dxa"/>
          </w:tcPr>
          <w:p w14:paraId="0360CC3D" w14:textId="2A926EF0" w:rsidR="00BB0239" w:rsidRDefault="00BB0239" w:rsidP="00B10169">
            <w:pPr>
              <w:pStyle w:val="TableCopy"/>
            </w:pPr>
            <w:r>
              <w:t xml:space="preserve">Regulatory fees, fines, </w:t>
            </w:r>
            <w:proofErr w:type="gramStart"/>
            <w:r>
              <w:t>leases</w:t>
            </w:r>
            <w:proofErr w:type="gramEnd"/>
            <w:r>
              <w:t xml:space="preserve"> and licences</w:t>
            </w:r>
          </w:p>
        </w:tc>
        <w:tc>
          <w:tcPr>
            <w:tcW w:w="1134" w:type="dxa"/>
          </w:tcPr>
          <w:p w14:paraId="3387E3E7" w14:textId="2F375554" w:rsidR="00BB0239" w:rsidRDefault="00BB0239" w:rsidP="00B10169">
            <w:pPr>
              <w:pStyle w:val="TableCopy"/>
              <w:jc w:val="right"/>
            </w:pPr>
            <w:r>
              <w:t>–</w:t>
            </w:r>
          </w:p>
        </w:tc>
        <w:tc>
          <w:tcPr>
            <w:tcW w:w="1134" w:type="dxa"/>
          </w:tcPr>
          <w:p w14:paraId="7F3EE10B" w14:textId="0E64E1AD" w:rsidR="00BB0239" w:rsidRDefault="00BB0239" w:rsidP="00B10169">
            <w:pPr>
              <w:pStyle w:val="TableCopy"/>
              <w:jc w:val="right"/>
            </w:pPr>
            <w:r>
              <w:t>–</w:t>
            </w:r>
          </w:p>
        </w:tc>
        <w:tc>
          <w:tcPr>
            <w:tcW w:w="1134" w:type="dxa"/>
          </w:tcPr>
          <w:p w14:paraId="4CEB8B47" w14:textId="5D35682A" w:rsidR="00BB0239" w:rsidRDefault="00BB0239" w:rsidP="00B10169">
            <w:pPr>
              <w:pStyle w:val="TableCopy"/>
              <w:jc w:val="right"/>
            </w:pPr>
            <w:r>
              <w:t>–</w:t>
            </w:r>
          </w:p>
        </w:tc>
        <w:tc>
          <w:tcPr>
            <w:tcW w:w="1134" w:type="dxa"/>
          </w:tcPr>
          <w:p w14:paraId="034B0028" w14:textId="7E5EDC8F" w:rsidR="00BB0239" w:rsidRDefault="00BB0239" w:rsidP="00B10169">
            <w:pPr>
              <w:pStyle w:val="TableCopy"/>
              <w:jc w:val="right"/>
            </w:pPr>
            <w:r>
              <w:t>–</w:t>
            </w:r>
          </w:p>
        </w:tc>
        <w:tc>
          <w:tcPr>
            <w:tcW w:w="1134" w:type="dxa"/>
          </w:tcPr>
          <w:p w14:paraId="6F51BE71" w14:textId="77FD59D8" w:rsidR="00BB0239" w:rsidRDefault="00BB0239" w:rsidP="00B10169">
            <w:pPr>
              <w:pStyle w:val="TableCopy"/>
              <w:jc w:val="right"/>
            </w:pPr>
            <w:r>
              <w:t>–</w:t>
            </w:r>
          </w:p>
        </w:tc>
        <w:tc>
          <w:tcPr>
            <w:tcW w:w="1134" w:type="dxa"/>
          </w:tcPr>
          <w:p w14:paraId="2E03F2EF" w14:textId="5B0DE3A5" w:rsidR="00BB0239" w:rsidRDefault="00BB0239" w:rsidP="00B10169">
            <w:pPr>
              <w:pStyle w:val="TableCopy"/>
              <w:jc w:val="right"/>
            </w:pPr>
            <w:r>
              <w:t>–</w:t>
            </w:r>
          </w:p>
        </w:tc>
        <w:tc>
          <w:tcPr>
            <w:tcW w:w="1134" w:type="dxa"/>
          </w:tcPr>
          <w:p w14:paraId="688B8B5F" w14:textId="2A37E8C4" w:rsidR="00BB0239" w:rsidRDefault="00BB0239" w:rsidP="00B10169">
            <w:pPr>
              <w:pStyle w:val="TableCopy"/>
              <w:jc w:val="right"/>
            </w:pPr>
            <w:r>
              <w:t>–</w:t>
            </w:r>
          </w:p>
        </w:tc>
        <w:tc>
          <w:tcPr>
            <w:tcW w:w="1134" w:type="dxa"/>
          </w:tcPr>
          <w:p w14:paraId="4C6E9F77" w14:textId="3EDAD944" w:rsidR="00BB0239" w:rsidRDefault="00BB0239" w:rsidP="00B10169">
            <w:pPr>
              <w:pStyle w:val="TableCopy"/>
              <w:jc w:val="right"/>
            </w:pPr>
            <w:r>
              <w:t>–</w:t>
            </w:r>
          </w:p>
        </w:tc>
        <w:tc>
          <w:tcPr>
            <w:tcW w:w="1134" w:type="dxa"/>
          </w:tcPr>
          <w:p w14:paraId="4AE87DE8" w14:textId="3341AF6F" w:rsidR="00BB0239" w:rsidRDefault="00BB0239" w:rsidP="00B10169">
            <w:pPr>
              <w:pStyle w:val="TableCopy"/>
              <w:jc w:val="right"/>
            </w:pPr>
            <w:r>
              <w:t>–</w:t>
            </w:r>
          </w:p>
        </w:tc>
        <w:tc>
          <w:tcPr>
            <w:tcW w:w="1134" w:type="dxa"/>
          </w:tcPr>
          <w:p w14:paraId="543319C7" w14:textId="20BD698A" w:rsidR="00BB0239" w:rsidRDefault="00BB0239" w:rsidP="00B10169">
            <w:pPr>
              <w:pStyle w:val="TableCopy"/>
              <w:jc w:val="right"/>
            </w:pPr>
            <w:r>
              <w:t>–</w:t>
            </w:r>
          </w:p>
        </w:tc>
      </w:tr>
      <w:tr w:rsidR="00BB0239" w14:paraId="6D1403FC" w14:textId="77777777" w:rsidTr="00B10169">
        <w:trPr>
          <w:trHeight w:val="113"/>
        </w:trPr>
        <w:tc>
          <w:tcPr>
            <w:tcW w:w="3681" w:type="dxa"/>
          </w:tcPr>
          <w:p w14:paraId="4BC505FD" w14:textId="459E6544" w:rsidR="00BB0239" w:rsidRDefault="00BB0239" w:rsidP="00B10169">
            <w:pPr>
              <w:pStyle w:val="TableCopy"/>
            </w:pPr>
            <w:r>
              <w:t>Interest income</w:t>
            </w:r>
          </w:p>
        </w:tc>
        <w:tc>
          <w:tcPr>
            <w:tcW w:w="1134" w:type="dxa"/>
          </w:tcPr>
          <w:p w14:paraId="608399B1" w14:textId="4E624F46" w:rsidR="00BB0239" w:rsidRDefault="00BB0239" w:rsidP="00B10169">
            <w:pPr>
              <w:pStyle w:val="TableCopy"/>
              <w:jc w:val="right"/>
            </w:pPr>
            <w:r>
              <w:t>–</w:t>
            </w:r>
          </w:p>
        </w:tc>
        <w:tc>
          <w:tcPr>
            <w:tcW w:w="1134" w:type="dxa"/>
          </w:tcPr>
          <w:p w14:paraId="33AC12E3" w14:textId="78E51769" w:rsidR="00BB0239" w:rsidRDefault="00BB0239" w:rsidP="00B10169">
            <w:pPr>
              <w:pStyle w:val="TableCopy"/>
              <w:jc w:val="right"/>
            </w:pPr>
            <w:r>
              <w:t>–</w:t>
            </w:r>
          </w:p>
        </w:tc>
        <w:tc>
          <w:tcPr>
            <w:tcW w:w="1134" w:type="dxa"/>
          </w:tcPr>
          <w:p w14:paraId="78E1D0BB" w14:textId="6C83A326" w:rsidR="00BB0239" w:rsidRDefault="00BB0239" w:rsidP="00B10169">
            <w:pPr>
              <w:pStyle w:val="TableCopy"/>
              <w:jc w:val="right"/>
            </w:pPr>
            <w:r>
              <w:t>–</w:t>
            </w:r>
          </w:p>
        </w:tc>
        <w:tc>
          <w:tcPr>
            <w:tcW w:w="1134" w:type="dxa"/>
          </w:tcPr>
          <w:p w14:paraId="0A1185F4" w14:textId="35DEF018" w:rsidR="00BB0239" w:rsidRDefault="00BB0239" w:rsidP="00B10169">
            <w:pPr>
              <w:pStyle w:val="TableCopy"/>
              <w:jc w:val="right"/>
            </w:pPr>
            <w:r>
              <w:t>–</w:t>
            </w:r>
          </w:p>
        </w:tc>
        <w:tc>
          <w:tcPr>
            <w:tcW w:w="1134" w:type="dxa"/>
          </w:tcPr>
          <w:p w14:paraId="5D4CAA65" w14:textId="52F1C8C0" w:rsidR="00BB0239" w:rsidRDefault="00BB0239" w:rsidP="00B10169">
            <w:pPr>
              <w:pStyle w:val="TableCopy"/>
              <w:jc w:val="right"/>
            </w:pPr>
            <w:r>
              <w:t>–</w:t>
            </w:r>
          </w:p>
        </w:tc>
        <w:tc>
          <w:tcPr>
            <w:tcW w:w="1134" w:type="dxa"/>
          </w:tcPr>
          <w:p w14:paraId="6131CCD7" w14:textId="028D78AC" w:rsidR="00BB0239" w:rsidRDefault="00BB0239" w:rsidP="00B10169">
            <w:pPr>
              <w:pStyle w:val="TableCopy"/>
              <w:jc w:val="right"/>
            </w:pPr>
            <w:r>
              <w:t>–</w:t>
            </w:r>
          </w:p>
        </w:tc>
        <w:tc>
          <w:tcPr>
            <w:tcW w:w="1134" w:type="dxa"/>
          </w:tcPr>
          <w:p w14:paraId="4E8C4060" w14:textId="2AF1E357" w:rsidR="00BB0239" w:rsidRDefault="00BB0239" w:rsidP="00B10169">
            <w:pPr>
              <w:pStyle w:val="TableCopy"/>
              <w:jc w:val="right"/>
            </w:pPr>
            <w:r>
              <w:t>–</w:t>
            </w:r>
          </w:p>
        </w:tc>
        <w:tc>
          <w:tcPr>
            <w:tcW w:w="1134" w:type="dxa"/>
          </w:tcPr>
          <w:p w14:paraId="758E8EC5" w14:textId="7520B874" w:rsidR="00BB0239" w:rsidRDefault="00BB0239" w:rsidP="00B10169">
            <w:pPr>
              <w:pStyle w:val="TableCopy"/>
              <w:jc w:val="right"/>
            </w:pPr>
            <w:r>
              <w:t>–</w:t>
            </w:r>
          </w:p>
        </w:tc>
        <w:tc>
          <w:tcPr>
            <w:tcW w:w="1134" w:type="dxa"/>
          </w:tcPr>
          <w:p w14:paraId="79080AFB" w14:textId="5C3F9A60" w:rsidR="00BB0239" w:rsidRDefault="00BB0239" w:rsidP="00B10169">
            <w:pPr>
              <w:pStyle w:val="TableCopy"/>
              <w:jc w:val="right"/>
            </w:pPr>
            <w:r>
              <w:t>–</w:t>
            </w:r>
          </w:p>
        </w:tc>
        <w:tc>
          <w:tcPr>
            <w:tcW w:w="1134" w:type="dxa"/>
          </w:tcPr>
          <w:p w14:paraId="449A4348" w14:textId="47326FAE" w:rsidR="00BB0239" w:rsidRDefault="00BB0239" w:rsidP="00B10169">
            <w:pPr>
              <w:pStyle w:val="TableCopy"/>
              <w:jc w:val="right"/>
            </w:pPr>
            <w:r>
              <w:t>–</w:t>
            </w:r>
          </w:p>
        </w:tc>
      </w:tr>
      <w:tr w:rsidR="00BB0239" w14:paraId="50CB1A2D" w14:textId="77777777" w:rsidTr="00B10169">
        <w:trPr>
          <w:trHeight w:val="113"/>
        </w:trPr>
        <w:tc>
          <w:tcPr>
            <w:tcW w:w="3681" w:type="dxa"/>
          </w:tcPr>
          <w:p w14:paraId="33E9CACA" w14:textId="77777777" w:rsidR="00BB0239" w:rsidRDefault="00BB0239" w:rsidP="00B10169">
            <w:pPr>
              <w:pStyle w:val="TableCopy"/>
            </w:pPr>
            <w:r>
              <w:t>Grants</w:t>
            </w:r>
          </w:p>
        </w:tc>
        <w:tc>
          <w:tcPr>
            <w:tcW w:w="1134" w:type="dxa"/>
          </w:tcPr>
          <w:p w14:paraId="2B15851F" w14:textId="35DE2283" w:rsidR="00BB0239" w:rsidRDefault="00BB0239" w:rsidP="00B10169">
            <w:pPr>
              <w:pStyle w:val="TableCopy"/>
              <w:jc w:val="right"/>
            </w:pPr>
            <w:r>
              <w:t>–</w:t>
            </w:r>
          </w:p>
        </w:tc>
        <w:tc>
          <w:tcPr>
            <w:tcW w:w="1134" w:type="dxa"/>
          </w:tcPr>
          <w:p w14:paraId="73A0B2A7" w14:textId="6FC8B8FA" w:rsidR="00BB0239" w:rsidRDefault="00BB0239" w:rsidP="00B10169">
            <w:pPr>
              <w:pStyle w:val="TableCopy"/>
              <w:jc w:val="right"/>
            </w:pPr>
            <w:r>
              <w:t>–</w:t>
            </w:r>
          </w:p>
        </w:tc>
        <w:tc>
          <w:tcPr>
            <w:tcW w:w="1134" w:type="dxa"/>
          </w:tcPr>
          <w:p w14:paraId="54089455" w14:textId="3416469A" w:rsidR="00BB0239" w:rsidRDefault="00BB0239" w:rsidP="00B10169">
            <w:pPr>
              <w:pStyle w:val="TableCopy"/>
              <w:jc w:val="right"/>
            </w:pPr>
            <w:r>
              <w:t>–</w:t>
            </w:r>
          </w:p>
        </w:tc>
        <w:tc>
          <w:tcPr>
            <w:tcW w:w="1134" w:type="dxa"/>
          </w:tcPr>
          <w:p w14:paraId="682F5C5D" w14:textId="5E79EC38" w:rsidR="00BB0239" w:rsidRDefault="00BB0239" w:rsidP="00B10169">
            <w:pPr>
              <w:pStyle w:val="TableCopy"/>
              <w:jc w:val="right"/>
            </w:pPr>
            <w:r>
              <w:t>–</w:t>
            </w:r>
          </w:p>
        </w:tc>
        <w:tc>
          <w:tcPr>
            <w:tcW w:w="1134" w:type="dxa"/>
          </w:tcPr>
          <w:p w14:paraId="7BF753AB" w14:textId="5E406B62" w:rsidR="00BB0239" w:rsidRDefault="00BB0239" w:rsidP="00B10169">
            <w:pPr>
              <w:pStyle w:val="TableCopy"/>
              <w:jc w:val="right"/>
            </w:pPr>
            <w:r>
              <w:t>–</w:t>
            </w:r>
          </w:p>
        </w:tc>
        <w:tc>
          <w:tcPr>
            <w:tcW w:w="1134" w:type="dxa"/>
          </w:tcPr>
          <w:p w14:paraId="5A51B8F0" w14:textId="7026FBCA" w:rsidR="00BB0239" w:rsidRDefault="00BB0239" w:rsidP="00B10169">
            <w:pPr>
              <w:pStyle w:val="TableCopy"/>
              <w:jc w:val="right"/>
            </w:pPr>
            <w:r>
              <w:t>–</w:t>
            </w:r>
          </w:p>
        </w:tc>
        <w:tc>
          <w:tcPr>
            <w:tcW w:w="1134" w:type="dxa"/>
          </w:tcPr>
          <w:p w14:paraId="0C30A5BC" w14:textId="7CADE228" w:rsidR="00BB0239" w:rsidRDefault="00BB0239" w:rsidP="00B10169">
            <w:pPr>
              <w:pStyle w:val="TableCopy"/>
              <w:jc w:val="right"/>
            </w:pPr>
            <w:r>
              <w:t>–</w:t>
            </w:r>
          </w:p>
        </w:tc>
        <w:tc>
          <w:tcPr>
            <w:tcW w:w="1134" w:type="dxa"/>
          </w:tcPr>
          <w:p w14:paraId="4152C8E8" w14:textId="230A2E28" w:rsidR="00BB0239" w:rsidRDefault="00BB0239" w:rsidP="00B10169">
            <w:pPr>
              <w:pStyle w:val="TableCopy"/>
              <w:jc w:val="right"/>
            </w:pPr>
            <w:r>
              <w:t>–</w:t>
            </w:r>
          </w:p>
        </w:tc>
        <w:tc>
          <w:tcPr>
            <w:tcW w:w="1134" w:type="dxa"/>
          </w:tcPr>
          <w:p w14:paraId="1FF23B2F" w14:textId="10A8015C" w:rsidR="00BB0239" w:rsidRDefault="00BB0239" w:rsidP="00B10169">
            <w:pPr>
              <w:pStyle w:val="TableCopy"/>
              <w:jc w:val="right"/>
            </w:pPr>
            <w:r>
              <w:t>–</w:t>
            </w:r>
          </w:p>
        </w:tc>
        <w:tc>
          <w:tcPr>
            <w:tcW w:w="1134" w:type="dxa"/>
          </w:tcPr>
          <w:p w14:paraId="2AD537D1" w14:textId="3CB40B8C" w:rsidR="00BB0239" w:rsidRDefault="00BB0239" w:rsidP="00B10169">
            <w:pPr>
              <w:pStyle w:val="TableCopy"/>
              <w:jc w:val="right"/>
            </w:pPr>
            <w:r>
              <w:t>–</w:t>
            </w:r>
          </w:p>
        </w:tc>
      </w:tr>
      <w:tr w:rsidR="00BB0239" w:rsidRPr="00B10169" w14:paraId="35C95845" w14:textId="77777777" w:rsidTr="00B10169">
        <w:trPr>
          <w:trHeight w:val="333"/>
        </w:trPr>
        <w:tc>
          <w:tcPr>
            <w:tcW w:w="3681" w:type="dxa"/>
          </w:tcPr>
          <w:p w14:paraId="1AB8149B" w14:textId="392E17BC" w:rsidR="00BB0239" w:rsidRPr="00B10169" w:rsidRDefault="00BB0239" w:rsidP="00B10169">
            <w:pPr>
              <w:pStyle w:val="TableCopy"/>
              <w:rPr>
                <w:b/>
                <w:bCs/>
              </w:rPr>
            </w:pPr>
            <w:r w:rsidRPr="00B10169">
              <w:rPr>
                <w:b/>
                <w:bCs/>
              </w:rPr>
              <w:t>Total administered revenue and income from transactions</w:t>
            </w:r>
          </w:p>
        </w:tc>
        <w:tc>
          <w:tcPr>
            <w:tcW w:w="1134" w:type="dxa"/>
          </w:tcPr>
          <w:p w14:paraId="22FB3323" w14:textId="622BD5B8" w:rsidR="00BB0239" w:rsidRPr="00B10169" w:rsidRDefault="00BB0239" w:rsidP="00B10169">
            <w:pPr>
              <w:pStyle w:val="TableCopy"/>
              <w:jc w:val="right"/>
              <w:rPr>
                <w:b/>
                <w:bCs/>
              </w:rPr>
            </w:pPr>
            <w:r w:rsidRPr="00B10169">
              <w:rPr>
                <w:b/>
                <w:bCs/>
              </w:rPr>
              <w:t>3,600</w:t>
            </w:r>
          </w:p>
        </w:tc>
        <w:tc>
          <w:tcPr>
            <w:tcW w:w="1134" w:type="dxa"/>
          </w:tcPr>
          <w:p w14:paraId="19E57B5E" w14:textId="46B2E835" w:rsidR="00BB0239" w:rsidRPr="00B10169" w:rsidRDefault="00BB0239" w:rsidP="00B10169">
            <w:pPr>
              <w:pStyle w:val="TableCopy"/>
              <w:jc w:val="right"/>
              <w:rPr>
                <w:b/>
                <w:bCs/>
              </w:rPr>
            </w:pPr>
            <w:r w:rsidRPr="00B10169">
              <w:rPr>
                <w:b/>
                <w:bCs/>
              </w:rPr>
              <w:t>2,374</w:t>
            </w:r>
          </w:p>
        </w:tc>
        <w:tc>
          <w:tcPr>
            <w:tcW w:w="1134" w:type="dxa"/>
          </w:tcPr>
          <w:p w14:paraId="7402E02C" w14:textId="58831677" w:rsidR="00BB0239" w:rsidRPr="00B10169" w:rsidRDefault="00BB0239" w:rsidP="00B10169">
            <w:pPr>
              <w:pStyle w:val="TableCopy"/>
              <w:jc w:val="right"/>
              <w:rPr>
                <w:b/>
                <w:bCs/>
              </w:rPr>
            </w:pPr>
            <w:r w:rsidRPr="00B10169">
              <w:rPr>
                <w:b/>
                <w:bCs/>
              </w:rPr>
              <w:t>456</w:t>
            </w:r>
          </w:p>
        </w:tc>
        <w:tc>
          <w:tcPr>
            <w:tcW w:w="1134" w:type="dxa"/>
          </w:tcPr>
          <w:p w14:paraId="2D5EF770" w14:textId="3801AB92" w:rsidR="00BB0239" w:rsidRPr="00B10169" w:rsidRDefault="00BB0239" w:rsidP="00B10169">
            <w:pPr>
              <w:pStyle w:val="TableCopy"/>
              <w:jc w:val="right"/>
              <w:rPr>
                <w:b/>
                <w:bCs/>
              </w:rPr>
            </w:pPr>
            <w:r w:rsidRPr="00B10169">
              <w:rPr>
                <w:b/>
                <w:bCs/>
              </w:rPr>
              <w:t>438</w:t>
            </w:r>
          </w:p>
        </w:tc>
        <w:tc>
          <w:tcPr>
            <w:tcW w:w="1134" w:type="dxa"/>
          </w:tcPr>
          <w:p w14:paraId="2F475C7B" w14:textId="68D97431" w:rsidR="00BB0239" w:rsidRPr="00B10169" w:rsidRDefault="00BB0239" w:rsidP="00B10169">
            <w:pPr>
              <w:pStyle w:val="TableCopy"/>
              <w:jc w:val="right"/>
              <w:rPr>
                <w:b/>
                <w:bCs/>
              </w:rPr>
            </w:pPr>
            <w:r w:rsidRPr="00B10169">
              <w:rPr>
                <w:b/>
                <w:bCs/>
              </w:rPr>
              <w:t>–</w:t>
            </w:r>
          </w:p>
        </w:tc>
        <w:tc>
          <w:tcPr>
            <w:tcW w:w="1134" w:type="dxa"/>
          </w:tcPr>
          <w:p w14:paraId="5FB39786" w14:textId="794B68E5" w:rsidR="00BB0239" w:rsidRPr="00B10169" w:rsidRDefault="00BB0239" w:rsidP="00B10169">
            <w:pPr>
              <w:pStyle w:val="TableCopy"/>
              <w:jc w:val="right"/>
              <w:rPr>
                <w:b/>
                <w:bCs/>
              </w:rPr>
            </w:pPr>
            <w:r w:rsidRPr="00B10169">
              <w:rPr>
                <w:b/>
                <w:bCs/>
              </w:rPr>
              <w:t>2</w:t>
            </w:r>
          </w:p>
        </w:tc>
        <w:tc>
          <w:tcPr>
            <w:tcW w:w="1134" w:type="dxa"/>
          </w:tcPr>
          <w:p w14:paraId="07C8DC68" w14:textId="7E412C9D" w:rsidR="00BB0239" w:rsidRPr="00B10169" w:rsidRDefault="00BB0239" w:rsidP="00B10169">
            <w:pPr>
              <w:pStyle w:val="TableCopy"/>
              <w:jc w:val="right"/>
              <w:rPr>
                <w:b/>
                <w:bCs/>
              </w:rPr>
            </w:pPr>
            <w:r w:rsidRPr="00B10169">
              <w:rPr>
                <w:b/>
                <w:bCs/>
              </w:rPr>
              <w:t>–</w:t>
            </w:r>
          </w:p>
        </w:tc>
        <w:tc>
          <w:tcPr>
            <w:tcW w:w="1134" w:type="dxa"/>
          </w:tcPr>
          <w:p w14:paraId="3FBC2466" w14:textId="25596BC9" w:rsidR="00BB0239" w:rsidRPr="00B10169" w:rsidRDefault="00BB0239" w:rsidP="00B10169">
            <w:pPr>
              <w:pStyle w:val="TableCopy"/>
              <w:jc w:val="right"/>
              <w:rPr>
                <w:b/>
                <w:bCs/>
              </w:rPr>
            </w:pPr>
            <w:r w:rsidRPr="00B10169">
              <w:rPr>
                <w:b/>
                <w:bCs/>
              </w:rPr>
              <w:t>212</w:t>
            </w:r>
          </w:p>
        </w:tc>
        <w:tc>
          <w:tcPr>
            <w:tcW w:w="1134" w:type="dxa"/>
          </w:tcPr>
          <w:p w14:paraId="2FCD33BF" w14:textId="7288D575" w:rsidR="00BB0239" w:rsidRPr="00B10169" w:rsidRDefault="00BB0239" w:rsidP="00B10169">
            <w:pPr>
              <w:pStyle w:val="TableCopy"/>
              <w:jc w:val="right"/>
              <w:rPr>
                <w:b/>
                <w:bCs/>
              </w:rPr>
            </w:pPr>
            <w:r w:rsidRPr="00B10169">
              <w:rPr>
                <w:b/>
                <w:bCs/>
              </w:rPr>
              <w:t>2,336</w:t>
            </w:r>
          </w:p>
        </w:tc>
        <w:tc>
          <w:tcPr>
            <w:tcW w:w="1134" w:type="dxa"/>
          </w:tcPr>
          <w:p w14:paraId="6E47064B" w14:textId="0671E8BC" w:rsidR="00BB0239" w:rsidRPr="00B10169" w:rsidRDefault="00BB0239" w:rsidP="00B10169">
            <w:pPr>
              <w:pStyle w:val="TableCopy"/>
              <w:jc w:val="right"/>
              <w:rPr>
                <w:b/>
                <w:bCs/>
              </w:rPr>
            </w:pPr>
            <w:r w:rsidRPr="00B10169">
              <w:rPr>
                <w:b/>
                <w:bCs/>
              </w:rPr>
              <w:t>522</w:t>
            </w:r>
          </w:p>
        </w:tc>
      </w:tr>
      <w:tr w:rsidR="00B10169" w:rsidRPr="00B10169" w14:paraId="3D15EAFE" w14:textId="77777777" w:rsidTr="00B10169">
        <w:trPr>
          <w:trHeight w:val="113"/>
        </w:trPr>
        <w:tc>
          <w:tcPr>
            <w:tcW w:w="3681" w:type="dxa"/>
          </w:tcPr>
          <w:p w14:paraId="64C05F2C" w14:textId="157F6C8D" w:rsidR="00BB0239" w:rsidRPr="00B10169" w:rsidRDefault="00BB0239" w:rsidP="00B10169">
            <w:pPr>
              <w:pStyle w:val="TableHeading"/>
              <w:rPr>
                <w:rFonts w:asciiTheme="minorHAnsi" w:hAnsiTheme="minorHAnsi" w:cstheme="minorHAnsi"/>
              </w:rPr>
            </w:pPr>
            <w:r w:rsidRPr="00B10169">
              <w:rPr>
                <w:rFonts w:asciiTheme="minorHAnsi" w:hAnsiTheme="minorHAnsi" w:cstheme="minorHAnsi"/>
              </w:rPr>
              <w:lastRenderedPageBreak/>
              <w:t>Administered expenses from transactions</w:t>
            </w:r>
          </w:p>
        </w:tc>
        <w:tc>
          <w:tcPr>
            <w:tcW w:w="1134" w:type="dxa"/>
          </w:tcPr>
          <w:p w14:paraId="431006CE" w14:textId="77777777" w:rsidR="00BB0239" w:rsidRPr="00B10169" w:rsidRDefault="00BB0239" w:rsidP="00B10169">
            <w:pPr>
              <w:pStyle w:val="TableHeading"/>
              <w:jc w:val="right"/>
              <w:rPr>
                <w:rFonts w:asciiTheme="minorHAnsi" w:hAnsiTheme="minorHAnsi" w:cstheme="minorHAnsi"/>
              </w:rPr>
            </w:pPr>
          </w:p>
        </w:tc>
        <w:tc>
          <w:tcPr>
            <w:tcW w:w="1134" w:type="dxa"/>
          </w:tcPr>
          <w:p w14:paraId="58E1F549" w14:textId="77777777" w:rsidR="00BB0239" w:rsidRPr="00B10169" w:rsidRDefault="00BB0239" w:rsidP="00B10169">
            <w:pPr>
              <w:pStyle w:val="TableHeading"/>
              <w:jc w:val="right"/>
              <w:rPr>
                <w:rFonts w:asciiTheme="minorHAnsi" w:hAnsiTheme="minorHAnsi" w:cstheme="minorHAnsi"/>
              </w:rPr>
            </w:pPr>
          </w:p>
        </w:tc>
        <w:tc>
          <w:tcPr>
            <w:tcW w:w="1134" w:type="dxa"/>
          </w:tcPr>
          <w:p w14:paraId="62360C62" w14:textId="77777777" w:rsidR="00BB0239" w:rsidRPr="00B10169" w:rsidRDefault="00BB0239" w:rsidP="00B10169">
            <w:pPr>
              <w:pStyle w:val="TableHeading"/>
              <w:jc w:val="right"/>
              <w:rPr>
                <w:rFonts w:asciiTheme="minorHAnsi" w:hAnsiTheme="minorHAnsi" w:cstheme="minorHAnsi"/>
              </w:rPr>
            </w:pPr>
          </w:p>
        </w:tc>
        <w:tc>
          <w:tcPr>
            <w:tcW w:w="1134" w:type="dxa"/>
          </w:tcPr>
          <w:p w14:paraId="4E85FC85" w14:textId="77777777" w:rsidR="00BB0239" w:rsidRPr="00B10169" w:rsidRDefault="00BB0239" w:rsidP="00B10169">
            <w:pPr>
              <w:pStyle w:val="TableHeading"/>
              <w:jc w:val="right"/>
              <w:rPr>
                <w:rFonts w:asciiTheme="minorHAnsi" w:hAnsiTheme="minorHAnsi" w:cstheme="minorHAnsi"/>
              </w:rPr>
            </w:pPr>
          </w:p>
        </w:tc>
        <w:tc>
          <w:tcPr>
            <w:tcW w:w="1134" w:type="dxa"/>
          </w:tcPr>
          <w:p w14:paraId="053549E5" w14:textId="77777777" w:rsidR="00BB0239" w:rsidRPr="00B10169" w:rsidRDefault="00BB0239" w:rsidP="00B10169">
            <w:pPr>
              <w:pStyle w:val="TableHeading"/>
              <w:jc w:val="right"/>
              <w:rPr>
                <w:rFonts w:asciiTheme="minorHAnsi" w:hAnsiTheme="minorHAnsi" w:cstheme="minorHAnsi"/>
              </w:rPr>
            </w:pPr>
          </w:p>
        </w:tc>
        <w:tc>
          <w:tcPr>
            <w:tcW w:w="1134" w:type="dxa"/>
          </w:tcPr>
          <w:p w14:paraId="686085EB" w14:textId="77777777" w:rsidR="00BB0239" w:rsidRPr="00B10169" w:rsidRDefault="00BB0239" w:rsidP="00B10169">
            <w:pPr>
              <w:pStyle w:val="TableHeading"/>
              <w:jc w:val="right"/>
              <w:rPr>
                <w:rFonts w:asciiTheme="minorHAnsi" w:hAnsiTheme="minorHAnsi" w:cstheme="minorHAnsi"/>
              </w:rPr>
            </w:pPr>
          </w:p>
        </w:tc>
        <w:tc>
          <w:tcPr>
            <w:tcW w:w="1134" w:type="dxa"/>
          </w:tcPr>
          <w:p w14:paraId="59FE7D42" w14:textId="77777777" w:rsidR="00BB0239" w:rsidRPr="00B10169" w:rsidRDefault="00BB0239" w:rsidP="00B10169">
            <w:pPr>
              <w:pStyle w:val="TableHeading"/>
              <w:jc w:val="right"/>
              <w:rPr>
                <w:rFonts w:asciiTheme="minorHAnsi" w:hAnsiTheme="minorHAnsi" w:cstheme="minorHAnsi"/>
              </w:rPr>
            </w:pPr>
          </w:p>
        </w:tc>
        <w:tc>
          <w:tcPr>
            <w:tcW w:w="1134" w:type="dxa"/>
          </w:tcPr>
          <w:p w14:paraId="1318349B" w14:textId="77777777" w:rsidR="00BB0239" w:rsidRPr="00B10169" w:rsidRDefault="00BB0239" w:rsidP="00B10169">
            <w:pPr>
              <w:pStyle w:val="TableHeading"/>
              <w:jc w:val="right"/>
              <w:rPr>
                <w:rFonts w:asciiTheme="minorHAnsi" w:hAnsiTheme="minorHAnsi" w:cstheme="minorHAnsi"/>
              </w:rPr>
            </w:pPr>
          </w:p>
        </w:tc>
        <w:tc>
          <w:tcPr>
            <w:tcW w:w="1134" w:type="dxa"/>
          </w:tcPr>
          <w:p w14:paraId="22A6D9CE" w14:textId="77777777" w:rsidR="00BB0239" w:rsidRPr="00B10169" w:rsidRDefault="00BB0239" w:rsidP="00B10169">
            <w:pPr>
              <w:pStyle w:val="TableHeading"/>
              <w:jc w:val="right"/>
              <w:rPr>
                <w:rFonts w:asciiTheme="minorHAnsi" w:hAnsiTheme="minorHAnsi" w:cstheme="minorHAnsi"/>
              </w:rPr>
            </w:pPr>
          </w:p>
        </w:tc>
        <w:tc>
          <w:tcPr>
            <w:tcW w:w="1134" w:type="dxa"/>
          </w:tcPr>
          <w:p w14:paraId="75FE6FDA" w14:textId="77777777" w:rsidR="00BB0239" w:rsidRPr="00B10169" w:rsidRDefault="00BB0239" w:rsidP="00B10169">
            <w:pPr>
              <w:pStyle w:val="TableHeading"/>
              <w:jc w:val="right"/>
              <w:rPr>
                <w:rFonts w:asciiTheme="minorHAnsi" w:hAnsiTheme="minorHAnsi" w:cstheme="minorHAnsi"/>
              </w:rPr>
            </w:pPr>
          </w:p>
        </w:tc>
      </w:tr>
      <w:tr w:rsidR="00BB0239" w:rsidRPr="00B10169" w14:paraId="7F95F4B7" w14:textId="77777777" w:rsidTr="00B10169">
        <w:trPr>
          <w:trHeight w:val="113"/>
        </w:trPr>
        <w:tc>
          <w:tcPr>
            <w:tcW w:w="3681" w:type="dxa"/>
          </w:tcPr>
          <w:p w14:paraId="0CE4E23A" w14:textId="39FDB25E" w:rsidR="00BB0239" w:rsidRPr="00B10169" w:rsidRDefault="00BB0239" w:rsidP="00B10169">
            <w:pPr>
              <w:pStyle w:val="TableCopy"/>
              <w:rPr>
                <w:rFonts w:asciiTheme="minorHAnsi" w:hAnsiTheme="minorHAnsi" w:cstheme="minorHAnsi"/>
              </w:rPr>
            </w:pPr>
            <w:r w:rsidRPr="00B10169">
              <w:rPr>
                <w:rFonts w:asciiTheme="minorHAnsi" w:hAnsiTheme="minorHAnsi" w:cstheme="minorHAnsi"/>
              </w:rPr>
              <w:t>Payments into Consolidated Fund</w:t>
            </w:r>
          </w:p>
        </w:tc>
        <w:tc>
          <w:tcPr>
            <w:tcW w:w="1134" w:type="dxa"/>
          </w:tcPr>
          <w:p w14:paraId="43C77747" w14:textId="77777777" w:rsidR="00BB0239" w:rsidRPr="00B10169" w:rsidRDefault="00BB0239" w:rsidP="00B10169">
            <w:pPr>
              <w:pStyle w:val="TableCopy"/>
              <w:jc w:val="right"/>
              <w:rPr>
                <w:rFonts w:asciiTheme="minorHAnsi" w:hAnsiTheme="minorHAnsi" w:cstheme="minorHAnsi"/>
              </w:rPr>
            </w:pPr>
            <w:r w:rsidRPr="00B10169">
              <w:rPr>
                <w:rFonts w:asciiTheme="minorHAnsi" w:hAnsiTheme="minorHAnsi" w:cstheme="minorHAnsi"/>
              </w:rPr>
              <w:t>(3,600)</w:t>
            </w:r>
          </w:p>
        </w:tc>
        <w:tc>
          <w:tcPr>
            <w:tcW w:w="1134" w:type="dxa"/>
          </w:tcPr>
          <w:p w14:paraId="5637BF13" w14:textId="77777777" w:rsidR="00BB0239" w:rsidRPr="00B10169" w:rsidRDefault="00BB0239" w:rsidP="00B10169">
            <w:pPr>
              <w:pStyle w:val="TableCopy"/>
              <w:jc w:val="right"/>
              <w:rPr>
                <w:rFonts w:asciiTheme="minorHAnsi" w:hAnsiTheme="minorHAnsi" w:cstheme="minorHAnsi"/>
              </w:rPr>
            </w:pPr>
            <w:r w:rsidRPr="00B10169">
              <w:rPr>
                <w:rFonts w:asciiTheme="minorHAnsi" w:hAnsiTheme="minorHAnsi" w:cstheme="minorHAnsi"/>
              </w:rPr>
              <w:t>(2,336)</w:t>
            </w:r>
          </w:p>
        </w:tc>
        <w:tc>
          <w:tcPr>
            <w:tcW w:w="1134" w:type="dxa"/>
          </w:tcPr>
          <w:p w14:paraId="2169B0AB" w14:textId="77777777" w:rsidR="00BB0239" w:rsidRPr="00B10169" w:rsidRDefault="00BB0239" w:rsidP="00B10169">
            <w:pPr>
              <w:pStyle w:val="TableCopy"/>
              <w:jc w:val="right"/>
              <w:rPr>
                <w:rFonts w:asciiTheme="minorHAnsi" w:hAnsiTheme="minorHAnsi" w:cstheme="minorHAnsi"/>
              </w:rPr>
            </w:pPr>
            <w:r w:rsidRPr="00B10169">
              <w:rPr>
                <w:rFonts w:asciiTheme="minorHAnsi" w:hAnsiTheme="minorHAnsi" w:cstheme="minorHAnsi"/>
              </w:rPr>
              <w:t>(456)</w:t>
            </w:r>
          </w:p>
        </w:tc>
        <w:tc>
          <w:tcPr>
            <w:tcW w:w="1134" w:type="dxa"/>
          </w:tcPr>
          <w:p w14:paraId="6EAB5833" w14:textId="77777777" w:rsidR="00BB0239" w:rsidRPr="00B10169" w:rsidRDefault="00BB0239" w:rsidP="00B10169">
            <w:pPr>
              <w:pStyle w:val="TableCopy"/>
              <w:jc w:val="right"/>
              <w:rPr>
                <w:rFonts w:asciiTheme="minorHAnsi" w:hAnsiTheme="minorHAnsi" w:cstheme="minorHAnsi"/>
              </w:rPr>
            </w:pPr>
            <w:r w:rsidRPr="00B10169">
              <w:rPr>
                <w:rFonts w:asciiTheme="minorHAnsi" w:hAnsiTheme="minorHAnsi" w:cstheme="minorHAnsi"/>
              </w:rPr>
              <w:t>(377)</w:t>
            </w:r>
          </w:p>
        </w:tc>
        <w:tc>
          <w:tcPr>
            <w:tcW w:w="1134" w:type="dxa"/>
          </w:tcPr>
          <w:p w14:paraId="3E6392B1" w14:textId="4C4D0C26" w:rsidR="00BB0239" w:rsidRPr="00B10169" w:rsidRDefault="00BB0239" w:rsidP="00B10169">
            <w:pPr>
              <w:pStyle w:val="TableCopy"/>
              <w:jc w:val="right"/>
              <w:rPr>
                <w:rFonts w:asciiTheme="minorHAnsi" w:hAnsiTheme="minorHAnsi" w:cstheme="minorHAnsi"/>
              </w:rPr>
            </w:pPr>
            <w:r w:rsidRPr="00B10169">
              <w:rPr>
                <w:rFonts w:asciiTheme="minorHAnsi" w:hAnsiTheme="minorHAnsi" w:cstheme="minorHAnsi"/>
              </w:rPr>
              <w:t>–</w:t>
            </w:r>
          </w:p>
        </w:tc>
        <w:tc>
          <w:tcPr>
            <w:tcW w:w="1134" w:type="dxa"/>
          </w:tcPr>
          <w:p w14:paraId="0CFF5503" w14:textId="42D7F548" w:rsidR="00BB0239" w:rsidRPr="00B10169" w:rsidRDefault="00BB0239" w:rsidP="00B10169">
            <w:pPr>
              <w:pStyle w:val="TableCopy"/>
              <w:jc w:val="right"/>
              <w:rPr>
                <w:rFonts w:asciiTheme="minorHAnsi" w:hAnsiTheme="minorHAnsi" w:cstheme="minorHAnsi"/>
              </w:rPr>
            </w:pPr>
            <w:r w:rsidRPr="00B10169">
              <w:rPr>
                <w:rFonts w:asciiTheme="minorHAnsi" w:hAnsiTheme="minorHAnsi" w:cstheme="minorHAnsi"/>
              </w:rPr>
              <w:t>5</w:t>
            </w:r>
          </w:p>
        </w:tc>
        <w:tc>
          <w:tcPr>
            <w:tcW w:w="1134" w:type="dxa"/>
          </w:tcPr>
          <w:p w14:paraId="3A6D1D38" w14:textId="2A888687" w:rsidR="00BB0239" w:rsidRPr="00B10169" w:rsidRDefault="00BB0239" w:rsidP="00B10169">
            <w:pPr>
              <w:pStyle w:val="TableCopy"/>
              <w:jc w:val="right"/>
              <w:rPr>
                <w:rFonts w:asciiTheme="minorHAnsi" w:hAnsiTheme="minorHAnsi" w:cstheme="minorHAnsi"/>
              </w:rPr>
            </w:pPr>
            <w:r w:rsidRPr="00B10169">
              <w:rPr>
                <w:rFonts w:asciiTheme="minorHAnsi" w:hAnsiTheme="minorHAnsi" w:cstheme="minorHAnsi"/>
              </w:rPr>
              <w:t>–</w:t>
            </w:r>
          </w:p>
        </w:tc>
        <w:tc>
          <w:tcPr>
            <w:tcW w:w="1134" w:type="dxa"/>
          </w:tcPr>
          <w:p w14:paraId="0706D1FA" w14:textId="529DAECD" w:rsidR="00BB0239" w:rsidRPr="00B10169" w:rsidRDefault="00BB0239" w:rsidP="00B10169">
            <w:pPr>
              <w:pStyle w:val="TableCopy"/>
              <w:jc w:val="right"/>
              <w:rPr>
                <w:rFonts w:asciiTheme="minorHAnsi" w:hAnsiTheme="minorHAnsi" w:cstheme="minorHAnsi"/>
              </w:rPr>
            </w:pPr>
            <w:r w:rsidRPr="00B10169">
              <w:rPr>
                <w:rFonts w:asciiTheme="minorHAnsi" w:hAnsiTheme="minorHAnsi" w:cstheme="minorHAnsi"/>
              </w:rPr>
              <w:t>32</w:t>
            </w:r>
          </w:p>
        </w:tc>
        <w:tc>
          <w:tcPr>
            <w:tcW w:w="1134" w:type="dxa"/>
          </w:tcPr>
          <w:p w14:paraId="2BB21520" w14:textId="77777777" w:rsidR="00BB0239" w:rsidRPr="00B10169" w:rsidRDefault="00BB0239" w:rsidP="00B10169">
            <w:pPr>
              <w:pStyle w:val="TableCopy"/>
              <w:jc w:val="right"/>
              <w:rPr>
                <w:rFonts w:asciiTheme="minorHAnsi" w:hAnsiTheme="minorHAnsi" w:cstheme="minorHAnsi"/>
              </w:rPr>
            </w:pPr>
            <w:r w:rsidRPr="00B10169">
              <w:rPr>
                <w:rFonts w:asciiTheme="minorHAnsi" w:hAnsiTheme="minorHAnsi" w:cstheme="minorHAnsi"/>
              </w:rPr>
              <w:t>(2,004)</w:t>
            </w:r>
          </w:p>
        </w:tc>
        <w:tc>
          <w:tcPr>
            <w:tcW w:w="1134" w:type="dxa"/>
          </w:tcPr>
          <w:p w14:paraId="69E13408" w14:textId="77777777" w:rsidR="00BB0239" w:rsidRPr="00B10169" w:rsidRDefault="00BB0239" w:rsidP="00B10169">
            <w:pPr>
              <w:pStyle w:val="TableCopy"/>
              <w:jc w:val="right"/>
              <w:rPr>
                <w:rFonts w:asciiTheme="minorHAnsi" w:hAnsiTheme="minorHAnsi" w:cstheme="minorHAnsi"/>
              </w:rPr>
            </w:pPr>
            <w:r w:rsidRPr="00B10169">
              <w:rPr>
                <w:rFonts w:asciiTheme="minorHAnsi" w:hAnsiTheme="minorHAnsi" w:cstheme="minorHAnsi"/>
              </w:rPr>
              <w:t>(1,097)</w:t>
            </w:r>
          </w:p>
        </w:tc>
      </w:tr>
      <w:tr w:rsidR="00BB0239" w:rsidRPr="00B10169" w14:paraId="3164759B" w14:textId="77777777" w:rsidTr="00B10169">
        <w:trPr>
          <w:trHeight w:val="113"/>
        </w:trPr>
        <w:tc>
          <w:tcPr>
            <w:tcW w:w="3681" w:type="dxa"/>
          </w:tcPr>
          <w:p w14:paraId="36D9FA35" w14:textId="35A60406" w:rsidR="00BB0239" w:rsidRPr="00B10169" w:rsidRDefault="00BB0239" w:rsidP="00B10169">
            <w:pPr>
              <w:pStyle w:val="TableCopy"/>
              <w:rPr>
                <w:rFonts w:asciiTheme="minorHAnsi" w:hAnsiTheme="minorHAnsi" w:cstheme="minorHAnsi"/>
              </w:rPr>
            </w:pPr>
            <w:r w:rsidRPr="00B10169">
              <w:rPr>
                <w:rFonts w:asciiTheme="minorHAnsi" w:hAnsiTheme="minorHAnsi" w:cstheme="minorHAnsi"/>
              </w:rPr>
              <w:t>Interest expense</w:t>
            </w:r>
          </w:p>
        </w:tc>
        <w:tc>
          <w:tcPr>
            <w:tcW w:w="1134" w:type="dxa"/>
          </w:tcPr>
          <w:p w14:paraId="6360821E" w14:textId="0B7A8FA0" w:rsidR="00BB0239" w:rsidRPr="00B10169" w:rsidRDefault="00BB0239" w:rsidP="00B10169">
            <w:pPr>
              <w:pStyle w:val="TableCopy"/>
              <w:jc w:val="right"/>
              <w:rPr>
                <w:rFonts w:asciiTheme="minorHAnsi" w:hAnsiTheme="minorHAnsi" w:cstheme="minorHAnsi"/>
              </w:rPr>
            </w:pPr>
            <w:r w:rsidRPr="00B10169">
              <w:rPr>
                <w:rFonts w:asciiTheme="minorHAnsi" w:hAnsiTheme="minorHAnsi" w:cstheme="minorHAnsi"/>
              </w:rPr>
              <w:t>–</w:t>
            </w:r>
          </w:p>
        </w:tc>
        <w:tc>
          <w:tcPr>
            <w:tcW w:w="1134" w:type="dxa"/>
          </w:tcPr>
          <w:p w14:paraId="086CA1F4" w14:textId="1967E051" w:rsidR="00BB0239" w:rsidRPr="00B10169" w:rsidRDefault="00BB0239" w:rsidP="00B10169">
            <w:pPr>
              <w:pStyle w:val="TableCopy"/>
              <w:jc w:val="right"/>
              <w:rPr>
                <w:rFonts w:asciiTheme="minorHAnsi" w:hAnsiTheme="minorHAnsi" w:cstheme="minorHAnsi"/>
              </w:rPr>
            </w:pPr>
            <w:r w:rsidRPr="00B10169">
              <w:rPr>
                <w:rFonts w:asciiTheme="minorHAnsi" w:hAnsiTheme="minorHAnsi" w:cstheme="minorHAnsi"/>
              </w:rPr>
              <w:t>–</w:t>
            </w:r>
          </w:p>
        </w:tc>
        <w:tc>
          <w:tcPr>
            <w:tcW w:w="1134" w:type="dxa"/>
          </w:tcPr>
          <w:p w14:paraId="39424413" w14:textId="694666CA" w:rsidR="00BB0239" w:rsidRPr="00B10169" w:rsidRDefault="00BB0239" w:rsidP="00B10169">
            <w:pPr>
              <w:pStyle w:val="TableCopy"/>
              <w:jc w:val="right"/>
              <w:rPr>
                <w:rFonts w:asciiTheme="minorHAnsi" w:hAnsiTheme="minorHAnsi" w:cstheme="minorHAnsi"/>
              </w:rPr>
            </w:pPr>
            <w:r w:rsidRPr="00B10169">
              <w:rPr>
                <w:rFonts w:asciiTheme="minorHAnsi" w:hAnsiTheme="minorHAnsi" w:cstheme="minorHAnsi"/>
              </w:rPr>
              <w:t>–</w:t>
            </w:r>
          </w:p>
        </w:tc>
        <w:tc>
          <w:tcPr>
            <w:tcW w:w="1134" w:type="dxa"/>
          </w:tcPr>
          <w:p w14:paraId="3E3A5A74" w14:textId="204EC2F2" w:rsidR="00BB0239" w:rsidRPr="00B10169" w:rsidRDefault="00BB0239" w:rsidP="00B10169">
            <w:pPr>
              <w:pStyle w:val="TableCopy"/>
              <w:jc w:val="right"/>
              <w:rPr>
                <w:rFonts w:asciiTheme="minorHAnsi" w:hAnsiTheme="minorHAnsi" w:cstheme="minorHAnsi"/>
              </w:rPr>
            </w:pPr>
            <w:r w:rsidRPr="00B10169">
              <w:rPr>
                <w:rFonts w:asciiTheme="minorHAnsi" w:hAnsiTheme="minorHAnsi" w:cstheme="minorHAnsi"/>
              </w:rPr>
              <w:t>–</w:t>
            </w:r>
          </w:p>
        </w:tc>
        <w:tc>
          <w:tcPr>
            <w:tcW w:w="1134" w:type="dxa"/>
          </w:tcPr>
          <w:p w14:paraId="5FACEDE7" w14:textId="0229D4CC" w:rsidR="00BB0239" w:rsidRPr="00B10169" w:rsidRDefault="00BB0239" w:rsidP="00B10169">
            <w:pPr>
              <w:pStyle w:val="TableCopy"/>
              <w:jc w:val="right"/>
              <w:rPr>
                <w:rFonts w:asciiTheme="minorHAnsi" w:hAnsiTheme="minorHAnsi" w:cstheme="minorHAnsi"/>
              </w:rPr>
            </w:pPr>
            <w:r w:rsidRPr="00B10169">
              <w:rPr>
                <w:rFonts w:asciiTheme="minorHAnsi" w:hAnsiTheme="minorHAnsi" w:cstheme="minorHAnsi"/>
              </w:rPr>
              <w:t>–</w:t>
            </w:r>
          </w:p>
        </w:tc>
        <w:tc>
          <w:tcPr>
            <w:tcW w:w="1134" w:type="dxa"/>
          </w:tcPr>
          <w:p w14:paraId="082FA7FD" w14:textId="257D9C4A" w:rsidR="00BB0239" w:rsidRPr="00B10169" w:rsidRDefault="00BB0239" w:rsidP="00B10169">
            <w:pPr>
              <w:pStyle w:val="TableCopy"/>
              <w:jc w:val="right"/>
              <w:rPr>
                <w:rFonts w:asciiTheme="minorHAnsi" w:hAnsiTheme="minorHAnsi" w:cstheme="minorHAnsi"/>
              </w:rPr>
            </w:pPr>
            <w:r w:rsidRPr="00B10169">
              <w:rPr>
                <w:rFonts w:asciiTheme="minorHAnsi" w:hAnsiTheme="minorHAnsi" w:cstheme="minorHAnsi"/>
              </w:rPr>
              <w:t>–</w:t>
            </w:r>
          </w:p>
        </w:tc>
        <w:tc>
          <w:tcPr>
            <w:tcW w:w="1134" w:type="dxa"/>
          </w:tcPr>
          <w:p w14:paraId="274C4C0F" w14:textId="0F466264" w:rsidR="00BB0239" w:rsidRPr="00B10169" w:rsidRDefault="00BB0239" w:rsidP="00B10169">
            <w:pPr>
              <w:pStyle w:val="TableCopy"/>
              <w:jc w:val="right"/>
              <w:rPr>
                <w:rFonts w:asciiTheme="minorHAnsi" w:hAnsiTheme="minorHAnsi" w:cstheme="minorHAnsi"/>
              </w:rPr>
            </w:pPr>
            <w:r w:rsidRPr="00B10169">
              <w:rPr>
                <w:rFonts w:asciiTheme="minorHAnsi" w:hAnsiTheme="minorHAnsi" w:cstheme="minorHAnsi"/>
              </w:rPr>
              <w:t>–</w:t>
            </w:r>
          </w:p>
        </w:tc>
        <w:tc>
          <w:tcPr>
            <w:tcW w:w="1134" w:type="dxa"/>
          </w:tcPr>
          <w:p w14:paraId="350EA94D" w14:textId="25F8F12B" w:rsidR="00BB0239" w:rsidRPr="00B10169" w:rsidRDefault="00BB0239" w:rsidP="00B10169">
            <w:pPr>
              <w:pStyle w:val="TableCopy"/>
              <w:jc w:val="right"/>
              <w:rPr>
                <w:rFonts w:asciiTheme="minorHAnsi" w:hAnsiTheme="minorHAnsi" w:cstheme="minorHAnsi"/>
              </w:rPr>
            </w:pPr>
            <w:r w:rsidRPr="00B10169">
              <w:rPr>
                <w:rFonts w:asciiTheme="minorHAnsi" w:hAnsiTheme="minorHAnsi" w:cstheme="minorHAnsi"/>
              </w:rPr>
              <w:t>–</w:t>
            </w:r>
          </w:p>
        </w:tc>
        <w:tc>
          <w:tcPr>
            <w:tcW w:w="1134" w:type="dxa"/>
          </w:tcPr>
          <w:p w14:paraId="0E81BE40" w14:textId="3682A59A" w:rsidR="00BB0239" w:rsidRPr="00B10169" w:rsidRDefault="00BB0239" w:rsidP="00B10169">
            <w:pPr>
              <w:pStyle w:val="TableCopy"/>
              <w:jc w:val="right"/>
              <w:rPr>
                <w:rFonts w:asciiTheme="minorHAnsi" w:hAnsiTheme="minorHAnsi" w:cstheme="minorHAnsi"/>
              </w:rPr>
            </w:pPr>
            <w:r w:rsidRPr="00B10169">
              <w:rPr>
                <w:rFonts w:asciiTheme="minorHAnsi" w:hAnsiTheme="minorHAnsi" w:cstheme="minorHAnsi"/>
              </w:rPr>
              <w:t>–</w:t>
            </w:r>
          </w:p>
        </w:tc>
        <w:tc>
          <w:tcPr>
            <w:tcW w:w="1134" w:type="dxa"/>
          </w:tcPr>
          <w:p w14:paraId="226C5779" w14:textId="26DC016D" w:rsidR="00BB0239" w:rsidRPr="00B10169" w:rsidRDefault="00BB0239" w:rsidP="00B10169">
            <w:pPr>
              <w:pStyle w:val="TableCopy"/>
              <w:jc w:val="right"/>
              <w:rPr>
                <w:rFonts w:asciiTheme="minorHAnsi" w:hAnsiTheme="minorHAnsi" w:cstheme="minorHAnsi"/>
              </w:rPr>
            </w:pPr>
            <w:r w:rsidRPr="00B10169">
              <w:rPr>
                <w:rFonts w:asciiTheme="minorHAnsi" w:hAnsiTheme="minorHAnsi" w:cstheme="minorHAnsi"/>
              </w:rPr>
              <w:t>–</w:t>
            </w:r>
          </w:p>
        </w:tc>
      </w:tr>
      <w:tr w:rsidR="00BB0239" w:rsidRPr="00B10169" w14:paraId="6496B220" w14:textId="77777777" w:rsidTr="00B10169">
        <w:trPr>
          <w:trHeight w:val="113"/>
        </w:trPr>
        <w:tc>
          <w:tcPr>
            <w:tcW w:w="3681" w:type="dxa"/>
          </w:tcPr>
          <w:p w14:paraId="76007B12" w14:textId="5101DBA9" w:rsidR="00BB0239" w:rsidRPr="00B10169" w:rsidRDefault="00BB0239" w:rsidP="00B10169">
            <w:pPr>
              <w:pStyle w:val="TableCopy"/>
              <w:rPr>
                <w:rFonts w:asciiTheme="minorHAnsi" w:hAnsiTheme="minorHAnsi" w:cstheme="minorHAnsi"/>
              </w:rPr>
            </w:pPr>
            <w:r w:rsidRPr="00B10169">
              <w:rPr>
                <w:rFonts w:asciiTheme="minorHAnsi" w:hAnsiTheme="minorHAnsi" w:cstheme="minorHAnsi"/>
              </w:rPr>
              <w:t>Other expenses</w:t>
            </w:r>
          </w:p>
        </w:tc>
        <w:tc>
          <w:tcPr>
            <w:tcW w:w="1134" w:type="dxa"/>
          </w:tcPr>
          <w:p w14:paraId="0B7E517C" w14:textId="779E9CB1" w:rsidR="00BB0239" w:rsidRPr="00B10169" w:rsidRDefault="00BB0239" w:rsidP="00B10169">
            <w:pPr>
              <w:pStyle w:val="TableCopy"/>
              <w:jc w:val="right"/>
              <w:rPr>
                <w:rFonts w:asciiTheme="minorHAnsi" w:hAnsiTheme="minorHAnsi" w:cstheme="minorHAnsi"/>
              </w:rPr>
            </w:pPr>
            <w:r w:rsidRPr="00B10169">
              <w:rPr>
                <w:rFonts w:asciiTheme="minorHAnsi" w:hAnsiTheme="minorHAnsi" w:cstheme="minorHAnsi"/>
              </w:rPr>
              <w:t>–</w:t>
            </w:r>
          </w:p>
        </w:tc>
        <w:tc>
          <w:tcPr>
            <w:tcW w:w="1134" w:type="dxa"/>
          </w:tcPr>
          <w:p w14:paraId="0808C3EA" w14:textId="77777777" w:rsidR="00BB0239" w:rsidRPr="00B10169" w:rsidRDefault="00BB0239" w:rsidP="00B10169">
            <w:pPr>
              <w:pStyle w:val="TableCopy"/>
              <w:jc w:val="right"/>
              <w:rPr>
                <w:rFonts w:asciiTheme="minorHAnsi" w:hAnsiTheme="minorHAnsi" w:cstheme="minorHAnsi"/>
              </w:rPr>
            </w:pPr>
            <w:r w:rsidRPr="00B10169">
              <w:rPr>
                <w:rFonts w:asciiTheme="minorHAnsi" w:hAnsiTheme="minorHAnsi" w:cstheme="minorHAnsi"/>
              </w:rPr>
              <w:t>(2)</w:t>
            </w:r>
          </w:p>
        </w:tc>
        <w:tc>
          <w:tcPr>
            <w:tcW w:w="1134" w:type="dxa"/>
          </w:tcPr>
          <w:p w14:paraId="54786C17" w14:textId="40871FDA" w:rsidR="00BB0239" w:rsidRPr="00B10169" w:rsidRDefault="00BB0239" w:rsidP="00B10169">
            <w:pPr>
              <w:pStyle w:val="TableCopy"/>
              <w:jc w:val="right"/>
              <w:rPr>
                <w:rFonts w:asciiTheme="minorHAnsi" w:hAnsiTheme="minorHAnsi" w:cstheme="minorHAnsi"/>
              </w:rPr>
            </w:pPr>
            <w:r w:rsidRPr="00B10169">
              <w:rPr>
                <w:rFonts w:asciiTheme="minorHAnsi" w:hAnsiTheme="minorHAnsi" w:cstheme="minorHAnsi"/>
              </w:rPr>
              <w:t>–</w:t>
            </w:r>
          </w:p>
        </w:tc>
        <w:tc>
          <w:tcPr>
            <w:tcW w:w="1134" w:type="dxa"/>
          </w:tcPr>
          <w:p w14:paraId="2AD79E26" w14:textId="77777777" w:rsidR="00BB0239" w:rsidRPr="00B10169" w:rsidRDefault="00BB0239" w:rsidP="00B10169">
            <w:pPr>
              <w:pStyle w:val="TableCopy"/>
              <w:jc w:val="right"/>
              <w:rPr>
                <w:rFonts w:asciiTheme="minorHAnsi" w:hAnsiTheme="minorHAnsi" w:cstheme="minorHAnsi"/>
              </w:rPr>
            </w:pPr>
            <w:r w:rsidRPr="00B10169">
              <w:rPr>
                <w:rFonts w:asciiTheme="minorHAnsi" w:hAnsiTheme="minorHAnsi" w:cstheme="minorHAnsi"/>
              </w:rPr>
              <w:t>(1)</w:t>
            </w:r>
          </w:p>
        </w:tc>
        <w:tc>
          <w:tcPr>
            <w:tcW w:w="1134" w:type="dxa"/>
          </w:tcPr>
          <w:p w14:paraId="2CDAF1F2" w14:textId="4A106A47" w:rsidR="00BB0239" w:rsidRPr="00B10169" w:rsidRDefault="00BB0239" w:rsidP="00B10169">
            <w:pPr>
              <w:pStyle w:val="TableCopy"/>
              <w:jc w:val="right"/>
              <w:rPr>
                <w:rFonts w:asciiTheme="minorHAnsi" w:hAnsiTheme="minorHAnsi" w:cstheme="minorHAnsi"/>
              </w:rPr>
            </w:pPr>
            <w:r w:rsidRPr="00B10169">
              <w:rPr>
                <w:rFonts w:asciiTheme="minorHAnsi" w:hAnsiTheme="minorHAnsi" w:cstheme="minorHAnsi"/>
              </w:rPr>
              <w:t>–</w:t>
            </w:r>
          </w:p>
        </w:tc>
        <w:tc>
          <w:tcPr>
            <w:tcW w:w="1134" w:type="dxa"/>
          </w:tcPr>
          <w:p w14:paraId="66809818" w14:textId="492D295C" w:rsidR="00BB0239" w:rsidRPr="00B10169" w:rsidRDefault="00BB0239" w:rsidP="00B10169">
            <w:pPr>
              <w:pStyle w:val="TableCopy"/>
              <w:jc w:val="right"/>
              <w:rPr>
                <w:rFonts w:asciiTheme="minorHAnsi" w:hAnsiTheme="minorHAnsi" w:cstheme="minorHAnsi"/>
              </w:rPr>
            </w:pPr>
            <w:r w:rsidRPr="00B10169">
              <w:rPr>
                <w:rFonts w:asciiTheme="minorHAnsi" w:hAnsiTheme="minorHAnsi" w:cstheme="minorHAnsi"/>
              </w:rPr>
              <w:t>–</w:t>
            </w:r>
          </w:p>
        </w:tc>
        <w:tc>
          <w:tcPr>
            <w:tcW w:w="1134" w:type="dxa"/>
          </w:tcPr>
          <w:p w14:paraId="6E57BFFC" w14:textId="77777777" w:rsidR="00BB0239" w:rsidRPr="00B10169" w:rsidRDefault="00BB0239" w:rsidP="00B10169">
            <w:pPr>
              <w:pStyle w:val="TableCopy"/>
              <w:jc w:val="right"/>
              <w:rPr>
                <w:rFonts w:asciiTheme="minorHAnsi" w:hAnsiTheme="minorHAnsi" w:cstheme="minorHAnsi"/>
              </w:rPr>
            </w:pPr>
            <w:r w:rsidRPr="00B10169">
              <w:rPr>
                <w:rFonts w:asciiTheme="minorHAnsi" w:hAnsiTheme="minorHAnsi" w:cstheme="minorHAnsi"/>
              </w:rPr>
              <w:t>(29)</w:t>
            </w:r>
          </w:p>
        </w:tc>
        <w:tc>
          <w:tcPr>
            <w:tcW w:w="1134" w:type="dxa"/>
          </w:tcPr>
          <w:p w14:paraId="376D1CA2" w14:textId="77777777" w:rsidR="00BB0239" w:rsidRPr="00B10169" w:rsidRDefault="00BB0239" w:rsidP="00B10169">
            <w:pPr>
              <w:pStyle w:val="TableCopy"/>
              <w:jc w:val="right"/>
              <w:rPr>
                <w:rFonts w:asciiTheme="minorHAnsi" w:hAnsiTheme="minorHAnsi" w:cstheme="minorHAnsi"/>
              </w:rPr>
            </w:pPr>
            <w:r w:rsidRPr="00B10169">
              <w:rPr>
                <w:rFonts w:asciiTheme="minorHAnsi" w:hAnsiTheme="minorHAnsi" w:cstheme="minorHAnsi"/>
              </w:rPr>
              <w:t>(29)</w:t>
            </w:r>
          </w:p>
        </w:tc>
        <w:tc>
          <w:tcPr>
            <w:tcW w:w="1134" w:type="dxa"/>
          </w:tcPr>
          <w:p w14:paraId="6FF056E1" w14:textId="4D7923F0" w:rsidR="00BB0239" w:rsidRPr="00B10169" w:rsidRDefault="00BB0239" w:rsidP="00B10169">
            <w:pPr>
              <w:pStyle w:val="TableCopy"/>
              <w:jc w:val="right"/>
              <w:rPr>
                <w:rFonts w:asciiTheme="minorHAnsi" w:hAnsiTheme="minorHAnsi" w:cstheme="minorHAnsi"/>
              </w:rPr>
            </w:pPr>
            <w:r w:rsidRPr="00B10169">
              <w:rPr>
                <w:rFonts w:asciiTheme="minorHAnsi" w:hAnsiTheme="minorHAnsi" w:cstheme="minorHAnsi"/>
              </w:rPr>
              <w:t>–</w:t>
            </w:r>
          </w:p>
        </w:tc>
        <w:tc>
          <w:tcPr>
            <w:tcW w:w="1134" w:type="dxa"/>
          </w:tcPr>
          <w:p w14:paraId="7241E262" w14:textId="77777777" w:rsidR="00BB0239" w:rsidRPr="00B10169" w:rsidRDefault="00BB0239" w:rsidP="00B10169">
            <w:pPr>
              <w:pStyle w:val="TableCopy"/>
              <w:jc w:val="right"/>
              <w:rPr>
                <w:rFonts w:asciiTheme="minorHAnsi" w:hAnsiTheme="minorHAnsi" w:cstheme="minorHAnsi"/>
              </w:rPr>
            </w:pPr>
            <w:r w:rsidRPr="00B10169">
              <w:rPr>
                <w:rFonts w:asciiTheme="minorHAnsi" w:hAnsiTheme="minorHAnsi" w:cstheme="minorHAnsi"/>
              </w:rPr>
              <w:t>(6)</w:t>
            </w:r>
          </w:p>
        </w:tc>
      </w:tr>
      <w:tr w:rsidR="00BB0239" w:rsidRPr="00B10169" w14:paraId="3622C8E8" w14:textId="77777777" w:rsidTr="00B10169">
        <w:trPr>
          <w:trHeight w:val="113"/>
        </w:trPr>
        <w:tc>
          <w:tcPr>
            <w:tcW w:w="3681" w:type="dxa"/>
          </w:tcPr>
          <w:p w14:paraId="043C5E74" w14:textId="44EF6F42" w:rsidR="00BB0239" w:rsidRPr="00B10169" w:rsidRDefault="00BB0239" w:rsidP="00B10169">
            <w:pPr>
              <w:pStyle w:val="TableCopy"/>
              <w:rPr>
                <w:rFonts w:asciiTheme="minorHAnsi" w:hAnsiTheme="minorHAnsi" w:cstheme="minorHAnsi"/>
                <w:b/>
                <w:bCs/>
              </w:rPr>
            </w:pPr>
            <w:r w:rsidRPr="00B10169">
              <w:rPr>
                <w:rFonts w:asciiTheme="minorHAnsi" w:hAnsiTheme="minorHAnsi" w:cstheme="minorHAnsi"/>
                <w:b/>
                <w:bCs/>
              </w:rPr>
              <w:t>Total administered expenses from transactions</w:t>
            </w:r>
          </w:p>
        </w:tc>
        <w:tc>
          <w:tcPr>
            <w:tcW w:w="1134" w:type="dxa"/>
          </w:tcPr>
          <w:p w14:paraId="1B00400A" w14:textId="77777777" w:rsidR="00BB0239" w:rsidRPr="00B10169" w:rsidRDefault="00BB0239" w:rsidP="00B10169">
            <w:pPr>
              <w:pStyle w:val="TableCopy"/>
              <w:jc w:val="right"/>
              <w:rPr>
                <w:rFonts w:asciiTheme="minorHAnsi" w:hAnsiTheme="minorHAnsi" w:cstheme="minorHAnsi"/>
                <w:b/>
                <w:bCs/>
              </w:rPr>
            </w:pPr>
            <w:r w:rsidRPr="00B10169">
              <w:rPr>
                <w:rFonts w:asciiTheme="minorHAnsi" w:hAnsiTheme="minorHAnsi" w:cstheme="minorHAnsi"/>
                <w:b/>
                <w:bCs/>
              </w:rPr>
              <w:t>(3,600)</w:t>
            </w:r>
          </w:p>
        </w:tc>
        <w:tc>
          <w:tcPr>
            <w:tcW w:w="1134" w:type="dxa"/>
          </w:tcPr>
          <w:p w14:paraId="73A58670" w14:textId="77777777" w:rsidR="00BB0239" w:rsidRPr="00B10169" w:rsidRDefault="00BB0239" w:rsidP="00B10169">
            <w:pPr>
              <w:pStyle w:val="TableCopy"/>
              <w:jc w:val="right"/>
              <w:rPr>
                <w:rFonts w:asciiTheme="minorHAnsi" w:hAnsiTheme="minorHAnsi" w:cstheme="minorHAnsi"/>
                <w:b/>
                <w:bCs/>
              </w:rPr>
            </w:pPr>
            <w:r w:rsidRPr="00B10169">
              <w:rPr>
                <w:rFonts w:asciiTheme="minorHAnsi" w:hAnsiTheme="minorHAnsi" w:cstheme="minorHAnsi"/>
                <w:b/>
                <w:bCs/>
              </w:rPr>
              <w:t>(2,338)</w:t>
            </w:r>
          </w:p>
        </w:tc>
        <w:tc>
          <w:tcPr>
            <w:tcW w:w="1134" w:type="dxa"/>
          </w:tcPr>
          <w:p w14:paraId="599251A6" w14:textId="77777777" w:rsidR="00BB0239" w:rsidRPr="00B10169" w:rsidRDefault="00BB0239" w:rsidP="00B10169">
            <w:pPr>
              <w:pStyle w:val="TableCopy"/>
              <w:jc w:val="right"/>
              <w:rPr>
                <w:rFonts w:asciiTheme="minorHAnsi" w:hAnsiTheme="minorHAnsi" w:cstheme="minorHAnsi"/>
                <w:b/>
                <w:bCs/>
              </w:rPr>
            </w:pPr>
            <w:r w:rsidRPr="00B10169">
              <w:rPr>
                <w:rFonts w:asciiTheme="minorHAnsi" w:hAnsiTheme="minorHAnsi" w:cstheme="minorHAnsi"/>
                <w:b/>
                <w:bCs/>
              </w:rPr>
              <w:t>(456)</w:t>
            </w:r>
          </w:p>
        </w:tc>
        <w:tc>
          <w:tcPr>
            <w:tcW w:w="1134" w:type="dxa"/>
          </w:tcPr>
          <w:p w14:paraId="5D532F76" w14:textId="77777777" w:rsidR="00BB0239" w:rsidRPr="00B10169" w:rsidRDefault="00BB0239" w:rsidP="00B10169">
            <w:pPr>
              <w:pStyle w:val="TableCopy"/>
              <w:jc w:val="right"/>
              <w:rPr>
                <w:rFonts w:asciiTheme="minorHAnsi" w:hAnsiTheme="minorHAnsi" w:cstheme="minorHAnsi"/>
                <w:b/>
                <w:bCs/>
              </w:rPr>
            </w:pPr>
            <w:r w:rsidRPr="00B10169">
              <w:rPr>
                <w:rFonts w:asciiTheme="minorHAnsi" w:hAnsiTheme="minorHAnsi" w:cstheme="minorHAnsi"/>
                <w:b/>
                <w:bCs/>
              </w:rPr>
              <w:t>(378)</w:t>
            </w:r>
          </w:p>
        </w:tc>
        <w:tc>
          <w:tcPr>
            <w:tcW w:w="1134" w:type="dxa"/>
          </w:tcPr>
          <w:p w14:paraId="5B5099C2" w14:textId="1CC2EF33" w:rsidR="00BB0239" w:rsidRPr="00B10169" w:rsidRDefault="00BB0239" w:rsidP="00B10169">
            <w:pPr>
              <w:pStyle w:val="TableCopy"/>
              <w:jc w:val="right"/>
              <w:rPr>
                <w:rFonts w:asciiTheme="minorHAnsi" w:hAnsiTheme="minorHAnsi" w:cstheme="minorHAnsi"/>
                <w:b/>
                <w:bCs/>
              </w:rPr>
            </w:pPr>
            <w:r w:rsidRPr="00B10169">
              <w:rPr>
                <w:rFonts w:asciiTheme="minorHAnsi" w:hAnsiTheme="minorHAnsi" w:cstheme="minorHAnsi"/>
                <w:b/>
                <w:bCs/>
              </w:rPr>
              <w:t>–</w:t>
            </w:r>
          </w:p>
        </w:tc>
        <w:tc>
          <w:tcPr>
            <w:tcW w:w="1134" w:type="dxa"/>
          </w:tcPr>
          <w:p w14:paraId="3E2783CA" w14:textId="7D5F25E8" w:rsidR="00BB0239" w:rsidRPr="00B10169" w:rsidRDefault="00BB0239" w:rsidP="00B10169">
            <w:pPr>
              <w:pStyle w:val="TableCopy"/>
              <w:jc w:val="right"/>
              <w:rPr>
                <w:rFonts w:asciiTheme="minorHAnsi" w:hAnsiTheme="minorHAnsi" w:cstheme="minorHAnsi"/>
                <w:b/>
                <w:bCs/>
              </w:rPr>
            </w:pPr>
            <w:r w:rsidRPr="00B10169">
              <w:rPr>
                <w:rFonts w:asciiTheme="minorHAnsi" w:hAnsiTheme="minorHAnsi" w:cstheme="minorHAnsi"/>
                <w:b/>
                <w:bCs/>
              </w:rPr>
              <w:t>5</w:t>
            </w:r>
          </w:p>
        </w:tc>
        <w:tc>
          <w:tcPr>
            <w:tcW w:w="1134" w:type="dxa"/>
          </w:tcPr>
          <w:p w14:paraId="0CF7ADD5" w14:textId="77777777" w:rsidR="00BB0239" w:rsidRPr="00B10169" w:rsidRDefault="00BB0239" w:rsidP="00B10169">
            <w:pPr>
              <w:pStyle w:val="TableCopy"/>
              <w:jc w:val="right"/>
              <w:rPr>
                <w:rFonts w:asciiTheme="minorHAnsi" w:hAnsiTheme="minorHAnsi" w:cstheme="minorHAnsi"/>
                <w:b/>
                <w:bCs/>
              </w:rPr>
            </w:pPr>
            <w:r w:rsidRPr="00B10169">
              <w:rPr>
                <w:rFonts w:asciiTheme="minorHAnsi" w:hAnsiTheme="minorHAnsi" w:cstheme="minorHAnsi"/>
                <w:b/>
                <w:bCs/>
              </w:rPr>
              <w:t>(29)</w:t>
            </w:r>
          </w:p>
        </w:tc>
        <w:tc>
          <w:tcPr>
            <w:tcW w:w="1134" w:type="dxa"/>
          </w:tcPr>
          <w:p w14:paraId="14D488DE" w14:textId="463E1FD4" w:rsidR="00BB0239" w:rsidRPr="00B10169" w:rsidRDefault="00BB0239" w:rsidP="00B10169">
            <w:pPr>
              <w:pStyle w:val="TableCopy"/>
              <w:jc w:val="right"/>
              <w:rPr>
                <w:rFonts w:asciiTheme="minorHAnsi" w:hAnsiTheme="minorHAnsi" w:cstheme="minorHAnsi"/>
                <w:b/>
                <w:bCs/>
              </w:rPr>
            </w:pPr>
            <w:r w:rsidRPr="00B10169">
              <w:rPr>
                <w:rFonts w:asciiTheme="minorHAnsi" w:hAnsiTheme="minorHAnsi" w:cstheme="minorHAnsi"/>
                <w:b/>
                <w:bCs/>
              </w:rPr>
              <w:t>3</w:t>
            </w:r>
          </w:p>
        </w:tc>
        <w:tc>
          <w:tcPr>
            <w:tcW w:w="1134" w:type="dxa"/>
          </w:tcPr>
          <w:p w14:paraId="389360E0" w14:textId="77777777" w:rsidR="00BB0239" w:rsidRPr="00B10169" w:rsidRDefault="00BB0239" w:rsidP="00B10169">
            <w:pPr>
              <w:pStyle w:val="TableCopy"/>
              <w:jc w:val="right"/>
              <w:rPr>
                <w:rFonts w:asciiTheme="minorHAnsi" w:hAnsiTheme="minorHAnsi" w:cstheme="minorHAnsi"/>
                <w:b/>
                <w:bCs/>
              </w:rPr>
            </w:pPr>
            <w:r w:rsidRPr="00B10169">
              <w:rPr>
                <w:rFonts w:asciiTheme="minorHAnsi" w:hAnsiTheme="minorHAnsi" w:cstheme="minorHAnsi"/>
                <w:b/>
                <w:bCs/>
              </w:rPr>
              <w:t>(2,004)</w:t>
            </w:r>
          </w:p>
        </w:tc>
        <w:tc>
          <w:tcPr>
            <w:tcW w:w="1134" w:type="dxa"/>
          </w:tcPr>
          <w:p w14:paraId="08F83C02" w14:textId="77777777" w:rsidR="00BB0239" w:rsidRPr="00B10169" w:rsidRDefault="00BB0239" w:rsidP="00B10169">
            <w:pPr>
              <w:pStyle w:val="TableCopy"/>
              <w:jc w:val="right"/>
              <w:rPr>
                <w:rFonts w:asciiTheme="minorHAnsi" w:hAnsiTheme="minorHAnsi" w:cstheme="minorHAnsi"/>
                <w:b/>
                <w:bCs/>
              </w:rPr>
            </w:pPr>
            <w:r w:rsidRPr="00B10169">
              <w:rPr>
                <w:rFonts w:asciiTheme="minorHAnsi" w:hAnsiTheme="minorHAnsi" w:cstheme="minorHAnsi"/>
                <w:b/>
                <w:bCs/>
              </w:rPr>
              <w:t>(1,103)</w:t>
            </w:r>
          </w:p>
        </w:tc>
      </w:tr>
      <w:tr w:rsidR="00BB0239" w:rsidRPr="00B10169" w14:paraId="05A29CCC" w14:textId="77777777" w:rsidTr="00B10169">
        <w:trPr>
          <w:trHeight w:val="113"/>
        </w:trPr>
        <w:tc>
          <w:tcPr>
            <w:tcW w:w="3681" w:type="dxa"/>
          </w:tcPr>
          <w:p w14:paraId="4595950A" w14:textId="77406834" w:rsidR="00BB0239" w:rsidRPr="00B10169" w:rsidRDefault="00BB0239" w:rsidP="00B10169">
            <w:pPr>
              <w:pStyle w:val="TableCopy"/>
              <w:rPr>
                <w:rFonts w:asciiTheme="minorHAnsi" w:hAnsiTheme="minorHAnsi" w:cstheme="minorHAnsi"/>
                <w:b/>
                <w:bCs/>
              </w:rPr>
            </w:pPr>
            <w:r w:rsidRPr="00B10169">
              <w:rPr>
                <w:rFonts w:asciiTheme="minorHAnsi" w:hAnsiTheme="minorHAnsi" w:cstheme="minorHAnsi"/>
                <w:b/>
                <w:bCs/>
              </w:rPr>
              <w:t>Total administered net result from transactions</w:t>
            </w:r>
          </w:p>
        </w:tc>
        <w:tc>
          <w:tcPr>
            <w:tcW w:w="1134" w:type="dxa"/>
          </w:tcPr>
          <w:p w14:paraId="168372E8" w14:textId="40354C93" w:rsidR="00BB0239" w:rsidRPr="00B10169" w:rsidRDefault="00BB0239" w:rsidP="00B10169">
            <w:pPr>
              <w:pStyle w:val="TableCopy"/>
              <w:jc w:val="right"/>
              <w:rPr>
                <w:rFonts w:asciiTheme="minorHAnsi" w:hAnsiTheme="minorHAnsi" w:cstheme="minorHAnsi"/>
                <w:b/>
                <w:bCs/>
              </w:rPr>
            </w:pPr>
            <w:r w:rsidRPr="00B10169">
              <w:rPr>
                <w:rFonts w:asciiTheme="minorHAnsi" w:hAnsiTheme="minorHAnsi" w:cstheme="minorHAnsi"/>
                <w:b/>
                <w:bCs/>
              </w:rPr>
              <w:t>–</w:t>
            </w:r>
          </w:p>
        </w:tc>
        <w:tc>
          <w:tcPr>
            <w:tcW w:w="1134" w:type="dxa"/>
          </w:tcPr>
          <w:p w14:paraId="4BDBF2B1" w14:textId="57C77034" w:rsidR="00BB0239" w:rsidRPr="00B10169" w:rsidRDefault="00BB0239" w:rsidP="00B10169">
            <w:pPr>
              <w:pStyle w:val="TableCopy"/>
              <w:jc w:val="right"/>
              <w:rPr>
                <w:rFonts w:asciiTheme="minorHAnsi" w:hAnsiTheme="minorHAnsi" w:cstheme="minorHAnsi"/>
                <w:b/>
                <w:bCs/>
              </w:rPr>
            </w:pPr>
            <w:r w:rsidRPr="00B10169">
              <w:rPr>
                <w:rFonts w:asciiTheme="minorHAnsi" w:hAnsiTheme="minorHAnsi" w:cstheme="minorHAnsi"/>
                <w:b/>
                <w:bCs/>
              </w:rPr>
              <w:t>36</w:t>
            </w:r>
          </w:p>
        </w:tc>
        <w:tc>
          <w:tcPr>
            <w:tcW w:w="1134" w:type="dxa"/>
          </w:tcPr>
          <w:p w14:paraId="4F0C837C" w14:textId="3C52AF94" w:rsidR="00BB0239" w:rsidRPr="00B10169" w:rsidRDefault="00BB0239" w:rsidP="00B10169">
            <w:pPr>
              <w:pStyle w:val="TableCopy"/>
              <w:jc w:val="right"/>
              <w:rPr>
                <w:rFonts w:asciiTheme="minorHAnsi" w:hAnsiTheme="minorHAnsi" w:cstheme="minorHAnsi"/>
                <w:b/>
                <w:bCs/>
              </w:rPr>
            </w:pPr>
            <w:r w:rsidRPr="00B10169">
              <w:rPr>
                <w:rFonts w:asciiTheme="minorHAnsi" w:hAnsiTheme="minorHAnsi" w:cstheme="minorHAnsi"/>
                <w:b/>
                <w:bCs/>
              </w:rPr>
              <w:t>–</w:t>
            </w:r>
          </w:p>
        </w:tc>
        <w:tc>
          <w:tcPr>
            <w:tcW w:w="1134" w:type="dxa"/>
          </w:tcPr>
          <w:p w14:paraId="2E1D0237" w14:textId="4B269A88" w:rsidR="00BB0239" w:rsidRPr="00B10169" w:rsidRDefault="00BB0239" w:rsidP="00B10169">
            <w:pPr>
              <w:pStyle w:val="TableCopy"/>
              <w:jc w:val="right"/>
              <w:rPr>
                <w:rFonts w:asciiTheme="minorHAnsi" w:hAnsiTheme="minorHAnsi" w:cstheme="minorHAnsi"/>
                <w:b/>
                <w:bCs/>
              </w:rPr>
            </w:pPr>
            <w:r w:rsidRPr="00B10169">
              <w:rPr>
                <w:rFonts w:asciiTheme="minorHAnsi" w:hAnsiTheme="minorHAnsi" w:cstheme="minorHAnsi"/>
                <w:b/>
                <w:bCs/>
              </w:rPr>
              <w:t>60</w:t>
            </w:r>
          </w:p>
        </w:tc>
        <w:tc>
          <w:tcPr>
            <w:tcW w:w="1134" w:type="dxa"/>
          </w:tcPr>
          <w:p w14:paraId="29EACD7A" w14:textId="49A6F5AF" w:rsidR="00BB0239" w:rsidRPr="00B10169" w:rsidRDefault="00BB0239" w:rsidP="00B10169">
            <w:pPr>
              <w:pStyle w:val="TableCopy"/>
              <w:jc w:val="right"/>
              <w:rPr>
                <w:rFonts w:asciiTheme="minorHAnsi" w:hAnsiTheme="minorHAnsi" w:cstheme="minorHAnsi"/>
                <w:b/>
                <w:bCs/>
              </w:rPr>
            </w:pPr>
            <w:r w:rsidRPr="00B10169">
              <w:rPr>
                <w:rFonts w:asciiTheme="minorHAnsi" w:hAnsiTheme="minorHAnsi" w:cstheme="minorHAnsi"/>
                <w:b/>
                <w:bCs/>
              </w:rPr>
              <w:t>–</w:t>
            </w:r>
          </w:p>
        </w:tc>
        <w:tc>
          <w:tcPr>
            <w:tcW w:w="1134" w:type="dxa"/>
          </w:tcPr>
          <w:p w14:paraId="2FD97E77" w14:textId="252C086D" w:rsidR="00BB0239" w:rsidRPr="00B10169" w:rsidRDefault="00BB0239" w:rsidP="00B10169">
            <w:pPr>
              <w:pStyle w:val="TableCopy"/>
              <w:jc w:val="right"/>
              <w:rPr>
                <w:rFonts w:asciiTheme="minorHAnsi" w:hAnsiTheme="minorHAnsi" w:cstheme="minorHAnsi"/>
                <w:b/>
                <w:bCs/>
              </w:rPr>
            </w:pPr>
            <w:r w:rsidRPr="00B10169">
              <w:rPr>
                <w:rFonts w:asciiTheme="minorHAnsi" w:hAnsiTheme="minorHAnsi" w:cstheme="minorHAnsi"/>
                <w:b/>
                <w:bCs/>
              </w:rPr>
              <w:t>7</w:t>
            </w:r>
          </w:p>
        </w:tc>
        <w:tc>
          <w:tcPr>
            <w:tcW w:w="1134" w:type="dxa"/>
          </w:tcPr>
          <w:p w14:paraId="45D55719" w14:textId="77777777" w:rsidR="00BB0239" w:rsidRPr="00B10169" w:rsidRDefault="00BB0239" w:rsidP="00B10169">
            <w:pPr>
              <w:pStyle w:val="TableCopy"/>
              <w:jc w:val="right"/>
              <w:rPr>
                <w:rFonts w:asciiTheme="minorHAnsi" w:hAnsiTheme="minorHAnsi" w:cstheme="minorHAnsi"/>
                <w:b/>
                <w:bCs/>
              </w:rPr>
            </w:pPr>
            <w:r w:rsidRPr="00B10169">
              <w:rPr>
                <w:rFonts w:asciiTheme="minorHAnsi" w:hAnsiTheme="minorHAnsi" w:cstheme="minorHAnsi"/>
                <w:b/>
                <w:bCs/>
              </w:rPr>
              <w:t>(29)</w:t>
            </w:r>
          </w:p>
        </w:tc>
        <w:tc>
          <w:tcPr>
            <w:tcW w:w="1134" w:type="dxa"/>
          </w:tcPr>
          <w:p w14:paraId="247B38F1" w14:textId="254C0CE0" w:rsidR="00BB0239" w:rsidRPr="00B10169" w:rsidRDefault="00BB0239" w:rsidP="00B10169">
            <w:pPr>
              <w:pStyle w:val="TableCopy"/>
              <w:jc w:val="right"/>
              <w:rPr>
                <w:rFonts w:asciiTheme="minorHAnsi" w:hAnsiTheme="minorHAnsi" w:cstheme="minorHAnsi"/>
                <w:b/>
                <w:bCs/>
              </w:rPr>
            </w:pPr>
            <w:r w:rsidRPr="00B10169">
              <w:rPr>
                <w:rFonts w:asciiTheme="minorHAnsi" w:hAnsiTheme="minorHAnsi" w:cstheme="minorHAnsi"/>
                <w:b/>
                <w:bCs/>
              </w:rPr>
              <w:t>215</w:t>
            </w:r>
          </w:p>
        </w:tc>
        <w:tc>
          <w:tcPr>
            <w:tcW w:w="1134" w:type="dxa"/>
          </w:tcPr>
          <w:p w14:paraId="26444DBE" w14:textId="7196A797" w:rsidR="00BB0239" w:rsidRPr="00B10169" w:rsidRDefault="00BB0239" w:rsidP="00B10169">
            <w:pPr>
              <w:pStyle w:val="TableCopy"/>
              <w:jc w:val="right"/>
              <w:rPr>
                <w:rFonts w:asciiTheme="minorHAnsi" w:hAnsiTheme="minorHAnsi" w:cstheme="minorHAnsi"/>
                <w:b/>
                <w:bCs/>
              </w:rPr>
            </w:pPr>
            <w:r w:rsidRPr="00B10169">
              <w:rPr>
                <w:rFonts w:asciiTheme="minorHAnsi" w:hAnsiTheme="minorHAnsi" w:cstheme="minorHAnsi"/>
                <w:b/>
                <w:bCs/>
              </w:rPr>
              <w:t>332</w:t>
            </w:r>
          </w:p>
        </w:tc>
        <w:tc>
          <w:tcPr>
            <w:tcW w:w="1134" w:type="dxa"/>
          </w:tcPr>
          <w:p w14:paraId="256743D9" w14:textId="77777777" w:rsidR="00BB0239" w:rsidRPr="00B10169" w:rsidRDefault="00BB0239" w:rsidP="00B10169">
            <w:pPr>
              <w:pStyle w:val="TableCopy"/>
              <w:jc w:val="right"/>
              <w:rPr>
                <w:rFonts w:asciiTheme="minorHAnsi" w:hAnsiTheme="minorHAnsi" w:cstheme="minorHAnsi"/>
                <w:b/>
                <w:bCs/>
              </w:rPr>
            </w:pPr>
            <w:r w:rsidRPr="00B10169">
              <w:rPr>
                <w:rFonts w:asciiTheme="minorHAnsi" w:hAnsiTheme="minorHAnsi" w:cstheme="minorHAnsi"/>
                <w:b/>
                <w:bCs/>
              </w:rPr>
              <w:t>(581)</w:t>
            </w:r>
          </w:p>
        </w:tc>
      </w:tr>
      <w:tr w:rsidR="00B10169" w:rsidRPr="00B10169" w14:paraId="33E04BF9" w14:textId="77777777" w:rsidTr="00B10169">
        <w:trPr>
          <w:trHeight w:val="113"/>
        </w:trPr>
        <w:tc>
          <w:tcPr>
            <w:tcW w:w="3681" w:type="dxa"/>
          </w:tcPr>
          <w:p w14:paraId="06176912" w14:textId="27578820" w:rsidR="00BB0239" w:rsidRPr="00B10169" w:rsidRDefault="00BB0239" w:rsidP="00B10169">
            <w:pPr>
              <w:pStyle w:val="TableCopy"/>
              <w:rPr>
                <w:rFonts w:asciiTheme="minorHAnsi" w:hAnsiTheme="minorHAnsi" w:cstheme="minorHAnsi"/>
                <w:b/>
                <w:bCs/>
              </w:rPr>
            </w:pPr>
            <w:r w:rsidRPr="00B10169">
              <w:rPr>
                <w:rFonts w:asciiTheme="minorHAnsi" w:hAnsiTheme="minorHAnsi" w:cstheme="minorHAnsi"/>
                <w:b/>
                <w:bCs/>
              </w:rPr>
              <w:t>Net gain on other economic flows</w:t>
            </w:r>
          </w:p>
        </w:tc>
        <w:tc>
          <w:tcPr>
            <w:tcW w:w="1134" w:type="dxa"/>
          </w:tcPr>
          <w:p w14:paraId="4B269295" w14:textId="43410433" w:rsidR="00BB0239" w:rsidRPr="00B10169" w:rsidRDefault="00BB0239" w:rsidP="00B10169">
            <w:pPr>
              <w:pStyle w:val="TableCopy"/>
              <w:jc w:val="right"/>
              <w:rPr>
                <w:rFonts w:asciiTheme="minorHAnsi" w:hAnsiTheme="minorHAnsi" w:cstheme="minorHAnsi"/>
                <w:b/>
                <w:bCs/>
              </w:rPr>
            </w:pPr>
            <w:r w:rsidRPr="00B10169">
              <w:rPr>
                <w:rFonts w:asciiTheme="minorHAnsi" w:hAnsiTheme="minorHAnsi" w:cstheme="minorHAnsi"/>
                <w:b/>
                <w:bCs/>
              </w:rPr>
              <w:t>–</w:t>
            </w:r>
          </w:p>
        </w:tc>
        <w:tc>
          <w:tcPr>
            <w:tcW w:w="1134" w:type="dxa"/>
          </w:tcPr>
          <w:p w14:paraId="21D23D11" w14:textId="77777777" w:rsidR="00BB0239" w:rsidRPr="00B10169" w:rsidRDefault="00BB0239" w:rsidP="00B10169">
            <w:pPr>
              <w:pStyle w:val="TableCopy"/>
              <w:jc w:val="right"/>
              <w:rPr>
                <w:rFonts w:asciiTheme="minorHAnsi" w:hAnsiTheme="minorHAnsi" w:cstheme="minorHAnsi"/>
                <w:b/>
                <w:bCs/>
              </w:rPr>
            </w:pPr>
            <w:r w:rsidRPr="00B10169">
              <w:rPr>
                <w:rFonts w:asciiTheme="minorHAnsi" w:hAnsiTheme="minorHAnsi" w:cstheme="minorHAnsi"/>
                <w:b/>
                <w:bCs/>
              </w:rPr>
              <w:t>(5)</w:t>
            </w:r>
          </w:p>
        </w:tc>
        <w:tc>
          <w:tcPr>
            <w:tcW w:w="1134" w:type="dxa"/>
          </w:tcPr>
          <w:p w14:paraId="7BF0B728" w14:textId="43D10DE2" w:rsidR="00BB0239" w:rsidRPr="00B10169" w:rsidRDefault="00BB0239" w:rsidP="00B10169">
            <w:pPr>
              <w:pStyle w:val="TableCopy"/>
              <w:jc w:val="right"/>
              <w:rPr>
                <w:rFonts w:asciiTheme="minorHAnsi" w:hAnsiTheme="minorHAnsi" w:cstheme="minorHAnsi"/>
                <w:b/>
                <w:bCs/>
              </w:rPr>
            </w:pPr>
            <w:r w:rsidRPr="00B10169">
              <w:rPr>
                <w:rFonts w:asciiTheme="minorHAnsi" w:hAnsiTheme="minorHAnsi" w:cstheme="minorHAnsi"/>
                <w:b/>
                <w:bCs/>
              </w:rPr>
              <w:t>–</w:t>
            </w:r>
          </w:p>
        </w:tc>
        <w:tc>
          <w:tcPr>
            <w:tcW w:w="1134" w:type="dxa"/>
          </w:tcPr>
          <w:p w14:paraId="5CAF613B" w14:textId="77777777" w:rsidR="00BB0239" w:rsidRPr="00B10169" w:rsidRDefault="00BB0239" w:rsidP="00B10169">
            <w:pPr>
              <w:pStyle w:val="TableCopy"/>
              <w:jc w:val="right"/>
              <w:rPr>
                <w:rFonts w:asciiTheme="minorHAnsi" w:hAnsiTheme="minorHAnsi" w:cstheme="minorHAnsi"/>
                <w:b/>
                <w:bCs/>
              </w:rPr>
            </w:pPr>
            <w:r w:rsidRPr="00B10169">
              <w:rPr>
                <w:rFonts w:asciiTheme="minorHAnsi" w:hAnsiTheme="minorHAnsi" w:cstheme="minorHAnsi"/>
                <w:b/>
                <w:bCs/>
              </w:rPr>
              <w:t>(4)</w:t>
            </w:r>
          </w:p>
        </w:tc>
        <w:tc>
          <w:tcPr>
            <w:tcW w:w="1134" w:type="dxa"/>
          </w:tcPr>
          <w:p w14:paraId="4F31FD42" w14:textId="34C76B70" w:rsidR="00BB0239" w:rsidRPr="00B10169" w:rsidRDefault="00BB0239" w:rsidP="00B10169">
            <w:pPr>
              <w:pStyle w:val="TableCopy"/>
              <w:jc w:val="right"/>
              <w:rPr>
                <w:rFonts w:asciiTheme="minorHAnsi" w:hAnsiTheme="minorHAnsi" w:cstheme="minorHAnsi"/>
                <w:b/>
                <w:bCs/>
              </w:rPr>
            </w:pPr>
            <w:r w:rsidRPr="00B10169">
              <w:rPr>
                <w:rFonts w:asciiTheme="minorHAnsi" w:hAnsiTheme="minorHAnsi" w:cstheme="minorHAnsi"/>
                <w:b/>
                <w:bCs/>
              </w:rPr>
              <w:t>–</w:t>
            </w:r>
          </w:p>
        </w:tc>
        <w:tc>
          <w:tcPr>
            <w:tcW w:w="1134" w:type="dxa"/>
          </w:tcPr>
          <w:p w14:paraId="4BCDAB3C" w14:textId="77777777" w:rsidR="00BB0239" w:rsidRPr="00B10169" w:rsidRDefault="00BB0239" w:rsidP="00B10169">
            <w:pPr>
              <w:pStyle w:val="TableCopy"/>
              <w:jc w:val="right"/>
              <w:rPr>
                <w:rFonts w:asciiTheme="minorHAnsi" w:hAnsiTheme="minorHAnsi" w:cstheme="minorHAnsi"/>
                <w:b/>
                <w:bCs/>
              </w:rPr>
            </w:pPr>
            <w:r w:rsidRPr="00B10169">
              <w:rPr>
                <w:rFonts w:asciiTheme="minorHAnsi" w:hAnsiTheme="minorHAnsi" w:cstheme="minorHAnsi"/>
                <w:b/>
                <w:bCs/>
              </w:rPr>
              <w:t>(1)</w:t>
            </w:r>
          </w:p>
        </w:tc>
        <w:tc>
          <w:tcPr>
            <w:tcW w:w="1134" w:type="dxa"/>
          </w:tcPr>
          <w:p w14:paraId="2C2F09F8" w14:textId="57F0A754" w:rsidR="00BB0239" w:rsidRPr="00B10169" w:rsidRDefault="00BB0239" w:rsidP="00B10169">
            <w:pPr>
              <w:pStyle w:val="TableCopy"/>
              <w:jc w:val="right"/>
              <w:rPr>
                <w:rFonts w:asciiTheme="minorHAnsi" w:hAnsiTheme="minorHAnsi" w:cstheme="minorHAnsi"/>
                <w:b/>
                <w:bCs/>
              </w:rPr>
            </w:pPr>
            <w:r w:rsidRPr="00B10169">
              <w:rPr>
                <w:rFonts w:asciiTheme="minorHAnsi" w:hAnsiTheme="minorHAnsi" w:cstheme="minorHAnsi"/>
                <w:b/>
                <w:bCs/>
              </w:rPr>
              <w:t>–</w:t>
            </w:r>
          </w:p>
        </w:tc>
        <w:tc>
          <w:tcPr>
            <w:tcW w:w="1134" w:type="dxa"/>
          </w:tcPr>
          <w:p w14:paraId="239E3B86" w14:textId="465031E8" w:rsidR="00BB0239" w:rsidRPr="00B10169" w:rsidRDefault="00BB0239" w:rsidP="00B10169">
            <w:pPr>
              <w:pStyle w:val="TableCopy"/>
              <w:jc w:val="right"/>
              <w:rPr>
                <w:rFonts w:asciiTheme="minorHAnsi" w:hAnsiTheme="minorHAnsi" w:cstheme="minorHAnsi"/>
                <w:b/>
                <w:bCs/>
              </w:rPr>
            </w:pPr>
            <w:r w:rsidRPr="00B10169">
              <w:rPr>
                <w:rFonts w:asciiTheme="minorHAnsi" w:hAnsiTheme="minorHAnsi" w:cstheme="minorHAnsi"/>
                <w:b/>
                <w:bCs/>
              </w:rPr>
              <w:t>31</w:t>
            </w:r>
          </w:p>
        </w:tc>
        <w:tc>
          <w:tcPr>
            <w:tcW w:w="1134" w:type="dxa"/>
          </w:tcPr>
          <w:p w14:paraId="085E41A6" w14:textId="079BB76B" w:rsidR="00BB0239" w:rsidRPr="00B10169" w:rsidRDefault="00BB0239" w:rsidP="00B10169">
            <w:pPr>
              <w:pStyle w:val="TableCopy"/>
              <w:jc w:val="right"/>
              <w:rPr>
                <w:rFonts w:asciiTheme="minorHAnsi" w:hAnsiTheme="minorHAnsi" w:cstheme="minorHAnsi"/>
                <w:b/>
                <w:bCs/>
              </w:rPr>
            </w:pPr>
            <w:r w:rsidRPr="00B10169">
              <w:rPr>
                <w:rFonts w:asciiTheme="minorHAnsi" w:hAnsiTheme="minorHAnsi" w:cstheme="minorHAnsi"/>
                <w:b/>
                <w:bCs/>
              </w:rPr>
              <w:t>–</w:t>
            </w:r>
          </w:p>
        </w:tc>
        <w:tc>
          <w:tcPr>
            <w:tcW w:w="1134" w:type="dxa"/>
          </w:tcPr>
          <w:p w14:paraId="23093919" w14:textId="77777777" w:rsidR="00BB0239" w:rsidRPr="00B10169" w:rsidRDefault="00BB0239" w:rsidP="00B10169">
            <w:pPr>
              <w:pStyle w:val="TableCopy"/>
              <w:jc w:val="right"/>
              <w:rPr>
                <w:rFonts w:asciiTheme="minorHAnsi" w:hAnsiTheme="minorHAnsi" w:cstheme="minorHAnsi"/>
                <w:b/>
                <w:bCs/>
              </w:rPr>
            </w:pPr>
            <w:r w:rsidRPr="00B10169">
              <w:rPr>
                <w:rFonts w:asciiTheme="minorHAnsi" w:hAnsiTheme="minorHAnsi" w:cstheme="minorHAnsi"/>
                <w:b/>
                <w:bCs/>
              </w:rPr>
              <w:t>(18)</w:t>
            </w:r>
          </w:p>
        </w:tc>
      </w:tr>
      <w:tr w:rsidR="00BB0239" w:rsidRPr="00B10169" w14:paraId="6EB830A8" w14:textId="77777777" w:rsidTr="00B10169">
        <w:trPr>
          <w:trHeight w:val="113"/>
        </w:trPr>
        <w:tc>
          <w:tcPr>
            <w:tcW w:w="3681" w:type="dxa"/>
          </w:tcPr>
          <w:p w14:paraId="588D9ED9" w14:textId="1AE09DF2" w:rsidR="00BB0239" w:rsidRPr="00B10169" w:rsidRDefault="00BB0239" w:rsidP="00B10169">
            <w:pPr>
              <w:pStyle w:val="TableCopy"/>
              <w:rPr>
                <w:b/>
                <w:bCs/>
              </w:rPr>
            </w:pPr>
            <w:r w:rsidRPr="00B10169">
              <w:rPr>
                <w:b/>
                <w:bCs/>
              </w:rPr>
              <w:t>Total administered comprehensive result</w:t>
            </w:r>
          </w:p>
        </w:tc>
        <w:tc>
          <w:tcPr>
            <w:tcW w:w="1134" w:type="dxa"/>
          </w:tcPr>
          <w:p w14:paraId="4C13CDE3" w14:textId="2EB97B0F" w:rsidR="00BB0239" w:rsidRPr="00B10169" w:rsidRDefault="00BB0239" w:rsidP="00B10169">
            <w:pPr>
              <w:pStyle w:val="TableCopy"/>
              <w:jc w:val="right"/>
              <w:rPr>
                <w:b/>
                <w:bCs/>
              </w:rPr>
            </w:pPr>
            <w:r w:rsidRPr="00B10169">
              <w:rPr>
                <w:b/>
                <w:bCs/>
              </w:rPr>
              <w:t>–</w:t>
            </w:r>
          </w:p>
        </w:tc>
        <w:tc>
          <w:tcPr>
            <w:tcW w:w="1134" w:type="dxa"/>
          </w:tcPr>
          <w:p w14:paraId="2ECE5C40" w14:textId="1CB2C718" w:rsidR="00BB0239" w:rsidRPr="00B10169" w:rsidRDefault="00BB0239" w:rsidP="00B10169">
            <w:pPr>
              <w:pStyle w:val="TableCopy"/>
              <w:jc w:val="right"/>
              <w:rPr>
                <w:b/>
                <w:bCs/>
              </w:rPr>
            </w:pPr>
            <w:r w:rsidRPr="00B10169">
              <w:rPr>
                <w:b/>
                <w:bCs/>
              </w:rPr>
              <w:t>31</w:t>
            </w:r>
          </w:p>
        </w:tc>
        <w:tc>
          <w:tcPr>
            <w:tcW w:w="1134" w:type="dxa"/>
          </w:tcPr>
          <w:p w14:paraId="03A4FBE7" w14:textId="58E1D2B9" w:rsidR="00BB0239" w:rsidRPr="00B10169" w:rsidRDefault="00BB0239" w:rsidP="00B10169">
            <w:pPr>
              <w:pStyle w:val="TableCopy"/>
              <w:jc w:val="right"/>
              <w:rPr>
                <w:b/>
                <w:bCs/>
              </w:rPr>
            </w:pPr>
            <w:r w:rsidRPr="00B10169">
              <w:rPr>
                <w:b/>
                <w:bCs/>
              </w:rPr>
              <w:t>–</w:t>
            </w:r>
          </w:p>
        </w:tc>
        <w:tc>
          <w:tcPr>
            <w:tcW w:w="1134" w:type="dxa"/>
          </w:tcPr>
          <w:p w14:paraId="6B608D81" w14:textId="6A5DF1CD" w:rsidR="00BB0239" w:rsidRPr="00B10169" w:rsidRDefault="00BB0239" w:rsidP="00B10169">
            <w:pPr>
              <w:pStyle w:val="TableCopy"/>
              <w:jc w:val="right"/>
              <w:rPr>
                <w:b/>
                <w:bCs/>
              </w:rPr>
            </w:pPr>
            <w:r w:rsidRPr="00B10169">
              <w:rPr>
                <w:b/>
                <w:bCs/>
              </w:rPr>
              <w:t>56</w:t>
            </w:r>
          </w:p>
        </w:tc>
        <w:tc>
          <w:tcPr>
            <w:tcW w:w="1134" w:type="dxa"/>
          </w:tcPr>
          <w:p w14:paraId="72217DBA" w14:textId="1FDD8B03" w:rsidR="00BB0239" w:rsidRPr="00B10169" w:rsidRDefault="00BB0239" w:rsidP="00B10169">
            <w:pPr>
              <w:pStyle w:val="TableCopy"/>
              <w:jc w:val="right"/>
              <w:rPr>
                <w:b/>
                <w:bCs/>
              </w:rPr>
            </w:pPr>
            <w:r w:rsidRPr="00B10169">
              <w:rPr>
                <w:b/>
                <w:bCs/>
              </w:rPr>
              <w:t>–</w:t>
            </w:r>
          </w:p>
        </w:tc>
        <w:tc>
          <w:tcPr>
            <w:tcW w:w="1134" w:type="dxa"/>
          </w:tcPr>
          <w:p w14:paraId="09E1501F" w14:textId="112AB501" w:rsidR="00BB0239" w:rsidRPr="00B10169" w:rsidRDefault="00BB0239" w:rsidP="00B10169">
            <w:pPr>
              <w:pStyle w:val="TableCopy"/>
              <w:jc w:val="right"/>
              <w:rPr>
                <w:b/>
                <w:bCs/>
              </w:rPr>
            </w:pPr>
            <w:r w:rsidRPr="00B10169">
              <w:rPr>
                <w:b/>
                <w:bCs/>
              </w:rPr>
              <w:t>6</w:t>
            </w:r>
          </w:p>
        </w:tc>
        <w:tc>
          <w:tcPr>
            <w:tcW w:w="1134" w:type="dxa"/>
          </w:tcPr>
          <w:p w14:paraId="23CB5901" w14:textId="77777777" w:rsidR="00BB0239" w:rsidRPr="00B10169" w:rsidRDefault="00BB0239" w:rsidP="00B10169">
            <w:pPr>
              <w:pStyle w:val="TableCopy"/>
              <w:jc w:val="right"/>
              <w:rPr>
                <w:b/>
                <w:bCs/>
              </w:rPr>
            </w:pPr>
            <w:r w:rsidRPr="00B10169">
              <w:rPr>
                <w:b/>
                <w:bCs/>
              </w:rPr>
              <w:t>(29)</w:t>
            </w:r>
          </w:p>
        </w:tc>
        <w:tc>
          <w:tcPr>
            <w:tcW w:w="1134" w:type="dxa"/>
          </w:tcPr>
          <w:p w14:paraId="4B22477D" w14:textId="2E6EA2B5" w:rsidR="00BB0239" w:rsidRPr="00B10169" w:rsidRDefault="00BB0239" w:rsidP="00B10169">
            <w:pPr>
              <w:pStyle w:val="TableCopy"/>
              <w:jc w:val="right"/>
              <w:rPr>
                <w:b/>
                <w:bCs/>
              </w:rPr>
            </w:pPr>
            <w:r w:rsidRPr="00B10169">
              <w:rPr>
                <w:b/>
                <w:bCs/>
              </w:rPr>
              <w:t>246</w:t>
            </w:r>
          </w:p>
        </w:tc>
        <w:tc>
          <w:tcPr>
            <w:tcW w:w="1134" w:type="dxa"/>
          </w:tcPr>
          <w:p w14:paraId="7D1D753A" w14:textId="6564CE32" w:rsidR="00BB0239" w:rsidRPr="00B10169" w:rsidRDefault="00BB0239" w:rsidP="00B10169">
            <w:pPr>
              <w:pStyle w:val="TableCopy"/>
              <w:jc w:val="right"/>
              <w:rPr>
                <w:b/>
                <w:bCs/>
              </w:rPr>
            </w:pPr>
            <w:r w:rsidRPr="00B10169">
              <w:rPr>
                <w:b/>
                <w:bCs/>
              </w:rPr>
              <w:t>332</w:t>
            </w:r>
          </w:p>
        </w:tc>
        <w:tc>
          <w:tcPr>
            <w:tcW w:w="1134" w:type="dxa"/>
          </w:tcPr>
          <w:p w14:paraId="6E2724B5" w14:textId="77777777" w:rsidR="00BB0239" w:rsidRPr="00B10169" w:rsidRDefault="00BB0239" w:rsidP="00B10169">
            <w:pPr>
              <w:pStyle w:val="TableCopy"/>
              <w:jc w:val="right"/>
              <w:rPr>
                <w:b/>
                <w:bCs/>
              </w:rPr>
            </w:pPr>
            <w:r w:rsidRPr="00B10169">
              <w:rPr>
                <w:b/>
                <w:bCs/>
              </w:rPr>
              <w:t>(599)</w:t>
            </w:r>
          </w:p>
        </w:tc>
      </w:tr>
    </w:tbl>
    <w:p w14:paraId="5B84E5FE" w14:textId="4CFBCD65" w:rsidR="000756EB" w:rsidRDefault="004A4D88" w:rsidP="00B10169">
      <w:pPr>
        <w:pStyle w:val="FootnoteText"/>
        <w:spacing w:before="120" w:after="280"/>
        <w:rPr>
          <w:i/>
          <w:iCs/>
        </w:rPr>
      </w:pPr>
      <w:r>
        <w:t>(</w:t>
      </w:r>
      <w:proofErr w:type="spellStart"/>
      <w:r>
        <w:t>i</w:t>
      </w:r>
      <w:proofErr w:type="spellEnd"/>
      <w:r>
        <w:t>)</w:t>
      </w:r>
      <w:r w:rsidR="00B10169">
        <w:t xml:space="preserve"> </w:t>
      </w:r>
      <w:r>
        <w:t>For</w:t>
      </w:r>
      <w:r w:rsidR="00A03629">
        <w:t xml:space="preserve"> </w:t>
      </w:r>
      <w:r>
        <w:t>the</w:t>
      </w:r>
      <w:r w:rsidR="00A03629">
        <w:t xml:space="preserve"> </w:t>
      </w:r>
      <w:r>
        <w:t>functions</w:t>
      </w:r>
      <w:r w:rsidR="00A03629">
        <w:t xml:space="preserve"> </w:t>
      </w:r>
      <w:r>
        <w:t>assumed</w:t>
      </w:r>
      <w:r w:rsidR="00A03629">
        <w:t xml:space="preserve"> </w:t>
      </w:r>
      <w:proofErr w:type="gramStart"/>
      <w:r>
        <w:t>as</w:t>
      </w:r>
      <w:r w:rsidR="00A03629">
        <w:t xml:space="preserve"> </w:t>
      </w:r>
      <w:r>
        <w:t>a</w:t>
      </w:r>
      <w:r w:rsidR="00A03629">
        <w:t xml:space="preserve"> </w:t>
      </w:r>
      <w:r>
        <w:t>result</w:t>
      </w:r>
      <w:r w:rsidR="00A03629">
        <w:t xml:space="preserve"> </w:t>
      </w:r>
      <w:r>
        <w:t>of</w:t>
      </w:r>
      <w:proofErr w:type="gramEnd"/>
      <w:r w:rsidR="00A03629">
        <w:t xml:space="preserve"> </w:t>
      </w:r>
      <w:r>
        <w:t>the</w:t>
      </w:r>
      <w:r w:rsidR="00A03629">
        <w:t xml:space="preserve"> </w:t>
      </w:r>
      <w:r>
        <w:t>machinery</w:t>
      </w:r>
      <w:r w:rsidR="00A03629">
        <w:t xml:space="preserve"> </w:t>
      </w:r>
      <w:r>
        <w:t>of</w:t>
      </w:r>
      <w:r w:rsidR="00A03629">
        <w:t xml:space="preserve"> </w:t>
      </w:r>
      <w:r>
        <w:t>government</w:t>
      </w:r>
      <w:r w:rsidR="00A03629">
        <w:t xml:space="preserve"> </w:t>
      </w:r>
      <w:r>
        <w:t>changes,</w:t>
      </w:r>
      <w:r w:rsidR="00A03629">
        <w:t xml:space="preserve"> </w:t>
      </w:r>
      <w:r>
        <w:t>the</w:t>
      </w:r>
      <w:r w:rsidR="00A03629">
        <w:t xml:space="preserve"> </w:t>
      </w:r>
      <w:r>
        <w:t>2023</w:t>
      </w:r>
      <w:r w:rsidR="00A03629">
        <w:t xml:space="preserve"> </w:t>
      </w:r>
      <w:r>
        <w:t>outputs</w:t>
      </w:r>
      <w:r w:rsidR="00A03629">
        <w:t xml:space="preserve"> </w:t>
      </w:r>
      <w:r>
        <w:t>are</w:t>
      </w:r>
      <w:r w:rsidR="00A03629">
        <w:t xml:space="preserve"> </w:t>
      </w:r>
      <w:r>
        <w:t>for</w:t>
      </w:r>
      <w:r w:rsidR="00A03629">
        <w:t xml:space="preserve"> </w:t>
      </w:r>
      <w:r>
        <w:t>the</w:t>
      </w:r>
      <w:r w:rsidR="00A03629">
        <w:t xml:space="preserve"> </w:t>
      </w:r>
      <w:r>
        <w:t>period</w:t>
      </w:r>
      <w:r w:rsidR="00A03629">
        <w:t xml:space="preserve"> </w:t>
      </w:r>
      <w:r>
        <w:t>from</w:t>
      </w:r>
      <w:r w:rsidR="00A03629">
        <w:t xml:space="preserve"> </w:t>
      </w:r>
      <w:r>
        <w:t>1</w:t>
      </w:r>
      <w:r w:rsidR="00A03629">
        <w:t xml:space="preserve"> </w:t>
      </w:r>
      <w:r>
        <w:t>January</w:t>
      </w:r>
      <w:r w:rsidR="00A03629">
        <w:t xml:space="preserve"> </w:t>
      </w:r>
      <w:r>
        <w:t>2023</w:t>
      </w:r>
      <w:r w:rsidR="00A03629">
        <w:t xml:space="preserve"> </w:t>
      </w:r>
      <w:r>
        <w:t>to</w:t>
      </w:r>
      <w:r w:rsidR="00A03629">
        <w:rPr>
          <w:rFonts w:ascii="Cambria" w:hAnsi="Cambria" w:cs="Cambria"/>
        </w:rPr>
        <w:t xml:space="preserve"> </w:t>
      </w:r>
      <w:r>
        <w:t>30</w:t>
      </w:r>
      <w:r w:rsidR="00A03629">
        <w:t xml:space="preserve"> </w:t>
      </w:r>
      <w:r>
        <w:t>June</w:t>
      </w:r>
      <w:r w:rsidR="00A03629">
        <w:t xml:space="preserve"> </w:t>
      </w:r>
      <w:r>
        <w:t>2023</w:t>
      </w:r>
      <w:r w:rsidR="00A03629">
        <w:t xml:space="preserve"> </w:t>
      </w:r>
      <w:r>
        <w:t>with</w:t>
      </w:r>
      <w:r w:rsidR="00A03629">
        <w:t xml:space="preserve"> </w:t>
      </w:r>
      <w:r>
        <w:t>no</w:t>
      </w:r>
      <w:r w:rsidR="00A03629">
        <w:t xml:space="preserve"> </w:t>
      </w:r>
      <w:r>
        <w:t>outputs</w:t>
      </w:r>
      <w:r w:rsidR="00A03629">
        <w:t xml:space="preserve"> </w:t>
      </w:r>
      <w:r>
        <w:t>for</w:t>
      </w:r>
      <w:r w:rsidR="00A03629">
        <w:t xml:space="preserve"> </w:t>
      </w:r>
      <w:r>
        <w:t>2022.</w:t>
      </w:r>
    </w:p>
    <w:p w14:paraId="1478283A" w14:textId="45A1A630" w:rsidR="000756EB" w:rsidRDefault="004A4D88" w:rsidP="00B10169">
      <w:pPr>
        <w:pStyle w:val="Heading3"/>
      </w:pPr>
      <w:r>
        <w:lastRenderedPageBreak/>
        <w:t>4.2.2</w:t>
      </w:r>
      <w:r w:rsidR="00DE38B5">
        <w:t xml:space="preserve"> </w:t>
      </w:r>
      <w:r>
        <w:t>Administered</w:t>
      </w:r>
      <w:r w:rsidR="00A03629">
        <w:t xml:space="preserve"> </w:t>
      </w:r>
      <w:r>
        <w:t>revenue</w:t>
      </w:r>
      <w:r w:rsidR="00A03629">
        <w:t xml:space="preserve"> </w:t>
      </w:r>
      <w:r>
        <w:t>and</w:t>
      </w:r>
      <w:r w:rsidR="00A03629">
        <w:t xml:space="preserve"> </w:t>
      </w:r>
      <w:r>
        <w:t>income</w:t>
      </w:r>
      <w:r w:rsidR="00A03629">
        <w:t xml:space="preserve"> </w:t>
      </w:r>
      <w:r>
        <w:t>and</w:t>
      </w:r>
      <w:r w:rsidR="00A03629">
        <w:t xml:space="preserve"> </w:t>
      </w:r>
      <w:r>
        <w:t>expenses</w:t>
      </w:r>
      <w:r w:rsidR="00A03629">
        <w:t xml:space="preserve"> </w:t>
      </w:r>
      <w:r>
        <w:t>for</w:t>
      </w:r>
      <w:r w:rsidR="00A03629">
        <w:t xml:space="preserve"> </w:t>
      </w:r>
      <w:r>
        <w:t>the</w:t>
      </w:r>
      <w:r w:rsidR="00A03629">
        <w:t xml:space="preserve"> </w:t>
      </w:r>
      <w:r>
        <w:t>year</w:t>
      </w:r>
      <w:r w:rsidR="00A03629">
        <w:t xml:space="preserve"> </w:t>
      </w:r>
      <w:r>
        <w:t>ended</w:t>
      </w:r>
      <w:r w:rsidR="00A03629">
        <w:t xml:space="preserve"> </w:t>
      </w:r>
      <w:r>
        <w:t>30</w:t>
      </w:r>
      <w:r w:rsidR="00A03629">
        <w:t xml:space="preserve"> </w:t>
      </w:r>
      <w:r>
        <w:t>June</w:t>
      </w:r>
      <w:r w:rsidR="00A03629">
        <w:t xml:space="preserve"> </w:t>
      </w:r>
      <w:r>
        <w:t>2023</w:t>
      </w:r>
      <w:r w:rsidR="00A03629">
        <w:t xml:space="preserve"> </w:t>
      </w:r>
      <w:r>
        <w:t>(continued)</w:t>
      </w:r>
      <w:r w:rsidR="00B10169">
        <w:t xml:space="preserve"> </w:t>
      </w:r>
      <w:r>
        <w:t>Department</w:t>
      </w:r>
      <w:r w:rsidR="00A03629">
        <w:t xml:space="preserve"> </w:t>
      </w:r>
      <w:r>
        <w:t>of</w:t>
      </w:r>
      <w:r w:rsidR="00A03629">
        <w:t xml:space="preserve"> </w:t>
      </w:r>
      <w:r>
        <w:t>Jobs,</w:t>
      </w:r>
      <w:r w:rsidR="00A03629">
        <w:t xml:space="preserve"> </w:t>
      </w:r>
      <w:r>
        <w:t>Skills,</w:t>
      </w:r>
      <w:r w:rsidR="00A03629">
        <w:t xml:space="preserve"> </w:t>
      </w:r>
      <w:r>
        <w:t>Industry</w:t>
      </w:r>
      <w:r w:rsidR="00A03629">
        <w:t xml:space="preserve"> </w:t>
      </w:r>
      <w:r>
        <w:t>and</w:t>
      </w:r>
      <w:r w:rsidR="00A03629">
        <w:t xml:space="preserve"> </w:t>
      </w:r>
      <w:r>
        <w:t>Regions</w:t>
      </w:r>
      <w:r w:rsidR="00A03629">
        <w:t xml:space="preserve"> </w:t>
      </w:r>
      <w:r>
        <w:t>Outputs</w:t>
      </w:r>
    </w:p>
    <w:tbl>
      <w:tblPr>
        <w:tblStyle w:val="TableGrid"/>
        <w:tblW w:w="14974" w:type="dxa"/>
        <w:tblLayout w:type="fixed"/>
        <w:tblLook w:val="0020" w:firstRow="1" w:lastRow="0" w:firstColumn="0" w:lastColumn="0" w:noHBand="0" w:noVBand="0"/>
      </w:tblPr>
      <w:tblGrid>
        <w:gridCol w:w="4815"/>
        <w:gridCol w:w="1269"/>
        <w:gridCol w:w="1270"/>
        <w:gridCol w:w="1270"/>
        <w:gridCol w:w="1270"/>
        <w:gridCol w:w="1270"/>
        <w:gridCol w:w="1270"/>
        <w:gridCol w:w="1270"/>
        <w:gridCol w:w="1270"/>
      </w:tblGrid>
      <w:tr w:rsidR="000D3EFD" w:rsidRPr="000D3EFD" w14:paraId="4B0DE2E4" w14:textId="77777777" w:rsidTr="004C00FA">
        <w:trPr>
          <w:trHeight w:val="113"/>
          <w:tblHeader/>
        </w:trPr>
        <w:tc>
          <w:tcPr>
            <w:tcW w:w="4815" w:type="dxa"/>
          </w:tcPr>
          <w:p w14:paraId="1E6A0D17" w14:textId="77777777" w:rsidR="000D3EFD" w:rsidRPr="000D3EFD" w:rsidRDefault="000D3EFD" w:rsidP="000D3EFD">
            <w:pPr>
              <w:pStyle w:val="TableColumnHeading"/>
              <w:rPr>
                <w:rFonts w:asciiTheme="minorHAnsi" w:hAnsiTheme="minorHAnsi" w:cstheme="minorHAnsi"/>
                <w:sz w:val="20"/>
                <w:szCs w:val="28"/>
              </w:rPr>
            </w:pPr>
            <w:bookmarkStart w:id="50" w:name="ColumnTitles_26"/>
            <w:bookmarkEnd w:id="50"/>
          </w:p>
        </w:tc>
        <w:tc>
          <w:tcPr>
            <w:tcW w:w="1269" w:type="dxa"/>
          </w:tcPr>
          <w:p w14:paraId="6584E5CC" w14:textId="7C91EC61" w:rsidR="000D3EFD" w:rsidRPr="000D3EFD" w:rsidRDefault="000D3EFD" w:rsidP="004C00FA">
            <w:pPr>
              <w:pStyle w:val="TableColumnHeading"/>
              <w:jc w:val="right"/>
              <w:rPr>
                <w:rFonts w:asciiTheme="minorHAnsi" w:hAnsiTheme="minorHAnsi" w:cstheme="minorHAnsi"/>
                <w:sz w:val="20"/>
                <w:szCs w:val="28"/>
              </w:rPr>
            </w:pPr>
            <w:r w:rsidRPr="000D3EFD">
              <w:rPr>
                <w:rFonts w:asciiTheme="minorHAnsi" w:hAnsiTheme="minorHAnsi" w:cstheme="minorHAnsi"/>
                <w:sz w:val="20"/>
                <w:szCs w:val="28"/>
              </w:rPr>
              <w:t>Suburban Develop</w:t>
            </w:r>
            <w:r>
              <w:rPr>
                <w:rFonts w:asciiTheme="minorHAnsi" w:hAnsiTheme="minorHAnsi" w:cstheme="minorHAnsi"/>
                <w:sz w:val="20"/>
                <w:szCs w:val="28"/>
              </w:rPr>
              <w:t>-</w:t>
            </w:r>
            <w:proofErr w:type="spellStart"/>
            <w:r w:rsidRPr="000D3EFD">
              <w:rPr>
                <w:rFonts w:asciiTheme="minorHAnsi" w:hAnsiTheme="minorHAnsi" w:cstheme="minorHAnsi"/>
                <w:sz w:val="20"/>
                <w:szCs w:val="28"/>
              </w:rPr>
              <w:t>ment</w:t>
            </w:r>
            <w:proofErr w:type="spellEnd"/>
            <w:r w:rsidRPr="000D3EFD">
              <w:rPr>
                <w:rFonts w:asciiTheme="minorHAnsi" w:hAnsiTheme="minorHAnsi" w:cstheme="minorHAnsi"/>
                <w:sz w:val="20"/>
                <w:szCs w:val="28"/>
              </w:rPr>
              <w:t xml:space="preserve"> 2023 ($ thousand)</w:t>
            </w:r>
          </w:p>
        </w:tc>
        <w:tc>
          <w:tcPr>
            <w:tcW w:w="1270" w:type="dxa"/>
          </w:tcPr>
          <w:p w14:paraId="3670B706" w14:textId="36A6D51C" w:rsidR="000D3EFD" w:rsidRPr="000D3EFD" w:rsidRDefault="000D3EFD" w:rsidP="004C00FA">
            <w:pPr>
              <w:pStyle w:val="TableColumnHeading"/>
              <w:jc w:val="right"/>
              <w:rPr>
                <w:rFonts w:asciiTheme="minorHAnsi" w:hAnsiTheme="minorHAnsi" w:cstheme="minorHAnsi"/>
                <w:sz w:val="20"/>
                <w:szCs w:val="28"/>
              </w:rPr>
            </w:pPr>
            <w:r w:rsidRPr="000D3EFD">
              <w:rPr>
                <w:rFonts w:asciiTheme="minorHAnsi" w:hAnsiTheme="minorHAnsi" w:cstheme="minorHAnsi"/>
                <w:sz w:val="20"/>
                <w:szCs w:val="28"/>
              </w:rPr>
              <w:t>Suburban Develop</w:t>
            </w:r>
            <w:r>
              <w:rPr>
                <w:rFonts w:asciiTheme="minorHAnsi" w:hAnsiTheme="minorHAnsi" w:cstheme="minorHAnsi"/>
                <w:sz w:val="20"/>
                <w:szCs w:val="28"/>
              </w:rPr>
              <w:t>-</w:t>
            </w:r>
            <w:proofErr w:type="spellStart"/>
            <w:r w:rsidRPr="000D3EFD">
              <w:rPr>
                <w:rFonts w:asciiTheme="minorHAnsi" w:hAnsiTheme="minorHAnsi" w:cstheme="minorHAnsi"/>
                <w:sz w:val="20"/>
                <w:szCs w:val="28"/>
              </w:rPr>
              <w:t>ment</w:t>
            </w:r>
            <w:proofErr w:type="spellEnd"/>
            <w:r w:rsidRPr="000D3EFD">
              <w:rPr>
                <w:rFonts w:asciiTheme="minorHAnsi" w:hAnsiTheme="minorHAnsi" w:cstheme="minorHAnsi"/>
                <w:sz w:val="20"/>
                <w:szCs w:val="28"/>
              </w:rPr>
              <w:t xml:space="preserve"> 2022 ($ thousand)</w:t>
            </w:r>
          </w:p>
        </w:tc>
        <w:tc>
          <w:tcPr>
            <w:tcW w:w="1270" w:type="dxa"/>
          </w:tcPr>
          <w:p w14:paraId="7824209D" w14:textId="26B2DBCB" w:rsidR="000D3EFD" w:rsidRPr="000D3EFD" w:rsidRDefault="000D3EFD" w:rsidP="004C00FA">
            <w:pPr>
              <w:pStyle w:val="TableColumnHeading"/>
              <w:jc w:val="right"/>
              <w:rPr>
                <w:rFonts w:asciiTheme="minorHAnsi" w:hAnsiTheme="minorHAnsi" w:cstheme="minorHAnsi"/>
                <w:sz w:val="20"/>
                <w:szCs w:val="28"/>
              </w:rPr>
            </w:pPr>
            <w:r w:rsidRPr="000D3EFD">
              <w:rPr>
                <w:rFonts w:asciiTheme="minorHAnsi" w:hAnsiTheme="minorHAnsi" w:cstheme="minorHAnsi"/>
                <w:sz w:val="20"/>
                <w:szCs w:val="28"/>
              </w:rPr>
              <w:t>Regional Develop</w:t>
            </w:r>
            <w:r>
              <w:rPr>
                <w:rFonts w:asciiTheme="minorHAnsi" w:hAnsiTheme="minorHAnsi" w:cstheme="minorHAnsi"/>
                <w:sz w:val="20"/>
                <w:szCs w:val="28"/>
              </w:rPr>
              <w:t>-</w:t>
            </w:r>
            <w:proofErr w:type="spellStart"/>
            <w:r w:rsidRPr="000D3EFD">
              <w:rPr>
                <w:rFonts w:asciiTheme="minorHAnsi" w:hAnsiTheme="minorHAnsi" w:cstheme="minorHAnsi"/>
                <w:sz w:val="20"/>
                <w:szCs w:val="28"/>
              </w:rPr>
              <w:t>ment</w:t>
            </w:r>
            <w:proofErr w:type="spellEnd"/>
            <w:r w:rsidRPr="000D3EFD">
              <w:rPr>
                <w:rFonts w:asciiTheme="minorHAnsi" w:hAnsiTheme="minorHAnsi" w:cstheme="minorHAnsi"/>
                <w:sz w:val="20"/>
                <w:szCs w:val="28"/>
              </w:rPr>
              <w:t xml:space="preserve"> 2023 ($ thousand)</w:t>
            </w:r>
          </w:p>
        </w:tc>
        <w:tc>
          <w:tcPr>
            <w:tcW w:w="1270" w:type="dxa"/>
          </w:tcPr>
          <w:p w14:paraId="1D042AE9" w14:textId="394A6F42" w:rsidR="000D3EFD" w:rsidRPr="000D3EFD" w:rsidRDefault="000D3EFD" w:rsidP="004C00FA">
            <w:pPr>
              <w:pStyle w:val="TableColumnHeading"/>
              <w:jc w:val="right"/>
              <w:rPr>
                <w:rFonts w:asciiTheme="minorHAnsi" w:hAnsiTheme="minorHAnsi" w:cstheme="minorHAnsi"/>
                <w:sz w:val="20"/>
                <w:szCs w:val="28"/>
              </w:rPr>
            </w:pPr>
            <w:r w:rsidRPr="000D3EFD">
              <w:rPr>
                <w:rFonts w:asciiTheme="minorHAnsi" w:hAnsiTheme="minorHAnsi" w:cstheme="minorHAnsi"/>
                <w:sz w:val="20"/>
                <w:szCs w:val="28"/>
              </w:rPr>
              <w:t>Regional Develop</w:t>
            </w:r>
            <w:r>
              <w:rPr>
                <w:rFonts w:asciiTheme="minorHAnsi" w:hAnsiTheme="minorHAnsi" w:cstheme="minorHAnsi"/>
                <w:sz w:val="20"/>
                <w:szCs w:val="28"/>
              </w:rPr>
              <w:t>-</w:t>
            </w:r>
            <w:proofErr w:type="spellStart"/>
            <w:r w:rsidRPr="000D3EFD">
              <w:rPr>
                <w:rFonts w:asciiTheme="minorHAnsi" w:hAnsiTheme="minorHAnsi" w:cstheme="minorHAnsi"/>
                <w:sz w:val="20"/>
                <w:szCs w:val="28"/>
              </w:rPr>
              <w:t>ment</w:t>
            </w:r>
            <w:proofErr w:type="spellEnd"/>
            <w:r w:rsidRPr="000D3EFD">
              <w:rPr>
                <w:rFonts w:asciiTheme="minorHAnsi" w:hAnsiTheme="minorHAnsi" w:cstheme="minorHAnsi"/>
                <w:sz w:val="20"/>
                <w:szCs w:val="28"/>
              </w:rPr>
              <w:t xml:space="preserve"> 2022 ($ thousand)</w:t>
            </w:r>
          </w:p>
        </w:tc>
        <w:tc>
          <w:tcPr>
            <w:tcW w:w="1270" w:type="dxa"/>
          </w:tcPr>
          <w:p w14:paraId="43EEFA7F" w14:textId="49B175E5" w:rsidR="000D3EFD" w:rsidRPr="000D3EFD" w:rsidRDefault="000D3EFD" w:rsidP="004C00FA">
            <w:pPr>
              <w:pStyle w:val="TableColumnHeading"/>
              <w:jc w:val="right"/>
              <w:rPr>
                <w:rFonts w:asciiTheme="minorHAnsi" w:hAnsiTheme="minorHAnsi" w:cstheme="minorHAnsi"/>
                <w:sz w:val="20"/>
                <w:szCs w:val="28"/>
              </w:rPr>
            </w:pPr>
            <w:r w:rsidRPr="000D3EFD">
              <w:rPr>
                <w:rFonts w:asciiTheme="minorHAnsi" w:hAnsiTheme="minorHAnsi" w:cstheme="minorHAnsi"/>
                <w:sz w:val="20"/>
                <w:szCs w:val="28"/>
              </w:rPr>
              <w:t>Sport and Recreation 2023 ($ thousand)</w:t>
            </w:r>
          </w:p>
        </w:tc>
        <w:tc>
          <w:tcPr>
            <w:tcW w:w="1270" w:type="dxa"/>
          </w:tcPr>
          <w:p w14:paraId="420CA969" w14:textId="779B19E1" w:rsidR="000D3EFD" w:rsidRPr="000D3EFD" w:rsidRDefault="000D3EFD" w:rsidP="004C00FA">
            <w:pPr>
              <w:pStyle w:val="TableColumnHeading"/>
              <w:jc w:val="right"/>
              <w:rPr>
                <w:rFonts w:asciiTheme="minorHAnsi" w:hAnsiTheme="minorHAnsi" w:cstheme="minorHAnsi"/>
                <w:sz w:val="20"/>
                <w:szCs w:val="28"/>
              </w:rPr>
            </w:pPr>
            <w:r w:rsidRPr="000D3EFD">
              <w:rPr>
                <w:rFonts w:asciiTheme="minorHAnsi" w:hAnsiTheme="minorHAnsi" w:cstheme="minorHAnsi"/>
                <w:sz w:val="20"/>
                <w:szCs w:val="28"/>
              </w:rPr>
              <w:t>Sport and Recreation 2022 ($ thousand)</w:t>
            </w:r>
          </w:p>
        </w:tc>
        <w:tc>
          <w:tcPr>
            <w:tcW w:w="1270" w:type="dxa"/>
          </w:tcPr>
          <w:p w14:paraId="7ACC01B9" w14:textId="7A361AD0" w:rsidR="000D3EFD" w:rsidRPr="000D3EFD" w:rsidRDefault="000D3EFD" w:rsidP="004C00FA">
            <w:pPr>
              <w:pStyle w:val="TableColumnHeading"/>
              <w:jc w:val="right"/>
              <w:rPr>
                <w:rFonts w:asciiTheme="minorHAnsi" w:hAnsiTheme="minorHAnsi" w:cstheme="minorHAnsi"/>
                <w:sz w:val="20"/>
                <w:szCs w:val="28"/>
              </w:rPr>
            </w:pPr>
            <w:r w:rsidRPr="000D3EFD">
              <w:rPr>
                <w:rFonts w:asciiTheme="minorHAnsi" w:hAnsiTheme="minorHAnsi" w:cstheme="minorHAnsi"/>
                <w:sz w:val="20"/>
                <w:szCs w:val="28"/>
              </w:rPr>
              <w:t>Trade and Investment 2023 ($ thousand)</w:t>
            </w:r>
          </w:p>
        </w:tc>
        <w:tc>
          <w:tcPr>
            <w:tcW w:w="1270" w:type="dxa"/>
          </w:tcPr>
          <w:p w14:paraId="7F6B1B93" w14:textId="08AFA017" w:rsidR="000D3EFD" w:rsidRPr="000D3EFD" w:rsidRDefault="000D3EFD" w:rsidP="004C00FA">
            <w:pPr>
              <w:pStyle w:val="TableColumnHeading"/>
              <w:jc w:val="right"/>
              <w:rPr>
                <w:rFonts w:asciiTheme="minorHAnsi" w:hAnsiTheme="minorHAnsi" w:cstheme="minorHAnsi"/>
                <w:sz w:val="20"/>
                <w:szCs w:val="28"/>
              </w:rPr>
            </w:pPr>
            <w:r w:rsidRPr="000D3EFD">
              <w:rPr>
                <w:rFonts w:asciiTheme="minorHAnsi" w:hAnsiTheme="minorHAnsi" w:cstheme="minorHAnsi"/>
                <w:sz w:val="20"/>
                <w:szCs w:val="28"/>
              </w:rPr>
              <w:t>Trade and Investment 2022 ($ thousand)</w:t>
            </w:r>
          </w:p>
        </w:tc>
      </w:tr>
      <w:tr w:rsidR="000D3EFD" w:rsidRPr="000D3EFD" w14:paraId="51A2E563" w14:textId="77777777" w:rsidTr="004C00FA">
        <w:trPr>
          <w:trHeight w:val="113"/>
        </w:trPr>
        <w:tc>
          <w:tcPr>
            <w:tcW w:w="4815" w:type="dxa"/>
          </w:tcPr>
          <w:p w14:paraId="6EC634D8" w14:textId="4B676B1F" w:rsidR="000D3EFD" w:rsidRPr="000D3EFD" w:rsidRDefault="000D3EFD" w:rsidP="000D3EFD">
            <w:pPr>
              <w:pStyle w:val="TableHeading"/>
            </w:pPr>
            <w:r w:rsidRPr="000D3EFD">
              <w:t>Administered revenue and income from transactions</w:t>
            </w:r>
          </w:p>
        </w:tc>
        <w:tc>
          <w:tcPr>
            <w:tcW w:w="1269" w:type="dxa"/>
          </w:tcPr>
          <w:p w14:paraId="44E63183" w14:textId="77777777" w:rsidR="000D3EFD" w:rsidRPr="000D3EFD" w:rsidRDefault="000D3EFD" w:rsidP="004C00FA">
            <w:pPr>
              <w:pStyle w:val="TableHeading"/>
              <w:jc w:val="right"/>
            </w:pPr>
          </w:p>
        </w:tc>
        <w:tc>
          <w:tcPr>
            <w:tcW w:w="1270" w:type="dxa"/>
          </w:tcPr>
          <w:p w14:paraId="4E064FEC" w14:textId="77777777" w:rsidR="000D3EFD" w:rsidRPr="000D3EFD" w:rsidRDefault="000D3EFD" w:rsidP="004C00FA">
            <w:pPr>
              <w:pStyle w:val="TableHeading"/>
              <w:jc w:val="right"/>
            </w:pPr>
          </w:p>
        </w:tc>
        <w:tc>
          <w:tcPr>
            <w:tcW w:w="1270" w:type="dxa"/>
          </w:tcPr>
          <w:p w14:paraId="7FCFFE4E" w14:textId="77777777" w:rsidR="000D3EFD" w:rsidRPr="000D3EFD" w:rsidRDefault="000D3EFD" w:rsidP="004C00FA">
            <w:pPr>
              <w:pStyle w:val="TableHeading"/>
              <w:jc w:val="right"/>
            </w:pPr>
          </w:p>
        </w:tc>
        <w:tc>
          <w:tcPr>
            <w:tcW w:w="1270" w:type="dxa"/>
          </w:tcPr>
          <w:p w14:paraId="695BEA06" w14:textId="77777777" w:rsidR="000D3EFD" w:rsidRPr="000D3EFD" w:rsidRDefault="000D3EFD" w:rsidP="004C00FA">
            <w:pPr>
              <w:pStyle w:val="TableHeading"/>
              <w:jc w:val="right"/>
            </w:pPr>
          </w:p>
        </w:tc>
        <w:tc>
          <w:tcPr>
            <w:tcW w:w="1270" w:type="dxa"/>
          </w:tcPr>
          <w:p w14:paraId="062DD368" w14:textId="77777777" w:rsidR="000D3EFD" w:rsidRPr="000D3EFD" w:rsidRDefault="000D3EFD" w:rsidP="004C00FA">
            <w:pPr>
              <w:pStyle w:val="TableHeading"/>
              <w:jc w:val="right"/>
            </w:pPr>
          </w:p>
        </w:tc>
        <w:tc>
          <w:tcPr>
            <w:tcW w:w="1270" w:type="dxa"/>
          </w:tcPr>
          <w:p w14:paraId="2713ED7D" w14:textId="77777777" w:rsidR="000D3EFD" w:rsidRPr="000D3EFD" w:rsidRDefault="000D3EFD" w:rsidP="004C00FA">
            <w:pPr>
              <w:pStyle w:val="TableHeading"/>
              <w:jc w:val="right"/>
            </w:pPr>
          </w:p>
        </w:tc>
        <w:tc>
          <w:tcPr>
            <w:tcW w:w="1270" w:type="dxa"/>
          </w:tcPr>
          <w:p w14:paraId="428A8A6F" w14:textId="77777777" w:rsidR="000D3EFD" w:rsidRPr="000D3EFD" w:rsidRDefault="000D3EFD" w:rsidP="004C00FA">
            <w:pPr>
              <w:pStyle w:val="TableHeading"/>
              <w:jc w:val="right"/>
            </w:pPr>
          </w:p>
        </w:tc>
        <w:tc>
          <w:tcPr>
            <w:tcW w:w="1270" w:type="dxa"/>
          </w:tcPr>
          <w:p w14:paraId="57ED9CBD" w14:textId="77777777" w:rsidR="000D3EFD" w:rsidRPr="000D3EFD" w:rsidRDefault="000D3EFD" w:rsidP="004C00FA">
            <w:pPr>
              <w:pStyle w:val="TableHeading"/>
              <w:jc w:val="right"/>
            </w:pPr>
          </w:p>
        </w:tc>
      </w:tr>
      <w:tr w:rsidR="000D3EFD" w:rsidRPr="000D3EFD" w14:paraId="3E3A9E97" w14:textId="77777777" w:rsidTr="004C00FA">
        <w:trPr>
          <w:trHeight w:val="113"/>
        </w:trPr>
        <w:tc>
          <w:tcPr>
            <w:tcW w:w="4815" w:type="dxa"/>
          </w:tcPr>
          <w:p w14:paraId="7146E1ED" w14:textId="6B0AEDDF" w:rsidR="000D3EFD" w:rsidRPr="000D3EFD" w:rsidRDefault="000D3EFD" w:rsidP="000D3EFD">
            <w:pPr>
              <w:pStyle w:val="TableCopy"/>
              <w:rPr>
                <w:rFonts w:asciiTheme="minorHAnsi" w:hAnsiTheme="minorHAnsi" w:cstheme="minorHAnsi"/>
              </w:rPr>
            </w:pPr>
            <w:r w:rsidRPr="000D3EFD">
              <w:rPr>
                <w:rFonts w:asciiTheme="minorHAnsi" w:hAnsiTheme="minorHAnsi" w:cstheme="minorHAnsi"/>
              </w:rPr>
              <w:t xml:space="preserve">Sale of goods and services </w:t>
            </w:r>
          </w:p>
        </w:tc>
        <w:tc>
          <w:tcPr>
            <w:tcW w:w="1269" w:type="dxa"/>
          </w:tcPr>
          <w:p w14:paraId="47562E91" w14:textId="34D01F17" w:rsidR="000D3EFD" w:rsidRPr="000D3EFD" w:rsidRDefault="000D3EFD" w:rsidP="004C00FA">
            <w:pPr>
              <w:pStyle w:val="TableCopy"/>
              <w:jc w:val="right"/>
              <w:rPr>
                <w:rFonts w:asciiTheme="minorHAnsi" w:hAnsiTheme="minorHAnsi" w:cstheme="minorHAnsi"/>
              </w:rPr>
            </w:pPr>
            <w:r w:rsidRPr="000D3EFD">
              <w:rPr>
                <w:rFonts w:asciiTheme="minorHAnsi" w:hAnsiTheme="minorHAnsi" w:cstheme="minorHAnsi"/>
              </w:rPr>
              <w:t>–</w:t>
            </w:r>
          </w:p>
        </w:tc>
        <w:tc>
          <w:tcPr>
            <w:tcW w:w="1270" w:type="dxa"/>
          </w:tcPr>
          <w:p w14:paraId="5045590D" w14:textId="1A8AA33A" w:rsidR="000D3EFD" w:rsidRPr="000D3EFD" w:rsidRDefault="000D3EFD" w:rsidP="004C00FA">
            <w:pPr>
              <w:pStyle w:val="TableCopy"/>
              <w:jc w:val="right"/>
              <w:rPr>
                <w:rFonts w:asciiTheme="minorHAnsi" w:hAnsiTheme="minorHAnsi" w:cstheme="minorHAnsi"/>
              </w:rPr>
            </w:pPr>
            <w:r w:rsidRPr="000D3EFD">
              <w:rPr>
                <w:rFonts w:asciiTheme="minorHAnsi" w:hAnsiTheme="minorHAnsi" w:cstheme="minorHAnsi"/>
              </w:rPr>
              <w:t>–</w:t>
            </w:r>
          </w:p>
        </w:tc>
        <w:tc>
          <w:tcPr>
            <w:tcW w:w="1270" w:type="dxa"/>
          </w:tcPr>
          <w:p w14:paraId="4217C14E" w14:textId="6EB926F7" w:rsidR="000D3EFD" w:rsidRPr="000D3EFD" w:rsidRDefault="000D3EFD" w:rsidP="004C00FA">
            <w:pPr>
              <w:pStyle w:val="TableCopy"/>
              <w:jc w:val="right"/>
              <w:rPr>
                <w:rFonts w:asciiTheme="minorHAnsi" w:hAnsiTheme="minorHAnsi" w:cstheme="minorHAnsi"/>
              </w:rPr>
            </w:pPr>
            <w:r w:rsidRPr="000D3EFD">
              <w:rPr>
                <w:rFonts w:asciiTheme="minorHAnsi" w:hAnsiTheme="minorHAnsi" w:cstheme="minorHAnsi"/>
              </w:rPr>
              <w:t>–</w:t>
            </w:r>
          </w:p>
        </w:tc>
        <w:tc>
          <w:tcPr>
            <w:tcW w:w="1270" w:type="dxa"/>
          </w:tcPr>
          <w:p w14:paraId="245F9784" w14:textId="62B37593" w:rsidR="000D3EFD" w:rsidRPr="000D3EFD" w:rsidRDefault="000D3EFD" w:rsidP="004C00FA">
            <w:pPr>
              <w:pStyle w:val="TableCopy"/>
              <w:jc w:val="right"/>
              <w:rPr>
                <w:rFonts w:asciiTheme="minorHAnsi" w:hAnsiTheme="minorHAnsi" w:cstheme="minorHAnsi"/>
              </w:rPr>
            </w:pPr>
            <w:r w:rsidRPr="000D3EFD">
              <w:rPr>
                <w:rFonts w:asciiTheme="minorHAnsi" w:hAnsiTheme="minorHAnsi" w:cstheme="minorHAnsi"/>
              </w:rPr>
              <w:t>–</w:t>
            </w:r>
          </w:p>
        </w:tc>
        <w:tc>
          <w:tcPr>
            <w:tcW w:w="1270" w:type="dxa"/>
          </w:tcPr>
          <w:p w14:paraId="0244760D" w14:textId="19B263AB" w:rsidR="000D3EFD" w:rsidRPr="000D3EFD" w:rsidRDefault="000D3EFD" w:rsidP="004C00FA">
            <w:pPr>
              <w:pStyle w:val="TableCopy"/>
              <w:jc w:val="right"/>
              <w:rPr>
                <w:rFonts w:asciiTheme="minorHAnsi" w:hAnsiTheme="minorHAnsi" w:cstheme="minorHAnsi"/>
              </w:rPr>
            </w:pPr>
            <w:r w:rsidRPr="000D3EFD">
              <w:rPr>
                <w:rFonts w:asciiTheme="minorHAnsi" w:hAnsiTheme="minorHAnsi" w:cstheme="minorHAnsi"/>
              </w:rPr>
              <w:t>211</w:t>
            </w:r>
          </w:p>
        </w:tc>
        <w:tc>
          <w:tcPr>
            <w:tcW w:w="1270" w:type="dxa"/>
          </w:tcPr>
          <w:p w14:paraId="1771950F" w14:textId="6BA653BC" w:rsidR="000D3EFD" w:rsidRPr="000D3EFD" w:rsidRDefault="000D3EFD" w:rsidP="004C00FA">
            <w:pPr>
              <w:pStyle w:val="TableCopy"/>
              <w:jc w:val="right"/>
              <w:rPr>
                <w:rFonts w:asciiTheme="minorHAnsi" w:hAnsiTheme="minorHAnsi" w:cstheme="minorHAnsi"/>
              </w:rPr>
            </w:pPr>
            <w:r w:rsidRPr="000D3EFD">
              <w:rPr>
                <w:rFonts w:asciiTheme="minorHAnsi" w:hAnsiTheme="minorHAnsi" w:cstheme="minorHAnsi"/>
              </w:rPr>
              <w:t>1,171</w:t>
            </w:r>
          </w:p>
        </w:tc>
        <w:tc>
          <w:tcPr>
            <w:tcW w:w="1270" w:type="dxa"/>
          </w:tcPr>
          <w:p w14:paraId="7B702D1A" w14:textId="532D8AAA" w:rsidR="000D3EFD" w:rsidRPr="000D3EFD" w:rsidRDefault="000D3EFD" w:rsidP="004C00FA">
            <w:pPr>
              <w:pStyle w:val="TableCopy"/>
              <w:jc w:val="right"/>
              <w:rPr>
                <w:rFonts w:asciiTheme="minorHAnsi" w:hAnsiTheme="minorHAnsi" w:cstheme="minorHAnsi"/>
              </w:rPr>
            </w:pPr>
            <w:r w:rsidRPr="000D3EFD">
              <w:rPr>
                <w:rFonts w:asciiTheme="minorHAnsi" w:hAnsiTheme="minorHAnsi" w:cstheme="minorHAnsi"/>
              </w:rPr>
              <w:t>–</w:t>
            </w:r>
          </w:p>
        </w:tc>
        <w:tc>
          <w:tcPr>
            <w:tcW w:w="1270" w:type="dxa"/>
          </w:tcPr>
          <w:p w14:paraId="197F2852" w14:textId="0B6167A1" w:rsidR="000D3EFD" w:rsidRPr="000D3EFD" w:rsidRDefault="000D3EFD" w:rsidP="004C00FA">
            <w:pPr>
              <w:pStyle w:val="TableCopy"/>
              <w:jc w:val="right"/>
              <w:rPr>
                <w:rFonts w:asciiTheme="minorHAnsi" w:hAnsiTheme="minorHAnsi" w:cstheme="minorHAnsi"/>
              </w:rPr>
            </w:pPr>
            <w:r w:rsidRPr="000D3EFD">
              <w:rPr>
                <w:rFonts w:asciiTheme="minorHAnsi" w:hAnsiTheme="minorHAnsi" w:cstheme="minorHAnsi"/>
              </w:rPr>
              <w:t>–</w:t>
            </w:r>
          </w:p>
        </w:tc>
      </w:tr>
      <w:tr w:rsidR="000D3EFD" w:rsidRPr="000D3EFD" w14:paraId="0B51BF7E" w14:textId="77777777" w:rsidTr="004C00FA">
        <w:trPr>
          <w:trHeight w:val="113"/>
        </w:trPr>
        <w:tc>
          <w:tcPr>
            <w:tcW w:w="4815" w:type="dxa"/>
          </w:tcPr>
          <w:p w14:paraId="69E2E7A9" w14:textId="74C2A397" w:rsidR="000D3EFD" w:rsidRPr="000D3EFD" w:rsidRDefault="000D3EFD" w:rsidP="000D3EFD">
            <w:pPr>
              <w:pStyle w:val="TableCopy"/>
              <w:rPr>
                <w:rFonts w:asciiTheme="minorHAnsi" w:hAnsiTheme="minorHAnsi" w:cstheme="minorHAnsi"/>
              </w:rPr>
            </w:pPr>
            <w:r w:rsidRPr="000D3EFD">
              <w:rPr>
                <w:rFonts w:asciiTheme="minorHAnsi" w:hAnsiTheme="minorHAnsi" w:cstheme="minorHAnsi"/>
              </w:rPr>
              <w:t>Appropriations – payments made on behalf of the State</w:t>
            </w:r>
          </w:p>
        </w:tc>
        <w:tc>
          <w:tcPr>
            <w:tcW w:w="1269" w:type="dxa"/>
          </w:tcPr>
          <w:p w14:paraId="40DE324F" w14:textId="210D3408" w:rsidR="000D3EFD" w:rsidRPr="000D3EFD" w:rsidRDefault="000D3EFD" w:rsidP="004C00FA">
            <w:pPr>
              <w:pStyle w:val="TableCopy"/>
              <w:jc w:val="right"/>
              <w:rPr>
                <w:rFonts w:asciiTheme="minorHAnsi" w:hAnsiTheme="minorHAnsi" w:cstheme="minorHAnsi"/>
              </w:rPr>
            </w:pPr>
            <w:r w:rsidRPr="000D3EFD">
              <w:rPr>
                <w:rFonts w:asciiTheme="minorHAnsi" w:hAnsiTheme="minorHAnsi" w:cstheme="minorHAnsi"/>
              </w:rPr>
              <w:t>–</w:t>
            </w:r>
          </w:p>
        </w:tc>
        <w:tc>
          <w:tcPr>
            <w:tcW w:w="1270" w:type="dxa"/>
          </w:tcPr>
          <w:p w14:paraId="273CDA77" w14:textId="030749FC" w:rsidR="000D3EFD" w:rsidRPr="000D3EFD" w:rsidRDefault="000D3EFD" w:rsidP="004C00FA">
            <w:pPr>
              <w:pStyle w:val="TableCopy"/>
              <w:jc w:val="right"/>
              <w:rPr>
                <w:rFonts w:asciiTheme="minorHAnsi" w:hAnsiTheme="minorHAnsi" w:cstheme="minorHAnsi"/>
              </w:rPr>
            </w:pPr>
            <w:r w:rsidRPr="000D3EFD">
              <w:rPr>
                <w:rFonts w:asciiTheme="minorHAnsi" w:hAnsiTheme="minorHAnsi" w:cstheme="minorHAnsi"/>
              </w:rPr>
              <w:t>–</w:t>
            </w:r>
          </w:p>
        </w:tc>
        <w:tc>
          <w:tcPr>
            <w:tcW w:w="1270" w:type="dxa"/>
          </w:tcPr>
          <w:p w14:paraId="62A39B55" w14:textId="34F78958" w:rsidR="000D3EFD" w:rsidRPr="000D3EFD" w:rsidRDefault="000D3EFD" w:rsidP="004C00FA">
            <w:pPr>
              <w:pStyle w:val="TableCopy"/>
              <w:jc w:val="right"/>
              <w:rPr>
                <w:rFonts w:asciiTheme="minorHAnsi" w:hAnsiTheme="minorHAnsi" w:cstheme="minorHAnsi"/>
              </w:rPr>
            </w:pPr>
            <w:r w:rsidRPr="000D3EFD">
              <w:rPr>
                <w:rFonts w:asciiTheme="minorHAnsi" w:hAnsiTheme="minorHAnsi" w:cstheme="minorHAnsi"/>
              </w:rPr>
              <w:t>–</w:t>
            </w:r>
          </w:p>
        </w:tc>
        <w:tc>
          <w:tcPr>
            <w:tcW w:w="1270" w:type="dxa"/>
          </w:tcPr>
          <w:p w14:paraId="398B0018" w14:textId="5BF88994" w:rsidR="000D3EFD" w:rsidRPr="000D3EFD" w:rsidRDefault="000D3EFD" w:rsidP="004C00FA">
            <w:pPr>
              <w:pStyle w:val="TableCopy"/>
              <w:jc w:val="right"/>
              <w:rPr>
                <w:rFonts w:asciiTheme="minorHAnsi" w:hAnsiTheme="minorHAnsi" w:cstheme="minorHAnsi"/>
              </w:rPr>
            </w:pPr>
            <w:r w:rsidRPr="000D3EFD">
              <w:rPr>
                <w:rFonts w:asciiTheme="minorHAnsi" w:hAnsiTheme="minorHAnsi" w:cstheme="minorHAnsi"/>
              </w:rPr>
              <w:t>–</w:t>
            </w:r>
          </w:p>
        </w:tc>
        <w:tc>
          <w:tcPr>
            <w:tcW w:w="1270" w:type="dxa"/>
          </w:tcPr>
          <w:p w14:paraId="248F67FF" w14:textId="18FE70A2" w:rsidR="000D3EFD" w:rsidRPr="000D3EFD" w:rsidRDefault="000D3EFD" w:rsidP="004C00FA">
            <w:pPr>
              <w:pStyle w:val="TableCopy"/>
              <w:jc w:val="right"/>
              <w:rPr>
                <w:rFonts w:asciiTheme="minorHAnsi" w:hAnsiTheme="minorHAnsi" w:cstheme="minorHAnsi"/>
              </w:rPr>
            </w:pPr>
            <w:r w:rsidRPr="000D3EFD">
              <w:rPr>
                <w:rFonts w:asciiTheme="minorHAnsi" w:hAnsiTheme="minorHAnsi" w:cstheme="minorHAnsi"/>
              </w:rPr>
              <w:t>–</w:t>
            </w:r>
          </w:p>
        </w:tc>
        <w:tc>
          <w:tcPr>
            <w:tcW w:w="1270" w:type="dxa"/>
          </w:tcPr>
          <w:p w14:paraId="2C955BDC" w14:textId="7D2B6968" w:rsidR="000D3EFD" w:rsidRPr="000D3EFD" w:rsidRDefault="000D3EFD" w:rsidP="004C00FA">
            <w:pPr>
              <w:pStyle w:val="TableCopy"/>
              <w:jc w:val="right"/>
              <w:rPr>
                <w:rFonts w:asciiTheme="minorHAnsi" w:hAnsiTheme="minorHAnsi" w:cstheme="minorHAnsi"/>
              </w:rPr>
            </w:pPr>
            <w:r w:rsidRPr="000D3EFD">
              <w:rPr>
                <w:rFonts w:asciiTheme="minorHAnsi" w:hAnsiTheme="minorHAnsi" w:cstheme="minorHAnsi"/>
              </w:rPr>
              <w:t>–</w:t>
            </w:r>
          </w:p>
        </w:tc>
        <w:tc>
          <w:tcPr>
            <w:tcW w:w="1270" w:type="dxa"/>
          </w:tcPr>
          <w:p w14:paraId="78F1BF91" w14:textId="5F471088" w:rsidR="000D3EFD" w:rsidRPr="000D3EFD" w:rsidRDefault="000D3EFD" w:rsidP="004C00FA">
            <w:pPr>
              <w:pStyle w:val="TableCopy"/>
              <w:jc w:val="right"/>
              <w:rPr>
                <w:rFonts w:asciiTheme="minorHAnsi" w:hAnsiTheme="minorHAnsi" w:cstheme="minorHAnsi"/>
              </w:rPr>
            </w:pPr>
            <w:r w:rsidRPr="000D3EFD">
              <w:rPr>
                <w:rFonts w:asciiTheme="minorHAnsi" w:hAnsiTheme="minorHAnsi" w:cstheme="minorHAnsi"/>
              </w:rPr>
              <w:t>–</w:t>
            </w:r>
          </w:p>
        </w:tc>
        <w:tc>
          <w:tcPr>
            <w:tcW w:w="1270" w:type="dxa"/>
          </w:tcPr>
          <w:p w14:paraId="6D4F03CD" w14:textId="1C0A501A" w:rsidR="000D3EFD" w:rsidRPr="000D3EFD" w:rsidRDefault="000D3EFD" w:rsidP="004C00FA">
            <w:pPr>
              <w:pStyle w:val="TableCopy"/>
              <w:jc w:val="right"/>
              <w:rPr>
                <w:rFonts w:asciiTheme="minorHAnsi" w:hAnsiTheme="minorHAnsi" w:cstheme="minorHAnsi"/>
              </w:rPr>
            </w:pPr>
            <w:r w:rsidRPr="000D3EFD">
              <w:rPr>
                <w:rFonts w:asciiTheme="minorHAnsi" w:hAnsiTheme="minorHAnsi" w:cstheme="minorHAnsi"/>
              </w:rPr>
              <w:t>–</w:t>
            </w:r>
          </w:p>
        </w:tc>
      </w:tr>
      <w:tr w:rsidR="000D3EFD" w:rsidRPr="000D3EFD" w14:paraId="48DB5983" w14:textId="77777777" w:rsidTr="004C00FA">
        <w:trPr>
          <w:trHeight w:val="113"/>
        </w:trPr>
        <w:tc>
          <w:tcPr>
            <w:tcW w:w="4815" w:type="dxa"/>
          </w:tcPr>
          <w:p w14:paraId="5A2C0D87" w14:textId="77777777" w:rsidR="000D3EFD" w:rsidRPr="000D3EFD" w:rsidRDefault="000D3EFD" w:rsidP="000D3EFD">
            <w:pPr>
              <w:pStyle w:val="TableCopy"/>
              <w:rPr>
                <w:rFonts w:asciiTheme="minorHAnsi" w:hAnsiTheme="minorHAnsi" w:cstheme="minorHAnsi"/>
              </w:rPr>
            </w:pPr>
            <w:r w:rsidRPr="000D3EFD">
              <w:rPr>
                <w:rFonts w:asciiTheme="minorHAnsi" w:hAnsiTheme="minorHAnsi" w:cstheme="minorHAnsi"/>
              </w:rPr>
              <w:t>Royalties</w:t>
            </w:r>
          </w:p>
        </w:tc>
        <w:tc>
          <w:tcPr>
            <w:tcW w:w="1269" w:type="dxa"/>
          </w:tcPr>
          <w:p w14:paraId="670FDC31" w14:textId="3ABBF734" w:rsidR="000D3EFD" w:rsidRPr="000D3EFD" w:rsidRDefault="000D3EFD" w:rsidP="004C00FA">
            <w:pPr>
              <w:pStyle w:val="TableCopy"/>
              <w:jc w:val="right"/>
              <w:rPr>
                <w:rFonts w:asciiTheme="minorHAnsi" w:hAnsiTheme="minorHAnsi" w:cstheme="minorHAnsi"/>
              </w:rPr>
            </w:pPr>
            <w:r w:rsidRPr="000D3EFD">
              <w:rPr>
                <w:rFonts w:asciiTheme="minorHAnsi" w:hAnsiTheme="minorHAnsi" w:cstheme="minorHAnsi"/>
              </w:rPr>
              <w:t>–</w:t>
            </w:r>
          </w:p>
        </w:tc>
        <w:tc>
          <w:tcPr>
            <w:tcW w:w="1270" w:type="dxa"/>
          </w:tcPr>
          <w:p w14:paraId="667F3012" w14:textId="2F51EAB3" w:rsidR="000D3EFD" w:rsidRPr="000D3EFD" w:rsidRDefault="000D3EFD" w:rsidP="004C00FA">
            <w:pPr>
              <w:pStyle w:val="TableCopy"/>
              <w:jc w:val="right"/>
              <w:rPr>
                <w:rFonts w:asciiTheme="minorHAnsi" w:hAnsiTheme="minorHAnsi" w:cstheme="minorHAnsi"/>
              </w:rPr>
            </w:pPr>
            <w:r w:rsidRPr="000D3EFD">
              <w:rPr>
                <w:rFonts w:asciiTheme="minorHAnsi" w:hAnsiTheme="minorHAnsi" w:cstheme="minorHAnsi"/>
              </w:rPr>
              <w:t>–</w:t>
            </w:r>
          </w:p>
        </w:tc>
        <w:tc>
          <w:tcPr>
            <w:tcW w:w="1270" w:type="dxa"/>
          </w:tcPr>
          <w:p w14:paraId="718AA7BD" w14:textId="11E7BB32" w:rsidR="000D3EFD" w:rsidRPr="000D3EFD" w:rsidRDefault="000D3EFD" w:rsidP="004C00FA">
            <w:pPr>
              <w:pStyle w:val="TableCopy"/>
              <w:jc w:val="right"/>
              <w:rPr>
                <w:rFonts w:asciiTheme="minorHAnsi" w:hAnsiTheme="minorHAnsi" w:cstheme="minorHAnsi"/>
              </w:rPr>
            </w:pPr>
            <w:r w:rsidRPr="000D3EFD">
              <w:rPr>
                <w:rFonts w:asciiTheme="minorHAnsi" w:hAnsiTheme="minorHAnsi" w:cstheme="minorHAnsi"/>
              </w:rPr>
              <w:t>–</w:t>
            </w:r>
          </w:p>
        </w:tc>
        <w:tc>
          <w:tcPr>
            <w:tcW w:w="1270" w:type="dxa"/>
          </w:tcPr>
          <w:p w14:paraId="6F5201AE" w14:textId="1BBBEE7E" w:rsidR="000D3EFD" w:rsidRPr="000D3EFD" w:rsidRDefault="000D3EFD" w:rsidP="004C00FA">
            <w:pPr>
              <w:pStyle w:val="TableCopy"/>
              <w:jc w:val="right"/>
              <w:rPr>
                <w:rFonts w:asciiTheme="minorHAnsi" w:hAnsiTheme="minorHAnsi" w:cstheme="minorHAnsi"/>
              </w:rPr>
            </w:pPr>
            <w:r w:rsidRPr="000D3EFD">
              <w:rPr>
                <w:rFonts w:asciiTheme="minorHAnsi" w:hAnsiTheme="minorHAnsi" w:cstheme="minorHAnsi"/>
              </w:rPr>
              <w:t>–</w:t>
            </w:r>
          </w:p>
        </w:tc>
        <w:tc>
          <w:tcPr>
            <w:tcW w:w="1270" w:type="dxa"/>
          </w:tcPr>
          <w:p w14:paraId="38177283" w14:textId="3D6A397E" w:rsidR="000D3EFD" w:rsidRPr="000D3EFD" w:rsidRDefault="000D3EFD" w:rsidP="004C00FA">
            <w:pPr>
              <w:pStyle w:val="TableCopy"/>
              <w:jc w:val="right"/>
              <w:rPr>
                <w:rFonts w:asciiTheme="minorHAnsi" w:hAnsiTheme="minorHAnsi" w:cstheme="minorHAnsi"/>
              </w:rPr>
            </w:pPr>
            <w:r w:rsidRPr="000D3EFD">
              <w:rPr>
                <w:rFonts w:asciiTheme="minorHAnsi" w:hAnsiTheme="minorHAnsi" w:cstheme="minorHAnsi"/>
              </w:rPr>
              <w:t>–</w:t>
            </w:r>
          </w:p>
        </w:tc>
        <w:tc>
          <w:tcPr>
            <w:tcW w:w="1270" w:type="dxa"/>
          </w:tcPr>
          <w:p w14:paraId="7690E0A1" w14:textId="584A98CC" w:rsidR="000D3EFD" w:rsidRPr="000D3EFD" w:rsidRDefault="000D3EFD" w:rsidP="004C00FA">
            <w:pPr>
              <w:pStyle w:val="TableCopy"/>
              <w:jc w:val="right"/>
              <w:rPr>
                <w:rFonts w:asciiTheme="minorHAnsi" w:hAnsiTheme="minorHAnsi" w:cstheme="minorHAnsi"/>
              </w:rPr>
            </w:pPr>
            <w:r w:rsidRPr="000D3EFD">
              <w:rPr>
                <w:rFonts w:asciiTheme="minorHAnsi" w:hAnsiTheme="minorHAnsi" w:cstheme="minorHAnsi"/>
              </w:rPr>
              <w:t>–</w:t>
            </w:r>
          </w:p>
        </w:tc>
        <w:tc>
          <w:tcPr>
            <w:tcW w:w="1270" w:type="dxa"/>
          </w:tcPr>
          <w:p w14:paraId="2F0686E9" w14:textId="3D179F9B" w:rsidR="000D3EFD" w:rsidRPr="000D3EFD" w:rsidRDefault="000D3EFD" w:rsidP="004C00FA">
            <w:pPr>
              <w:pStyle w:val="TableCopy"/>
              <w:jc w:val="right"/>
              <w:rPr>
                <w:rFonts w:asciiTheme="minorHAnsi" w:hAnsiTheme="minorHAnsi" w:cstheme="minorHAnsi"/>
              </w:rPr>
            </w:pPr>
            <w:r w:rsidRPr="000D3EFD">
              <w:rPr>
                <w:rFonts w:asciiTheme="minorHAnsi" w:hAnsiTheme="minorHAnsi" w:cstheme="minorHAnsi"/>
              </w:rPr>
              <w:t>–</w:t>
            </w:r>
          </w:p>
        </w:tc>
        <w:tc>
          <w:tcPr>
            <w:tcW w:w="1270" w:type="dxa"/>
          </w:tcPr>
          <w:p w14:paraId="28726D64" w14:textId="5D0BA7D8" w:rsidR="000D3EFD" w:rsidRPr="000D3EFD" w:rsidRDefault="000D3EFD" w:rsidP="004C00FA">
            <w:pPr>
              <w:pStyle w:val="TableCopy"/>
              <w:jc w:val="right"/>
              <w:rPr>
                <w:rFonts w:asciiTheme="minorHAnsi" w:hAnsiTheme="minorHAnsi" w:cstheme="minorHAnsi"/>
              </w:rPr>
            </w:pPr>
            <w:r w:rsidRPr="000D3EFD">
              <w:rPr>
                <w:rFonts w:asciiTheme="minorHAnsi" w:hAnsiTheme="minorHAnsi" w:cstheme="minorHAnsi"/>
              </w:rPr>
              <w:t>–</w:t>
            </w:r>
          </w:p>
        </w:tc>
      </w:tr>
      <w:tr w:rsidR="000D3EFD" w:rsidRPr="000D3EFD" w14:paraId="79AA9BC7" w14:textId="77777777" w:rsidTr="004C00FA">
        <w:trPr>
          <w:trHeight w:val="113"/>
        </w:trPr>
        <w:tc>
          <w:tcPr>
            <w:tcW w:w="4815" w:type="dxa"/>
          </w:tcPr>
          <w:p w14:paraId="2205DBAC" w14:textId="27C238C2" w:rsidR="000D3EFD" w:rsidRPr="000D3EFD" w:rsidRDefault="000D3EFD" w:rsidP="000D3EFD">
            <w:pPr>
              <w:pStyle w:val="TableCopy"/>
              <w:rPr>
                <w:rFonts w:asciiTheme="minorHAnsi" w:hAnsiTheme="minorHAnsi" w:cstheme="minorHAnsi"/>
              </w:rPr>
            </w:pPr>
            <w:r w:rsidRPr="000D3EFD">
              <w:rPr>
                <w:rFonts w:asciiTheme="minorHAnsi" w:hAnsiTheme="minorHAnsi" w:cstheme="minorHAnsi"/>
              </w:rPr>
              <w:t>Other income</w:t>
            </w:r>
          </w:p>
        </w:tc>
        <w:tc>
          <w:tcPr>
            <w:tcW w:w="1269" w:type="dxa"/>
          </w:tcPr>
          <w:p w14:paraId="55C90A3C" w14:textId="735DF2D3" w:rsidR="000D3EFD" w:rsidRPr="000D3EFD" w:rsidRDefault="000D3EFD" w:rsidP="004C00FA">
            <w:pPr>
              <w:pStyle w:val="TableCopy"/>
              <w:jc w:val="right"/>
              <w:rPr>
                <w:rFonts w:asciiTheme="minorHAnsi" w:hAnsiTheme="minorHAnsi" w:cstheme="minorHAnsi"/>
              </w:rPr>
            </w:pPr>
            <w:r w:rsidRPr="000D3EFD">
              <w:rPr>
                <w:rFonts w:asciiTheme="minorHAnsi" w:hAnsiTheme="minorHAnsi" w:cstheme="minorHAnsi"/>
              </w:rPr>
              <w:t>–</w:t>
            </w:r>
          </w:p>
        </w:tc>
        <w:tc>
          <w:tcPr>
            <w:tcW w:w="1270" w:type="dxa"/>
          </w:tcPr>
          <w:p w14:paraId="1C9A74D8" w14:textId="15C8C7F7" w:rsidR="000D3EFD" w:rsidRPr="000D3EFD" w:rsidRDefault="000D3EFD" w:rsidP="004C00FA">
            <w:pPr>
              <w:pStyle w:val="TableCopy"/>
              <w:jc w:val="right"/>
              <w:rPr>
                <w:rFonts w:asciiTheme="minorHAnsi" w:hAnsiTheme="minorHAnsi" w:cstheme="minorHAnsi"/>
              </w:rPr>
            </w:pPr>
            <w:r w:rsidRPr="000D3EFD">
              <w:rPr>
                <w:rFonts w:asciiTheme="minorHAnsi" w:hAnsiTheme="minorHAnsi" w:cstheme="minorHAnsi"/>
              </w:rPr>
              <w:t>–</w:t>
            </w:r>
          </w:p>
        </w:tc>
        <w:tc>
          <w:tcPr>
            <w:tcW w:w="1270" w:type="dxa"/>
          </w:tcPr>
          <w:p w14:paraId="34EDEBDA" w14:textId="2C6776B8" w:rsidR="000D3EFD" w:rsidRPr="000D3EFD" w:rsidRDefault="000D3EFD" w:rsidP="004C00FA">
            <w:pPr>
              <w:pStyle w:val="TableCopy"/>
              <w:jc w:val="right"/>
              <w:rPr>
                <w:rFonts w:asciiTheme="minorHAnsi" w:hAnsiTheme="minorHAnsi" w:cstheme="minorHAnsi"/>
              </w:rPr>
            </w:pPr>
            <w:r w:rsidRPr="000D3EFD">
              <w:rPr>
                <w:rFonts w:asciiTheme="minorHAnsi" w:hAnsiTheme="minorHAnsi" w:cstheme="minorHAnsi"/>
              </w:rPr>
              <w:t>–</w:t>
            </w:r>
          </w:p>
        </w:tc>
        <w:tc>
          <w:tcPr>
            <w:tcW w:w="1270" w:type="dxa"/>
          </w:tcPr>
          <w:p w14:paraId="267DE6E2" w14:textId="1842443E" w:rsidR="000D3EFD" w:rsidRPr="000D3EFD" w:rsidRDefault="000D3EFD" w:rsidP="004C00FA">
            <w:pPr>
              <w:pStyle w:val="TableCopy"/>
              <w:jc w:val="right"/>
              <w:rPr>
                <w:rFonts w:asciiTheme="minorHAnsi" w:hAnsiTheme="minorHAnsi" w:cstheme="minorHAnsi"/>
              </w:rPr>
            </w:pPr>
            <w:r w:rsidRPr="000D3EFD">
              <w:rPr>
                <w:rFonts w:asciiTheme="minorHAnsi" w:hAnsiTheme="minorHAnsi" w:cstheme="minorHAnsi"/>
              </w:rPr>
              <w:t>1,167</w:t>
            </w:r>
          </w:p>
        </w:tc>
        <w:tc>
          <w:tcPr>
            <w:tcW w:w="1270" w:type="dxa"/>
          </w:tcPr>
          <w:p w14:paraId="470F3A07" w14:textId="4140B85E" w:rsidR="000D3EFD" w:rsidRPr="000D3EFD" w:rsidRDefault="000D3EFD" w:rsidP="004C00FA">
            <w:pPr>
              <w:pStyle w:val="TableCopy"/>
              <w:jc w:val="right"/>
              <w:rPr>
                <w:rFonts w:asciiTheme="minorHAnsi" w:hAnsiTheme="minorHAnsi" w:cstheme="minorHAnsi"/>
              </w:rPr>
            </w:pPr>
            <w:r w:rsidRPr="000D3EFD">
              <w:rPr>
                <w:rFonts w:asciiTheme="minorHAnsi" w:hAnsiTheme="minorHAnsi" w:cstheme="minorHAnsi"/>
              </w:rPr>
              <w:t>26</w:t>
            </w:r>
          </w:p>
        </w:tc>
        <w:tc>
          <w:tcPr>
            <w:tcW w:w="1270" w:type="dxa"/>
          </w:tcPr>
          <w:p w14:paraId="2E31F4C9" w14:textId="6AEDD0AD" w:rsidR="000D3EFD" w:rsidRPr="000D3EFD" w:rsidRDefault="000D3EFD" w:rsidP="004C00FA">
            <w:pPr>
              <w:pStyle w:val="TableCopy"/>
              <w:jc w:val="right"/>
              <w:rPr>
                <w:rFonts w:asciiTheme="minorHAnsi" w:hAnsiTheme="minorHAnsi" w:cstheme="minorHAnsi"/>
              </w:rPr>
            </w:pPr>
            <w:r w:rsidRPr="000D3EFD">
              <w:rPr>
                <w:rFonts w:asciiTheme="minorHAnsi" w:hAnsiTheme="minorHAnsi" w:cstheme="minorHAnsi"/>
              </w:rPr>
              <w:t>35</w:t>
            </w:r>
          </w:p>
        </w:tc>
        <w:tc>
          <w:tcPr>
            <w:tcW w:w="1270" w:type="dxa"/>
          </w:tcPr>
          <w:p w14:paraId="4D889F7B" w14:textId="75D756FB" w:rsidR="000D3EFD" w:rsidRPr="000D3EFD" w:rsidRDefault="000D3EFD" w:rsidP="004C00FA">
            <w:pPr>
              <w:pStyle w:val="TableCopy"/>
              <w:jc w:val="right"/>
              <w:rPr>
                <w:rFonts w:asciiTheme="minorHAnsi" w:hAnsiTheme="minorHAnsi" w:cstheme="minorHAnsi"/>
              </w:rPr>
            </w:pPr>
            <w:r w:rsidRPr="000D3EFD">
              <w:rPr>
                <w:rFonts w:asciiTheme="minorHAnsi" w:hAnsiTheme="minorHAnsi" w:cstheme="minorHAnsi"/>
              </w:rPr>
              <w:t>–</w:t>
            </w:r>
          </w:p>
        </w:tc>
        <w:tc>
          <w:tcPr>
            <w:tcW w:w="1270" w:type="dxa"/>
          </w:tcPr>
          <w:p w14:paraId="0D5B1112" w14:textId="6130E2CD" w:rsidR="000D3EFD" w:rsidRPr="000D3EFD" w:rsidRDefault="000D3EFD" w:rsidP="004C00FA">
            <w:pPr>
              <w:pStyle w:val="TableCopy"/>
              <w:jc w:val="right"/>
              <w:rPr>
                <w:rFonts w:asciiTheme="minorHAnsi" w:hAnsiTheme="minorHAnsi" w:cstheme="minorHAnsi"/>
              </w:rPr>
            </w:pPr>
            <w:r w:rsidRPr="000D3EFD">
              <w:rPr>
                <w:rFonts w:asciiTheme="minorHAnsi" w:hAnsiTheme="minorHAnsi" w:cstheme="minorHAnsi"/>
              </w:rPr>
              <w:t>4</w:t>
            </w:r>
          </w:p>
        </w:tc>
      </w:tr>
      <w:tr w:rsidR="000D3EFD" w:rsidRPr="000D3EFD" w14:paraId="10E1AF60" w14:textId="77777777" w:rsidTr="004C00FA">
        <w:trPr>
          <w:trHeight w:val="113"/>
        </w:trPr>
        <w:tc>
          <w:tcPr>
            <w:tcW w:w="4815" w:type="dxa"/>
          </w:tcPr>
          <w:p w14:paraId="212722FF" w14:textId="3525FFE3" w:rsidR="000D3EFD" w:rsidRPr="000D3EFD" w:rsidRDefault="000D3EFD" w:rsidP="000D3EFD">
            <w:pPr>
              <w:pStyle w:val="TableCopy"/>
              <w:rPr>
                <w:rFonts w:asciiTheme="minorHAnsi" w:hAnsiTheme="minorHAnsi" w:cstheme="minorHAnsi"/>
              </w:rPr>
            </w:pPr>
            <w:r w:rsidRPr="000D3EFD">
              <w:rPr>
                <w:rFonts w:asciiTheme="minorHAnsi" w:hAnsiTheme="minorHAnsi" w:cstheme="minorHAnsi"/>
              </w:rPr>
              <w:t xml:space="preserve">Regulatory fees, fines, </w:t>
            </w:r>
            <w:proofErr w:type="gramStart"/>
            <w:r w:rsidRPr="000D3EFD">
              <w:rPr>
                <w:rFonts w:asciiTheme="minorHAnsi" w:hAnsiTheme="minorHAnsi" w:cstheme="minorHAnsi"/>
              </w:rPr>
              <w:t>leases</w:t>
            </w:r>
            <w:proofErr w:type="gramEnd"/>
            <w:r w:rsidRPr="000D3EFD">
              <w:rPr>
                <w:rFonts w:asciiTheme="minorHAnsi" w:hAnsiTheme="minorHAnsi" w:cstheme="minorHAnsi"/>
              </w:rPr>
              <w:t xml:space="preserve"> and licences</w:t>
            </w:r>
          </w:p>
        </w:tc>
        <w:tc>
          <w:tcPr>
            <w:tcW w:w="1269" w:type="dxa"/>
          </w:tcPr>
          <w:p w14:paraId="7576544B" w14:textId="7A469785" w:rsidR="000D3EFD" w:rsidRPr="000D3EFD" w:rsidRDefault="000D3EFD" w:rsidP="004C00FA">
            <w:pPr>
              <w:pStyle w:val="TableCopy"/>
              <w:jc w:val="right"/>
              <w:rPr>
                <w:rFonts w:asciiTheme="minorHAnsi" w:hAnsiTheme="minorHAnsi" w:cstheme="minorHAnsi"/>
              </w:rPr>
            </w:pPr>
            <w:r w:rsidRPr="000D3EFD">
              <w:rPr>
                <w:rFonts w:asciiTheme="minorHAnsi" w:hAnsiTheme="minorHAnsi" w:cstheme="minorHAnsi"/>
              </w:rPr>
              <w:t>–</w:t>
            </w:r>
          </w:p>
        </w:tc>
        <w:tc>
          <w:tcPr>
            <w:tcW w:w="1270" w:type="dxa"/>
          </w:tcPr>
          <w:p w14:paraId="578CC246" w14:textId="1E282989" w:rsidR="000D3EFD" w:rsidRPr="000D3EFD" w:rsidRDefault="000D3EFD" w:rsidP="004C00FA">
            <w:pPr>
              <w:pStyle w:val="TableCopy"/>
              <w:jc w:val="right"/>
              <w:rPr>
                <w:rFonts w:asciiTheme="minorHAnsi" w:hAnsiTheme="minorHAnsi" w:cstheme="minorHAnsi"/>
              </w:rPr>
            </w:pPr>
            <w:r w:rsidRPr="000D3EFD">
              <w:rPr>
                <w:rFonts w:asciiTheme="minorHAnsi" w:hAnsiTheme="minorHAnsi" w:cstheme="minorHAnsi"/>
              </w:rPr>
              <w:t>–</w:t>
            </w:r>
          </w:p>
        </w:tc>
        <w:tc>
          <w:tcPr>
            <w:tcW w:w="1270" w:type="dxa"/>
          </w:tcPr>
          <w:p w14:paraId="4F03A3B4" w14:textId="52612F69" w:rsidR="000D3EFD" w:rsidRPr="000D3EFD" w:rsidRDefault="000D3EFD" w:rsidP="004C00FA">
            <w:pPr>
              <w:pStyle w:val="TableCopy"/>
              <w:jc w:val="right"/>
              <w:rPr>
                <w:rFonts w:asciiTheme="minorHAnsi" w:hAnsiTheme="minorHAnsi" w:cstheme="minorHAnsi"/>
              </w:rPr>
            </w:pPr>
            <w:r w:rsidRPr="000D3EFD">
              <w:rPr>
                <w:rFonts w:asciiTheme="minorHAnsi" w:hAnsiTheme="minorHAnsi" w:cstheme="minorHAnsi"/>
              </w:rPr>
              <w:t>–</w:t>
            </w:r>
          </w:p>
        </w:tc>
        <w:tc>
          <w:tcPr>
            <w:tcW w:w="1270" w:type="dxa"/>
          </w:tcPr>
          <w:p w14:paraId="59AC20DB" w14:textId="3130D311" w:rsidR="000D3EFD" w:rsidRPr="000D3EFD" w:rsidRDefault="000D3EFD" w:rsidP="004C00FA">
            <w:pPr>
              <w:pStyle w:val="TableCopy"/>
              <w:jc w:val="right"/>
              <w:rPr>
                <w:rFonts w:asciiTheme="minorHAnsi" w:hAnsiTheme="minorHAnsi" w:cstheme="minorHAnsi"/>
              </w:rPr>
            </w:pPr>
            <w:r w:rsidRPr="000D3EFD">
              <w:rPr>
                <w:rFonts w:asciiTheme="minorHAnsi" w:hAnsiTheme="minorHAnsi" w:cstheme="minorHAnsi"/>
              </w:rPr>
              <w:t>–</w:t>
            </w:r>
          </w:p>
        </w:tc>
        <w:tc>
          <w:tcPr>
            <w:tcW w:w="1270" w:type="dxa"/>
          </w:tcPr>
          <w:p w14:paraId="3B75640D" w14:textId="4FAFB217" w:rsidR="000D3EFD" w:rsidRPr="000D3EFD" w:rsidRDefault="000D3EFD" w:rsidP="004C00FA">
            <w:pPr>
              <w:pStyle w:val="TableCopy"/>
              <w:jc w:val="right"/>
              <w:rPr>
                <w:rFonts w:asciiTheme="minorHAnsi" w:hAnsiTheme="minorHAnsi" w:cstheme="minorHAnsi"/>
              </w:rPr>
            </w:pPr>
            <w:r w:rsidRPr="000D3EFD">
              <w:rPr>
                <w:rFonts w:asciiTheme="minorHAnsi" w:hAnsiTheme="minorHAnsi" w:cstheme="minorHAnsi"/>
              </w:rPr>
              <w:t>–</w:t>
            </w:r>
          </w:p>
        </w:tc>
        <w:tc>
          <w:tcPr>
            <w:tcW w:w="1270" w:type="dxa"/>
          </w:tcPr>
          <w:p w14:paraId="218C0F2E" w14:textId="7408C6C7" w:rsidR="000D3EFD" w:rsidRPr="000D3EFD" w:rsidRDefault="000D3EFD" w:rsidP="004C00FA">
            <w:pPr>
              <w:pStyle w:val="TableCopy"/>
              <w:jc w:val="right"/>
              <w:rPr>
                <w:rFonts w:asciiTheme="minorHAnsi" w:hAnsiTheme="minorHAnsi" w:cstheme="minorHAnsi"/>
              </w:rPr>
            </w:pPr>
            <w:r w:rsidRPr="000D3EFD">
              <w:rPr>
                <w:rFonts w:asciiTheme="minorHAnsi" w:hAnsiTheme="minorHAnsi" w:cstheme="minorHAnsi"/>
              </w:rPr>
              <w:t>–</w:t>
            </w:r>
          </w:p>
        </w:tc>
        <w:tc>
          <w:tcPr>
            <w:tcW w:w="1270" w:type="dxa"/>
          </w:tcPr>
          <w:p w14:paraId="152F23FE" w14:textId="2150B7E4" w:rsidR="000D3EFD" w:rsidRPr="000D3EFD" w:rsidRDefault="000D3EFD" w:rsidP="004C00FA">
            <w:pPr>
              <w:pStyle w:val="TableCopy"/>
              <w:jc w:val="right"/>
              <w:rPr>
                <w:rFonts w:asciiTheme="minorHAnsi" w:hAnsiTheme="minorHAnsi" w:cstheme="minorHAnsi"/>
              </w:rPr>
            </w:pPr>
            <w:r w:rsidRPr="000D3EFD">
              <w:rPr>
                <w:rFonts w:asciiTheme="minorHAnsi" w:hAnsiTheme="minorHAnsi" w:cstheme="minorHAnsi"/>
              </w:rPr>
              <w:t>–</w:t>
            </w:r>
          </w:p>
        </w:tc>
        <w:tc>
          <w:tcPr>
            <w:tcW w:w="1270" w:type="dxa"/>
          </w:tcPr>
          <w:p w14:paraId="4C84774D" w14:textId="3914F0EE" w:rsidR="000D3EFD" w:rsidRPr="000D3EFD" w:rsidRDefault="000D3EFD" w:rsidP="004C00FA">
            <w:pPr>
              <w:pStyle w:val="TableCopy"/>
              <w:jc w:val="right"/>
              <w:rPr>
                <w:rFonts w:asciiTheme="minorHAnsi" w:hAnsiTheme="minorHAnsi" w:cstheme="minorHAnsi"/>
              </w:rPr>
            </w:pPr>
            <w:r w:rsidRPr="000D3EFD">
              <w:rPr>
                <w:rFonts w:asciiTheme="minorHAnsi" w:hAnsiTheme="minorHAnsi" w:cstheme="minorHAnsi"/>
              </w:rPr>
              <w:t>–</w:t>
            </w:r>
          </w:p>
        </w:tc>
      </w:tr>
      <w:tr w:rsidR="000D3EFD" w:rsidRPr="000D3EFD" w14:paraId="1A1B5945" w14:textId="77777777" w:rsidTr="004C00FA">
        <w:trPr>
          <w:trHeight w:val="113"/>
        </w:trPr>
        <w:tc>
          <w:tcPr>
            <w:tcW w:w="4815" w:type="dxa"/>
          </w:tcPr>
          <w:p w14:paraId="3D11A6A7" w14:textId="0A3F4B7A" w:rsidR="000D3EFD" w:rsidRPr="000D3EFD" w:rsidRDefault="000D3EFD" w:rsidP="000D3EFD">
            <w:pPr>
              <w:pStyle w:val="TableCopy"/>
              <w:rPr>
                <w:rFonts w:asciiTheme="minorHAnsi" w:hAnsiTheme="minorHAnsi" w:cstheme="minorHAnsi"/>
              </w:rPr>
            </w:pPr>
            <w:r w:rsidRPr="000D3EFD">
              <w:rPr>
                <w:rFonts w:asciiTheme="minorHAnsi" w:hAnsiTheme="minorHAnsi" w:cstheme="minorHAnsi"/>
              </w:rPr>
              <w:t>Interest income</w:t>
            </w:r>
          </w:p>
        </w:tc>
        <w:tc>
          <w:tcPr>
            <w:tcW w:w="1269" w:type="dxa"/>
          </w:tcPr>
          <w:p w14:paraId="69333805" w14:textId="0597A3A8" w:rsidR="000D3EFD" w:rsidRPr="000D3EFD" w:rsidRDefault="000D3EFD" w:rsidP="004C00FA">
            <w:pPr>
              <w:pStyle w:val="TableCopy"/>
              <w:jc w:val="right"/>
              <w:rPr>
                <w:rFonts w:asciiTheme="minorHAnsi" w:hAnsiTheme="minorHAnsi" w:cstheme="minorHAnsi"/>
              </w:rPr>
            </w:pPr>
            <w:r w:rsidRPr="000D3EFD">
              <w:rPr>
                <w:rFonts w:asciiTheme="minorHAnsi" w:hAnsiTheme="minorHAnsi" w:cstheme="minorHAnsi"/>
              </w:rPr>
              <w:t>–</w:t>
            </w:r>
          </w:p>
        </w:tc>
        <w:tc>
          <w:tcPr>
            <w:tcW w:w="1270" w:type="dxa"/>
          </w:tcPr>
          <w:p w14:paraId="6CF91279" w14:textId="0D6012B1" w:rsidR="000D3EFD" w:rsidRPr="000D3EFD" w:rsidRDefault="000D3EFD" w:rsidP="004C00FA">
            <w:pPr>
              <w:pStyle w:val="TableCopy"/>
              <w:jc w:val="right"/>
              <w:rPr>
                <w:rFonts w:asciiTheme="minorHAnsi" w:hAnsiTheme="minorHAnsi" w:cstheme="minorHAnsi"/>
              </w:rPr>
            </w:pPr>
            <w:r w:rsidRPr="000D3EFD">
              <w:rPr>
                <w:rFonts w:asciiTheme="minorHAnsi" w:hAnsiTheme="minorHAnsi" w:cstheme="minorHAnsi"/>
              </w:rPr>
              <w:t>–</w:t>
            </w:r>
          </w:p>
        </w:tc>
        <w:tc>
          <w:tcPr>
            <w:tcW w:w="1270" w:type="dxa"/>
          </w:tcPr>
          <w:p w14:paraId="70847DE3" w14:textId="28BAA265" w:rsidR="000D3EFD" w:rsidRPr="000D3EFD" w:rsidRDefault="000D3EFD" w:rsidP="004C00FA">
            <w:pPr>
              <w:pStyle w:val="TableCopy"/>
              <w:jc w:val="right"/>
              <w:rPr>
                <w:rFonts w:asciiTheme="minorHAnsi" w:hAnsiTheme="minorHAnsi" w:cstheme="minorHAnsi"/>
              </w:rPr>
            </w:pPr>
            <w:r w:rsidRPr="000D3EFD">
              <w:rPr>
                <w:rFonts w:asciiTheme="minorHAnsi" w:hAnsiTheme="minorHAnsi" w:cstheme="minorHAnsi"/>
              </w:rPr>
              <w:t>–</w:t>
            </w:r>
          </w:p>
        </w:tc>
        <w:tc>
          <w:tcPr>
            <w:tcW w:w="1270" w:type="dxa"/>
          </w:tcPr>
          <w:p w14:paraId="25DE6CB2" w14:textId="3B6A0D03" w:rsidR="000D3EFD" w:rsidRPr="000D3EFD" w:rsidRDefault="000D3EFD" w:rsidP="004C00FA">
            <w:pPr>
              <w:pStyle w:val="TableCopy"/>
              <w:jc w:val="right"/>
              <w:rPr>
                <w:rFonts w:asciiTheme="minorHAnsi" w:hAnsiTheme="minorHAnsi" w:cstheme="minorHAnsi"/>
              </w:rPr>
            </w:pPr>
            <w:r w:rsidRPr="000D3EFD">
              <w:rPr>
                <w:rFonts w:asciiTheme="minorHAnsi" w:hAnsiTheme="minorHAnsi" w:cstheme="minorHAnsi"/>
              </w:rPr>
              <w:t>–</w:t>
            </w:r>
          </w:p>
        </w:tc>
        <w:tc>
          <w:tcPr>
            <w:tcW w:w="1270" w:type="dxa"/>
          </w:tcPr>
          <w:p w14:paraId="60FCAC9F" w14:textId="0E440076" w:rsidR="000D3EFD" w:rsidRPr="000D3EFD" w:rsidRDefault="000D3EFD" w:rsidP="004C00FA">
            <w:pPr>
              <w:pStyle w:val="TableCopy"/>
              <w:jc w:val="right"/>
              <w:rPr>
                <w:rFonts w:asciiTheme="minorHAnsi" w:hAnsiTheme="minorHAnsi" w:cstheme="minorHAnsi"/>
              </w:rPr>
            </w:pPr>
            <w:r w:rsidRPr="000D3EFD">
              <w:rPr>
                <w:rFonts w:asciiTheme="minorHAnsi" w:hAnsiTheme="minorHAnsi" w:cstheme="minorHAnsi"/>
              </w:rPr>
              <w:t>–</w:t>
            </w:r>
          </w:p>
        </w:tc>
        <w:tc>
          <w:tcPr>
            <w:tcW w:w="1270" w:type="dxa"/>
          </w:tcPr>
          <w:p w14:paraId="5877464C" w14:textId="61B9FD1E" w:rsidR="000D3EFD" w:rsidRPr="000D3EFD" w:rsidRDefault="000D3EFD" w:rsidP="004C00FA">
            <w:pPr>
              <w:pStyle w:val="TableCopy"/>
              <w:jc w:val="right"/>
              <w:rPr>
                <w:rFonts w:asciiTheme="minorHAnsi" w:hAnsiTheme="minorHAnsi" w:cstheme="minorHAnsi"/>
              </w:rPr>
            </w:pPr>
            <w:r w:rsidRPr="000D3EFD">
              <w:rPr>
                <w:rFonts w:asciiTheme="minorHAnsi" w:hAnsiTheme="minorHAnsi" w:cstheme="minorHAnsi"/>
              </w:rPr>
              <w:t>–</w:t>
            </w:r>
          </w:p>
        </w:tc>
        <w:tc>
          <w:tcPr>
            <w:tcW w:w="1270" w:type="dxa"/>
          </w:tcPr>
          <w:p w14:paraId="72D0B915" w14:textId="54FFD72C" w:rsidR="000D3EFD" w:rsidRPr="000D3EFD" w:rsidRDefault="000D3EFD" w:rsidP="004C00FA">
            <w:pPr>
              <w:pStyle w:val="TableCopy"/>
              <w:jc w:val="right"/>
              <w:rPr>
                <w:rFonts w:asciiTheme="minorHAnsi" w:hAnsiTheme="minorHAnsi" w:cstheme="minorHAnsi"/>
              </w:rPr>
            </w:pPr>
            <w:r w:rsidRPr="000D3EFD">
              <w:rPr>
                <w:rFonts w:asciiTheme="minorHAnsi" w:hAnsiTheme="minorHAnsi" w:cstheme="minorHAnsi"/>
              </w:rPr>
              <w:t>–</w:t>
            </w:r>
          </w:p>
        </w:tc>
        <w:tc>
          <w:tcPr>
            <w:tcW w:w="1270" w:type="dxa"/>
          </w:tcPr>
          <w:p w14:paraId="4C5954E9" w14:textId="5B6F4E64" w:rsidR="000D3EFD" w:rsidRPr="000D3EFD" w:rsidRDefault="000D3EFD" w:rsidP="004C00FA">
            <w:pPr>
              <w:pStyle w:val="TableCopy"/>
              <w:jc w:val="right"/>
              <w:rPr>
                <w:rFonts w:asciiTheme="minorHAnsi" w:hAnsiTheme="minorHAnsi" w:cstheme="minorHAnsi"/>
              </w:rPr>
            </w:pPr>
            <w:r w:rsidRPr="000D3EFD">
              <w:rPr>
                <w:rFonts w:asciiTheme="minorHAnsi" w:hAnsiTheme="minorHAnsi" w:cstheme="minorHAnsi"/>
              </w:rPr>
              <w:t>–</w:t>
            </w:r>
          </w:p>
        </w:tc>
      </w:tr>
      <w:tr w:rsidR="000D3EFD" w:rsidRPr="000D3EFD" w14:paraId="275CE858" w14:textId="77777777" w:rsidTr="004C00FA">
        <w:trPr>
          <w:trHeight w:val="113"/>
        </w:trPr>
        <w:tc>
          <w:tcPr>
            <w:tcW w:w="4815" w:type="dxa"/>
          </w:tcPr>
          <w:p w14:paraId="263C71C0" w14:textId="77777777" w:rsidR="000D3EFD" w:rsidRPr="000D3EFD" w:rsidRDefault="000D3EFD" w:rsidP="000D3EFD">
            <w:pPr>
              <w:pStyle w:val="TableCopy"/>
              <w:rPr>
                <w:rFonts w:asciiTheme="minorHAnsi" w:hAnsiTheme="minorHAnsi" w:cstheme="minorHAnsi"/>
              </w:rPr>
            </w:pPr>
            <w:r w:rsidRPr="000D3EFD">
              <w:rPr>
                <w:rFonts w:asciiTheme="minorHAnsi" w:hAnsiTheme="minorHAnsi" w:cstheme="minorHAnsi"/>
              </w:rPr>
              <w:t>Grants</w:t>
            </w:r>
          </w:p>
        </w:tc>
        <w:tc>
          <w:tcPr>
            <w:tcW w:w="1269" w:type="dxa"/>
          </w:tcPr>
          <w:p w14:paraId="77E4A9BD" w14:textId="43049038" w:rsidR="000D3EFD" w:rsidRPr="000D3EFD" w:rsidRDefault="000D3EFD" w:rsidP="004C00FA">
            <w:pPr>
              <w:pStyle w:val="TableCopy"/>
              <w:jc w:val="right"/>
              <w:rPr>
                <w:rFonts w:asciiTheme="minorHAnsi" w:hAnsiTheme="minorHAnsi" w:cstheme="minorHAnsi"/>
              </w:rPr>
            </w:pPr>
            <w:r w:rsidRPr="000D3EFD">
              <w:rPr>
                <w:rFonts w:asciiTheme="minorHAnsi" w:hAnsiTheme="minorHAnsi" w:cstheme="minorHAnsi"/>
              </w:rPr>
              <w:t>–</w:t>
            </w:r>
          </w:p>
        </w:tc>
        <w:tc>
          <w:tcPr>
            <w:tcW w:w="1270" w:type="dxa"/>
          </w:tcPr>
          <w:p w14:paraId="1A50B372" w14:textId="053DBA40" w:rsidR="000D3EFD" w:rsidRPr="000D3EFD" w:rsidRDefault="000D3EFD" w:rsidP="004C00FA">
            <w:pPr>
              <w:pStyle w:val="TableCopy"/>
              <w:jc w:val="right"/>
              <w:rPr>
                <w:rFonts w:asciiTheme="minorHAnsi" w:hAnsiTheme="minorHAnsi" w:cstheme="minorHAnsi"/>
              </w:rPr>
            </w:pPr>
            <w:r w:rsidRPr="000D3EFD">
              <w:rPr>
                <w:rFonts w:asciiTheme="minorHAnsi" w:hAnsiTheme="minorHAnsi" w:cstheme="minorHAnsi"/>
              </w:rPr>
              <w:t>–</w:t>
            </w:r>
          </w:p>
        </w:tc>
        <w:tc>
          <w:tcPr>
            <w:tcW w:w="1270" w:type="dxa"/>
          </w:tcPr>
          <w:p w14:paraId="2B9BAAD9" w14:textId="38488EC2" w:rsidR="000D3EFD" w:rsidRPr="000D3EFD" w:rsidRDefault="000D3EFD" w:rsidP="004C00FA">
            <w:pPr>
              <w:pStyle w:val="TableCopy"/>
              <w:jc w:val="right"/>
              <w:rPr>
                <w:rFonts w:asciiTheme="minorHAnsi" w:hAnsiTheme="minorHAnsi" w:cstheme="minorHAnsi"/>
              </w:rPr>
            </w:pPr>
            <w:r w:rsidRPr="000D3EFD">
              <w:rPr>
                <w:rFonts w:asciiTheme="minorHAnsi" w:hAnsiTheme="minorHAnsi" w:cstheme="minorHAnsi"/>
              </w:rPr>
              <w:t>–</w:t>
            </w:r>
          </w:p>
        </w:tc>
        <w:tc>
          <w:tcPr>
            <w:tcW w:w="1270" w:type="dxa"/>
          </w:tcPr>
          <w:p w14:paraId="0DF5FEF5" w14:textId="65E9F1F1" w:rsidR="000D3EFD" w:rsidRPr="000D3EFD" w:rsidRDefault="000D3EFD" w:rsidP="004C00FA">
            <w:pPr>
              <w:pStyle w:val="TableCopy"/>
              <w:jc w:val="right"/>
              <w:rPr>
                <w:rFonts w:asciiTheme="minorHAnsi" w:hAnsiTheme="minorHAnsi" w:cstheme="minorHAnsi"/>
              </w:rPr>
            </w:pPr>
            <w:r w:rsidRPr="000D3EFD">
              <w:rPr>
                <w:rFonts w:asciiTheme="minorHAnsi" w:hAnsiTheme="minorHAnsi" w:cstheme="minorHAnsi"/>
              </w:rPr>
              <w:t>–</w:t>
            </w:r>
          </w:p>
        </w:tc>
        <w:tc>
          <w:tcPr>
            <w:tcW w:w="1270" w:type="dxa"/>
          </w:tcPr>
          <w:p w14:paraId="3142B25B" w14:textId="5AF391E0" w:rsidR="000D3EFD" w:rsidRPr="000D3EFD" w:rsidRDefault="000D3EFD" w:rsidP="004C00FA">
            <w:pPr>
              <w:pStyle w:val="TableCopy"/>
              <w:jc w:val="right"/>
              <w:rPr>
                <w:rFonts w:asciiTheme="minorHAnsi" w:hAnsiTheme="minorHAnsi" w:cstheme="minorHAnsi"/>
              </w:rPr>
            </w:pPr>
            <w:r w:rsidRPr="000D3EFD">
              <w:rPr>
                <w:rFonts w:asciiTheme="minorHAnsi" w:hAnsiTheme="minorHAnsi" w:cstheme="minorHAnsi"/>
              </w:rPr>
              <w:t>5</w:t>
            </w:r>
          </w:p>
        </w:tc>
        <w:tc>
          <w:tcPr>
            <w:tcW w:w="1270" w:type="dxa"/>
          </w:tcPr>
          <w:p w14:paraId="66C10D1F" w14:textId="4D302AB9" w:rsidR="000D3EFD" w:rsidRPr="000D3EFD" w:rsidRDefault="000D3EFD" w:rsidP="004C00FA">
            <w:pPr>
              <w:pStyle w:val="TableCopy"/>
              <w:jc w:val="right"/>
              <w:rPr>
                <w:rFonts w:asciiTheme="minorHAnsi" w:hAnsiTheme="minorHAnsi" w:cstheme="minorHAnsi"/>
              </w:rPr>
            </w:pPr>
            <w:r w:rsidRPr="000D3EFD">
              <w:rPr>
                <w:rFonts w:asciiTheme="minorHAnsi" w:hAnsiTheme="minorHAnsi" w:cstheme="minorHAnsi"/>
              </w:rPr>
              <w:t>26,275</w:t>
            </w:r>
          </w:p>
        </w:tc>
        <w:tc>
          <w:tcPr>
            <w:tcW w:w="1270" w:type="dxa"/>
          </w:tcPr>
          <w:p w14:paraId="172143B8" w14:textId="7C71560C" w:rsidR="000D3EFD" w:rsidRPr="000D3EFD" w:rsidRDefault="000D3EFD" w:rsidP="004C00FA">
            <w:pPr>
              <w:pStyle w:val="TableCopy"/>
              <w:jc w:val="right"/>
              <w:rPr>
                <w:rFonts w:asciiTheme="minorHAnsi" w:hAnsiTheme="minorHAnsi" w:cstheme="minorHAnsi"/>
              </w:rPr>
            </w:pPr>
            <w:r w:rsidRPr="000D3EFD">
              <w:rPr>
                <w:rFonts w:asciiTheme="minorHAnsi" w:hAnsiTheme="minorHAnsi" w:cstheme="minorHAnsi"/>
              </w:rPr>
              <w:t>–</w:t>
            </w:r>
          </w:p>
        </w:tc>
        <w:tc>
          <w:tcPr>
            <w:tcW w:w="1270" w:type="dxa"/>
          </w:tcPr>
          <w:p w14:paraId="722F9B12" w14:textId="2DE600D2" w:rsidR="000D3EFD" w:rsidRPr="000D3EFD" w:rsidRDefault="000D3EFD" w:rsidP="004C00FA">
            <w:pPr>
              <w:pStyle w:val="TableCopy"/>
              <w:jc w:val="right"/>
              <w:rPr>
                <w:rFonts w:asciiTheme="minorHAnsi" w:hAnsiTheme="minorHAnsi" w:cstheme="minorHAnsi"/>
              </w:rPr>
            </w:pPr>
            <w:r w:rsidRPr="000D3EFD">
              <w:rPr>
                <w:rFonts w:asciiTheme="minorHAnsi" w:hAnsiTheme="minorHAnsi" w:cstheme="minorHAnsi"/>
              </w:rPr>
              <w:t>–</w:t>
            </w:r>
          </w:p>
        </w:tc>
      </w:tr>
      <w:tr w:rsidR="000D3EFD" w:rsidRPr="000D3EFD" w14:paraId="37A5F643" w14:textId="77777777" w:rsidTr="004C00FA">
        <w:trPr>
          <w:trHeight w:val="333"/>
        </w:trPr>
        <w:tc>
          <w:tcPr>
            <w:tcW w:w="4815" w:type="dxa"/>
          </w:tcPr>
          <w:p w14:paraId="324A338A" w14:textId="4D20E3C5" w:rsidR="000D3EFD" w:rsidRPr="000D3EFD" w:rsidRDefault="000D3EFD" w:rsidP="000D3EFD">
            <w:pPr>
              <w:pStyle w:val="TableCopy"/>
              <w:rPr>
                <w:b/>
                <w:bCs/>
              </w:rPr>
            </w:pPr>
            <w:r w:rsidRPr="000D3EFD">
              <w:rPr>
                <w:b/>
                <w:bCs/>
              </w:rPr>
              <w:t>Total administered revenue and income from transactions</w:t>
            </w:r>
          </w:p>
        </w:tc>
        <w:tc>
          <w:tcPr>
            <w:tcW w:w="1269" w:type="dxa"/>
          </w:tcPr>
          <w:p w14:paraId="63A7F81E" w14:textId="6110E5A8" w:rsidR="000D3EFD" w:rsidRPr="000D3EFD" w:rsidRDefault="000D3EFD" w:rsidP="004C00FA">
            <w:pPr>
              <w:pStyle w:val="TableCopy"/>
              <w:jc w:val="right"/>
              <w:rPr>
                <w:b/>
                <w:bCs/>
              </w:rPr>
            </w:pPr>
            <w:r w:rsidRPr="000D3EFD">
              <w:rPr>
                <w:b/>
                <w:bCs/>
              </w:rPr>
              <w:t>–</w:t>
            </w:r>
          </w:p>
        </w:tc>
        <w:tc>
          <w:tcPr>
            <w:tcW w:w="1270" w:type="dxa"/>
          </w:tcPr>
          <w:p w14:paraId="3DE67F93" w14:textId="2A1CD652" w:rsidR="000D3EFD" w:rsidRPr="000D3EFD" w:rsidRDefault="000D3EFD" w:rsidP="004C00FA">
            <w:pPr>
              <w:pStyle w:val="TableCopy"/>
              <w:jc w:val="right"/>
              <w:rPr>
                <w:b/>
                <w:bCs/>
              </w:rPr>
            </w:pPr>
            <w:r w:rsidRPr="000D3EFD">
              <w:rPr>
                <w:b/>
                <w:bCs/>
              </w:rPr>
              <w:t>–</w:t>
            </w:r>
          </w:p>
        </w:tc>
        <w:tc>
          <w:tcPr>
            <w:tcW w:w="1270" w:type="dxa"/>
          </w:tcPr>
          <w:p w14:paraId="2977809F" w14:textId="2EED5F45" w:rsidR="000D3EFD" w:rsidRPr="000D3EFD" w:rsidRDefault="000D3EFD" w:rsidP="004C00FA">
            <w:pPr>
              <w:pStyle w:val="TableCopy"/>
              <w:jc w:val="right"/>
              <w:rPr>
                <w:b/>
                <w:bCs/>
              </w:rPr>
            </w:pPr>
            <w:r w:rsidRPr="000D3EFD">
              <w:rPr>
                <w:b/>
                <w:bCs/>
              </w:rPr>
              <w:t>–</w:t>
            </w:r>
          </w:p>
        </w:tc>
        <w:tc>
          <w:tcPr>
            <w:tcW w:w="1270" w:type="dxa"/>
          </w:tcPr>
          <w:p w14:paraId="688E1F70" w14:textId="636CB1F5" w:rsidR="000D3EFD" w:rsidRPr="000D3EFD" w:rsidRDefault="000D3EFD" w:rsidP="004C00FA">
            <w:pPr>
              <w:pStyle w:val="TableCopy"/>
              <w:jc w:val="right"/>
              <w:rPr>
                <w:b/>
                <w:bCs/>
              </w:rPr>
            </w:pPr>
            <w:r w:rsidRPr="000D3EFD">
              <w:rPr>
                <w:b/>
                <w:bCs/>
              </w:rPr>
              <w:t>1,167</w:t>
            </w:r>
          </w:p>
        </w:tc>
        <w:tc>
          <w:tcPr>
            <w:tcW w:w="1270" w:type="dxa"/>
          </w:tcPr>
          <w:p w14:paraId="2F58F710" w14:textId="5BF3E050" w:rsidR="000D3EFD" w:rsidRPr="000D3EFD" w:rsidRDefault="000D3EFD" w:rsidP="004C00FA">
            <w:pPr>
              <w:pStyle w:val="TableCopy"/>
              <w:jc w:val="right"/>
              <w:rPr>
                <w:b/>
                <w:bCs/>
              </w:rPr>
            </w:pPr>
            <w:r w:rsidRPr="000D3EFD">
              <w:rPr>
                <w:b/>
                <w:bCs/>
              </w:rPr>
              <w:t>242</w:t>
            </w:r>
          </w:p>
        </w:tc>
        <w:tc>
          <w:tcPr>
            <w:tcW w:w="1270" w:type="dxa"/>
          </w:tcPr>
          <w:p w14:paraId="030ADF75" w14:textId="35F154E0" w:rsidR="000D3EFD" w:rsidRPr="000D3EFD" w:rsidRDefault="000D3EFD" w:rsidP="004C00FA">
            <w:pPr>
              <w:pStyle w:val="TableCopy"/>
              <w:jc w:val="right"/>
              <w:rPr>
                <w:b/>
                <w:bCs/>
              </w:rPr>
            </w:pPr>
            <w:r w:rsidRPr="000D3EFD">
              <w:rPr>
                <w:b/>
                <w:bCs/>
              </w:rPr>
              <w:t>27,481</w:t>
            </w:r>
          </w:p>
        </w:tc>
        <w:tc>
          <w:tcPr>
            <w:tcW w:w="1270" w:type="dxa"/>
          </w:tcPr>
          <w:p w14:paraId="532B3949" w14:textId="0D1FA783" w:rsidR="000D3EFD" w:rsidRPr="000D3EFD" w:rsidRDefault="000D3EFD" w:rsidP="004C00FA">
            <w:pPr>
              <w:pStyle w:val="TableCopy"/>
              <w:jc w:val="right"/>
              <w:rPr>
                <w:b/>
                <w:bCs/>
              </w:rPr>
            </w:pPr>
            <w:r w:rsidRPr="000D3EFD">
              <w:rPr>
                <w:b/>
                <w:bCs/>
              </w:rPr>
              <w:t>–</w:t>
            </w:r>
          </w:p>
        </w:tc>
        <w:tc>
          <w:tcPr>
            <w:tcW w:w="1270" w:type="dxa"/>
          </w:tcPr>
          <w:p w14:paraId="3C417EB0" w14:textId="126A1739" w:rsidR="000D3EFD" w:rsidRPr="000D3EFD" w:rsidRDefault="000D3EFD" w:rsidP="004C00FA">
            <w:pPr>
              <w:pStyle w:val="TableCopy"/>
              <w:jc w:val="right"/>
              <w:rPr>
                <w:b/>
                <w:bCs/>
              </w:rPr>
            </w:pPr>
            <w:r w:rsidRPr="000D3EFD">
              <w:rPr>
                <w:b/>
                <w:bCs/>
              </w:rPr>
              <w:t>4</w:t>
            </w:r>
          </w:p>
        </w:tc>
      </w:tr>
      <w:tr w:rsidR="000D3EFD" w:rsidRPr="000D3EFD" w14:paraId="4118375C" w14:textId="77777777" w:rsidTr="004C00FA">
        <w:trPr>
          <w:trHeight w:val="113"/>
        </w:trPr>
        <w:tc>
          <w:tcPr>
            <w:tcW w:w="4815" w:type="dxa"/>
          </w:tcPr>
          <w:p w14:paraId="65BC3327" w14:textId="6A536724" w:rsidR="000D3EFD" w:rsidRPr="000D3EFD" w:rsidRDefault="000D3EFD" w:rsidP="000D3EFD">
            <w:pPr>
              <w:pStyle w:val="TableHeading"/>
            </w:pPr>
            <w:r w:rsidRPr="000D3EFD">
              <w:t>Administered expenses from transactions</w:t>
            </w:r>
          </w:p>
        </w:tc>
        <w:tc>
          <w:tcPr>
            <w:tcW w:w="1269" w:type="dxa"/>
          </w:tcPr>
          <w:p w14:paraId="000348D2" w14:textId="77777777" w:rsidR="000D3EFD" w:rsidRPr="000D3EFD" w:rsidRDefault="000D3EFD" w:rsidP="004C00FA">
            <w:pPr>
              <w:pStyle w:val="TableHeading"/>
              <w:jc w:val="right"/>
            </w:pPr>
          </w:p>
        </w:tc>
        <w:tc>
          <w:tcPr>
            <w:tcW w:w="1270" w:type="dxa"/>
          </w:tcPr>
          <w:p w14:paraId="190D581D" w14:textId="77777777" w:rsidR="000D3EFD" w:rsidRPr="000D3EFD" w:rsidRDefault="000D3EFD" w:rsidP="004C00FA">
            <w:pPr>
              <w:pStyle w:val="TableHeading"/>
              <w:jc w:val="right"/>
            </w:pPr>
          </w:p>
        </w:tc>
        <w:tc>
          <w:tcPr>
            <w:tcW w:w="1270" w:type="dxa"/>
          </w:tcPr>
          <w:p w14:paraId="27531140" w14:textId="77777777" w:rsidR="000D3EFD" w:rsidRPr="000D3EFD" w:rsidRDefault="000D3EFD" w:rsidP="004C00FA">
            <w:pPr>
              <w:pStyle w:val="TableHeading"/>
              <w:jc w:val="right"/>
            </w:pPr>
          </w:p>
        </w:tc>
        <w:tc>
          <w:tcPr>
            <w:tcW w:w="1270" w:type="dxa"/>
          </w:tcPr>
          <w:p w14:paraId="38C98254" w14:textId="77777777" w:rsidR="000D3EFD" w:rsidRPr="000D3EFD" w:rsidRDefault="000D3EFD" w:rsidP="004C00FA">
            <w:pPr>
              <w:pStyle w:val="TableHeading"/>
              <w:jc w:val="right"/>
            </w:pPr>
          </w:p>
        </w:tc>
        <w:tc>
          <w:tcPr>
            <w:tcW w:w="1270" w:type="dxa"/>
          </w:tcPr>
          <w:p w14:paraId="2599A9F2" w14:textId="77777777" w:rsidR="000D3EFD" w:rsidRPr="000D3EFD" w:rsidRDefault="000D3EFD" w:rsidP="004C00FA">
            <w:pPr>
              <w:pStyle w:val="TableHeading"/>
              <w:jc w:val="right"/>
            </w:pPr>
          </w:p>
        </w:tc>
        <w:tc>
          <w:tcPr>
            <w:tcW w:w="1270" w:type="dxa"/>
          </w:tcPr>
          <w:p w14:paraId="13196768" w14:textId="77777777" w:rsidR="000D3EFD" w:rsidRPr="000D3EFD" w:rsidRDefault="000D3EFD" w:rsidP="004C00FA">
            <w:pPr>
              <w:pStyle w:val="TableHeading"/>
              <w:jc w:val="right"/>
            </w:pPr>
          </w:p>
        </w:tc>
        <w:tc>
          <w:tcPr>
            <w:tcW w:w="1270" w:type="dxa"/>
          </w:tcPr>
          <w:p w14:paraId="50A0C6FD" w14:textId="77777777" w:rsidR="000D3EFD" w:rsidRPr="000D3EFD" w:rsidRDefault="000D3EFD" w:rsidP="004C00FA">
            <w:pPr>
              <w:pStyle w:val="TableHeading"/>
              <w:jc w:val="right"/>
            </w:pPr>
          </w:p>
        </w:tc>
        <w:tc>
          <w:tcPr>
            <w:tcW w:w="1270" w:type="dxa"/>
          </w:tcPr>
          <w:p w14:paraId="42FEB951" w14:textId="77777777" w:rsidR="000D3EFD" w:rsidRPr="000D3EFD" w:rsidRDefault="000D3EFD" w:rsidP="004C00FA">
            <w:pPr>
              <w:pStyle w:val="TableHeading"/>
              <w:jc w:val="right"/>
            </w:pPr>
          </w:p>
        </w:tc>
      </w:tr>
      <w:tr w:rsidR="000D3EFD" w14:paraId="50049AE4" w14:textId="77777777" w:rsidTr="004C00FA">
        <w:trPr>
          <w:trHeight w:val="113"/>
        </w:trPr>
        <w:tc>
          <w:tcPr>
            <w:tcW w:w="4815" w:type="dxa"/>
          </w:tcPr>
          <w:p w14:paraId="5910A394" w14:textId="48114B06" w:rsidR="000D3EFD" w:rsidRDefault="000D3EFD" w:rsidP="000D3EFD">
            <w:pPr>
              <w:pStyle w:val="TableCopy"/>
            </w:pPr>
            <w:r>
              <w:t>Payments into Consolidated Fund</w:t>
            </w:r>
          </w:p>
        </w:tc>
        <w:tc>
          <w:tcPr>
            <w:tcW w:w="1269" w:type="dxa"/>
          </w:tcPr>
          <w:p w14:paraId="6E6058D4" w14:textId="09C7F771" w:rsidR="000D3EFD" w:rsidRDefault="000D3EFD" w:rsidP="004C00FA">
            <w:pPr>
              <w:pStyle w:val="TableCopy"/>
              <w:jc w:val="right"/>
            </w:pPr>
            <w:r>
              <w:t>–</w:t>
            </w:r>
          </w:p>
        </w:tc>
        <w:tc>
          <w:tcPr>
            <w:tcW w:w="1270" w:type="dxa"/>
          </w:tcPr>
          <w:p w14:paraId="013CA4B8" w14:textId="71A92898" w:rsidR="000D3EFD" w:rsidRDefault="000D3EFD" w:rsidP="004C00FA">
            <w:pPr>
              <w:pStyle w:val="TableCopy"/>
              <w:jc w:val="right"/>
            </w:pPr>
            <w:r>
              <w:t>–</w:t>
            </w:r>
          </w:p>
        </w:tc>
        <w:tc>
          <w:tcPr>
            <w:tcW w:w="1270" w:type="dxa"/>
          </w:tcPr>
          <w:p w14:paraId="0F0E339A" w14:textId="77777777" w:rsidR="000D3EFD" w:rsidRDefault="000D3EFD" w:rsidP="004C00FA">
            <w:pPr>
              <w:pStyle w:val="TableCopy"/>
              <w:jc w:val="right"/>
            </w:pPr>
            <w:r>
              <w:t>(1,110)</w:t>
            </w:r>
          </w:p>
        </w:tc>
        <w:tc>
          <w:tcPr>
            <w:tcW w:w="1270" w:type="dxa"/>
          </w:tcPr>
          <w:p w14:paraId="2EDE46E4" w14:textId="77777777" w:rsidR="000D3EFD" w:rsidRDefault="000D3EFD" w:rsidP="004C00FA">
            <w:pPr>
              <w:pStyle w:val="TableCopy"/>
              <w:jc w:val="right"/>
            </w:pPr>
            <w:r>
              <w:t>(857)</w:t>
            </w:r>
          </w:p>
        </w:tc>
        <w:tc>
          <w:tcPr>
            <w:tcW w:w="1270" w:type="dxa"/>
          </w:tcPr>
          <w:p w14:paraId="205273E8" w14:textId="77777777" w:rsidR="000D3EFD" w:rsidRDefault="000D3EFD" w:rsidP="004C00FA">
            <w:pPr>
              <w:pStyle w:val="TableCopy"/>
              <w:jc w:val="right"/>
            </w:pPr>
            <w:r>
              <w:t>(207)</w:t>
            </w:r>
          </w:p>
        </w:tc>
        <w:tc>
          <w:tcPr>
            <w:tcW w:w="1270" w:type="dxa"/>
          </w:tcPr>
          <w:p w14:paraId="163549A9" w14:textId="77777777" w:rsidR="000D3EFD" w:rsidRDefault="000D3EFD" w:rsidP="004C00FA">
            <w:pPr>
              <w:pStyle w:val="TableCopy"/>
              <w:jc w:val="right"/>
            </w:pPr>
            <w:r>
              <w:t>(25,539)</w:t>
            </w:r>
          </w:p>
        </w:tc>
        <w:tc>
          <w:tcPr>
            <w:tcW w:w="1270" w:type="dxa"/>
          </w:tcPr>
          <w:p w14:paraId="1557A756" w14:textId="3D1BC9B5" w:rsidR="000D3EFD" w:rsidRDefault="000D3EFD" w:rsidP="004C00FA">
            <w:pPr>
              <w:pStyle w:val="TableCopy"/>
              <w:jc w:val="right"/>
            </w:pPr>
            <w:r>
              <w:t>–</w:t>
            </w:r>
          </w:p>
        </w:tc>
        <w:tc>
          <w:tcPr>
            <w:tcW w:w="1270" w:type="dxa"/>
          </w:tcPr>
          <w:p w14:paraId="5EBB3C49" w14:textId="6E1606E9" w:rsidR="000D3EFD" w:rsidRDefault="000D3EFD" w:rsidP="004C00FA">
            <w:pPr>
              <w:pStyle w:val="TableCopy"/>
              <w:jc w:val="right"/>
            </w:pPr>
            <w:r>
              <w:t>9</w:t>
            </w:r>
          </w:p>
        </w:tc>
      </w:tr>
      <w:tr w:rsidR="000D3EFD" w14:paraId="53D078FD" w14:textId="77777777" w:rsidTr="004C00FA">
        <w:trPr>
          <w:trHeight w:val="113"/>
        </w:trPr>
        <w:tc>
          <w:tcPr>
            <w:tcW w:w="4815" w:type="dxa"/>
          </w:tcPr>
          <w:p w14:paraId="5BB7013B" w14:textId="2AAC938D" w:rsidR="000D3EFD" w:rsidRDefault="000D3EFD" w:rsidP="000D3EFD">
            <w:pPr>
              <w:pStyle w:val="TableCopy"/>
            </w:pPr>
            <w:r>
              <w:lastRenderedPageBreak/>
              <w:t>Interest expense</w:t>
            </w:r>
          </w:p>
        </w:tc>
        <w:tc>
          <w:tcPr>
            <w:tcW w:w="1269" w:type="dxa"/>
          </w:tcPr>
          <w:p w14:paraId="16B71D90" w14:textId="3FB76072" w:rsidR="000D3EFD" w:rsidRDefault="000D3EFD" w:rsidP="004C00FA">
            <w:pPr>
              <w:pStyle w:val="TableCopy"/>
              <w:jc w:val="right"/>
            </w:pPr>
            <w:r>
              <w:t>–</w:t>
            </w:r>
          </w:p>
        </w:tc>
        <w:tc>
          <w:tcPr>
            <w:tcW w:w="1270" w:type="dxa"/>
          </w:tcPr>
          <w:p w14:paraId="09F5CAB9" w14:textId="6D9E758D" w:rsidR="000D3EFD" w:rsidRDefault="000D3EFD" w:rsidP="004C00FA">
            <w:pPr>
              <w:pStyle w:val="TableCopy"/>
              <w:jc w:val="right"/>
            </w:pPr>
            <w:r>
              <w:t>–</w:t>
            </w:r>
          </w:p>
        </w:tc>
        <w:tc>
          <w:tcPr>
            <w:tcW w:w="1270" w:type="dxa"/>
          </w:tcPr>
          <w:p w14:paraId="77691C54" w14:textId="602E419A" w:rsidR="000D3EFD" w:rsidRDefault="000D3EFD" w:rsidP="004C00FA">
            <w:pPr>
              <w:pStyle w:val="TableCopy"/>
              <w:jc w:val="right"/>
            </w:pPr>
            <w:r>
              <w:t>–</w:t>
            </w:r>
          </w:p>
        </w:tc>
        <w:tc>
          <w:tcPr>
            <w:tcW w:w="1270" w:type="dxa"/>
          </w:tcPr>
          <w:p w14:paraId="1670BF20" w14:textId="77ED3915" w:rsidR="000D3EFD" w:rsidRDefault="000D3EFD" w:rsidP="004C00FA">
            <w:pPr>
              <w:pStyle w:val="TableCopy"/>
              <w:jc w:val="right"/>
            </w:pPr>
            <w:r>
              <w:t>–</w:t>
            </w:r>
          </w:p>
        </w:tc>
        <w:tc>
          <w:tcPr>
            <w:tcW w:w="1270" w:type="dxa"/>
          </w:tcPr>
          <w:p w14:paraId="7E60E4CB" w14:textId="274101C0" w:rsidR="000D3EFD" w:rsidRDefault="000D3EFD" w:rsidP="004C00FA">
            <w:pPr>
              <w:pStyle w:val="TableCopy"/>
              <w:jc w:val="right"/>
            </w:pPr>
            <w:r>
              <w:t>–</w:t>
            </w:r>
          </w:p>
        </w:tc>
        <w:tc>
          <w:tcPr>
            <w:tcW w:w="1270" w:type="dxa"/>
          </w:tcPr>
          <w:p w14:paraId="66364C76" w14:textId="338F3674" w:rsidR="000D3EFD" w:rsidRDefault="000D3EFD" w:rsidP="004C00FA">
            <w:pPr>
              <w:pStyle w:val="TableCopy"/>
              <w:jc w:val="right"/>
            </w:pPr>
            <w:r>
              <w:t>–</w:t>
            </w:r>
          </w:p>
        </w:tc>
        <w:tc>
          <w:tcPr>
            <w:tcW w:w="1270" w:type="dxa"/>
          </w:tcPr>
          <w:p w14:paraId="4C202980" w14:textId="71732D09" w:rsidR="000D3EFD" w:rsidRDefault="000D3EFD" w:rsidP="004C00FA">
            <w:pPr>
              <w:pStyle w:val="TableCopy"/>
              <w:jc w:val="right"/>
            </w:pPr>
            <w:r>
              <w:t>–</w:t>
            </w:r>
          </w:p>
        </w:tc>
        <w:tc>
          <w:tcPr>
            <w:tcW w:w="1270" w:type="dxa"/>
          </w:tcPr>
          <w:p w14:paraId="08E4FD27" w14:textId="3CFC5742" w:rsidR="000D3EFD" w:rsidRDefault="000D3EFD" w:rsidP="004C00FA">
            <w:pPr>
              <w:pStyle w:val="TableCopy"/>
              <w:jc w:val="right"/>
            </w:pPr>
            <w:r>
              <w:t>–</w:t>
            </w:r>
          </w:p>
        </w:tc>
      </w:tr>
      <w:tr w:rsidR="000D3EFD" w14:paraId="7F6CF0B4" w14:textId="77777777" w:rsidTr="004C00FA">
        <w:trPr>
          <w:trHeight w:val="113"/>
        </w:trPr>
        <w:tc>
          <w:tcPr>
            <w:tcW w:w="4815" w:type="dxa"/>
          </w:tcPr>
          <w:p w14:paraId="7FBE681C" w14:textId="304E54C6" w:rsidR="000D3EFD" w:rsidRDefault="000D3EFD" w:rsidP="000D3EFD">
            <w:pPr>
              <w:pStyle w:val="TableCopy"/>
            </w:pPr>
            <w:r>
              <w:t>Other expenses</w:t>
            </w:r>
          </w:p>
        </w:tc>
        <w:tc>
          <w:tcPr>
            <w:tcW w:w="1269" w:type="dxa"/>
          </w:tcPr>
          <w:p w14:paraId="46ACF115" w14:textId="670C5BCC" w:rsidR="000D3EFD" w:rsidRDefault="000D3EFD" w:rsidP="004C00FA">
            <w:pPr>
              <w:pStyle w:val="TableCopy"/>
              <w:jc w:val="right"/>
            </w:pPr>
            <w:r>
              <w:t>–</w:t>
            </w:r>
          </w:p>
        </w:tc>
        <w:tc>
          <w:tcPr>
            <w:tcW w:w="1270" w:type="dxa"/>
          </w:tcPr>
          <w:p w14:paraId="73A996A8" w14:textId="5CF73D31" w:rsidR="000D3EFD" w:rsidRDefault="000D3EFD" w:rsidP="004C00FA">
            <w:pPr>
              <w:pStyle w:val="TableCopy"/>
              <w:jc w:val="right"/>
            </w:pPr>
            <w:r>
              <w:t>–</w:t>
            </w:r>
          </w:p>
        </w:tc>
        <w:tc>
          <w:tcPr>
            <w:tcW w:w="1270" w:type="dxa"/>
          </w:tcPr>
          <w:p w14:paraId="0D98B060" w14:textId="7CBA96C9" w:rsidR="000D3EFD" w:rsidRDefault="000D3EFD" w:rsidP="004C00FA">
            <w:pPr>
              <w:pStyle w:val="TableCopy"/>
              <w:jc w:val="right"/>
            </w:pPr>
            <w:r>
              <w:t>–</w:t>
            </w:r>
          </w:p>
        </w:tc>
        <w:tc>
          <w:tcPr>
            <w:tcW w:w="1270" w:type="dxa"/>
          </w:tcPr>
          <w:p w14:paraId="35B31543" w14:textId="77777777" w:rsidR="000D3EFD" w:rsidRDefault="000D3EFD" w:rsidP="004C00FA">
            <w:pPr>
              <w:pStyle w:val="TableCopy"/>
              <w:jc w:val="right"/>
            </w:pPr>
            <w:r>
              <w:t>(10)</w:t>
            </w:r>
          </w:p>
        </w:tc>
        <w:tc>
          <w:tcPr>
            <w:tcW w:w="1270" w:type="dxa"/>
          </w:tcPr>
          <w:p w14:paraId="324382A2" w14:textId="77777777" w:rsidR="000D3EFD" w:rsidRDefault="000D3EFD" w:rsidP="004C00FA">
            <w:pPr>
              <w:pStyle w:val="TableCopy"/>
              <w:jc w:val="right"/>
            </w:pPr>
            <w:r>
              <w:t>(390)</w:t>
            </w:r>
          </w:p>
        </w:tc>
        <w:tc>
          <w:tcPr>
            <w:tcW w:w="1270" w:type="dxa"/>
          </w:tcPr>
          <w:p w14:paraId="62F74BC7" w14:textId="77777777" w:rsidR="000D3EFD" w:rsidRDefault="000D3EFD" w:rsidP="004C00FA">
            <w:pPr>
              <w:pStyle w:val="TableCopy"/>
              <w:jc w:val="right"/>
            </w:pPr>
            <w:r>
              <w:t>(2,145)</w:t>
            </w:r>
          </w:p>
        </w:tc>
        <w:tc>
          <w:tcPr>
            <w:tcW w:w="1270" w:type="dxa"/>
          </w:tcPr>
          <w:p w14:paraId="442303B5" w14:textId="79BCC3B2" w:rsidR="000D3EFD" w:rsidRDefault="000D3EFD" w:rsidP="004C00FA">
            <w:pPr>
              <w:pStyle w:val="TableCopy"/>
              <w:jc w:val="right"/>
            </w:pPr>
            <w:r>
              <w:t>–</w:t>
            </w:r>
          </w:p>
        </w:tc>
        <w:tc>
          <w:tcPr>
            <w:tcW w:w="1270" w:type="dxa"/>
          </w:tcPr>
          <w:p w14:paraId="0E521E9C" w14:textId="77777777" w:rsidR="000D3EFD" w:rsidRDefault="000D3EFD" w:rsidP="004C00FA">
            <w:pPr>
              <w:pStyle w:val="TableCopy"/>
              <w:jc w:val="right"/>
            </w:pPr>
            <w:r>
              <w:t>(1)</w:t>
            </w:r>
          </w:p>
        </w:tc>
      </w:tr>
      <w:tr w:rsidR="000D3EFD" w:rsidRPr="000D3EFD" w14:paraId="24A740B7" w14:textId="77777777" w:rsidTr="004C00FA">
        <w:trPr>
          <w:trHeight w:val="113"/>
        </w:trPr>
        <w:tc>
          <w:tcPr>
            <w:tcW w:w="4815" w:type="dxa"/>
          </w:tcPr>
          <w:p w14:paraId="115B25C6" w14:textId="7987B6BA" w:rsidR="000D3EFD" w:rsidRPr="000D3EFD" w:rsidRDefault="000D3EFD" w:rsidP="000D3EFD">
            <w:pPr>
              <w:pStyle w:val="TableCopy"/>
              <w:rPr>
                <w:b/>
                <w:bCs/>
              </w:rPr>
            </w:pPr>
            <w:r w:rsidRPr="000D3EFD">
              <w:rPr>
                <w:b/>
                <w:bCs/>
              </w:rPr>
              <w:t>Total administered expenses from transactions</w:t>
            </w:r>
          </w:p>
        </w:tc>
        <w:tc>
          <w:tcPr>
            <w:tcW w:w="1269" w:type="dxa"/>
          </w:tcPr>
          <w:p w14:paraId="70C4E47C" w14:textId="47F2E880" w:rsidR="000D3EFD" w:rsidRPr="000D3EFD" w:rsidRDefault="000D3EFD" w:rsidP="004C00FA">
            <w:pPr>
              <w:pStyle w:val="TableCopy"/>
              <w:jc w:val="right"/>
              <w:rPr>
                <w:b/>
                <w:bCs/>
              </w:rPr>
            </w:pPr>
            <w:r w:rsidRPr="000D3EFD">
              <w:rPr>
                <w:b/>
                <w:bCs/>
              </w:rPr>
              <w:t>–</w:t>
            </w:r>
          </w:p>
        </w:tc>
        <w:tc>
          <w:tcPr>
            <w:tcW w:w="1270" w:type="dxa"/>
          </w:tcPr>
          <w:p w14:paraId="4C7E54CB" w14:textId="20CA9857" w:rsidR="000D3EFD" w:rsidRPr="000D3EFD" w:rsidRDefault="000D3EFD" w:rsidP="004C00FA">
            <w:pPr>
              <w:pStyle w:val="TableCopy"/>
              <w:jc w:val="right"/>
              <w:rPr>
                <w:b/>
                <w:bCs/>
              </w:rPr>
            </w:pPr>
            <w:r w:rsidRPr="000D3EFD">
              <w:rPr>
                <w:b/>
                <w:bCs/>
              </w:rPr>
              <w:t>–</w:t>
            </w:r>
          </w:p>
        </w:tc>
        <w:tc>
          <w:tcPr>
            <w:tcW w:w="1270" w:type="dxa"/>
          </w:tcPr>
          <w:p w14:paraId="667843B6" w14:textId="77777777" w:rsidR="000D3EFD" w:rsidRPr="000D3EFD" w:rsidRDefault="000D3EFD" w:rsidP="004C00FA">
            <w:pPr>
              <w:pStyle w:val="TableCopy"/>
              <w:jc w:val="right"/>
              <w:rPr>
                <w:b/>
                <w:bCs/>
              </w:rPr>
            </w:pPr>
            <w:r w:rsidRPr="000D3EFD">
              <w:rPr>
                <w:b/>
                <w:bCs/>
              </w:rPr>
              <w:t>(1,110)</w:t>
            </w:r>
          </w:p>
        </w:tc>
        <w:tc>
          <w:tcPr>
            <w:tcW w:w="1270" w:type="dxa"/>
          </w:tcPr>
          <w:p w14:paraId="2ECA9647" w14:textId="77777777" w:rsidR="000D3EFD" w:rsidRPr="000D3EFD" w:rsidRDefault="000D3EFD" w:rsidP="004C00FA">
            <w:pPr>
              <w:pStyle w:val="TableCopy"/>
              <w:jc w:val="right"/>
              <w:rPr>
                <w:b/>
                <w:bCs/>
              </w:rPr>
            </w:pPr>
            <w:r w:rsidRPr="000D3EFD">
              <w:rPr>
                <w:b/>
                <w:bCs/>
              </w:rPr>
              <w:t>(867)</w:t>
            </w:r>
          </w:p>
        </w:tc>
        <w:tc>
          <w:tcPr>
            <w:tcW w:w="1270" w:type="dxa"/>
          </w:tcPr>
          <w:p w14:paraId="2CF3F09E" w14:textId="77777777" w:rsidR="000D3EFD" w:rsidRPr="000D3EFD" w:rsidRDefault="000D3EFD" w:rsidP="004C00FA">
            <w:pPr>
              <w:pStyle w:val="TableCopy"/>
              <w:jc w:val="right"/>
              <w:rPr>
                <w:b/>
                <w:bCs/>
              </w:rPr>
            </w:pPr>
            <w:r w:rsidRPr="000D3EFD">
              <w:rPr>
                <w:b/>
                <w:bCs/>
              </w:rPr>
              <w:t>(598)</w:t>
            </w:r>
          </w:p>
        </w:tc>
        <w:tc>
          <w:tcPr>
            <w:tcW w:w="1270" w:type="dxa"/>
          </w:tcPr>
          <w:p w14:paraId="2562BA89" w14:textId="77777777" w:rsidR="000D3EFD" w:rsidRPr="000D3EFD" w:rsidRDefault="000D3EFD" w:rsidP="004C00FA">
            <w:pPr>
              <w:pStyle w:val="TableCopy"/>
              <w:jc w:val="right"/>
              <w:rPr>
                <w:b/>
                <w:bCs/>
              </w:rPr>
            </w:pPr>
            <w:r w:rsidRPr="000D3EFD">
              <w:rPr>
                <w:b/>
                <w:bCs/>
              </w:rPr>
              <w:t>(27,684)</w:t>
            </w:r>
          </w:p>
        </w:tc>
        <w:tc>
          <w:tcPr>
            <w:tcW w:w="1270" w:type="dxa"/>
          </w:tcPr>
          <w:p w14:paraId="579AEB24" w14:textId="039220D3" w:rsidR="000D3EFD" w:rsidRPr="000D3EFD" w:rsidRDefault="000D3EFD" w:rsidP="004C00FA">
            <w:pPr>
              <w:pStyle w:val="TableCopy"/>
              <w:jc w:val="right"/>
              <w:rPr>
                <w:b/>
                <w:bCs/>
              </w:rPr>
            </w:pPr>
            <w:r w:rsidRPr="000D3EFD">
              <w:rPr>
                <w:b/>
                <w:bCs/>
              </w:rPr>
              <w:t>–</w:t>
            </w:r>
          </w:p>
        </w:tc>
        <w:tc>
          <w:tcPr>
            <w:tcW w:w="1270" w:type="dxa"/>
          </w:tcPr>
          <w:p w14:paraId="6D3BA7F5" w14:textId="1801EE76" w:rsidR="000D3EFD" w:rsidRPr="000D3EFD" w:rsidRDefault="000D3EFD" w:rsidP="004C00FA">
            <w:pPr>
              <w:pStyle w:val="TableCopy"/>
              <w:jc w:val="right"/>
              <w:rPr>
                <w:b/>
                <w:bCs/>
              </w:rPr>
            </w:pPr>
            <w:r w:rsidRPr="000D3EFD">
              <w:rPr>
                <w:b/>
                <w:bCs/>
              </w:rPr>
              <w:t>8</w:t>
            </w:r>
          </w:p>
        </w:tc>
      </w:tr>
      <w:tr w:rsidR="000D3EFD" w:rsidRPr="004C00FA" w14:paraId="30029A70" w14:textId="77777777" w:rsidTr="004C00FA">
        <w:trPr>
          <w:trHeight w:val="113"/>
        </w:trPr>
        <w:tc>
          <w:tcPr>
            <w:tcW w:w="4815" w:type="dxa"/>
          </w:tcPr>
          <w:p w14:paraId="0DFB917F" w14:textId="5B3C7DB5" w:rsidR="000D3EFD" w:rsidRPr="004C00FA" w:rsidRDefault="000D3EFD" w:rsidP="004C00FA">
            <w:pPr>
              <w:pStyle w:val="TableCopy"/>
              <w:rPr>
                <w:b/>
                <w:bCs/>
              </w:rPr>
            </w:pPr>
            <w:r w:rsidRPr="004C00FA">
              <w:rPr>
                <w:b/>
                <w:bCs/>
              </w:rPr>
              <w:t>Total administered net result from transactions</w:t>
            </w:r>
          </w:p>
        </w:tc>
        <w:tc>
          <w:tcPr>
            <w:tcW w:w="1269" w:type="dxa"/>
          </w:tcPr>
          <w:p w14:paraId="07097607" w14:textId="4F42C124" w:rsidR="000D3EFD" w:rsidRPr="004C00FA" w:rsidRDefault="000D3EFD" w:rsidP="004C00FA">
            <w:pPr>
              <w:pStyle w:val="TableCopy"/>
              <w:jc w:val="right"/>
              <w:rPr>
                <w:b/>
                <w:bCs/>
              </w:rPr>
            </w:pPr>
            <w:r w:rsidRPr="004C00FA">
              <w:rPr>
                <w:b/>
                <w:bCs/>
              </w:rPr>
              <w:t>–</w:t>
            </w:r>
          </w:p>
        </w:tc>
        <w:tc>
          <w:tcPr>
            <w:tcW w:w="1270" w:type="dxa"/>
          </w:tcPr>
          <w:p w14:paraId="1101A990" w14:textId="2A2D098F" w:rsidR="000D3EFD" w:rsidRPr="004C00FA" w:rsidRDefault="000D3EFD" w:rsidP="004C00FA">
            <w:pPr>
              <w:pStyle w:val="TableCopy"/>
              <w:jc w:val="right"/>
              <w:rPr>
                <w:b/>
                <w:bCs/>
              </w:rPr>
            </w:pPr>
            <w:r w:rsidRPr="004C00FA">
              <w:rPr>
                <w:b/>
                <w:bCs/>
              </w:rPr>
              <w:t>–</w:t>
            </w:r>
          </w:p>
        </w:tc>
        <w:tc>
          <w:tcPr>
            <w:tcW w:w="1270" w:type="dxa"/>
          </w:tcPr>
          <w:p w14:paraId="36DA02F6" w14:textId="77777777" w:rsidR="000D3EFD" w:rsidRPr="004C00FA" w:rsidRDefault="000D3EFD" w:rsidP="004C00FA">
            <w:pPr>
              <w:pStyle w:val="TableCopy"/>
              <w:jc w:val="right"/>
              <w:rPr>
                <w:b/>
                <w:bCs/>
              </w:rPr>
            </w:pPr>
            <w:r w:rsidRPr="004C00FA">
              <w:rPr>
                <w:b/>
                <w:bCs/>
              </w:rPr>
              <w:t>(1,109)</w:t>
            </w:r>
          </w:p>
        </w:tc>
        <w:tc>
          <w:tcPr>
            <w:tcW w:w="1270" w:type="dxa"/>
          </w:tcPr>
          <w:p w14:paraId="64B078EC" w14:textId="1CD48B24" w:rsidR="000D3EFD" w:rsidRPr="004C00FA" w:rsidRDefault="000D3EFD" w:rsidP="004C00FA">
            <w:pPr>
              <w:pStyle w:val="TableCopy"/>
              <w:jc w:val="right"/>
              <w:rPr>
                <w:b/>
                <w:bCs/>
              </w:rPr>
            </w:pPr>
            <w:r w:rsidRPr="004C00FA">
              <w:rPr>
                <w:b/>
                <w:bCs/>
              </w:rPr>
              <w:t>300</w:t>
            </w:r>
          </w:p>
        </w:tc>
        <w:tc>
          <w:tcPr>
            <w:tcW w:w="1270" w:type="dxa"/>
          </w:tcPr>
          <w:p w14:paraId="611BE29A" w14:textId="77777777" w:rsidR="000D3EFD" w:rsidRPr="004C00FA" w:rsidRDefault="000D3EFD" w:rsidP="004C00FA">
            <w:pPr>
              <w:pStyle w:val="TableCopy"/>
              <w:jc w:val="right"/>
              <w:rPr>
                <w:b/>
                <w:bCs/>
              </w:rPr>
            </w:pPr>
            <w:r w:rsidRPr="004C00FA">
              <w:rPr>
                <w:b/>
                <w:bCs/>
              </w:rPr>
              <w:t>(355)</w:t>
            </w:r>
          </w:p>
        </w:tc>
        <w:tc>
          <w:tcPr>
            <w:tcW w:w="1270" w:type="dxa"/>
          </w:tcPr>
          <w:p w14:paraId="05D12B3B" w14:textId="77777777" w:rsidR="000D3EFD" w:rsidRPr="004C00FA" w:rsidRDefault="000D3EFD" w:rsidP="004C00FA">
            <w:pPr>
              <w:pStyle w:val="TableCopy"/>
              <w:jc w:val="right"/>
              <w:rPr>
                <w:b/>
                <w:bCs/>
              </w:rPr>
            </w:pPr>
            <w:r w:rsidRPr="004C00FA">
              <w:rPr>
                <w:b/>
                <w:bCs/>
              </w:rPr>
              <w:t>(203)</w:t>
            </w:r>
          </w:p>
        </w:tc>
        <w:tc>
          <w:tcPr>
            <w:tcW w:w="1270" w:type="dxa"/>
          </w:tcPr>
          <w:p w14:paraId="44741E85" w14:textId="67511FE1" w:rsidR="000D3EFD" w:rsidRPr="004C00FA" w:rsidRDefault="000D3EFD" w:rsidP="004C00FA">
            <w:pPr>
              <w:pStyle w:val="TableCopy"/>
              <w:jc w:val="right"/>
              <w:rPr>
                <w:b/>
                <w:bCs/>
              </w:rPr>
            </w:pPr>
            <w:r w:rsidRPr="004C00FA">
              <w:rPr>
                <w:b/>
                <w:bCs/>
              </w:rPr>
              <w:t>–</w:t>
            </w:r>
          </w:p>
        </w:tc>
        <w:tc>
          <w:tcPr>
            <w:tcW w:w="1270" w:type="dxa"/>
          </w:tcPr>
          <w:p w14:paraId="35C3B4FA" w14:textId="2E40E716" w:rsidR="000D3EFD" w:rsidRPr="004C00FA" w:rsidRDefault="000D3EFD" w:rsidP="004C00FA">
            <w:pPr>
              <w:pStyle w:val="TableCopy"/>
              <w:jc w:val="right"/>
              <w:rPr>
                <w:b/>
                <w:bCs/>
              </w:rPr>
            </w:pPr>
            <w:r w:rsidRPr="004C00FA">
              <w:rPr>
                <w:b/>
                <w:bCs/>
              </w:rPr>
              <w:t>12</w:t>
            </w:r>
          </w:p>
        </w:tc>
      </w:tr>
      <w:tr w:rsidR="000D3EFD" w:rsidRPr="004C00FA" w14:paraId="5CEAD454" w14:textId="77777777" w:rsidTr="004C00FA">
        <w:trPr>
          <w:trHeight w:val="113"/>
        </w:trPr>
        <w:tc>
          <w:tcPr>
            <w:tcW w:w="4815" w:type="dxa"/>
          </w:tcPr>
          <w:p w14:paraId="53CB89E2" w14:textId="51DEE7B2" w:rsidR="000D3EFD" w:rsidRPr="004C00FA" w:rsidRDefault="000D3EFD" w:rsidP="004C00FA">
            <w:pPr>
              <w:pStyle w:val="TableCopy"/>
              <w:rPr>
                <w:b/>
                <w:bCs/>
              </w:rPr>
            </w:pPr>
            <w:r w:rsidRPr="004C00FA">
              <w:rPr>
                <w:b/>
                <w:bCs/>
              </w:rPr>
              <w:t>Net gain on other economic flows</w:t>
            </w:r>
          </w:p>
        </w:tc>
        <w:tc>
          <w:tcPr>
            <w:tcW w:w="1269" w:type="dxa"/>
          </w:tcPr>
          <w:p w14:paraId="42758A6E" w14:textId="6808E412" w:rsidR="000D3EFD" w:rsidRPr="004C00FA" w:rsidRDefault="000D3EFD" w:rsidP="004C00FA">
            <w:pPr>
              <w:pStyle w:val="TableCopy"/>
              <w:jc w:val="right"/>
              <w:rPr>
                <w:b/>
                <w:bCs/>
              </w:rPr>
            </w:pPr>
            <w:r w:rsidRPr="004C00FA">
              <w:rPr>
                <w:b/>
                <w:bCs/>
              </w:rPr>
              <w:t>–</w:t>
            </w:r>
          </w:p>
        </w:tc>
        <w:tc>
          <w:tcPr>
            <w:tcW w:w="1270" w:type="dxa"/>
          </w:tcPr>
          <w:p w14:paraId="324C63F2" w14:textId="1A7933AC" w:rsidR="000D3EFD" w:rsidRPr="004C00FA" w:rsidRDefault="000D3EFD" w:rsidP="004C00FA">
            <w:pPr>
              <w:pStyle w:val="TableCopy"/>
              <w:jc w:val="right"/>
              <w:rPr>
                <w:b/>
                <w:bCs/>
              </w:rPr>
            </w:pPr>
            <w:r w:rsidRPr="004C00FA">
              <w:rPr>
                <w:b/>
                <w:bCs/>
              </w:rPr>
              <w:t>–</w:t>
            </w:r>
          </w:p>
        </w:tc>
        <w:tc>
          <w:tcPr>
            <w:tcW w:w="1270" w:type="dxa"/>
          </w:tcPr>
          <w:p w14:paraId="046058CF" w14:textId="7EC970D9" w:rsidR="000D3EFD" w:rsidRPr="004C00FA" w:rsidRDefault="000D3EFD" w:rsidP="004C00FA">
            <w:pPr>
              <w:pStyle w:val="TableCopy"/>
              <w:jc w:val="right"/>
              <w:rPr>
                <w:b/>
                <w:bCs/>
              </w:rPr>
            </w:pPr>
            <w:r w:rsidRPr="004C00FA">
              <w:rPr>
                <w:b/>
                <w:bCs/>
              </w:rPr>
              <w:t>–</w:t>
            </w:r>
          </w:p>
        </w:tc>
        <w:tc>
          <w:tcPr>
            <w:tcW w:w="1270" w:type="dxa"/>
          </w:tcPr>
          <w:p w14:paraId="7F3BB4DE" w14:textId="77777777" w:rsidR="000D3EFD" w:rsidRPr="004C00FA" w:rsidRDefault="000D3EFD" w:rsidP="004C00FA">
            <w:pPr>
              <w:pStyle w:val="TableCopy"/>
              <w:jc w:val="right"/>
              <w:rPr>
                <w:b/>
                <w:bCs/>
              </w:rPr>
            </w:pPr>
            <w:r w:rsidRPr="004C00FA">
              <w:rPr>
                <w:b/>
                <w:bCs/>
              </w:rPr>
              <w:t>(31)</w:t>
            </w:r>
          </w:p>
        </w:tc>
        <w:tc>
          <w:tcPr>
            <w:tcW w:w="1270" w:type="dxa"/>
          </w:tcPr>
          <w:p w14:paraId="3096A747" w14:textId="0D430DA5" w:rsidR="000D3EFD" w:rsidRPr="004C00FA" w:rsidRDefault="000D3EFD" w:rsidP="004C00FA">
            <w:pPr>
              <w:pStyle w:val="TableCopy"/>
              <w:jc w:val="right"/>
              <w:rPr>
                <w:b/>
                <w:bCs/>
              </w:rPr>
            </w:pPr>
            <w:r w:rsidRPr="004C00FA">
              <w:rPr>
                <w:b/>
                <w:bCs/>
              </w:rPr>
              <w:t>–</w:t>
            </w:r>
          </w:p>
        </w:tc>
        <w:tc>
          <w:tcPr>
            <w:tcW w:w="1270" w:type="dxa"/>
          </w:tcPr>
          <w:p w14:paraId="1E9C27BC" w14:textId="77777777" w:rsidR="000D3EFD" w:rsidRPr="004C00FA" w:rsidRDefault="000D3EFD" w:rsidP="004C00FA">
            <w:pPr>
              <w:pStyle w:val="TableCopy"/>
              <w:jc w:val="right"/>
              <w:rPr>
                <w:b/>
                <w:bCs/>
              </w:rPr>
            </w:pPr>
            <w:r w:rsidRPr="004C00FA">
              <w:rPr>
                <w:b/>
                <w:bCs/>
              </w:rPr>
              <w:t>(34)</w:t>
            </w:r>
          </w:p>
        </w:tc>
        <w:tc>
          <w:tcPr>
            <w:tcW w:w="1270" w:type="dxa"/>
          </w:tcPr>
          <w:p w14:paraId="67AD2213" w14:textId="23B441F3" w:rsidR="000D3EFD" w:rsidRPr="004C00FA" w:rsidRDefault="000D3EFD" w:rsidP="004C00FA">
            <w:pPr>
              <w:pStyle w:val="TableCopy"/>
              <w:jc w:val="right"/>
              <w:rPr>
                <w:b/>
                <w:bCs/>
              </w:rPr>
            </w:pPr>
            <w:r w:rsidRPr="004C00FA">
              <w:rPr>
                <w:b/>
                <w:bCs/>
              </w:rPr>
              <w:t>–</w:t>
            </w:r>
          </w:p>
        </w:tc>
        <w:tc>
          <w:tcPr>
            <w:tcW w:w="1270" w:type="dxa"/>
          </w:tcPr>
          <w:p w14:paraId="78011761" w14:textId="77777777" w:rsidR="000D3EFD" w:rsidRPr="004C00FA" w:rsidRDefault="000D3EFD" w:rsidP="004C00FA">
            <w:pPr>
              <w:pStyle w:val="TableCopy"/>
              <w:jc w:val="right"/>
              <w:rPr>
                <w:b/>
                <w:bCs/>
              </w:rPr>
            </w:pPr>
            <w:r w:rsidRPr="004C00FA">
              <w:rPr>
                <w:b/>
                <w:bCs/>
              </w:rPr>
              <w:t>(2)</w:t>
            </w:r>
          </w:p>
        </w:tc>
      </w:tr>
      <w:tr w:rsidR="000D3EFD" w:rsidRPr="004C00FA" w14:paraId="61A17893" w14:textId="77777777" w:rsidTr="004C00FA">
        <w:trPr>
          <w:trHeight w:val="113"/>
        </w:trPr>
        <w:tc>
          <w:tcPr>
            <w:tcW w:w="4815" w:type="dxa"/>
          </w:tcPr>
          <w:p w14:paraId="499CFC2A" w14:textId="7175FAA5" w:rsidR="000D3EFD" w:rsidRPr="004C00FA" w:rsidRDefault="000D3EFD" w:rsidP="004C00FA">
            <w:pPr>
              <w:pStyle w:val="TableCopy"/>
              <w:rPr>
                <w:b/>
                <w:bCs/>
              </w:rPr>
            </w:pPr>
            <w:r w:rsidRPr="004C00FA">
              <w:rPr>
                <w:b/>
                <w:bCs/>
              </w:rPr>
              <w:t>Total administered comprehensive result</w:t>
            </w:r>
          </w:p>
        </w:tc>
        <w:tc>
          <w:tcPr>
            <w:tcW w:w="1269" w:type="dxa"/>
          </w:tcPr>
          <w:p w14:paraId="2682B991" w14:textId="64C18E07" w:rsidR="000D3EFD" w:rsidRPr="004C00FA" w:rsidRDefault="000D3EFD" w:rsidP="004C00FA">
            <w:pPr>
              <w:pStyle w:val="TableCopy"/>
              <w:jc w:val="right"/>
              <w:rPr>
                <w:b/>
                <w:bCs/>
              </w:rPr>
            </w:pPr>
            <w:r w:rsidRPr="004C00FA">
              <w:rPr>
                <w:b/>
                <w:bCs/>
              </w:rPr>
              <w:t>–</w:t>
            </w:r>
          </w:p>
        </w:tc>
        <w:tc>
          <w:tcPr>
            <w:tcW w:w="1270" w:type="dxa"/>
          </w:tcPr>
          <w:p w14:paraId="0015AF25" w14:textId="78926E4A" w:rsidR="000D3EFD" w:rsidRPr="004C00FA" w:rsidRDefault="000D3EFD" w:rsidP="004C00FA">
            <w:pPr>
              <w:pStyle w:val="TableCopy"/>
              <w:jc w:val="right"/>
              <w:rPr>
                <w:b/>
                <w:bCs/>
              </w:rPr>
            </w:pPr>
            <w:r w:rsidRPr="004C00FA">
              <w:rPr>
                <w:b/>
                <w:bCs/>
              </w:rPr>
              <w:t>–</w:t>
            </w:r>
          </w:p>
        </w:tc>
        <w:tc>
          <w:tcPr>
            <w:tcW w:w="1270" w:type="dxa"/>
          </w:tcPr>
          <w:p w14:paraId="4960A001" w14:textId="77777777" w:rsidR="000D3EFD" w:rsidRPr="004C00FA" w:rsidRDefault="000D3EFD" w:rsidP="004C00FA">
            <w:pPr>
              <w:pStyle w:val="TableCopy"/>
              <w:jc w:val="right"/>
              <w:rPr>
                <w:b/>
                <w:bCs/>
              </w:rPr>
            </w:pPr>
            <w:r w:rsidRPr="004C00FA">
              <w:rPr>
                <w:b/>
                <w:bCs/>
              </w:rPr>
              <w:t>(1,109)</w:t>
            </w:r>
          </w:p>
        </w:tc>
        <w:tc>
          <w:tcPr>
            <w:tcW w:w="1270" w:type="dxa"/>
          </w:tcPr>
          <w:p w14:paraId="1AE71172" w14:textId="249E00A6" w:rsidR="000D3EFD" w:rsidRPr="004C00FA" w:rsidRDefault="000D3EFD" w:rsidP="004C00FA">
            <w:pPr>
              <w:pStyle w:val="TableCopy"/>
              <w:jc w:val="right"/>
              <w:rPr>
                <w:b/>
                <w:bCs/>
              </w:rPr>
            </w:pPr>
            <w:r w:rsidRPr="004C00FA">
              <w:rPr>
                <w:b/>
                <w:bCs/>
              </w:rPr>
              <w:t>269</w:t>
            </w:r>
          </w:p>
        </w:tc>
        <w:tc>
          <w:tcPr>
            <w:tcW w:w="1270" w:type="dxa"/>
          </w:tcPr>
          <w:p w14:paraId="2D94F60B" w14:textId="77777777" w:rsidR="000D3EFD" w:rsidRPr="004C00FA" w:rsidRDefault="000D3EFD" w:rsidP="004C00FA">
            <w:pPr>
              <w:pStyle w:val="TableCopy"/>
              <w:jc w:val="right"/>
              <w:rPr>
                <w:b/>
                <w:bCs/>
              </w:rPr>
            </w:pPr>
            <w:r w:rsidRPr="004C00FA">
              <w:rPr>
                <w:b/>
                <w:bCs/>
              </w:rPr>
              <w:t>(355)</w:t>
            </w:r>
          </w:p>
        </w:tc>
        <w:tc>
          <w:tcPr>
            <w:tcW w:w="1270" w:type="dxa"/>
          </w:tcPr>
          <w:p w14:paraId="46AFBD3E" w14:textId="77777777" w:rsidR="000D3EFD" w:rsidRPr="004C00FA" w:rsidRDefault="000D3EFD" w:rsidP="004C00FA">
            <w:pPr>
              <w:pStyle w:val="TableCopy"/>
              <w:jc w:val="right"/>
              <w:rPr>
                <w:b/>
                <w:bCs/>
              </w:rPr>
            </w:pPr>
            <w:r w:rsidRPr="004C00FA">
              <w:rPr>
                <w:b/>
                <w:bCs/>
              </w:rPr>
              <w:t>(237)</w:t>
            </w:r>
          </w:p>
        </w:tc>
        <w:tc>
          <w:tcPr>
            <w:tcW w:w="1270" w:type="dxa"/>
          </w:tcPr>
          <w:p w14:paraId="5EFBC4AB" w14:textId="755A472A" w:rsidR="000D3EFD" w:rsidRPr="004C00FA" w:rsidRDefault="000D3EFD" w:rsidP="004C00FA">
            <w:pPr>
              <w:pStyle w:val="TableCopy"/>
              <w:jc w:val="right"/>
              <w:rPr>
                <w:b/>
                <w:bCs/>
              </w:rPr>
            </w:pPr>
            <w:r w:rsidRPr="004C00FA">
              <w:rPr>
                <w:b/>
                <w:bCs/>
              </w:rPr>
              <w:t>–</w:t>
            </w:r>
          </w:p>
        </w:tc>
        <w:tc>
          <w:tcPr>
            <w:tcW w:w="1270" w:type="dxa"/>
          </w:tcPr>
          <w:p w14:paraId="7BB4C975" w14:textId="23691543" w:rsidR="000D3EFD" w:rsidRPr="004C00FA" w:rsidRDefault="000D3EFD" w:rsidP="004C00FA">
            <w:pPr>
              <w:pStyle w:val="TableCopy"/>
              <w:jc w:val="right"/>
              <w:rPr>
                <w:b/>
                <w:bCs/>
              </w:rPr>
            </w:pPr>
            <w:r w:rsidRPr="004C00FA">
              <w:rPr>
                <w:b/>
                <w:bCs/>
              </w:rPr>
              <w:t>10</w:t>
            </w:r>
          </w:p>
        </w:tc>
      </w:tr>
    </w:tbl>
    <w:p w14:paraId="0CC8ABB2" w14:textId="52DDFEA9" w:rsidR="000756EB" w:rsidRDefault="004A4D88" w:rsidP="004C00FA">
      <w:pPr>
        <w:pStyle w:val="FootnoteText"/>
        <w:spacing w:before="120" w:after="280"/>
        <w:rPr>
          <w:i/>
          <w:iCs/>
        </w:rPr>
      </w:pPr>
      <w:r>
        <w:t>(</w:t>
      </w:r>
      <w:proofErr w:type="spellStart"/>
      <w:r>
        <w:t>i</w:t>
      </w:r>
      <w:proofErr w:type="spellEnd"/>
      <w:r>
        <w:t>)</w:t>
      </w:r>
      <w:r w:rsidR="004C00FA">
        <w:t xml:space="preserve"> </w:t>
      </w:r>
      <w:r>
        <w:t>For</w:t>
      </w:r>
      <w:r w:rsidR="00A03629">
        <w:t xml:space="preserve"> </w:t>
      </w:r>
      <w:r>
        <w:t>the</w:t>
      </w:r>
      <w:r w:rsidR="00A03629">
        <w:t xml:space="preserve"> </w:t>
      </w:r>
      <w:r>
        <w:t>functions</w:t>
      </w:r>
      <w:r w:rsidR="00A03629">
        <w:t xml:space="preserve"> </w:t>
      </w:r>
      <w:r>
        <w:t>assumed</w:t>
      </w:r>
      <w:r w:rsidR="00A03629">
        <w:t xml:space="preserve"> </w:t>
      </w:r>
      <w:proofErr w:type="gramStart"/>
      <w:r>
        <w:t>as</w:t>
      </w:r>
      <w:r w:rsidR="00A03629">
        <w:t xml:space="preserve"> </w:t>
      </w:r>
      <w:r>
        <w:t>a</w:t>
      </w:r>
      <w:r w:rsidR="00A03629">
        <w:t xml:space="preserve"> </w:t>
      </w:r>
      <w:r>
        <w:t>result</w:t>
      </w:r>
      <w:r w:rsidR="00A03629">
        <w:t xml:space="preserve"> </w:t>
      </w:r>
      <w:r>
        <w:t>of</w:t>
      </w:r>
      <w:proofErr w:type="gramEnd"/>
      <w:r w:rsidR="00A03629">
        <w:t xml:space="preserve"> </w:t>
      </w:r>
      <w:r>
        <w:t>the</w:t>
      </w:r>
      <w:r w:rsidR="00A03629">
        <w:t xml:space="preserve"> </w:t>
      </w:r>
      <w:r>
        <w:t>machinery</w:t>
      </w:r>
      <w:r w:rsidR="00A03629">
        <w:t xml:space="preserve"> </w:t>
      </w:r>
      <w:r>
        <w:t>of</w:t>
      </w:r>
      <w:r w:rsidR="00A03629">
        <w:t xml:space="preserve"> </w:t>
      </w:r>
      <w:r>
        <w:t>government</w:t>
      </w:r>
      <w:r w:rsidR="00A03629">
        <w:t xml:space="preserve"> </w:t>
      </w:r>
      <w:r>
        <w:t>changes,</w:t>
      </w:r>
      <w:r w:rsidR="00A03629">
        <w:t xml:space="preserve"> </w:t>
      </w:r>
      <w:r>
        <w:t>the</w:t>
      </w:r>
      <w:r w:rsidR="00A03629">
        <w:t xml:space="preserve"> </w:t>
      </w:r>
      <w:r>
        <w:t>2023</w:t>
      </w:r>
      <w:r w:rsidR="00A03629">
        <w:t xml:space="preserve"> </w:t>
      </w:r>
      <w:r>
        <w:t>outputs</w:t>
      </w:r>
      <w:r w:rsidR="00A03629">
        <w:t xml:space="preserve"> </w:t>
      </w:r>
      <w:r>
        <w:t>are</w:t>
      </w:r>
      <w:r w:rsidR="00A03629">
        <w:t xml:space="preserve"> </w:t>
      </w:r>
      <w:r>
        <w:t>for</w:t>
      </w:r>
      <w:r w:rsidR="00A03629">
        <w:t xml:space="preserve"> </w:t>
      </w:r>
      <w:r>
        <w:t>the</w:t>
      </w:r>
      <w:r w:rsidR="00A03629">
        <w:t xml:space="preserve"> </w:t>
      </w:r>
      <w:r>
        <w:t>period</w:t>
      </w:r>
      <w:r w:rsidR="00A03629">
        <w:t xml:space="preserve"> </w:t>
      </w:r>
      <w:r>
        <w:t>from</w:t>
      </w:r>
      <w:r w:rsidR="00A03629">
        <w:t xml:space="preserve"> </w:t>
      </w:r>
      <w:r>
        <w:t>1</w:t>
      </w:r>
      <w:r w:rsidR="00A03629">
        <w:t xml:space="preserve"> </w:t>
      </w:r>
      <w:r>
        <w:t>January</w:t>
      </w:r>
      <w:r w:rsidR="00A03629">
        <w:t xml:space="preserve"> </w:t>
      </w:r>
      <w:r>
        <w:t>2023</w:t>
      </w:r>
      <w:r w:rsidR="00A03629">
        <w:t xml:space="preserve"> </w:t>
      </w:r>
      <w:r>
        <w:t>to</w:t>
      </w:r>
      <w:r w:rsidR="00A03629">
        <w:t xml:space="preserve"> </w:t>
      </w:r>
      <w:r>
        <w:t>30</w:t>
      </w:r>
      <w:r w:rsidR="00A03629">
        <w:t xml:space="preserve"> </w:t>
      </w:r>
      <w:r>
        <w:t>June</w:t>
      </w:r>
      <w:r w:rsidR="00A03629">
        <w:t xml:space="preserve"> </w:t>
      </w:r>
      <w:r>
        <w:t>2023</w:t>
      </w:r>
      <w:r w:rsidR="00A03629">
        <w:t xml:space="preserve"> </w:t>
      </w:r>
      <w:r>
        <w:t>with</w:t>
      </w:r>
      <w:r w:rsidR="00A03629">
        <w:t xml:space="preserve"> </w:t>
      </w:r>
      <w:r>
        <w:t>no</w:t>
      </w:r>
      <w:r w:rsidR="00A03629">
        <w:t xml:space="preserve"> </w:t>
      </w:r>
      <w:r>
        <w:t>outputs</w:t>
      </w:r>
      <w:r w:rsidR="00A03629">
        <w:t xml:space="preserve"> </w:t>
      </w:r>
      <w:r>
        <w:t>for</w:t>
      </w:r>
      <w:r w:rsidR="00A03629">
        <w:t xml:space="preserve"> </w:t>
      </w:r>
      <w:r>
        <w:t>2022.</w:t>
      </w:r>
    </w:p>
    <w:p w14:paraId="096F78D9" w14:textId="468980D7" w:rsidR="000756EB" w:rsidRDefault="004A4D88" w:rsidP="004C00FA">
      <w:pPr>
        <w:pStyle w:val="Heading3"/>
      </w:pPr>
      <w:r>
        <w:lastRenderedPageBreak/>
        <w:t>4.2.2</w:t>
      </w:r>
      <w:r w:rsidR="00DE38B5">
        <w:t xml:space="preserve"> </w:t>
      </w:r>
      <w:r>
        <w:t>Administered</w:t>
      </w:r>
      <w:r w:rsidR="00A03629">
        <w:t xml:space="preserve"> </w:t>
      </w:r>
      <w:r>
        <w:t>revenue</w:t>
      </w:r>
      <w:r w:rsidR="00A03629">
        <w:t xml:space="preserve"> </w:t>
      </w:r>
      <w:r>
        <w:t>and</w:t>
      </w:r>
      <w:r w:rsidR="00A03629">
        <w:t xml:space="preserve"> </w:t>
      </w:r>
      <w:r>
        <w:t>income</w:t>
      </w:r>
      <w:r w:rsidR="00A03629">
        <w:t xml:space="preserve"> </w:t>
      </w:r>
      <w:r>
        <w:t>and</w:t>
      </w:r>
      <w:r w:rsidR="00A03629">
        <w:t xml:space="preserve"> </w:t>
      </w:r>
      <w:r>
        <w:t>expenses</w:t>
      </w:r>
      <w:r w:rsidR="00A03629">
        <w:t xml:space="preserve"> </w:t>
      </w:r>
      <w:r>
        <w:t>for</w:t>
      </w:r>
      <w:r w:rsidR="00A03629">
        <w:t xml:space="preserve"> </w:t>
      </w:r>
      <w:r>
        <w:t>the</w:t>
      </w:r>
      <w:r w:rsidR="00A03629">
        <w:t xml:space="preserve"> </w:t>
      </w:r>
      <w:r>
        <w:t>year</w:t>
      </w:r>
      <w:r w:rsidR="00A03629">
        <w:t xml:space="preserve"> </w:t>
      </w:r>
      <w:r>
        <w:t>ended</w:t>
      </w:r>
      <w:r w:rsidR="00A03629">
        <w:t xml:space="preserve"> </w:t>
      </w:r>
      <w:r>
        <w:t>30</w:t>
      </w:r>
      <w:r w:rsidR="00A03629">
        <w:t xml:space="preserve"> </w:t>
      </w:r>
      <w:r>
        <w:t>June</w:t>
      </w:r>
      <w:r w:rsidR="00A03629">
        <w:t xml:space="preserve"> </w:t>
      </w:r>
      <w:r>
        <w:t>2023</w:t>
      </w:r>
      <w:r w:rsidR="00A03629">
        <w:t xml:space="preserve"> </w:t>
      </w:r>
      <w:r>
        <w:t>(continued)</w:t>
      </w:r>
      <w:r w:rsidR="004C00FA">
        <w:t xml:space="preserve"> </w:t>
      </w:r>
      <w:r>
        <w:t>Department</w:t>
      </w:r>
      <w:r w:rsidR="00A03629">
        <w:t xml:space="preserve"> </w:t>
      </w:r>
      <w:r>
        <w:t>of</w:t>
      </w:r>
      <w:r w:rsidR="00A03629">
        <w:t xml:space="preserve"> </w:t>
      </w:r>
      <w:r>
        <w:t>Jobs,</w:t>
      </w:r>
      <w:r w:rsidR="00A03629">
        <w:t xml:space="preserve"> </w:t>
      </w:r>
      <w:r>
        <w:t>Skills,</w:t>
      </w:r>
      <w:r w:rsidR="00A03629">
        <w:t xml:space="preserve"> </w:t>
      </w:r>
      <w:r>
        <w:t>Industry</w:t>
      </w:r>
      <w:r w:rsidR="00A03629">
        <w:t xml:space="preserve"> </w:t>
      </w:r>
      <w:r>
        <w:t>and</w:t>
      </w:r>
      <w:r w:rsidR="00A03629">
        <w:t xml:space="preserve"> </w:t>
      </w:r>
      <w:r>
        <w:t>Regions</w:t>
      </w:r>
      <w:r w:rsidR="00A03629">
        <w:t xml:space="preserve"> </w:t>
      </w:r>
      <w:r>
        <w:t>Outputs</w:t>
      </w:r>
    </w:p>
    <w:tbl>
      <w:tblPr>
        <w:tblStyle w:val="TableGrid"/>
        <w:tblW w:w="14879" w:type="dxa"/>
        <w:tblLayout w:type="fixed"/>
        <w:tblLook w:val="0020" w:firstRow="1" w:lastRow="0" w:firstColumn="0" w:lastColumn="0" w:noHBand="0" w:noVBand="0"/>
      </w:tblPr>
      <w:tblGrid>
        <w:gridCol w:w="4106"/>
        <w:gridCol w:w="1275"/>
        <w:gridCol w:w="1276"/>
        <w:gridCol w:w="1276"/>
        <w:gridCol w:w="1276"/>
        <w:gridCol w:w="1559"/>
        <w:gridCol w:w="1559"/>
        <w:gridCol w:w="1277"/>
        <w:gridCol w:w="1275"/>
      </w:tblGrid>
      <w:tr w:rsidR="004C00FA" w:rsidRPr="004C00FA" w14:paraId="566433A7" w14:textId="77777777" w:rsidTr="002B0815">
        <w:trPr>
          <w:cantSplit/>
          <w:tblHeader/>
        </w:trPr>
        <w:tc>
          <w:tcPr>
            <w:tcW w:w="4106" w:type="dxa"/>
          </w:tcPr>
          <w:p w14:paraId="7A026DDA" w14:textId="77777777" w:rsidR="004C00FA" w:rsidRPr="004C00FA" w:rsidRDefault="004C00FA" w:rsidP="004C00FA">
            <w:pPr>
              <w:pStyle w:val="TableColumnHeading"/>
              <w:rPr>
                <w:rFonts w:asciiTheme="minorHAnsi" w:hAnsiTheme="minorHAnsi" w:cstheme="minorHAnsi"/>
                <w:sz w:val="20"/>
                <w:szCs w:val="28"/>
              </w:rPr>
            </w:pPr>
            <w:bookmarkStart w:id="51" w:name="ColumnTitles_27"/>
            <w:bookmarkEnd w:id="51"/>
          </w:p>
        </w:tc>
        <w:tc>
          <w:tcPr>
            <w:tcW w:w="1275" w:type="dxa"/>
          </w:tcPr>
          <w:p w14:paraId="4A3D4D04" w14:textId="670BB93F" w:rsidR="004C00FA" w:rsidRPr="004C00FA" w:rsidRDefault="004C00FA" w:rsidP="002B0815">
            <w:pPr>
              <w:pStyle w:val="TableColumnHeading"/>
              <w:jc w:val="right"/>
              <w:rPr>
                <w:rFonts w:asciiTheme="minorHAnsi" w:hAnsiTheme="minorHAnsi" w:cstheme="minorHAnsi"/>
                <w:sz w:val="20"/>
                <w:szCs w:val="28"/>
              </w:rPr>
            </w:pPr>
            <w:r w:rsidRPr="004C00FA">
              <w:rPr>
                <w:rFonts w:asciiTheme="minorHAnsi" w:hAnsiTheme="minorHAnsi" w:cstheme="minorHAnsi"/>
                <w:sz w:val="20"/>
                <w:szCs w:val="28"/>
              </w:rPr>
              <w:t xml:space="preserve">Tourism and Major Events 2023 ($ thousand) </w:t>
            </w:r>
          </w:p>
        </w:tc>
        <w:tc>
          <w:tcPr>
            <w:tcW w:w="1276" w:type="dxa"/>
          </w:tcPr>
          <w:p w14:paraId="2CC06001" w14:textId="4341A8BE" w:rsidR="004C00FA" w:rsidRPr="004C00FA" w:rsidRDefault="004C00FA" w:rsidP="002B0815">
            <w:pPr>
              <w:pStyle w:val="TableColumnHeading"/>
              <w:jc w:val="right"/>
              <w:rPr>
                <w:rFonts w:asciiTheme="minorHAnsi" w:hAnsiTheme="minorHAnsi" w:cstheme="minorHAnsi"/>
                <w:sz w:val="20"/>
                <w:szCs w:val="28"/>
              </w:rPr>
            </w:pPr>
            <w:r w:rsidRPr="004C00FA">
              <w:rPr>
                <w:rFonts w:asciiTheme="minorHAnsi" w:hAnsiTheme="minorHAnsi" w:cstheme="minorHAnsi"/>
                <w:sz w:val="20"/>
                <w:szCs w:val="28"/>
              </w:rPr>
              <w:t>Tourism and Major Events 2022 ($ thousand)</w:t>
            </w:r>
          </w:p>
        </w:tc>
        <w:tc>
          <w:tcPr>
            <w:tcW w:w="1276" w:type="dxa"/>
          </w:tcPr>
          <w:p w14:paraId="26B61CB2" w14:textId="42E7BCCA" w:rsidR="004C00FA" w:rsidRPr="004C00FA" w:rsidRDefault="004C00FA" w:rsidP="002B0815">
            <w:pPr>
              <w:pStyle w:val="TableColumnHeading"/>
              <w:jc w:val="right"/>
              <w:rPr>
                <w:rFonts w:asciiTheme="minorHAnsi" w:hAnsiTheme="minorHAnsi" w:cstheme="minorHAnsi"/>
                <w:sz w:val="20"/>
                <w:szCs w:val="28"/>
              </w:rPr>
            </w:pPr>
            <w:r w:rsidRPr="004C00FA">
              <w:rPr>
                <w:rFonts w:asciiTheme="minorHAnsi" w:hAnsiTheme="minorHAnsi" w:cstheme="minorHAnsi"/>
                <w:sz w:val="20"/>
                <w:szCs w:val="28"/>
              </w:rPr>
              <w:t>Fishing, Boating and Game Manage</w:t>
            </w:r>
            <w:r w:rsidR="002B0815">
              <w:rPr>
                <w:rFonts w:asciiTheme="minorHAnsi" w:hAnsiTheme="minorHAnsi" w:cstheme="minorHAnsi"/>
                <w:sz w:val="20"/>
                <w:szCs w:val="28"/>
              </w:rPr>
              <w:t>-</w:t>
            </w:r>
            <w:proofErr w:type="spellStart"/>
            <w:r w:rsidRPr="004C00FA">
              <w:rPr>
                <w:rFonts w:asciiTheme="minorHAnsi" w:hAnsiTheme="minorHAnsi" w:cstheme="minorHAnsi"/>
                <w:sz w:val="20"/>
                <w:szCs w:val="28"/>
              </w:rPr>
              <w:t>ment</w:t>
            </w:r>
            <w:proofErr w:type="spellEnd"/>
            <w:r w:rsidRPr="00614829">
              <w:rPr>
                <w:rStyle w:val="FootnotereferencessuperscriptMisc"/>
                <w:sz w:val="20"/>
                <w:szCs w:val="28"/>
              </w:rPr>
              <w:t xml:space="preserve"> (</w:t>
            </w:r>
            <w:proofErr w:type="spellStart"/>
            <w:r w:rsidRPr="00614829">
              <w:rPr>
                <w:rStyle w:val="FootnotereferencessuperscriptMisc"/>
                <w:sz w:val="20"/>
                <w:szCs w:val="28"/>
              </w:rPr>
              <w:t>i</w:t>
            </w:r>
            <w:proofErr w:type="spellEnd"/>
            <w:r w:rsidRPr="00614829">
              <w:rPr>
                <w:rStyle w:val="FootnotereferencessuperscriptMisc"/>
                <w:sz w:val="20"/>
                <w:szCs w:val="28"/>
              </w:rPr>
              <w:t>)</w:t>
            </w:r>
            <w:r w:rsidRPr="004C00FA">
              <w:rPr>
                <w:rFonts w:asciiTheme="minorHAnsi" w:hAnsiTheme="minorHAnsi" w:cstheme="minorHAnsi"/>
                <w:sz w:val="20"/>
                <w:szCs w:val="28"/>
              </w:rPr>
              <w:t xml:space="preserve"> 2023 ($ thousand) </w:t>
            </w:r>
          </w:p>
        </w:tc>
        <w:tc>
          <w:tcPr>
            <w:tcW w:w="1276" w:type="dxa"/>
          </w:tcPr>
          <w:p w14:paraId="33778FE3" w14:textId="4F425BC9" w:rsidR="004C00FA" w:rsidRPr="004C00FA" w:rsidRDefault="004C00FA" w:rsidP="002B0815">
            <w:pPr>
              <w:pStyle w:val="TableColumnHeading"/>
              <w:jc w:val="right"/>
              <w:rPr>
                <w:rFonts w:asciiTheme="minorHAnsi" w:hAnsiTheme="minorHAnsi" w:cstheme="minorHAnsi"/>
                <w:sz w:val="20"/>
                <w:szCs w:val="28"/>
              </w:rPr>
            </w:pPr>
            <w:r w:rsidRPr="004C00FA">
              <w:rPr>
                <w:rFonts w:asciiTheme="minorHAnsi" w:hAnsiTheme="minorHAnsi" w:cstheme="minorHAnsi"/>
                <w:sz w:val="20"/>
                <w:szCs w:val="28"/>
              </w:rPr>
              <w:t>Fishing, Boating and Game Manage</w:t>
            </w:r>
            <w:r w:rsidR="002B0815">
              <w:rPr>
                <w:rFonts w:asciiTheme="minorHAnsi" w:hAnsiTheme="minorHAnsi" w:cstheme="minorHAnsi"/>
                <w:sz w:val="20"/>
                <w:szCs w:val="28"/>
              </w:rPr>
              <w:t>-</w:t>
            </w:r>
            <w:proofErr w:type="spellStart"/>
            <w:r w:rsidRPr="004C00FA">
              <w:rPr>
                <w:rFonts w:asciiTheme="minorHAnsi" w:hAnsiTheme="minorHAnsi" w:cstheme="minorHAnsi"/>
                <w:sz w:val="20"/>
                <w:szCs w:val="28"/>
              </w:rPr>
              <w:t>ment</w:t>
            </w:r>
            <w:proofErr w:type="spellEnd"/>
            <w:r w:rsidRPr="00614829">
              <w:rPr>
                <w:rStyle w:val="FootnotereferencessuperscriptMisc"/>
                <w:sz w:val="20"/>
                <w:szCs w:val="28"/>
              </w:rPr>
              <w:t xml:space="preserve"> (</w:t>
            </w:r>
            <w:proofErr w:type="spellStart"/>
            <w:r w:rsidRPr="00614829">
              <w:rPr>
                <w:rStyle w:val="FootnotereferencessuperscriptMisc"/>
                <w:sz w:val="20"/>
                <w:szCs w:val="28"/>
              </w:rPr>
              <w:t>i</w:t>
            </w:r>
            <w:proofErr w:type="spellEnd"/>
            <w:r w:rsidRPr="00614829">
              <w:rPr>
                <w:rStyle w:val="FootnotereferencessuperscriptMisc"/>
                <w:sz w:val="20"/>
                <w:szCs w:val="28"/>
              </w:rPr>
              <w:t>)</w:t>
            </w:r>
            <w:r w:rsidRPr="004C00FA">
              <w:rPr>
                <w:rFonts w:asciiTheme="minorHAnsi" w:hAnsiTheme="minorHAnsi" w:cstheme="minorHAnsi"/>
                <w:sz w:val="20"/>
                <w:szCs w:val="28"/>
              </w:rPr>
              <w:t xml:space="preserve"> 2022 ($ thousand)</w:t>
            </w:r>
          </w:p>
        </w:tc>
        <w:tc>
          <w:tcPr>
            <w:tcW w:w="1559" w:type="dxa"/>
          </w:tcPr>
          <w:p w14:paraId="0CD7CC4A" w14:textId="49CCB9EE" w:rsidR="004C00FA" w:rsidRPr="004C00FA" w:rsidRDefault="004C00FA" w:rsidP="002B0815">
            <w:pPr>
              <w:pStyle w:val="TableColumnHeading"/>
              <w:jc w:val="right"/>
              <w:rPr>
                <w:rFonts w:asciiTheme="minorHAnsi" w:hAnsiTheme="minorHAnsi" w:cstheme="minorHAnsi"/>
                <w:sz w:val="20"/>
                <w:szCs w:val="28"/>
              </w:rPr>
            </w:pPr>
            <w:r w:rsidRPr="004C00FA">
              <w:rPr>
                <w:rFonts w:asciiTheme="minorHAnsi" w:hAnsiTheme="minorHAnsi" w:cstheme="minorHAnsi"/>
                <w:sz w:val="20"/>
                <w:szCs w:val="28"/>
              </w:rPr>
              <w:t>Training, Higher Education and Workforce Development</w:t>
            </w:r>
            <w:r w:rsidRPr="00614829">
              <w:rPr>
                <w:rStyle w:val="FootnotereferencessuperscriptMisc"/>
                <w:sz w:val="20"/>
                <w:szCs w:val="28"/>
              </w:rPr>
              <w:t xml:space="preserve"> (</w:t>
            </w:r>
            <w:proofErr w:type="spellStart"/>
            <w:r w:rsidRPr="00614829">
              <w:rPr>
                <w:rStyle w:val="FootnotereferencessuperscriptMisc"/>
                <w:sz w:val="20"/>
                <w:szCs w:val="28"/>
              </w:rPr>
              <w:t>i</w:t>
            </w:r>
            <w:proofErr w:type="spellEnd"/>
            <w:r w:rsidRPr="00614829">
              <w:rPr>
                <w:rStyle w:val="FootnotereferencessuperscriptMisc"/>
                <w:sz w:val="20"/>
                <w:szCs w:val="28"/>
              </w:rPr>
              <w:t>)</w:t>
            </w:r>
            <w:r w:rsidRPr="004C00FA">
              <w:rPr>
                <w:rFonts w:asciiTheme="minorHAnsi" w:hAnsiTheme="minorHAnsi" w:cstheme="minorHAnsi"/>
                <w:sz w:val="20"/>
                <w:szCs w:val="28"/>
              </w:rPr>
              <w:t xml:space="preserve"> 2023 ($ thousand) </w:t>
            </w:r>
          </w:p>
        </w:tc>
        <w:tc>
          <w:tcPr>
            <w:tcW w:w="1559" w:type="dxa"/>
          </w:tcPr>
          <w:p w14:paraId="4DC4D7AC" w14:textId="4E134E69" w:rsidR="004C00FA" w:rsidRPr="004C00FA" w:rsidRDefault="004C00FA" w:rsidP="002B0815">
            <w:pPr>
              <w:pStyle w:val="TableColumnHeading"/>
              <w:jc w:val="right"/>
              <w:rPr>
                <w:rFonts w:asciiTheme="minorHAnsi" w:hAnsiTheme="minorHAnsi" w:cstheme="minorHAnsi"/>
                <w:sz w:val="20"/>
                <w:szCs w:val="28"/>
              </w:rPr>
            </w:pPr>
            <w:r w:rsidRPr="004C00FA">
              <w:rPr>
                <w:rFonts w:asciiTheme="minorHAnsi" w:hAnsiTheme="minorHAnsi" w:cstheme="minorHAnsi"/>
                <w:sz w:val="20"/>
                <w:szCs w:val="28"/>
              </w:rPr>
              <w:t>Training, Higher Education and Workforce Development</w:t>
            </w:r>
            <w:r w:rsidRPr="00614829">
              <w:rPr>
                <w:rStyle w:val="FootnotereferencessuperscriptMisc"/>
                <w:sz w:val="20"/>
                <w:szCs w:val="28"/>
              </w:rPr>
              <w:t xml:space="preserve"> (</w:t>
            </w:r>
            <w:proofErr w:type="spellStart"/>
            <w:r w:rsidRPr="00614829">
              <w:rPr>
                <w:rStyle w:val="FootnotereferencessuperscriptMisc"/>
                <w:sz w:val="20"/>
                <w:szCs w:val="28"/>
              </w:rPr>
              <w:t>i</w:t>
            </w:r>
            <w:proofErr w:type="spellEnd"/>
            <w:r w:rsidRPr="00614829">
              <w:rPr>
                <w:rStyle w:val="FootnotereferencessuperscriptMisc"/>
                <w:sz w:val="20"/>
                <w:szCs w:val="28"/>
              </w:rPr>
              <w:t>)</w:t>
            </w:r>
            <w:r w:rsidRPr="004C00FA">
              <w:rPr>
                <w:rFonts w:asciiTheme="minorHAnsi" w:hAnsiTheme="minorHAnsi" w:cstheme="minorHAnsi"/>
                <w:sz w:val="20"/>
                <w:szCs w:val="28"/>
              </w:rPr>
              <w:t xml:space="preserve"> 2022 ($ thousand)</w:t>
            </w:r>
          </w:p>
        </w:tc>
        <w:tc>
          <w:tcPr>
            <w:tcW w:w="1277" w:type="dxa"/>
          </w:tcPr>
          <w:p w14:paraId="1392C272" w14:textId="6ABF53D2" w:rsidR="004C00FA" w:rsidRPr="004C00FA" w:rsidRDefault="004C00FA" w:rsidP="002B0815">
            <w:pPr>
              <w:pStyle w:val="TableColumnHeading"/>
              <w:jc w:val="right"/>
              <w:rPr>
                <w:rFonts w:asciiTheme="minorHAnsi" w:hAnsiTheme="minorHAnsi" w:cstheme="minorHAnsi"/>
                <w:sz w:val="20"/>
                <w:szCs w:val="28"/>
              </w:rPr>
            </w:pPr>
            <w:r w:rsidRPr="004C00FA">
              <w:rPr>
                <w:rFonts w:asciiTheme="minorHAnsi" w:hAnsiTheme="minorHAnsi" w:cstheme="minorHAnsi"/>
                <w:sz w:val="20"/>
                <w:szCs w:val="28"/>
              </w:rPr>
              <w:t xml:space="preserve">DJSIR Existing and New Outputs Subtotal 2023 ($ thousand) </w:t>
            </w:r>
          </w:p>
        </w:tc>
        <w:tc>
          <w:tcPr>
            <w:tcW w:w="1275" w:type="dxa"/>
          </w:tcPr>
          <w:p w14:paraId="003A448B" w14:textId="3D884DF2" w:rsidR="004C00FA" w:rsidRPr="004C00FA" w:rsidRDefault="004C00FA" w:rsidP="002B0815">
            <w:pPr>
              <w:pStyle w:val="TableColumnHeading"/>
              <w:jc w:val="right"/>
              <w:rPr>
                <w:rFonts w:asciiTheme="minorHAnsi" w:hAnsiTheme="minorHAnsi" w:cstheme="minorHAnsi"/>
                <w:sz w:val="20"/>
                <w:szCs w:val="28"/>
              </w:rPr>
            </w:pPr>
            <w:r w:rsidRPr="004C00FA">
              <w:rPr>
                <w:rFonts w:asciiTheme="minorHAnsi" w:hAnsiTheme="minorHAnsi" w:cstheme="minorHAnsi"/>
                <w:sz w:val="20"/>
                <w:szCs w:val="28"/>
              </w:rPr>
              <w:t>DJSIR Existing and New Outputs Subtotal 2022 ($ thousand)</w:t>
            </w:r>
          </w:p>
        </w:tc>
      </w:tr>
      <w:tr w:rsidR="004C00FA" w:rsidRPr="002B0815" w14:paraId="5046AB9A" w14:textId="77777777" w:rsidTr="002B0815">
        <w:trPr>
          <w:cantSplit/>
        </w:trPr>
        <w:tc>
          <w:tcPr>
            <w:tcW w:w="4106" w:type="dxa"/>
          </w:tcPr>
          <w:p w14:paraId="5D1E7F7C" w14:textId="320781AC" w:rsidR="004C00FA" w:rsidRPr="002B0815" w:rsidRDefault="004C00FA" w:rsidP="002B0815">
            <w:pPr>
              <w:pStyle w:val="TableHeading"/>
            </w:pPr>
            <w:r w:rsidRPr="002B0815">
              <w:t>Administered revenue and income from transactions</w:t>
            </w:r>
          </w:p>
        </w:tc>
        <w:tc>
          <w:tcPr>
            <w:tcW w:w="1275" w:type="dxa"/>
          </w:tcPr>
          <w:p w14:paraId="760D9CE6" w14:textId="77777777" w:rsidR="004C00FA" w:rsidRPr="002B0815" w:rsidRDefault="004C00FA" w:rsidP="002B0815">
            <w:pPr>
              <w:pStyle w:val="TableHeading"/>
              <w:jc w:val="right"/>
            </w:pPr>
          </w:p>
        </w:tc>
        <w:tc>
          <w:tcPr>
            <w:tcW w:w="1276" w:type="dxa"/>
          </w:tcPr>
          <w:p w14:paraId="03491021" w14:textId="77777777" w:rsidR="004C00FA" w:rsidRPr="002B0815" w:rsidRDefault="004C00FA" w:rsidP="002B0815">
            <w:pPr>
              <w:pStyle w:val="TableHeading"/>
              <w:jc w:val="right"/>
            </w:pPr>
          </w:p>
        </w:tc>
        <w:tc>
          <w:tcPr>
            <w:tcW w:w="1276" w:type="dxa"/>
          </w:tcPr>
          <w:p w14:paraId="05585AB8" w14:textId="77777777" w:rsidR="004C00FA" w:rsidRPr="002B0815" w:rsidRDefault="004C00FA" w:rsidP="002B0815">
            <w:pPr>
              <w:pStyle w:val="TableHeading"/>
              <w:jc w:val="right"/>
            </w:pPr>
          </w:p>
        </w:tc>
        <w:tc>
          <w:tcPr>
            <w:tcW w:w="1276" w:type="dxa"/>
          </w:tcPr>
          <w:p w14:paraId="299CEA29" w14:textId="77777777" w:rsidR="004C00FA" w:rsidRPr="002B0815" w:rsidRDefault="004C00FA" w:rsidP="002B0815">
            <w:pPr>
              <w:pStyle w:val="TableHeading"/>
              <w:jc w:val="right"/>
            </w:pPr>
          </w:p>
        </w:tc>
        <w:tc>
          <w:tcPr>
            <w:tcW w:w="1559" w:type="dxa"/>
          </w:tcPr>
          <w:p w14:paraId="03CFEBE8" w14:textId="77777777" w:rsidR="004C00FA" w:rsidRPr="002B0815" w:rsidRDefault="004C00FA" w:rsidP="002B0815">
            <w:pPr>
              <w:pStyle w:val="TableHeading"/>
              <w:jc w:val="right"/>
            </w:pPr>
          </w:p>
        </w:tc>
        <w:tc>
          <w:tcPr>
            <w:tcW w:w="1559" w:type="dxa"/>
          </w:tcPr>
          <w:p w14:paraId="5A99E1EC" w14:textId="77777777" w:rsidR="004C00FA" w:rsidRPr="002B0815" w:rsidRDefault="004C00FA" w:rsidP="002B0815">
            <w:pPr>
              <w:pStyle w:val="TableHeading"/>
              <w:jc w:val="right"/>
            </w:pPr>
          </w:p>
        </w:tc>
        <w:tc>
          <w:tcPr>
            <w:tcW w:w="1277" w:type="dxa"/>
          </w:tcPr>
          <w:p w14:paraId="5C7CEEE1" w14:textId="77777777" w:rsidR="004C00FA" w:rsidRPr="002B0815" w:rsidRDefault="004C00FA" w:rsidP="002B0815">
            <w:pPr>
              <w:pStyle w:val="TableHeading"/>
              <w:jc w:val="right"/>
            </w:pPr>
          </w:p>
        </w:tc>
        <w:tc>
          <w:tcPr>
            <w:tcW w:w="1275" w:type="dxa"/>
          </w:tcPr>
          <w:p w14:paraId="3FE506E7" w14:textId="77777777" w:rsidR="004C00FA" w:rsidRPr="002B0815" w:rsidRDefault="004C00FA" w:rsidP="002B0815">
            <w:pPr>
              <w:pStyle w:val="TableHeading"/>
              <w:jc w:val="right"/>
            </w:pPr>
          </w:p>
        </w:tc>
      </w:tr>
      <w:tr w:rsidR="004C00FA" w:rsidRPr="002B0815" w14:paraId="46085523" w14:textId="77777777" w:rsidTr="002B0815">
        <w:trPr>
          <w:cantSplit/>
        </w:trPr>
        <w:tc>
          <w:tcPr>
            <w:tcW w:w="4106" w:type="dxa"/>
          </w:tcPr>
          <w:p w14:paraId="42320B10" w14:textId="39527FE9" w:rsidR="004C00FA" w:rsidRPr="002B0815" w:rsidRDefault="004C00FA" w:rsidP="002B0815">
            <w:pPr>
              <w:pStyle w:val="TableCopy"/>
              <w:rPr>
                <w:rFonts w:asciiTheme="minorHAnsi" w:hAnsiTheme="minorHAnsi" w:cstheme="minorHAnsi"/>
                <w:szCs w:val="24"/>
              </w:rPr>
            </w:pPr>
            <w:r w:rsidRPr="002B0815">
              <w:rPr>
                <w:rFonts w:asciiTheme="minorHAnsi" w:hAnsiTheme="minorHAnsi" w:cstheme="minorHAnsi"/>
                <w:szCs w:val="24"/>
              </w:rPr>
              <w:t xml:space="preserve">Sale of goods and services </w:t>
            </w:r>
          </w:p>
        </w:tc>
        <w:tc>
          <w:tcPr>
            <w:tcW w:w="1275" w:type="dxa"/>
          </w:tcPr>
          <w:p w14:paraId="14DF2FAB" w14:textId="116180B0" w:rsidR="004C00FA" w:rsidRPr="002B0815" w:rsidRDefault="004C00FA" w:rsidP="002B0815">
            <w:pPr>
              <w:pStyle w:val="TableCopy"/>
              <w:jc w:val="right"/>
              <w:rPr>
                <w:rFonts w:asciiTheme="minorHAnsi" w:hAnsiTheme="minorHAnsi" w:cstheme="minorHAnsi"/>
                <w:szCs w:val="24"/>
              </w:rPr>
            </w:pPr>
            <w:r w:rsidRPr="002B0815">
              <w:rPr>
                <w:rFonts w:asciiTheme="minorHAnsi" w:hAnsiTheme="minorHAnsi" w:cstheme="minorHAnsi"/>
                <w:szCs w:val="24"/>
              </w:rPr>
              <w:t>10,982</w:t>
            </w:r>
          </w:p>
        </w:tc>
        <w:tc>
          <w:tcPr>
            <w:tcW w:w="1276" w:type="dxa"/>
          </w:tcPr>
          <w:p w14:paraId="51347834" w14:textId="64928F24" w:rsidR="004C00FA" w:rsidRPr="002B0815" w:rsidRDefault="004C00FA" w:rsidP="002B0815">
            <w:pPr>
              <w:pStyle w:val="TableCopy"/>
              <w:jc w:val="right"/>
              <w:rPr>
                <w:rFonts w:asciiTheme="minorHAnsi" w:hAnsiTheme="minorHAnsi" w:cstheme="minorHAnsi"/>
                <w:szCs w:val="24"/>
              </w:rPr>
            </w:pPr>
            <w:r w:rsidRPr="002B0815">
              <w:rPr>
                <w:rFonts w:asciiTheme="minorHAnsi" w:hAnsiTheme="minorHAnsi" w:cstheme="minorHAnsi"/>
                <w:szCs w:val="24"/>
              </w:rPr>
              <w:t>9,348</w:t>
            </w:r>
          </w:p>
        </w:tc>
        <w:tc>
          <w:tcPr>
            <w:tcW w:w="1276" w:type="dxa"/>
          </w:tcPr>
          <w:p w14:paraId="0B824450" w14:textId="0427F956" w:rsidR="004C00FA" w:rsidRPr="002B0815" w:rsidRDefault="004C00FA" w:rsidP="002B0815">
            <w:pPr>
              <w:pStyle w:val="TableCopy"/>
              <w:jc w:val="right"/>
              <w:rPr>
                <w:rFonts w:asciiTheme="minorHAnsi" w:hAnsiTheme="minorHAnsi" w:cstheme="minorHAnsi"/>
                <w:szCs w:val="24"/>
              </w:rPr>
            </w:pPr>
            <w:r w:rsidRPr="002B0815">
              <w:rPr>
                <w:rFonts w:asciiTheme="minorHAnsi" w:hAnsiTheme="minorHAnsi" w:cstheme="minorHAnsi"/>
                <w:szCs w:val="24"/>
              </w:rPr>
              <w:t>–</w:t>
            </w:r>
          </w:p>
        </w:tc>
        <w:tc>
          <w:tcPr>
            <w:tcW w:w="1276" w:type="dxa"/>
          </w:tcPr>
          <w:p w14:paraId="1F83643E" w14:textId="4DBE5A34" w:rsidR="004C00FA" w:rsidRPr="002B0815" w:rsidRDefault="004C00FA" w:rsidP="002B0815">
            <w:pPr>
              <w:pStyle w:val="TableCopy"/>
              <w:jc w:val="right"/>
              <w:rPr>
                <w:rFonts w:asciiTheme="minorHAnsi" w:hAnsiTheme="minorHAnsi" w:cstheme="minorHAnsi"/>
                <w:szCs w:val="24"/>
              </w:rPr>
            </w:pPr>
            <w:r w:rsidRPr="002B0815">
              <w:rPr>
                <w:rFonts w:asciiTheme="minorHAnsi" w:hAnsiTheme="minorHAnsi" w:cstheme="minorHAnsi"/>
                <w:szCs w:val="24"/>
              </w:rPr>
              <w:t>–</w:t>
            </w:r>
          </w:p>
        </w:tc>
        <w:tc>
          <w:tcPr>
            <w:tcW w:w="1559" w:type="dxa"/>
          </w:tcPr>
          <w:p w14:paraId="0EA95453" w14:textId="3C5CC4CB" w:rsidR="004C00FA" w:rsidRPr="002B0815" w:rsidRDefault="004C00FA" w:rsidP="002B0815">
            <w:pPr>
              <w:pStyle w:val="TableCopy"/>
              <w:jc w:val="right"/>
              <w:rPr>
                <w:rFonts w:asciiTheme="minorHAnsi" w:hAnsiTheme="minorHAnsi" w:cstheme="minorHAnsi"/>
                <w:szCs w:val="24"/>
              </w:rPr>
            </w:pPr>
            <w:r w:rsidRPr="002B0815">
              <w:rPr>
                <w:rFonts w:asciiTheme="minorHAnsi" w:hAnsiTheme="minorHAnsi" w:cstheme="minorHAnsi"/>
                <w:szCs w:val="24"/>
              </w:rPr>
              <w:t>–</w:t>
            </w:r>
          </w:p>
        </w:tc>
        <w:tc>
          <w:tcPr>
            <w:tcW w:w="1559" w:type="dxa"/>
          </w:tcPr>
          <w:p w14:paraId="1114B7AA" w14:textId="03C5BF9E" w:rsidR="004C00FA" w:rsidRPr="002B0815" w:rsidRDefault="004C00FA" w:rsidP="002B0815">
            <w:pPr>
              <w:pStyle w:val="TableCopy"/>
              <w:jc w:val="right"/>
              <w:rPr>
                <w:rFonts w:asciiTheme="minorHAnsi" w:hAnsiTheme="minorHAnsi" w:cstheme="minorHAnsi"/>
                <w:szCs w:val="24"/>
              </w:rPr>
            </w:pPr>
            <w:r w:rsidRPr="002B0815">
              <w:rPr>
                <w:rFonts w:asciiTheme="minorHAnsi" w:hAnsiTheme="minorHAnsi" w:cstheme="minorHAnsi"/>
                <w:szCs w:val="24"/>
              </w:rPr>
              <w:t>–</w:t>
            </w:r>
          </w:p>
        </w:tc>
        <w:tc>
          <w:tcPr>
            <w:tcW w:w="1277" w:type="dxa"/>
          </w:tcPr>
          <w:p w14:paraId="62D6C17C" w14:textId="5454B856" w:rsidR="004C00FA" w:rsidRPr="002B0815" w:rsidRDefault="004C00FA" w:rsidP="002B0815">
            <w:pPr>
              <w:pStyle w:val="TableCopy"/>
              <w:jc w:val="right"/>
              <w:rPr>
                <w:rFonts w:asciiTheme="minorHAnsi" w:hAnsiTheme="minorHAnsi" w:cstheme="minorHAnsi"/>
                <w:szCs w:val="24"/>
              </w:rPr>
            </w:pPr>
            <w:r w:rsidRPr="002B0815">
              <w:rPr>
                <w:rFonts w:asciiTheme="minorHAnsi" w:hAnsiTheme="minorHAnsi" w:cstheme="minorHAnsi"/>
                <w:szCs w:val="24"/>
              </w:rPr>
              <w:t>11,193</w:t>
            </w:r>
          </w:p>
        </w:tc>
        <w:tc>
          <w:tcPr>
            <w:tcW w:w="1275" w:type="dxa"/>
          </w:tcPr>
          <w:p w14:paraId="63C98BE2" w14:textId="51308DF6" w:rsidR="004C00FA" w:rsidRPr="002B0815" w:rsidRDefault="004C00FA" w:rsidP="002B0815">
            <w:pPr>
              <w:pStyle w:val="TableCopy"/>
              <w:jc w:val="right"/>
              <w:rPr>
                <w:rFonts w:asciiTheme="minorHAnsi" w:hAnsiTheme="minorHAnsi" w:cstheme="minorHAnsi"/>
                <w:szCs w:val="24"/>
              </w:rPr>
            </w:pPr>
            <w:r w:rsidRPr="002B0815">
              <w:rPr>
                <w:rFonts w:asciiTheme="minorHAnsi" w:hAnsiTheme="minorHAnsi" w:cstheme="minorHAnsi"/>
                <w:szCs w:val="24"/>
              </w:rPr>
              <w:t>12,881</w:t>
            </w:r>
          </w:p>
        </w:tc>
      </w:tr>
      <w:tr w:rsidR="004C00FA" w:rsidRPr="002B0815" w14:paraId="6A195CC3" w14:textId="77777777" w:rsidTr="002B0815">
        <w:trPr>
          <w:cantSplit/>
        </w:trPr>
        <w:tc>
          <w:tcPr>
            <w:tcW w:w="4106" w:type="dxa"/>
          </w:tcPr>
          <w:p w14:paraId="48B6F91B" w14:textId="5E02AB2B" w:rsidR="004C00FA" w:rsidRPr="002B0815" w:rsidRDefault="004C00FA" w:rsidP="002B0815">
            <w:pPr>
              <w:pStyle w:val="TableCopy"/>
              <w:rPr>
                <w:rFonts w:asciiTheme="minorHAnsi" w:hAnsiTheme="minorHAnsi" w:cstheme="minorHAnsi"/>
                <w:szCs w:val="24"/>
              </w:rPr>
            </w:pPr>
            <w:r w:rsidRPr="002B0815">
              <w:rPr>
                <w:rFonts w:asciiTheme="minorHAnsi" w:hAnsiTheme="minorHAnsi" w:cstheme="minorHAnsi"/>
                <w:szCs w:val="24"/>
              </w:rPr>
              <w:t>Appropriations – payments made on behalf of the State</w:t>
            </w:r>
          </w:p>
        </w:tc>
        <w:tc>
          <w:tcPr>
            <w:tcW w:w="1275" w:type="dxa"/>
          </w:tcPr>
          <w:p w14:paraId="2E7F4F09" w14:textId="4EC30496" w:rsidR="004C00FA" w:rsidRPr="002B0815" w:rsidRDefault="004C00FA" w:rsidP="002B0815">
            <w:pPr>
              <w:pStyle w:val="TableCopy"/>
              <w:jc w:val="right"/>
              <w:rPr>
                <w:rFonts w:asciiTheme="minorHAnsi" w:hAnsiTheme="minorHAnsi" w:cstheme="minorHAnsi"/>
                <w:szCs w:val="24"/>
              </w:rPr>
            </w:pPr>
            <w:r w:rsidRPr="002B0815">
              <w:rPr>
                <w:rFonts w:asciiTheme="minorHAnsi" w:hAnsiTheme="minorHAnsi" w:cstheme="minorHAnsi"/>
                <w:szCs w:val="24"/>
              </w:rPr>
              <w:t>97,184</w:t>
            </w:r>
          </w:p>
        </w:tc>
        <w:tc>
          <w:tcPr>
            <w:tcW w:w="1276" w:type="dxa"/>
          </w:tcPr>
          <w:p w14:paraId="6507D805" w14:textId="2A93CFC0" w:rsidR="004C00FA" w:rsidRPr="002B0815" w:rsidRDefault="004C00FA" w:rsidP="002B0815">
            <w:pPr>
              <w:pStyle w:val="TableCopy"/>
              <w:jc w:val="right"/>
              <w:rPr>
                <w:rFonts w:asciiTheme="minorHAnsi" w:hAnsiTheme="minorHAnsi" w:cstheme="minorHAnsi"/>
                <w:szCs w:val="24"/>
              </w:rPr>
            </w:pPr>
            <w:r w:rsidRPr="002B0815">
              <w:rPr>
                <w:rFonts w:asciiTheme="minorHAnsi" w:hAnsiTheme="minorHAnsi" w:cstheme="minorHAnsi"/>
                <w:szCs w:val="24"/>
              </w:rPr>
              <w:t>89,468</w:t>
            </w:r>
          </w:p>
        </w:tc>
        <w:tc>
          <w:tcPr>
            <w:tcW w:w="1276" w:type="dxa"/>
          </w:tcPr>
          <w:p w14:paraId="3D19216A" w14:textId="24698BCA" w:rsidR="004C00FA" w:rsidRPr="002B0815" w:rsidRDefault="004C00FA" w:rsidP="002B0815">
            <w:pPr>
              <w:pStyle w:val="TableCopy"/>
              <w:jc w:val="right"/>
              <w:rPr>
                <w:rFonts w:asciiTheme="minorHAnsi" w:hAnsiTheme="minorHAnsi" w:cstheme="minorHAnsi"/>
                <w:szCs w:val="24"/>
              </w:rPr>
            </w:pPr>
            <w:r w:rsidRPr="002B0815">
              <w:rPr>
                <w:rFonts w:asciiTheme="minorHAnsi" w:hAnsiTheme="minorHAnsi" w:cstheme="minorHAnsi"/>
                <w:szCs w:val="24"/>
              </w:rPr>
              <w:t>–</w:t>
            </w:r>
          </w:p>
        </w:tc>
        <w:tc>
          <w:tcPr>
            <w:tcW w:w="1276" w:type="dxa"/>
          </w:tcPr>
          <w:p w14:paraId="0823B41B" w14:textId="15E858A0" w:rsidR="004C00FA" w:rsidRPr="002B0815" w:rsidRDefault="004C00FA" w:rsidP="002B0815">
            <w:pPr>
              <w:pStyle w:val="TableCopy"/>
              <w:jc w:val="right"/>
              <w:rPr>
                <w:rFonts w:asciiTheme="minorHAnsi" w:hAnsiTheme="minorHAnsi" w:cstheme="minorHAnsi"/>
                <w:szCs w:val="24"/>
              </w:rPr>
            </w:pPr>
            <w:r w:rsidRPr="002B0815">
              <w:rPr>
                <w:rFonts w:asciiTheme="minorHAnsi" w:hAnsiTheme="minorHAnsi" w:cstheme="minorHAnsi"/>
                <w:szCs w:val="24"/>
              </w:rPr>
              <w:t>–</w:t>
            </w:r>
          </w:p>
        </w:tc>
        <w:tc>
          <w:tcPr>
            <w:tcW w:w="1559" w:type="dxa"/>
          </w:tcPr>
          <w:p w14:paraId="5CC1260E" w14:textId="50360634" w:rsidR="004C00FA" w:rsidRPr="002B0815" w:rsidRDefault="004C00FA" w:rsidP="002B0815">
            <w:pPr>
              <w:pStyle w:val="TableCopy"/>
              <w:jc w:val="right"/>
              <w:rPr>
                <w:rFonts w:asciiTheme="minorHAnsi" w:hAnsiTheme="minorHAnsi" w:cstheme="minorHAnsi"/>
                <w:szCs w:val="24"/>
              </w:rPr>
            </w:pPr>
            <w:r w:rsidRPr="002B0815">
              <w:rPr>
                <w:rFonts w:asciiTheme="minorHAnsi" w:hAnsiTheme="minorHAnsi" w:cstheme="minorHAnsi"/>
                <w:szCs w:val="24"/>
              </w:rPr>
              <w:t>–</w:t>
            </w:r>
          </w:p>
        </w:tc>
        <w:tc>
          <w:tcPr>
            <w:tcW w:w="1559" w:type="dxa"/>
          </w:tcPr>
          <w:p w14:paraId="78DDD467" w14:textId="5BBB286B" w:rsidR="004C00FA" w:rsidRPr="002B0815" w:rsidRDefault="004C00FA" w:rsidP="002B0815">
            <w:pPr>
              <w:pStyle w:val="TableCopy"/>
              <w:jc w:val="right"/>
              <w:rPr>
                <w:rFonts w:asciiTheme="minorHAnsi" w:hAnsiTheme="minorHAnsi" w:cstheme="minorHAnsi"/>
                <w:szCs w:val="24"/>
              </w:rPr>
            </w:pPr>
            <w:r w:rsidRPr="002B0815">
              <w:rPr>
                <w:rFonts w:asciiTheme="minorHAnsi" w:hAnsiTheme="minorHAnsi" w:cstheme="minorHAnsi"/>
                <w:szCs w:val="24"/>
              </w:rPr>
              <w:t>–</w:t>
            </w:r>
          </w:p>
        </w:tc>
        <w:tc>
          <w:tcPr>
            <w:tcW w:w="1277" w:type="dxa"/>
          </w:tcPr>
          <w:p w14:paraId="712A7424" w14:textId="360A7C18" w:rsidR="004C00FA" w:rsidRPr="002B0815" w:rsidRDefault="004C00FA" w:rsidP="002B0815">
            <w:pPr>
              <w:pStyle w:val="TableCopy"/>
              <w:jc w:val="right"/>
              <w:rPr>
                <w:rFonts w:asciiTheme="minorHAnsi" w:hAnsiTheme="minorHAnsi" w:cstheme="minorHAnsi"/>
                <w:szCs w:val="24"/>
              </w:rPr>
            </w:pPr>
            <w:r w:rsidRPr="002B0815">
              <w:rPr>
                <w:rFonts w:asciiTheme="minorHAnsi" w:hAnsiTheme="minorHAnsi" w:cstheme="minorHAnsi"/>
                <w:szCs w:val="24"/>
              </w:rPr>
              <w:t>97,184</w:t>
            </w:r>
          </w:p>
        </w:tc>
        <w:tc>
          <w:tcPr>
            <w:tcW w:w="1275" w:type="dxa"/>
          </w:tcPr>
          <w:p w14:paraId="04B68BAF" w14:textId="4B477BC9" w:rsidR="004C00FA" w:rsidRPr="002B0815" w:rsidRDefault="004C00FA" w:rsidP="002B0815">
            <w:pPr>
              <w:pStyle w:val="TableCopy"/>
              <w:jc w:val="right"/>
              <w:rPr>
                <w:rFonts w:asciiTheme="minorHAnsi" w:hAnsiTheme="minorHAnsi" w:cstheme="minorHAnsi"/>
                <w:szCs w:val="24"/>
              </w:rPr>
            </w:pPr>
            <w:r w:rsidRPr="002B0815">
              <w:rPr>
                <w:rFonts w:asciiTheme="minorHAnsi" w:hAnsiTheme="minorHAnsi" w:cstheme="minorHAnsi"/>
                <w:szCs w:val="24"/>
              </w:rPr>
              <w:t>89,468</w:t>
            </w:r>
          </w:p>
        </w:tc>
      </w:tr>
      <w:tr w:rsidR="004C00FA" w:rsidRPr="002B0815" w14:paraId="00B25153" w14:textId="77777777" w:rsidTr="002B0815">
        <w:trPr>
          <w:cantSplit/>
        </w:trPr>
        <w:tc>
          <w:tcPr>
            <w:tcW w:w="4106" w:type="dxa"/>
          </w:tcPr>
          <w:p w14:paraId="6A089AC6" w14:textId="77777777" w:rsidR="004C00FA" w:rsidRPr="002B0815" w:rsidRDefault="004C00FA" w:rsidP="002B0815">
            <w:pPr>
              <w:pStyle w:val="TableCopy"/>
              <w:rPr>
                <w:rFonts w:asciiTheme="minorHAnsi" w:hAnsiTheme="minorHAnsi" w:cstheme="minorHAnsi"/>
                <w:szCs w:val="24"/>
              </w:rPr>
            </w:pPr>
            <w:r w:rsidRPr="002B0815">
              <w:rPr>
                <w:rFonts w:asciiTheme="minorHAnsi" w:hAnsiTheme="minorHAnsi" w:cstheme="minorHAnsi"/>
                <w:szCs w:val="24"/>
              </w:rPr>
              <w:t>Royalties</w:t>
            </w:r>
          </w:p>
        </w:tc>
        <w:tc>
          <w:tcPr>
            <w:tcW w:w="1275" w:type="dxa"/>
          </w:tcPr>
          <w:p w14:paraId="67269A62" w14:textId="00EA3033" w:rsidR="004C00FA" w:rsidRPr="002B0815" w:rsidRDefault="004C00FA" w:rsidP="002B0815">
            <w:pPr>
              <w:pStyle w:val="TableCopy"/>
              <w:jc w:val="right"/>
              <w:rPr>
                <w:rFonts w:asciiTheme="minorHAnsi" w:hAnsiTheme="minorHAnsi" w:cstheme="minorHAnsi"/>
                <w:szCs w:val="24"/>
              </w:rPr>
            </w:pPr>
            <w:r w:rsidRPr="002B0815">
              <w:rPr>
                <w:rFonts w:asciiTheme="minorHAnsi" w:hAnsiTheme="minorHAnsi" w:cstheme="minorHAnsi"/>
                <w:szCs w:val="24"/>
              </w:rPr>
              <w:t>–</w:t>
            </w:r>
          </w:p>
        </w:tc>
        <w:tc>
          <w:tcPr>
            <w:tcW w:w="1276" w:type="dxa"/>
          </w:tcPr>
          <w:p w14:paraId="4EFD967D" w14:textId="65BF09CA" w:rsidR="004C00FA" w:rsidRPr="002B0815" w:rsidRDefault="004C00FA" w:rsidP="002B0815">
            <w:pPr>
              <w:pStyle w:val="TableCopy"/>
              <w:jc w:val="right"/>
              <w:rPr>
                <w:rFonts w:asciiTheme="minorHAnsi" w:hAnsiTheme="minorHAnsi" w:cstheme="minorHAnsi"/>
                <w:szCs w:val="24"/>
              </w:rPr>
            </w:pPr>
            <w:r w:rsidRPr="002B0815">
              <w:rPr>
                <w:rFonts w:asciiTheme="minorHAnsi" w:hAnsiTheme="minorHAnsi" w:cstheme="minorHAnsi"/>
                <w:szCs w:val="24"/>
              </w:rPr>
              <w:t>–</w:t>
            </w:r>
          </w:p>
        </w:tc>
        <w:tc>
          <w:tcPr>
            <w:tcW w:w="1276" w:type="dxa"/>
          </w:tcPr>
          <w:p w14:paraId="4E973820" w14:textId="08A70AAF" w:rsidR="004C00FA" w:rsidRPr="002B0815" w:rsidRDefault="004C00FA" w:rsidP="002B0815">
            <w:pPr>
              <w:pStyle w:val="TableCopy"/>
              <w:jc w:val="right"/>
              <w:rPr>
                <w:rFonts w:asciiTheme="minorHAnsi" w:hAnsiTheme="minorHAnsi" w:cstheme="minorHAnsi"/>
                <w:szCs w:val="24"/>
              </w:rPr>
            </w:pPr>
            <w:r w:rsidRPr="002B0815">
              <w:rPr>
                <w:rFonts w:asciiTheme="minorHAnsi" w:hAnsiTheme="minorHAnsi" w:cstheme="minorHAnsi"/>
                <w:szCs w:val="24"/>
              </w:rPr>
              <w:t>–</w:t>
            </w:r>
          </w:p>
        </w:tc>
        <w:tc>
          <w:tcPr>
            <w:tcW w:w="1276" w:type="dxa"/>
          </w:tcPr>
          <w:p w14:paraId="1A510629" w14:textId="557919E8" w:rsidR="004C00FA" w:rsidRPr="002B0815" w:rsidRDefault="004C00FA" w:rsidP="002B0815">
            <w:pPr>
              <w:pStyle w:val="TableCopy"/>
              <w:jc w:val="right"/>
              <w:rPr>
                <w:rFonts w:asciiTheme="minorHAnsi" w:hAnsiTheme="minorHAnsi" w:cstheme="minorHAnsi"/>
                <w:szCs w:val="24"/>
              </w:rPr>
            </w:pPr>
            <w:r w:rsidRPr="002B0815">
              <w:rPr>
                <w:rFonts w:asciiTheme="minorHAnsi" w:hAnsiTheme="minorHAnsi" w:cstheme="minorHAnsi"/>
                <w:szCs w:val="24"/>
              </w:rPr>
              <w:t>–</w:t>
            </w:r>
          </w:p>
        </w:tc>
        <w:tc>
          <w:tcPr>
            <w:tcW w:w="1559" w:type="dxa"/>
          </w:tcPr>
          <w:p w14:paraId="316600E7" w14:textId="3A359D16" w:rsidR="004C00FA" w:rsidRPr="002B0815" w:rsidRDefault="004C00FA" w:rsidP="002B0815">
            <w:pPr>
              <w:pStyle w:val="TableCopy"/>
              <w:jc w:val="right"/>
              <w:rPr>
                <w:rFonts w:asciiTheme="minorHAnsi" w:hAnsiTheme="minorHAnsi" w:cstheme="minorHAnsi"/>
                <w:szCs w:val="24"/>
              </w:rPr>
            </w:pPr>
            <w:r w:rsidRPr="002B0815">
              <w:rPr>
                <w:rFonts w:asciiTheme="minorHAnsi" w:hAnsiTheme="minorHAnsi" w:cstheme="minorHAnsi"/>
                <w:szCs w:val="24"/>
              </w:rPr>
              <w:t>–</w:t>
            </w:r>
          </w:p>
        </w:tc>
        <w:tc>
          <w:tcPr>
            <w:tcW w:w="1559" w:type="dxa"/>
          </w:tcPr>
          <w:p w14:paraId="313D65A0" w14:textId="3FD486B5" w:rsidR="004C00FA" w:rsidRPr="002B0815" w:rsidRDefault="004C00FA" w:rsidP="002B0815">
            <w:pPr>
              <w:pStyle w:val="TableCopy"/>
              <w:jc w:val="right"/>
              <w:rPr>
                <w:rFonts w:asciiTheme="minorHAnsi" w:hAnsiTheme="minorHAnsi" w:cstheme="minorHAnsi"/>
                <w:szCs w:val="24"/>
              </w:rPr>
            </w:pPr>
            <w:r w:rsidRPr="002B0815">
              <w:rPr>
                <w:rFonts w:asciiTheme="minorHAnsi" w:hAnsiTheme="minorHAnsi" w:cstheme="minorHAnsi"/>
                <w:szCs w:val="24"/>
              </w:rPr>
              <w:t>–</w:t>
            </w:r>
          </w:p>
        </w:tc>
        <w:tc>
          <w:tcPr>
            <w:tcW w:w="1277" w:type="dxa"/>
          </w:tcPr>
          <w:p w14:paraId="1B707E73" w14:textId="683BEEF0" w:rsidR="004C00FA" w:rsidRPr="002B0815" w:rsidRDefault="004C00FA" w:rsidP="002B0815">
            <w:pPr>
              <w:pStyle w:val="TableCopy"/>
              <w:jc w:val="right"/>
              <w:rPr>
                <w:rFonts w:asciiTheme="minorHAnsi" w:hAnsiTheme="minorHAnsi" w:cstheme="minorHAnsi"/>
                <w:szCs w:val="24"/>
              </w:rPr>
            </w:pPr>
            <w:r w:rsidRPr="002B0815">
              <w:rPr>
                <w:rFonts w:asciiTheme="minorHAnsi" w:hAnsiTheme="minorHAnsi" w:cstheme="minorHAnsi"/>
                <w:szCs w:val="24"/>
              </w:rPr>
              <w:t>–</w:t>
            </w:r>
          </w:p>
        </w:tc>
        <w:tc>
          <w:tcPr>
            <w:tcW w:w="1275" w:type="dxa"/>
          </w:tcPr>
          <w:p w14:paraId="45AFB4A7" w14:textId="65F2026A" w:rsidR="004C00FA" w:rsidRPr="002B0815" w:rsidRDefault="004C00FA" w:rsidP="002B0815">
            <w:pPr>
              <w:pStyle w:val="TableCopy"/>
              <w:jc w:val="right"/>
              <w:rPr>
                <w:rFonts w:asciiTheme="minorHAnsi" w:hAnsiTheme="minorHAnsi" w:cstheme="minorHAnsi"/>
                <w:szCs w:val="24"/>
              </w:rPr>
            </w:pPr>
            <w:r w:rsidRPr="002B0815">
              <w:rPr>
                <w:rFonts w:asciiTheme="minorHAnsi" w:hAnsiTheme="minorHAnsi" w:cstheme="minorHAnsi"/>
                <w:szCs w:val="24"/>
              </w:rPr>
              <w:t>–</w:t>
            </w:r>
          </w:p>
        </w:tc>
      </w:tr>
      <w:tr w:rsidR="004C00FA" w:rsidRPr="002B0815" w14:paraId="35F5A876" w14:textId="77777777" w:rsidTr="002B0815">
        <w:trPr>
          <w:cantSplit/>
        </w:trPr>
        <w:tc>
          <w:tcPr>
            <w:tcW w:w="4106" w:type="dxa"/>
          </w:tcPr>
          <w:p w14:paraId="53E68AC8" w14:textId="4B22C559" w:rsidR="004C00FA" w:rsidRPr="002B0815" w:rsidRDefault="004C00FA" w:rsidP="002B0815">
            <w:pPr>
              <w:pStyle w:val="TableCopy"/>
              <w:rPr>
                <w:rFonts w:asciiTheme="minorHAnsi" w:hAnsiTheme="minorHAnsi" w:cstheme="minorHAnsi"/>
                <w:szCs w:val="24"/>
              </w:rPr>
            </w:pPr>
            <w:r w:rsidRPr="002B0815">
              <w:rPr>
                <w:rFonts w:asciiTheme="minorHAnsi" w:hAnsiTheme="minorHAnsi" w:cstheme="minorHAnsi"/>
                <w:szCs w:val="24"/>
              </w:rPr>
              <w:t>Other income</w:t>
            </w:r>
          </w:p>
        </w:tc>
        <w:tc>
          <w:tcPr>
            <w:tcW w:w="1275" w:type="dxa"/>
          </w:tcPr>
          <w:p w14:paraId="4E670C40" w14:textId="10539392" w:rsidR="004C00FA" w:rsidRPr="002B0815" w:rsidRDefault="004C00FA" w:rsidP="002B0815">
            <w:pPr>
              <w:pStyle w:val="TableCopy"/>
              <w:jc w:val="right"/>
              <w:rPr>
                <w:rFonts w:asciiTheme="minorHAnsi" w:hAnsiTheme="minorHAnsi" w:cstheme="minorHAnsi"/>
                <w:szCs w:val="24"/>
              </w:rPr>
            </w:pPr>
            <w:r w:rsidRPr="002B0815">
              <w:rPr>
                <w:rFonts w:asciiTheme="minorHAnsi" w:hAnsiTheme="minorHAnsi" w:cstheme="minorHAnsi"/>
                <w:szCs w:val="24"/>
              </w:rPr>
              <w:t>4,254</w:t>
            </w:r>
          </w:p>
        </w:tc>
        <w:tc>
          <w:tcPr>
            <w:tcW w:w="1276" w:type="dxa"/>
          </w:tcPr>
          <w:p w14:paraId="624DC046" w14:textId="71511390" w:rsidR="004C00FA" w:rsidRPr="002B0815" w:rsidRDefault="004C00FA" w:rsidP="002B0815">
            <w:pPr>
              <w:pStyle w:val="TableCopy"/>
              <w:jc w:val="right"/>
              <w:rPr>
                <w:rFonts w:asciiTheme="minorHAnsi" w:hAnsiTheme="minorHAnsi" w:cstheme="minorHAnsi"/>
                <w:szCs w:val="24"/>
              </w:rPr>
            </w:pPr>
            <w:r w:rsidRPr="002B0815">
              <w:rPr>
                <w:rFonts w:asciiTheme="minorHAnsi" w:hAnsiTheme="minorHAnsi" w:cstheme="minorHAnsi"/>
                <w:szCs w:val="24"/>
              </w:rPr>
              <w:t>25</w:t>
            </w:r>
          </w:p>
        </w:tc>
        <w:tc>
          <w:tcPr>
            <w:tcW w:w="1276" w:type="dxa"/>
          </w:tcPr>
          <w:p w14:paraId="4374D3A1" w14:textId="4E687F1C" w:rsidR="004C00FA" w:rsidRPr="002B0815" w:rsidRDefault="004C00FA" w:rsidP="002B0815">
            <w:pPr>
              <w:pStyle w:val="TableCopy"/>
              <w:jc w:val="right"/>
              <w:rPr>
                <w:rFonts w:asciiTheme="minorHAnsi" w:hAnsiTheme="minorHAnsi" w:cstheme="minorHAnsi"/>
                <w:szCs w:val="24"/>
              </w:rPr>
            </w:pPr>
            <w:r w:rsidRPr="002B0815">
              <w:rPr>
                <w:rFonts w:asciiTheme="minorHAnsi" w:hAnsiTheme="minorHAnsi" w:cstheme="minorHAnsi"/>
                <w:szCs w:val="24"/>
              </w:rPr>
              <w:t>3,996</w:t>
            </w:r>
          </w:p>
        </w:tc>
        <w:tc>
          <w:tcPr>
            <w:tcW w:w="1276" w:type="dxa"/>
          </w:tcPr>
          <w:p w14:paraId="73E7A260" w14:textId="71C0B622" w:rsidR="004C00FA" w:rsidRPr="002B0815" w:rsidRDefault="004C00FA" w:rsidP="002B0815">
            <w:pPr>
              <w:pStyle w:val="TableCopy"/>
              <w:jc w:val="right"/>
              <w:rPr>
                <w:rFonts w:asciiTheme="minorHAnsi" w:hAnsiTheme="minorHAnsi" w:cstheme="minorHAnsi"/>
                <w:szCs w:val="24"/>
              </w:rPr>
            </w:pPr>
            <w:r w:rsidRPr="002B0815">
              <w:rPr>
                <w:rFonts w:asciiTheme="minorHAnsi" w:hAnsiTheme="minorHAnsi" w:cstheme="minorHAnsi"/>
                <w:szCs w:val="24"/>
              </w:rPr>
              <w:t>–</w:t>
            </w:r>
          </w:p>
        </w:tc>
        <w:tc>
          <w:tcPr>
            <w:tcW w:w="1559" w:type="dxa"/>
          </w:tcPr>
          <w:p w14:paraId="184D2361" w14:textId="0147F375" w:rsidR="004C00FA" w:rsidRPr="002B0815" w:rsidRDefault="004C00FA" w:rsidP="002B0815">
            <w:pPr>
              <w:pStyle w:val="TableCopy"/>
              <w:jc w:val="right"/>
              <w:rPr>
                <w:rFonts w:asciiTheme="minorHAnsi" w:hAnsiTheme="minorHAnsi" w:cstheme="minorHAnsi"/>
                <w:szCs w:val="24"/>
              </w:rPr>
            </w:pPr>
            <w:r w:rsidRPr="002B0815">
              <w:rPr>
                <w:rFonts w:asciiTheme="minorHAnsi" w:hAnsiTheme="minorHAnsi" w:cstheme="minorHAnsi"/>
                <w:szCs w:val="24"/>
              </w:rPr>
              <w:t>–</w:t>
            </w:r>
          </w:p>
        </w:tc>
        <w:tc>
          <w:tcPr>
            <w:tcW w:w="1559" w:type="dxa"/>
          </w:tcPr>
          <w:p w14:paraId="6253064B" w14:textId="5E870C59" w:rsidR="004C00FA" w:rsidRPr="002B0815" w:rsidRDefault="004C00FA" w:rsidP="002B0815">
            <w:pPr>
              <w:pStyle w:val="TableCopy"/>
              <w:jc w:val="right"/>
              <w:rPr>
                <w:rFonts w:asciiTheme="minorHAnsi" w:hAnsiTheme="minorHAnsi" w:cstheme="minorHAnsi"/>
                <w:szCs w:val="24"/>
              </w:rPr>
            </w:pPr>
            <w:r w:rsidRPr="002B0815">
              <w:rPr>
                <w:rFonts w:asciiTheme="minorHAnsi" w:hAnsiTheme="minorHAnsi" w:cstheme="minorHAnsi"/>
                <w:szCs w:val="24"/>
              </w:rPr>
              <w:t>–</w:t>
            </w:r>
          </w:p>
        </w:tc>
        <w:tc>
          <w:tcPr>
            <w:tcW w:w="1277" w:type="dxa"/>
          </w:tcPr>
          <w:p w14:paraId="26256515" w14:textId="7DF1935C" w:rsidR="004C00FA" w:rsidRPr="002B0815" w:rsidRDefault="004C00FA" w:rsidP="002B0815">
            <w:pPr>
              <w:pStyle w:val="TableCopy"/>
              <w:jc w:val="right"/>
              <w:rPr>
                <w:rFonts w:asciiTheme="minorHAnsi" w:hAnsiTheme="minorHAnsi" w:cstheme="minorHAnsi"/>
                <w:szCs w:val="24"/>
              </w:rPr>
            </w:pPr>
            <w:r w:rsidRPr="002B0815">
              <w:rPr>
                <w:rFonts w:asciiTheme="minorHAnsi" w:hAnsiTheme="minorHAnsi" w:cstheme="minorHAnsi"/>
                <w:szCs w:val="24"/>
              </w:rPr>
              <w:t>14,668</w:t>
            </w:r>
          </w:p>
        </w:tc>
        <w:tc>
          <w:tcPr>
            <w:tcW w:w="1275" w:type="dxa"/>
          </w:tcPr>
          <w:p w14:paraId="03A39772" w14:textId="37AF393E" w:rsidR="004C00FA" w:rsidRPr="002B0815" w:rsidRDefault="004C00FA" w:rsidP="002B0815">
            <w:pPr>
              <w:pStyle w:val="TableCopy"/>
              <w:jc w:val="right"/>
              <w:rPr>
                <w:rFonts w:asciiTheme="minorHAnsi" w:hAnsiTheme="minorHAnsi" w:cstheme="minorHAnsi"/>
                <w:szCs w:val="24"/>
              </w:rPr>
            </w:pPr>
            <w:r w:rsidRPr="002B0815">
              <w:rPr>
                <w:rFonts w:asciiTheme="minorHAnsi" w:hAnsiTheme="minorHAnsi" w:cstheme="minorHAnsi"/>
                <w:szCs w:val="24"/>
              </w:rPr>
              <w:t>2,417</w:t>
            </w:r>
          </w:p>
        </w:tc>
      </w:tr>
      <w:tr w:rsidR="004C00FA" w:rsidRPr="002B0815" w14:paraId="1A3ACFA9" w14:textId="77777777" w:rsidTr="002B0815">
        <w:trPr>
          <w:cantSplit/>
        </w:trPr>
        <w:tc>
          <w:tcPr>
            <w:tcW w:w="4106" w:type="dxa"/>
          </w:tcPr>
          <w:p w14:paraId="2C4C8B9D" w14:textId="0B1BFB7D" w:rsidR="004C00FA" w:rsidRPr="002B0815" w:rsidRDefault="004C00FA" w:rsidP="002B0815">
            <w:pPr>
              <w:pStyle w:val="TableCopy"/>
              <w:rPr>
                <w:rFonts w:asciiTheme="minorHAnsi" w:hAnsiTheme="minorHAnsi" w:cstheme="minorHAnsi"/>
                <w:szCs w:val="24"/>
              </w:rPr>
            </w:pPr>
            <w:r w:rsidRPr="002B0815">
              <w:rPr>
                <w:rFonts w:asciiTheme="minorHAnsi" w:hAnsiTheme="minorHAnsi" w:cstheme="minorHAnsi"/>
                <w:szCs w:val="24"/>
              </w:rPr>
              <w:t xml:space="preserve">Regulatory fees, fines, </w:t>
            </w:r>
            <w:proofErr w:type="gramStart"/>
            <w:r w:rsidRPr="002B0815">
              <w:rPr>
                <w:rFonts w:asciiTheme="minorHAnsi" w:hAnsiTheme="minorHAnsi" w:cstheme="minorHAnsi"/>
                <w:szCs w:val="24"/>
              </w:rPr>
              <w:t>leases</w:t>
            </w:r>
            <w:proofErr w:type="gramEnd"/>
            <w:r w:rsidRPr="002B0815">
              <w:rPr>
                <w:rFonts w:asciiTheme="minorHAnsi" w:hAnsiTheme="minorHAnsi" w:cstheme="minorHAnsi"/>
                <w:szCs w:val="24"/>
              </w:rPr>
              <w:t xml:space="preserve"> and licences</w:t>
            </w:r>
          </w:p>
        </w:tc>
        <w:tc>
          <w:tcPr>
            <w:tcW w:w="1275" w:type="dxa"/>
          </w:tcPr>
          <w:p w14:paraId="0F94CA39" w14:textId="564F2BAA" w:rsidR="004C00FA" w:rsidRPr="002B0815" w:rsidRDefault="004C00FA" w:rsidP="002B0815">
            <w:pPr>
              <w:pStyle w:val="TableCopy"/>
              <w:jc w:val="right"/>
              <w:rPr>
                <w:rFonts w:asciiTheme="minorHAnsi" w:hAnsiTheme="minorHAnsi" w:cstheme="minorHAnsi"/>
                <w:szCs w:val="24"/>
              </w:rPr>
            </w:pPr>
            <w:r w:rsidRPr="002B0815">
              <w:rPr>
                <w:rFonts w:asciiTheme="minorHAnsi" w:hAnsiTheme="minorHAnsi" w:cstheme="minorHAnsi"/>
                <w:szCs w:val="24"/>
              </w:rPr>
              <w:t>–</w:t>
            </w:r>
          </w:p>
        </w:tc>
        <w:tc>
          <w:tcPr>
            <w:tcW w:w="1276" w:type="dxa"/>
          </w:tcPr>
          <w:p w14:paraId="5A1EAB6C" w14:textId="77C4C129" w:rsidR="004C00FA" w:rsidRPr="002B0815" w:rsidRDefault="004C00FA" w:rsidP="002B0815">
            <w:pPr>
              <w:pStyle w:val="TableCopy"/>
              <w:jc w:val="right"/>
              <w:rPr>
                <w:rFonts w:asciiTheme="minorHAnsi" w:hAnsiTheme="minorHAnsi" w:cstheme="minorHAnsi"/>
                <w:szCs w:val="24"/>
              </w:rPr>
            </w:pPr>
            <w:r w:rsidRPr="002B0815">
              <w:rPr>
                <w:rFonts w:asciiTheme="minorHAnsi" w:hAnsiTheme="minorHAnsi" w:cstheme="minorHAnsi"/>
                <w:szCs w:val="24"/>
              </w:rPr>
              <w:t>–</w:t>
            </w:r>
          </w:p>
        </w:tc>
        <w:tc>
          <w:tcPr>
            <w:tcW w:w="1276" w:type="dxa"/>
          </w:tcPr>
          <w:p w14:paraId="3F761060" w14:textId="11AF9F86" w:rsidR="004C00FA" w:rsidRPr="002B0815" w:rsidRDefault="004C00FA" w:rsidP="002B0815">
            <w:pPr>
              <w:pStyle w:val="TableCopy"/>
              <w:jc w:val="right"/>
              <w:rPr>
                <w:rFonts w:asciiTheme="minorHAnsi" w:hAnsiTheme="minorHAnsi" w:cstheme="minorHAnsi"/>
                <w:szCs w:val="24"/>
              </w:rPr>
            </w:pPr>
            <w:r w:rsidRPr="002B0815">
              <w:rPr>
                <w:rFonts w:asciiTheme="minorHAnsi" w:hAnsiTheme="minorHAnsi" w:cstheme="minorHAnsi"/>
                <w:szCs w:val="24"/>
              </w:rPr>
              <w:t>–</w:t>
            </w:r>
          </w:p>
        </w:tc>
        <w:tc>
          <w:tcPr>
            <w:tcW w:w="1276" w:type="dxa"/>
          </w:tcPr>
          <w:p w14:paraId="2F5F12EF" w14:textId="0200578A" w:rsidR="004C00FA" w:rsidRPr="002B0815" w:rsidRDefault="004C00FA" w:rsidP="002B0815">
            <w:pPr>
              <w:pStyle w:val="TableCopy"/>
              <w:jc w:val="right"/>
              <w:rPr>
                <w:rFonts w:asciiTheme="minorHAnsi" w:hAnsiTheme="minorHAnsi" w:cstheme="minorHAnsi"/>
                <w:szCs w:val="24"/>
              </w:rPr>
            </w:pPr>
            <w:r w:rsidRPr="002B0815">
              <w:rPr>
                <w:rFonts w:asciiTheme="minorHAnsi" w:hAnsiTheme="minorHAnsi" w:cstheme="minorHAnsi"/>
                <w:szCs w:val="24"/>
              </w:rPr>
              <w:t>–</w:t>
            </w:r>
          </w:p>
        </w:tc>
        <w:tc>
          <w:tcPr>
            <w:tcW w:w="1559" w:type="dxa"/>
          </w:tcPr>
          <w:p w14:paraId="6D662F6A" w14:textId="280F887E" w:rsidR="004C00FA" w:rsidRPr="002B0815" w:rsidRDefault="004C00FA" w:rsidP="002B0815">
            <w:pPr>
              <w:pStyle w:val="TableCopy"/>
              <w:jc w:val="right"/>
              <w:rPr>
                <w:rFonts w:asciiTheme="minorHAnsi" w:hAnsiTheme="minorHAnsi" w:cstheme="minorHAnsi"/>
                <w:szCs w:val="24"/>
              </w:rPr>
            </w:pPr>
            <w:r w:rsidRPr="002B0815">
              <w:rPr>
                <w:rFonts w:asciiTheme="minorHAnsi" w:hAnsiTheme="minorHAnsi" w:cstheme="minorHAnsi"/>
                <w:szCs w:val="24"/>
              </w:rPr>
              <w:t>–</w:t>
            </w:r>
          </w:p>
        </w:tc>
        <w:tc>
          <w:tcPr>
            <w:tcW w:w="1559" w:type="dxa"/>
          </w:tcPr>
          <w:p w14:paraId="0435F87D" w14:textId="0BC57537" w:rsidR="004C00FA" w:rsidRPr="002B0815" w:rsidRDefault="004C00FA" w:rsidP="002B0815">
            <w:pPr>
              <w:pStyle w:val="TableCopy"/>
              <w:jc w:val="right"/>
              <w:rPr>
                <w:rFonts w:asciiTheme="minorHAnsi" w:hAnsiTheme="minorHAnsi" w:cstheme="minorHAnsi"/>
                <w:szCs w:val="24"/>
              </w:rPr>
            </w:pPr>
            <w:r w:rsidRPr="002B0815">
              <w:rPr>
                <w:rFonts w:asciiTheme="minorHAnsi" w:hAnsiTheme="minorHAnsi" w:cstheme="minorHAnsi"/>
                <w:szCs w:val="24"/>
              </w:rPr>
              <w:t>–</w:t>
            </w:r>
          </w:p>
        </w:tc>
        <w:tc>
          <w:tcPr>
            <w:tcW w:w="1277" w:type="dxa"/>
          </w:tcPr>
          <w:p w14:paraId="258A7402" w14:textId="5EB8BADD" w:rsidR="004C00FA" w:rsidRPr="002B0815" w:rsidRDefault="004C00FA" w:rsidP="002B0815">
            <w:pPr>
              <w:pStyle w:val="TableCopy"/>
              <w:jc w:val="right"/>
              <w:rPr>
                <w:rFonts w:asciiTheme="minorHAnsi" w:hAnsiTheme="minorHAnsi" w:cstheme="minorHAnsi"/>
                <w:szCs w:val="24"/>
              </w:rPr>
            </w:pPr>
            <w:r w:rsidRPr="002B0815">
              <w:rPr>
                <w:rFonts w:asciiTheme="minorHAnsi" w:hAnsiTheme="minorHAnsi" w:cstheme="minorHAnsi"/>
                <w:szCs w:val="24"/>
              </w:rPr>
              <w:t>–</w:t>
            </w:r>
          </w:p>
        </w:tc>
        <w:tc>
          <w:tcPr>
            <w:tcW w:w="1275" w:type="dxa"/>
          </w:tcPr>
          <w:p w14:paraId="4B9124BA" w14:textId="55666E7C" w:rsidR="004C00FA" w:rsidRPr="002B0815" w:rsidRDefault="004C00FA" w:rsidP="002B0815">
            <w:pPr>
              <w:pStyle w:val="TableCopy"/>
              <w:jc w:val="right"/>
              <w:rPr>
                <w:rFonts w:asciiTheme="minorHAnsi" w:hAnsiTheme="minorHAnsi" w:cstheme="minorHAnsi"/>
                <w:szCs w:val="24"/>
              </w:rPr>
            </w:pPr>
            <w:r w:rsidRPr="002B0815">
              <w:rPr>
                <w:rFonts w:asciiTheme="minorHAnsi" w:hAnsiTheme="minorHAnsi" w:cstheme="minorHAnsi"/>
                <w:szCs w:val="24"/>
              </w:rPr>
              <w:t>–</w:t>
            </w:r>
          </w:p>
        </w:tc>
      </w:tr>
      <w:tr w:rsidR="004C00FA" w:rsidRPr="002B0815" w14:paraId="73A22FEF" w14:textId="77777777" w:rsidTr="002B0815">
        <w:trPr>
          <w:cantSplit/>
        </w:trPr>
        <w:tc>
          <w:tcPr>
            <w:tcW w:w="4106" w:type="dxa"/>
          </w:tcPr>
          <w:p w14:paraId="5D3D42EF" w14:textId="7D92EA5E" w:rsidR="004C00FA" w:rsidRPr="002B0815" w:rsidRDefault="004C00FA" w:rsidP="002B0815">
            <w:pPr>
              <w:pStyle w:val="TableCopy"/>
              <w:rPr>
                <w:rFonts w:asciiTheme="minorHAnsi" w:hAnsiTheme="minorHAnsi" w:cstheme="minorHAnsi"/>
                <w:szCs w:val="24"/>
              </w:rPr>
            </w:pPr>
            <w:r w:rsidRPr="002B0815">
              <w:rPr>
                <w:rFonts w:asciiTheme="minorHAnsi" w:hAnsiTheme="minorHAnsi" w:cstheme="minorHAnsi"/>
                <w:szCs w:val="24"/>
              </w:rPr>
              <w:t>Interest income</w:t>
            </w:r>
          </w:p>
        </w:tc>
        <w:tc>
          <w:tcPr>
            <w:tcW w:w="1275" w:type="dxa"/>
          </w:tcPr>
          <w:p w14:paraId="123DC20A" w14:textId="55A965C9" w:rsidR="004C00FA" w:rsidRPr="002B0815" w:rsidRDefault="004C00FA" w:rsidP="002B0815">
            <w:pPr>
              <w:pStyle w:val="TableCopy"/>
              <w:jc w:val="right"/>
              <w:rPr>
                <w:rFonts w:asciiTheme="minorHAnsi" w:hAnsiTheme="minorHAnsi" w:cstheme="minorHAnsi"/>
                <w:szCs w:val="24"/>
              </w:rPr>
            </w:pPr>
            <w:r w:rsidRPr="002B0815">
              <w:rPr>
                <w:rFonts w:asciiTheme="minorHAnsi" w:hAnsiTheme="minorHAnsi" w:cstheme="minorHAnsi"/>
                <w:szCs w:val="24"/>
              </w:rPr>
              <w:t>1,771</w:t>
            </w:r>
          </w:p>
        </w:tc>
        <w:tc>
          <w:tcPr>
            <w:tcW w:w="1276" w:type="dxa"/>
          </w:tcPr>
          <w:p w14:paraId="6649ACBB" w14:textId="5EB2A895" w:rsidR="004C00FA" w:rsidRPr="002B0815" w:rsidRDefault="004C00FA" w:rsidP="002B0815">
            <w:pPr>
              <w:pStyle w:val="TableCopy"/>
              <w:jc w:val="right"/>
              <w:rPr>
                <w:rFonts w:asciiTheme="minorHAnsi" w:hAnsiTheme="minorHAnsi" w:cstheme="minorHAnsi"/>
                <w:szCs w:val="24"/>
              </w:rPr>
            </w:pPr>
            <w:r w:rsidRPr="002B0815">
              <w:rPr>
                <w:rFonts w:asciiTheme="minorHAnsi" w:hAnsiTheme="minorHAnsi" w:cstheme="minorHAnsi"/>
                <w:szCs w:val="24"/>
              </w:rPr>
              <w:t>1,751</w:t>
            </w:r>
          </w:p>
        </w:tc>
        <w:tc>
          <w:tcPr>
            <w:tcW w:w="1276" w:type="dxa"/>
          </w:tcPr>
          <w:p w14:paraId="16FF1268" w14:textId="06FA50CC" w:rsidR="004C00FA" w:rsidRPr="002B0815" w:rsidRDefault="004C00FA" w:rsidP="002B0815">
            <w:pPr>
              <w:pStyle w:val="TableCopy"/>
              <w:jc w:val="right"/>
              <w:rPr>
                <w:rFonts w:asciiTheme="minorHAnsi" w:hAnsiTheme="minorHAnsi" w:cstheme="minorHAnsi"/>
                <w:szCs w:val="24"/>
              </w:rPr>
            </w:pPr>
            <w:r w:rsidRPr="002B0815">
              <w:rPr>
                <w:rFonts w:asciiTheme="minorHAnsi" w:hAnsiTheme="minorHAnsi" w:cstheme="minorHAnsi"/>
                <w:szCs w:val="24"/>
              </w:rPr>
              <w:t>334</w:t>
            </w:r>
          </w:p>
        </w:tc>
        <w:tc>
          <w:tcPr>
            <w:tcW w:w="1276" w:type="dxa"/>
          </w:tcPr>
          <w:p w14:paraId="5271EC22" w14:textId="5CA11973" w:rsidR="004C00FA" w:rsidRPr="002B0815" w:rsidRDefault="004C00FA" w:rsidP="002B0815">
            <w:pPr>
              <w:pStyle w:val="TableCopy"/>
              <w:jc w:val="right"/>
              <w:rPr>
                <w:rFonts w:asciiTheme="minorHAnsi" w:hAnsiTheme="minorHAnsi" w:cstheme="minorHAnsi"/>
                <w:szCs w:val="24"/>
              </w:rPr>
            </w:pPr>
            <w:r w:rsidRPr="002B0815">
              <w:rPr>
                <w:rFonts w:asciiTheme="minorHAnsi" w:hAnsiTheme="minorHAnsi" w:cstheme="minorHAnsi"/>
                <w:szCs w:val="24"/>
              </w:rPr>
              <w:t>–</w:t>
            </w:r>
          </w:p>
        </w:tc>
        <w:tc>
          <w:tcPr>
            <w:tcW w:w="1559" w:type="dxa"/>
          </w:tcPr>
          <w:p w14:paraId="777CB1B6" w14:textId="3E3E5444" w:rsidR="004C00FA" w:rsidRPr="002B0815" w:rsidRDefault="004C00FA" w:rsidP="002B0815">
            <w:pPr>
              <w:pStyle w:val="TableCopy"/>
              <w:jc w:val="right"/>
              <w:rPr>
                <w:rFonts w:asciiTheme="minorHAnsi" w:hAnsiTheme="minorHAnsi" w:cstheme="minorHAnsi"/>
                <w:szCs w:val="24"/>
              </w:rPr>
            </w:pPr>
            <w:r w:rsidRPr="002B0815">
              <w:rPr>
                <w:rFonts w:asciiTheme="minorHAnsi" w:hAnsiTheme="minorHAnsi" w:cstheme="minorHAnsi"/>
                <w:szCs w:val="24"/>
              </w:rPr>
              <w:t>–</w:t>
            </w:r>
          </w:p>
        </w:tc>
        <w:tc>
          <w:tcPr>
            <w:tcW w:w="1559" w:type="dxa"/>
          </w:tcPr>
          <w:p w14:paraId="05BA7966" w14:textId="6EF884C2" w:rsidR="004C00FA" w:rsidRPr="002B0815" w:rsidRDefault="004C00FA" w:rsidP="002B0815">
            <w:pPr>
              <w:pStyle w:val="TableCopy"/>
              <w:jc w:val="right"/>
              <w:rPr>
                <w:rFonts w:asciiTheme="minorHAnsi" w:hAnsiTheme="minorHAnsi" w:cstheme="minorHAnsi"/>
                <w:szCs w:val="24"/>
              </w:rPr>
            </w:pPr>
            <w:r w:rsidRPr="002B0815">
              <w:rPr>
                <w:rFonts w:asciiTheme="minorHAnsi" w:hAnsiTheme="minorHAnsi" w:cstheme="minorHAnsi"/>
                <w:szCs w:val="24"/>
              </w:rPr>
              <w:t>–</w:t>
            </w:r>
          </w:p>
        </w:tc>
        <w:tc>
          <w:tcPr>
            <w:tcW w:w="1277" w:type="dxa"/>
          </w:tcPr>
          <w:p w14:paraId="5DCFEF48" w14:textId="4F09F54B" w:rsidR="004C00FA" w:rsidRPr="002B0815" w:rsidRDefault="004C00FA" w:rsidP="002B0815">
            <w:pPr>
              <w:pStyle w:val="TableCopy"/>
              <w:jc w:val="right"/>
              <w:rPr>
                <w:rFonts w:asciiTheme="minorHAnsi" w:hAnsiTheme="minorHAnsi" w:cstheme="minorHAnsi"/>
                <w:szCs w:val="24"/>
              </w:rPr>
            </w:pPr>
            <w:r w:rsidRPr="002B0815">
              <w:rPr>
                <w:rFonts w:asciiTheme="minorHAnsi" w:hAnsiTheme="minorHAnsi" w:cstheme="minorHAnsi"/>
                <w:szCs w:val="24"/>
              </w:rPr>
              <w:t>2,106</w:t>
            </w:r>
          </w:p>
        </w:tc>
        <w:tc>
          <w:tcPr>
            <w:tcW w:w="1275" w:type="dxa"/>
          </w:tcPr>
          <w:p w14:paraId="0D1B83F6" w14:textId="4C1430F6" w:rsidR="004C00FA" w:rsidRPr="002B0815" w:rsidRDefault="004C00FA" w:rsidP="002B0815">
            <w:pPr>
              <w:pStyle w:val="TableCopy"/>
              <w:jc w:val="right"/>
              <w:rPr>
                <w:rFonts w:asciiTheme="minorHAnsi" w:hAnsiTheme="minorHAnsi" w:cstheme="minorHAnsi"/>
                <w:szCs w:val="24"/>
              </w:rPr>
            </w:pPr>
            <w:r w:rsidRPr="002B0815">
              <w:rPr>
                <w:rFonts w:asciiTheme="minorHAnsi" w:hAnsiTheme="minorHAnsi" w:cstheme="minorHAnsi"/>
                <w:szCs w:val="24"/>
              </w:rPr>
              <w:t>1,751</w:t>
            </w:r>
          </w:p>
        </w:tc>
      </w:tr>
      <w:tr w:rsidR="004C00FA" w:rsidRPr="002B0815" w14:paraId="5C63DC27" w14:textId="77777777" w:rsidTr="002B0815">
        <w:trPr>
          <w:cantSplit/>
        </w:trPr>
        <w:tc>
          <w:tcPr>
            <w:tcW w:w="4106" w:type="dxa"/>
          </w:tcPr>
          <w:p w14:paraId="3015CD2D" w14:textId="77777777" w:rsidR="004C00FA" w:rsidRPr="002B0815" w:rsidRDefault="004C00FA" w:rsidP="002B0815">
            <w:pPr>
              <w:pStyle w:val="TableCopy"/>
              <w:rPr>
                <w:rFonts w:asciiTheme="minorHAnsi" w:hAnsiTheme="minorHAnsi" w:cstheme="minorHAnsi"/>
                <w:szCs w:val="24"/>
              </w:rPr>
            </w:pPr>
            <w:r w:rsidRPr="002B0815">
              <w:rPr>
                <w:rFonts w:asciiTheme="minorHAnsi" w:hAnsiTheme="minorHAnsi" w:cstheme="minorHAnsi"/>
                <w:szCs w:val="24"/>
              </w:rPr>
              <w:t>Grants</w:t>
            </w:r>
          </w:p>
        </w:tc>
        <w:tc>
          <w:tcPr>
            <w:tcW w:w="1275" w:type="dxa"/>
          </w:tcPr>
          <w:p w14:paraId="4F6CF9CF" w14:textId="511F07D9" w:rsidR="004C00FA" w:rsidRPr="002B0815" w:rsidRDefault="004C00FA" w:rsidP="002B0815">
            <w:pPr>
              <w:pStyle w:val="TableCopy"/>
              <w:jc w:val="right"/>
              <w:rPr>
                <w:rFonts w:asciiTheme="minorHAnsi" w:hAnsiTheme="minorHAnsi" w:cstheme="minorHAnsi"/>
                <w:szCs w:val="24"/>
              </w:rPr>
            </w:pPr>
            <w:r w:rsidRPr="002B0815">
              <w:rPr>
                <w:rFonts w:asciiTheme="minorHAnsi" w:hAnsiTheme="minorHAnsi" w:cstheme="minorHAnsi"/>
                <w:szCs w:val="24"/>
              </w:rPr>
              <w:t>–</w:t>
            </w:r>
          </w:p>
        </w:tc>
        <w:tc>
          <w:tcPr>
            <w:tcW w:w="1276" w:type="dxa"/>
          </w:tcPr>
          <w:p w14:paraId="22B85876" w14:textId="08C4212B" w:rsidR="004C00FA" w:rsidRPr="002B0815" w:rsidRDefault="004C00FA" w:rsidP="002B0815">
            <w:pPr>
              <w:pStyle w:val="TableCopy"/>
              <w:jc w:val="right"/>
              <w:rPr>
                <w:rFonts w:asciiTheme="minorHAnsi" w:hAnsiTheme="minorHAnsi" w:cstheme="minorHAnsi"/>
                <w:szCs w:val="24"/>
              </w:rPr>
            </w:pPr>
            <w:r w:rsidRPr="002B0815">
              <w:rPr>
                <w:rFonts w:asciiTheme="minorHAnsi" w:hAnsiTheme="minorHAnsi" w:cstheme="minorHAnsi"/>
                <w:szCs w:val="24"/>
              </w:rPr>
              <w:t>–</w:t>
            </w:r>
          </w:p>
        </w:tc>
        <w:tc>
          <w:tcPr>
            <w:tcW w:w="1276" w:type="dxa"/>
          </w:tcPr>
          <w:p w14:paraId="7E4A5245" w14:textId="17B275AD" w:rsidR="004C00FA" w:rsidRPr="002B0815" w:rsidRDefault="004C00FA" w:rsidP="002B0815">
            <w:pPr>
              <w:pStyle w:val="TableCopy"/>
              <w:jc w:val="right"/>
              <w:rPr>
                <w:rFonts w:asciiTheme="minorHAnsi" w:hAnsiTheme="minorHAnsi" w:cstheme="minorHAnsi"/>
                <w:szCs w:val="24"/>
              </w:rPr>
            </w:pPr>
            <w:r w:rsidRPr="002B0815">
              <w:rPr>
                <w:rFonts w:asciiTheme="minorHAnsi" w:hAnsiTheme="minorHAnsi" w:cstheme="minorHAnsi"/>
                <w:szCs w:val="24"/>
              </w:rPr>
              <w:t>–</w:t>
            </w:r>
          </w:p>
        </w:tc>
        <w:tc>
          <w:tcPr>
            <w:tcW w:w="1276" w:type="dxa"/>
          </w:tcPr>
          <w:p w14:paraId="04432BC3" w14:textId="5D207F23" w:rsidR="004C00FA" w:rsidRPr="002B0815" w:rsidRDefault="004C00FA" w:rsidP="002B0815">
            <w:pPr>
              <w:pStyle w:val="TableCopy"/>
              <w:jc w:val="right"/>
              <w:rPr>
                <w:rFonts w:asciiTheme="minorHAnsi" w:hAnsiTheme="minorHAnsi" w:cstheme="minorHAnsi"/>
                <w:szCs w:val="24"/>
              </w:rPr>
            </w:pPr>
            <w:r w:rsidRPr="002B0815">
              <w:rPr>
                <w:rFonts w:asciiTheme="minorHAnsi" w:hAnsiTheme="minorHAnsi" w:cstheme="minorHAnsi"/>
                <w:szCs w:val="24"/>
              </w:rPr>
              <w:t>–</w:t>
            </w:r>
          </w:p>
        </w:tc>
        <w:tc>
          <w:tcPr>
            <w:tcW w:w="1559" w:type="dxa"/>
          </w:tcPr>
          <w:p w14:paraId="1FF293B6" w14:textId="01657BE7" w:rsidR="004C00FA" w:rsidRPr="002B0815" w:rsidRDefault="004C00FA" w:rsidP="002B0815">
            <w:pPr>
              <w:pStyle w:val="TableCopy"/>
              <w:jc w:val="right"/>
              <w:rPr>
                <w:rFonts w:asciiTheme="minorHAnsi" w:hAnsiTheme="minorHAnsi" w:cstheme="minorHAnsi"/>
                <w:szCs w:val="24"/>
              </w:rPr>
            </w:pPr>
            <w:r w:rsidRPr="002B0815">
              <w:rPr>
                <w:rFonts w:asciiTheme="minorHAnsi" w:hAnsiTheme="minorHAnsi" w:cstheme="minorHAnsi"/>
                <w:szCs w:val="24"/>
              </w:rPr>
              <w:t>–</w:t>
            </w:r>
          </w:p>
        </w:tc>
        <w:tc>
          <w:tcPr>
            <w:tcW w:w="1559" w:type="dxa"/>
          </w:tcPr>
          <w:p w14:paraId="3819659D" w14:textId="4BA0CAEC" w:rsidR="004C00FA" w:rsidRPr="002B0815" w:rsidRDefault="004C00FA" w:rsidP="002B0815">
            <w:pPr>
              <w:pStyle w:val="TableCopy"/>
              <w:jc w:val="right"/>
              <w:rPr>
                <w:rFonts w:asciiTheme="minorHAnsi" w:hAnsiTheme="minorHAnsi" w:cstheme="minorHAnsi"/>
                <w:szCs w:val="24"/>
              </w:rPr>
            </w:pPr>
            <w:r w:rsidRPr="002B0815">
              <w:rPr>
                <w:rFonts w:asciiTheme="minorHAnsi" w:hAnsiTheme="minorHAnsi" w:cstheme="minorHAnsi"/>
                <w:szCs w:val="24"/>
              </w:rPr>
              <w:t>–</w:t>
            </w:r>
          </w:p>
        </w:tc>
        <w:tc>
          <w:tcPr>
            <w:tcW w:w="1277" w:type="dxa"/>
          </w:tcPr>
          <w:p w14:paraId="415C103A" w14:textId="7295AAB1" w:rsidR="004C00FA" w:rsidRPr="002B0815" w:rsidRDefault="004C00FA" w:rsidP="002B0815">
            <w:pPr>
              <w:pStyle w:val="TableCopy"/>
              <w:jc w:val="right"/>
              <w:rPr>
                <w:rFonts w:asciiTheme="minorHAnsi" w:hAnsiTheme="minorHAnsi" w:cstheme="minorHAnsi"/>
                <w:szCs w:val="24"/>
              </w:rPr>
            </w:pPr>
            <w:r w:rsidRPr="002B0815">
              <w:rPr>
                <w:rFonts w:asciiTheme="minorHAnsi" w:hAnsiTheme="minorHAnsi" w:cstheme="minorHAnsi"/>
                <w:szCs w:val="24"/>
              </w:rPr>
              <w:t>5</w:t>
            </w:r>
          </w:p>
        </w:tc>
        <w:tc>
          <w:tcPr>
            <w:tcW w:w="1275" w:type="dxa"/>
          </w:tcPr>
          <w:p w14:paraId="03E752E5" w14:textId="72C2407C" w:rsidR="004C00FA" w:rsidRPr="002B0815" w:rsidRDefault="004C00FA" w:rsidP="002B0815">
            <w:pPr>
              <w:pStyle w:val="TableCopy"/>
              <w:jc w:val="right"/>
              <w:rPr>
                <w:rFonts w:asciiTheme="minorHAnsi" w:hAnsiTheme="minorHAnsi" w:cstheme="minorHAnsi"/>
                <w:szCs w:val="24"/>
              </w:rPr>
            </w:pPr>
            <w:r w:rsidRPr="002B0815">
              <w:rPr>
                <w:rFonts w:asciiTheme="minorHAnsi" w:hAnsiTheme="minorHAnsi" w:cstheme="minorHAnsi"/>
                <w:szCs w:val="24"/>
              </w:rPr>
              <w:t>26,275</w:t>
            </w:r>
          </w:p>
        </w:tc>
      </w:tr>
      <w:tr w:rsidR="004C00FA" w:rsidRPr="002B0815" w14:paraId="4EEEC4E9" w14:textId="77777777" w:rsidTr="002B0815">
        <w:trPr>
          <w:cantSplit/>
        </w:trPr>
        <w:tc>
          <w:tcPr>
            <w:tcW w:w="4106" w:type="dxa"/>
          </w:tcPr>
          <w:p w14:paraId="7E01B083" w14:textId="0AAB25D2" w:rsidR="004C00FA" w:rsidRPr="002B0815" w:rsidRDefault="004C00FA" w:rsidP="002B0815">
            <w:pPr>
              <w:pStyle w:val="TableCopy"/>
              <w:rPr>
                <w:b/>
                <w:bCs/>
              </w:rPr>
            </w:pPr>
            <w:r w:rsidRPr="002B0815">
              <w:rPr>
                <w:b/>
                <w:bCs/>
              </w:rPr>
              <w:t>Total administered revenue and income from transactions</w:t>
            </w:r>
          </w:p>
        </w:tc>
        <w:tc>
          <w:tcPr>
            <w:tcW w:w="1275" w:type="dxa"/>
          </w:tcPr>
          <w:p w14:paraId="21DD8475" w14:textId="2130BC60" w:rsidR="004C00FA" w:rsidRPr="002B0815" w:rsidRDefault="004C00FA" w:rsidP="002B0815">
            <w:pPr>
              <w:pStyle w:val="TableCopy"/>
              <w:jc w:val="right"/>
              <w:rPr>
                <w:b/>
                <w:bCs/>
              </w:rPr>
            </w:pPr>
            <w:r w:rsidRPr="002B0815">
              <w:rPr>
                <w:b/>
                <w:bCs/>
              </w:rPr>
              <w:t>114,192</w:t>
            </w:r>
          </w:p>
        </w:tc>
        <w:tc>
          <w:tcPr>
            <w:tcW w:w="1276" w:type="dxa"/>
          </w:tcPr>
          <w:p w14:paraId="4A2F4183" w14:textId="65B774EE" w:rsidR="004C00FA" w:rsidRPr="002B0815" w:rsidRDefault="004C00FA" w:rsidP="002B0815">
            <w:pPr>
              <w:pStyle w:val="TableCopy"/>
              <w:jc w:val="right"/>
              <w:rPr>
                <w:b/>
                <w:bCs/>
              </w:rPr>
            </w:pPr>
            <w:r w:rsidRPr="002B0815">
              <w:rPr>
                <w:b/>
                <w:bCs/>
              </w:rPr>
              <w:t>100,592</w:t>
            </w:r>
          </w:p>
        </w:tc>
        <w:tc>
          <w:tcPr>
            <w:tcW w:w="1276" w:type="dxa"/>
          </w:tcPr>
          <w:p w14:paraId="6AEF525C" w14:textId="4A0DC84B" w:rsidR="004C00FA" w:rsidRPr="002B0815" w:rsidRDefault="004C00FA" w:rsidP="002B0815">
            <w:pPr>
              <w:pStyle w:val="TableCopy"/>
              <w:jc w:val="right"/>
              <w:rPr>
                <w:b/>
                <w:bCs/>
              </w:rPr>
            </w:pPr>
            <w:r w:rsidRPr="002B0815">
              <w:rPr>
                <w:b/>
                <w:bCs/>
              </w:rPr>
              <w:t>4,330</w:t>
            </w:r>
          </w:p>
        </w:tc>
        <w:tc>
          <w:tcPr>
            <w:tcW w:w="1276" w:type="dxa"/>
          </w:tcPr>
          <w:p w14:paraId="7A3792F2" w14:textId="11B429A6" w:rsidR="004C00FA" w:rsidRPr="002B0815" w:rsidRDefault="004C00FA" w:rsidP="002B0815">
            <w:pPr>
              <w:pStyle w:val="TableCopy"/>
              <w:jc w:val="right"/>
              <w:rPr>
                <w:b/>
                <w:bCs/>
              </w:rPr>
            </w:pPr>
            <w:r w:rsidRPr="002B0815">
              <w:rPr>
                <w:b/>
                <w:bCs/>
              </w:rPr>
              <w:t>–</w:t>
            </w:r>
          </w:p>
        </w:tc>
        <w:tc>
          <w:tcPr>
            <w:tcW w:w="1559" w:type="dxa"/>
          </w:tcPr>
          <w:p w14:paraId="410D541C" w14:textId="0A98EB20" w:rsidR="004C00FA" w:rsidRPr="002B0815" w:rsidRDefault="004C00FA" w:rsidP="002B0815">
            <w:pPr>
              <w:pStyle w:val="TableCopy"/>
              <w:jc w:val="right"/>
              <w:rPr>
                <w:b/>
                <w:bCs/>
              </w:rPr>
            </w:pPr>
            <w:r w:rsidRPr="002B0815">
              <w:rPr>
                <w:b/>
                <w:bCs/>
              </w:rPr>
              <w:t>–</w:t>
            </w:r>
          </w:p>
        </w:tc>
        <w:tc>
          <w:tcPr>
            <w:tcW w:w="1559" w:type="dxa"/>
          </w:tcPr>
          <w:p w14:paraId="37609C4D" w14:textId="178489B9" w:rsidR="004C00FA" w:rsidRPr="002B0815" w:rsidRDefault="004C00FA" w:rsidP="002B0815">
            <w:pPr>
              <w:pStyle w:val="TableCopy"/>
              <w:jc w:val="right"/>
              <w:rPr>
                <w:b/>
                <w:bCs/>
              </w:rPr>
            </w:pPr>
            <w:r w:rsidRPr="002B0815">
              <w:rPr>
                <w:b/>
                <w:bCs/>
              </w:rPr>
              <w:t>–</w:t>
            </w:r>
          </w:p>
        </w:tc>
        <w:tc>
          <w:tcPr>
            <w:tcW w:w="1277" w:type="dxa"/>
          </w:tcPr>
          <w:p w14:paraId="1058FF8E" w14:textId="52A42CE3" w:rsidR="004C00FA" w:rsidRPr="002B0815" w:rsidRDefault="004C00FA" w:rsidP="002B0815">
            <w:pPr>
              <w:pStyle w:val="TableCopy"/>
              <w:jc w:val="right"/>
              <w:rPr>
                <w:b/>
                <w:bCs/>
              </w:rPr>
            </w:pPr>
            <w:r w:rsidRPr="002B0815">
              <w:rPr>
                <w:b/>
                <w:bCs/>
              </w:rPr>
              <w:t>125,156</w:t>
            </w:r>
          </w:p>
        </w:tc>
        <w:tc>
          <w:tcPr>
            <w:tcW w:w="1275" w:type="dxa"/>
          </w:tcPr>
          <w:p w14:paraId="4150AC4C" w14:textId="7F5AE085" w:rsidR="004C00FA" w:rsidRPr="002B0815" w:rsidRDefault="004C00FA" w:rsidP="002B0815">
            <w:pPr>
              <w:pStyle w:val="TableCopy"/>
              <w:jc w:val="right"/>
              <w:rPr>
                <w:b/>
                <w:bCs/>
              </w:rPr>
            </w:pPr>
            <w:r w:rsidRPr="002B0815">
              <w:rPr>
                <w:b/>
                <w:bCs/>
              </w:rPr>
              <w:t>132,792</w:t>
            </w:r>
          </w:p>
        </w:tc>
      </w:tr>
      <w:tr w:rsidR="004C00FA" w:rsidRPr="002B0815" w14:paraId="19953211" w14:textId="77777777" w:rsidTr="002B0815">
        <w:trPr>
          <w:cantSplit/>
        </w:trPr>
        <w:tc>
          <w:tcPr>
            <w:tcW w:w="4106" w:type="dxa"/>
          </w:tcPr>
          <w:p w14:paraId="48CAA113" w14:textId="77177422" w:rsidR="004C00FA" w:rsidRPr="002B0815" w:rsidRDefault="004C00FA" w:rsidP="002B0815">
            <w:pPr>
              <w:pStyle w:val="TableHeading"/>
            </w:pPr>
            <w:r w:rsidRPr="002B0815">
              <w:lastRenderedPageBreak/>
              <w:t>Administered expenses from transactions</w:t>
            </w:r>
          </w:p>
        </w:tc>
        <w:tc>
          <w:tcPr>
            <w:tcW w:w="1275" w:type="dxa"/>
          </w:tcPr>
          <w:p w14:paraId="20923417" w14:textId="77777777" w:rsidR="004C00FA" w:rsidRPr="002B0815" w:rsidRDefault="004C00FA" w:rsidP="002B0815">
            <w:pPr>
              <w:pStyle w:val="TableHeading"/>
              <w:jc w:val="right"/>
            </w:pPr>
          </w:p>
        </w:tc>
        <w:tc>
          <w:tcPr>
            <w:tcW w:w="1276" w:type="dxa"/>
          </w:tcPr>
          <w:p w14:paraId="23E51632" w14:textId="77777777" w:rsidR="004C00FA" w:rsidRPr="002B0815" w:rsidRDefault="004C00FA" w:rsidP="002B0815">
            <w:pPr>
              <w:pStyle w:val="TableHeading"/>
              <w:jc w:val="right"/>
            </w:pPr>
          </w:p>
        </w:tc>
        <w:tc>
          <w:tcPr>
            <w:tcW w:w="1276" w:type="dxa"/>
          </w:tcPr>
          <w:p w14:paraId="2F38C613" w14:textId="77777777" w:rsidR="004C00FA" w:rsidRPr="002B0815" w:rsidRDefault="004C00FA" w:rsidP="002B0815">
            <w:pPr>
              <w:pStyle w:val="TableHeading"/>
              <w:jc w:val="right"/>
            </w:pPr>
          </w:p>
        </w:tc>
        <w:tc>
          <w:tcPr>
            <w:tcW w:w="1276" w:type="dxa"/>
          </w:tcPr>
          <w:p w14:paraId="30138638" w14:textId="77777777" w:rsidR="004C00FA" w:rsidRPr="002B0815" w:rsidRDefault="004C00FA" w:rsidP="002B0815">
            <w:pPr>
              <w:pStyle w:val="TableHeading"/>
              <w:jc w:val="right"/>
            </w:pPr>
          </w:p>
        </w:tc>
        <w:tc>
          <w:tcPr>
            <w:tcW w:w="1559" w:type="dxa"/>
          </w:tcPr>
          <w:p w14:paraId="7810D879" w14:textId="77777777" w:rsidR="004C00FA" w:rsidRPr="002B0815" w:rsidRDefault="004C00FA" w:rsidP="002B0815">
            <w:pPr>
              <w:pStyle w:val="TableHeading"/>
              <w:jc w:val="right"/>
            </w:pPr>
          </w:p>
        </w:tc>
        <w:tc>
          <w:tcPr>
            <w:tcW w:w="1559" w:type="dxa"/>
          </w:tcPr>
          <w:p w14:paraId="394D9AC2" w14:textId="77777777" w:rsidR="004C00FA" w:rsidRPr="002B0815" w:rsidRDefault="004C00FA" w:rsidP="002B0815">
            <w:pPr>
              <w:pStyle w:val="TableHeading"/>
              <w:jc w:val="right"/>
            </w:pPr>
          </w:p>
        </w:tc>
        <w:tc>
          <w:tcPr>
            <w:tcW w:w="1277" w:type="dxa"/>
          </w:tcPr>
          <w:p w14:paraId="7136E79B" w14:textId="77777777" w:rsidR="004C00FA" w:rsidRPr="002B0815" w:rsidRDefault="004C00FA" w:rsidP="002B0815">
            <w:pPr>
              <w:pStyle w:val="TableHeading"/>
              <w:jc w:val="right"/>
            </w:pPr>
          </w:p>
        </w:tc>
        <w:tc>
          <w:tcPr>
            <w:tcW w:w="1275" w:type="dxa"/>
          </w:tcPr>
          <w:p w14:paraId="62600B0F" w14:textId="77777777" w:rsidR="004C00FA" w:rsidRPr="002B0815" w:rsidRDefault="004C00FA" w:rsidP="002B0815">
            <w:pPr>
              <w:pStyle w:val="TableHeading"/>
              <w:jc w:val="right"/>
            </w:pPr>
          </w:p>
        </w:tc>
      </w:tr>
      <w:tr w:rsidR="004C00FA" w14:paraId="1A8538EE" w14:textId="77777777" w:rsidTr="002B0815">
        <w:trPr>
          <w:cantSplit/>
        </w:trPr>
        <w:tc>
          <w:tcPr>
            <w:tcW w:w="4106" w:type="dxa"/>
          </w:tcPr>
          <w:p w14:paraId="0BAE7412" w14:textId="52F1840F" w:rsidR="004C00FA" w:rsidRDefault="004C00FA" w:rsidP="002B0815">
            <w:pPr>
              <w:pStyle w:val="TableCopy"/>
            </w:pPr>
            <w:r>
              <w:t>Payments into Consolidated Fund</w:t>
            </w:r>
          </w:p>
        </w:tc>
        <w:tc>
          <w:tcPr>
            <w:tcW w:w="1275" w:type="dxa"/>
          </w:tcPr>
          <w:p w14:paraId="3EA78B5D" w14:textId="77777777" w:rsidR="004C00FA" w:rsidRDefault="004C00FA" w:rsidP="002B0815">
            <w:pPr>
              <w:pStyle w:val="TableCopy"/>
              <w:jc w:val="right"/>
            </w:pPr>
            <w:r>
              <w:t>(15,321)</w:t>
            </w:r>
          </w:p>
        </w:tc>
        <w:tc>
          <w:tcPr>
            <w:tcW w:w="1276" w:type="dxa"/>
          </w:tcPr>
          <w:p w14:paraId="3C9A4ACC" w14:textId="77777777" w:rsidR="004C00FA" w:rsidRDefault="004C00FA" w:rsidP="002B0815">
            <w:pPr>
              <w:pStyle w:val="TableCopy"/>
              <w:jc w:val="right"/>
            </w:pPr>
            <w:r>
              <w:t>(28,811)</w:t>
            </w:r>
          </w:p>
        </w:tc>
        <w:tc>
          <w:tcPr>
            <w:tcW w:w="1276" w:type="dxa"/>
          </w:tcPr>
          <w:p w14:paraId="1FEFB155" w14:textId="77777777" w:rsidR="004C00FA" w:rsidRDefault="004C00FA" w:rsidP="002B0815">
            <w:pPr>
              <w:pStyle w:val="TableCopy"/>
              <w:jc w:val="right"/>
            </w:pPr>
            <w:r>
              <w:t>(4,335)</w:t>
            </w:r>
          </w:p>
        </w:tc>
        <w:tc>
          <w:tcPr>
            <w:tcW w:w="1276" w:type="dxa"/>
          </w:tcPr>
          <w:p w14:paraId="4972BC9B" w14:textId="0E5BDF1F" w:rsidR="004C00FA" w:rsidRDefault="004C00FA" w:rsidP="002B0815">
            <w:pPr>
              <w:pStyle w:val="TableCopy"/>
              <w:jc w:val="right"/>
            </w:pPr>
            <w:r>
              <w:t>–</w:t>
            </w:r>
          </w:p>
        </w:tc>
        <w:tc>
          <w:tcPr>
            <w:tcW w:w="1559" w:type="dxa"/>
          </w:tcPr>
          <w:p w14:paraId="51BA5F06" w14:textId="7C8227E4" w:rsidR="004C00FA" w:rsidRDefault="004C00FA" w:rsidP="002B0815">
            <w:pPr>
              <w:pStyle w:val="TableCopy"/>
              <w:jc w:val="right"/>
            </w:pPr>
            <w:r>
              <w:t>–</w:t>
            </w:r>
          </w:p>
        </w:tc>
        <w:tc>
          <w:tcPr>
            <w:tcW w:w="1559" w:type="dxa"/>
          </w:tcPr>
          <w:p w14:paraId="75DC456A" w14:textId="6DF5BDFF" w:rsidR="004C00FA" w:rsidRDefault="004C00FA" w:rsidP="002B0815">
            <w:pPr>
              <w:pStyle w:val="TableCopy"/>
              <w:jc w:val="right"/>
            </w:pPr>
            <w:r>
              <w:t>–</w:t>
            </w:r>
          </w:p>
        </w:tc>
        <w:tc>
          <w:tcPr>
            <w:tcW w:w="1277" w:type="dxa"/>
          </w:tcPr>
          <w:p w14:paraId="1E5FE45A" w14:textId="77777777" w:rsidR="004C00FA" w:rsidRDefault="004C00FA" w:rsidP="002B0815">
            <w:pPr>
              <w:pStyle w:val="TableCopy"/>
              <w:jc w:val="right"/>
            </w:pPr>
            <w:r>
              <w:t>(27,034)</w:t>
            </w:r>
          </w:p>
        </w:tc>
        <w:tc>
          <w:tcPr>
            <w:tcW w:w="1275" w:type="dxa"/>
          </w:tcPr>
          <w:p w14:paraId="5FC81973" w14:textId="77777777" w:rsidR="004C00FA" w:rsidRDefault="004C00FA" w:rsidP="002B0815">
            <w:pPr>
              <w:pStyle w:val="TableCopy"/>
              <w:jc w:val="right"/>
            </w:pPr>
            <w:r>
              <w:t>(58,970)</w:t>
            </w:r>
          </w:p>
        </w:tc>
      </w:tr>
      <w:tr w:rsidR="004C00FA" w14:paraId="436541C9" w14:textId="77777777" w:rsidTr="002B0815">
        <w:trPr>
          <w:cantSplit/>
        </w:trPr>
        <w:tc>
          <w:tcPr>
            <w:tcW w:w="4106" w:type="dxa"/>
          </w:tcPr>
          <w:p w14:paraId="03E5C85F" w14:textId="0D475927" w:rsidR="004C00FA" w:rsidRDefault="004C00FA" w:rsidP="002B0815">
            <w:pPr>
              <w:pStyle w:val="TableCopy"/>
            </w:pPr>
            <w:r>
              <w:t>Interest expense</w:t>
            </w:r>
          </w:p>
        </w:tc>
        <w:tc>
          <w:tcPr>
            <w:tcW w:w="1275" w:type="dxa"/>
          </w:tcPr>
          <w:p w14:paraId="2144AA0C" w14:textId="77777777" w:rsidR="004C00FA" w:rsidRDefault="004C00FA" w:rsidP="002B0815">
            <w:pPr>
              <w:pStyle w:val="TableCopy"/>
              <w:jc w:val="right"/>
            </w:pPr>
            <w:r>
              <w:t>(38,702)</w:t>
            </w:r>
          </w:p>
        </w:tc>
        <w:tc>
          <w:tcPr>
            <w:tcW w:w="1276" w:type="dxa"/>
          </w:tcPr>
          <w:p w14:paraId="623C576A" w14:textId="77777777" w:rsidR="004C00FA" w:rsidRDefault="004C00FA" w:rsidP="002B0815">
            <w:pPr>
              <w:pStyle w:val="TableCopy"/>
              <w:jc w:val="right"/>
            </w:pPr>
            <w:r>
              <w:t>(39,672)</w:t>
            </w:r>
          </w:p>
        </w:tc>
        <w:tc>
          <w:tcPr>
            <w:tcW w:w="1276" w:type="dxa"/>
          </w:tcPr>
          <w:p w14:paraId="4FA05C68" w14:textId="5843DB18" w:rsidR="004C00FA" w:rsidRDefault="004C00FA" w:rsidP="002B0815">
            <w:pPr>
              <w:pStyle w:val="TableCopy"/>
              <w:jc w:val="right"/>
            </w:pPr>
            <w:r>
              <w:t>–</w:t>
            </w:r>
          </w:p>
        </w:tc>
        <w:tc>
          <w:tcPr>
            <w:tcW w:w="1276" w:type="dxa"/>
          </w:tcPr>
          <w:p w14:paraId="5605EF2D" w14:textId="30058E32" w:rsidR="004C00FA" w:rsidRDefault="004C00FA" w:rsidP="002B0815">
            <w:pPr>
              <w:pStyle w:val="TableCopy"/>
              <w:jc w:val="right"/>
            </w:pPr>
            <w:r>
              <w:t>–</w:t>
            </w:r>
          </w:p>
        </w:tc>
        <w:tc>
          <w:tcPr>
            <w:tcW w:w="1559" w:type="dxa"/>
          </w:tcPr>
          <w:p w14:paraId="3CB572AE" w14:textId="33637430" w:rsidR="004C00FA" w:rsidRDefault="004C00FA" w:rsidP="002B0815">
            <w:pPr>
              <w:pStyle w:val="TableCopy"/>
              <w:jc w:val="right"/>
            </w:pPr>
            <w:r>
              <w:t>–</w:t>
            </w:r>
          </w:p>
        </w:tc>
        <w:tc>
          <w:tcPr>
            <w:tcW w:w="1559" w:type="dxa"/>
          </w:tcPr>
          <w:p w14:paraId="17FD552E" w14:textId="3AE13DCE" w:rsidR="004C00FA" w:rsidRDefault="004C00FA" w:rsidP="002B0815">
            <w:pPr>
              <w:pStyle w:val="TableCopy"/>
              <w:jc w:val="right"/>
            </w:pPr>
            <w:r>
              <w:t>–</w:t>
            </w:r>
          </w:p>
        </w:tc>
        <w:tc>
          <w:tcPr>
            <w:tcW w:w="1277" w:type="dxa"/>
          </w:tcPr>
          <w:p w14:paraId="6CB982A0" w14:textId="77777777" w:rsidR="004C00FA" w:rsidRDefault="004C00FA" w:rsidP="002B0815">
            <w:pPr>
              <w:pStyle w:val="TableCopy"/>
              <w:jc w:val="right"/>
            </w:pPr>
            <w:r>
              <w:t>(38,702)</w:t>
            </w:r>
          </w:p>
        </w:tc>
        <w:tc>
          <w:tcPr>
            <w:tcW w:w="1275" w:type="dxa"/>
          </w:tcPr>
          <w:p w14:paraId="23D527D1" w14:textId="77777777" w:rsidR="004C00FA" w:rsidRDefault="004C00FA" w:rsidP="002B0815">
            <w:pPr>
              <w:pStyle w:val="TableCopy"/>
              <w:jc w:val="right"/>
            </w:pPr>
            <w:r>
              <w:t>(39,672)</w:t>
            </w:r>
          </w:p>
        </w:tc>
      </w:tr>
      <w:tr w:rsidR="004C00FA" w14:paraId="422A7900" w14:textId="77777777" w:rsidTr="002B0815">
        <w:trPr>
          <w:cantSplit/>
        </w:trPr>
        <w:tc>
          <w:tcPr>
            <w:tcW w:w="4106" w:type="dxa"/>
          </w:tcPr>
          <w:p w14:paraId="1E999317" w14:textId="3D9917AE" w:rsidR="004C00FA" w:rsidRDefault="004C00FA" w:rsidP="002B0815">
            <w:pPr>
              <w:pStyle w:val="TableCopy"/>
            </w:pPr>
            <w:r>
              <w:t>Other expenses</w:t>
            </w:r>
          </w:p>
        </w:tc>
        <w:tc>
          <w:tcPr>
            <w:tcW w:w="1275" w:type="dxa"/>
          </w:tcPr>
          <w:p w14:paraId="04AC8F62" w14:textId="77777777" w:rsidR="004C00FA" w:rsidRDefault="004C00FA" w:rsidP="002B0815">
            <w:pPr>
              <w:pStyle w:val="TableCopy"/>
              <w:jc w:val="right"/>
            </w:pPr>
            <w:r>
              <w:t>(40,730)</w:t>
            </w:r>
          </w:p>
        </w:tc>
        <w:tc>
          <w:tcPr>
            <w:tcW w:w="1276" w:type="dxa"/>
          </w:tcPr>
          <w:p w14:paraId="6B0554A7" w14:textId="77777777" w:rsidR="004C00FA" w:rsidRDefault="004C00FA" w:rsidP="002B0815">
            <w:pPr>
              <w:pStyle w:val="TableCopy"/>
              <w:jc w:val="right"/>
            </w:pPr>
            <w:r>
              <w:t>(34,560)</w:t>
            </w:r>
          </w:p>
        </w:tc>
        <w:tc>
          <w:tcPr>
            <w:tcW w:w="1276" w:type="dxa"/>
          </w:tcPr>
          <w:p w14:paraId="3B440ABB" w14:textId="7D93EE87" w:rsidR="004C00FA" w:rsidRDefault="004C00FA" w:rsidP="002B0815">
            <w:pPr>
              <w:pStyle w:val="TableCopy"/>
              <w:jc w:val="right"/>
            </w:pPr>
            <w:r>
              <w:t>–</w:t>
            </w:r>
          </w:p>
        </w:tc>
        <w:tc>
          <w:tcPr>
            <w:tcW w:w="1276" w:type="dxa"/>
          </w:tcPr>
          <w:p w14:paraId="3C5C7602" w14:textId="45849E1E" w:rsidR="004C00FA" w:rsidRDefault="004C00FA" w:rsidP="002B0815">
            <w:pPr>
              <w:pStyle w:val="TableCopy"/>
              <w:jc w:val="right"/>
            </w:pPr>
            <w:r>
              <w:t>–</w:t>
            </w:r>
          </w:p>
        </w:tc>
        <w:tc>
          <w:tcPr>
            <w:tcW w:w="1559" w:type="dxa"/>
          </w:tcPr>
          <w:p w14:paraId="42280EE8" w14:textId="64743D02" w:rsidR="004C00FA" w:rsidRDefault="004C00FA" w:rsidP="002B0815">
            <w:pPr>
              <w:pStyle w:val="TableCopy"/>
              <w:jc w:val="right"/>
            </w:pPr>
            <w:r>
              <w:t>–</w:t>
            </w:r>
          </w:p>
        </w:tc>
        <w:tc>
          <w:tcPr>
            <w:tcW w:w="1559" w:type="dxa"/>
          </w:tcPr>
          <w:p w14:paraId="15D0AE81" w14:textId="1B29E22E" w:rsidR="004C00FA" w:rsidRDefault="004C00FA" w:rsidP="002B0815">
            <w:pPr>
              <w:pStyle w:val="TableCopy"/>
              <w:jc w:val="right"/>
            </w:pPr>
            <w:r>
              <w:t>–</w:t>
            </w:r>
          </w:p>
        </w:tc>
        <w:tc>
          <w:tcPr>
            <w:tcW w:w="1277" w:type="dxa"/>
          </w:tcPr>
          <w:p w14:paraId="01C344A3" w14:textId="77777777" w:rsidR="004C00FA" w:rsidRDefault="004C00FA" w:rsidP="002B0815">
            <w:pPr>
              <w:pStyle w:val="TableCopy"/>
              <w:jc w:val="right"/>
            </w:pPr>
            <w:r>
              <w:t>(41,149)</w:t>
            </w:r>
          </w:p>
        </w:tc>
        <w:tc>
          <w:tcPr>
            <w:tcW w:w="1275" w:type="dxa"/>
          </w:tcPr>
          <w:p w14:paraId="3B2CD66A" w14:textId="77777777" w:rsidR="004C00FA" w:rsidRDefault="004C00FA" w:rsidP="002B0815">
            <w:pPr>
              <w:pStyle w:val="TableCopy"/>
              <w:jc w:val="right"/>
            </w:pPr>
            <w:r>
              <w:t>(36,754)</w:t>
            </w:r>
          </w:p>
        </w:tc>
      </w:tr>
      <w:tr w:rsidR="004C00FA" w:rsidRPr="002B0815" w14:paraId="0DB88AFC" w14:textId="77777777" w:rsidTr="002B0815">
        <w:trPr>
          <w:cantSplit/>
        </w:trPr>
        <w:tc>
          <w:tcPr>
            <w:tcW w:w="4106" w:type="dxa"/>
          </w:tcPr>
          <w:p w14:paraId="7270D355" w14:textId="35BCD0C9" w:rsidR="004C00FA" w:rsidRPr="002B0815" w:rsidRDefault="004C00FA" w:rsidP="002B0815">
            <w:pPr>
              <w:pStyle w:val="TableCopy"/>
              <w:rPr>
                <w:b/>
                <w:bCs/>
              </w:rPr>
            </w:pPr>
            <w:r w:rsidRPr="002B0815">
              <w:rPr>
                <w:b/>
                <w:bCs/>
              </w:rPr>
              <w:t>Total administered expenses from transactions</w:t>
            </w:r>
          </w:p>
        </w:tc>
        <w:tc>
          <w:tcPr>
            <w:tcW w:w="1275" w:type="dxa"/>
          </w:tcPr>
          <w:p w14:paraId="6D685804" w14:textId="77777777" w:rsidR="004C00FA" w:rsidRPr="002B0815" w:rsidRDefault="004C00FA" w:rsidP="002B0815">
            <w:pPr>
              <w:pStyle w:val="TableCopy"/>
              <w:jc w:val="right"/>
              <w:rPr>
                <w:b/>
                <w:bCs/>
              </w:rPr>
            </w:pPr>
            <w:r w:rsidRPr="002B0815">
              <w:rPr>
                <w:b/>
                <w:bCs/>
              </w:rPr>
              <w:t>(94,752)</w:t>
            </w:r>
          </w:p>
        </w:tc>
        <w:tc>
          <w:tcPr>
            <w:tcW w:w="1276" w:type="dxa"/>
          </w:tcPr>
          <w:p w14:paraId="57058045" w14:textId="77777777" w:rsidR="004C00FA" w:rsidRPr="002B0815" w:rsidRDefault="004C00FA" w:rsidP="002B0815">
            <w:pPr>
              <w:pStyle w:val="TableCopy"/>
              <w:jc w:val="right"/>
              <w:rPr>
                <w:b/>
                <w:bCs/>
              </w:rPr>
            </w:pPr>
            <w:r w:rsidRPr="002B0815">
              <w:rPr>
                <w:b/>
                <w:bCs/>
              </w:rPr>
              <w:t>(103,043)</w:t>
            </w:r>
          </w:p>
        </w:tc>
        <w:tc>
          <w:tcPr>
            <w:tcW w:w="1276" w:type="dxa"/>
          </w:tcPr>
          <w:p w14:paraId="4A47DB04" w14:textId="77777777" w:rsidR="004C00FA" w:rsidRPr="002B0815" w:rsidRDefault="004C00FA" w:rsidP="002B0815">
            <w:pPr>
              <w:pStyle w:val="TableCopy"/>
              <w:jc w:val="right"/>
              <w:rPr>
                <w:b/>
                <w:bCs/>
              </w:rPr>
            </w:pPr>
            <w:r w:rsidRPr="002B0815">
              <w:rPr>
                <w:b/>
                <w:bCs/>
              </w:rPr>
              <w:t>(4,335)</w:t>
            </w:r>
          </w:p>
        </w:tc>
        <w:tc>
          <w:tcPr>
            <w:tcW w:w="1276" w:type="dxa"/>
          </w:tcPr>
          <w:p w14:paraId="41AA0EBB" w14:textId="38844157" w:rsidR="004C00FA" w:rsidRPr="002B0815" w:rsidRDefault="004C00FA" w:rsidP="002B0815">
            <w:pPr>
              <w:pStyle w:val="TableCopy"/>
              <w:jc w:val="right"/>
              <w:rPr>
                <w:b/>
                <w:bCs/>
              </w:rPr>
            </w:pPr>
            <w:r w:rsidRPr="002B0815">
              <w:rPr>
                <w:b/>
                <w:bCs/>
              </w:rPr>
              <w:t>–</w:t>
            </w:r>
          </w:p>
        </w:tc>
        <w:tc>
          <w:tcPr>
            <w:tcW w:w="1559" w:type="dxa"/>
          </w:tcPr>
          <w:p w14:paraId="3403F373" w14:textId="4F44B8FD" w:rsidR="004C00FA" w:rsidRPr="002B0815" w:rsidRDefault="004C00FA" w:rsidP="002B0815">
            <w:pPr>
              <w:pStyle w:val="TableCopy"/>
              <w:jc w:val="right"/>
              <w:rPr>
                <w:b/>
                <w:bCs/>
              </w:rPr>
            </w:pPr>
            <w:r w:rsidRPr="002B0815">
              <w:rPr>
                <w:b/>
                <w:bCs/>
              </w:rPr>
              <w:t>–</w:t>
            </w:r>
          </w:p>
        </w:tc>
        <w:tc>
          <w:tcPr>
            <w:tcW w:w="1559" w:type="dxa"/>
          </w:tcPr>
          <w:p w14:paraId="169F629D" w14:textId="47F3F3EE" w:rsidR="004C00FA" w:rsidRPr="002B0815" w:rsidRDefault="004C00FA" w:rsidP="002B0815">
            <w:pPr>
              <w:pStyle w:val="TableCopy"/>
              <w:jc w:val="right"/>
              <w:rPr>
                <w:b/>
                <w:bCs/>
              </w:rPr>
            </w:pPr>
            <w:r w:rsidRPr="002B0815">
              <w:rPr>
                <w:b/>
                <w:bCs/>
              </w:rPr>
              <w:t>–</w:t>
            </w:r>
          </w:p>
        </w:tc>
        <w:tc>
          <w:tcPr>
            <w:tcW w:w="1277" w:type="dxa"/>
          </w:tcPr>
          <w:p w14:paraId="7B96E0B9" w14:textId="77777777" w:rsidR="004C00FA" w:rsidRPr="002B0815" w:rsidRDefault="004C00FA" w:rsidP="002B0815">
            <w:pPr>
              <w:pStyle w:val="TableCopy"/>
              <w:jc w:val="right"/>
              <w:rPr>
                <w:b/>
                <w:bCs/>
              </w:rPr>
            </w:pPr>
            <w:r w:rsidRPr="002B0815">
              <w:rPr>
                <w:b/>
                <w:bCs/>
              </w:rPr>
              <w:t>(106,885)</w:t>
            </w:r>
          </w:p>
        </w:tc>
        <w:tc>
          <w:tcPr>
            <w:tcW w:w="1275" w:type="dxa"/>
          </w:tcPr>
          <w:p w14:paraId="6638022E" w14:textId="77777777" w:rsidR="004C00FA" w:rsidRPr="002B0815" w:rsidRDefault="004C00FA" w:rsidP="002B0815">
            <w:pPr>
              <w:pStyle w:val="TableCopy"/>
              <w:jc w:val="right"/>
              <w:rPr>
                <w:b/>
                <w:bCs/>
              </w:rPr>
            </w:pPr>
            <w:r w:rsidRPr="002B0815">
              <w:rPr>
                <w:b/>
                <w:bCs/>
              </w:rPr>
              <w:t>(135,397)</w:t>
            </w:r>
          </w:p>
        </w:tc>
      </w:tr>
      <w:tr w:rsidR="004C00FA" w:rsidRPr="002B0815" w14:paraId="4B40C04C" w14:textId="77777777" w:rsidTr="002B0815">
        <w:trPr>
          <w:cantSplit/>
        </w:trPr>
        <w:tc>
          <w:tcPr>
            <w:tcW w:w="4106" w:type="dxa"/>
          </w:tcPr>
          <w:p w14:paraId="77645389" w14:textId="34067FA8" w:rsidR="004C00FA" w:rsidRPr="002B0815" w:rsidRDefault="004C00FA" w:rsidP="002B0815">
            <w:pPr>
              <w:pStyle w:val="TableCopy"/>
              <w:rPr>
                <w:b/>
                <w:bCs/>
              </w:rPr>
            </w:pPr>
            <w:r w:rsidRPr="002B0815">
              <w:rPr>
                <w:b/>
                <w:bCs/>
              </w:rPr>
              <w:t>Total administered net result from transactions</w:t>
            </w:r>
          </w:p>
        </w:tc>
        <w:tc>
          <w:tcPr>
            <w:tcW w:w="1275" w:type="dxa"/>
          </w:tcPr>
          <w:p w14:paraId="5EE5B231" w14:textId="74E1BCFC" w:rsidR="004C00FA" w:rsidRPr="002B0815" w:rsidRDefault="004C00FA" w:rsidP="002B0815">
            <w:pPr>
              <w:pStyle w:val="TableCopy"/>
              <w:jc w:val="right"/>
              <w:rPr>
                <w:b/>
                <w:bCs/>
              </w:rPr>
            </w:pPr>
            <w:r w:rsidRPr="002B0815">
              <w:rPr>
                <w:b/>
                <w:bCs/>
              </w:rPr>
              <w:t>19,439</w:t>
            </w:r>
          </w:p>
        </w:tc>
        <w:tc>
          <w:tcPr>
            <w:tcW w:w="1276" w:type="dxa"/>
          </w:tcPr>
          <w:p w14:paraId="2CF1F2B8" w14:textId="77777777" w:rsidR="004C00FA" w:rsidRPr="002B0815" w:rsidRDefault="004C00FA" w:rsidP="002B0815">
            <w:pPr>
              <w:pStyle w:val="TableCopy"/>
              <w:jc w:val="right"/>
              <w:rPr>
                <w:b/>
                <w:bCs/>
              </w:rPr>
            </w:pPr>
            <w:r w:rsidRPr="002B0815">
              <w:rPr>
                <w:b/>
                <w:bCs/>
              </w:rPr>
              <w:t>(2,451)</w:t>
            </w:r>
          </w:p>
        </w:tc>
        <w:tc>
          <w:tcPr>
            <w:tcW w:w="1276" w:type="dxa"/>
          </w:tcPr>
          <w:p w14:paraId="6EF57AF6" w14:textId="77777777" w:rsidR="004C00FA" w:rsidRPr="002B0815" w:rsidRDefault="004C00FA" w:rsidP="002B0815">
            <w:pPr>
              <w:pStyle w:val="TableCopy"/>
              <w:jc w:val="right"/>
              <w:rPr>
                <w:b/>
                <w:bCs/>
              </w:rPr>
            </w:pPr>
            <w:r w:rsidRPr="002B0815">
              <w:rPr>
                <w:b/>
                <w:bCs/>
              </w:rPr>
              <w:t>(5)</w:t>
            </w:r>
          </w:p>
        </w:tc>
        <w:tc>
          <w:tcPr>
            <w:tcW w:w="1276" w:type="dxa"/>
          </w:tcPr>
          <w:p w14:paraId="5A7B2441" w14:textId="371F044A" w:rsidR="004C00FA" w:rsidRPr="002B0815" w:rsidRDefault="004C00FA" w:rsidP="002B0815">
            <w:pPr>
              <w:pStyle w:val="TableCopy"/>
              <w:jc w:val="right"/>
              <w:rPr>
                <w:b/>
                <w:bCs/>
              </w:rPr>
            </w:pPr>
            <w:r w:rsidRPr="002B0815">
              <w:rPr>
                <w:b/>
                <w:bCs/>
              </w:rPr>
              <w:t>–</w:t>
            </w:r>
          </w:p>
        </w:tc>
        <w:tc>
          <w:tcPr>
            <w:tcW w:w="1559" w:type="dxa"/>
          </w:tcPr>
          <w:p w14:paraId="412AB93D" w14:textId="29DCFDFA" w:rsidR="004C00FA" w:rsidRPr="002B0815" w:rsidRDefault="004C00FA" w:rsidP="002B0815">
            <w:pPr>
              <w:pStyle w:val="TableCopy"/>
              <w:jc w:val="right"/>
              <w:rPr>
                <w:b/>
                <w:bCs/>
              </w:rPr>
            </w:pPr>
            <w:r w:rsidRPr="002B0815">
              <w:rPr>
                <w:b/>
                <w:bCs/>
              </w:rPr>
              <w:t>–</w:t>
            </w:r>
          </w:p>
        </w:tc>
        <w:tc>
          <w:tcPr>
            <w:tcW w:w="1559" w:type="dxa"/>
          </w:tcPr>
          <w:p w14:paraId="1F113B05" w14:textId="3834ECA2" w:rsidR="004C00FA" w:rsidRPr="002B0815" w:rsidRDefault="004C00FA" w:rsidP="002B0815">
            <w:pPr>
              <w:pStyle w:val="TableCopy"/>
              <w:jc w:val="right"/>
              <w:rPr>
                <w:b/>
                <w:bCs/>
              </w:rPr>
            </w:pPr>
            <w:r w:rsidRPr="002B0815">
              <w:rPr>
                <w:b/>
                <w:bCs/>
              </w:rPr>
              <w:t>–</w:t>
            </w:r>
          </w:p>
        </w:tc>
        <w:tc>
          <w:tcPr>
            <w:tcW w:w="1277" w:type="dxa"/>
          </w:tcPr>
          <w:p w14:paraId="7311EAD5" w14:textId="6166DC50" w:rsidR="004C00FA" w:rsidRPr="002B0815" w:rsidRDefault="004C00FA" w:rsidP="002B0815">
            <w:pPr>
              <w:pStyle w:val="TableCopy"/>
              <w:jc w:val="right"/>
              <w:rPr>
                <w:b/>
                <w:bCs/>
              </w:rPr>
            </w:pPr>
            <w:r w:rsidRPr="002B0815">
              <w:rPr>
                <w:b/>
                <w:bCs/>
              </w:rPr>
              <w:t>18,272</w:t>
            </w:r>
          </w:p>
        </w:tc>
        <w:tc>
          <w:tcPr>
            <w:tcW w:w="1275" w:type="dxa"/>
          </w:tcPr>
          <w:p w14:paraId="116ADA2E" w14:textId="77777777" w:rsidR="004C00FA" w:rsidRPr="002B0815" w:rsidRDefault="004C00FA" w:rsidP="002B0815">
            <w:pPr>
              <w:pStyle w:val="TableCopy"/>
              <w:jc w:val="right"/>
              <w:rPr>
                <w:b/>
                <w:bCs/>
              </w:rPr>
            </w:pPr>
            <w:r w:rsidRPr="002B0815">
              <w:rPr>
                <w:b/>
                <w:bCs/>
              </w:rPr>
              <w:t>(2,605)</w:t>
            </w:r>
          </w:p>
        </w:tc>
      </w:tr>
      <w:tr w:rsidR="004C00FA" w:rsidRPr="002B0815" w14:paraId="067EE37E" w14:textId="77777777" w:rsidTr="002B0815">
        <w:trPr>
          <w:cantSplit/>
        </w:trPr>
        <w:tc>
          <w:tcPr>
            <w:tcW w:w="4106" w:type="dxa"/>
          </w:tcPr>
          <w:p w14:paraId="1C5A71DA" w14:textId="5AE3C632" w:rsidR="004C00FA" w:rsidRPr="002B0815" w:rsidRDefault="004C00FA" w:rsidP="002B0815">
            <w:pPr>
              <w:pStyle w:val="TableCopy"/>
              <w:rPr>
                <w:b/>
                <w:bCs/>
              </w:rPr>
            </w:pPr>
            <w:r w:rsidRPr="002B0815">
              <w:rPr>
                <w:b/>
                <w:bCs/>
              </w:rPr>
              <w:t>Net gain on other economic flows</w:t>
            </w:r>
          </w:p>
        </w:tc>
        <w:tc>
          <w:tcPr>
            <w:tcW w:w="1275" w:type="dxa"/>
          </w:tcPr>
          <w:p w14:paraId="54CE7676" w14:textId="36356F65" w:rsidR="004C00FA" w:rsidRPr="002B0815" w:rsidRDefault="004C00FA" w:rsidP="002B0815">
            <w:pPr>
              <w:pStyle w:val="TableCopy"/>
              <w:jc w:val="right"/>
              <w:rPr>
                <w:b/>
                <w:bCs/>
              </w:rPr>
            </w:pPr>
            <w:r w:rsidRPr="002B0815">
              <w:rPr>
                <w:b/>
                <w:bCs/>
              </w:rPr>
              <w:t>–</w:t>
            </w:r>
          </w:p>
        </w:tc>
        <w:tc>
          <w:tcPr>
            <w:tcW w:w="1276" w:type="dxa"/>
          </w:tcPr>
          <w:p w14:paraId="0FA36489" w14:textId="3AFF420B" w:rsidR="004C00FA" w:rsidRPr="002B0815" w:rsidRDefault="004C00FA" w:rsidP="002B0815">
            <w:pPr>
              <w:pStyle w:val="TableCopy"/>
              <w:jc w:val="right"/>
              <w:rPr>
                <w:b/>
                <w:bCs/>
              </w:rPr>
            </w:pPr>
            <w:r w:rsidRPr="002B0815">
              <w:rPr>
                <w:b/>
                <w:bCs/>
              </w:rPr>
              <w:t>20,485</w:t>
            </w:r>
          </w:p>
        </w:tc>
        <w:tc>
          <w:tcPr>
            <w:tcW w:w="1276" w:type="dxa"/>
          </w:tcPr>
          <w:p w14:paraId="6C04D328" w14:textId="1AF6F257" w:rsidR="004C00FA" w:rsidRPr="002B0815" w:rsidRDefault="004C00FA" w:rsidP="002B0815">
            <w:pPr>
              <w:pStyle w:val="TableCopy"/>
              <w:jc w:val="right"/>
              <w:rPr>
                <w:b/>
                <w:bCs/>
              </w:rPr>
            </w:pPr>
            <w:r w:rsidRPr="002B0815">
              <w:rPr>
                <w:b/>
                <w:bCs/>
              </w:rPr>
              <w:t>–</w:t>
            </w:r>
          </w:p>
        </w:tc>
        <w:tc>
          <w:tcPr>
            <w:tcW w:w="1276" w:type="dxa"/>
          </w:tcPr>
          <w:p w14:paraId="10258F42" w14:textId="4FAF662E" w:rsidR="004C00FA" w:rsidRPr="002B0815" w:rsidRDefault="004C00FA" w:rsidP="002B0815">
            <w:pPr>
              <w:pStyle w:val="TableCopy"/>
              <w:jc w:val="right"/>
              <w:rPr>
                <w:b/>
                <w:bCs/>
              </w:rPr>
            </w:pPr>
            <w:r w:rsidRPr="002B0815">
              <w:rPr>
                <w:b/>
                <w:bCs/>
              </w:rPr>
              <w:t>–</w:t>
            </w:r>
          </w:p>
        </w:tc>
        <w:tc>
          <w:tcPr>
            <w:tcW w:w="1559" w:type="dxa"/>
          </w:tcPr>
          <w:p w14:paraId="0BF595D8" w14:textId="09BD80EE" w:rsidR="004C00FA" w:rsidRPr="002B0815" w:rsidRDefault="004C00FA" w:rsidP="002B0815">
            <w:pPr>
              <w:pStyle w:val="TableCopy"/>
              <w:jc w:val="right"/>
              <w:rPr>
                <w:b/>
                <w:bCs/>
              </w:rPr>
            </w:pPr>
            <w:r w:rsidRPr="002B0815">
              <w:rPr>
                <w:b/>
                <w:bCs/>
              </w:rPr>
              <w:t>–</w:t>
            </w:r>
          </w:p>
        </w:tc>
        <w:tc>
          <w:tcPr>
            <w:tcW w:w="1559" w:type="dxa"/>
          </w:tcPr>
          <w:p w14:paraId="67824227" w14:textId="39133841" w:rsidR="004C00FA" w:rsidRPr="002B0815" w:rsidRDefault="004C00FA" w:rsidP="002B0815">
            <w:pPr>
              <w:pStyle w:val="TableCopy"/>
              <w:jc w:val="right"/>
              <w:rPr>
                <w:b/>
                <w:bCs/>
              </w:rPr>
            </w:pPr>
            <w:r w:rsidRPr="002B0815">
              <w:rPr>
                <w:b/>
                <w:bCs/>
              </w:rPr>
              <w:t>–</w:t>
            </w:r>
          </w:p>
        </w:tc>
        <w:tc>
          <w:tcPr>
            <w:tcW w:w="1277" w:type="dxa"/>
          </w:tcPr>
          <w:p w14:paraId="0B30C556" w14:textId="138E1970" w:rsidR="004C00FA" w:rsidRPr="002B0815" w:rsidRDefault="004C00FA" w:rsidP="002B0815">
            <w:pPr>
              <w:pStyle w:val="TableCopy"/>
              <w:jc w:val="right"/>
              <w:rPr>
                <w:b/>
                <w:bCs/>
              </w:rPr>
            </w:pPr>
            <w:r w:rsidRPr="002B0815">
              <w:rPr>
                <w:b/>
                <w:bCs/>
              </w:rPr>
              <w:t>–</w:t>
            </w:r>
          </w:p>
        </w:tc>
        <w:tc>
          <w:tcPr>
            <w:tcW w:w="1275" w:type="dxa"/>
          </w:tcPr>
          <w:p w14:paraId="690F2EAF" w14:textId="4D72A2B2" w:rsidR="004C00FA" w:rsidRPr="002B0815" w:rsidRDefault="004C00FA" w:rsidP="002B0815">
            <w:pPr>
              <w:pStyle w:val="TableCopy"/>
              <w:jc w:val="right"/>
              <w:rPr>
                <w:b/>
                <w:bCs/>
              </w:rPr>
            </w:pPr>
            <w:r w:rsidRPr="002B0815">
              <w:rPr>
                <w:b/>
                <w:bCs/>
              </w:rPr>
              <w:t>20,421</w:t>
            </w:r>
          </w:p>
        </w:tc>
      </w:tr>
      <w:tr w:rsidR="004C00FA" w:rsidRPr="002B0815" w14:paraId="5BE5A882" w14:textId="77777777" w:rsidTr="002B0815">
        <w:trPr>
          <w:cantSplit/>
        </w:trPr>
        <w:tc>
          <w:tcPr>
            <w:tcW w:w="4106" w:type="dxa"/>
          </w:tcPr>
          <w:p w14:paraId="3C6BDE19" w14:textId="3AE1A6BC" w:rsidR="004C00FA" w:rsidRPr="002B0815" w:rsidRDefault="004C00FA" w:rsidP="002B0815">
            <w:pPr>
              <w:pStyle w:val="TableCopy"/>
              <w:rPr>
                <w:b/>
                <w:bCs/>
              </w:rPr>
            </w:pPr>
            <w:r w:rsidRPr="002B0815">
              <w:rPr>
                <w:b/>
                <w:bCs/>
              </w:rPr>
              <w:t>Total administered comprehensive result</w:t>
            </w:r>
          </w:p>
        </w:tc>
        <w:tc>
          <w:tcPr>
            <w:tcW w:w="1275" w:type="dxa"/>
          </w:tcPr>
          <w:p w14:paraId="11343A47" w14:textId="41D86BAB" w:rsidR="004C00FA" w:rsidRPr="002B0815" w:rsidRDefault="004C00FA" w:rsidP="002B0815">
            <w:pPr>
              <w:pStyle w:val="TableCopy"/>
              <w:jc w:val="right"/>
              <w:rPr>
                <w:b/>
                <w:bCs/>
              </w:rPr>
            </w:pPr>
            <w:r w:rsidRPr="002B0815">
              <w:rPr>
                <w:b/>
                <w:bCs/>
              </w:rPr>
              <w:t>19,439</w:t>
            </w:r>
          </w:p>
        </w:tc>
        <w:tc>
          <w:tcPr>
            <w:tcW w:w="1276" w:type="dxa"/>
          </w:tcPr>
          <w:p w14:paraId="1BAC7D6D" w14:textId="26A75344" w:rsidR="004C00FA" w:rsidRPr="002B0815" w:rsidRDefault="004C00FA" w:rsidP="002B0815">
            <w:pPr>
              <w:pStyle w:val="TableCopy"/>
              <w:jc w:val="right"/>
              <w:rPr>
                <w:b/>
                <w:bCs/>
              </w:rPr>
            </w:pPr>
            <w:r w:rsidRPr="002B0815">
              <w:rPr>
                <w:b/>
                <w:bCs/>
              </w:rPr>
              <w:t>18,034</w:t>
            </w:r>
          </w:p>
        </w:tc>
        <w:tc>
          <w:tcPr>
            <w:tcW w:w="1276" w:type="dxa"/>
          </w:tcPr>
          <w:p w14:paraId="1D6369A4" w14:textId="77777777" w:rsidR="004C00FA" w:rsidRPr="002B0815" w:rsidRDefault="004C00FA" w:rsidP="002B0815">
            <w:pPr>
              <w:pStyle w:val="TableCopy"/>
              <w:jc w:val="right"/>
              <w:rPr>
                <w:b/>
                <w:bCs/>
              </w:rPr>
            </w:pPr>
            <w:r w:rsidRPr="002B0815">
              <w:rPr>
                <w:b/>
                <w:bCs/>
              </w:rPr>
              <w:t>(5)</w:t>
            </w:r>
          </w:p>
        </w:tc>
        <w:tc>
          <w:tcPr>
            <w:tcW w:w="1276" w:type="dxa"/>
          </w:tcPr>
          <w:p w14:paraId="09D8787F" w14:textId="2C899455" w:rsidR="004C00FA" w:rsidRPr="002B0815" w:rsidRDefault="004C00FA" w:rsidP="002B0815">
            <w:pPr>
              <w:pStyle w:val="TableCopy"/>
              <w:jc w:val="right"/>
              <w:rPr>
                <w:b/>
                <w:bCs/>
              </w:rPr>
            </w:pPr>
            <w:r w:rsidRPr="002B0815">
              <w:rPr>
                <w:b/>
                <w:bCs/>
              </w:rPr>
              <w:t>–</w:t>
            </w:r>
          </w:p>
        </w:tc>
        <w:tc>
          <w:tcPr>
            <w:tcW w:w="1559" w:type="dxa"/>
          </w:tcPr>
          <w:p w14:paraId="5093514A" w14:textId="35C1D95D" w:rsidR="004C00FA" w:rsidRPr="002B0815" w:rsidRDefault="004C00FA" w:rsidP="002B0815">
            <w:pPr>
              <w:pStyle w:val="TableCopy"/>
              <w:jc w:val="right"/>
              <w:rPr>
                <w:b/>
                <w:bCs/>
              </w:rPr>
            </w:pPr>
            <w:r w:rsidRPr="002B0815">
              <w:rPr>
                <w:b/>
                <w:bCs/>
              </w:rPr>
              <w:t>–</w:t>
            </w:r>
          </w:p>
        </w:tc>
        <w:tc>
          <w:tcPr>
            <w:tcW w:w="1559" w:type="dxa"/>
          </w:tcPr>
          <w:p w14:paraId="3EA263B7" w14:textId="2363DCBC" w:rsidR="004C00FA" w:rsidRPr="002B0815" w:rsidRDefault="004C00FA" w:rsidP="002B0815">
            <w:pPr>
              <w:pStyle w:val="TableCopy"/>
              <w:jc w:val="right"/>
              <w:rPr>
                <w:b/>
                <w:bCs/>
              </w:rPr>
            </w:pPr>
            <w:r w:rsidRPr="002B0815">
              <w:rPr>
                <w:b/>
                <w:bCs/>
              </w:rPr>
              <w:t>–</w:t>
            </w:r>
          </w:p>
        </w:tc>
        <w:tc>
          <w:tcPr>
            <w:tcW w:w="1277" w:type="dxa"/>
          </w:tcPr>
          <w:p w14:paraId="76D84988" w14:textId="4917E4CC" w:rsidR="004C00FA" w:rsidRPr="002B0815" w:rsidRDefault="004C00FA" w:rsidP="002B0815">
            <w:pPr>
              <w:pStyle w:val="TableCopy"/>
              <w:jc w:val="right"/>
              <w:rPr>
                <w:b/>
                <w:bCs/>
              </w:rPr>
            </w:pPr>
            <w:r w:rsidRPr="002B0815">
              <w:rPr>
                <w:b/>
                <w:bCs/>
              </w:rPr>
              <w:t>18,272</w:t>
            </w:r>
          </w:p>
        </w:tc>
        <w:tc>
          <w:tcPr>
            <w:tcW w:w="1275" w:type="dxa"/>
          </w:tcPr>
          <w:p w14:paraId="6289CF61" w14:textId="34B15168" w:rsidR="004C00FA" w:rsidRPr="002B0815" w:rsidRDefault="004C00FA" w:rsidP="002B0815">
            <w:pPr>
              <w:pStyle w:val="TableCopy"/>
              <w:jc w:val="right"/>
              <w:rPr>
                <w:b/>
                <w:bCs/>
              </w:rPr>
            </w:pPr>
            <w:r w:rsidRPr="002B0815">
              <w:rPr>
                <w:b/>
                <w:bCs/>
              </w:rPr>
              <w:t>17,816</w:t>
            </w:r>
          </w:p>
        </w:tc>
      </w:tr>
    </w:tbl>
    <w:p w14:paraId="5179E7AE" w14:textId="749D87FC" w:rsidR="000756EB" w:rsidRDefault="004A4D88" w:rsidP="002B0815">
      <w:pPr>
        <w:pStyle w:val="FootnoteText"/>
        <w:spacing w:before="120" w:after="280"/>
        <w:rPr>
          <w:i/>
          <w:iCs/>
        </w:rPr>
      </w:pPr>
      <w:r>
        <w:t>(</w:t>
      </w:r>
      <w:proofErr w:type="spellStart"/>
      <w:r>
        <w:t>i</w:t>
      </w:r>
      <w:proofErr w:type="spellEnd"/>
      <w:r>
        <w:t>)</w:t>
      </w:r>
      <w:r w:rsidR="002B0815">
        <w:t xml:space="preserve"> </w:t>
      </w:r>
      <w:r>
        <w:t>For</w:t>
      </w:r>
      <w:r w:rsidR="00A03629">
        <w:t xml:space="preserve"> </w:t>
      </w:r>
      <w:r>
        <w:t>the</w:t>
      </w:r>
      <w:r w:rsidR="00A03629">
        <w:t xml:space="preserve"> </w:t>
      </w:r>
      <w:r>
        <w:t>functions</w:t>
      </w:r>
      <w:r w:rsidR="00A03629">
        <w:t xml:space="preserve"> </w:t>
      </w:r>
      <w:r>
        <w:t>assumed</w:t>
      </w:r>
      <w:r w:rsidR="00A03629">
        <w:t xml:space="preserve"> </w:t>
      </w:r>
      <w:proofErr w:type="gramStart"/>
      <w:r>
        <w:t>as</w:t>
      </w:r>
      <w:r w:rsidR="00A03629">
        <w:t xml:space="preserve"> </w:t>
      </w:r>
      <w:r>
        <w:t>a</w:t>
      </w:r>
      <w:r w:rsidR="00A03629">
        <w:t xml:space="preserve"> </w:t>
      </w:r>
      <w:r>
        <w:t>result</w:t>
      </w:r>
      <w:r w:rsidR="00A03629">
        <w:t xml:space="preserve"> </w:t>
      </w:r>
      <w:r>
        <w:t>of</w:t>
      </w:r>
      <w:proofErr w:type="gramEnd"/>
      <w:r w:rsidR="00A03629">
        <w:t xml:space="preserve"> </w:t>
      </w:r>
      <w:r>
        <w:t>the</w:t>
      </w:r>
      <w:r w:rsidR="00A03629">
        <w:t xml:space="preserve"> </w:t>
      </w:r>
      <w:r>
        <w:t>machinery</w:t>
      </w:r>
      <w:r w:rsidR="00A03629">
        <w:t xml:space="preserve"> </w:t>
      </w:r>
      <w:r>
        <w:t>of</w:t>
      </w:r>
      <w:r w:rsidR="00A03629">
        <w:t xml:space="preserve"> </w:t>
      </w:r>
      <w:r>
        <w:t>government</w:t>
      </w:r>
      <w:r w:rsidR="00A03629">
        <w:t xml:space="preserve"> </w:t>
      </w:r>
      <w:r>
        <w:t>changes,</w:t>
      </w:r>
      <w:r w:rsidR="00A03629">
        <w:t xml:space="preserve"> </w:t>
      </w:r>
      <w:r>
        <w:t>the</w:t>
      </w:r>
      <w:r w:rsidR="00A03629">
        <w:t xml:space="preserve"> </w:t>
      </w:r>
      <w:r>
        <w:t>2023</w:t>
      </w:r>
      <w:r w:rsidR="00A03629">
        <w:t xml:space="preserve"> </w:t>
      </w:r>
      <w:r>
        <w:t>outputs</w:t>
      </w:r>
      <w:r w:rsidR="00A03629">
        <w:t xml:space="preserve"> </w:t>
      </w:r>
      <w:r>
        <w:t>are</w:t>
      </w:r>
      <w:r w:rsidR="00A03629">
        <w:t xml:space="preserve"> </w:t>
      </w:r>
      <w:r>
        <w:t>for</w:t>
      </w:r>
      <w:r w:rsidR="00A03629">
        <w:t xml:space="preserve"> </w:t>
      </w:r>
      <w:r>
        <w:t>the</w:t>
      </w:r>
      <w:r w:rsidR="00A03629">
        <w:t xml:space="preserve"> </w:t>
      </w:r>
      <w:r>
        <w:t>period</w:t>
      </w:r>
      <w:r w:rsidR="00A03629">
        <w:t xml:space="preserve"> </w:t>
      </w:r>
      <w:r>
        <w:t>from</w:t>
      </w:r>
      <w:r w:rsidR="00A03629">
        <w:t xml:space="preserve"> </w:t>
      </w:r>
      <w:r>
        <w:t>1</w:t>
      </w:r>
      <w:r w:rsidR="00A03629">
        <w:t xml:space="preserve"> </w:t>
      </w:r>
      <w:r>
        <w:t>January</w:t>
      </w:r>
      <w:r w:rsidR="00A03629">
        <w:t xml:space="preserve"> </w:t>
      </w:r>
      <w:r>
        <w:t>2023</w:t>
      </w:r>
      <w:r w:rsidR="00A03629">
        <w:t xml:space="preserve"> </w:t>
      </w:r>
      <w:r>
        <w:t>to</w:t>
      </w:r>
      <w:r w:rsidR="00A03629">
        <w:t xml:space="preserve"> </w:t>
      </w:r>
      <w:r>
        <w:t>30</w:t>
      </w:r>
      <w:r w:rsidR="00A03629">
        <w:t xml:space="preserve"> </w:t>
      </w:r>
      <w:r>
        <w:t>June</w:t>
      </w:r>
      <w:r w:rsidR="00A03629">
        <w:t xml:space="preserve"> </w:t>
      </w:r>
      <w:r>
        <w:t>2023</w:t>
      </w:r>
      <w:r w:rsidR="00A03629">
        <w:t xml:space="preserve"> </w:t>
      </w:r>
      <w:r>
        <w:t>with</w:t>
      </w:r>
      <w:r w:rsidR="00A03629">
        <w:t xml:space="preserve"> </w:t>
      </w:r>
      <w:r>
        <w:t>no</w:t>
      </w:r>
      <w:r w:rsidR="00A03629">
        <w:t xml:space="preserve"> </w:t>
      </w:r>
      <w:r>
        <w:t>outputs</w:t>
      </w:r>
      <w:r w:rsidR="00A03629">
        <w:t xml:space="preserve"> </w:t>
      </w:r>
      <w:r>
        <w:t>for</w:t>
      </w:r>
      <w:r w:rsidR="00A03629">
        <w:t xml:space="preserve"> </w:t>
      </w:r>
      <w:r>
        <w:t>2022.</w:t>
      </w:r>
    </w:p>
    <w:p w14:paraId="4CB9DBDF" w14:textId="0E163EE9" w:rsidR="000756EB" w:rsidRDefault="004A4D88" w:rsidP="002B0815">
      <w:pPr>
        <w:pStyle w:val="Heading3"/>
        <w:rPr>
          <w:rFonts w:ascii="VIC SemiBold" w:hAnsi="VIC SemiBold" w:cs="VIC SemiBold"/>
        </w:rPr>
      </w:pPr>
      <w:r>
        <w:lastRenderedPageBreak/>
        <w:t>4.2.2</w:t>
      </w:r>
      <w:r w:rsidR="00DE38B5">
        <w:t xml:space="preserve"> </w:t>
      </w:r>
      <w:r>
        <w:t>Administered</w:t>
      </w:r>
      <w:r w:rsidR="00A03629">
        <w:t xml:space="preserve"> </w:t>
      </w:r>
      <w:r>
        <w:t>revenue</w:t>
      </w:r>
      <w:r w:rsidR="00A03629">
        <w:t xml:space="preserve"> </w:t>
      </w:r>
      <w:r>
        <w:t>and</w:t>
      </w:r>
      <w:r w:rsidR="00A03629">
        <w:t xml:space="preserve"> </w:t>
      </w:r>
      <w:r>
        <w:t>income</w:t>
      </w:r>
      <w:r w:rsidR="00A03629">
        <w:t xml:space="preserve"> </w:t>
      </w:r>
      <w:r>
        <w:t>and</w:t>
      </w:r>
      <w:r w:rsidR="00A03629">
        <w:t xml:space="preserve"> </w:t>
      </w:r>
      <w:r>
        <w:t>expenses</w:t>
      </w:r>
      <w:r w:rsidR="00A03629">
        <w:t xml:space="preserve"> </w:t>
      </w:r>
      <w:r>
        <w:t>for</w:t>
      </w:r>
      <w:r w:rsidR="00A03629">
        <w:t xml:space="preserve"> </w:t>
      </w:r>
      <w:r>
        <w:t>the</w:t>
      </w:r>
      <w:r w:rsidR="00A03629">
        <w:t xml:space="preserve"> </w:t>
      </w:r>
      <w:r>
        <w:t>year</w:t>
      </w:r>
      <w:r w:rsidR="00A03629">
        <w:t xml:space="preserve"> </w:t>
      </w:r>
      <w:r>
        <w:t>ended</w:t>
      </w:r>
      <w:r w:rsidR="00A03629">
        <w:t xml:space="preserve"> </w:t>
      </w:r>
      <w:r>
        <w:t>30</w:t>
      </w:r>
      <w:r w:rsidR="00A03629">
        <w:t xml:space="preserve"> </w:t>
      </w:r>
      <w:r>
        <w:t>June</w:t>
      </w:r>
      <w:r w:rsidR="00A03629">
        <w:t xml:space="preserve"> </w:t>
      </w:r>
      <w:r>
        <w:t>2023</w:t>
      </w:r>
      <w:r w:rsidR="00A03629">
        <w:t xml:space="preserve"> </w:t>
      </w:r>
      <w:r>
        <w:t>(continued)</w:t>
      </w:r>
      <w:r w:rsidR="002B0815">
        <w:t xml:space="preserve"> </w:t>
      </w:r>
      <w:r>
        <w:t>Outputs</w:t>
      </w:r>
      <w:r w:rsidR="00A03629">
        <w:t xml:space="preserve"> </w:t>
      </w:r>
      <w:r>
        <w:t>transferred</w:t>
      </w:r>
      <w:r w:rsidR="00A03629">
        <w:t xml:space="preserve"> </w:t>
      </w:r>
      <w:r>
        <w:t>out</w:t>
      </w:r>
      <w:r w:rsidR="00A03629">
        <w:t xml:space="preserve"> </w:t>
      </w:r>
      <w:r>
        <w:t>as</w:t>
      </w:r>
      <w:r w:rsidR="00A03629">
        <w:t xml:space="preserve"> </w:t>
      </w:r>
      <w:r>
        <w:t>part</w:t>
      </w:r>
      <w:r w:rsidR="00A03629">
        <w:t xml:space="preserve"> </w:t>
      </w:r>
      <w:r>
        <w:t>of</w:t>
      </w:r>
      <w:r w:rsidR="00A03629">
        <w:t xml:space="preserve"> </w:t>
      </w:r>
      <w:r>
        <w:t>Machinery-of-Governments</w:t>
      </w:r>
      <w:r w:rsidR="00A03629">
        <w:t xml:space="preserve"> </w:t>
      </w:r>
      <w:r>
        <w:t>Change</w:t>
      </w:r>
      <w:r w:rsidR="00A03629">
        <w:t xml:space="preserve"> </w:t>
      </w:r>
      <w:r w:rsidRPr="00614829">
        <w:rPr>
          <w:rStyle w:val="FootnotereferencessuperscriptMisc"/>
          <w:b w:val="0"/>
          <w:bCs w:val="0"/>
        </w:rPr>
        <w:t>(ii)</w:t>
      </w:r>
    </w:p>
    <w:tbl>
      <w:tblPr>
        <w:tblStyle w:val="TableGrid"/>
        <w:tblW w:w="14737" w:type="dxa"/>
        <w:tblLayout w:type="fixed"/>
        <w:tblLook w:val="0020" w:firstRow="1" w:lastRow="0" w:firstColumn="0" w:lastColumn="0" w:noHBand="0" w:noVBand="0"/>
      </w:tblPr>
      <w:tblGrid>
        <w:gridCol w:w="5524"/>
        <w:gridCol w:w="1535"/>
        <w:gridCol w:w="1536"/>
        <w:gridCol w:w="1535"/>
        <w:gridCol w:w="1536"/>
        <w:gridCol w:w="1535"/>
        <w:gridCol w:w="1536"/>
      </w:tblGrid>
      <w:tr w:rsidR="009D0506" w:rsidRPr="001A0FDA" w14:paraId="051F5DF0" w14:textId="77777777" w:rsidTr="00AE677B">
        <w:trPr>
          <w:trHeight w:val="113"/>
          <w:tblHeader/>
        </w:trPr>
        <w:tc>
          <w:tcPr>
            <w:tcW w:w="5524" w:type="dxa"/>
          </w:tcPr>
          <w:p w14:paraId="473699E6" w14:textId="77777777" w:rsidR="009D0506" w:rsidRPr="001A0FDA" w:rsidRDefault="009D0506" w:rsidP="001A0FDA">
            <w:pPr>
              <w:pStyle w:val="TableColumnHeading"/>
              <w:rPr>
                <w:rFonts w:asciiTheme="minorHAnsi" w:hAnsiTheme="minorHAnsi" w:cstheme="minorHAnsi"/>
                <w:sz w:val="20"/>
                <w:szCs w:val="28"/>
              </w:rPr>
            </w:pPr>
            <w:bookmarkStart w:id="52" w:name="ColumnTitles_28"/>
            <w:bookmarkEnd w:id="52"/>
          </w:p>
        </w:tc>
        <w:tc>
          <w:tcPr>
            <w:tcW w:w="1535" w:type="dxa"/>
          </w:tcPr>
          <w:p w14:paraId="14BAE32D" w14:textId="1186D06E" w:rsidR="009D0506" w:rsidRPr="001A0FDA" w:rsidRDefault="009D0506" w:rsidP="006C0CF0">
            <w:pPr>
              <w:pStyle w:val="TableColumnHeading"/>
              <w:jc w:val="right"/>
              <w:rPr>
                <w:rFonts w:asciiTheme="minorHAnsi" w:hAnsiTheme="minorHAnsi" w:cstheme="minorHAnsi"/>
                <w:sz w:val="20"/>
                <w:szCs w:val="28"/>
              </w:rPr>
            </w:pPr>
            <w:r w:rsidRPr="001A0FDA">
              <w:rPr>
                <w:rFonts w:asciiTheme="minorHAnsi" w:hAnsiTheme="minorHAnsi" w:cstheme="minorHAnsi"/>
                <w:sz w:val="20"/>
                <w:szCs w:val="28"/>
              </w:rPr>
              <w:t>Agriculture 2023 ($</w:t>
            </w:r>
            <w:r>
              <w:rPr>
                <w:rFonts w:asciiTheme="minorHAnsi" w:hAnsiTheme="minorHAnsi" w:cstheme="minorHAnsi"/>
                <w:sz w:val="20"/>
                <w:szCs w:val="28"/>
              </w:rPr>
              <w:t> </w:t>
            </w:r>
            <w:r w:rsidRPr="001A0FDA">
              <w:rPr>
                <w:rFonts w:asciiTheme="minorHAnsi" w:hAnsiTheme="minorHAnsi" w:cstheme="minorHAnsi"/>
                <w:sz w:val="20"/>
                <w:szCs w:val="28"/>
              </w:rPr>
              <w:t>thousand)</w:t>
            </w:r>
          </w:p>
        </w:tc>
        <w:tc>
          <w:tcPr>
            <w:tcW w:w="1536" w:type="dxa"/>
          </w:tcPr>
          <w:p w14:paraId="60A9E7EC" w14:textId="7BF6C547" w:rsidR="009D0506" w:rsidRPr="001A0FDA" w:rsidRDefault="009D0506" w:rsidP="006C0CF0">
            <w:pPr>
              <w:pStyle w:val="TableColumnHeading"/>
              <w:jc w:val="right"/>
              <w:rPr>
                <w:rFonts w:asciiTheme="minorHAnsi" w:hAnsiTheme="minorHAnsi" w:cstheme="minorHAnsi"/>
                <w:sz w:val="20"/>
                <w:szCs w:val="28"/>
              </w:rPr>
            </w:pPr>
            <w:r w:rsidRPr="001A0FDA">
              <w:rPr>
                <w:rFonts w:asciiTheme="minorHAnsi" w:hAnsiTheme="minorHAnsi" w:cstheme="minorHAnsi"/>
                <w:sz w:val="20"/>
                <w:szCs w:val="28"/>
              </w:rPr>
              <w:t>Agriculture 2022</w:t>
            </w:r>
            <w:r>
              <w:rPr>
                <w:rFonts w:asciiTheme="minorHAnsi" w:hAnsiTheme="minorHAnsi" w:cstheme="minorHAnsi"/>
                <w:sz w:val="20"/>
                <w:szCs w:val="28"/>
              </w:rPr>
              <w:t xml:space="preserve"> </w:t>
            </w:r>
            <w:r w:rsidRPr="001A0FDA">
              <w:rPr>
                <w:rFonts w:asciiTheme="minorHAnsi" w:hAnsiTheme="minorHAnsi" w:cstheme="minorHAnsi"/>
                <w:sz w:val="20"/>
                <w:szCs w:val="28"/>
              </w:rPr>
              <w:t>($</w:t>
            </w:r>
            <w:r>
              <w:rPr>
                <w:rFonts w:asciiTheme="minorHAnsi" w:hAnsiTheme="minorHAnsi" w:cstheme="minorHAnsi"/>
                <w:sz w:val="20"/>
                <w:szCs w:val="28"/>
              </w:rPr>
              <w:t> </w:t>
            </w:r>
            <w:r w:rsidRPr="001A0FDA">
              <w:rPr>
                <w:rFonts w:asciiTheme="minorHAnsi" w:hAnsiTheme="minorHAnsi" w:cstheme="minorHAnsi"/>
                <w:sz w:val="20"/>
                <w:szCs w:val="28"/>
              </w:rPr>
              <w:t>thousand)</w:t>
            </w:r>
          </w:p>
        </w:tc>
        <w:tc>
          <w:tcPr>
            <w:tcW w:w="1535" w:type="dxa"/>
          </w:tcPr>
          <w:p w14:paraId="713339E0" w14:textId="694F61D3" w:rsidR="009D0506" w:rsidRPr="001A0FDA" w:rsidRDefault="009D0506" w:rsidP="006C0CF0">
            <w:pPr>
              <w:pStyle w:val="TableColumnHeading"/>
              <w:jc w:val="right"/>
              <w:rPr>
                <w:rFonts w:asciiTheme="minorHAnsi" w:hAnsiTheme="minorHAnsi" w:cstheme="minorHAnsi"/>
                <w:sz w:val="20"/>
                <w:szCs w:val="28"/>
              </w:rPr>
            </w:pPr>
            <w:r w:rsidRPr="001A0FDA">
              <w:rPr>
                <w:rFonts w:asciiTheme="minorHAnsi" w:hAnsiTheme="minorHAnsi" w:cstheme="minorHAnsi"/>
                <w:sz w:val="20"/>
                <w:szCs w:val="28"/>
              </w:rPr>
              <w:t>Business Precincts 2023</w:t>
            </w:r>
            <w:r>
              <w:rPr>
                <w:rFonts w:asciiTheme="minorHAnsi" w:hAnsiTheme="minorHAnsi" w:cstheme="minorHAnsi"/>
                <w:sz w:val="20"/>
                <w:szCs w:val="28"/>
              </w:rPr>
              <w:t xml:space="preserve"> </w:t>
            </w:r>
            <w:r w:rsidRPr="001A0FDA">
              <w:rPr>
                <w:rFonts w:asciiTheme="minorHAnsi" w:hAnsiTheme="minorHAnsi" w:cstheme="minorHAnsi"/>
                <w:sz w:val="20"/>
                <w:szCs w:val="28"/>
              </w:rPr>
              <w:t xml:space="preserve">($ thousand) </w:t>
            </w:r>
          </w:p>
        </w:tc>
        <w:tc>
          <w:tcPr>
            <w:tcW w:w="1536" w:type="dxa"/>
          </w:tcPr>
          <w:p w14:paraId="55402ADA" w14:textId="26F8B5F5" w:rsidR="009D0506" w:rsidRPr="001A0FDA" w:rsidRDefault="009D0506" w:rsidP="006C0CF0">
            <w:pPr>
              <w:pStyle w:val="TableColumnHeading"/>
              <w:jc w:val="right"/>
              <w:rPr>
                <w:rFonts w:asciiTheme="minorHAnsi" w:hAnsiTheme="minorHAnsi" w:cstheme="minorHAnsi"/>
                <w:sz w:val="20"/>
                <w:szCs w:val="28"/>
              </w:rPr>
            </w:pPr>
            <w:r w:rsidRPr="001A0FDA">
              <w:rPr>
                <w:rFonts w:asciiTheme="minorHAnsi" w:hAnsiTheme="minorHAnsi" w:cstheme="minorHAnsi"/>
                <w:sz w:val="20"/>
                <w:szCs w:val="28"/>
              </w:rPr>
              <w:t>Business Precincts 2022</w:t>
            </w:r>
            <w:r>
              <w:rPr>
                <w:rFonts w:asciiTheme="minorHAnsi" w:hAnsiTheme="minorHAnsi" w:cstheme="minorHAnsi"/>
                <w:sz w:val="20"/>
                <w:szCs w:val="28"/>
              </w:rPr>
              <w:t xml:space="preserve"> </w:t>
            </w:r>
            <w:r w:rsidRPr="001A0FDA">
              <w:rPr>
                <w:rFonts w:asciiTheme="minorHAnsi" w:hAnsiTheme="minorHAnsi" w:cstheme="minorHAnsi"/>
                <w:sz w:val="20"/>
                <w:szCs w:val="28"/>
              </w:rPr>
              <w:t>($ thousand)</w:t>
            </w:r>
          </w:p>
        </w:tc>
        <w:tc>
          <w:tcPr>
            <w:tcW w:w="1535" w:type="dxa"/>
          </w:tcPr>
          <w:p w14:paraId="19B8DD5E" w14:textId="018B93CC" w:rsidR="009D0506" w:rsidRPr="001A0FDA" w:rsidRDefault="009D0506" w:rsidP="006C0CF0">
            <w:pPr>
              <w:pStyle w:val="TableColumnHeading"/>
              <w:jc w:val="right"/>
              <w:rPr>
                <w:rFonts w:asciiTheme="minorHAnsi" w:hAnsiTheme="minorHAnsi" w:cstheme="minorHAnsi"/>
                <w:sz w:val="20"/>
                <w:szCs w:val="28"/>
              </w:rPr>
            </w:pPr>
            <w:r w:rsidRPr="001A0FDA">
              <w:rPr>
                <w:rFonts w:asciiTheme="minorHAnsi" w:hAnsiTheme="minorHAnsi" w:cstheme="minorHAnsi"/>
                <w:spacing w:val="-4"/>
                <w:sz w:val="20"/>
                <w:szCs w:val="28"/>
              </w:rPr>
              <w:t>Resources</w:t>
            </w:r>
            <w:r w:rsidRPr="001A0FDA">
              <w:rPr>
                <w:rFonts w:asciiTheme="minorHAnsi" w:hAnsiTheme="minorHAnsi" w:cstheme="minorHAnsi"/>
                <w:sz w:val="20"/>
                <w:szCs w:val="28"/>
              </w:rPr>
              <w:t xml:space="preserve"> 2023</w:t>
            </w:r>
            <w:r>
              <w:rPr>
                <w:rFonts w:asciiTheme="minorHAnsi" w:hAnsiTheme="minorHAnsi" w:cstheme="minorHAnsi"/>
                <w:sz w:val="20"/>
                <w:szCs w:val="28"/>
              </w:rPr>
              <w:t xml:space="preserve"> </w:t>
            </w:r>
            <w:r w:rsidRPr="001A0FDA">
              <w:rPr>
                <w:rFonts w:asciiTheme="minorHAnsi" w:hAnsiTheme="minorHAnsi" w:cstheme="minorHAnsi"/>
                <w:sz w:val="20"/>
                <w:szCs w:val="28"/>
              </w:rPr>
              <w:t>($</w:t>
            </w:r>
            <w:r>
              <w:rPr>
                <w:rFonts w:asciiTheme="minorHAnsi" w:hAnsiTheme="minorHAnsi" w:cstheme="minorHAnsi"/>
                <w:sz w:val="20"/>
                <w:szCs w:val="28"/>
              </w:rPr>
              <w:t> </w:t>
            </w:r>
            <w:r w:rsidRPr="001A0FDA">
              <w:rPr>
                <w:rFonts w:asciiTheme="minorHAnsi" w:hAnsiTheme="minorHAnsi" w:cstheme="minorHAnsi"/>
                <w:sz w:val="20"/>
                <w:szCs w:val="28"/>
              </w:rPr>
              <w:t>thousand)</w:t>
            </w:r>
          </w:p>
        </w:tc>
        <w:tc>
          <w:tcPr>
            <w:tcW w:w="1536" w:type="dxa"/>
          </w:tcPr>
          <w:p w14:paraId="64110F66" w14:textId="543413CE" w:rsidR="009D0506" w:rsidRPr="001A0FDA" w:rsidRDefault="009D0506" w:rsidP="006C0CF0">
            <w:pPr>
              <w:pStyle w:val="TableColumnHeading"/>
              <w:jc w:val="right"/>
              <w:rPr>
                <w:rFonts w:asciiTheme="minorHAnsi" w:hAnsiTheme="minorHAnsi" w:cstheme="minorHAnsi"/>
                <w:sz w:val="20"/>
                <w:szCs w:val="28"/>
              </w:rPr>
            </w:pPr>
            <w:r w:rsidRPr="001A0FDA">
              <w:rPr>
                <w:rFonts w:asciiTheme="minorHAnsi" w:hAnsiTheme="minorHAnsi" w:cstheme="minorHAnsi"/>
                <w:spacing w:val="-4"/>
                <w:sz w:val="20"/>
                <w:szCs w:val="28"/>
              </w:rPr>
              <w:t>Resources</w:t>
            </w:r>
            <w:r w:rsidRPr="001A0FDA">
              <w:rPr>
                <w:rFonts w:asciiTheme="minorHAnsi" w:hAnsiTheme="minorHAnsi" w:cstheme="minorHAnsi"/>
                <w:sz w:val="20"/>
                <w:szCs w:val="28"/>
              </w:rPr>
              <w:t xml:space="preserve"> 2022</w:t>
            </w:r>
            <w:r>
              <w:rPr>
                <w:rFonts w:asciiTheme="minorHAnsi" w:hAnsiTheme="minorHAnsi" w:cstheme="minorHAnsi"/>
                <w:sz w:val="20"/>
                <w:szCs w:val="28"/>
              </w:rPr>
              <w:t xml:space="preserve"> </w:t>
            </w:r>
            <w:r w:rsidRPr="001A0FDA">
              <w:rPr>
                <w:rFonts w:asciiTheme="minorHAnsi" w:hAnsiTheme="minorHAnsi" w:cstheme="minorHAnsi"/>
                <w:sz w:val="20"/>
                <w:szCs w:val="28"/>
              </w:rPr>
              <w:t>($</w:t>
            </w:r>
            <w:r>
              <w:rPr>
                <w:rFonts w:asciiTheme="minorHAnsi" w:hAnsiTheme="minorHAnsi" w:cstheme="minorHAnsi"/>
                <w:sz w:val="20"/>
                <w:szCs w:val="28"/>
              </w:rPr>
              <w:t> </w:t>
            </w:r>
            <w:r w:rsidRPr="001A0FDA">
              <w:rPr>
                <w:rFonts w:asciiTheme="minorHAnsi" w:hAnsiTheme="minorHAnsi" w:cstheme="minorHAnsi"/>
                <w:sz w:val="20"/>
                <w:szCs w:val="28"/>
              </w:rPr>
              <w:t>thousand)</w:t>
            </w:r>
          </w:p>
        </w:tc>
      </w:tr>
      <w:tr w:rsidR="009D0506" w:rsidRPr="009D0506" w14:paraId="4773E943" w14:textId="77777777" w:rsidTr="009D0506">
        <w:trPr>
          <w:trHeight w:val="113"/>
        </w:trPr>
        <w:tc>
          <w:tcPr>
            <w:tcW w:w="5524" w:type="dxa"/>
          </w:tcPr>
          <w:p w14:paraId="1F636A13" w14:textId="3D0193F7" w:rsidR="009D0506" w:rsidRPr="009D0506" w:rsidRDefault="009D0506" w:rsidP="009D0506">
            <w:pPr>
              <w:pStyle w:val="TableHeading"/>
            </w:pPr>
            <w:r w:rsidRPr="009D0506">
              <w:t>Administered revenue and income from transactions</w:t>
            </w:r>
          </w:p>
        </w:tc>
        <w:tc>
          <w:tcPr>
            <w:tcW w:w="1535" w:type="dxa"/>
          </w:tcPr>
          <w:p w14:paraId="43E922FC" w14:textId="77777777" w:rsidR="009D0506" w:rsidRPr="009D0506" w:rsidRDefault="009D0506" w:rsidP="006C0CF0">
            <w:pPr>
              <w:pStyle w:val="TableHeading"/>
              <w:jc w:val="right"/>
            </w:pPr>
          </w:p>
        </w:tc>
        <w:tc>
          <w:tcPr>
            <w:tcW w:w="1536" w:type="dxa"/>
          </w:tcPr>
          <w:p w14:paraId="61EFED58" w14:textId="77777777" w:rsidR="009D0506" w:rsidRPr="009D0506" w:rsidRDefault="009D0506" w:rsidP="006C0CF0">
            <w:pPr>
              <w:pStyle w:val="TableHeading"/>
              <w:jc w:val="right"/>
            </w:pPr>
          </w:p>
        </w:tc>
        <w:tc>
          <w:tcPr>
            <w:tcW w:w="1535" w:type="dxa"/>
          </w:tcPr>
          <w:p w14:paraId="4C7133F7" w14:textId="77777777" w:rsidR="009D0506" w:rsidRPr="009D0506" w:rsidRDefault="009D0506" w:rsidP="006C0CF0">
            <w:pPr>
              <w:pStyle w:val="TableHeading"/>
              <w:jc w:val="right"/>
            </w:pPr>
          </w:p>
        </w:tc>
        <w:tc>
          <w:tcPr>
            <w:tcW w:w="1536" w:type="dxa"/>
          </w:tcPr>
          <w:p w14:paraId="2DE37342" w14:textId="77777777" w:rsidR="009D0506" w:rsidRPr="009D0506" w:rsidRDefault="009D0506" w:rsidP="006C0CF0">
            <w:pPr>
              <w:pStyle w:val="TableHeading"/>
              <w:jc w:val="right"/>
            </w:pPr>
          </w:p>
        </w:tc>
        <w:tc>
          <w:tcPr>
            <w:tcW w:w="1535" w:type="dxa"/>
          </w:tcPr>
          <w:p w14:paraId="09C96D5E" w14:textId="77777777" w:rsidR="009D0506" w:rsidRPr="009D0506" w:rsidRDefault="009D0506" w:rsidP="006C0CF0">
            <w:pPr>
              <w:pStyle w:val="TableHeading"/>
              <w:jc w:val="right"/>
            </w:pPr>
          </w:p>
        </w:tc>
        <w:tc>
          <w:tcPr>
            <w:tcW w:w="1536" w:type="dxa"/>
          </w:tcPr>
          <w:p w14:paraId="0F756014" w14:textId="77777777" w:rsidR="009D0506" w:rsidRPr="009D0506" w:rsidRDefault="009D0506" w:rsidP="006C0CF0">
            <w:pPr>
              <w:pStyle w:val="TableHeading"/>
              <w:jc w:val="right"/>
            </w:pPr>
          </w:p>
        </w:tc>
      </w:tr>
      <w:tr w:rsidR="009D0506" w:rsidRPr="001A0FDA" w14:paraId="3B25DCF7" w14:textId="77777777" w:rsidTr="009D0506">
        <w:trPr>
          <w:trHeight w:val="113"/>
        </w:trPr>
        <w:tc>
          <w:tcPr>
            <w:tcW w:w="5524" w:type="dxa"/>
          </w:tcPr>
          <w:p w14:paraId="44C89312" w14:textId="37D18499" w:rsidR="009D0506" w:rsidRPr="001A0FDA" w:rsidRDefault="009D0506" w:rsidP="001A0FDA">
            <w:pPr>
              <w:pStyle w:val="TableCopy"/>
              <w:rPr>
                <w:rFonts w:asciiTheme="minorHAnsi" w:hAnsiTheme="minorHAnsi" w:cstheme="minorHAnsi"/>
                <w:szCs w:val="24"/>
              </w:rPr>
            </w:pPr>
            <w:r w:rsidRPr="001A0FDA">
              <w:rPr>
                <w:rFonts w:asciiTheme="minorHAnsi" w:hAnsiTheme="minorHAnsi" w:cstheme="minorHAnsi"/>
                <w:szCs w:val="24"/>
              </w:rPr>
              <w:t xml:space="preserve">Sale of goods and services </w:t>
            </w:r>
          </w:p>
        </w:tc>
        <w:tc>
          <w:tcPr>
            <w:tcW w:w="1535" w:type="dxa"/>
          </w:tcPr>
          <w:p w14:paraId="5DBEEA4F" w14:textId="118CE0D2" w:rsidR="009D0506" w:rsidRPr="001A0FDA" w:rsidRDefault="009D0506" w:rsidP="006C0CF0">
            <w:pPr>
              <w:pStyle w:val="TableCopy"/>
              <w:jc w:val="right"/>
              <w:rPr>
                <w:rFonts w:asciiTheme="minorHAnsi" w:hAnsiTheme="minorHAnsi" w:cstheme="minorHAnsi"/>
                <w:szCs w:val="24"/>
              </w:rPr>
            </w:pPr>
            <w:r w:rsidRPr="001A0FDA">
              <w:rPr>
                <w:rFonts w:asciiTheme="minorHAnsi" w:hAnsiTheme="minorHAnsi" w:cstheme="minorHAnsi"/>
                <w:szCs w:val="24"/>
              </w:rPr>
              <w:t>25,850</w:t>
            </w:r>
          </w:p>
        </w:tc>
        <w:tc>
          <w:tcPr>
            <w:tcW w:w="1536" w:type="dxa"/>
          </w:tcPr>
          <w:p w14:paraId="002FD190" w14:textId="64998A30" w:rsidR="009D0506" w:rsidRPr="001A0FDA" w:rsidRDefault="009D0506" w:rsidP="006C0CF0">
            <w:pPr>
              <w:pStyle w:val="TableCopy"/>
              <w:jc w:val="right"/>
              <w:rPr>
                <w:rFonts w:asciiTheme="minorHAnsi" w:hAnsiTheme="minorHAnsi" w:cstheme="minorHAnsi"/>
                <w:szCs w:val="24"/>
              </w:rPr>
            </w:pPr>
            <w:r w:rsidRPr="001A0FDA">
              <w:rPr>
                <w:rFonts w:asciiTheme="minorHAnsi" w:hAnsiTheme="minorHAnsi" w:cstheme="minorHAnsi"/>
                <w:szCs w:val="24"/>
              </w:rPr>
              <w:t>88,393</w:t>
            </w:r>
          </w:p>
        </w:tc>
        <w:tc>
          <w:tcPr>
            <w:tcW w:w="1535" w:type="dxa"/>
          </w:tcPr>
          <w:p w14:paraId="45873444" w14:textId="3E084E10" w:rsidR="009D0506" w:rsidRPr="001A0FDA" w:rsidRDefault="009D0506" w:rsidP="006C0CF0">
            <w:pPr>
              <w:pStyle w:val="TableCopy"/>
              <w:jc w:val="right"/>
              <w:rPr>
                <w:rFonts w:asciiTheme="minorHAnsi" w:hAnsiTheme="minorHAnsi" w:cstheme="minorHAnsi"/>
                <w:szCs w:val="24"/>
              </w:rPr>
            </w:pPr>
            <w:r w:rsidRPr="001A0FDA">
              <w:rPr>
                <w:rFonts w:asciiTheme="minorHAnsi" w:hAnsiTheme="minorHAnsi" w:cstheme="minorHAnsi"/>
                <w:szCs w:val="24"/>
              </w:rPr>
              <w:t>–</w:t>
            </w:r>
          </w:p>
        </w:tc>
        <w:tc>
          <w:tcPr>
            <w:tcW w:w="1536" w:type="dxa"/>
          </w:tcPr>
          <w:p w14:paraId="6EECDBF5" w14:textId="38399AF7" w:rsidR="009D0506" w:rsidRPr="001A0FDA" w:rsidRDefault="009D0506" w:rsidP="006C0CF0">
            <w:pPr>
              <w:pStyle w:val="TableCopy"/>
              <w:jc w:val="right"/>
              <w:rPr>
                <w:rFonts w:asciiTheme="minorHAnsi" w:hAnsiTheme="minorHAnsi" w:cstheme="minorHAnsi"/>
                <w:szCs w:val="24"/>
              </w:rPr>
            </w:pPr>
            <w:r w:rsidRPr="001A0FDA">
              <w:rPr>
                <w:rFonts w:asciiTheme="minorHAnsi" w:hAnsiTheme="minorHAnsi" w:cstheme="minorHAnsi"/>
                <w:szCs w:val="24"/>
              </w:rPr>
              <w:t>–</w:t>
            </w:r>
          </w:p>
        </w:tc>
        <w:tc>
          <w:tcPr>
            <w:tcW w:w="1535" w:type="dxa"/>
          </w:tcPr>
          <w:p w14:paraId="0FBF4AA1" w14:textId="14FACC6D" w:rsidR="009D0506" w:rsidRPr="001A0FDA" w:rsidRDefault="009D0506" w:rsidP="006C0CF0">
            <w:pPr>
              <w:pStyle w:val="TableCopy"/>
              <w:jc w:val="right"/>
              <w:rPr>
                <w:rFonts w:asciiTheme="minorHAnsi" w:hAnsiTheme="minorHAnsi" w:cstheme="minorHAnsi"/>
                <w:szCs w:val="24"/>
              </w:rPr>
            </w:pPr>
            <w:r w:rsidRPr="001A0FDA">
              <w:rPr>
                <w:rFonts w:asciiTheme="minorHAnsi" w:hAnsiTheme="minorHAnsi" w:cstheme="minorHAnsi"/>
                <w:szCs w:val="24"/>
              </w:rPr>
              <w:t>152</w:t>
            </w:r>
          </w:p>
        </w:tc>
        <w:tc>
          <w:tcPr>
            <w:tcW w:w="1536" w:type="dxa"/>
          </w:tcPr>
          <w:p w14:paraId="389EC972" w14:textId="74812B24" w:rsidR="009D0506" w:rsidRPr="001A0FDA" w:rsidRDefault="009D0506" w:rsidP="006C0CF0">
            <w:pPr>
              <w:pStyle w:val="TableCopy"/>
              <w:jc w:val="right"/>
              <w:rPr>
                <w:rFonts w:asciiTheme="minorHAnsi" w:hAnsiTheme="minorHAnsi" w:cstheme="minorHAnsi"/>
                <w:szCs w:val="24"/>
              </w:rPr>
            </w:pPr>
            <w:r w:rsidRPr="001A0FDA">
              <w:rPr>
                <w:rFonts w:asciiTheme="minorHAnsi" w:hAnsiTheme="minorHAnsi" w:cstheme="minorHAnsi"/>
                <w:szCs w:val="24"/>
              </w:rPr>
              <w:t>5,449</w:t>
            </w:r>
          </w:p>
        </w:tc>
      </w:tr>
      <w:tr w:rsidR="009D0506" w:rsidRPr="001A0FDA" w14:paraId="204FABFB" w14:textId="77777777" w:rsidTr="009D0506">
        <w:trPr>
          <w:trHeight w:val="113"/>
        </w:trPr>
        <w:tc>
          <w:tcPr>
            <w:tcW w:w="5524" w:type="dxa"/>
          </w:tcPr>
          <w:p w14:paraId="369AD5C9" w14:textId="379B6B2A" w:rsidR="009D0506" w:rsidRPr="001A0FDA" w:rsidRDefault="009D0506" w:rsidP="001A0FDA">
            <w:pPr>
              <w:pStyle w:val="TableCopy"/>
              <w:rPr>
                <w:rFonts w:asciiTheme="minorHAnsi" w:hAnsiTheme="minorHAnsi" w:cstheme="minorHAnsi"/>
                <w:szCs w:val="24"/>
              </w:rPr>
            </w:pPr>
            <w:r w:rsidRPr="001A0FDA">
              <w:rPr>
                <w:rFonts w:asciiTheme="minorHAnsi" w:hAnsiTheme="minorHAnsi" w:cstheme="minorHAnsi"/>
                <w:szCs w:val="24"/>
              </w:rPr>
              <w:t>Appropriations – payments made on behalf of the State</w:t>
            </w:r>
          </w:p>
        </w:tc>
        <w:tc>
          <w:tcPr>
            <w:tcW w:w="1535" w:type="dxa"/>
          </w:tcPr>
          <w:p w14:paraId="6D0842A1" w14:textId="140E3103" w:rsidR="009D0506" w:rsidRPr="001A0FDA" w:rsidRDefault="009D0506" w:rsidP="006C0CF0">
            <w:pPr>
              <w:pStyle w:val="TableCopy"/>
              <w:jc w:val="right"/>
              <w:rPr>
                <w:rFonts w:asciiTheme="minorHAnsi" w:hAnsiTheme="minorHAnsi" w:cstheme="minorHAnsi"/>
                <w:szCs w:val="24"/>
              </w:rPr>
            </w:pPr>
            <w:r w:rsidRPr="001A0FDA">
              <w:rPr>
                <w:rFonts w:asciiTheme="minorHAnsi" w:hAnsiTheme="minorHAnsi" w:cstheme="minorHAnsi"/>
                <w:szCs w:val="24"/>
              </w:rPr>
              <w:t>–</w:t>
            </w:r>
          </w:p>
        </w:tc>
        <w:tc>
          <w:tcPr>
            <w:tcW w:w="1536" w:type="dxa"/>
          </w:tcPr>
          <w:p w14:paraId="70F106AF" w14:textId="2EB8C6FE" w:rsidR="009D0506" w:rsidRPr="001A0FDA" w:rsidRDefault="009D0506" w:rsidP="006C0CF0">
            <w:pPr>
              <w:pStyle w:val="TableCopy"/>
              <w:jc w:val="right"/>
              <w:rPr>
                <w:rFonts w:asciiTheme="minorHAnsi" w:hAnsiTheme="minorHAnsi" w:cstheme="minorHAnsi"/>
                <w:szCs w:val="24"/>
              </w:rPr>
            </w:pPr>
            <w:r w:rsidRPr="001A0FDA">
              <w:rPr>
                <w:rFonts w:asciiTheme="minorHAnsi" w:hAnsiTheme="minorHAnsi" w:cstheme="minorHAnsi"/>
                <w:szCs w:val="24"/>
              </w:rPr>
              <w:t>–</w:t>
            </w:r>
          </w:p>
        </w:tc>
        <w:tc>
          <w:tcPr>
            <w:tcW w:w="1535" w:type="dxa"/>
          </w:tcPr>
          <w:p w14:paraId="699A4C80" w14:textId="59A29ADA" w:rsidR="009D0506" w:rsidRPr="001A0FDA" w:rsidRDefault="009D0506" w:rsidP="006C0CF0">
            <w:pPr>
              <w:pStyle w:val="TableCopy"/>
              <w:jc w:val="right"/>
              <w:rPr>
                <w:rFonts w:asciiTheme="minorHAnsi" w:hAnsiTheme="minorHAnsi" w:cstheme="minorHAnsi"/>
                <w:szCs w:val="24"/>
              </w:rPr>
            </w:pPr>
            <w:r w:rsidRPr="001A0FDA">
              <w:rPr>
                <w:rFonts w:asciiTheme="minorHAnsi" w:hAnsiTheme="minorHAnsi" w:cstheme="minorHAnsi"/>
                <w:szCs w:val="24"/>
              </w:rPr>
              <w:t>–</w:t>
            </w:r>
          </w:p>
        </w:tc>
        <w:tc>
          <w:tcPr>
            <w:tcW w:w="1536" w:type="dxa"/>
          </w:tcPr>
          <w:p w14:paraId="5F75BE1D" w14:textId="0EEBFA5C" w:rsidR="009D0506" w:rsidRPr="001A0FDA" w:rsidRDefault="009D0506" w:rsidP="006C0CF0">
            <w:pPr>
              <w:pStyle w:val="TableCopy"/>
              <w:jc w:val="right"/>
              <w:rPr>
                <w:rFonts w:asciiTheme="minorHAnsi" w:hAnsiTheme="minorHAnsi" w:cstheme="minorHAnsi"/>
                <w:szCs w:val="24"/>
              </w:rPr>
            </w:pPr>
            <w:r w:rsidRPr="001A0FDA">
              <w:rPr>
                <w:rFonts w:asciiTheme="minorHAnsi" w:hAnsiTheme="minorHAnsi" w:cstheme="minorHAnsi"/>
                <w:szCs w:val="24"/>
              </w:rPr>
              <w:t>–</w:t>
            </w:r>
          </w:p>
        </w:tc>
        <w:tc>
          <w:tcPr>
            <w:tcW w:w="1535" w:type="dxa"/>
          </w:tcPr>
          <w:p w14:paraId="430B42CA" w14:textId="5A87D743" w:rsidR="009D0506" w:rsidRPr="001A0FDA" w:rsidRDefault="009D0506" w:rsidP="006C0CF0">
            <w:pPr>
              <w:pStyle w:val="TableCopy"/>
              <w:jc w:val="right"/>
              <w:rPr>
                <w:rFonts w:asciiTheme="minorHAnsi" w:hAnsiTheme="minorHAnsi" w:cstheme="minorHAnsi"/>
                <w:szCs w:val="24"/>
              </w:rPr>
            </w:pPr>
            <w:r w:rsidRPr="001A0FDA">
              <w:rPr>
                <w:rFonts w:asciiTheme="minorHAnsi" w:hAnsiTheme="minorHAnsi" w:cstheme="minorHAnsi"/>
                <w:szCs w:val="24"/>
              </w:rPr>
              <w:t>–</w:t>
            </w:r>
          </w:p>
        </w:tc>
        <w:tc>
          <w:tcPr>
            <w:tcW w:w="1536" w:type="dxa"/>
          </w:tcPr>
          <w:p w14:paraId="220E1A93" w14:textId="243144C0" w:rsidR="009D0506" w:rsidRPr="001A0FDA" w:rsidRDefault="009D0506" w:rsidP="006C0CF0">
            <w:pPr>
              <w:pStyle w:val="TableCopy"/>
              <w:jc w:val="right"/>
              <w:rPr>
                <w:rFonts w:asciiTheme="minorHAnsi" w:hAnsiTheme="minorHAnsi" w:cstheme="minorHAnsi"/>
                <w:szCs w:val="24"/>
              </w:rPr>
            </w:pPr>
            <w:r w:rsidRPr="001A0FDA">
              <w:rPr>
                <w:rFonts w:asciiTheme="minorHAnsi" w:hAnsiTheme="minorHAnsi" w:cstheme="minorHAnsi"/>
                <w:szCs w:val="24"/>
              </w:rPr>
              <w:t>–</w:t>
            </w:r>
          </w:p>
        </w:tc>
      </w:tr>
      <w:tr w:rsidR="009D0506" w:rsidRPr="001A0FDA" w14:paraId="33017A79" w14:textId="77777777" w:rsidTr="009D0506">
        <w:trPr>
          <w:trHeight w:val="113"/>
        </w:trPr>
        <w:tc>
          <w:tcPr>
            <w:tcW w:w="5524" w:type="dxa"/>
          </w:tcPr>
          <w:p w14:paraId="2B857834" w14:textId="77777777" w:rsidR="009D0506" w:rsidRPr="001A0FDA" w:rsidRDefault="009D0506" w:rsidP="001A0FDA">
            <w:pPr>
              <w:pStyle w:val="TableCopy"/>
              <w:rPr>
                <w:rFonts w:asciiTheme="minorHAnsi" w:hAnsiTheme="minorHAnsi" w:cstheme="minorHAnsi"/>
                <w:szCs w:val="24"/>
              </w:rPr>
            </w:pPr>
            <w:r w:rsidRPr="001A0FDA">
              <w:rPr>
                <w:rFonts w:asciiTheme="minorHAnsi" w:hAnsiTheme="minorHAnsi" w:cstheme="minorHAnsi"/>
                <w:szCs w:val="24"/>
              </w:rPr>
              <w:t>Royalties</w:t>
            </w:r>
          </w:p>
        </w:tc>
        <w:tc>
          <w:tcPr>
            <w:tcW w:w="1535" w:type="dxa"/>
          </w:tcPr>
          <w:p w14:paraId="3A612953" w14:textId="2888AA07" w:rsidR="009D0506" w:rsidRPr="001A0FDA" w:rsidRDefault="009D0506" w:rsidP="006C0CF0">
            <w:pPr>
              <w:pStyle w:val="TableCopy"/>
              <w:jc w:val="right"/>
              <w:rPr>
                <w:rFonts w:asciiTheme="minorHAnsi" w:hAnsiTheme="minorHAnsi" w:cstheme="minorHAnsi"/>
                <w:szCs w:val="24"/>
              </w:rPr>
            </w:pPr>
            <w:r w:rsidRPr="001A0FDA">
              <w:rPr>
                <w:rFonts w:asciiTheme="minorHAnsi" w:hAnsiTheme="minorHAnsi" w:cstheme="minorHAnsi"/>
                <w:szCs w:val="24"/>
              </w:rPr>
              <w:t>–</w:t>
            </w:r>
          </w:p>
        </w:tc>
        <w:tc>
          <w:tcPr>
            <w:tcW w:w="1536" w:type="dxa"/>
          </w:tcPr>
          <w:p w14:paraId="3C7B251A" w14:textId="09EB5984" w:rsidR="009D0506" w:rsidRPr="001A0FDA" w:rsidRDefault="009D0506" w:rsidP="006C0CF0">
            <w:pPr>
              <w:pStyle w:val="TableCopy"/>
              <w:jc w:val="right"/>
              <w:rPr>
                <w:rFonts w:asciiTheme="minorHAnsi" w:hAnsiTheme="minorHAnsi" w:cstheme="minorHAnsi"/>
                <w:szCs w:val="24"/>
              </w:rPr>
            </w:pPr>
            <w:r w:rsidRPr="001A0FDA">
              <w:rPr>
                <w:rFonts w:asciiTheme="minorHAnsi" w:hAnsiTheme="minorHAnsi" w:cstheme="minorHAnsi"/>
                <w:szCs w:val="24"/>
              </w:rPr>
              <w:t>–</w:t>
            </w:r>
          </w:p>
        </w:tc>
        <w:tc>
          <w:tcPr>
            <w:tcW w:w="1535" w:type="dxa"/>
          </w:tcPr>
          <w:p w14:paraId="5B4B2904" w14:textId="39FD39E2" w:rsidR="009D0506" w:rsidRPr="001A0FDA" w:rsidRDefault="009D0506" w:rsidP="006C0CF0">
            <w:pPr>
              <w:pStyle w:val="TableCopy"/>
              <w:jc w:val="right"/>
              <w:rPr>
                <w:rFonts w:asciiTheme="minorHAnsi" w:hAnsiTheme="minorHAnsi" w:cstheme="minorHAnsi"/>
                <w:szCs w:val="24"/>
              </w:rPr>
            </w:pPr>
            <w:r w:rsidRPr="001A0FDA">
              <w:rPr>
                <w:rFonts w:asciiTheme="minorHAnsi" w:hAnsiTheme="minorHAnsi" w:cstheme="minorHAnsi"/>
                <w:szCs w:val="24"/>
              </w:rPr>
              <w:t>–</w:t>
            </w:r>
          </w:p>
        </w:tc>
        <w:tc>
          <w:tcPr>
            <w:tcW w:w="1536" w:type="dxa"/>
          </w:tcPr>
          <w:p w14:paraId="6D715EBC" w14:textId="6B7F53A0" w:rsidR="009D0506" w:rsidRPr="001A0FDA" w:rsidRDefault="009D0506" w:rsidP="006C0CF0">
            <w:pPr>
              <w:pStyle w:val="TableCopy"/>
              <w:jc w:val="right"/>
              <w:rPr>
                <w:rFonts w:asciiTheme="minorHAnsi" w:hAnsiTheme="minorHAnsi" w:cstheme="minorHAnsi"/>
                <w:szCs w:val="24"/>
              </w:rPr>
            </w:pPr>
            <w:r w:rsidRPr="001A0FDA">
              <w:rPr>
                <w:rFonts w:asciiTheme="minorHAnsi" w:hAnsiTheme="minorHAnsi" w:cstheme="minorHAnsi"/>
                <w:szCs w:val="24"/>
              </w:rPr>
              <w:t>–</w:t>
            </w:r>
          </w:p>
        </w:tc>
        <w:tc>
          <w:tcPr>
            <w:tcW w:w="1535" w:type="dxa"/>
          </w:tcPr>
          <w:p w14:paraId="314C3BCC" w14:textId="0EB82035" w:rsidR="009D0506" w:rsidRPr="001A0FDA" w:rsidRDefault="009D0506" w:rsidP="006C0CF0">
            <w:pPr>
              <w:pStyle w:val="TableCopy"/>
              <w:jc w:val="right"/>
              <w:rPr>
                <w:rFonts w:asciiTheme="minorHAnsi" w:hAnsiTheme="minorHAnsi" w:cstheme="minorHAnsi"/>
                <w:szCs w:val="24"/>
              </w:rPr>
            </w:pPr>
            <w:r w:rsidRPr="001A0FDA">
              <w:rPr>
                <w:rFonts w:asciiTheme="minorHAnsi" w:hAnsiTheme="minorHAnsi" w:cstheme="minorHAnsi"/>
                <w:szCs w:val="24"/>
              </w:rPr>
              <w:t>70,436</w:t>
            </w:r>
          </w:p>
        </w:tc>
        <w:tc>
          <w:tcPr>
            <w:tcW w:w="1536" w:type="dxa"/>
          </w:tcPr>
          <w:p w14:paraId="549ED15B" w14:textId="48B84721" w:rsidR="009D0506" w:rsidRPr="001A0FDA" w:rsidRDefault="009D0506" w:rsidP="006C0CF0">
            <w:pPr>
              <w:pStyle w:val="TableCopy"/>
              <w:jc w:val="right"/>
              <w:rPr>
                <w:rFonts w:asciiTheme="minorHAnsi" w:hAnsiTheme="minorHAnsi" w:cstheme="minorHAnsi"/>
                <w:szCs w:val="24"/>
              </w:rPr>
            </w:pPr>
            <w:r w:rsidRPr="001A0FDA">
              <w:rPr>
                <w:rFonts w:asciiTheme="minorHAnsi" w:hAnsiTheme="minorHAnsi" w:cstheme="minorHAnsi"/>
                <w:szCs w:val="24"/>
              </w:rPr>
              <w:t>139,612</w:t>
            </w:r>
          </w:p>
        </w:tc>
      </w:tr>
      <w:tr w:rsidR="009D0506" w:rsidRPr="001A0FDA" w14:paraId="0A7DEB46" w14:textId="77777777" w:rsidTr="009D0506">
        <w:trPr>
          <w:trHeight w:val="113"/>
        </w:trPr>
        <w:tc>
          <w:tcPr>
            <w:tcW w:w="5524" w:type="dxa"/>
          </w:tcPr>
          <w:p w14:paraId="5AC442C8" w14:textId="444F7D3F" w:rsidR="009D0506" w:rsidRPr="001A0FDA" w:rsidRDefault="009D0506" w:rsidP="001A0FDA">
            <w:pPr>
              <w:pStyle w:val="TableCopy"/>
              <w:rPr>
                <w:rFonts w:asciiTheme="minorHAnsi" w:hAnsiTheme="minorHAnsi" w:cstheme="minorHAnsi"/>
                <w:szCs w:val="24"/>
              </w:rPr>
            </w:pPr>
            <w:r w:rsidRPr="001A0FDA">
              <w:rPr>
                <w:rFonts w:asciiTheme="minorHAnsi" w:hAnsiTheme="minorHAnsi" w:cstheme="minorHAnsi"/>
                <w:szCs w:val="24"/>
              </w:rPr>
              <w:t>Other income</w:t>
            </w:r>
          </w:p>
        </w:tc>
        <w:tc>
          <w:tcPr>
            <w:tcW w:w="1535" w:type="dxa"/>
          </w:tcPr>
          <w:p w14:paraId="3642CFCB" w14:textId="608D8777" w:rsidR="009D0506" w:rsidRPr="001A0FDA" w:rsidRDefault="009D0506" w:rsidP="006C0CF0">
            <w:pPr>
              <w:pStyle w:val="TableCopy"/>
              <w:jc w:val="right"/>
              <w:rPr>
                <w:rFonts w:asciiTheme="minorHAnsi" w:hAnsiTheme="minorHAnsi" w:cstheme="minorHAnsi"/>
                <w:szCs w:val="24"/>
              </w:rPr>
            </w:pPr>
            <w:r w:rsidRPr="001A0FDA">
              <w:rPr>
                <w:rFonts w:asciiTheme="minorHAnsi" w:hAnsiTheme="minorHAnsi" w:cstheme="minorHAnsi"/>
                <w:szCs w:val="24"/>
              </w:rPr>
              <w:t>171</w:t>
            </w:r>
          </w:p>
        </w:tc>
        <w:tc>
          <w:tcPr>
            <w:tcW w:w="1536" w:type="dxa"/>
          </w:tcPr>
          <w:p w14:paraId="3C2A701E" w14:textId="3092CF33" w:rsidR="009D0506" w:rsidRPr="001A0FDA" w:rsidRDefault="009D0506" w:rsidP="006C0CF0">
            <w:pPr>
              <w:pStyle w:val="TableCopy"/>
              <w:jc w:val="right"/>
              <w:rPr>
                <w:rFonts w:asciiTheme="minorHAnsi" w:hAnsiTheme="minorHAnsi" w:cstheme="minorHAnsi"/>
                <w:szCs w:val="24"/>
              </w:rPr>
            </w:pPr>
            <w:r w:rsidRPr="001A0FDA">
              <w:rPr>
                <w:rFonts w:asciiTheme="minorHAnsi" w:hAnsiTheme="minorHAnsi" w:cstheme="minorHAnsi"/>
                <w:szCs w:val="24"/>
              </w:rPr>
              <w:t>282</w:t>
            </w:r>
          </w:p>
        </w:tc>
        <w:tc>
          <w:tcPr>
            <w:tcW w:w="1535" w:type="dxa"/>
          </w:tcPr>
          <w:p w14:paraId="431C12C7" w14:textId="7366942C" w:rsidR="009D0506" w:rsidRPr="001A0FDA" w:rsidRDefault="009D0506" w:rsidP="006C0CF0">
            <w:pPr>
              <w:pStyle w:val="TableCopy"/>
              <w:jc w:val="right"/>
              <w:rPr>
                <w:rFonts w:asciiTheme="minorHAnsi" w:hAnsiTheme="minorHAnsi" w:cstheme="minorHAnsi"/>
                <w:szCs w:val="24"/>
              </w:rPr>
            </w:pPr>
            <w:r w:rsidRPr="001A0FDA">
              <w:rPr>
                <w:rFonts w:asciiTheme="minorHAnsi" w:hAnsiTheme="minorHAnsi" w:cstheme="minorHAnsi"/>
                <w:szCs w:val="24"/>
              </w:rPr>
              <w:t>–</w:t>
            </w:r>
          </w:p>
        </w:tc>
        <w:tc>
          <w:tcPr>
            <w:tcW w:w="1536" w:type="dxa"/>
          </w:tcPr>
          <w:p w14:paraId="27093B01" w14:textId="414F4722" w:rsidR="009D0506" w:rsidRPr="001A0FDA" w:rsidRDefault="009D0506" w:rsidP="006C0CF0">
            <w:pPr>
              <w:pStyle w:val="TableCopy"/>
              <w:jc w:val="right"/>
              <w:rPr>
                <w:rFonts w:asciiTheme="minorHAnsi" w:hAnsiTheme="minorHAnsi" w:cstheme="minorHAnsi"/>
                <w:szCs w:val="24"/>
              </w:rPr>
            </w:pPr>
            <w:r w:rsidRPr="001A0FDA">
              <w:rPr>
                <w:rFonts w:asciiTheme="minorHAnsi" w:hAnsiTheme="minorHAnsi" w:cstheme="minorHAnsi"/>
                <w:szCs w:val="24"/>
              </w:rPr>
              <w:t>2</w:t>
            </w:r>
          </w:p>
        </w:tc>
        <w:tc>
          <w:tcPr>
            <w:tcW w:w="1535" w:type="dxa"/>
          </w:tcPr>
          <w:p w14:paraId="28295F9E" w14:textId="1968B39A" w:rsidR="009D0506" w:rsidRPr="001A0FDA" w:rsidRDefault="009D0506" w:rsidP="006C0CF0">
            <w:pPr>
              <w:pStyle w:val="TableCopy"/>
              <w:jc w:val="right"/>
              <w:rPr>
                <w:rFonts w:asciiTheme="minorHAnsi" w:hAnsiTheme="minorHAnsi" w:cstheme="minorHAnsi"/>
                <w:szCs w:val="24"/>
              </w:rPr>
            </w:pPr>
            <w:r w:rsidRPr="001A0FDA">
              <w:rPr>
                <w:rFonts w:asciiTheme="minorHAnsi" w:hAnsiTheme="minorHAnsi" w:cstheme="minorHAnsi"/>
                <w:szCs w:val="24"/>
              </w:rPr>
              <w:t>2,192</w:t>
            </w:r>
          </w:p>
        </w:tc>
        <w:tc>
          <w:tcPr>
            <w:tcW w:w="1536" w:type="dxa"/>
          </w:tcPr>
          <w:p w14:paraId="56460A76" w14:textId="60BEE306" w:rsidR="009D0506" w:rsidRPr="001A0FDA" w:rsidRDefault="009D0506" w:rsidP="006C0CF0">
            <w:pPr>
              <w:pStyle w:val="TableCopy"/>
              <w:jc w:val="right"/>
              <w:rPr>
                <w:rFonts w:asciiTheme="minorHAnsi" w:hAnsiTheme="minorHAnsi" w:cstheme="minorHAnsi"/>
                <w:szCs w:val="24"/>
              </w:rPr>
            </w:pPr>
            <w:r w:rsidRPr="001A0FDA">
              <w:rPr>
                <w:rFonts w:asciiTheme="minorHAnsi" w:hAnsiTheme="minorHAnsi" w:cstheme="minorHAnsi"/>
                <w:szCs w:val="24"/>
              </w:rPr>
              <w:t>7,573</w:t>
            </w:r>
          </w:p>
        </w:tc>
      </w:tr>
      <w:tr w:rsidR="009D0506" w:rsidRPr="001A0FDA" w14:paraId="5A0435BC" w14:textId="77777777" w:rsidTr="009D0506">
        <w:trPr>
          <w:trHeight w:val="113"/>
        </w:trPr>
        <w:tc>
          <w:tcPr>
            <w:tcW w:w="5524" w:type="dxa"/>
          </w:tcPr>
          <w:p w14:paraId="1BB787AA" w14:textId="2D411810" w:rsidR="009D0506" w:rsidRPr="001A0FDA" w:rsidRDefault="009D0506" w:rsidP="001A0FDA">
            <w:pPr>
              <w:pStyle w:val="TableCopy"/>
              <w:rPr>
                <w:rFonts w:asciiTheme="minorHAnsi" w:hAnsiTheme="minorHAnsi" w:cstheme="minorHAnsi"/>
                <w:szCs w:val="24"/>
              </w:rPr>
            </w:pPr>
            <w:r w:rsidRPr="001A0FDA">
              <w:rPr>
                <w:rFonts w:asciiTheme="minorHAnsi" w:hAnsiTheme="minorHAnsi" w:cstheme="minorHAnsi"/>
                <w:szCs w:val="24"/>
              </w:rPr>
              <w:t xml:space="preserve">Regulatory fees, fines, </w:t>
            </w:r>
            <w:proofErr w:type="gramStart"/>
            <w:r w:rsidRPr="001A0FDA">
              <w:rPr>
                <w:rFonts w:asciiTheme="minorHAnsi" w:hAnsiTheme="minorHAnsi" w:cstheme="minorHAnsi"/>
                <w:szCs w:val="24"/>
              </w:rPr>
              <w:t>leases</w:t>
            </w:r>
            <w:proofErr w:type="gramEnd"/>
            <w:r w:rsidRPr="001A0FDA">
              <w:rPr>
                <w:rFonts w:asciiTheme="minorHAnsi" w:hAnsiTheme="minorHAnsi" w:cstheme="minorHAnsi"/>
                <w:szCs w:val="24"/>
              </w:rPr>
              <w:t xml:space="preserve"> and licences</w:t>
            </w:r>
          </w:p>
        </w:tc>
        <w:tc>
          <w:tcPr>
            <w:tcW w:w="1535" w:type="dxa"/>
          </w:tcPr>
          <w:p w14:paraId="6ADC572D" w14:textId="16185358" w:rsidR="009D0506" w:rsidRPr="001A0FDA" w:rsidRDefault="009D0506" w:rsidP="006C0CF0">
            <w:pPr>
              <w:pStyle w:val="TableCopy"/>
              <w:jc w:val="right"/>
              <w:rPr>
                <w:rFonts w:asciiTheme="minorHAnsi" w:hAnsiTheme="minorHAnsi" w:cstheme="minorHAnsi"/>
                <w:szCs w:val="24"/>
              </w:rPr>
            </w:pPr>
            <w:r w:rsidRPr="001A0FDA">
              <w:rPr>
                <w:rFonts w:asciiTheme="minorHAnsi" w:hAnsiTheme="minorHAnsi" w:cstheme="minorHAnsi"/>
                <w:szCs w:val="24"/>
              </w:rPr>
              <w:t>3,476</w:t>
            </w:r>
          </w:p>
        </w:tc>
        <w:tc>
          <w:tcPr>
            <w:tcW w:w="1536" w:type="dxa"/>
          </w:tcPr>
          <w:p w14:paraId="2209520F" w14:textId="3E421B9A" w:rsidR="009D0506" w:rsidRPr="001A0FDA" w:rsidRDefault="009D0506" w:rsidP="006C0CF0">
            <w:pPr>
              <w:pStyle w:val="TableCopy"/>
              <w:jc w:val="right"/>
              <w:rPr>
                <w:rFonts w:asciiTheme="minorHAnsi" w:hAnsiTheme="minorHAnsi" w:cstheme="minorHAnsi"/>
                <w:szCs w:val="24"/>
              </w:rPr>
            </w:pPr>
            <w:r w:rsidRPr="001A0FDA">
              <w:rPr>
                <w:rFonts w:asciiTheme="minorHAnsi" w:hAnsiTheme="minorHAnsi" w:cstheme="minorHAnsi"/>
                <w:szCs w:val="24"/>
              </w:rPr>
              <w:t>3,905</w:t>
            </w:r>
          </w:p>
        </w:tc>
        <w:tc>
          <w:tcPr>
            <w:tcW w:w="1535" w:type="dxa"/>
          </w:tcPr>
          <w:p w14:paraId="5A9DD4E7" w14:textId="236FA358" w:rsidR="009D0506" w:rsidRPr="001A0FDA" w:rsidRDefault="009D0506" w:rsidP="006C0CF0">
            <w:pPr>
              <w:pStyle w:val="TableCopy"/>
              <w:jc w:val="right"/>
              <w:rPr>
                <w:rFonts w:asciiTheme="minorHAnsi" w:hAnsiTheme="minorHAnsi" w:cstheme="minorHAnsi"/>
                <w:szCs w:val="24"/>
              </w:rPr>
            </w:pPr>
            <w:r w:rsidRPr="001A0FDA">
              <w:rPr>
                <w:rFonts w:asciiTheme="minorHAnsi" w:hAnsiTheme="minorHAnsi" w:cstheme="minorHAnsi"/>
                <w:szCs w:val="24"/>
              </w:rPr>
              <w:t>–</w:t>
            </w:r>
          </w:p>
        </w:tc>
        <w:tc>
          <w:tcPr>
            <w:tcW w:w="1536" w:type="dxa"/>
          </w:tcPr>
          <w:p w14:paraId="73FD7862" w14:textId="2B935B45" w:rsidR="009D0506" w:rsidRPr="001A0FDA" w:rsidRDefault="009D0506" w:rsidP="006C0CF0">
            <w:pPr>
              <w:pStyle w:val="TableCopy"/>
              <w:jc w:val="right"/>
              <w:rPr>
                <w:rFonts w:asciiTheme="minorHAnsi" w:hAnsiTheme="minorHAnsi" w:cstheme="minorHAnsi"/>
                <w:szCs w:val="24"/>
              </w:rPr>
            </w:pPr>
            <w:r w:rsidRPr="001A0FDA">
              <w:rPr>
                <w:rFonts w:asciiTheme="minorHAnsi" w:hAnsiTheme="minorHAnsi" w:cstheme="minorHAnsi"/>
                <w:szCs w:val="24"/>
              </w:rPr>
              <w:t>–</w:t>
            </w:r>
          </w:p>
        </w:tc>
        <w:tc>
          <w:tcPr>
            <w:tcW w:w="1535" w:type="dxa"/>
          </w:tcPr>
          <w:p w14:paraId="5E0038F7" w14:textId="478C90C0" w:rsidR="009D0506" w:rsidRPr="001A0FDA" w:rsidRDefault="009D0506" w:rsidP="006C0CF0">
            <w:pPr>
              <w:pStyle w:val="TableCopy"/>
              <w:jc w:val="right"/>
              <w:rPr>
                <w:rFonts w:asciiTheme="minorHAnsi" w:hAnsiTheme="minorHAnsi" w:cstheme="minorHAnsi"/>
                <w:szCs w:val="24"/>
              </w:rPr>
            </w:pPr>
            <w:r w:rsidRPr="001A0FDA">
              <w:rPr>
                <w:rFonts w:asciiTheme="minorHAnsi" w:hAnsiTheme="minorHAnsi" w:cstheme="minorHAnsi"/>
                <w:szCs w:val="24"/>
              </w:rPr>
              <w:t>–</w:t>
            </w:r>
          </w:p>
        </w:tc>
        <w:tc>
          <w:tcPr>
            <w:tcW w:w="1536" w:type="dxa"/>
          </w:tcPr>
          <w:p w14:paraId="49965530" w14:textId="091F15D3" w:rsidR="009D0506" w:rsidRPr="001A0FDA" w:rsidRDefault="009D0506" w:rsidP="006C0CF0">
            <w:pPr>
              <w:pStyle w:val="TableCopy"/>
              <w:jc w:val="right"/>
              <w:rPr>
                <w:rFonts w:asciiTheme="minorHAnsi" w:hAnsiTheme="minorHAnsi" w:cstheme="minorHAnsi"/>
                <w:szCs w:val="24"/>
              </w:rPr>
            </w:pPr>
            <w:r w:rsidRPr="001A0FDA">
              <w:rPr>
                <w:rFonts w:asciiTheme="minorHAnsi" w:hAnsiTheme="minorHAnsi" w:cstheme="minorHAnsi"/>
                <w:szCs w:val="24"/>
              </w:rPr>
              <w:t>–</w:t>
            </w:r>
          </w:p>
        </w:tc>
      </w:tr>
      <w:tr w:rsidR="009D0506" w:rsidRPr="001A0FDA" w14:paraId="5B5E4C8D" w14:textId="77777777" w:rsidTr="009D0506">
        <w:trPr>
          <w:trHeight w:val="113"/>
        </w:trPr>
        <w:tc>
          <w:tcPr>
            <w:tcW w:w="5524" w:type="dxa"/>
          </w:tcPr>
          <w:p w14:paraId="6E8E54EC" w14:textId="04DE13A6" w:rsidR="009D0506" w:rsidRPr="001A0FDA" w:rsidRDefault="009D0506" w:rsidP="001A0FDA">
            <w:pPr>
              <w:pStyle w:val="TableCopy"/>
              <w:rPr>
                <w:rFonts w:asciiTheme="minorHAnsi" w:hAnsiTheme="minorHAnsi" w:cstheme="minorHAnsi"/>
                <w:szCs w:val="24"/>
              </w:rPr>
            </w:pPr>
            <w:r w:rsidRPr="001A0FDA">
              <w:rPr>
                <w:rFonts w:asciiTheme="minorHAnsi" w:hAnsiTheme="minorHAnsi" w:cstheme="minorHAnsi"/>
                <w:szCs w:val="24"/>
              </w:rPr>
              <w:t>Interest income</w:t>
            </w:r>
          </w:p>
        </w:tc>
        <w:tc>
          <w:tcPr>
            <w:tcW w:w="1535" w:type="dxa"/>
          </w:tcPr>
          <w:p w14:paraId="655CC397" w14:textId="58426800" w:rsidR="009D0506" w:rsidRPr="001A0FDA" w:rsidRDefault="009D0506" w:rsidP="006C0CF0">
            <w:pPr>
              <w:pStyle w:val="TableCopy"/>
              <w:jc w:val="right"/>
              <w:rPr>
                <w:rFonts w:asciiTheme="minorHAnsi" w:hAnsiTheme="minorHAnsi" w:cstheme="minorHAnsi"/>
                <w:szCs w:val="24"/>
              </w:rPr>
            </w:pPr>
            <w:r w:rsidRPr="001A0FDA">
              <w:rPr>
                <w:rFonts w:asciiTheme="minorHAnsi" w:hAnsiTheme="minorHAnsi" w:cstheme="minorHAnsi"/>
                <w:szCs w:val="24"/>
              </w:rPr>
              <w:t>–</w:t>
            </w:r>
          </w:p>
        </w:tc>
        <w:tc>
          <w:tcPr>
            <w:tcW w:w="1536" w:type="dxa"/>
          </w:tcPr>
          <w:p w14:paraId="32C85A63" w14:textId="431EB996" w:rsidR="009D0506" w:rsidRPr="001A0FDA" w:rsidRDefault="009D0506" w:rsidP="006C0CF0">
            <w:pPr>
              <w:pStyle w:val="TableCopy"/>
              <w:jc w:val="right"/>
              <w:rPr>
                <w:rFonts w:asciiTheme="minorHAnsi" w:hAnsiTheme="minorHAnsi" w:cstheme="minorHAnsi"/>
                <w:szCs w:val="24"/>
              </w:rPr>
            </w:pPr>
            <w:r w:rsidRPr="001A0FDA">
              <w:rPr>
                <w:rFonts w:asciiTheme="minorHAnsi" w:hAnsiTheme="minorHAnsi" w:cstheme="minorHAnsi"/>
                <w:szCs w:val="24"/>
              </w:rPr>
              <w:t>–</w:t>
            </w:r>
          </w:p>
        </w:tc>
        <w:tc>
          <w:tcPr>
            <w:tcW w:w="1535" w:type="dxa"/>
          </w:tcPr>
          <w:p w14:paraId="4B405C55" w14:textId="1E49517C" w:rsidR="009D0506" w:rsidRPr="001A0FDA" w:rsidRDefault="009D0506" w:rsidP="006C0CF0">
            <w:pPr>
              <w:pStyle w:val="TableCopy"/>
              <w:jc w:val="right"/>
              <w:rPr>
                <w:rFonts w:asciiTheme="minorHAnsi" w:hAnsiTheme="minorHAnsi" w:cstheme="minorHAnsi"/>
                <w:szCs w:val="24"/>
              </w:rPr>
            </w:pPr>
            <w:r w:rsidRPr="001A0FDA">
              <w:rPr>
                <w:rFonts w:asciiTheme="minorHAnsi" w:hAnsiTheme="minorHAnsi" w:cstheme="minorHAnsi"/>
                <w:szCs w:val="24"/>
              </w:rPr>
              <w:t>–</w:t>
            </w:r>
          </w:p>
        </w:tc>
        <w:tc>
          <w:tcPr>
            <w:tcW w:w="1536" w:type="dxa"/>
          </w:tcPr>
          <w:p w14:paraId="7F2316F2" w14:textId="73185580" w:rsidR="009D0506" w:rsidRPr="001A0FDA" w:rsidRDefault="009D0506" w:rsidP="006C0CF0">
            <w:pPr>
              <w:pStyle w:val="TableCopy"/>
              <w:jc w:val="right"/>
              <w:rPr>
                <w:rFonts w:asciiTheme="minorHAnsi" w:hAnsiTheme="minorHAnsi" w:cstheme="minorHAnsi"/>
                <w:szCs w:val="24"/>
              </w:rPr>
            </w:pPr>
            <w:r w:rsidRPr="001A0FDA">
              <w:rPr>
                <w:rFonts w:asciiTheme="minorHAnsi" w:hAnsiTheme="minorHAnsi" w:cstheme="minorHAnsi"/>
                <w:szCs w:val="24"/>
              </w:rPr>
              <w:t>–</w:t>
            </w:r>
          </w:p>
        </w:tc>
        <w:tc>
          <w:tcPr>
            <w:tcW w:w="1535" w:type="dxa"/>
          </w:tcPr>
          <w:p w14:paraId="00343B9A" w14:textId="07951600" w:rsidR="009D0506" w:rsidRPr="001A0FDA" w:rsidRDefault="009D0506" w:rsidP="006C0CF0">
            <w:pPr>
              <w:pStyle w:val="TableCopy"/>
              <w:jc w:val="right"/>
              <w:rPr>
                <w:rFonts w:asciiTheme="minorHAnsi" w:hAnsiTheme="minorHAnsi" w:cstheme="minorHAnsi"/>
                <w:szCs w:val="24"/>
              </w:rPr>
            </w:pPr>
            <w:r w:rsidRPr="001A0FDA">
              <w:rPr>
                <w:rFonts w:asciiTheme="minorHAnsi" w:hAnsiTheme="minorHAnsi" w:cstheme="minorHAnsi"/>
                <w:szCs w:val="24"/>
              </w:rPr>
              <w:t>44</w:t>
            </w:r>
          </w:p>
        </w:tc>
        <w:tc>
          <w:tcPr>
            <w:tcW w:w="1536" w:type="dxa"/>
          </w:tcPr>
          <w:p w14:paraId="6EDF35D2" w14:textId="7D79B345" w:rsidR="009D0506" w:rsidRPr="001A0FDA" w:rsidRDefault="009D0506" w:rsidP="006C0CF0">
            <w:pPr>
              <w:pStyle w:val="TableCopy"/>
              <w:jc w:val="right"/>
              <w:rPr>
                <w:rFonts w:asciiTheme="minorHAnsi" w:hAnsiTheme="minorHAnsi" w:cstheme="minorHAnsi"/>
                <w:szCs w:val="24"/>
              </w:rPr>
            </w:pPr>
            <w:r w:rsidRPr="001A0FDA">
              <w:rPr>
                <w:rFonts w:asciiTheme="minorHAnsi" w:hAnsiTheme="minorHAnsi" w:cstheme="minorHAnsi"/>
                <w:szCs w:val="24"/>
              </w:rPr>
              <w:t>11</w:t>
            </w:r>
          </w:p>
        </w:tc>
      </w:tr>
      <w:tr w:rsidR="009D0506" w:rsidRPr="001A0FDA" w14:paraId="1B775DA1" w14:textId="77777777" w:rsidTr="009D0506">
        <w:trPr>
          <w:trHeight w:val="113"/>
        </w:trPr>
        <w:tc>
          <w:tcPr>
            <w:tcW w:w="5524" w:type="dxa"/>
          </w:tcPr>
          <w:p w14:paraId="4BABA5F9" w14:textId="4DAF250C" w:rsidR="009D0506" w:rsidRPr="001A0FDA" w:rsidRDefault="009D0506" w:rsidP="001A0FDA">
            <w:pPr>
              <w:pStyle w:val="TableCopy"/>
              <w:rPr>
                <w:rFonts w:asciiTheme="minorHAnsi" w:hAnsiTheme="minorHAnsi" w:cstheme="minorHAnsi"/>
                <w:szCs w:val="24"/>
              </w:rPr>
            </w:pPr>
            <w:r w:rsidRPr="001A0FDA">
              <w:rPr>
                <w:rFonts w:asciiTheme="minorHAnsi" w:hAnsiTheme="minorHAnsi" w:cstheme="minorHAnsi"/>
                <w:szCs w:val="24"/>
              </w:rPr>
              <w:t>Commonwealth grants</w:t>
            </w:r>
          </w:p>
        </w:tc>
        <w:tc>
          <w:tcPr>
            <w:tcW w:w="1535" w:type="dxa"/>
          </w:tcPr>
          <w:p w14:paraId="130B2723" w14:textId="5507E530" w:rsidR="009D0506" w:rsidRPr="001A0FDA" w:rsidRDefault="009D0506" w:rsidP="006C0CF0">
            <w:pPr>
              <w:pStyle w:val="TableCopy"/>
              <w:jc w:val="right"/>
              <w:rPr>
                <w:rFonts w:asciiTheme="minorHAnsi" w:hAnsiTheme="minorHAnsi" w:cstheme="minorHAnsi"/>
                <w:szCs w:val="24"/>
              </w:rPr>
            </w:pPr>
            <w:r w:rsidRPr="001A0FDA">
              <w:rPr>
                <w:rFonts w:asciiTheme="minorHAnsi" w:hAnsiTheme="minorHAnsi" w:cstheme="minorHAnsi"/>
                <w:szCs w:val="24"/>
              </w:rPr>
              <w:t>–</w:t>
            </w:r>
          </w:p>
        </w:tc>
        <w:tc>
          <w:tcPr>
            <w:tcW w:w="1536" w:type="dxa"/>
          </w:tcPr>
          <w:p w14:paraId="2DE92FD9" w14:textId="2AF04798" w:rsidR="009D0506" w:rsidRPr="001A0FDA" w:rsidRDefault="009D0506" w:rsidP="006C0CF0">
            <w:pPr>
              <w:pStyle w:val="TableCopy"/>
              <w:jc w:val="right"/>
              <w:rPr>
                <w:rFonts w:asciiTheme="minorHAnsi" w:hAnsiTheme="minorHAnsi" w:cstheme="minorHAnsi"/>
                <w:szCs w:val="24"/>
              </w:rPr>
            </w:pPr>
            <w:r w:rsidRPr="001A0FDA">
              <w:rPr>
                <w:rFonts w:asciiTheme="minorHAnsi" w:hAnsiTheme="minorHAnsi" w:cstheme="minorHAnsi"/>
                <w:szCs w:val="24"/>
              </w:rPr>
              <w:t>1,258</w:t>
            </w:r>
          </w:p>
        </w:tc>
        <w:tc>
          <w:tcPr>
            <w:tcW w:w="1535" w:type="dxa"/>
          </w:tcPr>
          <w:p w14:paraId="65DD7245" w14:textId="5075C11C" w:rsidR="009D0506" w:rsidRPr="001A0FDA" w:rsidRDefault="009D0506" w:rsidP="006C0CF0">
            <w:pPr>
              <w:pStyle w:val="TableCopy"/>
              <w:jc w:val="right"/>
              <w:rPr>
                <w:rFonts w:asciiTheme="minorHAnsi" w:hAnsiTheme="minorHAnsi" w:cstheme="minorHAnsi"/>
                <w:szCs w:val="24"/>
              </w:rPr>
            </w:pPr>
            <w:r w:rsidRPr="001A0FDA">
              <w:rPr>
                <w:rFonts w:asciiTheme="minorHAnsi" w:hAnsiTheme="minorHAnsi" w:cstheme="minorHAnsi"/>
                <w:szCs w:val="24"/>
              </w:rPr>
              <w:t>–</w:t>
            </w:r>
          </w:p>
        </w:tc>
        <w:tc>
          <w:tcPr>
            <w:tcW w:w="1536" w:type="dxa"/>
          </w:tcPr>
          <w:p w14:paraId="7B75A41E" w14:textId="13F51E62" w:rsidR="009D0506" w:rsidRPr="001A0FDA" w:rsidRDefault="009D0506" w:rsidP="006C0CF0">
            <w:pPr>
              <w:pStyle w:val="TableCopy"/>
              <w:jc w:val="right"/>
              <w:rPr>
                <w:rFonts w:asciiTheme="minorHAnsi" w:hAnsiTheme="minorHAnsi" w:cstheme="minorHAnsi"/>
                <w:szCs w:val="24"/>
              </w:rPr>
            </w:pPr>
            <w:r w:rsidRPr="001A0FDA">
              <w:rPr>
                <w:rFonts w:asciiTheme="minorHAnsi" w:hAnsiTheme="minorHAnsi" w:cstheme="minorHAnsi"/>
                <w:szCs w:val="24"/>
              </w:rPr>
              <w:t>–</w:t>
            </w:r>
          </w:p>
        </w:tc>
        <w:tc>
          <w:tcPr>
            <w:tcW w:w="1535" w:type="dxa"/>
          </w:tcPr>
          <w:p w14:paraId="6B26180B" w14:textId="0C62F281" w:rsidR="009D0506" w:rsidRPr="001A0FDA" w:rsidRDefault="009D0506" w:rsidP="006C0CF0">
            <w:pPr>
              <w:pStyle w:val="TableCopy"/>
              <w:jc w:val="right"/>
              <w:rPr>
                <w:rFonts w:asciiTheme="minorHAnsi" w:hAnsiTheme="minorHAnsi" w:cstheme="minorHAnsi"/>
                <w:szCs w:val="24"/>
              </w:rPr>
            </w:pPr>
            <w:r w:rsidRPr="001A0FDA">
              <w:rPr>
                <w:rFonts w:asciiTheme="minorHAnsi" w:hAnsiTheme="minorHAnsi" w:cstheme="minorHAnsi"/>
                <w:szCs w:val="24"/>
              </w:rPr>
              <w:t>–</w:t>
            </w:r>
          </w:p>
        </w:tc>
        <w:tc>
          <w:tcPr>
            <w:tcW w:w="1536" w:type="dxa"/>
          </w:tcPr>
          <w:p w14:paraId="2F7555A8" w14:textId="0E77208D" w:rsidR="009D0506" w:rsidRPr="001A0FDA" w:rsidRDefault="009D0506" w:rsidP="006C0CF0">
            <w:pPr>
              <w:pStyle w:val="TableCopy"/>
              <w:jc w:val="right"/>
              <w:rPr>
                <w:rFonts w:asciiTheme="minorHAnsi" w:hAnsiTheme="minorHAnsi" w:cstheme="minorHAnsi"/>
                <w:szCs w:val="24"/>
              </w:rPr>
            </w:pPr>
            <w:r w:rsidRPr="001A0FDA">
              <w:rPr>
                <w:rFonts w:asciiTheme="minorHAnsi" w:hAnsiTheme="minorHAnsi" w:cstheme="minorHAnsi"/>
                <w:szCs w:val="24"/>
              </w:rPr>
              <w:t>–</w:t>
            </w:r>
          </w:p>
        </w:tc>
      </w:tr>
      <w:tr w:rsidR="009D0506" w:rsidRPr="009D0506" w14:paraId="5597C204" w14:textId="77777777" w:rsidTr="009D0506">
        <w:trPr>
          <w:trHeight w:val="333"/>
        </w:trPr>
        <w:tc>
          <w:tcPr>
            <w:tcW w:w="5524" w:type="dxa"/>
          </w:tcPr>
          <w:p w14:paraId="4D4FB40B" w14:textId="0A16307E" w:rsidR="009D0506" w:rsidRPr="009D0506" w:rsidRDefault="009D0506" w:rsidP="001A0FDA">
            <w:pPr>
              <w:pStyle w:val="TableCopy"/>
              <w:rPr>
                <w:rFonts w:asciiTheme="minorHAnsi" w:hAnsiTheme="minorHAnsi" w:cstheme="minorHAnsi"/>
                <w:b/>
                <w:bCs/>
                <w:szCs w:val="24"/>
              </w:rPr>
            </w:pPr>
            <w:r w:rsidRPr="009D0506">
              <w:rPr>
                <w:rFonts w:asciiTheme="minorHAnsi" w:hAnsiTheme="minorHAnsi" w:cstheme="minorHAnsi"/>
                <w:b/>
                <w:bCs/>
                <w:szCs w:val="24"/>
              </w:rPr>
              <w:t>Total administered revenue and income from transactions</w:t>
            </w:r>
          </w:p>
        </w:tc>
        <w:tc>
          <w:tcPr>
            <w:tcW w:w="1535" w:type="dxa"/>
          </w:tcPr>
          <w:p w14:paraId="05BAD993" w14:textId="0B288722" w:rsidR="009D0506" w:rsidRPr="009D0506" w:rsidRDefault="009D0506" w:rsidP="006C0CF0">
            <w:pPr>
              <w:pStyle w:val="TableCopy"/>
              <w:jc w:val="right"/>
              <w:rPr>
                <w:rFonts w:asciiTheme="minorHAnsi" w:hAnsiTheme="minorHAnsi" w:cstheme="minorHAnsi"/>
                <w:b/>
                <w:bCs/>
                <w:szCs w:val="24"/>
              </w:rPr>
            </w:pPr>
            <w:r w:rsidRPr="009D0506">
              <w:rPr>
                <w:rFonts w:asciiTheme="minorHAnsi" w:hAnsiTheme="minorHAnsi" w:cstheme="minorHAnsi"/>
                <w:b/>
                <w:bCs/>
                <w:szCs w:val="24"/>
              </w:rPr>
              <w:t>29,497</w:t>
            </w:r>
          </w:p>
        </w:tc>
        <w:tc>
          <w:tcPr>
            <w:tcW w:w="1536" w:type="dxa"/>
          </w:tcPr>
          <w:p w14:paraId="6C398C21" w14:textId="2CD4E8E3" w:rsidR="009D0506" w:rsidRPr="009D0506" w:rsidRDefault="009D0506" w:rsidP="006C0CF0">
            <w:pPr>
              <w:pStyle w:val="TableCopy"/>
              <w:jc w:val="right"/>
              <w:rPr>
                <w:rFonts w:asciiTheme="minorHAnsi" w:hAnsiTheme="minorHAnsi" w:cstheme="minorHAnsi"/>
                <w:b/>
                <w:bCs/>
                <w:szCs w:val="24"/>
              </w:rPr>
            </w:pPr>
            <w:r w:rsidRPr="009D0506">
              <w:rPr>
                <w:rFonts w:asciiTheme="minorHAnsi" w:hAnsiTheme="minorHAnsi" w:cstheme="minorHAnsi"/>
                <w:b/>
                <w:bCs/>
                <w:szCs w:val="24"/>
              </w:rPr>
              <w:t>93,838</w:t>
            </w:r>
          </w:p>
        </w:tc>
        <w:tc>
          <w:tcPr>
            <w:tcW w:w="1535" w:type="dxa"/>
          </w:tcPr>
          <w:p w14:paraId="76C1C2E0" w14:textId="68016CFA" w:rsidR="009D0506" w:rsidRPr="009D0506" w:rsidRDefault="009D0506" w:rsidP="006C0CF0">
            <w:pPr>
              <w:pStyle w:val="TableCopy"/>
              <w:jc w:val="right"/>
              <w:rPr>
                <w:rFonts w:asciiTheme="minorHAnsi" w:hAnsiTheme="minorHAnsi" w:cstheme="minorHAnsi"/>
                <w:b/>
                <w:bCs/>
                <w:szCs w:val="24"/>
              </w:rPr>
            </w:pPr>
            <w:r w:rsidRPr="009D0506">
              <w:rPr>
                <w:rFonts w:asciiTheme="minorHAnsi" w:hAnsiTheme="minorHAnsi" w:cstheme="minorHAnsi"/>
                <w:b/>
                <w:bCs/>
                <w:szCs w:val="24"/>
              </w:rPr>
              <w:t>–</w:t>
            </w:r>
          </w:p>
        </w:tc>
        <w:tc>
          <w:tcPr>
            <w:tcW w:w="1536" w:type="dxa"/>
          </w:tcPr>
          <w:p w14:paraId="025DF301" w14:textId="19BE8EC3" w:rsidR="009D0506" w:rsidRPr="009D0506" w:rsidRDefault="009D0506" w:rsidP="006C0CF0">
            <w:pPr>
              <w:pStyle w:val="TableCopy"/>
              <w:jc w:val="right"/>
              <w:rPr>
                <w:rFonts w:asciiTheme="minorHAnsi" w:hAnsiTheme="minorHAnsi" w:cstheme="minorHAnsi"/>
                <w:b/>
                <w:bCs/>
                <w:szCs w:val="24"/>
              </w:rPr>
            </w:pPr>
            <w:r w:rsidRPr="009D0506">
              <w:rPr>
                <w:rFonts w:asciiTheme="minorHAnsi" w:hAnsiTheme="minorHAnsi" w:cstheme="minorHAnsi"/>
                <w:b/>
                <w:bCs/>
                <w:szCs w:val="24"/>
              </w:rPr>
              <w:t>2</w:t>
            </w:r>
          </w:p>
        </w:tc>
        <w:tc>
          <w:tcPr>
            <w:tcW w:w="1535" w:type="dxa"/>
          </w:tcPr>
          <w:p w14:paraId="694028EE" w14:textId="3E777D72" w:rsidR="009D0506" w:rsidRPr="009D0506" w:rsidRDefault="009D0506" w:rsidP="006C0CF0">
            <w:pPr>
              <w:pStyle w:val="TableCopy"/>
              <w:jc w:val="right"/>
              <w:rPr>
                <w:rFonts w:asciiTheme="minorHAnsi" w:hAnsiTheme="minorHAnsi" w:cstheme="minorHAnsi"/>
                <w:b/>
                <w:bCs/>
                <w:szCs w:val="24"/>
              </w:rPr>
            </w:pPr>
            <w:r w:rsidRPr="009D0506">
              <w:rPr>
                <w:rFonts w:asciiTheme="minorHAnsi" w:hAnsiTheme="minorHAnsi" w:cstheme="minorHAnsi"/>
                <w:b/>
                <w:bCs/>
                <w:szCs w:val="24"/>
              </w:rPr>
              <w:t>72,825</w:t>
            </w:r>
          </w:p>
        </w:tc>
        <w:tc>
          <w:tcPr>
            <w:tcW w:w="1536" w:type="dxa"/>
          </w:tcPr>
          <w:p w14:paraId="5D6F1BD0" w14:textId="09145782" w:rsidR="009D0506" w:rsidRPr="009D0506" w:rsidRDefault="009D0506" w:rsidP="006C0CF0">
            <w:pPr>
              <w:pStyle w:val="TableCopy"/>
              <w:jc w:val="right"/>
              <w:rPr>
                <w:rFonts w:asciiTheme="minorHAnsi" w:hAnsiTheme="minorHAnsi" w:cstheme="minorHAnsi"/>
                <w:b/>
                <w:bCs/>
                <w:szCs w:val="24"/>
              </w:rPr>
            </w:pPr>
            <w:r w:rsidRPr="009D0506">
              <w:rPr>
                <w:rFonts w:asciiTheme="minorHAnsi" w:hAnsiTheme="minorHAnsi" w:cstheme="minorHAnsi"/>
                <w:b/>
                <w:bCs/>
                <w:szCs w:val="24"/>
              </w:rPr>
              <w:t>152,645</w:t>
            </w:r>
          </w:p>
        </w:tc>
      </w:tr>
      <w:tr w:rsidR="009D0506" w:rsidRPr="009D0506" w14:paraId="71750109" w14:textId="77777777" w:rsidTr="009D0506">
        <w:trPr>
          <w:trHeight w:val="113"/>
        </w:trPr>
        <w:tc>
          <w:tcPr>
            <w:tcW w:w="5524" w:type="dxa"/>
          </w:tcPr>
          <w:p w14:paraId="108917A6" w14:textId="360BA946" w:rsidR="009D0506" w:rsidRPr="009D0506" w:rsidRDefault="009D0506" w:rsidP="009D0506">
            <w:pPr>
              <w:pStyle w:val="TableHeading"/>
            </w:pPr>
            <w:r w:rsidRPr="009D0506">
              <w:t>Administered expenses from transactions</w:t>
            </w:r>
          </w:p>
        </w:tc>
        <w:tc>
          <w:tcPr>
            <w:tcW w:w="1535" w:type="dxa"/>
          </w:tcPr>
          <w:p w14:paraId="765CE3D7" w14:textId="77777777" w:rsidR="009D0506" w:rsidRPr="009D0506" w:rsidRDefault="009D0506" w:rsidP="006C0CF0">
            <w:pPr>
              <w:pStyle w:val="TableHeading"/>
              <w:jc w:val="right"/>
            </w:pPr>
          </w:p>
        </w:tc>
        <w:tc>
          <w:tcPr>
            <w:tcW w:w="1536" w:type="dxa"/>
          </w:tcPr>
          <w:p w14:paraId="649D9335" w14:textId="77777777" w:rsidR="009D0506" w:rsidRPr="009D0506" w:rsidRDefault="009D0506" w:rsidP="006C0CF0">
            <w:pPr>
              <w:pStyle w:val="TableHeading"/>
              <w:jc w:val="right"/>
            </w:pPr>
          </w:p>
        </w:tc>
        <w:tc>
          <w:tcPr>
            <w:tcW w:w="1535" w:type="dxa"/>
          </w:tcPr>
          <w:p w14:paraId="0C254BDF" w14:textId="77777777" w:rsidR="009D0506" w:rsidRPr="009D0506" w:rsidRDefault="009D0506" w:rsidP="006C0CF0">
            <w:pPr>
              <w:pStyle w:val="TableHeading"/>
              <w:jc w:val="right"/>
            </w:pPr>
          </w:p>
        </w:tc>
        <w:tc>
          <w:tcPr>
            <w:tcW w:w="1536" w:type="dxa"/>
          </w:tcPr>
          <w:p w14:paraId="0DDC67E8" w14:textId="77777777" w:rsidR="009D0506" w:rsidRPr="009D0506" w:rsidRDefault="009D0506" w:rsidP="006C0CF0">
            <w:pPr>
              <w:pStyle w:val="TableHeading"/>
              <w:jc w:val="right"/>
            </w:pPr>
          </w:p>
        </w:tc>
        <w:tc>
          <w:tcPr>
            <w:tcW w:w="1535" w:type="dxa"/>
          </w:tcPr>
          <w:p w14:paraId="5B8AE41B" w14:textId="77777777" w:rsidR="009D0506" w:rsidRPr="009D0506" w:rsidRDefault="009D0506" w:rsidP="006C0CF0">
            <w:pPr>
              <w:pStyle w:val="TableHeading"/>
              <w:jc w:val="right"/>
            </w:pPr>
          </w:p>
        </w:tc>
        <w:tc>
          <w:tcPr>
            <w:tcW w:w="1536" w:type="dxa"/>
          </w:tcPr>
          <w:p w14:paraId="7A5DBBD1" w14:textId="77777777" w:rsidR="009D0506" w:rsidRPr="009D0506" w:rsidRDefault="009D0506" w:rsidP="006C0CF0">
            <w:pPr>
              <w:pStyle w:val="TableHeading"/>
              <w:jc w:val="right"/>
            </w:pPr>
          </w:p>
        </w:tc>
      </w:tr>
      <w:tr w:rsidR="009D0506" w:rsidRPr="001A0FDA" w14:paraId="41B7371A" w14:textId="77777777" w:rsidTr="009D0506">
        <w:trPr>
          <w:trHeight w:val="113"/>
        </w:trPr>
        <w:tc>
          <w:tcPr>
            <w:tcW w:w="5524" w:type="dxa"/>
          </w:tcPr>
          <w:p w14:paraId="30B5AC35" w14:textId="54E76AE1" w:rsidR="009D0506" w:rsidRPr="001A0FDA" w:rsidRDefault="009D0506" w:rsidP="001A0FDA">
            <w:pPr>
              <w:pStyle w:val="TableCopy"/>
              <w:rPr>
                <w:rFonts w:asciiTheme="minorHAnsi" w:hAnsiTheme="minorHAnsi" w:cstheme="minorHAnsi"/>
                <w:szCs w:val="24"/>
              </w:rPr>
            </w:pPr>
            <w:r w:rsidRPr="001A0FDA">
              <w:rPr>
                <w:rFonts w:asciiTheme="minorHAnsi" w:hAnsiTheme="minorHAnsi" w:cstheme="minorHAnsi"/>
                <w:szCs w:val="24"/>
              </w:rPr>
              <w:t>Payments into Consolidated Fund</w:t>
            </w:r>
          </w:p>
        </w:tc>
        <w:tc>
          <w:tcPr>
            <w:tcW w:w="1535" w:type="dxa"/>
          </w:tcPr>
          <w:p w14:paraId="449C437F" w14:textId="77777777" w:rsidR="009D0506" w:rsidRPr="001A0FDA" w:rsidRDefault="009D0506" w:rsidP="006C0CF0">
            <w:pPr>
              <w:pStyle w:val="TableCopy"/>
              <w:jc w:val="right"/>
              <w:rPr>
                <w:rFonts w:asciiTheme="minorHAnsi" w:hAnsiTheme="minorHAnsi" w:cstheme="minorHAnsi"/>
                <w:szCs w:val="24"/>
              </w:rPr>
            </w:pPr>
            <w:r w:rsidRPr="001A0FDA">
              <w:rPr>
                <w:rFonts w:asciiTheme="minorHAnsi" w:hAnsiTheme="minorHAnsi" w:cstheme="minorHAnsi"/>
                <w:szCs w:val="24"/>
              </w:rPr>
              <w:t>(33,474)</w:t>
            </w:r>
          </w:p>
        </w:tc>
        <w:tc>
          <w:tcPr>
            <w:tcW w:w="1536" w:type="dxa"/>
          </w:tcPr>
          <w:p w14:paraId="39D63B99" w14:textId="77777777" w:rsidR="009D0506" w:rsidRPr="001A0FDA" w:rsidRDefault="009D0506" w:rsidP="006C0CF0">
            <w:pPr>
              <w:pStyle w:val="TableCopy"/>
              <w:jc w:val="right"/>
              <w:rPr>
                <w:rFonts w:asciiTheme="minorHAnsi" w:hAnsiTheme="minorHAnsi" w:cstheme="minorHAnsi"/>
                <w:szCs w:val="24"/>
              </w:rPr>
            </w:pPr>
            <w:r w:rsidRPr="001A0FDA">
              <w:rPr>
                <w:rFonts w:asciiTheme="minorHAnsi" w:hAnsiTheme="minorHAnsi" w:cstheme="minorHAnsi"/>
                <w:szCs w:val="24"/>
              </w:rPr>
              <w:t>(99,066)</w:t>
            </w:r>
          </w:p>
        </w:tc>
        <w:tc>
          <w:tcPr>
            <w:tcW w:w="1535" w:type="dxa"/>
          </w:tcPr>
          <w:p w14:paraId="6AB93BF7" w14:textId="4AB4B201" w:rsidR="009D0506" w:rsidRPr="001A0FDA" w:rsidRDefault="009D0506" w:rsidP="006C0CF0">
            <w:pPr>
              <w:pStyle w:val="TableCopy"/>
              <w:jc w:val="right"/>
              <w:rPr>
                <w:rFonts w:asciiTheme="minorHAnsi" w:hAnsiTheme="minorHAnsi" w:cstheme="minorHAnsi"/>
                <w:szCs w:val="24"/>
              </w:rPr>
            </w:pPr>
            <w:r w:rsidRPr="001A0FDA">
              <w:rPr>
                <w:rFonts w:asciiTheme="minorHAnsi" w:hAnsiTheme="minorHAnsi" w:cstheme="minorHAnsi"/>
                <w:szCs w:val="24"/>
              </w:rPr>
              <w:t>–</w:t>
            </w:r>
          </w:p>
        </w:tc>
        <w:tc>
          <w:tcPr>
            <w:tcW w:w="1536" w:type="dxa"/>
          </w:tcPr>
          <w:p w14:paraId="5F3E5556" w14:textId="111D9AEC" w:rsidR="009D0506" w:rsidRPr="001A0FDA" w:rsidRDefault="009D0506" w:rsidP="006C0CF0">
            <w:pPr>
              <w:pStyle w:val="TableCopy"/>
              <w:jc w:val="right"/>
              <w:rPr>
                <w:rFonts w:asciiTheme="minorHAnsi" w:hAnsiTheme="minorHAnsi" w:cstheme="minorHAnsi"/>
                <w:szCs w:val="24"/>
              </w:rPr>
            </w:pPr>
            <w:r w:rsidRPr="001A0FDA">
              <w:rPr>
                <w:rFonts w:asciiTheme="minorHAnsi" w:hAnsiTheme="minorHAnsi" w:cstheme="minorHAnsi"/>
                <w:szCs w:val="24"/>
              </w:rPr>
              <w:t>5</w:t>
            </w:r>
          </w:p>
        </w:tc>
        <w:tc>
          <w:tcPr>
            <w:tcW w:w="1535" w:type="dxa"/>
          </w:tcPr>
          <w:p w14:paraId="755C9F94" w14:textId="77777777" w:rsidR="009D0506" w:rsidRPr="001A0FDA" w:rsidRDefault="009D0506" w:rsidP="006C0CF0">
            <w:pPr>
              <w:pStyle w:val="TableCopy"/>
              <w:jc w:val="right"/>
              <w:rPr>
                <w:rFonts w:asciiTheme="minorHAnsi" w:hAnsiTheme="minorHAnsi" w:cstheme="minorHAnsi"/>
                <w:szCs w:val="24"/>
              </w:rPr>
            </w:pPr>
            <w:r w:rsidRPr="001A0FDA">
              <w:rPr>
                <w:rFonts w:asciiTheme="minorHAnsi" w:hAnsiTheme="minorHAnsi" w:cstheme="minorHAnsi"/>
                <w:szCs w:val="24"/>
              </w:rPr>
              <w:t>(136,887)</w:t>
            </w:r>
          </w:p>
        </w:tc>
        <w:tc>
          <w:tcPr>
            <w:tcW w:w="1536" w:type="dxa"/>
          </w:tcPr>
          <w:p w14:paraId="7D62DAB6" w14:textId="77777777" w:rsidR="009D0506" w:rsidRPr="001A0FDA" w:rsidRDefault="009D0506" w:rsidP="006C0CF0">
            <w:pPr>
              <w:pStyle w:val="TableCopy"/>
              <w:jc w:val="right"/>
              <w:rPr>
                <w:rFonts w:asciiTheme="minorHAnsi" w:hAnsiTheme="minorHAnsi" w:cstheme="minorHAnsi"/>
                <w:szCs w:val="24"/>
              </w:rPr>
            </w:pPr>
            <w:r w:rsidRPr="001A0FDA">
              <w:rPr>
                <w:rFonts w:asciiTheme="minorHAnsi" w:hAnsiTheme="minorHAnsi" w:cstheme="minorHAnsi"/>
                <w:szCs w:val="24"/>
              </w:rPr>
              <w:t>(167,670)</w:t>
            </w:r>
          </w:p>
        </w:tc>
      </w:tr>
      <w:tr w:rsidR="009D0506" w:rsidRPr="001A0FDA" w14:paraId="13E1F165" w14:textId="77777777" w:rsidTr="009D0506">
        <w:trPr>
          <w:trHeight w:val="113"/>
        </w:trPr>
        <w:tc>
          <w:tcPr>
            <w:tcW w:w="5524" w:type="dxa"/>
          </w:tcPr>
          <w:p w14:paraId="2CC9C201" w14:textId="05F012C1" w:rsidR="009D0506" w:rsidRPr="001A0FDA" w:rsidRDefault="009D0506" w:rsidP="001A0FDA">
            <w:pPr>
              <w:pStyle w:val="TableCopy"/>
              <w:rPr>
                <w:rFonts w:asciiTheme="minorHAnsi" w:hAnsiTheme="minorHAnsi" w:cstheme="minorHAnsi"/>
                <w:szCs w:val="24"/>
              </w:rPr>
            </w:pPr>
            <w:r w:rsidRPr="001A0FDA">
              <w:rPr>
                <w:rFonts w:asciiTheme="minorHAnsi" w:hAnsiTheme="minorHAnsi" w:cstheme="minorHAnsi"/>
                <w:szCs w:val="24"/>
              </w:rPr>
              <w:t>Interest expense</w:t>
            </w:r>
          </w:p>
        </w:tc>
        <w:tc>
          <w:tcPr>
            <w:tcW w:w="1535" w:type="dxa"/>
          </w:tcPr>
          <w:p w14:paraId="532466DF" w14:textId="4D773202" w:rsidR="009D0506" w:rsidRPr="001A0FDA" w:rsidRDefault="009D0506" w:rsidP="006C0CF0">
            <w:pPr>
              <w:pStyle w:val="TableCopy"/>
              <w:jc w:val="right"/>
              <w:rPr>
                <w:rFonts w:asciiTheme="minorHAnsi" w:hAnsiTheme="minorHAnsi" w:cstheme="minorHAnsi"/>
                <w:szCs w:val="24"/>
              </w:rPr>
            </w:pPr>
            <w:r w:rsidRPr="001A0FDA">
              <w:rPr>
                <w:rFonts w:asciiTheme="minorHAnsi" w:hAnsiTheme="minorHAnsi" w:cstheme="minorHAnsi"/>
                <w:szCs w:val="24"/>
              </w:rPr>
              <w:t>–</w:t>
            </w:r>
          </w:p>
        </w:tc>
        <w:tc>
          <w:tcPr>
            <w:tcW w:w="1536" w:type="dxa"/>
          </w:tcPr>
          <w:p w14:paraId="368B4FEE" w14:textId="015B8FE1" w:rsidR="009D0506" w:rsidRPr="001A0FDA" w:rsidRDefault="009D0506" w:rsidP="006C0CF0">
            <w:pPr>
              <w:pStyle w:val="TableCopy"/>
              <w:jc w:val="right"/>
              <w:rPr>
                <w:rFonts w:asciiTheme="minorHAnsi" w:hAnsiTheme="minorHAnsi" w:cstheme="minorHAnsi"/>
                <w:szCs w:val="24"/>
              </w:rPr>
            </w:pPr>
            <w:r w:rsidRPr="001A0FDA">
              <w:rPr>
                <w:rFonts w:asciiTheme="minorHAnsi" w:hAnsiTheme="minorHAnsi" w:cstheme="minorHAnsi"/>
                <w:szCs w:val="24"/>
              </w:rPr>
              <w:t>–</w:t>
            </w:r>
          </w:p>
        </w:tc>
        <w:tc>
          <w:tcPr>
            <w:tcW w:w="1535" w:type="dxa"/>
          </w:tcPr>
          <w:p w14:paraId="19862BEA" w14:textId="3A80A7B0" w:rsidR="009D0506" w:rsidRPr="001A0FDA" w:rsidRDefault="009D0506" w:rsidP="006C0CF0">
            <w:pPr>
              <w:pStyle w:val="TableCopy"/>
              <w:jc w:val="right"/>
              <w:rPr>
                <w:rFonts w:asciiTheme="minorHAnsi" w:hAnsiTheme="minorHAnsi" w:cstheme="minorHAnsi"/>
                <w:szCs w:val="24"/>
              </w:rPr>
            </w:pPr>
            <w:r w:rsidRPr="001A0FDA">
              <w:rPr>
                <w:rFonts w:asciiTheme="minorHAnsi" w:hAnsiTheme="minorHAnsi" w:cstheme="minorHAnsi"/>
                <w:szCs w:val="24"/>
              </w:rPr>
              <w:t>–</w:t>
            </w:r>
          </w:p>
        </w:tc>
        <w:tc>
          <w:tcPr>
            <w:tcW w:w="1536" w:type="dxa"/>
          </w:tcPr>
          <w:p w14:paraId="4B4F6A4D" w14:textId="4C611CC2" w:rsidR="009D0506" w:rsidRPr="001A0FDA" w:rsidRDefault="009D0506" w:rsidP="006C0CF0">
            <w:pPr>
              <w:pStyle w:val="TableCopy"/>
              <w:jc w:val="right"/>
              <w:rPr>
                <w:rFonts w:asciiTheme="minorHAnsi" w:hAnsiTheme="minorHAnsi" w:cstheme="minorHAnsi"/>
                <w:szCs w:val="24"/>
              </w:rPr>
            </w:pPr>
            <w:r w:rsidRPr="001A0FDA">
              <w:rPr>
                <w:rFonts w:asciiTheme="minorHAnsi" w:hAnsiTheme="minorHAnsi" w:cstheme="minorHAnsi"/>
                <w:szCs w:val="24"/>
              </w:rPr>
              <w:t>–</w:t>
            </w:r>
          </w:p>
        </w:tc>
        <w:tc>
          <w:tcPr>
            <w:tcW w:w="1535" w:type="dxa"/>
          </w:tcPr>
          <w:p w14:paraId="40ADF1F3" w14:textId="421E17E3" w:rsidR="009D0506" w:rsidRPr="001A0FDA" w:rsidRDefault="009D0506" w:rsidP="006C0CF0">
            <w:pPr>
              <w:pStyle w:val="TableCopy"/>
              <w:jc w:val="right"/>
              <w:rPr>
                <w:rFonts w:asciiTheme="minorHAnsi" w:hAnsiTheme="minorHAnsi" w:cstheme="minorHAnsi"/>
                <w:szCs w:val="24"/>
              </w:rPr>
            </w:pPr>
            <w:r w:rsidRPr="001A0FDA">
              <w:rPr>
                <w:rFonts w:asciiTheme="minorHAnsi" w:hAnsiTheme="minorHAnsi" w:cstheme="minorHAnsi"/>
                <w:szCs w:val="24"/>
              </w:rPr>
              <w:t>–</w:t>
            </w:r>
          </w:p>
        </w:tc>
        <w:tc>
          <w:tcPr>
            <w:tcW w:w="1536" w:type="dxa"/>
          </w:tcPr>
          <w:p w14:paraId="6C27D948" w14:textId="3BD05E70" w:rsidR="009D0506" w:rsidRPr="001A0FDA" w:rsidRDefault="009D0506" w:rsidP="006C0CF0">
            <w:pPr>
              <w:pStyle w:val="TableCopy"/>
              <w:jc w:val="right"/>
              <w:rPr>
                <w:rFonts w:asciiTheme="minorHAnsi" w:hAnsiTheme="minorHAnsi" w:cstheme="minorHAnsi"/>
                <w:szCs w:val="24"/>
              </w:rPr>
            </w:pPr>
            <w:r w:rsidRPr="001A0FDA">
              <w:rPr>
                <w:rFonts w:asciiTheme="minorHAnsi" w:hAnsiTheme="minorHAnsi" w:cstheme="minorHAnsi"/>
                <w:szCs w:val="24"/>
              </w:rPr>
              <w:t>–</w:t>
            </w:r>
          </w:p>
        </w:tc>
      </w:tr>
      <w:tr w:rsidR="009D0506" w:rsidRPr="001A0FDA" w14:paraId="6FB4DBDC" w14:textId="77777777" w:rsidTr="009D0506">
        <w:trPr>
          <w:trHeight w:val="113"/>
        </w:trPr>
        <w:tc>
          <w:tcPr>
            <w:tcW w:w="5524" w:type="dxa"/>
          </w:tcPr>
          <w:p w14:paraId="5DF67885" w14:textId="04C786FF" w:rsidR="009D0506" w:rsidRPr="001A0FDA" w:rsidRDefault="009D0506" w:rsidP="001A0FDA">
            <w:pPr>
              <w:pStyle w:val="TableCopy"/>
              <w:rPr>
                <w:rFonts w:asciiTheme="minorHAnsi" w:hAnsiTheme="minorHAnsi" w:cstheme="minorHAnsi"/>
                <w:szCs w:val="24"/>
              </w:rPr>
            </w:pPr>
            <w:r w:rsidRPr="001A0FDA">
              <w:rPr>
                <w:rFonts w:asciiTheme="minorHAnsi" w:hAnsiTheme="minorHAnsi" w:cstheme="minorHAnsi"/>
                <w:szCs w:val="24"/>
              </w:rPr>
              <w:lastRenderedPageBreak/>
              <w:t>Other expenses</w:t>
            </w:r>
          </w:p>
        </w:tc>
        <w:tc>
          <w:tcPr>
            <w:tcW w:w="1535" w:type="dxa"/>
          </w:tcPr>
          <w:p w14:paraId="537A756F" w14:textId="43C3B858" w:rsidR="009D0506" w:rsidRPr="001A0FDA" w:rsidRDefault="009D0506" w:rsidP="006C0CF0">
            <w:pPr>
              <w:pStyle w:val="TableCopy"/>
              <w:jc w:val="right"/>
              <w:rPr>
                <w:rFonts w:asciiTheme="minorHAnsi" w:hAnsiTheme="minorHAnsi" w:cstheme="minorHAnsi"/>
                <w:szCs w:val="24"/>
              </w:rPr>
            </w:pPr>
            <w:r w:rsidRPr="001A0FDA">
              <w:rPr>
                <w:rFonts w:asciiTheme="minorHAnsi" w:hAnsiTheme="minorHAnsi" w:cstheme="minorHAnsi"/>
                <w:szCs w:val="24"/>
              </w:rPr>
              <w:t>1</w:t>
            </w:r>
          </w:p>
        </w:tc>
        <w:tc>
          <w:tcPr>
            <w:tcW w:w="1536" w:type="dxa"/>
          </w:tcPr>
          <w:p w14:paraId="1BF80B7A" w14:textId="77777777" w:rsidR="009D0506" w:rsidRPr="001A0FDA" w:rsidRDefault="009D0506" w:rsidP="006C0CF0">
            <w:pPr>
              <w:pStyle w:val="TableCopy"/>
              <w:jc w:val="right"/>
              <w:rPr>
                <w:rFonts w:asciiTheme="minorHAnsi" w:hAnsiTheme="minorHAnsi" w:cstheme="minorHAnsi"/>
                <w:szCs w:val="24"/>
              </w:rPr>
            </w:pPr>
            <w:r w:rsidRPr="001A0FDA">
              <w:rPr>
                <w:rFonts w:asciiTheme="minorHAnsi" w:hAnsiTheme="minorHAnsi" w:cstheme="minorHAnsi"/>
                <w:szCs w:val="24"/>
              </w:rPr>
              <w:t>(27)</w:t>
            </w:r>
          </w:p>
        </w:tc>
        <w:tc>
          <w:tcPr>
            <w:tcW w:w="1535" w:type="dxa"/>
          </w:tcPr>
          <w:p w14:paraId="15DD0D3B" w14:textId="49E8517D" w:rsidR="009D0506" w:rsidRPr="001A0FDA" w:rsidRDefault="009D0506" w:rsidP="006C0CF0">
            <w:pPr>
              <w:pStyle w:val="TableCopy"/>
              <w:jc w:val="right"/>
              <w:rPr>
                <w:rFonts w:asciiTheme="minorHAnsi" w:hAnsiTheme="minorHAnsi" w:cstheme="minorHAnsi"/>
                <w:szCs w:val="24"/>
              </w:rPr>
            </w:pPr>
            <w:r w:rsidRPr="001A0FDA">
              <w:rPr>
                <w:rFonts w:asciiTheme="minorHAnsi" w:hAnsiTheme="minorHAnsi" w:cstheme="minorHAnsi"/>
                <w:szCs w:val="24"/>
              </w:rPr>
              <w:t>–</w:t>
            </w:r>
          </w:p>
        </w:tc>
        <w:tc>
          <w:tcPr>
            <w:tcW w:w="1536" w:type="dxa"/>
          </w:tcPr>
          <w:p w14:paraId="5C5155F7" w14:textId="1D839E36" w:rsidR="009D0506" w:rsidRPr="001A0FDA" w:rsidRDefault="009D0506" w:rsidP="006C0CF0">
            <w:pPr>
              <w:pStyle w:val="TableCopy"/>
              <w:jc w:val="right"/>
              <w:rPr>
                <w:rFonts w:asciiTheme="minorHAnsi" w:hAnsiTheme="minorHAnsi" w:cstheme="minorHAnsi"/>
                <w:szCs w:val="24"/>
              </w:rPr>
            </w:pPr>
            <w:r w:rsidRPr="001A0FDA">
              <w:rPr>
                <w:rFonts w:asciiTheme="minorHAnsi" w:hAnsiTheme="minorHAnsi" w:cstheme="minorHAnsi"/>
                <w:szCs w:val="24"/>
              </w:rPr>
              <w:t>–</w:t>
            </w:r>
          </w:p>
        </w:tc>
        <w:tc>
          <w:tcPr>
            <w:tcW w:w="1535" w:type="dxa"/>
          </w:tcPr>
          <w:p w14:paraId="375BD426" w14:textId="77777777" w:rsidR="009D0506" w:rsidRPr="001A0FDA" w:rsidRDefault="009D0506" w:rsidP="006C0CF0">
            <w:pPr>
              <w:pStyle w:val="TableCopy"/>
              <w:jc w:val="right"/>
              <w:rPr>
                <w:rFonts w:asciiTheme="minorHAnsi" w:hAnsiTheme="minorHAnsi" w:cstheme="minorHAnsi"/>
                <w:szCs w:val="24"/>
              </w:rPr>
            </w:pPr>
            <w:r w:rsidRPr="001A0FDA">
              <w:rPr>
                <w:rFonts w:asciiTheme="minorHAnsi" w:hAnsiTheme="minorHAnsi" w:cstheme="minorHAnsi"/>
                <w:szCs w:val="24"/>
              </w:rPr>
              <w:t>(155)</w:t>
            </w:r>
          </w:p>
        </w:tc>
        <w:tc>
          <w:tcPr>
            <w:tcW w:w="1536" w:type="dxa"/>
          </w:tcPr>
          <w:p w14:paraId="58E69377" w14:textId="77777777" w:rsidR="009D0506" w:rsidRPr="001A0FDA" w:rsidRDefault="009D0506" w:rsidP="006C0CF0">
            <w:pPr>
              <w:pStyle w:val="TableCopy"/>
              <w:jc w:val="right"/>
              <w:rPr>
                <w:rFonts w:asciiTheme="minorHAnsi" w:hAnsiTheme="minorHAnsi" w:cstheme="minorHAnsi"/>
                <w:szCs w:val="24"/>
              </w:rPr>
            </w:pPr>
            <w:r w:rsidRPr="001A0FDA">
              <w:rPr>
                <w:rFonts w:asciiTheme="minorHAnsi" w:hAnsiTheme="minorHAnsi" w:cstheme="minorHAnsi"/>
                <w:szCs w:val="24"/>
              </w:rPr>
              <w:t>(156)</w:t>
            </w:r>
          </w:p>
        </w:tc>
      </w:tr>
      <w:tr w:rsidR="009D0506" w:rsidRPr="006C0CF0" w14:paraId="3AFC63F4" w14:textId="77777777" w:rsidTr="009D0506">
        <w:trPr>
          <w:trHeight w:val="113"/>
        </w:trPr>
        <w:tc>
          <w:tcPr>
            <w:tcW w:w="5524" w:type="dxa"/>
          </w:tcPr>
          <w:p w14:paraId="086369E8" w14:textId="3635DD2B" w:rsidR="009D0506" w:rsidRPr="006C0CF0" w:rsidRDefault="009D0506" w:rsidP="001A0FDA">
            <w:pPr>
              <w:pStyle w:val="TableCopy"/>
              <w:rPr>
                <w:rFonts w:asciiTheme="minorHAnsi" w:hAnsiTheme="minorHAnsi" w:cstheme="minorHAnsi"/>
                <w:b/>
                <w:bCs/>
                <w:szCs w:val="24"/>
              </w:rPr>
            </w:pPr>
            <w:r w:rsidRPr="006C0CF0">
              <w:rPr>
                <w:rFonts w:asciiTheme="minorHAnsi" w:hAnsiTheme="minorHAnsi" w:cstheme="minorHAnsi"/>
                <w:b/>
                <w:bCs/>
                <w:szCs w:val="24"/>
              </w:rPr>
              <w:t>Total administered expenses from transactions</w:t>
            </w:r>
          </w:p>
        </w:tc>
        <w:tc>
          <w:tcPr>
            <w:tcW w:w="1535" w:type="dxa"/>
          </w:tcPr>
          <w:p w14:paraId="68E29ACF" w14:textId="77777777" w:rsidR="009D0506" w:rsidRPr="006C0CF0" w:rsidRDefault="009D0506" w:rsidP="006C0CF0">
            <w:pPr>
              <w:pStyle w:val="TableCopy"/>
              <w:jc w:val="right"/>
              <w:rPr>
                <w:rFonts w:asciiTheme="minorHAnsi" w:hAnsiTheme="minorHAnsi" w:cstheme="minorHAnsi"/>
                <w:b/>
                <w:bCs/>
                <w:szCs w:val="24"/>
              </w:rPr>
            </w:pPr>
            <w:r w:rsidRPr="006C0CF0">
              <w:rPr>
                <w:rFonts w:asciiTheme="minorHAnsi" w:hAnsiTheme="minorHAnsi" w:cstheme="minorHAnsi"/>
                <w:b/>
                <w:bCs/>
                <w:szCs w:val="24"/>
              </w:rPr>
              <w:t>(33,473)</w:t>
            </w:r>
          </w:p>
        </w:tc>
        <w:tc>
          <w:tcPr>
            <w:tcW w:w="1536" w:type="dxa"/>
          </w:tcPr>
          <w:p w14:paraId="5859D382" w14:textId="77777777" w:rsidR="009D0506" w:rsidRPr="006C0CF0" w:rsidRDefault="009D0506" w:rsidP="006C0CF0">
            <w:pPr>
              <w:pStyle w:val="TableCopy"/>
              <w:jc w:val="right"/>
              <w:rPr>
                <w:rFonts w:asciiTheme="minorHAnsi" w:hAnsiTheme="minorHAnsi" w:cstheme="minorHAnsi"/>
                <w:b/>
                <w:bCs/>
                <w:szCs w:val="24"/>
              </w:rPr>
            </w:pPr>
            <w:r w:rsidRPr="006C0CF0">
              <w:rPr>
                <w:rFonts w:asciiTheme="minorHAnsi" w:hAnsiTheme="minorHAnsi" w:cstheme="minorHAnsi"/>
                <w:b/>
                <w:bCs/>
                <w:szCs w:val="24"/>
              </w:rPr>
              <w:t>(99,093)</w:t>
            </w:r>
          </w:p>
        </w:tc>
        <w:tc>
          <w:tcPr>
            <w:tcW w:w="1535" w:type="dxa"/>
          </w:tcPr>
          <w:p w14:paraId="09141A0A" w14:textId="45830BF0" w:rsidR="009D0506" w:rsidRPr="006C0CF0" w:rsidRDefault="009D0506" w:rsidP="006C0CF0">
            <w:pPr>
              <w:pStyle w:val="TableCopy"/>
              <w:jc w:val="right"/>
              <w:rPr>
                <w:rFonts w:asciiTheme="minorHAnsi" w:hAnsiTheme="minorHAnsi" w:cstheme="minorHAnsi"/>
                <w:b/>
                <w:bCs/>
                <w:szCs w:val="24"/>
              </w:rPr>
            </w:pPr>
            <w:r w:rsidRPr="006C0CF0">
              <w:rPr>
                <w:rFonts w:asciiTheme="minorHAnsi" w:hAnsiTheme="minorHAnsi" w:cstheme="minorHAnsi"/>
                <w:b/>
                <w:bCs/>
                <w:szCs w:val="24"/>
              </w:rPr>
              <w:t>–</w:t>
            </w:r>
          </w:p>
        </w:tc>
        <w:tc>
          <w:tcPr>
            <w:tcW w:w="1536" w:type="dxa"/>
          </w:tcPr>
          <w:p w14:paraId="6337B61E" w14:textId="4F6DCBFB" w:rsidR="009D0506" w:rsidRPr="006C0CF0" w:rsidRDefault="009D0506" w:rsidP="006C0CF0">
            <w:pPr>
              <w:pStyle w:val="TableCopy"/>
              <w:jc w:val="right"/>
              <w:rPr>
                <w:rFonts w:asciiTheme="minorHAnsi" w:hAnsiTheme="minorHAnsi" w:cstheme="minorHAnsi"/>
                <w:b/>
                <w:bCs/>
                <w:szCs w:val="24"/>
              </w:rPr>
            </w:pPr>
            <w:r w:rsidRPr="006C0CF0">
              <w:rPr>
                <w:rFonts w:asciiTheme="minorHAnsi" w:hAnsiTheme="minorHAnsi" w:cstheme="minorHAnsi"/>
                <w:b/>
                <w:bCs/>
                <w:szCs w:val="24"/>
              </w:rPr>
              <w:t>5</w:t>
            </w:r>
          </w:p>
        </w:tc>
        <w:tc>
          <w:tcPr>
            <w:tcW w:w="1535" w:type="dxa"/>
          </w:tcPr>
          <w:p w14:paraId="6B52777C" w14:textId="77777777" w:rsidR="009D0506" w:rsidRPr="006C0CF0" w:rsidRDefault="009D0506" w:rsidP="006C0CF0">
            <w:pPr>
              <w:pStyle w:val="TableCopy"/>
              <w:jc w:val="right"/>
              <w:rPr>
                <w:rFonts w:asciiTheme="minorHAnsi" w:hAnsiTheme="minorHAnsi" w:cstheme="minorHAnsi"/>
                <w:b/>
                <w:bCs/>
                <w:szCs w:val="24"/>
              </w:rPr>
            </w:pPr>
            <w:r w:rsidRPr="006C0CF0">
              <w:rPr>
                <w:rFonts w:asciiTheme="minorHAnsi" w:hAnsiTheme="minorHAnsi" w:cstheme="minorHAnsi"/>
                <w:b/>
                <w:bCs/>
                <w:szCs w:val="24"/>
              </w:rPr>
              <w:t>(137,042)</w:t>
            </w:r>
          </w:p>
        </w:tc>
        <w:tc>
          <w:tcPr>
            <w:tcW w:w="1536" w:type="dxa"/>
          </w:tcPr>
          <w:p w14:paraId="55BEC10A" w14:textId="77777777" w:rsidR="009D0506" w:rsidRPr="006C0CF0" w:rsidRDefault="009D0506" w:rsidP="006C0CF0">
            <w:pPr>
              <w:pStyle w:val="TableCopy"/>
              <w:jc w:val="right"/>
              <w:rPr>
                <w:rFonts w:asciiTheme="minorHAnsi" w:hAnsiTheme="minorHAnsi" w:cstheme="minorHAnsi"/>
                <w:b/>
                <w:bCs/>
                <w:szCs w:val="24"/>
              </w:rPr>
            </w:pPr>
            <w:r w:rsidRPr="006C0CF0">
              <w:rPr>
                <w:rFonts w:asciiTheme="minorHAnsi" w:hAnsiTheme="minorHAnsi" w:cstheme="minorHAnsi"/>
                <w:b/>
                <w:bCs/>
                <w:szCs w:val="24"/>
              </w:rPr>
              <w:t>(167,826)</w:t>
            </w:r>
          </w:p>
        </w:tc>
      </w:tr>
      <w:tr w:rsidR="009D0506" w:rsidRPr="006C0CF0" w14:paraId="5D18D1CC" w14:textId="77777777" w:rsidTr="009D0506">
        <w:trPr>
          <w:trHeight w:val="113"/>
        </w:trPr>
        <w:tc>
          <w:tcPr>
            <w:tcW w:w="5524" w:type="dxa"/>
          </w:tcPr>
          <w:p w14:paraId="60C8F08A" w14:textId="5CD92CC8" w:rsidR="009D0506" w:rsidRPr="006C0CF0" w:rsidRDefault="009D0506" w:rsidP="001A0FDA">
            <w:pPr>
              <w:pStyle w:val="TableCopy"/>
              <w:rPr>
                <w:rFonts w:asciiTheme="minorHAnsi" w:hAnsiTheme="minorHAnsi" w:cstheme="minorHAnsi"/>
                <w:b/>
                <w:bCs/>
                <w:szCs w:val="24"/>
              </w:rPr>
            </w:pPr>
            <w:r w:rsidRPr="006C0CF0">
              <w:rPr>
                <w:rFonts w:asciiTheme="minorHAnsi" w:hAnsiTheme="minorHAnsi" w:cstheme="minorHAnsi"/>
                <w:b/>
                <w:bCs/>
                <w:szCs w:val="24"/>
              </w:rPr>
              <w:t>Total administered net result from transactions</w:t>
            </w:r>
          </w:p>
        </w:tc>
        <w:tc>
          <w:tcPr>
            <w:tcW w:w="1535" w:type="dxa"/>
          </w:tcPr>
          <w:p w14:paraId="17C0D6B2" w14:textId="77777777" w:rsidR="009D0506" w:rsidRPr="006C0CF0" w:rsidRDefault="009D0506" w:rsidP="006C0CF0">
            <w:pPr>
              <w:pStyle w:val="TableCopy"/>
              <w:jc w:val="right"/>
              <w:rPr>
                <w:rFonts w:asciiTheme="minorHAnsi" w:hAnsiTheme="minorHAnsi" w:cstheme="minorHAnsi"/>
                <w:b/>
                <w:bCs/>
                <w:szCs w:val="24"/>
              </w:rPr>
            </w:pPr>
            <w:r w:rsidRPr="006C0CF0">
              <w:rPr>
                <w:rFonts w:asciiTheme="minorHAnsi" w:hAnsiTheme="minorHAnsi" w:cstheme="minorHAnsi"/>
                <w:b/>
                <w:bCs/>
                <w:szCs w:val="24"/>
              </w:rPr>
              <w:t>(3,976)</w:t>
            </w:r>
          </w:p>
        </w:tc>
        <w:tc>
          <w:tcPr>
            <w:tcW w:w="1536" w:type="dxa"/>
          </w:tcPr>
          <w:p w14:paraId="5BF9281B" w14:textId="77777777" w:rsidR="009D0506" w:rsidRPr="006C0CF0" w:rsidRDefault="009D0506" w:rsidP="006C0CF0">
            <w:pPr>
              <w:pStyle w:val="TableCopy"/>
              <w:jc w:val="right"/>
              <w:rPr>
                <w:rFonts w:asciiTheme="minorHAnsi" w:hAnsiTheme="minorHAnsi" w:cstheme="minorHAnsi"/>
                <w:b/>
                <w:bCs/>
                <w:szCs w:val="24"/>
              </w:rPr>
            </w:pPr>
            <w:r w:rsidRPr="006C0CF0">
              <w:rPr>
                <w:rFonts w:asciiTheme="minorHAnsi" w:hAnsiTheme="minorHAnsi" w:cstheme="minorHAnsi"/>
                <w:b/>
                <w:bCs/>
                <w:szCs w:val="24"/>
              </w:rPr>
              <w:t>(5,255)</w:t>
            </w:r>
          </w:p>
        </w:tc>
        <w:tc>
          <w:tcPr>
            <w:tcW w:w="1535" w:type="dxa"/>
          </w:tcPr>
          <w:p w14:paraId="00846B8E" w14:textId="5B00B746" w:rsidR="009D0506" w:rsidRPr="006C0CF0" w:rsidRDefault="009D0506" w:rsidP="006C0CF0">
            <w:pPr>
              <w:pStyle w:val="TableCopy"/>
              <w:jc w:val="right"/>
              <w:rPr>
                <w:rFonts w:asciiTheme="minorHAnsi" w:hAnsiTheme="minorHAnsi" w:cstheme="minorHAnsi"/>
                <w:b/>
                <w:bCs/>
                <w:szCs w:val="24"/>
              </w:rPr>
            </w:pPr>
            <w:r w:rsidRPr="006C0CF0">
              <w:rPr>
                <w:rFonts w:asciiTheme="minorHAnsi" w:hAnsiTheme="minorHAnsi" w:cstheme="minorHAnsi"/>
                <w:b/>
                <w:bCs/>
                <w:szCs w:val="24"/>
              </w:rPr>
              <w:t>–</w:t>
            </w:r>
          </w:p>
        </w:tc>
        <w:tc>
          <w:tcPr>
            <w:tcW w:w="1536" w:type="dxa"/>
          </w:tcPr>
          <w:p w14:paraId="731ECE98" w14:textId="4583D8CA" w:rsidR="009D0506" w:rsidRPr="006C0CF0" w:rsidRDefault="009D0506" w:rsidP="006C0CF0">
            <w:pPr>
              <w:pStyle w:val="TableCopy"/>
              <w:jc w:val="right"/>
              <w:rPr>
                <w:rFonts w:asciiTheme="minorHAnsi" w:hAnsiTheme="minorHAnsi" w:cstheme="minorHAnsi"/>
                <w:b/>
                <w:bCs/>
                <w:szCs w:val="24"/>
              </w:rPr>
            </w:pPr>
            <w:r w:rsidRPr="006C0CF0">
              <w:rPr>
                <w:rFonts w:asciiTheme="minorHAnsi" w:hAnsiTheme="minorHAnsi" w:cstheme="minorHAnsi"/>
                <w:b/>
                <w:bCs/>
                <w:szCs w:val="24"/>
              </w:rPr>
              <w:t>7</w:t>
            </w:r>
          </w:p>
        </w:tc>
        <w:tc>
          <w:tcPr>
            <w:tcW w:w="1535" w:type="dxa"/>
          </w:tcPr>
          <w:p w14:paraId="7FE89D45" w14:textId="77777777" w:rsidR="009D0506" w:rsidRPr="006C0CF0" w:rsidRDefault="009D0506" w:rsidP="006C0CF0">
            <w:pPr>
              <w:pStyle w:val="TableCopy"/>
              <w:jc w:val="right"/>
              <w:rPr>
                <w:rFonts w:asciiTheme="minorHAnsi" w:hAnsiTheme="minorHAnsi" w:cstheme="minorHAnsi"/>
                <w:b/>
                <w:bCs/>
                <w:szCs w:val="24"/>
              </w:rPr>
            </w:pPr>
            <w:r w:rsidRPr="006C0CF0">
              <w:rPr>
                <w:rFonts w:asciiTheme="minorHAnsi" w:hAnsiTheme="minorHAnsi" w:cstheme="minorHAnsi"/>
                <w:b/>
                <w:bCs/>
                <w:szCs w:val="24"/>
              </w:rPr>
              <w:t>(64,218)</w:t>
            </w:r>
          </w:p>
        </w:tc>
        <w:tc>
          <w:tcPr>
            <w:tcW w:w="1536" w:type="dxa"/>
          </w:tcPr>
          <w:p w14:paraId="19E655C8" w14:textId="77777777" w:rsidR="009D0506" w:rsidRPr="006C0CF0" w:rsidRDefault="009D0506" w:rsidP="006C0CF0">
            <w:pPr>
              <w:pStyle w:val="TableCopy"/>
              <w:jc w:val="right"/>
              <w:rPr>
                <w:rFonts w:asciiTheme="minorHAnsi" w:hAnsiTheme="minorHAnsi" w:cstheme="minorHAnsi"/>
                <w:b/>
                <w:bCs/>
                <w:szCs w:val="24"/>
              </w:rPr>
            </w:pPr>
            <w:r w:rsidRPr="006C0CF0">
              <w:rPr>
                <w:rFonts w:asciiTheme="minorHAnsi" w:hAnsiTheme="minorHAnsi" w:cstheme="minorHAnsi"/>
                <w:b/>
                <w:bCs/>
                <w:szCs w:val="24"/>
              </w:rPr>
              <w:t>(15,181)</w:t>
            </w:r>
          </w:p>
        </w:tc>
      </w:tr>
      <w:tr w:rsidR="009D0506" w:rsidRPr="006C0CF0" w14:paraId="0B8FEF81" w14:textId="77777777" w:rsidTr="009D0506">
        <w:trPr>
          <w:trHeight w:val="113"/>
        </w:trPr>
        <w:tc>
          <w:tcPr>
            <w:tcW w:w="5524" w:type="dxa"/>
          </w:tcPr>
          <w:p w14:paraId="185F62AF" w14:textId="2799A81C" w:rsidR="009D0506" w:rsidRPr="006C0CF0" w:rsidRDefault="009D0506" w:rsidP="001A0FDA">
            <w:pPr>
              <w:pStyle w:val="TableCopy"/>
              <w:rPr>
                <w:rFonts w:asciiTheme="minorHAnsi" w:hAnsiTheme="minorHAnsi" w:cstheme="minorHAnsi"/>
                <w:b/>
                <w:bCs/>
                <w:szCs w:val="24"/>
              </w:rPr>
            </w:pPr>
            <w:r w:rsidRPr="006C0CF0">
              <w:rPr>
                <w:rFonts w:asciiTheme="minorHAnsi" w:hAnsiTheme="minorHAnsi" w:cstheme="minorHAnsi"/>
                <w:b/>
                <w:bCs/>
                <w:szCs w:val="24"/>
              </w:rPr>
              <w:t>Net gain on other economic flows</w:t>
            </w:r>
          </w:p>
        </w:tc>
        <w:tc>
          <w:tcPr>
            <w:tcW w:w="1535" w:type="dxa"/>
          </w:tcPr>
          <w:p w14:paraId="1E5985EE" w14:textId="70FA9289" w:rsidR="009D0506" w:rsidRPr="006C0CF0" w:rsidRDefault="009D0506" w:rsidP="006C0CF0">
            <w:pPr>
              <w:pStyle w:val="TableCopy"/>
              <w:jc w:val="right"/>
              <w:rPr>
                <w:rFonts w:asciiTheme="minorHAnsi" w:hAnsiTheme="minorHAnsi" w:cstheme="minorHAnsi"/>
                <w:b/>
                <w:bCs/>
                <w:szCs w:val="24"/>
              </w:rPr>
            </w:pPr>
            <w:r w:rsidRPr="006C0CF0">
              <w:rPr>
                <w:rFonts w:asciiTheme="minorHAnsi" w:hAnsiTheme="minorHAnsi" w:cstheme="minorHAnsi"/>
                <w:b/>
                <w:bCs/>
                <w:szCs w:val="24"/>
              </w:rPr>
              <w:t>–</w:t>
            </w:r>
          </w:p>
        </w:tc>
        <w:tc>
          <w:tcPr>
            <w:tcW w:w="1536" w:type="dxa"/>
          </w:tcPr>
          <w:p w14:paraId="6B73B155" w14:textId="77777777" w:rsidR="009D0506" w:rsidRPr="006C0CF0" w:rsidRDefault="009D0506" w:rsidP="006C0CF0">
            <w:pPr>
              <w:pStyle w:val="TableCopy"/>
              <w:jc w:val="right"/>
              <w:rPr>
                <w:rFonts w:asciiTheme="minorHAnsi" w:hAnsiTheme="minorHAnsi" w:cstheme="minorHAnsi"/>
                <w:b/>
                <w:bCs/>
                <w:szCs w:val="24"/>
              </w:rPr>
            </w:pPr>
            <w:r w:rsidRPr="006C0CF0">
              <w:rPr>
                <w:rFonts w:asciiTheme="minorHAnsi" w:hAnsiTheme="minorHAnsi" w:cstheme="minorHAnsi"/>
                <w:b/>
                <w:bCs/>
                <w:szCs w:val="24"/>
              </w:rPr>
              <w:t>(10,057)</w:t>
            </w:r>
          </w:p>
        </w:tc>
        <w:tc>
          <w:tcPr>
            <w:tcW w:w="1535" w:type="dxa"/>
          </w:tcPr>
          <w:p w14:paraId="5066FAB8" w14:textId="0E55ED36" w:rsidR="009D0506" w:rsidRPr="006C0CF0" w:rsidRDefault="009D0506" w:rsidP="006C0CF0">
            <w:pPr>
              <w:pStyle w:val="TableCopy"/>
              <w:jc w:val="right"/>
              <w:rPr>
                <w:rFonts w:asciiTheme="minorHAnsi" w:hAnsiTheme="minorHAnsi" w:cstheme="minorHAnsi"/>
                <w:b/>
                <w:bCs/>
                <w:szCs w:val="24"/>
              </w:rPr>
            </w:pPr>
            <w:r w:rsidRPr="006C0CF0">
              <w:rPr>
                <w:rFonts w:asciiTheme="minorHAnsi" w:hAnsiTheme="minorHAnsi" w:cstheme="minorHAnsi"/>
                <w:b/>
                <w:bCs/>
                <w:szCs w:val="24"/>
              </w:rPr>
              <w:t>–</w:t>
            </w:r>
          </w:p>
        </w:tc>
        <w:tc>
          <w:tcPr>
            <w:tcW w:w="1536" w:type="dxa"/>
          </w:tcPr>
          <w:p w14:paraId="19AD53F7" w14:textId="77777777" w:rsidR="009D0506" w:rsidRPr="006C0CF0" w:rsidRDefault="009D0506" w:rsidP="006C0CF0">
            <w:pPr>
              <w:pStyle w:val="TableCopy"/>
              <w:jc w:val="right"/>
              <w:rPr>
                <w:rFonts w:asciiTheme="minorHAnsi" w:hAnsiTheme="minorHAnsi" w:cstheme="minorHAnsi"/>
                <w:b/>
                <w:bCs/>
                <w:szCs w:val="24"/>
              </w:rPr>
            </w:pPr>
            <w:r w:rsidRPr="006C0CF0">
              <w:rPr>
                <w:rFonts w:asciiTheme="minorHAnsi" w:hAnsiTheme="minorHAnsi" w:cstheme="minorHAnsi"/>
                <w:b/>
                <w:bCs/>
                <w:szCs w:val="24"/>
              </w:rPr>
              <w:t>(1)</w:t>
            </w:r>
          </w:p>
        </w:tc>
        <w:tc>
          <w:tcPr>
            <w:tcW w:w="1535" w:type="dxa"/>
          </w:tcPr>
          <w:p w14:paraId="297AEC85" w14:textId="0CB75851" w:rsidR="009D0506" w:rsidRPr="006C0CF0" w:rsidRDefault="009D0506" w:rsidP="006C0CF0">
            <w:pPr>
              <w:pStyle w:val="TableCopy"/>
              <w:jc w:val="right"/>
              <w:rPr>
                <w:rFonts w:asciiTheme="minorHAnsi" w:hAnsiTheme="minorHAnsi" w:cstheme="minorHAnsi"/>
                <w:b/>
                <w:bCs/>
                <w:szCs w:val="24"/>
              </w:rPr>
            </w:pPr>
            <w:r w:rsidRPr="006C0CF0">
              <w:rPr>
                <w:rFonts w:asciiTheme="minorHAnsi" w:hAnsiTheme="minorHAnsi" w:cstheme="minorHAnsi"/>
                <w:b/>
                <w:bCs/>
                <w:szCs w:val="24"/>
              </w:rPr>
              <w:t>–</w:t>
            </w:r>
          </w:p>
        </w:tc>
        <w:tc>
          <w:tcPr>
            <w:tcW w:w="1536" w:type="dxa"/>
          </w:tcPr>
          <w:p w14:paraId="6BD07039" w14:textId="77777777" w:rsidR="009D0506" w:rsidRPr="006C0CF0" w:rsidRDefault="009D0506" w:rsidP="006C0CF0">
            <w:pPr>
              <w:pStyle w:val="TableCopy"/>
              <w:jc w:val="right"/>
              <w:rPr>
                <w:rFonts w:asciiTheme="minorHAnsi" w:hAnsiTheme="minorHAnsi" w:cstheme="minorHAnsi"/>
                <w:b/>
                <w:bCs/>
                <w:szCs w:val="24"/>
              </w:rPr>
            </w:pPr>
            <w:r w:rsidRPr="006C0CF0">
              <w:rPr>
                <w:rFonts w:asciiTheme="minorHAnsi" w:hAnsiTheme="minorHAnsi" w:cstheme="minorHAnsi"/>
                <w:b/>
                <w:bCs/>
                <w:szCs w:val="24"/>
              </w:rPr>
              <w:t>(20)</w:t>
            </w:r>
          </w:p>
        </w:tc>
      </w:tr>
      <w:tr w:rsidR="009D0506" w:rsidRPr="006C0CF0" w14:paraId="47CA7E4E" w14:textId="77777777" w:rsidTr="009D0506">
        <w:trPr>
          <w:trHeight w:val="113"/>
        </w:trPr>
        <w:tc>
          <w:tcPr>
            <w:tcW w:w="5524" w:type="dxa"/>
          </w:tcPr>
          <w:p w14:paraId="47618809" w14:textId="745F266C" w:rsidR="009D0506" w:rsidRPr="006C0CF0" w:rsidRDefault="009D0506" w:rsidP="001A0FDA">
            <w:pPr>
              <w:pStyle w:val="TableCopy"/>
              <w:rPr>
                <w:rFonts w:asciiTheme="minorHAnsi" w:hAnsiTheme="minorHAnsi" w:cstheme="minorHAnsi"/>
                <w:b/>
                <w:bCs/>
                <w:szCs w:val="24"/>
              </w:rPr>
            </w:pPr>
            <w:r w:rsidRPr="006C0CF0">
              <w:rPr>
                <w:rFonts w:asciiTheme="minorHAnsi" w:hAnsiTheme="minorHAnsi" w:cstheme="minorHAnsi"/>
                <w:b/>
                <w:bCs/>
                <w:szCs w:val="24"/>
              </w:rPr>
              <w:t>Total administered comprehensive result</w:t>
            </w:r>
          </w:p>
        </w:tc>
        <w:tc>
          <w:tcPr>
            <w:tcW w:w="1535" w:type="dxa"/>
          </w:tcPr>
          <w:p w14:paraId="03AC9126" w14:textId="77777777" w:rsidR="009D0506" w:rsidRPr="006C0CF0" w:rsidRDefault="009D0506" w:rsidP="006C0CF0">
            <w:pPr>
              <w:pStyle w:val="TableCopy"/>
              <w:jc w:val="right"/>
              <w:rPr>
                <w:rFonts w:asciiTheme="minorHAnsi" w:hAnsiTheme="minorHAnsi" w:cstheme="minorHAnsi"/>
                <w:b/>
                <w:bCs/>
                <w:szCs w:val="24"/>
              </w:rPr>
            </w:pPr>
            <w:r w:rsidRPr="006C0CF0">
              <w:rPr>
                <w:rFonts w:asciiTheme="minorHAnsi" w:hAnsiTheme="minorHAnsi" w:cstheme="minorHAnsi"/>
                <w:b/>
                <w:bCs/>
                <w:szCs w:val="24"/>
              </w:rPr>
              <w:t>(3,976)</w:t>
            </w:r>
          </w:p>
        </w:tc>
        <w:tc>
          <w:tcPr>
            <w:tcW w:w="1536" w:type="dxa"/>
          </w:tcPr>
          <w:p w14:paraId="0E49040C" w14:textId="77777777" w:rsidR="009D0506" w:rsidRPr="006C0CF0" w:rsidRDefault="009D0506" w:rsidP="006C0CF0">
            <w:pPr>
              <w:pStyle w:val="TableCopy"/>
              <w:jc w:val="right"/>
              <w:rPr>
                <w:rFonts w:asciiTheme="minorHAnsi" w:hAnsiTheme="minorHAnsi" w:cstheme="minorHAnsi"/>
                <w:b/>
                <w:bCs/>
                <w:szCs w:val="24"/>
              </w:rPr>
            </w:pPr>
            <w:r w:rsidRPr="006C0CF0">
              <w:rPr>
                <w:rFonts w:asciiTheme="minorHAnsi" w:hAnsiTheme="minorHAnsi" w:cstheme="minorHAnsi"/>
                <w:b/>
                <w:bCs/>
                <w:szCs w:val="24"/>
              </w:rPr>
              <w:t>(15,312)</w:t>
            </w:r>
          </w:p>
        </w:tc>
        <w:tc>
          <w:tcPr>
            <w:tcW w:w="1535" w:type="dxa"/>
          </w:tcPr>
          <w:p w14:paraId="222CFE67" w14:textId="228C299A" w:rsidR="009D0506" w:rsidRPr="006C0CF0" w:rsidRDefault="009D0506" w:rsidP="006C0CF0">
            <w:pPr>
              <w:pStyle w:val="TableCopy"/>
              <w:jc w:val="right"/>
              <w:rPr>
                <w:rFonts w:asciiTheme="minorHAnsi" w:hAnsiTheme="minorHAnsi" w:cstheme="minorHAnsi"/>
                <w:b/>
                <w:bCs/>
                <w:szCs w:val="24"/>
              </w:rPr>
            </w:pPr>
            <w:r w:rsidRPr="006C0CF0">
              <w:rPr>
                <w:rFonts w:asciiTheme="minorHAnsi" w:hAnsiTheme="minorHAnsi" w:cstheme="minorHAnsi"/>
                <w:b/>
                <w:bCs/>
                <w:szCs w:val="24"/>
              </w:rPr>
              <w:t>–</w:t>
            </w:r>
          </w:p>
        </w:tc>
        <w:tc>
          <w:tcPr>
            <w:tcW w:w="1536" w:type="dxa"/>
          </w:tcPr>
          <w:p w14:paraId="3328782E" w14:textId="7624B8B5" w:rsidR="009D0506" w:rsidRPr="006C0CF0" w:rsidRDefault="009D0506" w:rsidP="006C0CF0">
            <w:pPr>
              <w:pStyle w:val="TableCopy"/>
              <w:jc w:val="right"/>
              <w:rPr>
                <w:rFonts w:asciiTheme="minorHAnsi" w:hAnsiTheme="minorHAnsi" w:cstheme="minorHAnsi"/>
                <w:b/>
                <w:bCs/>
                <w:szCs w:val="24"/>
              </w:rPr>
            </w:pPr>
            <w:r w:rsidRPr="006C0CF0">
              <w:rPr>
                <w:rFonts w:asciiTheme="minorHAnsi" w:hAnsiTheme="minorHAnsi" w:cstheme="minorHAnsi"/>
                <w:b/>
                <w:bCs/>
                <w:szCs w:val="24"/>
              </w:rPr>
              <w:t>6</w:t>
            </w:r>
          </w:p>
        </w:tc>
        <w:tc>
          <w:tcPr>
            <w:tcW w:w="1535" w:type="dxa"/>
          </w:tcPr>
          <w:p w14:paraId="3297507B" w14:textId="77777777" w:rsidR="009D0506" w:rsidRPr="006C0CF0" w:rsidRDefault="009D0506" w:rsidP="006C0CF0">
            <w:pPr>
              <w:pStyle w:val="TableCopy"/>
              <w:jc w:val="right"/>
              <w:rPr>
                <w:rFonts w:asciiTheme="minorHAnsi" w:hAnsiTheme="minorHAnsi" w:cstheme="minorHAnsi"/>
                <w:b/>
                <w:bCs/>
                <w:szCs w:val="24"/>
              </w:rPr>
            </w:pPr>
            <w:r w:rsidRPr="006C0CF0">
              <w:rPr>
                <w:rFonts w:asciiTheme="minorHAnsi" w:hAnsiTheme="minorHAnsi" w:cstheme="minorHAnsi"/>
                <w:b/>
                <w:bCs/>
                <w:szCs w:val="24"/>
              </w:rPr>
              <w:t>(64,218)</w:t>
            </w:r>
          </w:p>
        </w:tc>
        <w:tc>
          <w:tcPr>
            <w:tcW w:w="1536" w:type="dxa"/>
          </w:tcPr>
          <w:p w14:paraId="71F75B5E" w14:textId="77777777" w:rsidR="009D0506" w:rsidRPr="006C0CF0" w:rsidRDefault="009D0506" w:rsidP="006C0CF0">
            <w:pPr>
              <w:pStyle w:val="TableCopy"/>
              <w:jc w:val="right"/>
              <w:rPr>
                <w:rFonts w:asciiTheme="minorHAnsi" w:hAnsiTheme="minorHAnsi" w:cstheme="minorHAnsi"/>
                <w:b/>
                <w:bCs/>
                <w:szCs w:val="24"/>
              </w:rPr>
            </w:pPr>
            <w:r w:rsidRPr="006C0CF0">
              <w:rPr>
                <w:rFonts w:asciiTheme="minorHAnsi" w:hAnsiTheme="minorHAnsi" w:cstheme="minorHAnsi"/>
                <w:b/>
                <w:bCs/>
                <w:szCs w:val="24"/>
              </w:rPr>
              <w:t>(15,201)</w:t>
            </w:r>
          </w:p>
        </w:tc>
      </w:tr>
    </w:tbl>
    <w:p w14:paraId="3E5C58F1" w14:textId="7C57FE8F" w:rsidR="000756EB" w:rsidRDefault="000756EB" w:rsidP="009D0506"/>
    <w:p w14:paraId="552F1D94" w14:textId="4D0288EC" w:rsidR="0090560D" w:rsidRDefault="0090560D" w:rsidP="0090560D">
      <w:pPr>
        <w:pStyle w:val="Heading3"/>
        <w:rPr>
          <w:rFonts w:ascii="VIC SemiBold" w:hAnsi="VIC SemiBold" w:cs="VIC SemiBold"/>
        </w:rPr>
      </w:pPr>
      <w:r>
        <w:lastRenderedPageBreak/>
        <w:t>4.2.2</w:t>
      </w:r>
      <w:r w:rsidR="00DE38B5">
        <w:t xml:space="preserve"> </w:t>
      </w:r>
      <w:r>
        <w:t xml:space="preserve">Administered revenue and income and expenses for the year ended 30 June 2023 (continued) Outputs transferred out as part of Machinery-of-Governments Change </w:t>
      </w:r>
      <w:r w:rsidRPr="00614829">
        <w:rPr>
          <w:rStyle w:val="FootnotereferencessuperscriptMisc"/>
          <w:b w:val="0"/>
          <w:bCs w:val="0"/>
        </w:rPr>
        <w:t>(ii)</w:t>
      </w:r>
      <w:r w:rsidR="00C47647" w:rsidRPr="00614829">
        <w:rPr>
          <w:rStyle w:val="FootnotereferencessuperscriptMisc"/>
          <w:b w:val="0"/>
          <w:bCs w:val="0"/>
        </w:rPr>
        <w:t xml:space="preserve"> </w:t>
      </w:r>
      <w:r w:rsidR="00C47647" w:rsidRPr="00614829">
        <w:rPr>
          <w:rStyle w:val="FootnotereferencessuperscriptMisc"/>
          <w:b w:val="0"/>
          <w:bCs w:val="0"/>
          <w:vertAlign w:val="baseline"/>
        </w:rPr>
        <w:t>(continued)</w:t>
      </w:r>
    </w:p>
    <w:tbl>
      <w:tblPr>
        <w:tblStyle w:val="TableGrid"/>
        <w:tblW w:w="15068" w:type="dxa"/>
        <w:tblLayout w:type="fixed"/>
        <w:tblLook w:val="0020" w:firstRow="1" w:lastRow="0" w:firstColumn="0" w:lastColumn="0" w:noHBand="0" w:noVBand="0"/>
      </w:tblPr>
      <w:tblGrid>
        <w:gridCol w:w="2830"/>
        <w:gridCol w:w="1134"/>
        <w:gridCol w:w="1134"/>
        <w:gridCol w:w="1089"/>
        <w:gridCol w:w="1179"/>
        <w:gridCol w:w="1225"/>
        <w:gridCol w:w="1276"/>
        <w:gridCol w:w="1236"/>
        <w:gridCol w:w="1366"/>
        <w:gridCol w:w="1276"/>
        <w:gridCol w:w="1323"/>
      </w:tblGrid>
      <w:tr w:rsidR="006C0CF0" w:rsidRPr="001A0FDA" w14:paraId="7939B205" w14:textId="77777777" w:rsidTr="00D041F8">
        <w:trPr>
          <w:trHeight w:val="113"/>
          <w:tblHeader/>
        </w:trPr>
        <w:tc>
          <w:tcPr>
            <w:tcW w:w="2830" w:type="dxa"/>
          </w:tcPr>
          <w:p w14:paraId="339A48A2" w14:textId="77777777" w:rsidR="006C0CF0" w:rsidRPr="001A0FDA" w:rsidRDefault="006C0CF0" w:rsidP="00AB7848">
            <w:pPr>
              <w:pStyle w:val="TableColumnHeading"/>
              <w:rPr>
                <w:rFonts w:asciiTheme="minorHAnsi" w:hAnsiTheme="minorHAnsi" w:cstheme="minorHAnsi"/>
                <w:sz w:val="20"/>
                <w:szCs w:val="28"/>
              </w:rPr>
            </w:pPr>
            <w:bookmarkStart w:id="53" w:name="ColumnTitles_29"/>
            <w:bookmarkEnd w:id="53"/>
          </w:p>
        </w:tc>
        <w:tc>
          <w:tcPr>
            <w:tcW w:w="1134" w:type="dxa"/>
          </w:tcPr>
          <w:p w14:paraId="0CA2BBC8" w14:textId="0271EF78" w:rsidR="006C0CF0" w:rsidRPr="001A0FDA" w:rsidRDefault="006C0CF0" w:rsidP="003E1312">
            <w:pPr>
              <w:pStyle w:val="TableColumnHeading"/>
              <w:jc w:val="right"/>
              <w:rPr>
                <w:rFonts w:asciiTheme="minorHAnsi" w:hAnsiTheme="minorHAnsi" w:cstheme="minorHAnsi"/>
                <w:sz w:val="20"/>
                <w:szCs w:val="28"/>
              </w:rPr>
            </w:pPr>
            <w:r w:rsidRPr="001A0FDA">
              <w:rPr>
                <w:rFonts w:asciiTheme="minorHAnsi" w:hAnsiTheme="minorHAnsi" w:cstheme="minorHAnsi"/>
                <w:sz w:val="20"/>
                <w:szCs w:val="28"/>
              </w:rPr>
              <w:t xml:space="preserve">Sport, </w:t>
            </w:r>
            <w:r w:rsidRPr="003E1312">
              <w:rPr>
                <w:rFonts w:asciiTheme="minorHAnsi" w:hAnsiTheme="minorHAnsi" w:cstheme="minorHAnsi"/>
                <w:spacing w:val="-4"/>
                <w:sz w:val="20"/>
                <w:szCs w:val="28"/>
              </w:rPr>
              <w:t>Recreation</w:t>
            </w:r>
            <w:r w:rsidRPr="001A0FDA">
              <w:rPr>
                <w:rFonts w:asciiTheme="minorHAnsi" w:hAnsiTheme="minorHAnsi" w:cstheme="minorHAnsi"/>
                <w:sz w:val="20"/>
                <w:szCs w:val="28"/>
              </w:rPr>
              <w:t xml:space="preserve"> and Racing (Racing function)</w:t>
            </w:r>
            <w:r w:rsidRPr="00614829">
              <w:rPr>
                <w:rStyle w:val="FootnotereferencessuperscriptMisc"/>
                <w:sz w:val="20"/>
                <w:szCs w:val="28"/>
              </w:rPr>
              <w:t xml:space="preserve"> (iii) </w:t>
            </w:r>
            <w:r w:rsidRPr="001A0FDA">
              <w:rPr>
                <w:rFonts w:asciiTheme="minorHAnsi" w:hAnsiTheme="minorHAnsi" w:cstheme="minorHAnsi"/>
                <w:sz w:val="20"/>
                <w:szCs w:val="28"/>
              </w:rPr>
              <w:t>2023</w:t>
            </w:r>
            <w:r w:rsidR="0090560D">
              <w:rPr>
                <w:rFonts w:asciiTheme="minorHAnsi" w:hAnsiTheme="minorHAnsi" w:cstheme="minorHAnsi"/>
                <w:sz w:val="20"/>
                <w:szCs w:val="28"/>
              </w:rPr>
              <w:t xml:space="preserve"> </w:t>
            </w:r>
            <w:r w:rsidR="0090560D" w:rsidRPr="001A0FDA">
              <w:rPr>
                <w:rFonts w:asciiTheme="minorHAnsi" w:hAnsiTheme="minorHAnsi" w:cstheme="minorHAnsi"/>
                <w:sz w:val="20"/>
                <w:szCs w:val="28"/>
              </w:rPr>
              <w:t>($ thousand)</w:t>
            </w:r>
          </w:p>
        </w:tc>
        <w:tc>
          <w:tcPr>
            <w:tcW w:w="1134" w:type="dxa"/>
          </w:tcPr>
          <w:p w14:paraId="5A0AB1AF" w14:textId="03BEB69B" w:rsidR="006C0CF0" w:rsidRPr="001A0FDA" w:rsidRDefault="006C0CF0" w:rsidP="003E1312">
            <w:pPr>
              <w:pStyle w:val="TableColumnHeading"/>
              <w:jc w:val="right"/>
              <w:rPr>
                <w:rFonts w:asciiTheme="minorHAnsi" w:hAnsiTheme="minorHAnsi" w:cstheme="minorHAnsi"/>
                <w:sz w:val="20"/>
                <w:szCs w:val="28"/>
              </w:rPr>
            </w:pPr>
            <w:r w:rsidRPr="001A0FDA">
              <w:rPr>
                <w:rFonts w:asciiTheme="minorHAnsi" w:hAnsiTheme="minorHAnsi" w:cstheme="minorHAnsi"/>
                <w:sz w:val="20"/>
                <w:szCs w:val="28"/>
              </w:rPr>
              <w:t xml:space="preserve">Sport, </w:t>
            </w:r>
            <w:r w:rsidRPr="003E1312">
              <w:rPr>
                <w:rFonts w:asciiTheme="minorHAnsi" w:hAnsiTheme="minorHAnsi" w:cstheme="minorHAnsi"/>
                <w:spacing w:val="-4"/>
                <w:sz w:val="20"/>
                <w:szCs w:val="28"/>
              </w:rPr>
              <w:t>Recreation</w:t>
            </w:r>
            <w:r w:rsidRPr="001A0FDA">
              <w:rPr>
                <w:rFonts w:asciiTheme="minorHAnsi" w:hAnsiTheme="minorHAnsi" w:cstheme="minorHAnsi"/>
                <w:sz w:val="20"/>
                <w:szCs w:val="28"/>
              </w:rPr>
              <w:t xml:space="preserve"> and Racing (Racing function)</w:t>
            </w:r>
            <w:r w:rsidRPr="00614829">
              <w:rPr>
                <w:rStyle w:val="FootnotereferencessuperscriptMisc"/>
                <w:sz w:val="20"/>
                <w:szCs w:val="28"/>
              </w:rPr>
              <w:t xml:space="preserve"> (iii) </w:t>
            </w:r>
            <w:r w:rsidRPr="001A0FDA">
              <w:rPr>
                <w:rFonts w:asciiTheme="minorHAnsi" w:hAnsiTheme="minorHAnsi" w:cstheme="minorHAnsi"/>
                <w:sz w:val="20"/>
                <w:szCs w:val="28"/>
              </w:rPr>
              <w:t>2022</w:t>
            </w:r>
            <w:r w:rsidR="0090560D">
              <w:rPr>
                <w:rFonts w:asciiTheme="minorHAnsi" w:hAnsiTheme="minorHAnsi" w:cstheme="minorHAnsi"/>
                <w:sz w:val="20"/>
                <w:szCs w:val="28"/>
              </w:rPr>
              <w:t xml:space="preserve"> </w:t>
            </w:r>
            <w:r w:rsidR="0090560D" w:rsidRPr="001A0FDA">
              <w:rPr>
                <w:rFonts w:asciiTheme="minorHAnsi" w:hAnsiTheme="minorHAnsi" w:cstheme="minorHAnsi"/>
                <w:sz w:val="20"/>
                <w:szCs w:val="28"/>
              </w:rPr>
              <w:t>($ thousand)</w:t>
            </w:r>
          </w:p>
        </w:tc>
        <w:tc>
          <w:tcPr>
            <w:tcW w:w="1089" w:type="dxa"/>
          </w:tcPr>
          <w:p w14:paraId="674F7218" w14:textId="34C96059" w:rsidR="006C0CF0" w:rsidRPr="001A0FDA" w:rsidRDefault="006C0CF0" w:rsidP="003E1312">
            <w:pPr>
              <w:pStyle w:val="TableColumnHeading"/>
              <w:jc w:val="right"/>
              <w:rPr>
                <w:rFonts w:asciiTheme="minorHAnsi" w:hAnsiTheme="minorHAnsi" w:cstheme="minorHAnsi"/>
                <w:sz w:val="20"/>
                <w:szCs w:val="28"/>
              </w:rPr>
            </w:pPr>
            <w:r w:rsidRPr="001A0FDA">
              <w:rPr>
                <w:rFonts w:asciiTheme="minorHAnsi" w:hAnsiTheme="minorHAnsi" w:cstheme="minorHAnsi"/>
                <w:sz w:val="20"/>
                <w:szCs w:val="28"/>
              </w:rPr>
              <w:t>Local Govern</w:t>
            </w:r>
            <w:r>
              <w:rPr>
                <w:rFonts w:asciiTheme="minorHAnsi" w:hAnsiTheme="minorHAnsi" w:cstheme="minorHAnsi"/>
                <w:sz w:val="20"/>
                <w:szCs w:val="28"/>
              </w:rPr>
              <w:t>-</w:t>
            </w:r>
            <w:proofErr w:type="spellStart"/>
            <w:r w:rsidRPr="001A0FDA">
              <w:rPr>
                <w:rFonts w:asciiTheme="minorHAnsi" w:hAnsiTheme="minorHAnsi" w:cstheme="minorHAnsi"/>
                <w:sz w:val="20"/>
                <w:szCs w:val="28"/>
              </w:rPr>
              <w:t>ment</w:t>
            </w:r>
            <w:proofErr w:type="spellEnd"/>
            <w:r w:rsidRPr="001A0FDA">
              <w:rPr>
                <w:rFonts w:asciiTheme="minorHAnsi" w:hAnsiTheme="minorHAnsi" w:cstheme="minorHAnsi"/>
                <w:sz w:val="20"/>
                <w:szCs w:val="28"/>
              </w:rPr>
              <w:t xml:space="preserve"> and Suburban Develop</w:t>
            </w:r>
            <w:r>
              <w:rPr>
                <w:rFonts w:asciiTheme="minorHAnsi" w:hAnsiTheme="minorHAnsi" w:cstheme="minorHAnsi"/>
                <w:sz w:val="20"/>
                <w:szCs w:val="28"/>
              </w:rPr>
              <w:t>-</w:t>
            </w:r>
            <w:proofErr w:type="spellStart"/>
            <w:r w:rsidRPr="001A0FDA">
              <w:rPr>
                <w:rFonts w:asciiTheme="minorHAnsi" w:hAnsiTheme="minorHAnsi" w:cstheme="minorHAnsi"/>
                <w:sz w:val="20"/>
                <w:szCs w:val="28"/>
              </w:rPr>
              <w:t>ment</w:t>
            </w:r>
            <w:proofErr w:type="spellEnd"/>
            <w:r w:rsidRPr="001A0FDA">
              <w:rPr>
                <w:rFonts w:asciiTheme="minorHAnsi" w:hAnsiTheme="minorHAnsi" w:cstheme="minorHAnsi"/>
                <w:sz w:val="20"/>
                <w:szCs w:val="28"/>
              </w:rPr>
              <w:t xml:space="preserve"> (Local Govern</w:t>
            </w:r>
            <w:r>
              <w:rPr>
                <w:rFonts w:asciiTheme="minorHAnsi" w:hAnsiTheme="minorHAnsi" w:cstheme="minorHAnsi"/>
                <w:sz w:val="20"/>
                <w:szCs w:val="28"/>
              </w:rPr>
              <w:t>-</w:t>
            </w:r>
            <w:proofErr w:type="spellStart"/>
            <w:r w:rsidRPr="001A0FDA">
              <w:rPr>
                <w:rFonts w:asciiTheme="minorHAnsi" w:hAnsiTheme="minorHAnsi" w:cstheme="minorHAnsi"/>
                <w:sz w:val="20"/>
                <w:szCs w:val="28"/>
              </w:rPr>
              <w:t>ment</w:t>
            </w:r>
            <w:proofErr w:type="spellEnd"/>
            <w:r w:rsidRPr="001A0FDA">
              <w:rPr>
                <w:rFonts w:asciiTheme="minorHAnsi" w:hAnsiTheme="minorHAnsi" w:cstheme="minorHAnsi"/>
                <w:sz w:val="20"/>
                <w:szCs w:val="28"/>
              </w:rPr>
              <w:t xml:space="preserve"> function)</w:t>
            </w:r>
            <w:r w:rsidRPr="00614829">
              <w:rPr>
                <w:rStyle w:val="FootnotereferencessuperscriptMisc"/>
                <w:sz w:val="20"/>
                <w:szCs w:val="28"/>
              </w:rPr>
              <w:t xml:space="preserve"> (iii)</w:t>
            </w:r>
            <w:r w:rsidRPr="001A0FDA">
              <w:rPr>
                <w:rFonts w:asciiTheme="minorHAnsi" w:hAnsiTheme="minorHAnsi" w:cstheme="minorHAnsi"/>
                <w:sz w:val="20"/>
                <w:szCs w:val="28"/>
              </w:rPr>
              <w:t xml:space="preserve"> 2023</w:t>
            </w:r>
            <w:r w:rsidR="0090560D">
              <w:rPr>
                <w:rFonts w:asciiTheme="minorHAnsi" w:hAnsiTheme="minorHAnsi" w:cstheme="minorHAnsi"/>
                <w:sz w:val="20"/>
                <w:szCs w:val="28"/>
              </w:rPr>
              <w:t xml:space="preserve"> </w:t>
            </w:r>
            <w:r w:rsidR="0090560D" w:rsidRPr="001A0FDA">
              <w:rPr>
                <w:rFonts w:asciiTheme="minorHAnsi" w:hAnsiTheme="minorHAnsi" w:cstheme="minorHAnsi"/>
                <w:sz w:val="20"/>
                <w:szCs w:val="28"/>
              </w:rPr>
              <w:t>($ thousand)</w:t>
            </w:r>
          </w:p>
        </w:tc>
        <w:tc>
          <w:tcPr>
            <w:tcW w:w="1179" w:type="dxa"/>
          </w:tcPr>
          <w:p w14:paraId="6DD8F5A8" w14:textId="7E618BEB" w:rsidR="006C0CF0" w:rsidRPr="001A0FDA" w:rsidRDefault="006C0CF0" w:rsidP="003E1312">
            <w:pPr>
              <w:pStyle w:val="TableColumnHeading"/>
              <w:jc w:val="right"/>
              <w:rPr>
                <w:rFonts w:asciiTheme="minorHAnsi" w:hAnsiTheme="minorHAnsi" w:cstheme="minorHAnsi"/>
                <w:sz w:val="20"/>
                <w:szCs w:val="28"/>
              </w:rPr>
            </w:pPr>
            <w:r w:rsidRPr="001A0FDA">
              <w:rPr>
                <w:rFonts w:asciiTheme="minorHAnsi" w:hAnsiTheme="minorHAnsi" w:cstheme="minorHAnsi"/>
                <w:sz w:val="20"/>
                <w:szCs w:val="28"/>
              </w:rPr>
              <w:t>Local Govern</w:t>
            </w:r>
            <w:r>
              <w:rPr>
                <w:rFonts w:asciiTheme="minorHAnsi" w:hAnsiTheme="minorHAnsi" w:cstheme="minorHAnsi"/>
                <w:sz w:val="20"/>
                <w:szCs w:val="28"/>
              </w:rPr>
              <w:t>-</w:t>
            </w:r>
            <w:proofErr w:type="spellStart"/>
            <w:r w:rsidRPr="001A0FDA">
              <w:rPr>
                <w:rFonts w:asciiTheme="minorHAnsi" w:hAnsiTheme="minorHAnsi" w:cstheme="minorHAnsi"/>
                <w:sz w:val="20"/>
                <w:szCs w:val="28"/>
              </w:rPr>
              <w:t>ment</w:t>
            </w:r>
            <w:proofErr w:type="spellEnd"/>
            <w:r w:rsidRPr="001A0FDA">
              <w:rPr>
                <w:rFonts w:asciiTheme="minorHAnsi" w:hAnsiTheme="minorHAnsi" w:cstheme="minorHAnsi"/>
                <w:sz w:val="20"/>
                <w:szCs w:val="28"/>
              </w:rPr>
              <w:t xml:space="preserve"> and Suburban Develop</w:t>
            </w:r>
            <w:r w:rsidR="00D041F8">
              <w:rPr>
                <w:rFonts w:asciiTheme="minorHAnsi" w:hAnsiTheme="minorHAnsi" w:cstheme="minorHAnsi"/>
                <w:sz w:val="20"/>
                <w:szCs w:val="28"/>
              </w:rPr>
              <w:t>-</w:t>
            </w:r>
            <w:proofErr w:type="spellStart"/>
            <w:r w:rsidRPr="001A0FDA">
              <w:rPr>
                <w:rFonts w:asciiTheme="minorHAnsi" w:hAnsiTheme="minorHAnsi" w:cstheme="minorHAnsi"/>
                <w:sz w:val="20"/>
                <w:szCs w:val="28"/>
              </w:rPr>
              <w:t>ment</w:t>
            </w:r>
            <w:proofErr w:type="spellEnd"/>
            <w:r w:rsidRPr="001A0FDA">
              <w:rPr>
                <w:rFonts w:asciiTheme="minorHAnsi" w:hAnsiTheme="minorHAnsi" w:cstheme="minorHAnsi"/>
                <w:sz w:val="20"/>
                <w:szCs w:val="28"/>
              </w:rPr>
              <w:t xml:space="preserve"> (Local Govern</w:t>
            </w:r>
            <w:r w:rsidR="00D041F8">
              <w:rPr>
                <w:rFonts w:asciiTheme="minorHAnsi" w:hAnsiTheme="minorHAnsi" w:cstheme="minorHAnsi"/>
                <w:sz w:val="20"/>
                <w:szCs w:val="28"/>
              </w:rPr>
              <w:t>-</w:t>
            </w:r>
            <w:proofErr w:type="spellStart"/>
            <w:r w:rsidRPr="001A0FDA">
              <w:rPr>
                <w:rFonts w:asciiTheme="minorHAnsi" w:hAnsiTheme="minorHAnsi" w:cstheme="minorHAnsi"/>
                <w:sz w:val="20"/>
                <w:szCs w:val="28"/>
              </w:rPr>
              <w:t>ment</w:t>
            </w:r>
            <w:proofErr w:type="spellEnd"/>
            <w:r w:rsidRPr="001A0FDA">
              <w:rPr>
                <w:rFonts w:asciiTheme="minorHAnsi" w:hAnsiTheme="minorHAnsi" w:cstheme="minorHAnsi"/>
                <w:sz w:val="20"/>
                <w:szCs w:val="28"/>
              </w:rPr>
              <w:t xml:space="preserve"> function)</w:t>
            </w:r>
            <w:r w:rsidRPr="00614829">
              <w:rPr>
                <w:rStyle w:val="FootnotereferencessuperscriptMisc"/>
                <w:sz w:val="20"/>
                <w:szCs w:val="28"/>
              </w:rPr>
              <w:t xml:space="preserve"> (iii)</w:t>
            </w:r>
            <w:r w:rsidRPr="001A0FDA">
              <w:rPr>
                <w:rFonts w:asciiTheme="minorHAnsi" w:hAnsiTheme="minorHAnsi" w:cstheme="minorHAnsi"/>
                <w:sz w:val="20"/>
                <w:szCs w:val="28"/>
              </w:rPr>
              <w:t xml:space="preserve"> 2022</w:t>
            </w:r>
            <w:r w:rsidR="0090560D">
              <w:rPr>
                <w:rFonts w:asciiTheme="minorHAnsi" w:hAnsiTheme="minorHAnsi" w:cstheme="minorHAnsi"/>
                <w:sz w:val="20"/>
                <w:szCs w:val="28"/>
              </w:rPr>
              <w:t xml:space="preserve"> </w:t>
            </w:r>
            <w:r w:rsidR="0090560D" w:rsidRPr="001A0FDA">
              <w:rPr>
                <w:rFonts w:asciiTheme="minorHAnsi" w:hAnsiTheme="minorHAnsi" w:cstheme="minorHAnsi"/>
                <w:sz w:val="20"/>
                <w:szCs w:val="28"/>
              </w:rPr>
              <w:t>($ thousand)</w:t>
            </w:r>
          </w:p>
        </w:tc>
        <w:tc>
          <w:tcPr>
            <w:tcW w:w="1225" w:type="dxa"/>
          </w:tcPr>
          <w:p w14:paraId="3755204C" w14:textId="6451E4F4" w:rsidR="006C0CF0" w:rsidRPr="001A0FDA" w:rsidRDefault="006C0CF0" w:rsidP="003E1312">
            <w:pPr>
              <w:pStyle w:val="TableColumnHeading"/>
              <w:jc w:val="right"/>
              <w:rPr>
                <w:rFonts w:asciiTheme="minorHAnsi" w:hAnsiTheme="minorHAnsi" w:cstheme="minorHAnsi"/>
                <w:sz w:val="20"/>
                <w:szCs w:val="28"/>
              </w:rPr>
            </w:pPr>
            <w:r w:rsidRPr="001A0FDA">
              <w:rPr>
                <w:rFonts w:asciiTheme="minorHAnsi" w:hAnsiTheme="minorHAnsi" w:cstheme="minorHAnsi"/>
                <w:sz w:val="20"/>
                <w:szCs w:val="28"/>
              </w:rPr>
              <w:t>Industry, Innovation, Medical Research and Small Business (Medical Research function)</w:t>
            </w:r>
            <w:r w:rsidRPr="00614829">
              <w:rPr>
                <w:rStyle w:val="FootnotereferencessuperscriptMisc"/>
                <w:sz w:val="20"/>
                <w:szCs w:val="28"/>
              </w:rPr>
              <w:t xml:space="preserve"> (iii)</w:t>
            </w:r>
            <w:r w:rsidRPr="001A0FDA">
              <w:rPr>
                <w:rFonts w:asciiTheme="minorHAnsi" w:hAnsiTheme="minorHAnsi" w:cstheme="minorHAnsi"/>
                <w:sz w:val="20"/>
                <w:szCs w:val="28"/>
              </w:rPr>
              <w:t xml:space="preserve"> 2023</w:t>
            </w:r>
            <w:r w:rsidR="0090560D">
              <w:rPr>
                <w:rFonts w:asciiTheme="minorHAnsi" w:hAnsiTheme="minorHAnsi" w:cstheme="minorHAnsi"/>
                <w:sz w:val="20"/>
                <w:szCs w:val="28"/>
              </w:rPr>
              <w:t xml:space="preserve"> </w:t>
            </w:r>
            <w:r w:rsidR="0090560D" w:rsidRPr="001A0FDA">
              <w:rPr>
                <w:rFonts w:asciiTheme="minorHAnsi" w:hAnsiTheme="minorHAnsi" w:cstheme="minorHAnsi"/>
                <w:sz w:val="20"/>
                <w:szCs w:val="28"/>
              </w:rPr>
              <w:t>($ thousand)</w:t>
            </w:r>
          </w:p>
        </w:tc>
        <w:tc>
          <w:tcPr>
            <w:tcW w:w="1276" w:type="dxa"/>
          </w:tcPr>
          <w:p w14:paraId="57C4DD99" w14:textId="2CDF4B8A" w:rsidR="006C0CF0" w:rsidRPr="001A0FDA" w:rsidRDefault="006C0CF0" w:rsidP="003E1312">
            <w:pPr>
              <w:pStyle w:val="TableColumnHeading"/>
              <w:jc w:val="right"/>
              <w:rPr>
                <w:rFonts w:asciiTheme="minorHAnsi" w:hAnsiTheme="minorHAnsi" w:cstheme="minorHAnsi"/>
                <w:sz w:val="20"/>
                <w:szCs w:val="28"/>
              </w:rPr>
            </w:pPr>
            <w:r w:rsidRPr="001A0FDA">
              <w:rPr>
                <w:rFonts w:asciiTheme="minorHAnsi" w:hAnsiTheme="minorHAnsi" w:cstheme="minorHAnsi"/>
                <w:sz w:val="20"/>
                <w:szCs w:val="28"/>
              </w:rPr>
              <w:t>Industry, Innovation, Medical Research and Small Business (Medical Research function)</w:t>
            </w:r>
            <w:r w:rsidRPr="00614829">
              <w:rPr>
                <w:rStyle w:val="FootnotereferencessuperscriptMisc"/>
                <w:sz w:val="20"/>
                <w:szCs w:val="28"/>
              </w:rPr>
              <w:t xml:space="preserve"> (iii)</w:t>
            </w:r>
            <w:r w:rsidRPr="001A0FDA">
              <w:rPr>
                <w:rFonts w:asciiTheme="minorHAnsi" w:hAnsiTheme="minorHAnsi" w:cstheme="minorHAnsi"/>
                <w:sz w:val="20"/>
                <w:szCs w:val="28"/>
              </w:rPr>
              <w:t xml:space="preserve"> 2022</w:t>
            </w:r>
            <w:r w:rsidR="0090560D">
              <w:rPr>
                <w:rFonts w:asciiTheme="minorHAnsi" w:hAnsiTheme="minorHAnsi" w:cstheme="minorHAnsi"/>
                <w:sz w:val="20"/>
                <w:szCs w:val="28"/>
              </w:rPr>
              <w:t xml:space="preserve"> </w:t>
            </w:r>
            <w:r w:rsidR="0090560D" w:rsidRPr="001A0FDA">
              <w:rPr>
                <w:rFonts w:asciiTheme="minorHAnsi" w:hAnsiTheme="minorHAnsi" w:cstheme="minorHAnsi"/>
                <w:sz w:val="20"/>
                <w:szCs w:val="28"/>
              </w:rPr>
              <w:t>($ thousand)</w:t>
            </w:r>
          </w:p>
        </w:tc>
        <w:tc>
          <w:tcPr>
            <w:tcW w:w="1236" w:type="dxa"/>
          </w:tcPr>
          <w:p w14:paraId="36761631" w14:textId="7411A773" w:rsidR="006C0CF0" w:rsidRPr="001A0FDA" w:rsidRDefault="006C0CF0" w:rsidP="003E1312">
            <w:pPr>
              <w:pStyle w:val="TableColumnHeading"/>
              <w:jc w:val="right"/>
              <w:rPr>
                <w:rFonts w:asciiTheme="minorHAnsi" w:hAnsiTheme="minorHAnsi" w:cstheme="minorHAnsi"/>
                <w:sz w:val="20"/>
                <w:szCs w:val="28"/>
              </w:rPr>
            </w:pPr>
            <w:r w:rsidRPr="001A0FDA">
              <w:rPr>
                <w:rFonts w:asciiTheme="minorHAnsi" w:hAnsiTheme="minorHAnsi" w:cstheme="minorHAnsi"/>
                <w:sz w:val="20"/>
                <w:szCs w:val="28"/>
              </w:rPr>
              <w:t>Transferred Out Outputs Subtotals</w:t>
            </w:r>
            <w:r>
              <w:rPr>
                <w:rFonts w:asciiTheme="minorHAnsi" w:hAnsiTheme="minorHAnsi" w:cstheme="minorHAnsi"/>
                <w:sz w:val="20"/>
                <w:szCs w:val="28"/>
              </w:rPr>
              <w:t xml:space="preserve"> </w:t>
            </w:r>
            <w:r w:rsidRPr="001A0FDA">
              <w:rPr>
                <w:rFonts w:asciiTheme="minorHAnsi" w:hAnsiTheme="minorHAnsi" w:cstheme="minorHAnsi"/>
                <w:sz w:val="20"/>
                <w:szCs w:val="28"/>
              </w:rPr>
              <w:t>2023</w:t>
            </w:r>
            <w:r w:rsidR="0090560D">
              <w:rPr>
                <w:rFonts w:asciiTheme="minorHAnsi" w:hAnsiTheme="minorHAnsi" w:cstheme="minorHAnsi"/>
                <w:sz w:val="20"/>
                <w:szCs w:val="28"/>
              </w:rPr>
              <w:t xml:space="preserve"> </w:t>
            </w:r>
            <w:r w:rsidR="0090560D" w:rsidRPr="001A0FDA">
              <w:rPr>
                <w:rFonts w:asciiTheme="minorHAnsi" w:hAnsiTheme="minorHAnsi" w:cstheme="minorHAnsi"/>
                <w:sz w:val="20"/>
                <w:szCs w:val="28"/>
              </w:rPr>
              <w:t>($ thousand)</w:t>
            </w:r>
          </w:p>
        </w:tc>
        <w:tc>
          <w:tcPr>
            <w:tcW w:w="1366" w:type="dxa"/>
          </w:tcPr>
          <w:p w14:paraId="6B3E26F2" w14:textId="59DD08EC" w:rsidR="006C0CF0" w:rsidRPr="001A0FDA" w:rsidRDefault="006C0CF0" w:rsidP="003E1312">
            <w:pPr>
              <w:pStyle w:val="TableColumnHeading"/>
              <w:jc w:val="right"/>
              <w:rPr>
                <w:rFonts w:asciiTheme="minorHAnsi" w:hAnsiTheme="minorHAnsi" w:cstheme="minorHAnsi"/>
                <w:sz w:val="20"/>
                <w:szCs w:val="28"/>
              </w:rPr>
            </w:pPr>
            <w:r w:rsidRPr="001A0FDA">
              <w:rPr>
                <w:rFonts w:asciiTheme="minorHAnsi" w:hAnsiTheme="minorHAnsi" w:cstheme="minorHAnsi"/>
                <w:sz w:val="20"/>
                <w:szCs w:val="28"/>
              </w:rPr>
              <w:t>Transferred Out Outputs Subtotals</w:t>
            </w:r>
            <w:r>
              <w:rPr>
                <w:rFonts w:asciiTheme="minorHAnsi" w:hAnsiTheme="minorHAnsi" w:cstheme="minorHAnsi"/>
                <w:sz w:val="20"/>
                <w:szCs w:val="28"/>
              </w:rPr>
              <w:t xml:space="preserve"> </w:t>
            </w:r>
            <w:r w:rsidRPr="001A0FDA">
              <w:rPr>
                <w:rFonts w:asciiTheme="minorHAnsi" w:hAnsiTheme="minorHAnsi" w:cstheme="minorHAnsi"/>
                <w:sz w:val="20"/>
                <w:szCs w:val="28"/>
              </w:rPr>
              <w:t>2022</w:t>
            </w:r>
            <w:r w:rsidR="0090560D">
              <w:rPr>
                <w:rFonts w:asciiTheme="minorHAnsi" w:hAnsiTheme="minorHAnsi" w:cstheme="minorHAnsi"/>
                <w:sz w:val="20"/>
                <w:szCs w:val="28"/>
              </w:rPr>
              <w:t xml:space="preserve"> </w:t>
            </w:r>
            <w:r w:rsidR="0090560D" w:rsidRPr="001A0FDA">
              <w:rPr>
                <w:rFonts w:asciiTheme="minorHAnsi" w:hAnsiTheme="minorHAnsi" w:cstheme="minorHAnsi"/>
                <w:sz w:val="20"/>
                <w:szCs w:val="28"/>
              </w:rPr>
              <w:t>($ thousand)</w:t>
            </w:r>
          </w:p>
        </w:tc>
        <w:tc>
          <w:tcPr>
            <w:tcW w:w="1276" w:type="dxa"/>
          </w:tcPr>
          <w:p w14:paraId="4A690740" w14:textId="38857CCD" w:rsidR="006C0CF0" w:rsidRPr="001A0FDA" w:rsidRDefault="006C0CF0" w:rsidP="003E1312">
            <w:pPr>
              <w:pStyle w:val="TableColumnHeading"/>
              <w:jc w:val="right"/>
              <w:rPr>
                <w:rFonts w:asciiTheme="minorHAnsi" w:hAnsiTheme="minorHAnsi" w:cstheme="minorHAnsi"/>
                <w:sz w:val="20"/>
                <w:szCs w:val="28"/>
              </w:rPr>
            </w:pPr>
            <w:r w:rsidRPr="001A0FDA">
              <w:rPr>
                <w:rFonts w:asciiTheme="minorHAnsi" w:hAnsiTheme="minorHAnsi" w:cstheme="minorHAnsi"/>
                <w:sz w:val="20"/>
                <w:szCs w:val="28"/>
              </w:rPr>
              <w:t>Depart</w:t>
            </w:r>
            <w:r w:rsidR="0090560D">
              <w:rPr>
                <w:rFonts w:asciiTheme="minorHAnsi" w:hAnsiTheme="minorHAnsi" w:cstheme="minorHAnsi"/>
                <w:sz w:val="20"/>
                <w:szCs w:val="28"/>
              </w:rPr>
              <w:t>-</w:t>
            </w:r>
            <w:proofErr w:type="spellStart"/>
            <w:r w:rsidRPr="001A0FDA">
              <w:rPr>
                <w:rFonts w:asciiTheme="minorHAnsi" w:hAnsiTheme="minorHAnsi" w:cstheme="minorHAnsi"/>
                <w:sz w:val="20"/>
                <w:szCs w:val="28"/>
              </w:rPr>
              <w:t>ment</w:t>
            </w:r>
            <w:proofErr w:type="spellEnd"/>
            <w:r w:rsidRPr="001A0FDA">
              <w:rPr>
                <w:rFonts w:asciiTheme="minorHAnsi" w:hAnsiTheme="minorHAnsi" w:cstheme="minorHAnsi"/>
                <w:sz w:val="20"/>
                <w:szCs w:val="28"/>
              </w:rPr>
              <w:t xml:space="preserve"> Consoli</w:t>
            </w:r>
            <w:r w:rsidR="0090560D">
              <w:rPr>
                <w:rFonts w:asciiTheme="minorHAnsi" w:hAnsiTheme="minorHAnsi" w:cstheme="minorHAnsi"/>
                <w:sz w:val="20"/>
                <w:szCs w:val="28"/>
              </w:rPr>
              <w:t>-</w:t>
            </w:r>
            <w:r w:rsidRPr="001A0FDA">
              <w:rPr>
                <w:rFonts w:asciiTheme="minorHAnsi" w:hAnsiTheme="minorHAnsi" w:cstheme="minorHAnsi"/>
                <w:sz w:val="20"/>
                <w:szCs w:val="28"/>
              </w:rPr>
              <w:t>dated Total</w:t>
            </w:r>
            <w:r>
              <w:rPr>
                <w:rFonts w:asciiTheme="minorHAnsi" w:hAnsiTheme="minorHAnsi" w:cstheme="minorHAnsi"/>
                <w:sz w:val="20"/>
                <w:szCs w:val="28"/>
              </w:rPr>
              <w:t xml:space="preserve"> </w:t>
            </w:r>
            <w:r w:rsidRPr="001A0FDA">
              <w:rPr>
                <w:rFonts w:asciiTheme="minorHAnsi" w:hAnsiTheme="minorHAnsi" w:cstheme="minorHAnsi"/>
                <w:sz w:val="20"/>
                <w:szCs w:val="28"/>
              </w:rPr>
              <w:t>2023</w:t>
            </w:r>
            <w:r w:rsidR="0090560D">
              <w:rPr>
                <w:rFonts w:asciiTheme="minorHAnsi" w:hAnsiTheme="minorHAnsi" w:cstheme="minorHAnsi"/>
                <w:sz w:val="20"/>
                <w:szCs w:val="28"/>
              </w:rPr>
              <w:t xml:space="preserve"> </w:t>
            </w:r>
            <w:r w:rsidR="0090560D" w:rsidRPr="001A0FDA">
              <w:rPr>
                <w:rFonts w:asciiTheme="minorHAnsi" w:hAnsiTheme="minorHAnsi" w:cstheme="minorHAnsi"/>
                <w:sz w:val="20"/>
                <w:szCs w:val="28"/>
              </w:rPr>
              <w:t>($ thousand)</w:t>
            </w:r>
          </w:p>
        </w:tc>
        <w:tc>
          <w:tcPr>
            <w:tcW w:w="1323" w:type="dxa"/>
          </w:tcPr>
          <w:p w14:paraId="3A480D79" w14:textId="7691490C" w:rsidR="006C0CF0" w:rsidRPr="001A0FDA" w:rsidRDefault="006C0CF0" w:rsidP="003E1312">
            <w:pPr>
              <w:pStyle w:val="TableColumnHeading"/>
              <w:jc w:val="right"/>
              <w:rPr>
                <w:rFonts w:asciiTheme="minorHAnsi" w:hAnsiTheme="minorHAnsi" w:cstheme="minorHAnsi"/>
                <w:sz w:val="20"/>
                <w:szCs w:val="28"/>
              </w:rPr>
            </w:pPr>
            <w:r w:rsidRPr="001A0FDA">
              <w:rPr>
                <w:rFonts w:asciiTheme="minorHAnsi" w:hAnsiTheme="minorHAnsi" w:cstheme="minorHAnsi"/>
                <w:sz w:val="20"/>
                <w:szCs w:val="28"/>
              </w:rPr>
              <w:t>Department Consoli</w:t>
            </w:r>
            <w:r w:rsidR="0090560D">
              <w:rPr>
                <w:rFonts w:asciiTheme="minorHAnsi" w:hAnsiTheme="minorHAnsi" w:cstheme="minorHAnsi"/>
                <w:sz w:val="20"/>
                <w:szCs w:val="28"/>
              </w:rPr>
              <w:t>-</w:t>
            </w:r>
            <w:r w:rsidRPr="001A0FDA">
              <w:rPr>
                <w:rFonts w:asciiTheme="minorHAnsi" w:hAnsiTheme="minorHAnsi" w:cstheme="minorHAnsi"/>
                <w:sz w:val="20"/>
                <w:szCs w:val="28"/>
              </w:rPr>
              <w:t>dated Total</w:t>
            </w:r>
            <w:r>
              <w:rPr>
                <w:rFonts w:asciiTheme="minorHAnsi" w:hAnsiTheme="minorHAnsi" w:cstheme="minorHAnsi"/>
                <w:sz w:val="20"/>
                <w:szCs w:val="28"/>
              </w:rPr>
              <w:t xml:space="preserve"> </w:t>
            </w:r>
            <w:r w:rsidRPr="001A0FDA">
              <w:rPr>
                <w:rFonts w:asciiTheme="minorHAnsi" w:hAnsiTheme="minorHAnsi" w:cstheme="minorHAnsi"/>
                <w:sz w:val="20"/>
                <w:szCs w:val="28"/>
              </w:rPr>
              <w:t>2022</w:t>
            </w:r>
            <w:r w:rsidR="0090560D">
              <w:rPr>
                <w:rFonts w:asciiTheme="minorHAnsi" w:hAnsiTheme="minorHAnsi" w:cstheme="minorHAnsi"/>
                <w:sz w:val="20"/>
                <w:szCs w:val="28"/>
              </w:rPr>
              <w:t xml:space="preserve"> </w:t>
            </w:r>
            <w:r w:rsidR="0090560D" w:rsidRPr="001A0FDA">
              <w:rPr>
                <w:rFonts w:asciiTheme="minorHAnsi" w:hAnsiTheme="minorHAnsi" w:cstheme="minorHAnsi"/>
                <w:sz w:val="20"/>
                <w:szCs w:val="28"/>
              </w:rPr>
              <w:t>($ thousand)</w:t>
            </w:r>
          </w:p>
        </w:tc>
      </w:tr>
      <w:tr w:rsidR="006C0CF0" w:rsidRPr="0090560D" w14:paraId="270024EF" w14:textId="77777777" w:rsidTr="00D041F8">
        <w:trPr>
          <w:trHeight w:val="113"/>
        </w:trPr>
        <w:tc>
          <w:tcPr>
            <w:tcW w:w="2830" w:type="dxa"/>
          </w:tcPr>
          <w:p w14:paraId="356F6C91" w14:textId="77777777" w:rsidR="006C0CF0" w:rsidRPr="0090560D" w:rsidRDefault="006C0CF0" w:rsidP="0090560D">
            <w:pPr>
              <w:pStyle w:val="TableHeading"/>
            </w:pPr>
            <w:r w:rsidRPr="0090560D">
              <w:t>Administered revenue and income from transactions</w:t>
            </w:r>
          </w:p>
        </w:tc>
        <w:tc>
          <w:tcPr>
            <w:tcW w:w="1134" w:type="dxa"/>
          </w:tcPr>
          <w:p w14:paraId="6075225B" w14:textId="77777777" w:rsidR="006C0CF0" w:rsidRPr="0090560D" w:rsidRDefault="006C0CF0" w:rsidP="003E1312">
            <w:pPr>
              <w:pStyle w:val="TableHeading"/>
              <w:jc w:val="right"/>
            </w:pPr>
          </w:p>
        </w:tc>
        <w:tc>
          <w:tcPr>
            <w:tcW w:w="1134" w:type="dxa"/>
          </w:tcPr>
          <w:p w14:paraId="08B3DB9F" w14:textId="77777777" w:rsidR="006C0CF0" w:rsidRPr="0090560D" w:rsidRDefault="006C0CF0" w:rsidP="003E1312">
            <w:pPr>
              <w:pStyle w:val="TableHeading"/>
              <w:jc w:val="right"/>
            </w:pPr>
          </w:p>
        </w:tc>
        <w:tc>
          <w:tcPr>
            <w:tcW w:w="1089" w:type="dxa"/>
          </w:tcPr>
          <w:p w14:paraId="76FD1F13" w14:textId="77777777" w:rsidR="006C0CF0" w:rsidRPr="0090560D" w:rsidRDefault="006C0CF0" w:rsidP="003E1312">
            <w:pPr>
              <w:pStyle w:val="TableHeading"/>
              <w:jc w:val="right"/>
            </w:pPr>
          </w:p>
        </w:tc>
        <w:tc>
          <w:tcPr>
            <w:tcW w:w="1179" w:type="dxa"/>
          </w:tcPr>
          <w:p w14:paraId="679E2492" w14:textId="77777777" w:rsidR="006C0CF0" w:rsidRPr="0090560D" w:rsidRDefault="006C0CF0" w:rsidP="003E1312">
            <w:pPr>
              <w:pStyle w:val="TableHeading"/>
              <w:jc w:val="right"/>
            </w:pPr>
          </w:p>
        </w:tc>
        <w:tc>
          <w:tcPr>
            <w:tcW w:w="1225" w:type="dxa"/>
          </w:tcPr>
          <w:p w14:paraId="38EDDADE" w14:textId="77777777" w:rsidR="006C0CF0" w:rsidRPr="0090560D" w:rsidRDefault="006C0CF0" w:rsidP="003E1312">
            <w:pPr>
              <w:pStyle w:val="TableHeading"/>
              <w:jc w:val="right"/>
            </w:pPr>
          </w:p>
        </w:tc>
        <w:tc>
          <w:tcPr>
            <w:tcW w:w="1276" w:type="dxa"/>
          </w:tcPr>
          <w:p w14:paraId="17F24AB9" w14:textId="77777777" w:rsidR="006C0CF0" w:rsidRPr="0090560D" w:rsidRDefault="006C0CF0" w:rsidP="003E1312">
            <w:pPr>
              <w:pStyle w:val="TableHeading"/>
              <w:jc w:val="right"/>
            </w:pPr>
          </w:p>
        </w:tc>
        <w:tc>
          <w:tcPr>
            <w:tcW w:w="1236" w:type="dxa"/>
          </w:tcPr>
          <w:p w14:paraId="4529470A" w14:textId="77777777" w:rsidR="006C0CF0" w:rsidRPr="0090560D" w:rsidRDefault="006C0CF0" w:rsidP="003E1312">
            <w:pPr>
              <w:pStyle w:val="TableHeading"/>
              <w:jc w:val="right"/>
            </w:pPr>
          </w:p>
        </w:tc>
        <w:tc>
          <w:tcPr>
            <w:tcW w:w="1366" w:type="dxa"/>
          </w:tcPr>
          <w:p w14:paraId="5B972E70" w14:textId="77777777" w:rsidR="006C0CF0" w:rsidRPr="0090560D" w:rsidRDefault="006C0CF0" w:rsidP="003E1312">
            <w:pPr>
              <w:pStyle w:val="TableHeading"/>
              <w:jc w:val="right"/>
            </w:pPr>
          </w:p>
        </w:tc>
        <w:tc>
          <w:tcPr>
            <w:tcW w:w="1276" w:type="dxa"/>
          </w:tcPr>
          <w:p w14:paraId="51DD566E" w14:textId="77777777" w:rsidR="006C0CF0" w:rsidRPr="0090560D" w:rsidRDefault="006C0CF0" w:rsidP="003E1312">
            <w:pPr>
              <w:pStyle w:val="TableHeading"/>
              <w:jc w:val="right"/>
            </w:pPr>
          </w:p>
        </w:tc>
        <w:tc>
          <w:tcPr>
            <w:tcW w:w="1323" w:type="dxa"/>
          </w:tcPr>
          <w:p w14:paraId="33498856" w14:textId="77777777" w:rsidR="006C0CF0" w:rsidRPr="0090560D" w:rsidRDefault="006C0CF0" w:rsidP="003E1312">
            <w:pPr>
              <w:pStyle w:val="TableHeading"/>
              <w:jc w:val="right"/>
            </w:pPr>
          </w:p>
        </w:tc>
      </w:tr>
      <w:tr w:rsidR="006C0CF0" w:rsidRPr="001A0FDA" w14:paraId="6F69C2F9" w14:textId="77777777" w:rsidTr="00D041F8">
        <w:trPr>
          <w:trHeight w:val="113"/>
        </w:trPr>
        <w:tc>
          <w:tcPr>
            <w:tcW w:w="2830" w:type="dxa"/>
          </w:tcPr>
          <w:p w14:paraId="4B95A88F" w14:textId="77777777" w:rsidR="006C0CF0" w:rsidRPr="001A0FDA" w:rsidRDefault="006C0CF0" w:rsidP="00AB7848">
            <w:pPr>
              <w:pStyle w:val="TableCopy"/>
              <w:rPr>
                <w:rFonts w:asciiTheme="minorHAnsi" w:hAnsiTheme="minorHAnsi" w:cstheme="minorHAnsi"/>
                <w:szCs w:val="24"/>
              </w:rPr>
            </w:pPr>
            <w:r w:rsidRPr="001A0FDA">
              <w:rPr>
                <w:rFonts w:asciiTheme="minorHAnsi" w:hAnsiTheme="minorHAnsi" w:cstheme="minorHAnsi"/>
                <w:szCs w:val="24"/>
              </w:rPr>
              <w:t xml:space="preserve">Sale of goods and services </w:t>
            </w:r>
          </w:p>
        </w:tc>
        <w:tc>
          <w:tcPr>
            <w:tcW w:w="1134" w:type="dxa"/>
          </w:tcPr>
          <w:p w14:paraId="52FF0309" w14:textId="77777777" w:rsidR="006C0CF0" w:rsidRPr="001A0FDA" w:rsidRDefault="006C0CF0" w:rsidP="003E1312">
            <w:pPr>
              <w:pStyle w:val="TableCopy"/>
              <w:jc w:val="right"/>
              <w:rPr>
                <w:rFonts w:asciiTheme="minorHAnsi" w:hAnsiTheme="minorHAnsi" w:cstheme="minorHAnsi"/>
                <w:szCs w:val="24"/>
              </w:rPr>
            </w:pPr>
            <w:r w:rsidRPr="001A0FDA">
              <w:rPr>
                <w:rFonts w:asciiTheme="minorHAnsi" w:hAnsiTheme="minorHAnsi" w:cstheme="minorHAnsi"/>
                <w:szCs w:val="24"/>
              </w:rPr>
              <w:t>(146)</w:t>
            </w:r>
          </w:p>
        </w:tc>
        <w:tc>
          <w:tcPr>
            <w:tcW w:w="1134" w:type="dxa"/>
          </w:tcPr>
          <w:p w14:paraId="1C244EFB" w14:textId="119B7FE4" w:rsidR="006C0CF0" w:rsidRPr="001A0FDA" w:rsidRDefault="006C0CF0" w:rsidP="003E1312">
            <w:pPr>
              <w:pStyle w:val="TableCopy"/>
              <w:jc w:val="right"/>
              <w:rPr>
                <w:rFonts w:asciiTheme="minorHAnsi" w:hAnsiTheme="minorHAnsi" w:cstheme="minorHAnsi"/>
                <w:szCs w:val="24"/>
              </w:rPr>
            </w:pPr>
            <w:r w:rsidRPr="001A0FDA">
              <w:rPr>
                <w:rFonts w:asciiTheme="minorHAnsi" w:hAnsiTheme="minorHAnsi" w:cstheme="minorHAnsi"/>
                <w:szCs w:val="24"/>
              </w:rPr>
              <w:t>–</w:t>
            </w:r>
          </w:p>
        </w:tc>
        <w:tc>
          <w:tcPr>
            <w:tcW w:w="1089" w:type="dxa"/>
          </w:tcPr>
          <w:p w14:paraId="37F6BD70" w14:textId="54BE3309" w:rsidR="006C0CF0" w:rsidRPr="001A0FDA" w:rsidRDefault="006C0CF0" w:rsidP="003E1312">
            <w:pPr>
              <w:pStyle w:val="TableCopy"/>
              <w:jc w:val="right"/>
              <w:rPr>
                <w:rFonts w:asciiTheme="minorHAnsi" w:hAnsiTheme="minorHAnsi" w:cstheme="minorHAnsi"/>
                <w:szCs w:val="24"/>
              </w:rPr>
            </w:pPr>
            <w:r w:rsidRPr="001A0FDA">
              <w:rPr>
                <w:rFonts w:asciiTheme="minorHAnsi" w:hAnsiTheme="minorHAnsi" w:cstheme="minorHAnsi"/>
                <w:szCs w:val="24"/>
              </w:rPr>
              <w:t>–</w:t>
            </w:r>
          </w:p>
        </w:tc>
        <w:tc>
          <w:tcPr>
            <w:tcW w:w="1179" w:type="dxa"/>
          </w:tcPr>
          <w:p w14:paraId="0FCE4BC1" w14:textId="0F74B711" w:rsidR="006C0CF0" w:rsidRPr="001A0FDA" w:rsidRDefault="006C0CF0" w:rsidP="003E1312">
            <w:pPr>
              <w:pStyle w:val="TableCopy"/>
              <w:jc w:val="right"/>
              <w:rPr>
                <w:rFonts w:asciiTheme="minorHAnsi" w:hAnsiTheme="minorHAnsi" w:cstheme="minorHAnsi"/>
                <w:szCs w:val="24"/>
              </w:rPr>
            </w:pPr>
            <w:r w:rsidRPr="001A0FDA">
              <w:rPr>
                <w:rFonts w:asciiTheme="minorHAnsi" w:hAnsiTheme="minorHAnsi" w:cstheme="minorHAnsi"/>
                <w:szCs w:val="24"/>
              </w:rPr>
              <w:t>–</w:t>
            </w:r>
          </w:p>
        </w:tc>
        <w:tc>
          <w:tcPr>
            <w:tcW w:w="1225" w:type="dxa"/>
          </w:tcPr>
          <w:p w14:paraId="783CEB53" w14:textId="0C354E69" w:rsidR="006C0CF0" w:rsidRPr="001A0FDA" w:rsidRDefault="006C0CF0" w:rsidP="003E1312">
            <w:pPr>
              <w:pStyle w:val="TableCopy"/>
              <w:jc w:val="right"/>
              <w:rPr>
                <w:rFonts w:asciiTheme="minorHAnsi" w:hAnsiTheme="minorHAnsi" w:cstheme="minorHAnsi"/>
                <w:szCs w:val="24"/>
              </w:rPr>
            </w:pPr>
            <w:r w:rsidRPr="001A0FDA">
              <w:rPr>
                <w:rFonts w:asciiTheme="minorHAnsi" w:hAnsiTheme="minorHAnsi" w:cstheme="minorHAnsi"/>
                <w:szCs w:val="24"/>
              </w:rPr>
              <w:t>–</w:t>
            </w:r>
          </w:p>
        </w:tc>
        <w:tc>
          <w:tcPr>
            <w:tcW w:w="1276" w:type="dxa"/>
          </w:tcPr>
          <w:p w14:paraId="541CC28A" w14:textId="4E2704A9" w:rsidR="006C0CF0" w:rsidRPr="001A0FDA" w:rsidRDefault="006C0CF0" w:rsidP="003E1312">
            <w:pPr>
              <w:pStyle w:val="TableCopy"/>
              <w:jc w:val="right"/>
              <w:rPr>
                <w:rFonts w:asciiTheme="minorHAnsi" w:hAnsiTheme="minorHAnsi" w:cstheme="minorHAnsi"/>
                <w:szCs w:val="24"/>
              </w:rPr>
            </w:pPr>
            <w:r w:rsidRPr="001A0FDA">
              <w:rPr>
                <w:rFonts w:asciiTheme="minorHAnsi" w:hAnsiTheme="minorHAnsi" w:cstheme="minorHAnsi"/>
                <w:szCs w:val="24"/>
              </w:rPr>
              <w:t>–</w:t>
            </w:r>
          </w:p>
        </w:tc>
        <w:tc>
          <w:tcPr>
            <w:tcW w:w="1236" w:type="dxa"/>
          </w:tcPr>
          <w:p w14:paraId="6E601DD8" w14:textId="49EA99BE" w:rsidR="006C0CF0" w:rsidRPr="001A0FDA" w:rsidRDefault="006C0CF0" w:rsidP="003E1312">
            <w:pPr>
              <w:pStyle w:val="TableCopy"/>
              <w:jc w:val="right"/>
              <w:rPr>
                <w:rFonts w:asciiTheme="minorHAnsi" w:hAnsiTheme="minorHAnsi" w:cstheme="minorHAnsi"/>
                <w:szCs w:val="24"/>
              </w:rPr>
            </w:pPr>
            <w:r w:rsidRPr="001A0FDA">
              <w:rPr>
                <w:rFonts w:asciiTheme="minorHAnsi" w:hAnsiTheme="minorHAnsi" w:cstheme="minorHAnsi"/>
                <w:szCs w:val="24"/>
              </w:rPr>
              <w:t>25,856</w:t>
            </w:r>
          </w:p>
        </w:tc>
        <w:tc>
          <w:tcPr>
            <w:tcW w:w="1366" w:type="dxa"/>
          </w:tcPr>
          <w:p w14:paraId="7865CF04" w14:textId="4818D967" w:rsidR="006C0CF0" w:rsidRPr="001A0FDA" w:rsidRDefault="006C0CF0" w:rsidP="003E1312">
            <w:pPr>
              <w:pStyle w:val="TableCopy"/>
              <w:jc w:val="right"/>
              <w:rPr>
                <w:rFonts w:asciiTheme="minorHAnsi" w:hAnsiTheme="minorHAnsi" w:cstheme="minorHAnsi"/>
                <w:szCs w:val="24"/>
              </w:rPr>
            </w:pPr>
            <w:r w:rsidRPr="001A0FDA">
              <w:rPr>
                <w:rFonts w:asciiTheme="minorHAnsi" w:hAnsiTheme="minorHAnsi" w:cstheme="minorHAnsi"/>
                <w:szCs w:val="24"/>
              </w:rPr>
              <w:t>93,842</w:t>
            </w:r>
          </w:p>
        </w:tc>
        <w:tc>
          <w:tcPr>
            <w:tcW w:w="1276" w:type="dxa"/>
          </w:tcPr>
          <w:p w14:paraId="74C3CDDA" w14:textId="7C5913EA" w:rsidR="006C0CF0" w:rsidRPr="001A0FDA" w:rsidRDefault="006C0CF0" w:rsidP="003E1312">
            <w:pPr>
              <w:pStyle w:val="TableCopy"/>
              <w:jc w:val="right"/>
              <w:rPr>
                <w:rFonts w:asciiTheme="minorHAnsi" w:hAnsiTheme="minorHAnsi" w:cstheme="minorHAnsi"/>
                <w:szCs w:val="24"/>
              </w:rPr>
            </w:pPr>
            <w:r w:rsidRPr="001A0FDA">
              <w:rPr>
                <w:rFonts w:asciiTheme="minorHAnsi" w:hAnsiTheme="minorHAnsi" w:cstheme="minorHAnsi"/>
                <w:szCs w:val="24"/>
              </w:rPr>
              <w:t>37,049</w:t>
            </w:r>
          </w:p>
        </w:tc>
        <w:tc>
          <w:tcPr>
            <w:tcW w:w="1323" w:type="dxa"/>
          </w:tcPr>
          <w:p w14:paraId="16BD18B6" w14:textId="005DED80" w:rsidR="006C0CF0" w:rsidRPr="001A0FDA" w:rsidRDefault="006C0CF0" w:rsidP="003E1312">
            <w:pPr>
              <w:pStyle w:val="TableCopy"/>
              <w:jc w:val="right"/>
              <w:rPr>
                <w:rFonts w:asciiTheme="minorHAnsi" w:hAnsiTheme="minorHAnsi" w:cstheme="minorHAnsi"/>
                <w:szCs w:val="24"/>
              </w:rPr>
            </w:pPr>
            <w:r w:rsidRPr="001A0FDA">
              <w:rPr>
                <w:rFonts w:asciiTheme="minorHAnsi" w:hAnsiTheme="minorHAnsi" w:cstheme="minorHAnsi"/>
                <w:szCs w:val="24"/>
              </w:rPr>
              <w:t>106,723</w:t>
            </w:r>
          </w:p>
        </w:tc>
      </w:tr>
      <w:tr w:rsidR="006C0CF0" w:rsidRPr="001A0FDA" w14:paraId="07509F34" w14:textId="77777777" w:rsidTr="00D041F8">
        <w:trPr>
          <w:trHeight w:val="113"/>
        </w:trPr>
        <w:tc>
          <w:tcPr>
            <w:tcW w:w="2830" w:type="dxa"/>
          </w:tcPr>
          <w:p w14:paraId="4769C7E3" w14:textId="77777777" w:rsidR="006C0CF0" w:rsidRPr="001A0FDA" w:rsidRDefault="006C0CF0" w:rsidP="00AB7848">
            <w:pPr>
              <w:pStyle w:val="TableCopy"/>
              <w:rPr>
                <w:rFonts w:asciiTheme="minorHAnsi" w:hAnsiTheme="minorHAnsi" w:cstheme="minorHAnsi"/>
                <w:szCs w:val="24"/>
              </w:rPr>
            </w:pPr>
            <w:r w:rsidRPr="001A0FDA">
              <w:rPr>
                <w:rFonts w:asciiTheme="minorHAnsi" w:hAnsiTheme="minorHAnsi" w:cstheme="minorHAnsi"/>
                <w:szCs w:val="24"/>
              </w:rPr>
              <w:t>Appropriations – payments made on behalf of the State</w:t>
            </w:r>
          </w:p>
        </w:tc>
        <w:tc>
          <w:tcPr>
            <w:tcW w:w="1134" w:type="dxa"/>
          </w:tcPr>
          <w:p w14:paraId="5D8D766C" w14:textId="24D126E9" w:rsidR="006C0CF0" w:rsidRPr="001A0FDA" w:rsidRDefault="006C0CF0" w:rsidP="003E1312">
            <w:pPr>
              <w:pStyle w:val="TableCopy"/>
              <w:jc w:val="right"/>
              <w:rPr>
                <w:rFonts w:asciiTheme="minorHAnsi" w:hAnsiTheme="minorHAnsi" w:cstheme="minorHAnsi"/>
                <w:szCs w:val="24"/>
              </w:rPr>
            </w:pPr>
            <w:r w:rsidRPr="001A0FDA">
              <w:rPr>
                <w:rFonts w:asciiTheme="minorHAnsi" w:hAnsiTheme="minorHAnsi" w:cstheme="minorHAnsi"/>
                <w:szCs w:val="24"/>
              </w:rPr>
              <w:t>–</w:t>
            </w:r>
          </w:p>
        </w:tc>
        <w:tc>
          <w:tcPr>
            <w:tcW w:w="1134" w:type="dxa"/>
          </w:tcPr>
          <w:p w14:paraId="1704F40A" w14:textId="3BF94630" w:rsidR="006C0CF0" w:rsidRPr="001A0FDA" w:rsidRDefault="006C0CF0" w:rsidP="003E1312">
            <w:pPr>
              <w:pStyle w:val="TableCopy"/>
              <w:jc w:val="right"/>
              <w:rPr>
                <w:rFonts w:asciiTheme="minorHAnsi" w:hAnsiTheme="minorHAnsi" w:cstheme="minorHAnsi"/>
                <w:szCs w:val="24"/>
              </w:rPr>
            </w:pPr>
            <w:r w:rsidRPr="001A0FDA">
              <w:rPr>
                <w:rFonts w:asciiTheme="minorHAnsi" w:hAnsiTheme="minorHAnsi" w:cstheme="minorHAnsi"/>
                <w:szCs w:val="24"/>
              </w:rPr>
              <w:t>–</w:t>
            </w:r>
          </w:p>
        </w:tc>
        <w:tc>
          <w:tcPr>
            <w:tcW w:w="1089" w:type="dxa"/>
          </w:tcPr>
          <w:p w14:paraId="3412DF34" w14:textId="435EF65D" w:rsidR="006C0CF0" w:rsidRPr="001A0FDA" w:rsidRDefault="006C0CF0" w:rsidP="003E1312">
            <w:pPr>
              <w:pStyle w:val="TableCopy"/>
              <w:jc w:val="right"/>
              <w:rPr>
                <w:rFonts w:asciiTheme="minorHAnsi" w:hAnsiTheme="minorHAnsi" w:cstheme="minorHAnsi"/>
                <w:szCs w:val="24"/>
              </w:rPr>
            </w:pPr>
            <w:r w:rsidRPr="001A0FDA">
              <w:rPr>
                <w:rFonts w:asciiTheme="minorHAnsi" w:hAnsiTheme="minorHAnsi" w:cstheme="minorHAnsi"/>
                <w:szCs w:val="24"/>
              </w:rPr>
              <w:t>–</w:t>
            </w:r>
          </w:p>
        </w:tc>
        <w:tc>
          <w:tcPr>
            <w:tcW w:w="1179" w:type="dxa"/>
          </w:tcPr>
          <w:p w14:paraId="530990E0" w14:textId="78253F54" w:rsidR="006C0CF0" w:rsidRPr="001A0FDA" w:rsidRDefault="006C0CF0" w:rsidP="003E1312">
            <w:pPr>
              <w:pStyle w:val="TableCopy"/>
              <w:jc w:val="right"/>
              <w:rPr>
                <w:rFonts w:asciiTheme="minorHAnsi" w:hAnsiTheme="minorHAnsi" w:cstheme="minorHAnsi"/>
                <w:szCs w:val="24"/>
              </w:rPr>
            </w:pPr>
            <w:r w:rsidRPr="001A0FDA">
              <w:rPr>
                <w:rFonts w:asciiTheme="minorHAnsi" w:hAnsiTheme="minorHAnsi" w:cstheme="minorHAnsi"/>
                <w:szCs w:val="24"/>
              </w:rPr>
              <w:t>–</w:t>
            </w:r>
          </w:p>
        </w:tc>
        <w:tc>
          <w:tcPr>
            <w:tcW w:w="1225" w:type="dxa"/>
          </w:tcPr>
          <w:p w14:paraId="3107CA0D" w14:textId="15EC546C" w:rsidR="006C0CF0" w:rsidRPr="001A0FDA" w:rsidRDefault="006C0CF0" w:rsidP="003E1312">
            <w:pPr>
              <w:pStyle w:val="TableCopy"/>
              <w:jc w:val="right"/>
              <w:rPr>
                <w:rFonts w:asciiTheme="minorHAnsi" w:hAnsiTheme="minorHAnsi" w:cstheme="minorHAnsi"/>
                <w:szCs w:val="24"/>
              </w:rPr>
            </w:pPr>
            <w:r w:rsidRPr="001A0FDA">
              <w:rPr>
                <w:rFonts w:asciiTheme="minorHAnsi" w:hAnsiTheme="minorHAnsi" w:cstheme="minorHAnsi"/>
                <w:szCs w:val="24"/>
              </w:rPr>
              <w:t>–</w:t>
            </w:r>
          </w:p>
        </w:tc>
        <w:tc>
          <w:tcPr>
            <w:tcW w:w="1276" w:type="dxa"/>
          </w:tcPr>
          <w:p w14:paraId="12DF250D" w14:textId="1A094E33" w:rsidR="006C0CF0" w:rsidRPr="001A0FDA" w:rsidRDefault="006C0CF0" w:rsidP="003E1312">
            <w:pPr>
              <w:pStyle w:val="TableCopy"/>
              <w:jc w:val="right"/>
              <w:rPr>
                <w:rFonts w:asciiTheme="minorHAnsi" w:hAnsiTheme="minorHAnsi" w:cstheme="minorHAnsi"/>
                <w:szCs w:val="24"/>
              </w:rPr>
            </w:pPr>
            <w:r w:rsidRPr="001A0FDA">
              <w:rPr>
                <w:rFonts w:asciiTheme="minorHAnsi" w:hAnsiTheme="minorHAnsi" w:cstheme="minorHAnsi"/>
                <w:szCs w:val="24"/>
              </w:rPr>
              <w:t>–</w:t>
            </w:r>
          </w:p>
        </w:tc>
        <w:tc>
          <w:tcPr>
            <w:tcW w:w="1236" w:type="dxa"/>
          </w:tcPr>
          <w:p w14:paraId="159D0C69" w14:textId="783A0FF9" w:rsidR="006C0CF0" w:rsidRPr="001A0FDA" w:rsidRDefault="006C0CF0" w:rsidP="003E1312">
            <w:pPr>
              <w:pStyle w:val="TableCopy"/>
              <w:jc w:val="right"/>
              <w:rPr>
                <w:rFonts w:asciiTheme="minorHAnsi" w:hAnsiTheme="minorHAnsi" w:cstheme="minorHAnsi"/>
                <w:szCs w:val="24"/>
              </w:rPr>
            </w:pPr>
            <w:r w:rsidRPr="001A0FDA">
              <w:rPr>
                <w:rFonts w:asciiTheme="minorHAnsi" w:hAnsiTheme="minorHAnsi" w:cstheme="minorHAnsi"/>
                <w:szCs w:val="24"/>
              </w:rPr>
              <w:t>–</w:t>
            </w:r>
          </w:p>
        </w:tc>
        <w:tc>
          <w:tcPr>
            <w:tcW w:w="1366" w:type="dxa"/>
          </w:tcPr>
          <w:p w14:paraId="44F1E3D2" w14:textId="65AB9686" w:rsidR="006C0CF0" w:rsidRPr="001A0FDA" w:rsidRDefault="006C0CF0" w:rsidP="003E1312">
            <w:pPr>
              <w:pStyle w:val="TableCopy"/>
              <w:jc w:val="right"/>
              <w:rPr>
                <w:rFonts w:asciiTheme="minorHAnsi" w:hAnsiTheme="minorHAnsi" w:cstheme="minorHAnsi"/>
                <w:szCs w:val="24"/>
              </w:rPr>
            </w:pPr>
            <w:r w:rsidRPr="001A0FDA">
              <w:rPr>
                <w:rFonts w:asciiTheme="minorHAnsi" w:hAnsiTheme="minorHAnsi" w:cstheme="minorHAnsi"/>
                <w:szCs w:val="24"/>
              </w:rPr>
              <w:t>–</w:t>
            </w:r>
          </w:p>
        </w:tc>
        <w:tc>
          <w:tcPr>
            <w:tcW w:w="1276" w:type="dxa"/>
          </w:tcPr>
          <w:p w14:paraId="0EBDDAAA" w14:textId="02BA6FBF" w:rsidR="006C0CF0" w:rsidRPr="001A0FDA" w:rsidRDefault="006C0CF0" w:rsidP="003E1312">
            <w:pPr>
              <w:pStyle w:val="TableCopy"/>
              <w:jc w:val="right"/>
              <w:rPr>
                <w:rFonts w:asciiTheme="minorHAnsi" w:hAnsiTheme="minorHAnsi" w:cstheme="minorHAnsi"/>
                <w:szCs w:val="24"/>
              </w:rPr>
            </w:pPr>
            <w:r w:rsidRPr="001A0FDA">
              <w:rPr>
                <w:rFonts w:asciiTheme="minorHAnsi" w:hAnsiTheme="minorHAnsi" w:cstheme="minorHAnsi"/>
                <w:szCs w:val="24"/>
              </w:rPr>
              <w:t>97,184</w:t>
            </w:r>
          </w:p>
        </w:tc>
        <w:tc>
          <w:tcPr>
            <w:tcW w:w="1323" w:type="dxa"/>
          </w:tcPr>
          <w:p w14:paraId="247A6A66" w14:textId="455D966D" w:rsidR="006C0CF0" w:rsidRPr="001A0FDA" w:rsidRDefault="006C0CF0" w:rsidP="003E1312">
            <w:pPr>
              <w:pStyle w:val="TableCopy"/>
              <w:jc w:val="right"/>
              <w:rPr>
                <w:rFonts w:asciiTheme="minorHAnsi" w:hAnsiTheme="minorHAnsi" w:cstheme="minorHAnsi"/>
                <w:szCs w:val="24"/>
              </w:rPr>
            </w:pPr>
            <w:r w:rsidRPr="001A0FDA">
              <w:rPr>
                <w:rFonts w:asciiTheme="minorHAnsi" w:hAnsiTheme="minorHAnsi" w:cstheme="minorHAnsi"/>
                <w:szCs w:val="24"/>
              </w:rPr>
              <w:t>89,468</w:t>
            </w:r>
          </w:p>
        </w:tc>
      </w:tr>
      <w:tr w:rsidR="006C0CF0" w:rsidRPr="001A0FDA" w14:paraId="5BC20E7F" w14:textId="77777777" w:rsidTr="00D041F8">
        <w:trPr>
          <w:trHeight w:val="113"/>
        </w:trPr>
        <w:tc>
          <w:tcPr>
            <w:tcW w:w="2830" w:type="dxa"/>
          </w:tcPr>
          <w:p w14:paraId="3AF840B1" w14:textId="77777777" w:rsidR="006C0CF0" w:rsidRPr="001A0FDA" w:rsidRDefault="006C0CF0" w:rsidP="00AB7848">
            <w:pPr>
              <w:pStyle w:val="TableCopy"/>
              <w:rPr>
                <w:rFonts w:asciiTheme="minorHAnsi" w:hAnsiTheme="minorHAnsi" w:cstheme="minorHAnsi"/>
                <w:szCs w:val="24"/>
              </w:rPr>
            </w:pPr>
            <w:r w:rsidRPr="001A0FDA">
              <w:rPr>
                <w:rFonts w:asciiTheme="minorHAnsi" w:hAnsiTheme="minorHAnsi" w:cstheme="minorHAnsi"/>
                <w:szCs w:val="24"/>
              </w:rPr>
              <w:t>Royalties</w:t>
            </w:r>
          </w:p>
        </w:tc>
        <w:tc>
          <w:tcPr>
            <w:tcW w:w="1134" w:type="dxa"/>
          </w:tcPr>
          <w:p w14:paraId="65EC77CF" w14:textId="4409D1EB" w:rsidR="006C0CF0" w:rsidRPr="001A0FDA" w:rsidRDefault="006C0CF0" w:rsidP="003E1312">
            <w:pPr>
              <w:pStyle w:val="TableCopy"/>
              <w:jc w:val="right"/>
              <w:rPr>
                <w:rFonts w:asciiTheme="minorHAnsi" w:hAnsiTheme="minorHAnsi" w:cstheme="minorHAnsi"/>
                <w:szCs w:val="24"/>
              </w:rPr>
            </w:pPr>
            <w:r w:rsidRPr="001A0FDA">
              <w:rPr>
                <w:rFonts w:asciiTheme="minorHAnsi" w:hAnsiTheme="minorHAnsi" w:cstheme="minorHAnsi"/>
                <w:szCs w:val="24"/>
              </w:rPr>
              <w:t>–</w:t>
            </w:r>
          </w:p>
        </w:tc>
        <w:tc>
          <w:tcPr>
            <w:tcW w:w="1134" w:type="dxa"/>
          </w:tcPr>
          <w:p w14:paraId="3BBD1C5D" w14:textId="3AA8518B" w:rsidR="006C0CF0" w:rsidRPr="001A0FDA" w:rsidRDefault="006C0CF0" w:rsidP="003E1312">
            <w:pPr>
              <w:pStyle w:val="TableCopy"/>
              <w:jc w:val="right"/>
              <w:rPr>
                <w:rFonts w:asciiTheme="minorHAnsi" w:hAnsiTheme="minorHAnsi" w:cstheme="minorHAnsi"/>
                <w:szCs w:val="24"/>
              </w:rPr>
            </w:pPr>
            <w:r w:rsidRPr="001A0FDA">
              <w:rPr>
                <w:rFonts w:asciiTheme="minorHAnsi" w:hAnsiTheme="minorHAnsi" w:cstheme="minorHAnsi"/>
                <w:szCs w:val="24"/>
              </w:rPr>
              <w:t>–</w:t>
            </w:r>
          </w:p>
        </w:tc>
        <w:tc>
          <w:tcPr>
            <w:tcW w:w="1089" w:type="dxa"/>
          </w:tcPr>
          <w:p w14:paraId="60F5DF4B" w14:textId="38BC714B" w:rsidR="006C0CF0" w:rsidRPr="001A0FDA" w:rsidRDefault="006C0CF0" w:rsidP="003E1312">
            <w:pPr>
              <w:pStyle w:val="TableCopy"/>
              <w:jc w:val="right"/>
              <w:rPr>
                <w:rFonts w:asciiTheme="minorHAnsi" w:hAnsiTheme="minorHAnsi" w:cstheme="minorHAnsi"/>
                <w:szCs w:val="24"/>
              </w:rPr>
            </w:pPr>
            <w:r w:rsidRPr="001A0FDA">
              <w:rPr>
                <w:rFonts w:asciiTheme="minorHAnsi" w:hAnsiTheme="minorHAnsi" w:cstheme="minorHAnsi"/>
                <w:szCs w:val="24"/>
              </w:rPr>
              <w:t>–</w:t>
            </w:r>
          </w:p>
        </w:tc>
        <w:tc>
          <w:tcPr>
            <w:tcW w:w="1179" w:type="dxa"/>
          </w:tcPr>
          <w:p w14:paraId="53843356" w14:textId="7DD9117A" w:rsidR="006C0CF0" w:rsidRPr="001A0FDA" w:rsidRDefault="006C0CF0" w:rsidP="003E1312">
            <w:pPr>
              <w:pStyle w:val="TableCopy"/>
              <w:jc w:val="right"/>
              <w:rPr>
                <w:rFonts w:asciiTheme="minorHAnsi" w:hAnsiTheme="minorHAnsi" w:cstheme="minorHAnsi"/>
                <w:szCs w:val="24"/>
              </w:rPr>
            </w:pPr>
            <w:r w:rsidRPr="001A0FDA">
              <w:rPr>
                <w:rFonts w:asciiTheme="minorHAnsi" w:hAnsiTheme="minorHAnsi" w:cstheme="minorHAnsi"/>
                <w:szCs w:val="24"/>
              </w:rPr>
              <w:t>–</w:t>
            </w:r>
          </w:p>
        </w:tc>
        <w:tc>
          <w:tcPr>
            <w:tcW w:w="1225" w:type="dxa"/>
          </w:tcPr>
          <w:p w14:paraId="11B24416" w14:textId="56CB0E39" w:rsidR="006C0CF0" w:rsidRPr="001A0FDA" w:rsidRDefault="006C0CF0" w:rsidP="003E1312">
            <w:pPr>
              <w:pStyle w:val="TableCopy"/>
              <w:jc w:val="right"/>
              <w:rPr>
                <w:rFonts w:asciiTheme="minorHAnsi" w:hAnsiTheme="minorHAnsi" w:cstheme="minorHAnsi"/>
                <w:szCs w:val="24"/>
              </w:rPr>
            </w:pPr>
            <w:r w:rsidRPr="001A0FDA">
              <w:rPr>
                <w:rFonts w:asciiTheme="minorHAnsi" w:hAnsiTheme="minorHAnsi" w:cstheme="minorHAnsi"/>
                <w:szCs w:val="24"/>
              </w:rPr>
              <w:t>–</w:t>
            </w:r>
          </w:p>
        </w:tc>
        <w:tc>
          <w:tcPr>
            <w:tcW w:w="1276" w:type="dxa"/>
          </w:tcPr>
          <w:p w14:paraId="7EEAAB4C" w14:textId="21CAA448" w:rsidR="006C0CF0" w:rsidRPr="001A0FDA" w:rsidRDefault="006C0CF0" w:rsidP="003E1312">
            <w:pPr>
              <w:pStyle w:val="TableCopy"/>
              <w:jc w:val="right"/>
              <w:rPr>
                <w:rFonts w:asciiTheme="minorHAnsi" w:hAnsiTheme="minorHAnsi" w:cstheme="minorHAnsi"/>
                <w:szCs w:val="24"/>
              </w:rPr>
            </w:pPr>
            <w:r w:rsidRPr="001A0FDA">
              <w:rPr>
                <w:rFonts w:asciiTheme="minorHAnsi" w:hAnsiTheme="minorHAnsi" w:cstheme="minorHAnsi"/>
                <w:szCs w:val="24"/>
              </w:rPr>
              <w:t>–</w:t>
            </w:r>
          </w:p>
        </w:tc>
        <w:tc>
          <w:tcPr>
            <w:tcW w:w="1236" w:type="dxa"/>
          </w:tcPr>
          <w:p w14:paraId="0BBA825E" w14:textId="760D1899" w:rsidR="006C0CF0" w:rsidRPr="001A0FDA" w:rsidRDefault="006C0CF0" w:rsidP="003E1312">
            <w:pPr>
              <w:pStyle w:val="TableCopy"/>
              <w:jc w:val="right"/>
              <w:rPr>
                <w:rFonts w:asciiTheme="minorHAnsi" w:hAnsiTheme="minorHAnsi" w:cstheme="minorHAnsi"/>
                <w:szCs w:val="24"/>
              </w:rPr>
            </w:pPr>
            <w:r w:rsidRPr="001A0FDA">
              <w:rPr>
                <w:rFonts w:asciiTheme="minorHAnsi" w:hAnsiTheme="minorHAnsi" w:cstheme="minorHAnsi"/>
                <w:szCs w:val="24"/>
              </w:rPr>
              <w:t>70,436</w:t>
            </w:r>
          </w:p>
        </w:tc>
        <w:tc>
          <w:tcPr>
            <w:tcW w:w="1366" w:type="dxa"/>
          </w:tcPr>
          <w:p w14:paraId="0D27F817" w14:textId="6F75997E" w:rsidR="006C0CF0" w:rsidRPr="001A0FDA" w:rsidRDefault="006C0CF0" w:rsidP="003E1312">
            <w:pPr>
              <w:pStyle w:val="TableCopy"/>
              <w:jc w:val="right"/>
              <w:rPr>
                <w:rFonts w:asciiTheme="minorHAnsi" w:hAnsiTheme="minorHAnsi" w:cstheme="minorHAnsi"/>
                <w:szCs w:val="24"/>
              </w:rPr>
            </w:pPr>
            <w:r w:rsidRPr="001A0FDA">
              <w:rPr>
                <w:rFonts w:asciiTheme="minorHAnsi" w:hAnsiTheme="minorHAnsi" w:cstheme="minorHAnsi"/>
                <w:szCs w:val="24"/>
              </w:rPr>
              <w:t>139,612</w:t>
            </w:r>
          </w:p>
        </w:tc>
        <w:tc>
          <w:tcPr>
            <w:tcW w:w="1276" w:type="dxa"/>
          </w:tcPr>
          <w:p w14:paraId="516536B6" w14:textId="0D8E76FB" w:rsidR="006C0CF0" w:rsidRPr="001A0FDA" w:rsidRDefault="006C0CF0" w:rsidP="003E1312">
            <w:pPr>
              <w:pStyle w:val="TableCopy"/>
              <w:jc w:val="right"/>
              <w:rPr>
                <w:rFonts w:asciiTheme="minorHAnsi" w:hAnsiTheme="minorHAnsi" w:cstheme="minorHAnsi"/>
                <w:szCs w:val="24"/>
              </w:rPr>
            </w:pPr>
            <w:r w:rsidRPr="001A0FDA">
              <w:rPr>
                <w:rFonts w:asciiTheme="minorHAnsi" w:hAnsiTheme="minorHAnsi" w:cstheme="minorHAnsi"/>
                <w:szCs w:val="24"/>
              </w:rPr>
              <w:t>70,436</w:t>
            </w:r>
          </w:p>
        </w:tc>
        <w:tc>
          <w:tcPr>
            <w:tcW w:w="1323" w:type="dxa"/>
          </w:tcPr>
          <w:p w14:paraId="32F0D256" w14:textId="2D772692" w:rsidR="006C0CF0" w:rsidRPr="001A0FDA" w:rsidRDefault="006C0CF0" w:rsidP="003E1312">
            <w:pPr>
              <w:pStyle w:val="TableCopy"/>
              <w:jc w:val="right"/>
              <w:rPr>
                <w:rFonts w:asciiTheme="minorHAnsi" w:hAnsiTheme="minorHAnsi" w:cstheme="minorHAnsi"/>
                <w:szCs w:val="24"/>
              </w:rPr>
            </w:pPr>
            <w:r w:rsidRPr="001A0FDA">
              <w:rPr>
                <w:rFonts w:asciiTheme="minorHAnsi" w:hAnsiTheme="minorHAnsi" w:cstheme="minorHAnsi"/>
                <w:szCs w:val="24"/>
              </w:rPr>
              <w:t>139,612</w:t>
            </w:r>
          </w:p>
        </w:tc>
      </w:tr>
      <w:tr w:rsidR="006C0CF0" w:rsidRPr="001A0FDA" w14:paraId="07245BF4" w14:textId="77777777" w:rsidTr="00D041F8">
        <w:trPr>
          <w:trHeight w:val="113"/>
        </w:trPr>
        <w:tc>
          <w:tcPr>
            <w:tcW w:w="2830" w:type="dxa"/>
          </w:tcPr>
          <w:p w14:paraId="3EB3157F" w14:textId="77777777" w:rsidR="006C0CF0" w:rsidRPr="001A0FDA" w:rsidRDefault="006C0CF0" w:rsidP="00AB7848">
            <w:pPr>
              <w:pStyle w:val="TableCopy"/>
              <w:rPr>
                <w:rFonts w:asciiTheme="minorHAnsi" w:hAnsiTheme="minorHAnsi" w:cstheme="minorHAnsi"/>
                <w:szCs w:val="24"/>
              </w:rPr>
            </w:pPr>
            <w:r w:rsidRPr="001A0FDA">
              <w:rPr>
                <w:rFonts w:asciiTheme="minorHAnsi" w:hAnsiTheme="minorHAnsi" w:cstheme="minorHAnsi"/>
                <w:szCs w:val="24"/>
              </w:rPr>
              <w:t>Other income</w:t>
            </w:r>
          </w:p>
        </w:tc>
        <w:tc>
          <w:tcPr>
            <w:tcW w:w="1134" w:type="dxa"/>
          </w:tcPr>
          <w:p w14:paraId="4CE885DB" w14:textId="1D3D4860" w:rsidR="006C0CF0" w:rsidRPr="001A0FDA" w:rsidRDefault="006C0CF0" w:rsidP="003E1312">
            <w:pPr>
              <w:pStyle w:val="TableCopy"/>
              <w:jc w:val="right"/>
              <w:rPr>
                <w:rFonts w:asciiTheme="minorHAnsi" w:hAnsiTheme="minorHAnsi" w:cstheme="minorHAnsi"/>
                <w:szCs w:val="24"/>
              </w:rPr>
            </w:pPr>
            <w:r w:rsidRPr="001A0FDA">
              <w:rPr>
                <w:rFonts w:asciiTheme="minorHAnsi" w:hAnsiTheme="minorHAnsi" w:cstheme="minorHAnsi"/>
                <w:szCs w:val="24"/>
              </w:rPr>
              <w:t>–</w:t>
            </w:r>
          </w:p>
        </w:tc>
        <w:tc>
          <w:tcPr>
            <w:tcW w:w="1134" w:type="dxa"/>
          </w:tcPr>
          <w:p w14:paraId="0F6401CC" w14:textId="530E5700" w:rsidR="006C0CF0" w:rsidRPr="001A0FDA" w:rsidRDefault="006C0CF0" w:rsidP="003E1312">
            <w:pPr>
              <w:pStyle w:val="TableCopy"/>
              <w:jc w:val="right"/>
              <w:rPr>
                <w:rFonts w:asciiTheme="minorHAnsi" w:hAnsiTheme="minorHAnsi" w:cstheme="minorHAnsi"/>
                <w:szCs w:val="24"/>
              </w:rPr>
            </w:pPr>
            <w:r w:rsidRPr="001A0FDA">
              <w:rPr>
                <w:rFonts w:asciiTheme="minorHAnsi" w:hAnsiTheme="minorHAnsi" w:cstheme="minorHAnsi"/>
                <w:szCs w:val="24"/>
              </w:rPr>
              <w:t>17</w:t>
            </w:r>
          </w:p>
        </w:tc>
        <w:tc>
          <w:tcPr>
            <w:tcW w:w="1089" w:type="dxa"/>
          </w:tcPr>
          <w:p w14:paraId="0AA59D6B" w14:textId="0FB00992" w:rsidR="006C0CF0" w:rsidRPr="001A0FDA" w:rsidRDefault="006C0CF0" w:rsidP="003E1312">
            <w:pPr>
              <w:pStyle w:val="TableCopy"/>
              <w:jc w:val="right"/>
              <w:rPr>
                <w:rFonts w:asciiTheme="minorHAnsi" w:hAnsiTheme="minorHAnsi" w:cstheme="minorHAnsi"/>
                <w:szCs w:val="24"/>
              </w:rPr>
            </w:pPr>
            <w:r w:rsidRPr="001A0FDA">
              <w:rPr>
                <w:rFonts w:asciiTheme="minorHAnsi" w:hAnsiTheme="minorHAnsi" w:cstheme="minorHAnsi"/>
                <w:szCs w:val="24"/>
              </w:rPr>
              <w:t>–</w:t>
            </w:r>
          </w:p>
        </w:tc>
        <w:tc>
          <w:tcPr>
            <w:tcW w:w="1179" w:type="dxa"/>
          </w:tcPr>
          <w:p w14:paraId="0E94CF17" w14:textId="6F6BD611" w:rsidR="006C0CF0" w:rsidRPr="001A0FDA" w:rsidRDefault="006C0CF0" w:rsidP="003E1312">
            <w:pPr>
              <w:pStyle w:val="TableCopy"/>
              <w:jc w:val="right"/>
              <w:rPr>
                <w:rFonts w:asciiTheme="minorHAnsi" w:hAnsiTheme="minorHAnsi" w:cstheme="minorHAnsi"/>
                <w:szCs w:val="24"/>
              </w:rPr>
            </w:pPr>
            <w:r w:rsidRPr="001A0FDA">
              <w:rPr>
                <w:rFonts w:asciiTheme="minorHAnsi" w:hAnsiTheme="minorHAnsi" w:cstheme="minorHAnsi"/>
                <w:szCs w:val="24"/>
              </w:rPr>
              <w:t>2</w:t>
            </w:r>
          </w:p>
        </w:tc>
        <w:tc>
          <w:tcPr>
            <w:tcW w:w="1225" w:type="dxa"/>
          </w:tcPr>
          <w:p w14:paraId="7DD96830" w14:textId="7DEDC28A" w:rsidR="006C0CF0" w:rsidRPr="001A0FDA" w:rsidRDefault="006C0CF0" w:rsidP="003E1312">
            <w:pPr>
              <w:pStyle w:val="TableCopy"/>
              <w:jc w:val="right"/>
              <w:rPr>
                <w:rFonts w:asciiTheme="minorHAnsi" w:hAnsiTheme="minorHAnsi" w:cstheme="minorHAnsi"/>
                <w:szCs w:val="24"/>
              </w:rPr>
            </w:pPr>
            <w:r w:rsidRPr="001A0FDA">
              <w:rPr>
                <w:rFonts w:asciiTheme="minorHAnsi" w:hAnsiTheme="minorHAnsi" w:cstheme="minorHAnsi"/>
                <w:szCs w:val="24"/>
              </w:rPr>
              <w:t>–</w:t>
            </w:r>
          </w:p>
        </w:tc>
        <w:tc>
          <w:tcPr>
            <w:tcW w:w="1276" w:type="dxa"/>
          </w:tcPr>
          <w:p w14:paraId="187EFA8B" w14:textId="1D7E4CA4" w:rsidR="006C0CF0" w:rsidRPr="001A0FDA" w:rsidRDefault="006C0CF0" w:rsidP="003E1312">
            <w:pPr>
              <w:pStyle w:val="TableCopy"/>
              <w:jc w:val="right"/>
              <w:rPr>
                <w:rFonts w:asciiTheme="minorHAnsi" w:hAnsiTheme="minorHAnsi" w:cstheme="minorHAnsi"/>
                <w:szCs w:val="24"/>
              </w:rPr>
            </w:pPr>
            <w:r w:rsidRPr="001A0FDA">
              <w:rPr>
                <w:rFonts w:asciiTheme="minorHAnsi" w:hAnsiTheme="minorHAnsi" w:cstheme="minorHAnsi"/>
                <w:szCs w:val="24"/>
              </w:rPr>
              <w:t>–</w:t>
            </w:r>
          </w:p>
        </w:tc>
        <w:tc>
          <w:tcPr>
            <w:tcW w:w="1236" w:type="dxa"/>
          </w:tcPr>
          <w:p w14:paraId="5A5E58C6" w14:textId="114EFE42" w:rsidR="006C0CF0" w:rsidRPr="001A0FDA" w:rsidRDefault="006C0CF0" w:rsidP="003E1312">
            <w:pPr>
              <w:pStyle w:val="TableCopy"/>
              <w:jc w:val="right"/>
              <w:rPr>
                <w:rFonts w:asciiTheme="minorHAnsi" w:hAnsiTheme="minorHAnsi" w:cstheme="minorHAnsi"/>
                <w:szCs w:val="24"/>
              </w:rPr>
            </w:pPr>
            <w:r w:rsidRPr="001A0FDA">
              <w:rPr>
                <w:rFonts w:asciiTheme="minorHAnsi" w:hAnsiTheme="minorHAnsi" w:cstheme="minorHAnsi"/>
                <w:szCs w:val="24"/>
              </w:rPr>
              <w:t>2,364</w:t>
            </w:r>
          </w:p>
        </w:tc>
        <w:tc>
          <w:tcPr>
            <w:tcW w:w="1366" w:type="dxa"/>
          </w:tcPr>
          <w:p w14:paraId="70807932" w14:textId="1E7CD2D1" w:rsidR="006C0CF0" w:rsidRPr="001A0FDA" w:rsidRDefault="006C0CF0" w:rsidP="003E1312">
            <w:pPr>
              <w:pStyle w:val="TableCopy"/>
              <w:jc w:val="right"/>
              <w:rPr>
                <w:rFonts w:asciiTheme="minorHAnsi" w:hAnsiTheme="minorHAnsi" w:cstheme="minorHAnsi"/>
                <w:szCs w:val="24"/>
              </w:rPr>
            </w:pPr>
            <w:r w:rsidRPr="001A0FDA">
              <w:rPr>
                <w:rFonts w:asciiTheme="minorHAnsi" w:hAnsiTheme="minorHAnsi" w:cstheme="minorHAnsi"/>
                <w:szCs w:val="24"/>
              </w:rPr>
              <w:t>7,876</w:t>
            </w:r>
          </w:p>
        </w:tc>
        <w:tc>
          <w:tcPr>
            <w:tcW w:w="1276" w:type="dxa"/>
          </w:tcPr>
          <w:p w14:paraId="0BB66821" w14:textId="35B04F2D" w:rsidR="006C0CF0" w:rsidRPr="001A0FDA" w:rsidRDefault="006C0CF0" w:rsidP="003E1312">
            <w:pPr>
              <w:pStyle w:val="TableCopy"/>
              <w:jc w:val="right"/>
              <w:rPr>
                <w:rFonts w:asciiTheme="minorHAnsi" w:hAnsiTheme="minorHAnsi" w:cstheme="minorHAnsi"/>
                <w:szCs w:val="24"/>
              </w:rPr>
            </w:pPr>
            <w:r w:rsidRPr="001A0FDA">
              <w:rPr>
                <w:rFonts w:asciiTheme="minorHAnsi" w:hAnsiTheme="minorHAnsi" w:cstheme="minorHAnsi"/>
                <w:szCs w:val="24"/>
              </w:rPr>
              <w:t>17,032</w:t>
            </w:r>
          </w:p>
        </w:tc>
        <w:tc>
          <w:tcPr>
            <w:tcW w:w="1323" w:type="dxa"/>
          </w:tcPr>
          <w:p w14:paraId="6FC5824B" w14:textId="47DA547A" w:rsidR="006C0CF0" w:rsidRPr="001A0FDA" w:rsidRDefault="006C0CF0" w:rsidP="003E1312">
            <w:pPr>
              <w:pStyle w:val="TableCopy"/>
              <w:jc w:val="right"/>
              <w:rPr>
                <w:rFonts w:asciiTheme="minorHAnsi" w:hAnsiTheme="minorHAnsi" w:cstheme="minorHAnsi"/>
                <w:szCs w:val="24"/>
              </w:rPr>
            </w:pPr>
            <w:r w:rsidRPr="001A0FDA">
              <w:rPr>
                <w:rFonts w:asciiTheme="minorHAnsi" w:hAnsiTheme="minorHAnsi" w:cstheme="minorHAnsi"/>
                <w:szCs w:val="24"/>
              </w:rPr>
              <w:t>10,293</w:t>
            </w:r>
          </w:p>
        </w:tc>
      </w:tr>
      <w:tr w:rsidR="006C0CF0" w:rsidRPr="001A0FDA" w14:paraId="45B14ACB" w14:textId="77777777" w:rsidTr="00D041F8">
        <w:trPr>
          <w:trHeight w:val="113"/>
        </w:trPr>
        <w:tc>
          <w:tcPr>
            <w:tcW w:w="2830" w:type="dxa"/>
          </w:tcPr>
          <w:p w14:paraId="18E857EA" w14:textId="77777777" w:rsidR="006C0CF0" w:rsidRPr="001A0FDA" w:rsidRDefault="006C0CF0" w:rsidP="00AB7848">
            <w:pPr>
              <w:pStyle w:val="TableCopy"/>
              <w:rPr>
                <w:rFonts w:asciiTheme="minorHAnsi" w:hAnsiTheme="minorHAnsi" w:cstheme="minorHAnsi"/>
                <w:szCs w:val="24"/>
              </w:rPr>
            </w:pPr>
            <w:r w:rsidRPr="001A0FDA">
              <w:rPr>
                <w:rFonts w:asciiTheme="minorHAnsi" w:hAnsiTheme="minorHAnsi" w:cstheme="minorHAnsi"/>
                <w:szCs w:val="24"/>
              </w:rPr>
              <w:t xml:space="preserve">Regulatory fees, fines, </w:t>
            </w:r>
            <w:proofErr w:type="gramStart"/>
            <w:r w:rsidRPr="001A0FDA">
              <w:rPr>
                <w:rFonts w:asciiTheme="minorHAnsi" w:hAnsiTheme="minorHAnsi" w:cstheme="minorHAnsi"/>
                <w:szCs w:val="24"/>
              </w:rPr>
              <w:t>leases</w:t>
            </w:r>
            <w:proofErr w:type="gramEnd"/>
            <w:r w:rsidRPr="001A0FDA">
              <w:rPr>
                <w:rFonts w:asciiTheme="minorHAnsi" w:hAnsiTheme="minorHAnsi" w:cstheme="minorHAnsi"/>
                <w:szCs w:val="24"/>
              </w:rPr>
              <w:t xml:space="preserve"> and licences</w:t>
            </w:r>
          </w:p>
        </w:tc>
        <w:tc>
          <w:tcPr>
            <w:tcW w:w="1134" w:type="dxa"/>
          </w:tcPr>
          <w:p w14:paraId="37907BF2" w14:textId="5CA75001" w:rsidR="006C0CF0" w:rsidRPr="001A0FDA" w:rsidRDefault="006C0CF0" w:rsidP="003E1312">
            <w:pPr>
              <w:pStyle w:val="TableCopy"/>
              <w:jc w:val="right"/>
              <w:rPr>
                <w:rFonts w:asciiTheme="minorHAnsi" w:hAnsiTheme="minorHAnsi" w:cstheme="minorHAnsi"/>
                <w:szCs w:val="24"/>
              </w:rPr>
            </w:pPr>
            <w:r w:rsidRPr="001A0FDA">
              <w:rPr>
                <w:rFonts w:asciiTheme="minorHAnsi" w:hAnsiTheme="minorHAnsi" w:cstheme="minorHAnsi"/>
                <w:szCs w:val="24"/>
              </w:rPr>
              <w:t>–</w:t>
            </w:r>
          </w:p>
        </w:tc>
        <w:tc>
          <w:tcPr>
            <w:tcW w:w="1134" w:type="dxa"/>
          </w:tcPr>
          <w:p w14:paraId="3CEFCD5A" w14:textId="51B452A4" w:rsidR="006C0CF0" w:rsidRPr="001A0FDA" w:rsidRDefault="006C0CF0" w:rsidP="003E1312">
            <w:pPr>
              <w:pStyle w:val="TableCopy"/>
              <w:jc w:val="right"/>
              <w:rPr>
                <w:rFonts w:asciiTheme="minorHAnsi" w:hAnsiTheme="minorHAnsi" w:cstheme="minorHAnsi"/>
                <w:szCs w:val="24"/>
              </w:rPr>
            </w:pPr>
            <w:r w:rsidRPr="001A0FDA">
              <w:rPr>
                <w:rFonts w:asciiTheme="minorHAnsi" w:hAnsiTheme="minorHAnsi" w:cstheme="minorHAnsi"/>
                <w:szCs w:val="24"/>
              </w:rPr>
              <w:t>–</w:t>
            </w:r>
          </w:p>
        </w:tc>
        <w:tc>
          <w:tcPr>
            <w:tcW w:w="1089" w:type="dxa"/>
          </w:tcPr>
          <w:p w14:paraId="56A5D8C0" w14:textId="7B387315" w:rsidR="006C0CF0" w:rsidRPr="001A0FDA" w:rsidRDefault="006C0CF0" w:rsidP="003E1312">
            <w:pPr>
              <w:pStyle w:val="TableCopy"/>
              <w:jc w:val="right"/>
              <w:rPr>
                <w:rFonts w:asciiTheme="minorHAnsi" w:hAnsiTheme="minorHAnsi" w:cstheme="minorHAnsi"/>
                <w:szCs w:val="24"/>
              </w:rPr>
            </w:pPr>
            <w:r w:rsidRPr="001A0FDA">
              <w:rPr>
                <w:rFonts w:asciiTheme="minorHAnsi" w:hAnsiTheme="minorHAnsi" w:cstheme="minorHAnsi"/>
                <w:szCs w:val="24"/>
              </w:rPr>
              <w:t>–</w:t>
            </w:r>
          </w:p>
        </w:tc>
        <w:tc>
          <w:tcPr>
            <w:tcW w:w="1179" w:type="dxa"/>
          </w:tcPr>
          <w:p w14:paraId="33791C89" w14:textId="0E73DC8C" w:rsidR="006C0CF0" w:rsidRPr="001A0FDA" w:rsidRDefault="006C0CF0" w:rsidP="003E1312">
            <w:pPr>
              <w:pStyle w:val="TableCopy"/>
              <w:jc w:val="right"/>
              <w:rPr>
                <w:rFonts w:asciiTheme="minorHAnsi" w:hAnsiTheme="minorHAnsi" w:cstheme="minorHAnsi"/>
                <w:szCs w:val="24"/>
              </w:rPr>
            </w:pPr>
            <w:r w:rsidRPr="001A0FDA">
              <w:rPr>
                <w:rFonts w:asciiTheme="minorHAnsi" w:hAnsiTheme="minorHAnsi" w:cstheme="minorHAnsi"/>
                <w:szCs w:val="24"/>
              </w:rPr>
              <w:t>–</w:t>
            </w:r>
          </w:p>
        </w:tc>
        <w:tc>
          <w:tcPr>
            <w:tcW w:w="1225" w:type="dxa"/>
          </w:tcPr>
          <w:p w14:paraId="484884FE" w14:textId="7BE9CE48" w:rsidR="006C0CF0" w:rsidRPr="001A0FDA" w:rsidRDefault="006C0CF0" w:rsidP="003E1312">
            <w:pPr>
              <w:pStyle w:val="TableCopy"/>
              <w:jc w:val="right"/>
              <w:rPr>
                <w:rFonts w:asciiTheme="minorHAnsi" w:hAnsiTheme="minorHAnsi" w:cstheme="minorHAnsi"/>
                <w:szCs w:val="24"/>
              </w:rPr>
            </w:pPr>
            <w:r w:rsidRPr="001A0FDA">
              <w:rPr>
                <w:rFonts w:asciiTheme="minorHAnsi" w:hAnsiTheme="minorHAnsi" w:cstheme="minorHAnsi"/>
                <w:szCs w:val="24"/>
              </w:rPr>
              <w:t>–</w:t>
            </w:r>
          </w:p>
        </w:tc>
        <w:tc>
          <w:tcPr>
            <w:tcW w:w="1276" w:type="dxa"/>
          </w:tcPr>
          <w:p w14:paraId="2122DA38" w14:textId="150793BA" w:rsidR="006C0CF0" w:rsidRPr="001A0FDA" w:rsidRDefault="006C0CF0" w:rsidP="003E1312">
            <w:pPr>
              <w:pStyle w:val="TableCopy"/>
              <w:jc w:val="right"/>
              <w:rPr>
                <w:rFonts w:asciiTheme="minorHAnsi" w:hAnsiTheme="minorHAnsi" w:cstheme="minorHAnsi"/>
                <w:szCs w:val="24"/>
              </w:rPr>
            </w:pPr>
            <w:r w:rsidRPr="001A0FDA">
              <w:rPr>
                <w:rFonts w:asciiTheme="minorHAnsi" w:hAnsiTheme="minorHAnsi" w:cstheme="minorHAnsi"/>
                <w:szCs w:val="24"/>
              </w:rPr>
              <w:t>–</w:t>
            </w:r>
          </w:p>
        </w:tc>
        <w:tc>
          <w:tcPr>
            <w:tcW w:w="1236" w:type="dxa"/>
          </w:tcPr>
          <w:p w14:paraId="511A56EE" w14:textId="5EBAF4E0" w:rsidR="006C0CF0" w:rsidRPr="001A0FDA" w:rsidRDefault="006C0CF0" w:rsidP="003E1312">
            <w:pPr>
              <w:pStyle w:val="TableCopy"/>
              <w:jc w:val="right"/>
              <w:rPr>
                <w:rFonts w:asciiTheme="minorHAnsi" w:hAnsiTheme="minorHAnsi" w:cstheme="minorHAnsi"/>
                <w:szCs w:val="24"/>
              </w:rPr>
            </w:pPr>
            <w:r w:rsidRPr="001A0FDA">
              <w:rPr>
                <w:rFonts w:asciiTheme="minorHAnsi" w:hAnsiTheme="minorHAnsi" w:cstheme="minorHAnsi"/>
                <w:szCs w:val="24"/>
              </w:rPr>
              <w:t>3,476</w:t>
            </w:r>
          </w:p>
        </w:tc>
        <w:tc>
          <w:tcPr>
            <w:tcW w:w="1366" w:type="dxa"/>
          </w:tcPr>
          <w:p w14:paraId="7A85D853" w14:textId="455118F4" w:rsidR="006C0CF0" w:rsidRPr="001A0FDA" w:rsidRDefault="006C0CF0" w:rsidP="003E1312">
            <w:pPr>
              <w:pStyle w:val="TableCopy"/>
              <w:jc w:val="right"/>
              <w:rPr>
                <w:rFonts w:asciiTheme="minorHAnsi" w:hAnsiTheme="minorHAnsi" w:cstheme="minorHAnsi"/>
                <w:szCs w:val="24"/>
              </w:rPr>
            </w:pPr>
            <w:r w:rsidRPr="001A0FDA">
              <w:rPr>
                <w:rFonts w:asciiTheme="minorHAnsi" w:hAnsiTheme="minorHAnsi" w:cstheme="minorHAnsi"/>
                <w:szCs w:val="24"/>
              </w:rPr>
              <w:t>3,905</w:t>
            </w:r>
          </w:p>
        </w:tc>
        <w:tc>
          <w:tcPr>
            <w:tcW w:w="1276" w:type="dxa"/>
          </w:tcPr>
          <w:p w14:paraId="7BC8EF9F" w14:textId="533731D7" w:rsidR="006C0CF0" w:rsidRPr="001A0FDA" w:rsidRDefault="006C0CF0" w:rsidP="003E1312">
            <w:pPr>
              <w:pStyle w:val="TableCopy"/>
              <w:jc w:val="right"/>
              <w:rPr>
                <w:rFonts w:asciiTheme="minorHAnsi" w:hAnsiTheme="minorHAnsi" w:cstheme="minorHAnsi"/>
                <w:szCs w:val="24"/>
              </w:rPr>
            </w:pPr>
            <w:r w:rsidRPr="001A0FDA">
              <w:rPr>
                <w:rFonts w:asciiTheme="minorHAnsi" w:hAnsiTheme="minorHAnsi" w:cstheme="minorHAnsi"/>
                <w:szCs w:val="24"/>
              </w:rPr>
              <w:t>3,476</w:t>
            </w:r>
          </w:p>
        </w:tc>
        <w:tc>
          <w:tcPr>
            <w:tcW w:w="1323" w:type="dxa"/>
          </w:tcPr>
          <w:p w14:paraId="669D902F" w14:textId="077FDFD9" w:rsidR="006C0CF0" w:rsidRPr="001A0FDA" w:rsidRDefault="006C0CF0" w:rsidP="003E1312">
            <w:pPr>
              <w:pStyle w:val="TableCopy"/>
              <w:jc w:val="right"/>
              <w:rPr>
                <w:rFonts w:asciiTheme="minorHAnsi" w:hAnsiTheme="minorHAnsi" w:cstheme="minorHAnsi"/>
                <w:szCs w:val="24"/>
              </w:rPr>
            </w:pPr>
            <w:r w:rsidRPr="001A0FDA">
              <w:rPr>
                <w:rFonts w:asciiTheme="minorHAnsi" w:hAnsiTheme="minorHAnsi" w:cstheme="minorHAnsi"/>
                <w:szCs w:val="24"/>
              </w:rPr>
              <w:t>3,905</w:t>
            </w:r>
          </w:p>
        </w:tc>
      </w:tr>
      <w:tr w:rsidR="006C0CF0" w:rsidRPr="001A0FDA" w14:paraId="3C964497" w14:textId="77777777" w:rsidTr="00D041F8">
        <w:trPr>
          <w:trHeight w:val="113"/>
        </w:trPr>
        <w:tc>
          <w:tcPr>
            <w:tcW w:w="2830" w:type="dxa"/>
          </w:tcPr>
          <w:p w14:paraId="3D8F20EB" w14:textId="77777777" w:rsidR="006C0CF0" w:rsidRPr="001A0FDA" w:rsidRDefault="006C0CF0" w:rsidP="00AB7848">
            <w:pPr>
              <w:pStyle w:val="TableCopy"/>
              <w:rPr>
                <w:rFonts w:asciiTheme="minorHAnsi" w:hAnsiTheme="minorHAnsi" w:cstheme="minorHAnsi"/>
                <w:szCs w:val="24"/>
              </w:rPr>
            </w:pPr>
            <w:r w:rsidRPr="001A0FDA">
              <w:rPr>
                <w:rFonts w:asciiTheme="minorHAnsi" w:hAnsiTheme="minorHAnsi" w:cstheme="minorHAnsi"/>
                <w:szCs w:val="24"/>
              </w:rPr>
              <w:lastRenderedPageBreak/>
              <w:t>Interest income</w:t>
            </w:r>
          </w:p>
        </w:tc>
        <w:tc>
          <w:tcPr>
            <w:tcW w:w="1134" w:type="dxa"/>
          </w:tcPr>
          <w:p w14:paraId="4FC4A87F" w14:textId="5CAE3991" w:rsidR="006C0CF0" w:rsidRPr="001A0FDA" w:rsidRDefault="006C0CF0" w:rsidP="003E1312">
            <w:pPr>
              <w:pStyle w:val="TableCopy"/>
              <w:jc w:val="right"/>
              <w:rPr>
                <w:rFonts w:asciiTheme="minorHAnsi" w:hAnsiTheme="minorHAnsi" w:cstheme="minorHAnsi"/>
                <w:szCs w:val="24"/>
              </w:rPr>
            </w:pPr>
            <w:r w:rsidRPr="001A0FDA">
              <w:rPr>
                <w:rFonts w:asciiTheme="minorHAnsi" w:hAnsiTheme="minorHAnsi" w:cstheme="minorHAnsi"/>
                <w:szCs w:val="24"/>
              </w:rPr>
              <w:t>–</w:t>
            </w:r>
          </w:p>
        </w:tc>
        <w:tc>
          <w:tcPr>
            <w:tcW w:w="1134" w:type="dxa"/>
          </w:tcPr>
          <w:p w14:paraId="468100E7" w14:textId="0936C8B3" w:rsidR="006C0CF0" w:rsidRPr="001A0FDA" w:rsidRDefault="006C0CF0" w:rsidP="003E1312">
            <w:pPr>
              <w:pStyle w:val="TableCopy"/>
              <w:jc w:val="right"/>
              <w:rPr>
                <w:rFonts w:asciiTheme="minorHAnsi" w:hAnsiTheme="minorHAnsi" w:cstheme="minorHAnsi"/>
                <w:szCs w:val="24"/>
              </w:rPr>
            </w:pPr>
            <w:r w:rsidRPr="001A0FDA">
              <w:rPr>
                <w:rFonts w:asciiTheme="minorHAnsi" w:hAnsiTheme="minorHAnsi" w:cstheme="minorHAnsi"/>
                <w:szCs w:val="24"/>
              </w:rPr>
              <w:t>–</w:t>
            </w:r>
          </w:p>
        </w:tc>
        <w:tc>
          <w:tcPr>
            <w:tcW w:w="1089" w:type="dxa"/>
          </w:tcPr>
          <w:p w14:paraId="5E0C85EB" w14:textId="3D276FBB" w:rsidR="006C0CF0" w:rsidRPr="001A0FDA" w:rsidRDefault="006C0CF0" w:rsidP="003E1312">
            <w:pPr>
              <w:pStyle w:val="TableCopy"/>
              <w:jc w:val="right"/>
              <w:rPr>
                <w:rFonts w:asciiTheme="minorHAnsi" w:hAnsiTheme="minorHAnsi" w:cstheme="minorHAnsi"/>
                <w:szCs w:val="24"/>
              </w:rPr>
            </w:pPr>
            <w:r w:rsidRPr="001A0FDA">
              <w:rPr>
                <w:rFonts w:asciiTheme="minorHAnsi" w:hAnsiTheme="minorHAnsi" w:cstheme="minorHAnsi"/>
                <w:szCs w:val="24"/>
              </w:rPr>
              <w:t>–</w:t>
            </w:r>
          </w:p>
        </w:tc>
        <w:tc>
          <w:tcPr>
            <w:tcW w:w="1179" w:type="dxa"/>
          </w:tcPr>
          <w:p w14:paraId="217A66B5" w14:textId="7E0EF031" w:rsidR="006C0CF0" w:rsidRPr="001A0FDA" w:rsidRDefault="006C0CF0" w:rsidP="003E1312">
            <w:pPr>
              <w:pStyle w:val="TableCopy"/>
              <w:jc w:val="right"/>
              <w:rPr>
                <w:rFonts w:asciiTheme="minorHAnsi" w:hAnsiTheme="minorHAnsi" w:cstheme="minorHAnsi"/>
                <w:szCs w:val="24"/>
              </w:rPr>
            </w:pPr>
            <w:r w:rsidRPr="001A0FDA">
              <w:rPr>
                <w:rFonts w:asciiTheme="minorHAnsi" w:hAnsiTheme="minorHAnsi" w:cstheme="minorHAnsi"/>
                <w:szCs w:val="24"/>
              </w:rPr>
              <w:t>–</w:t>
            </w:r>
          </w:p>
        </w:tc>
        <w:tc>
          <w:tcPr>
            <w:tcW w:w="1225" w:type="dxa"/>
          </w:tcPr>
          <w:p w14:paraId="6FC2FB87" w14:textId="04CD9E52" w:rsidR="006C0CF0" w:rsidRPr="001A0FDA" w:rsidRDefault="006C0CF0" w:rsidP="003E1312">
            <w:pPr>
              <w:pStyle w:val="TableCopy"/>
              <w:jc w:val="right"/>
              <w:rPr>
                <w:rFonts w:asciiTheme="minorHAnsi" w:hAnsiTheme="minorHAnsi" w:cstheme="minorHAnsi"/>
                <w:szCs w:val="24"/>
              </w:rPr>
            </w:pPr>
            <w:r w:rsidRPr="001A0FDA">
              <w:rPr>
                <w:rFonts w:asciiTheme="minorHAnsi" w:hAnsiTheme="minorHAnsi" w:cstheme="minorHAnsi"/>
                <w:szCs w:val="24"/>
              </w:rPr>
              <w:t>–</w:t>
            </w:r>
          </w:p>
        </w:tc>
        <w:tc>
          <w:tcPr>
            <w:tcW w:w="1276" w:type="dxa"/>
          </w:tcPr>
          <w:p w14:paraId="263858B7" w14:textId="20008029" w:rsidR="006C0CF0" w:rsidRPr="001A0FDA" w:rsidRDefault="006C0CF0" w:rsidP="003E1312">
            <w:pPr>
              <w:pStyle w:val="TableCopy"/>
              <w:jc w:val="right"/>
              <w:rPr>
                <w:rFonts w:asciiTheme="minorHAnsi" w:hAnsiTheme="minorHAnsi" w:cstheme="minorHAnsi"/>
                <w:szCs w:val="24"/>
              </w:rPr>
            </w:pPr>
            <w:r w:rsidRPr="001A0FDA">
              <w:rPr>
                <w:rFonts w:asciiTheme="minorHAnsi" w:hAnsiTheme="minorHAnsi" w:cstheme="minorHAnsi"/>
                <w:szCs w:val="24"/>
              </w:rPr>
              <w:t>–</w:t>
            </w:r>
          </w:p>
        </w:tc>
        <w:tc>
          <w:tcPr>
            <w:tcW w:w="1236" w:type="dxa"/>
          </w:tcPr>
          <w:p w14:paraId="5AB022E5" w14:textId="4E4159F1" w:rsidR="006C0CF0" w:rsidRPr="001A0FDA" w:rsidRDefault="006C0CF0" w:rsidP="003E1312">
            <w:pPr>
              <w:pStyle w:val="TableCopy"/>
              <w:jc w:val="right"/>
              <w:rPr>
                <w:rFonts w:asciiTheme="minorHAnsi" w:hAnsiTheme="minorHAnsi" w:cstheme="minorHAnsi"/>
                <w:szCs w:val="24"/>
              </w:rPr>
            </w:pPr>
            <w:r w:rsidRPr="001A0FDA">
              <w:rPr>
                <w:rFonts w:asciiTheme="minorHAnsi" w:hAnsiTheme="minorHAnsi" w:cstheme="minorHAnsi"/>
                <w:szCs w:val="24"/>
              </w:rPr>
              <w:t>44</w:t>
            </w:r>
          </w:p>
        </w:tc>
        <w:tc>
          <w:tcPr>
            <w:tcW w:w="1366" w:type="dxa"/>
          </w:tcPr>
          <w:p w14:paraId="323790CC" w14:textId="3C246378" w:rsidR="006C0CF0" w:rsidRPr="001A0FDA" w:rsidRDefault="006C0CF0" w:rsidP="003E1312">
            <w:pPr>
              <w:pStyle w:val="TableCopy"/>
              <w:jc w:val="right"/>
              <w:rPr>
                <w:rFonts w:asciiTheme="minorHAnsi" w:hAnsiTheme="minorHAnsi" w:cstheme="minorHAnsi"/>
                <w:szCs w:val="24"/>
              </w:rPr>
            </w:pPr>
            <w:r w:rsidRPr="001A0FDA">
              <w:rPr>
                <w:rFonts w:asciiTheme="minorHAnsi" w:hAnsiTheme="minorHAnsi" w:cstheme="minorHAnsi"/>
                <w:szCs w:val="24"/>
              </w:rPr>
              <w:t>11</w:t>
            </w:r>
          </w:p>
        </w:tc>
        <w:tc>
          <w:tcPr>
            <w:tcW w:w="1276" w:type="dxa"/>
          </w:tcPr>
          <w:p w14:paraId="18BAA147" w14:textId="5B08C22B" w:rsidR="006C0CF0" w:rsidRPr="001A0FDA" w:rsidRDefault="006C0CF0" w:rsidP="003E1312">
            <w:pPr>
              <w:pStyle w:val="TableCopy"/>
              <w:jc w:val="right"/>
              <w:rPr>
                <w:rFonts w:asciiTheme="minorHAnsi" w:hAnsiTheme="minorHAnsi" w:cstheme="minorHAnsi"/>
                <w:szCs w:val="24"/>
              </w:rPr>
            </w:pPr>
            <w:r w:rsidRPr="001A0FDA">
              <w:rPr>
                <w:rFonts w:asciiTheme="minorHAnsi" w:hAnsiTheme="minorHAnsi" w:cstheme="minorHAnsi"/>
                <w:szCs w:val="24"/>
              </w:rPr>
              <w:t>2,150</w:t>
            </w:r>
          </w:p>
        </w:tc>
        <w:tc>
          <w:tcPr>
            <w:tcW w:w="1323" w:type="dxa"/>
          </w:tcPr>
          <w:p w14:paraId="4AC9D8FD" w14:textId="7A0DC1B6" w:rsidR="006C0CF0" w:rsidRPr="001A0FDA" w:rsidRDefault="006C0CF0" w:rsidP="003E1312">
            <w:pPr>
              <w:pStyle w:val="TableCopy"/>
              <w:jc w:val="right"/>
              <w:rPr>
                <w:rFonts w:asciiTheme="minorHAnsi" w:hAnsiTheme="minorHAnsi" w:cstheme="minorHAnsi"/>
                <w:szCs w:val="24"/>
              </w:rPr>
            </w:pPr>
            <w:r w:rsidRPr="001A0FDA">
              <w:rPr>
                <w:rFonts w:asciiTheme="minorHAnsi" w:hAnsiTheme="minorHAnsi" w:cstheme="minorHAnsi"/>
                <w:szCs w:val="24"/>
              </w:rPr>
              <w:t>1,762</w:t>
            </w:r>
          </w:p>
        </w:tc>
      </w:tr>
      <w:tr w:rsidR="006C0CF0" w:rsidRPr="001A0FDA" w14:paraId="3B0FAF85" w14:textId="77777777" w:rsidTr="00D041F8">
        <w:trPr>
          <w:trHeight w:val="113"/>
        </w:trPr>
        <w:tc>
          <w:tcPr>
            <w:tcW w:w="2830" w:type="dxa"/>
          </w:tcPr>
          <w:p w14:paraId="6BD23729" w14:textId="77777777" w:rsidR="006C0CF0" w:rsidRPr="001A0FDA" w:rsidRDefault="006C0CF0" w:rsidP="00AB7848">
            <w:pPr>
              <w:pStyle w:val="TableCopy"/>
              <w:rPr>
                <w:rFonts w:asciiTheme="minorHAnsi" w:hAnsiTheme="minorHAnsi" w:cstheme="minorHAnsi"/>
                <w:szCs w:val="24"/>
              </w:rPr>
            </w:pPr>
            <w:r w:rsidRPr="001A0FDA">
              <w:rPr>
                <w:rFonts w:asciiTheme="minorHAnsi" w:hAnsiTheme="minorHAnsi" w:cstheme="minorHAnsi"/>
                <w:szCs w:val="24"/>
              </w:rPr>
              <w:t>Commonwealth grants</w:t>
            </w:r>
          </w:p>
        </w:tc>
        <w:tc>
          <w:tcPr>
            <w:tcW w:w="1134" w:type="dxa"/>
          </w:tcPr>
          <w:p w14:paraId="3719123F" w14:textId="6CB605FD" w:rsidR="006C0CF0" w:rsidRPr="001A0FDA" w:rsidRDefault="006C0CF0" w:rsidP="003E1312">
            <w:pPr>
              <w:pStyle w:val="TableCopy"/>
              <w:jc w:val="right"/>
              <w:rPr>
                <w:rFonts w:asciiTheme="minorHAnsi" w:hAnsiTheme="minorHAnsi" w:cstheme="minorHAnsi"/>
                <w:szCs w:val="24"/>
              </w:rPr>
            </w:pPr>
            <w:r w:rsidRPr="001A0FDA">
              <w:rPr>
                <w:rFonts w:asciiTheme="minorHAnsi" w:hAnsiTheme="minorHAnsi" w:cstheme="minorHAnsi"/>
                <w:szCs w:val="24"/>
              </w:rPr>
              <w:t>–</w:t>
            </w:r>
          </w:p>
        </w:tc>
        <w:tc>
          <w:tcPr>
            <w:tcW w:w="1134" w:type="dxa"/>
          </w:tcPr>
          <w:p w14:paraId="57DDCF08" w14:textId="7E5DCD87" w:rsidR="006C0CF0" w:rsidRPr="001A0FDA" w:rsidRDefault="006C0CF0" w:rsidP="003E1312">
            <w:pPr>
              <w:pStyle w:val="TableCopy"/>
              <w:jc w:val="right"/>
              <w:rPr>
                <w:rFonts w:asciiTheme="minorHAnsi" w:hAnsiTheme="minorHAnsi" w:cstheme="minorHAnsi"/>
                <w:szCs w:val="24"/>
              </w:rPr>
            </w:pPr>
            <w:r w:rsidRPr="001A0FDA">
              <w:rPr>
                <w:rFonts w:asciiTheme="minorHAnsi" w:hAnsiTheme="minorHAnsi" w:cstheme="minorHAnsi"/>
                <w:szCs w:val="24"/>
              </w:rPr>
              <w:t>–</w:t>
            </w:r>
          </w:p>
        </w:tc>
        <w:tc>
          <w:tcPr>
            <w:tcW w:w="1089" w:type="dxa"/>
          </w:tcPr>
          <w:p w14:paraId="735C3F11" w14:textId="6FA2A3AF" w:rsidR="006C0CF0" w:rsidRPr="001A0FDA" w:rsidRDefault="006C0CF0" w:rsidP="003E1312">
            <w:pPr>
              <w:pStyle w:val="TableCopy"/>
              <w:jc w:val="right"/>
              <w:rPr>
                <w:rFonts w:asciiTheme="minorHAnsi" w:hAnsiTheme="minorHAnsi" w:cstheme="minorHAnsi"/>
                <w:szCs w:val="24"/>
              </w:rPr>
            </w:pPr>
            <w:r w:rsidRPr="001A0FDA">
              <w:rPr>
                <w:rFonts w:asciiTheme="minorHAnsi" w:hAnsiTheme="minorHAnsi" w:cstheme="minorHAnsi"/>
                <w:szCs w:val="24"/>
              </w:rPr>
              <w:t>91,691</w:t>
            </w:r>
          </w:p>
        </w:tc>
        <w:tc>
          <w:tcPr>
            <w:tcW w:w="1179" w:type="dxa"/>
          </w:tcPr>
          <w:p w14:paraId="34EC7539" w14:textId="4D6E634A" w:rsidR="006C0CF0" w:rsidRPr="001A0FDA" w:rsidRDefault="006C0CF0" w:rsidP="003E1312">
            <w:pPr>
              <w:pStyle w:val="TableCopy"/>
              <w:jc w:val="right"/>
              <w:rPr>
                <w:rFonts w:asciiTheme="minorHAnsi" w:hAnsiTheme="minorHAnsi" w:cstheme="minorHAnsi"/>
                <w:szCs w:val="24"/>
              </w:rPr>
            </w:pPr>
            <w:r w:rsidRPr="001A0FDA">
              <w:rPr>
                <w:rFonts w:asciiTheme="minorHAnsi" w:hAnsiTheme="minorHAnsi" w:cstheme="minorHAnsi"/>
                <w:szCs w:val="24"/>
              </w:rPr>
              <w:t>844,682</w:t>
            </w:r>
          </w:p>
        </w:tc>
        <w:tc>
          <w:tcPr>
            <w:tcW w:w="1225" w:type="dxa"/>
          </w:tcPr>
          <w:p w14:paraId="6E59E3E5" w14:textId="1EE3EB52" w:rsidR="006C0CF0" w:rsidRPr="001A0FDA" w:rsidRDefault="006C0CF0" w:rsidP="003E1312">
            <w:pPr>
              <w:pStyle w:val="TableCopy"/>
              <w:jc w:val="right"/>
              <w:rPr>
                <w:rFonts w:asciiTheme="minorHAnsi" w:hAnsiTheme="minorHAnsi" w:cstheme="minorHAnsi"/>
                <w:szCs w:val="24"/>
              </w:rPr>
            </w:pPr>
            <w:r w:rsidRPr="001A0FDA">
              <w:rPr>
                <w:rFonts w:asciiTheme="minorHAnsi" w:hAnsiTheme="minorHAnsi" w:cstheme="minorHAnsi"/>
                <w:szCs w:val="24"/>
              </w:rPr>
              <w:t>1,524</w:t>
            </w:r>
          </w:p>
        </w:tc>
        <w:tc>
          <w:tcPr>
            <w:tcW w:w="1276" w:type="dxa"/>
          </w:tcPr>
          <w:p w14:paraId="0988C061" w14:textId="28C76FAC" w:rsidR="006C0CF0" w:rsidRPr="001A0FDA" w:rsidRDefault="006C0CF0" w:rsidP="003E1312">
            <w:pPr>
              <w:pStyle w:val="TableCopy"/>
              <w:jc w:val="right"/>
              <w:rPr>
                <w:rFonts w:asciiTheme="minorHAnsi" w:hAnsiTheme="minorHAnsi" w:cstheme="minorHAnsi"/>
                <w:szCs w:val="24"/>
              </w:rPr>
            </w:pPr>
            <w:r w:rsidRPr="001A0FDA">
              <w:rPr>
                <w:rFonts w:asciiTheme="minorHAnsi" w:hAnsiTheme="minorHAnsi" w:cstheme="minorHAnsi"/>
                <w:szCs w:val="24"/>
              </w:rPr>
              <w:t>1,240</w:t>
            </w:r>
          </w:p>
        </w:tc>
        <w:tc>
          <w:tcPr>
            <w:tcW w:w="1236" w:type="dxa"/>
          </w:tcPr>
          <w:p w14:paraId="5E490A33" w14:textId="0613ECE2" w:rsidR="006C0CF0" w:rsidRPr="001A0FDA" w:rsidRDefault="006C0CF0" w:rsidP="003E1312">
            <w:pPr>
              <w:pStyle w:val="TableCopy"/>
              <w:jc w:val="right"/>
              <w:rPr>
                <w:rFonts w:asciiTheme="minorHAnsi" w:hAnsiTheme="minorHAnsi" w:cstheme="minorHAnsi"/>
                <w:szCs w:val="24"/>
              </w:rPr>
            </w:pPr>
            <w:r w:rsidRPr="001A0FDA">
              <w:rPr>
                <w:rFonts w:asciiTheme="minorHAnsi" w:hAnsiTheme="minorHAnsi" w:cstheme="minorHAnsi"/>
                <w:szCs w:val="24"/>
              </w:rPr>
              <w:t>93,215</w:t>
            </w:r>
          </w:p>
        </w:tc>
        <w:tc>
          <w:tcPr>
            <w:tcW w:w="1366" w:type="dxa"/>
          </w:tcPr>
          <w:p w14:paraId="331932E0" w14:textId="457353F2" w:rsidR="006C0CF0" w:rsidRPr="001A0FDA" w:rsidRDefault="006C0CF0" w:rsidP="003E1312">
            <w:pPr>
              <w:pStyle w:val="TableCopy"/>
              <w:jc w:val="right"/>
              <w:rPr>
                <w:rFonts w:asciiTheme="minorHAnsi" w:hAnsiTheme="minorHAnsi" w:cstheme="minorHAnsi"/>
                <w:szCs w:val="24"/>
              </w:rPr>
            </w:pPr>
            <w:r w:rsidRPr="001A0FDA">
              <w:rPr>
                <w:rFonts w:asciiTheme="minorHAnsi" w:hAnsiTheme="minorHAnsi" w:cstheme="minorHAnsi"/>
                <w:szCs w:val="24"/>
              </w:rPr>
              <w:t>847,180</w:t>
            </w:r>
          </w:p>
        </w:tc>
        <w:tc>
          <w:tcPr>
            <w:tcW w:w="1276" w:type="dxa"/>
          </w:tcPr>
          <w:p w14:paraId="68C187E0" w14:textId="74684D71" w:rsidR="006C0CF0" w:rsidRPr="001A0FDA" w:rsidRDefault="006C0CF0" w:rsidP="003E1312">
            <w:pPr>
              <w:pStyle w:val="TableCopy"/>
              <w:jc w:val="right"/>
              <w:rPr>
                <w:rFonts w:asciiTheme="minorHAnsi" w:hAnsiTheme="minorHAnsi" w:cstheme="minorHAnsi"/>
                <w:szCs w:val="24"/>
              </w:rPr>
            </w:pPr>
            <w:r w:rsidRPr="001A0FDA">
              <w:rPr>
                <w:rFonts w:asciiTheme="minorHAnsi" w:hAnsiTheme="minorHAnsi" w:cstheme="minorHAnsi"/>
                <w:szCs w:val="24"/>
              </w:rPr>
              <w:t>93,220</w:t>
            </w:r>
          </w:p>
        </w:tc>
        <w:tc>
          <w:tcPr>
            <w:tcW w:w="1323" w:type="dxa"/>
          </w:tcPr>
          <w:p w14:paraId="638687AC" w14:textId="606FE2C8" w:rsidR="006C0CF0" w:rsidRPr="001A0FDA" w:rsidRDefault="006C0CF0" w:rsidP="003E1312">
            <w:pPr>
              <w:pStyle w:val="TableCopy"/>
              <w:jc w:val="right"/>
              <w:rPr>
                <w:rFonts w:asciiTheme="minorHAnsi" w:hAnsiTheme="minorHAnsi" w:cstheme="minorHAnsi"/>
                <w:szCs w:val="24"/>
              </w:rPr>
            </w:pPr>
            <w:r w:rsidRPr="001A0FDA">
              <w:rPr>
                <w:rFonts w:asciiTheme="minorHAnsi" w:hAnsiTheme="minorHAnsi" w:cstheme="minorHAnsi"/>
                <w:szCs w:val="24"/>
              </w:rPr>
              <w:t>873,455</w:t>
            </w:r>
          </w:p>
        </w:tc>
      </w:tr>
      <w:tr w:rsidR="006C0CF0" w:rsidRPr="00FC3AFB" w14:paraId="2688B701" w14:textId="77777777" w:rsidTr="00D041F8">
        <w:trPr>
          <w:trHeight w:val="333"/>
        </w:trPr>
        <w:tc>
          <w:tcPr>
            <w:tcW w:w="2830" w:type="dxa"/>
          </w:tcPr>
          <w:p w14:paraId="63CD5994" w14:textId="77777777" w:rsidR="006C0CF0" w:rsidRPr="00FC3AFB" w:rsidRDefault="006C0CF0" w:rsidP="00AB7848">
            <w:pPr>
              <w:pStyle w:val="TableCopy"/>
              <w:rPr>
                <w:rFonts w:asciiTheme="minorHAnsi" w:hAnsiTheme="minorHAnsi" w:cstheme="minorHAnsi"/>
                <w:b/>
                <w:bCs/>
                <w:szCs w:val="24"/>
              </w:rPr>
            </w:pPr>
            <w:r w:rsidRPr="00FC3AFB">
              <w:rPr>
                <w:rFonts w:asciiTheme="minorHAnsi" w:hAnsiTheme="minorHAnsi" w:cstheme="minorHAnsi"/>
                <w:b/>
                <w:bCs/>
                <w:szCs w:val="24"/>
              </w:rPr>
              <w:t>Total administered revenue and income from transactions</w:t>
            </w:r>
          </w:p>
        </w:tc>
        <w:tc>
          <w:tcPr>
            <w:tcW w:w="1134" w:type="dxa"/>
          </w:tcPr>
          <w:p w14:paraId="192DA416" w14:textId="77777777" w:rsidR="006C0CF0" w:rsidRPr="00FC3AFB" w:rsidRDefault="006C0CF0" w:rsidP="003E1312">
            <w:pPr>
              <w:pStyle w:val="TableCopy"/>
              <w:jc w:val="right"/>
              <w:rPr>
                <w:rFonts w:asciiTheme="minorHAnsi" w:hAnsiTheme="minorHAnsi" w:cstheme="minorHAnsi"/>
                <w:b/>
                <w:bCs/>
                <w:szCs w:val="24"/>
              </w:rPr>
            </w:pPr>
            <w:r w:rsidRPr="00FC3AFB">
              <w:rPr>
                <w:rFonts w:asciiTheme="minorHAnsi" w:hAnsiTheme="minorHAnsi" w:cstheme="minorHAnsi"/>
                <w:b/>
                <w:bCs/>
                <w:szCs w:val="24"/>
              </w:rPr>
              <w:t>(146)</w:t>
            </w:r>
          </w:p>
        </w:tc>
        <w:tc>
          <w:tcPr>
            <w:tcW w:w="1134" w:type="dxa"/>
          </w:tcPr>
          <w:p w14:paraId="06FC9F3C" w14:textId="3F5C00E0" w:rsidR="006C0CF0" w:rsidRPr="00FC3AFB" w:rsidRDefault="006C0CF0" w:rsidP="003E1312">
            <w:pPr>
              <w:pStyle w:val="TableCopy"/>
              <w:jc w:val="right"/>
              <w:rPr>
                <w:rFonts w:asciiTheme="minorHAnsi" w:hAnsiTheme="minorHAnsi" w:cstheme="minorHAnsi"/>
                <w:b/>
                <w:bCs/>
                <w:szCs w:val="24"/>
              </w:rPr>
            </w:pPr>
            <w:r w:rsidRPr="00FC3AFB">
              <w:rPr>
                <w:rFonts w:asciiTheme="minorHAnsi" w:hAnsiTheme="minorHAnsi" w:cstheme="minorHAnsi"/>
                <w:b/>
                <w:bCs/>
                <w:szCs w:val="24"/>
              </w:rPr>
              <w:t>17</w:t>
            </w:r>
          </w:p>
        </w:tc>
        <w:tc>
          <w:tcPr>
            <w:tcW w:w="1089" w:type="dxa"/>
          </w:tcPr>
          <w:p w14:paraId="24757FF7" w14:textId="479A72A2" w:rsidR="006C0CF0" w:rsidRPr="00FC3AFB" w:rsidRDefault="006C0CF0" w:rsidP="003E1312">
            <w:pPr>
              <w:pStyle w:val="TableCopy"/>
              <w:jc w:val="right"/>
              <w:rPr>
                <w:rFonts w:asciiTheme="minorHAnsi" w:hAnsiTheme="minorHAnsi" w:cstheme="minorHAnsi"/>
                <w:b/>
                <w:bCs/>
                <w:szCs w:val="24"/>
              </w:rPr>
            </w:pPr>
            <w:r w:rsidRPr="00FC3AFB">
              <w:rPr>
                <w:rFonts w:asciiTheme="minorHAnsi" w:hAnsiTheme="minorHAnsi" w:cstheme="minorHAnsi"/>
                <w:b/>
                <w:bCs/>
                <w:szCs w:val="24"/>
              </w:rPr>
              <w:t>91,691</w:t>
            </w:r>
          </w:p>
        </w:tc>
        <w:tc>
          <w:tcPr>
            <w:tcW w:w="1179" w:type="dxa"/>
          </w:tcPr>
          <w:p w14:paraId="4ABADEED" w14:textId="0B2C81DA" w:rsidR="006C0CF0" w:rsidRPr="00FC3AFB" w:rsidRDefault="006C0CF0" w:rsidP="003E1312">
            <w:pPr>
              <w:pStyle w:val="TableCopy"/>
              <w:jc w:val="right"/>
              <w:rPr>
                <w:rFonts w:asciiTheme="minorHAnsi" w:hAnsiTheme="minorHAnsi" w:cstheme="minorHAnsi"/>
                <w:b/>
                <w:bCs/>
                <w:szCs w:val="24"/>
              </w:rPr>
            </w:pPr>
            <w:r w:rsidRPr="00FC3AFB">
              <w:rPr>
                <w:rFonts w:asciiTheme="minorHAnsi" w:hAnsiTheme="minorHAnsi" w:cstheme="minorHAnsi"/>
                <w:b/>
                <w:bCs/>
                <w:szCs w:val="24"/>
              </w:rPr>
              <w:t>844,684</w:t>
            </w:r>
          </w:p>
        </w:tc>
        <w:tc>
          <w:tcPr>
            <w:tcW w:w="1225" w:type="dxa"/>
          </w:tcPr>
          <w:p w14:paraId="7E070CC6" w14:textId="457E493C" w:rsidR="006C0CF0" w:rsidRPr="00FC3AFB" w:rsidRDefault="006C0CF0" w:rsidP="003E1312">
            <w:pPr>
              <w:pStyle w:val="TableCopy"/>
              <w:jc w:val="right"/>
              <w:rPr>
                <w:rFonts w:asciiTheme="minorHAnsi" w:hAnsiTheme="minorHAnsi" w:cstheme="minorHAnsi"/>
                <w:b/>
                <w:bCs/>
                <w:szCs w:val="24"/>
              </w:rPr>
            </w:pPr>
            <w:r w:rsidRPr="00FC3AFB">
              <w:rPr>
                <w:rFonts w:asciiTheme="minorHAnsi" w:hAnsiTheme="minorHAnsi" w:cstheme="minorHAnsi"/>
                <w:b/>
                <w:bCs/>
                <w:szCs w:val="24"/>
              </w:rPr>
              <w:t>1,524</w:t>
            </w:r>
          </w:p>
        </w:tc>
        <w:tc>
          <w:tcPr>
            <w:tcW w:w="1276" w:type="dxa"/>
          </w:tcPr>
          <w:p w14:paraId="6F821099" w14:textId="18CC4FC0" w:rsidR="006C0CF0" w:rsidRPr="00FC3AFB" w:rsidRDefault="006C0CF0" w:rsidP="003E1312">
            <w:pPr>
              <w:pStyle w:val="TableCopy"/>
              <w:jc w:val="right"/>
              <w:rPr>
                <w:rFonts w:asciiTheme="minorHAnsi" w:hAnsiTheme="minorHAnsi" w:cstheme="minorHAnsi"/>
                <w:b/>
                <w:bCs/>
                <w:szCs w:val="24"/>
              </w:rPr>
            </w:pPr>
            <w:r w:rsidRPr="00FC3AFB">
              <w:rPr>
                <w:rFonts w:asciiTheme="minorHAnsi" w:hAnsiTheme="minorHAnsi" w:cstheme="minorHAnsi"/>
                <w:b/>
                <w:bCs/>
                <w:szCs w:val="24"/>
              </w:rPr>
              <w:t>1,240</w:t>
            </w:r>
          </w:p>
        </w:tc>
        <w:tc>
          <w:tcPr>
            <w:tcW w:w="1236" w:type="dxa"/>
          </w:tcPr>
          <w:p w14:paraId="6BC3A368" w14:textId="711C4121" w:rsidR="006C0CF0" w:rsidRPr="00FC3AFB" w:rsidRDefault="006C0CF0" w:rsidP="003E1312">
            <w:pPr>
              <w:pStyle w:val="TableCopy"/>
              <w:jc w:val="right"/>
              <w:rPr>
                <w:rFonts w:asciiTheme="minorHAnsi" w:hAnsiTheme="minorHAnsi" w:cstheme="minorHAnsi"/>
                <w:b/>
                <w:bCs/>
                <w:szCs w:val="24"/>
              </w:rPr>
            </w:pPr>
            <w:r w:rsidRPr="00FC3AFB">
              <w:rPr>
                <w:rFonts w:asciiTheme="minorHAnsi" w:hAnsiTheme="minorHAnsi" w:cstheme="minorHAnsi"/>
                <w:b/>
                <w:bCs/>
                <w:szCs w:val="24"/>
              </w:rPr>
              <w:t>195,391</w:t>
            </w:r>
          </w:p>
        </w:tc>
        <w:tc>
          <w:tcPr>
            <w:tcW w:w="1366" w:type="dxa"/>
          </w:tcPr>
          <w:p w14:paraId="4B60C74A" w14:textId="63FB7AA9" w:rsidR="006C0CF0" w:rsidRPr="00FC3AFB" w:rsidRDefault="006C0CF0" w:rsidP="003E1312">
            <w:pPr>
              <w:pStyle w:val="TableCopy"/>
              <w:jc w:val="right"/>
              <w:rPr>
                <w:rFonts w:asciiTheme="minorHAnsi" w:hAnsiTheme="minorHAnsi" w:cstheme="minorHAnsi"/>
                <w:b/>
                <w:bCs/>
                <w:szCs w:val="24"/>
              </w:rPr>
            </w:pPr>
            <w:r w:rsidRPr="00FC3AFB">
              <w:rPr>
                <w:rFonts w:asciiTheme="minorHAnsi" w:hAnsiTheme="minorHAnsi" w:cstheme="minorHAnsi"/>
                <w:b/>
                <w:bCs/>
                <w:szCs w:val="24"/>
              </w:rPr>
              <w:t>1,092,426</w:t>
            </w:r>
          </w:p>
        </w:tc>
        <w:tc>
          <w:tcPr>
            <w:tcW w:w="1276" w:type="dxa"/>
          </w:tcPr>
          <w:p w14:paraId="5ACA3B1F" w14:textId="419D7FFC" w:rsidR="006C0CF0" w:rsidRPr="00FC3AFB" w:rsidRDefault="006C0CF0" w:rsidP="003E1312">
            <w:pPr>
              <w:pStyle w:val="TableCopy"/>
              <w:jc w:val="right"/>
              <w:rPr>
                <w:rFonts w:asciiTheme="minorHAnsi" w:hAnsiTheme="minorHAnsi" w:cstheme="minorHAnsi"/>
                <w:b/>
                <w:bCs/>
                <w:szCs w:val="24"/>
              </w:rPr>
            </w:pPr>
            <w:r w:rsidRPr="00FC3AFB">
              <w:rPr>
                <w:rFonts w:asciiTheme="minorHAnsi" w:hAnsiTheme="minorHAnsi" w:cstheme="minorHAnsi"/>
                <w:b/>
                <w:bCs/>
                <w:szCs w:val="24"/>
              </w:rPr>
              <w:t>320,547</w:t>
            </w:r>
          </w:p>
        </w:tc>
        <w:tc>
          <w:tcPr>
            <w:tcW w:w="1323" w:type="dxa"/>
          </w:tcPr>
          <w:p w14:paraId="1B4AFAEB" w14:textId="5243B12D" w:rsidR="006C0CF0" w:rsidRPr="00FC3AFB" w:rsidRDefault="006C0CF0" w:rsidP="003E1312">
            <w:pPr>
              <w:pStyle w:val="TableCopy"/>
              <w:jc w:val="right"/>
              <w:rPr>
                <w:rFonts w:asciiTheme="minorHAnsi" w:hAnsiTheme="minorHAnsi" w:cstheme="minorHAnsi"/>
                <w:b/>
                <w:bCs/>
                <w:szCs w:val="24"/>
              </w:rPr>
            </w:pPr>
            <w:r w:rsidRPr="00FC3AFB">
              <w:rPr>
                <w:rFonts w:asciiTheme="minorHAnsi" w:hAnsiTheme="minorHAnsi" w:cstheme="minorHAnsi"/>
                <w:b/>
                <w:bCs/>
                <w:szCs w:val="24"/>
              </w:rPr>
              <w:t>1,225,218</w:t>
            </w:r>
          </w:p>
        </w:tc>
      </w:tr>
      <w:tr w:rsidR="006C0CF0" w:rsidRPr="00FC3AFB" w14:paraId="0A525CDC" w14:textId="77777777" w:rsidTr="00D041F8">
        <w:trPr>
          <w:trHeight w:val="113"/>
        </w:trPr>
        <w:tc>
          <w:tcPr>
            <w:tcW w:w="2830" w:type="dxa"/>
          </w:tcPr>
          <w:p w14:paraId="600E80AC" w14:textId="77777777" w:rsidR="006C0CF0" w:rsidRPr="00FC3AFB" w:rsidRDefault="006C0CF0" w:rsidP="00FC3AFB">
            <w:pPr>
              <w:pStyle w:val="TableHeading"/>
            </w:pPr>
            <w:r w:rsidRPr="00FC3AFB">
              <w:t>Administered expenses from transactions</w:t>
            </w:r>
          </w:p>
        </w:tc>
        <w:tc>
          <w:tcPr>
            <w:tcW w:w="1134" w:type="dxa"/>
          </w:tcPr>
          <w:p w14:paraId="2AD55B06" w14:textId="77777777" w:rsidR="006C0CF0" w:rsidRPr="00FC3AFB" w:rsidRDefault="006C0CF0" w:rsidP="003E1312">
            <w:pPr>
              <w:pStyle w:val="TableHeading"/>
              <w:jc w:val="right"/>
            </w:pPr>
          </w:p>
        </w:tc>
        <w:tc>
          <w:tcPr>
            <w:tcW w:w="1134" w:type="dxa"/>
          </w:tcPr>
          <w:p w14:paraId="5611ACC7" w14:textId="77777777" w:rsidR="006C0CF0" w:rsidRPr="00FC3AFB" w:rsidRDefault="006C0CF0" w:rsidP="003E1312">
            <w:pPr>
              <w:pStyle w:val="TableHeading"/>
              <w:jc w:val="right"/>
            </w:pPr>
          </w:p>
        </w:tc>
        <w:tc>
          <w:tcPr>
            <w:tcW w:w="1089" w:type="dxa"/>
          </w:tcPr>
          <w:p w14:paraId="7F1E1F96" w14:textId="77777777" w:rsidR="006C0CF0" w:rsidRPr="00FC3AFB" w:rsidRDefault="006C0CF0" w:rsidP="003E1312">
            <w:pPr>
              <w:pStyle w:val="TableHeading"/>
              <w:jc w:val="right"/>
            </w:pPr>
          </w:p>
        </w:tc>
        <w:tc>
          <w:tcPr>
            <w:tcW w:w="1179" w:type="dxa"/>
          </w:tcPr>
          <w:p w14:paraId="41AEC0C4" w14:textId="77777777" w:rsidR="006C0CF0" w:rsidRPr="00FC3AFB" w:rsidRDefault="006C0CF0" w:rsidP="003E1312">
            <w:pPr>
              <w:pStyle w:val="TableHeading"/>
              <w:jc w:val="right"/>
            </w:pPr>
          </w:p>
        </w:tc>
        <w:tc>
          <w:tcPr>
            <w:tcW w:w="1225" w:type="dxa"/>
          </w:tcPr>
          <w:p w14:paraId="68260208" w14:textId="77777777" w:rsidR="006C0CF0" w:rsidRPr="00FC3AFB" w:rsidRDefault="006C0CF0" w:rsidP="003E1312">
            <w:pPr>
              <w:pStyle w:val="TableHeading"/>
              <w:jc w:val="right"/>
            </w:pPr>
          </w:p>
        </w:tc>
        <w:tc>
          <w:tcPr>
            <w:tcW w:w="1276" w:type="dxa"/>
          </w:tcPr>
          <w:p w14:paraId="1528DD27" w14:textId="77777777" w:rsidR="006C0CF0" w:rsidRPr="00FC3AFB" w:rsidRDefault="006C0CF0" w:rsidP="003E1312">
            <w:pPr>
              <w:pStyle w:val="TableHeading"/>
              <w:jc w:val="right"/>
            </w:pPr>
          </w:p>
        </w:tc>
        <w:tc>
          <w:tcPr>
            <w:tcW w:w="1236" w:type="dxa"/>
          </w:tcPr>
          <w:p w14:paraId="5BB8D864" w14:textId="77777777" w:rsidR="006C0CF0" w:rsidRPr="00FC3AFB" w:rsidRDefault="006C0CF0" w:rsidP="003E1312">
            <w:pPr>
              <w:pStyle w:val="TableHeading"/>
              <w:jc w:val="right"/>
            </w:pPr>
          </w:p>
        </w:tc>
        <w:tc>
          <w:tcPr>
            <w:tcW w:w="1366" w:type="dxa"/>
          </w:tcPr>
          <w:p w14:paraId="5D524925" w14:textId="77777777" w:rsidR="006C0CF0" w:rsidRPr="00FC3AFB" w:rsidRDefault="006C0CF0" w:rsidP="003E1312">
            <w:pPr>
              <w:pStyle w:val="TableHeading"/>
              <w:jc w:val="right"/>
            </w:pPr>
          </w:p>
        </w:tc>
        <w:tc>
          <w:tcPr>
            <w:tcW w:w="1276" w:type="dxa"/>
          </w:tcPr>
          <w:p w14:paraId="38CD01F5" w14:textId="77777777" w:rsidR="006C0CF0" w:rsidRPr="00FC3AFB" w:rsidRDefault="006C0CF0" w:rsidP="003E1312">
            <w:pPr>
              <w:pStyle w:val="TableHeading"/>
              <w:jc w:val="right"/>
            </w:pPr>
          </w:p>
        </w:tc>
        <w:tc>
          <w:tcPr>
            <w:tcW w:w="1323" w:type="dxa"/>
          </w:tcPr>
          <w:p w14:paraId="2BD0F4F6" w14:textId="77777777" w:rsidR="006C0CF0" w:rsidRPr="00FC3AFB" w:rsidRDefault="006C0CF0" w:rsidP="003E1312">
            <w:pPr>
              <w:pStyle w:val="TableHeading"/>
              <w:jc w:val="right"/>
            </w:pPr>
          </w:p>
        </w:tc>
      </w:tr>
      <w:tr w:rsidR="006C0CF0" w:rsidRPr="001A0FDA" w14:paraId="6E417BA2" w14:textId="77777777" w:rsidTr="00D041F8">
        <w:trPr>
          <w:trHeight w:val="113"/>
        </w:trPr>
        <w:tc>
          <w:tcPr>
            <w:tcW w:w="2830" w:type="dxa"/>
          </w:tcPr>
          <w:p w14:paraId="14C10F15" w14:textId="77777777" w:rsidR="006C0CF0" w:rsidRPr="001A0FDA" w:rsidRDefault="006C0CF0" w:rsidP="00AB7848">
            <w:pPr>
              <w:pStyle w:val="TableCopy"/>
              <w:rPr>
                <w:rFonts w:asciiTheme="minorHAnsi" w:hAnsiTheme="minorHAnsi" w:cstheme="minorHAnsi"/>
                <w:szCs w:val="24"/>
              </w:rPr>
            </w:pPr>
            <w:r w:rsidRPr="001A0FDA">
              <w:rPr>
                <w:rFonts w:asciiTheme="minorHAnsi" w:hAnsiTheme="minorHAnsi" w:cstheme="minorHAnsi"/>
                <w:szCs w:val="24"/>
              </w:rPr>
              <w:t>Payments into Consolidated Fund</w:t>
            </w:r>
          </w:p>
        </w:tc>
        <w:tc>
          <w:tcPr>
            <w:tcW w:w="1134" w:type="dxa"/>
          </w:tcPr>
          <w:p w14:paraId="21339850" w14:textId="77777777" w:rsidR="006C0CF0" w:rsidRPr="001A0FDA" w:rsidRDefault="006C0CF0" w:rsidP="003E1312">
            <w:pPr>
              <w:pStyle w:val="TableCopy"/>
              <w:jc w:val="right"/>
              <w:rPr>
                <w:rFonts w:asciiTheme="minorHAnsi" w:hAnsiTheme="minorHAnsi" w:cstheme="minorHAnsi"/>
                <w:szCs w:val="24"/>
              </w:rPr>
            </w:pPr>
            <w:r w:rsidRPr="001A0FDA">
              <w:rPr>
                <w:rFonts w:asciiTheme="minorHAnsi" w:hAnsiTheme="minorHAnsi" w:cstheme="minorHAnsi"/>
                <w:szCs w:val="24"/>
              </w:rPr>
              <w:t>(222)</w:t>
            </w:r>
          </w:p>
        </w:tc>
        <w:tc>
          <w:tcPr>
            <w:tcW w:w="1134" w:type="dxa"/>
          </w:tcPr>
          <w:p w14:paraId="5366E803" w14:textId="77777777" w:rsidR="006C0CF0" w:rsidRPr="001A0FDA" w:rsidRDefault="006C0CF0" w:rsidP="003E1312">
            <w:pPr>
              <w:pStyle w:val="TableCopy"/>
              <w:jc w:val="right"/>
              <w:rPr>
                <w:rFonts w:asciiTheme="minorHAnsi" w:hAnsiTheme="minorHAnsi" w:cstheme="minorHAnsi"/>
                <w:szCs w:val="24"/>
              </w:rPr>
            </w:pPr>
            <w:r w:rsidRPr="001A0FDA">
              <w:rPr>
                <w:rFonts w:asciiTheme="minorHAnsi" w:hAnsiTheme="minorHAnsi" w:cstheme="minorHAnsi"/>
                <w:szCs w:val="24"/>
              </w:rPr>
              <w:t>(1,418)</w:t>
            </w:r>
          </w:p>
        </w:tc>
        <w:tc>
          <w:tcPr>
            <w:tcW w:w="1089" w:type="dxa"/>
          </w:tcPr>
          <w:p w14:paraId="2DDFA8B6" w14:textId="7916B9CC" w:rsidR="006C0CF0" w:rsidRPr="001A0FDA" w:rsidRDefault="006C0CF0" w:rsidP="003E1312">
            <w:pPr>
              <w:pStyle w:val="TableCopy"/>
              <w:jc w:val="right"/>
              <w:rPr>
                <w:rFonts w:asciiTheme="minorHAnsi" w:hAnsiTheme="minorHAnsi" w:cstheme="minorHAnsi"/>
                <w:szCs w:val="24"/>
              </w:rPr>
            </w:pPr>
            <w:r w:rsidRPr="001A0FDA">
              <w:rPr>
                <w:rFonts w:asciiTheme="minorHAnsi" w:hAnsiTheme="minorHAnsi" w:cstheme="minorHAnsi"/>
                <w:szCs w:val="24"/>
              </w:rPr>
              <w:t>–</w:t>
            </w:r>
          </w:p>
        </w:tc>
        <w:tc>
          <w:tcPr>
            <w:tcW w:w="1179" w:type="dxa"/>
          </w:tcPr>
          <w:p w14:paraId="78581DFD" w14:textId="77E2BC5E" w:rsidR="006C0CF0" w:rsidRPr="001A0FDA" w:rsidRDefault="006C0CF0" w:rsidP="003E1312">
            <w:pPr>
              <w:pStyle w:val="TableCopy"/>
              <w:jc w:val="right"/>
              <w:rPr>
                <w:rFonts w:asciiTheme="minorHAnsi" w:hAnsiTheme="minorHAnsi" w:cstheme="minorHAnsi"/>
                <w:szCs w:val="24"/>
              </w:rPr>
            </w:pPr>
            <w:r w:rsidRPr="001A0FDA">
              <w:rPr>
                <w:rFonts w:asciiTheme="minorHAnsi" w:hAnsiTheme="minorHAnsi" w:cstheme="minorHAnsi"/>
                <w:szCs w:val="24"/>
              </w:rPr>
              <w:t>5</w:t>
            </w:r>
          </w:p>
        </w:tc>
        <w:tc>
          <w:tcPr>
            <w:tcW w:w="1225" w:type="dxa"/>
          </w:tcPr>
          <w:p w14:paraId="678364E0" w14:textId="77777777" w:rsidR="006C0CF0" w:rsidRPr="001A0FDA" w:rsidRDefault="006C0CF0" w:rsidP="003E1312">
            <w:pPr>
              <w:pStyle w:val="TableCopy"/>
              <w:jc w:val="right"/>
              <w:rPr>
                <w:rFonts w:asciiTheme="minorHAnsi" w:hAnsiTheme="minorHAnsi" w:cstheme="minorHAnsi"/>
                <w:szCs w:val="24"/>
              </w:rPr>
            </w:pPr>
            <w:r w:rsidRPr="001A0FDA">
              <w:rPr>
                <w:rFonts w:asciiTheme="minorHAnsi" w:hAnsiTheme="minorHAnsi" w:cstheme="minorHAnsi"/>
                <w:szCs w:val="24"/>
              </w:rPr>
              <w:t>(1,524)</w:t>
            </w:r>
          </w:p>
        </w:tc>
        <w:tc>
          <w:tcPr>
            <w:tcW w:w="1276" w:type="dxa"/>
          </w:tcPr>
          <w:p w14:paraId="36C1C9DB" w14:textId="77777777" w:rsidR="006C0CF0" w:rsidRPr="001A0FDA" w:rsidRDefault="006C0CF0" w:rsidP="003E1312">
            <w:pPr>
              <w:pStyle w:val="TableCopy"/>
              <w:jc w:val="right"/>
              <w:rPr>
                <w:rFonts w:asciiTheme="minorHAnsi" w:hAnsiTheme="minorHAnsi" w:cstheme="minorHAnsi"/>
                <w:szCs w:val="24"/>
              </w:rPr>
            </w:pPr>
            <w:r w:rsidRPr="001A0FDA">
              <w:rPr>
                <w:rFonts w:asciiTheme="minorHAnsi" w:hAnsiTheme="minorHAnsi" w:cstheme="minorHAnsi"/>
                <w:szCs w:val="24"/>
              </w:rPr>
              <w:t>(1,240)</w:t>
            </w:r>
          </w:p>
        </w:tc>
        <w:tc>
          <w:tcPr>
            <w:tcW w:w="1236" w:type="dxa"/>
          </w:tcPr>
          <w:p w14:paraId="4369A04A" w14:textId="77777777" w:rsidR="006C0CF0" w:rsidRPr="001A0FDA" w:rsidRDefault="006C0CF0" w:rsidP="003E1312">
            <w:pPr>
              <w:pStyle w:val="TableCopy"/>
              <w:jc w:val="right"/>
              <w:rPr>
                <w:rFonts w:asciiTheme="minorHAnsi" w:hAnsiTheme="minorHAnsi" w:cstheme="minorHAnsi"/>
                <w:szCs w:val="24"/>
              </w:rPr>
            </w:pPr>
            <w:r w:rsidRPr="001A0FDA">
              <w:rPr>
                <w:rFonts w:asciiTheme="minorHAnsi" w:hAnsiTheme="minorHAnsi" w:cstheme="minorHAnsi"/>
                <w:szCs w:val="24"/>
              </w:rPr>
              <w:t>(172,108)</w:t>
            </w:r>
          </w:p>
        </w:tc>
        <w:tc>
          <w:tcPr>
            <w:tcW w:w="1366" w:type="dxa"/>
          </w:tcPr>
          <w:p w14:paraId="46370688" w14:textId="77777777" w:rsidR="006C0CF0" w:rsidRPr="001A0FDA" w:rsidRDefault="006C0CF0" w:rsidP="003E1312">
            <w:pPr>
              <w:pStyle w:val="TableCopy"/>
              <w:jc w:val="right"/>
              <w:rPr>
                <w:rFonts w:asciiTheme="minorHAnsi" w:hAnsiTheme="minorHAnsi" w:cstheme="minorHAnsi"/>
                <w:szCs w:val="24"/>
              </w:rPr>
            </w:pPr>
            <w:r w:rsidRPr="001A0FDA">
              <w:rPr>
                <w:rFonts w:asciiTheme="minorHAnsi" w:hAnsiTheme="minorHAnsi" w:cstheme="minorHAnsi"/>
                <w:szCs w:val="24"/>
              </w:rPr>
              <w:t>(269,385)</w:t>
            </w:r>
          </w:p>
        </w:tc>
        <w:tc>
          <w:tcPr>
            <w:tcW w:w="1276" w:type="dxa"/>
          </w:tcPr>
          <w:p w14:paraId="48026C78" w14:textId="77777777" w:rsidR="006C0CF0" w:rsidRPr="001A0FDA" w:rsidRDefault="006C0CF0" w:rsidP="003E1312">
            <w:pPr>
              <w:pStyle w:val="TableCopy"/>
              <w:jc w:val="right"/>
              <w:rPr>
                <w:rFonts w:asciiTheme="minorHAnsi" w:hAnsiTheme="minorHAnsi" w:cstheme="minorHAnsi"/>
                <w:szCs w:val="24"/>
              </w:rPr>
            </w:pPr>
            <w:r w:rsidRPr="001A0FDA">
              <w:rPr>
                <w:rFonts w:asciiTheme="minorHAnsi" w:hAnsiTheme="minorHAnsi" w:cstheme="minorHAnsi"/>
                <w:szCs w:val="24"/>
              </w:rPr>
              <w:t>(199,142)</w:t>
            </w:r>
          </w:p>
        </w:tc>
        <w:tc>
          <w:tcPr>
            <w:tcW w:w="1323" w:type="dxa"/>
          </w:tcPr>
          <w:p w14:paraId="20080200" w14:textId="77777777" w:rsidR="006C0CF0" w:rsidRPr="001A0FDA" w:rsidRDefault="006C0CF0" w:rsidP="003E1312">
            <w:pPr>
              <w:pStyle w:val="TableCopy"/>
              <w:jc w:val="right"/>
              <w:rPr>
                <w:rFonts w:asciiTheme="minorHAnsi" w:hAnsiTheme="minorHAnsi" w:cstheme="minorHAnsi"/>
                <w:szCs w:val="24"/>
              </w:rPr>
            </w:pPr>
            <w:r w:rsidRPr="001A0FDA">
              <w:rPr>
                <w:rFonts w:asciiTheme="minorHAnsi" w:hAnsiTheme="minorHAnsi" w:cstheme="minorHAnsi"/>
                <w:szCs w:val="24"/>
              </w:rPr>
              <w:t>(328,355)</w:t>
            </w:r>
          </w:p>
        </w:tc>
      </w:tr>
      <w:tr w:rsidR="006C0CF0" w:rsidRPr="001A0FDA" w14:paraId="3FF337A7" w14:textId="77777777" w:rsidTr="00D041F8">
        <w:trPr>
          <w:trHeight w:val="113"/>
        </w:trPr>
        <w:tc>
          <w:tcPr>
            <w:tcW w:w="2830" w:type="dxa"/>
          </w:tcPr>
          <w:p w14:paraId="6130FA8C" w14:textId="77777777" w:rsidR="006C0CF0" w:rsidRPr="001A0FDA" w:rsidRDefault="006C0CF0" w:rsidP="00AB7848">
            <w:pPr>
              <w:pStyle w:val="TableCopy"/>
              <w:rPr>
                <w:rFonts w:asciiTheme="minorHAnsi" w:hAnsiTheme="minorHAnsi" w:cstheme="minorHAnsi"/>
                <w:szCs w:val="24"/>
              </w:rPr>
            </w:pPr>
            <w:r w:rsidRPr="001A0FDA">
              <w:rPr>
                <w:rFonts w:asciiTheme="minorHAnsi" w:hAnsiTheme="minorHAnsi" w:cstheme="minorHAnsi"/>
                <w:szCs w:val="24"/>
              </w:rPr>
              <w:t>Interest expense</w:t>
            </w:r>
          </w:p>
        </w:tc>
        <w:tc>
          <w:tcPr>
            <w:tcW w:w="1134" w:type="dxa"/>
          </w:tcPr>
          <w:p w14:paraId="49F0464C" w14:textId="44939698" w:rsidR="006C0CF0" w:rsidRPr="001A0FDA" w:rsidRDefault="006C0CF0" w:rsidP="003E1312">
            <w:pPr>
              <w:pStyle w:val="TableCopy"/>
              <w:jc w:val="right"/>
              <w:rPr>
                <w:rFonts w:asciiTheme="minorHAnsi" w:hAnsiTheme="minorHAnsi" w:cstheme="minorHAnsi"/>
                <w:szCs w:val="24"/>
              </w:rPr>
            </w:pPr>
            <w:r w:rsidRPr="001A0FDA">
              <w:rPr>
                <w:rFonts w:asciiTheme="minorHAnsi" w:hAnsiTheme="minorHAnsi" w:cstheme="minorHAnsi"/>
                <w:szCs w:val="24"/>
              </w:rPr>
              <w:t>–</w:t>
            </w:r>
          </w:p>
        </w:tc>
        <w:tc>
          <w:tcPr>
            <w:tcW w:w="1134" w:type="dxa"/>
          </w:tcPr>
          <w:p w14:paraId="21C5B38B" w14:textId="7A821D3A" w:rsidR="006C0CF0" w:rsidRPr="001A0FDA" w:rsidRDefault="006C0CF0" w:rsidP="003E1312">
            <w:pPr>
              <w:pStyle w:val="TableCopy"/>
              <w:jc w:val="right"/>
              <w:rPr>
                <w:rFonts w:asciiTheme="minorHAnsi" w:hAnsiTheme="minorHAnsi" w:cstheme="minorHAnsi"/>
                <w:szCs w:val="24"/>
              </w:rPr>
            </w:pPr>
            <w:r w:rsidRPr="001A0FDA">
              <w:rPr>
                <w:rFonts w:asciiTheme="minorHAnsi" w:hAnsiTheme="minorHAnsi" w:cstheme="minorHAnsi"/>
                <w:szCs w:val="24"/>
              </w:rPr>
              <w:t>–</w:t>
            </w:r>
          </w:p>
        </w:tc>
        <w:tc>
          <w:tcPr>
            <w:tcW w:w="1089" w:type="dxa"/>
          </w:tcPr>
          <w:p w14:paraId="38859E7C" w14:textId="0CADE2BB" w:rsidR="006C0CF0" w:rsidRPr="001A0FDA" w:rsidRDefault="006C0CF0" w:rsidP="003E1312">
            <w:pPr>
              <w:pStyle w:val="TableCopy"/>
              <w:jc w:val="right"/>
              <w:rPr>
                <w:rFonts w:asciiTheme="minorHAnsi" w:hAnsiTheme="minorHAnsi" w:cstheme="minorHAnsi"/>
                <w:szCs w:val="24"/>
              </w:rPr>
            </w:pPr>
            <w:r w:rsidRPr="001A0FDA">
              <w:rPr>
                <w:rFonts w:asciiTheme="minorHAnsi" w:hAnsiTheme="minorHAnsi" w:cstheme="minorHAnsi"/>
                <w:szCs w:val="24"/>
              </w:rPr>
              <w:t>–</w:t>
            </w:r>
          </w:p>
        </w:tc>
        <w:tc>
          <w:tcPr>
            <w:tcW w:w="1179" w:type="dxa"/>
          </w:tcPr>
          <w:p w14:paraId="791DBD5B" w14:textId="7964964B" w:rsidR="006C0CF0" w:rsidRPr="001A0FDA" w:rsidRDefault="006C0CF0" w:rsidP="003E1312">
            <w:pPr>
              <w:pStyle w:val="TableCopy"/>
              <w:jc w:val="right"/>
              <w:rPr>
                <w:rFonts w:asciiTheme="minorHAnsi" w:hAnsiTheme="minorHAnsi" w:cstheme="minorHAnsi"/>
                <w:szCs w:val="24"/>
              </w:rPr>
            </w:pPr>
            <w:r w:rsidRPr="001A0FDA">
              <w:rPr>
                <w:rFonts w:asciiTheme="minorHAnsi" w:hAnsiTheme="minorHAnsi" w:cstheme="minorHAnsi"/>
                <w:szCs w:val="24"/>
              </w:rPr>
              <w:t>–</w:t>
            </w:r>
          </w:p>
        </w:tc>
        <w:tc>
          <w:tcPr>
            <w:tcW w:w="1225" w:type="dxa"/>
          </w:tcPr>
          <w:p w14:paraId="04F642C0" w14:textId="069B5495" w:rsidR="006C0CF0" w:rsidRPr="001A0FDA" w:rsidRDefault="006C0CF0" w:rsidP="003E1312">
            <w:pPr>
              <w:pStyle w:val="TableCopy"/>
              <w:jc w:val="right"/>
              <w:rPr>
                <w:rFonts w:asciiTheme="minorHAnsi" w:hAnsiTheme="minorHAnsi" w:cstheme="minorHAnsi"/>
                <w:szCs w:val="24"/>
              </w:rPr>
            </w:pPr>
            <w:r w:rsidRPr="001A0FDA">
              <w:rPr>
                <w:rFonts w:asciiTheme="minorHAnsi" w:hAnsiTheme="minorHAnsi" w:cstheme="minorHAnsi"/>
                <w:szCs w:val="24"/>
              </w:rPr>
              <w:t>–</w:t>
            </w:r>
          </w:p>
        </w:tc>
        <w:tc>
          <w:tcPr>
            <w:tcW w:w="1276" w:type="dxa"/>
          </w:tcPr>
          <w:p w14:paraId="766B686F" w14:textId="33BDE106" w:rsidR="006C0CF0" w:rsidRPr="001A0FDA" w:rsidRDefault="006C0CF0" w:rsidP="003E1312">
            <w:pPr>
              <w:pStyle w:val="TableCopy"/>
              <w:jc w:val="right"/>
              <w:rPr>
                <w:rFonts w:asciiTheme="minorHAnsi" w:hAnsiTheme="minorHAnsi" w:cstheme="minorHAnsi"/>
                <w:szCs w:val="24"/>
              </w:rPr>
            </w:pPr>
            <w:r w:rsidRPr="001A0FDA">
              <w:rPr>
                <w:rFonts w:asciiTheme="minorHAnsi" w:hAnsiTheme="minorHAnsi" w:cstheme="minorHAnsi"/>
                <w:szCs w:val="24"/>
              </w:rPr>
              <w:t>–</w:t>
            </w:r>
          </w:p>
        </w:tc>
        <w:tc>
          <w:tcPr>
            <w:tcW w:w="1236" w:type="dxa"/>
          </w:tcPr>
          <w:p w14:paraId="11925C5E" w14:textId="261E2D3E" w:rsidR="006C0CF0" w:rsidRPr="001A0FDA" w:rsidRDefault="006C0CF0" w:rsidP="003E1312">
            <w:pPr>
              <w:pStyle w:val="TableCopy"/>
              <w:jc w:val="right"/>
              <w:rPr>
                <w:rFonts w:asciiTheme="minorHAnsi" w:hAnsiTheme="minorHAnsi" w:cstheme="minorHAnsi"/>
                <w:szCs w:val="24"/>
              </w:rPr>
            </w:pPr>
            <w:r w:rsidRPr="001A0FDA">
              <w:rPr>
                <w:rFonts w:asciiTheme="minorHAnsi" w:hAnsiTheme="minorHAnsi" w:cstheme="minorHAnsi"/>
                <w:szCs w:val="24"/>
              </w:rPr>
              <w:t>–</w:t>
            </w:r>
          </w:p>
        </w:tc>
        <w:tc>
          <w:tcPr>
            <w:tcW w:w="1366" w:type="dxa"/>
          </w:tcPr>
          <w:p w14:paraId="36EE474F" w14:textId="00E7274D" w:rsidR="006C0CF0" w:rsidRPr="001A0FDA" w:rsidRDefault="006C0CF0" w:rsidP="003E1312">
            <w:pPr>
              <w:pStyle w:val="TableCopy"/>
              <w:jc w:val="right"/>
              <w:rPr>
                <w:rFonts w:asciiTheme="minorHAnsi" w:hAnsiTheme="minorHAnsi" w:cstheme="minorHAnsi"/>
                <w:szCs w:val="24"/>
              </w:rPr>
            </w:pPr>
            <w:r w:rsidRPr="001A0FDA">
              <w:rPr>
                <w:rFonts w:asciiTheme="minorHAnsi" w:hAnsiTheme="minorHAnsi" w:cstheme="minorHAnsi"/>
                <w:szCs w:val="24"/>
              </w:rPr>
              <w:t>–</w:t>
            </w:r>
          </w:p>
        </w:tc>
        <w:tc>
          <w:tcPr>
            <w:tcW w:w="1276" w:type="dxa"/>
          </w:tcPr>
          <w:p w14:paraId="6E326E46" w14:textId="77777777" w:rsidR="006C0CF0" w:rsidRPr="001A0FDA" w:rsidRDefault="006C0CF0" w:rsidP="003E1312">
            <w:pPr>
              <w:pStyle w:val="TableCopy"/>
              <w:jc w:val="right"/>
              <w:rPr>
                <w:rFonts w:asciiTheme="minorHAnsi" w:hAnsiTheme="minorHAnsi" w:cstheme="minorHAnsi"/>
                <w:szCs w:val="24"/>
              </w:rPr>
            </w:pPr>
            <w:r w:rsidRPr="001A0FDA">
              <w:rPr>
                <w:rFonts w:asciiTheme="minorHAnsi" w:hAnsiTheme="minorHAnsi" w:cstheme="minorHAnsi"/>
                <w:szCs w:val="24"/>
              </w:rPr>
              <w:t>(38,702)</w:t>
            </w:r>
          </w:p>
        </w:tc>
        <w:tc>
          <w:tcPr>
            <w:tcW w:w="1323" w:type="dxa"/>
          </w:tcPr>
          <w:p w14:paraId="1FBD65B3" w14:textId="77777777" w:rsidR="006C0CF0" w:rsidRPr="001A0FDA" w:rsidRDefault="006C0CF0" w:rsidP="003E1312">
            <w:pPr>
              <w:pStyle w:val="TableCopy"/>
              <w:jc w:val="right"/>
              <w:rPr>
                <w:rFonts w:asciiTheme="minorHAnsi" w:hAnsiTheme="minorHAnsi" w:cstheme="minorHAnsi"/>
                <w:szCs w:val="24"/>
              </w:rPr>
            </w:pPr>
            <w:r w:rsidRPr="001A0FDA">
              <w:rPr>
                <w:rFonts w:asciiTheme="minorHAnsi" w:hAnsiTheme="minorHAnsi" w:cstheme="minorHAnsi"/>
                <w:szCs w:val="24"/>
              </w:rPr>
              <w:t>(39,672)</w:t>
            </w:r>
          </w:p>
        </w:tc>
      </w:tr>
      <w:tr w:rsidR="006C0CF0" w:rsidRPr="001A0FDA" w14:paraId="0AB9B074" w14:textId="77777777" w:rsidTr="00D041F8">
        <w:trPr>
          <w:trHeight w:val="113"/>
        </w:trPr>
        <w:tc>
          <w:tcPr>
            <w:tcW w:w="2830" w:type="dxa"/>
          </w:tcPr>
          <w:p w14:paraId="70AAE146" w14:textId="77777777" w:rsidR="006C0CF0" w:rsidRPr="001A0FDA" w:rsidRDefault="006C0CF0" w:rsidP="00AB7848">
            <w:pPr>
              <w:pStyle w:val="TableCopy"/>
              <w:rPr>
                <w:rFonts w:asciiTheme="minorHAnsi" w:hAnsiTheme="minorHAnsi" w:cstheme="minorHAnsi"/>
                <w:szCs w:val="24"/>
              </w:rPr>
            </w:pPr>
            <w:r w:rsidRPr="001A0FDA">
              <w:rPr>
                <w:rFonts w:asciiTheme="minorHAnsi" w:hAnsiTheme="minorHAnsi" w:cstheme="minorHAnsi"/>
                <w:szCs w:val="24"/>
              </w:rPr>
              <w:t>Other expenses</w:t>
            </w:r>
          </w:p>
        </w:tc>
        <w:tc>
          <w:tcPr>
            <w:tcW w:w="1134" w:type="dxa"/>
          </w:tcPr>
          <w:p w14:paraId="47673376" w14:textId="01F25913" w:rsidR="006C0CF0" w:rsidRPr="001A0FDA" w:rsidRDefault="006C0CF0" w:rsidP="003E1312">
            <w:pPr>
              <w:pStyle w:val="TableCopy"/>
              <w:jc w:val="right"/>
              <w:rPr>
                <w:rFonts w:asciiTheme="minorHAnsi" w:hAnsiTheme="minorHAnsi" w:cstheme="minorHAnsi"/>
                <w:szCs w:val="24"/>
              </w:rPr>
            </w:pPr>
            <w:r w:rsidRPr="001A0FDA">
              <w:rPr>
                <w:rFonts w:asciiTheme="minorHAnsi" w:hAnsiTheme="minorHAnsi" w:cstheme="minorHAnsi"/>
                <w:szCs w:val="24"/>
              </w:rPr>
              <w:t>–</w:t>
            </w:r>
          </w:p>
        </w:tc>
        <w:tc>
          <w:tcPr>
            <w:tcW w:w="1134" w:type="dxa"/>
          </w:tcPr>
          <w:p w14:paraId="5D2E0E82" w14:textId="77777777" w:rsidR="006C0CF0" w:rsidRPr="001A0FDA" w:rsidRDefault="006C0CF0" w:rsidP="003E1312">
            <w:pPr>
              <w:pStyle w:val="TableCopy"/>
              <w:jc w:val="right"/>
              <w:rPr>
                <w:rFonts w:asciiTheme="minorHAnsi" w:hAnsiTheme="minorHAnsi" w:cstheme="minorHAnsi"/>
                <w:szCs w:val="24"/>
              </w:rPr>
            </w:pPr>
            <w:r w:rsidRPr="001A0FDA">
              <w:rPr>
                <w:rFonts w:asciiTheme="minorHAnsi" w:hAnsiTheme="minorHAnsi" w:cstheme="minorHAnsi"/>
                <w:szCs w:val="24"/>
              </w:rPr>
              <w:t>(3)</w:t>
            </w:r>
          </w:p>
        </w:tc>
        <w:tc>
          <w:tcPr>
            <w:tcW w:w="1089" w:type="dxa"/>
          </w:tcPr>
          <w:p w14:paraId="4AEF667F" w14:textId="77777777" w:rsidR="006C0CF0" w:rsidRPr="001A0FDA" w:rsidRDefault="006C0CF0" w:rsidP="003E1312">
            <w:pPr>
              <w:pStyle w:val="TableCopy"/>
              <w:jc w:val="right"/>
              <w:rPr>
                <w:rFonts w:asciiTheme="minorHAnsi" w:hAnsiTheme="minorHAnsi" w:cstheme="minorHAnsi"/>
                <w:szCs w:val="24"/>
              </w:rPr>
            </w:pPr>
            <w:r w:rsidRPr="001A0FDA">
              <w:rPr>
                <w:rFonts w:asciiTheme="minorHAnsi" w:hAnsiTheme="minorHAnsi" w:cstheme="minorHAnsi"/>
                <w:szCs w:val="24"/>
              </w:rPr>
              <w:t>(91,691)</w:t>
            </w:r>
          </w:p>
        </w:tc>
        <w:tc>
          <w:tcPr>
            <w:tcW w:w="1179" w:type="dxa"/>
          </w:tcPr>
          <w:p w14:paraId="5D3BE4BC" w14:textId="77777777" w:rsidR="006C0CF0" w:rsidRPr="001A0FDA" w:rsidRDefault="006C0CF0" w:rsidP="003E1312">
            <w:pPr>
              <w:pStyle w:val="TableCopy"/>
              <w:jc w:val="right"/>
              <w:rPr>
                <w:rFonts w:asciiTheme="minorHAnsi" w:hAnsiTheme="minorHAnsi" w:cstheme="minorHAnsi"/>
                <w:szCs w:val="24"/>
              </w:rPr>
            </w:pPr>
            <w:r w:rsidRPr="001A0FDA">
              <w:rPr>
                <w:rFonts w:asciiTheme="minorHAnsi" w:hAnsiTheme="minorHAnsi" w:cstheme="minorHAnsi"/>
                <w:szCs w:val="24"/>
              </w:rPr>
              <w:t>(844,682)</w:t>
            </w:r>
          </w:p>
        </w:tc>
        <w:tc>
          <w:tcPr>
            <w:tcW w:w="1225" w:type="dxa"/>
          </w:tcPr>
          <w:p w14:paraId="5DC2EEE4" w14:textId="1A382463" w:rsidR="006C0CF0" w:rsidRPr="001A0FDA" w:rsidRDefault="006C0CF0" w:rsidP="003E1312">
            <w:pPr>
              <w:pStyle w:val="TableCopy"/>
              <w:jc w:val="right"/>
              <w:rPr>
                <w:rFonts w:asciiTheme="minorHAnsi" w:hAnsiTheme="minorHAnsi" w:cstheme="minorHAnsi"/>
                <w:szCs w:val="24"/>
              </w:rPr>
            </w:pPr>
            <w:r w:rsidRPr="001A0FDA">
              <w:rPr>
                <w:rFonts w:asciiTheme="minorHAnsi" w:hAnsiTheme="minorHAnsi" w:cstheme="minorHAnsi"/>
                <w:szCs w:val="24"/>
              </w:rPr>
              <w:t>–</w:t>
            </w:r>
          </w:p>
        </w:tc>
        <w:tc>
          <w:tcPr>
            <w:tcW w:w="1276" w:type="dxa"/>
          </w:tcPr>
          <w:p w14:paraId="1A537E91" w14:textId="71393168" w:rsidR="006C0CF0" w:rsidRPr="001A0FDA" w:rsidRDefault="006C0CF0" w:rsidP="003E1312">
            <w:pPr>
              <w:pStyle w:val="TableCopy"/>
              <w:jc w:val="right"/>
              <w:rPr>
                <w:rFonts w:asciiTheme="minorHAnsi" w:hAnsiTheme="minorHAnsi" w:cstheme="minorHAnsi"/>
                <w:szCs w:val="24"/>
              </w:rPr>
            </w:pPr>
            <w:r w:rsidRPr="001A0FDA">
              <w:rPr>
                <w:rFonts w:asciiTheme="minorHAnsi" w:hAnsiTheme="minorHAnsi" w:cstheme="minorHAnsi"/>
                <w:szCs w:val="24"/>
              </w:rPr>
              <w:t>–</w:t>
            </w:r>
          </w:p>
        </w:tc>
        <w:tc>
          <w:tcPr>
            <w:tcW w:w="1236" w:type="dxa"/>
          </w:tcPr>
          <w:p w14:paraId="102B3D12" w14:textId="77777777" w:rsidR="006C0CF0" w:rsidRPr="001A0FDA" w:rsidRDefault="006C0CF0" w:rsidP="003E1312">
            <w:pPr>
              <w:pStyle w:val="TableCopy"/>
              <w:jc w:val="right"/>
              <w:rPr>
                <w:rFonts w:asciiTheme="minorHAnsi" w:hAnsiTheme="minorHAnsi" w:cstheme="minorHAnsi"/>
                <w:szCs w:val="24"/>
              </w:rPr>
            </w:pPr>
            <w:r w:rsidRPr="001A0FDA">
              <w:rPr>
                <w:rFonts w:asciiTheme="minorHAnsi" w:hAnsiTheme="minorHAnsi" w:cstheme="minorHAnsi"/>
                <w:szCs w:val="24"/>
              </w:rPr>
              <w:t>(91,844)</w:t>
            </w:r>
          </w:p>
        </w:tc>
        <w:tc>
          <w:tcPr>
            <w:tcW w:w="1366" w:type="dxa"/>
          </w:tcPr>
          <w:p w14:paraId="65D29E73" w14:textId="77777777" w:rsidR="006C0CF0" w:rsidRPr="001A0FDA" w:rsidRDefault="006C0CF0" w:rsidP="003E1312">
            <w:pPr>
              <w:pStyle w:val="TableCopy"/>
              <w:jc w:val="right"/>
              <w:rPr>
                <w:rFonts w:asciiTheme="minorHAnsi" w:hAnsiTheme="minorHAnsi" w:cstheme="minorHAnsi"/>
                <w:szCs w:val="24"/>
              </w:rPr>
            </w:pPr>
            <w:r w:rsidRPr="001A0FDA">
              <w:rPr>
                <w:rFonts w:asciiTheme="minorHAnsi" w:hAnsiTheme="minorHAnsi" w:cstheme="minorHAnsi"/>
                <w:szCs w:val="24"/>
              </w:rPr>
              <w:t>(844,868)</w:t>
            </w:r>
          </w:p>
        </w:tc>
        <w:tc>
          <w:tcPr>
            <w:tcW w:w="1276" w:type="dxa"/>
          </w:tcPr>
          <w:p w14:paraId="5C15837C" w14:textId="77777777" w:rsidR="006C0CF0" w:rsidRPr="001A0FDA" w:rsidRDefault="006C0CF0" w:rsidP="003E1312">
            <w:pPr>
              <w:pStyle w:val="TableCopy"/>
              <w:jc w:val="right"/>
              <w:rPr>
                <w:rFonts w:asciiTheme="minorHAnsi" w:hAnsiTheme="minorHAnsi" w:cstheme="minorHAnsi"/>
                <w:szCs w:val="24"/>
              </w:rPr>
            </w:pPr>
            <w:r w:rsidRPr="001A0FDA">
              <w:rPr>
                <w:rFonts w:asciiTheme="minorHAnsi" w:hAnsiTheme="minorHAnsi" w:cstheme="minorHAnsi"/>
                <w:szCs w:val="24"/>
              </w:rPr>
              <w:t>(132,994)</w:t>
            </w:r>
          </w:p>
        </w:tc>
        <w:tc>
          <w:tcPr>
            <w:tcW w:w="1323" w:type="dxa"/>
          </w:tcPr>
          <w:p w14:paraId="4062007E" w14:textId="77777777" w:rsidR="006C0CF0" w:rsidRPr="001A0FDA" w:rsidRDefault="006C0CF0" w:rsidP="003E1312">
            <w:pPr>
              <w:pStyle w:val="TableCopy"/>
              <w:jc w:val="right"/>
              <w:rPr>
                <w:rFonts w:asciiTheme="minorHAnsi" w:hAnsiTheme="minorHAnsi" w:cstheme="minorHAnsi"/>
                <w:szCs w:val="24"/>
              </w:rPr>
            </w:pPr>
            <w:r w:rsidRPr="001A0FDA">
              <w:rPr>
                <w:rFonts w:asciiTheme="minorHAnsi" w:hAnsiTheme="minorHAnsi" w:cstheme="minorHAnsi"/>
                <w:szCs w:val="24"/>
              </w:rPr>
              <w:t>(881,622)</w:t>
            </w:r>
          </w:p>
        </w:tc>
      </w:tr>
      <w:tr w:rsidR="006C0CF0" w:rsidRPr="00FC3AFB" w14:paraId="1844258C" w14:textId="77777777" w:rsidTr="00D041F8">
        <w:trPr>
          <w:trHeight w:val="113"/>
        </w:trPr>
        <w:tc>
          <w:tcPr>
            <w:tcW w:w="2830" w:type="dxa"/>
          </w:tcPr>
          <w:p w14:paraId="10B2FAFB" w14:textId="77777777" w:rsidR="006C0CF0" w:rsidRPr="00FC3AFB" w:rsidRDefault="006C0CF0" w:rsidP="00AB7848">
            <w:pPr>
              <w:pStyle w:val="TableCopy"/>
              <w:rPr>
                <w:rFonts w:asciiTheme="minorHAnsi" w:hAnsiTheme="minorHAnsi" w:cstheme="minorHAnsi"/>
                <w:b/>
                <w:bCs/>
                <w:szCs w:val="24"/>
              </w:rPr>
            </w:pPr>
            <w:r w:rsidRPr="00FC3AFB">
              <w:rPr>
                <w:rFonts w:asciiTheme="minorHAnsi" w:hAnsiTheme="minorHAnsi" w:cstheme="minorHAnsi"/>
                <w:b/>
                <w:bCs/>
                <w:szCs w:val="24"/>
              </w:rPr>
              <w:t>Total administered expenses from transactions</w:t>
            </w:r>
          </w:p>
        </w:tc>
        <w:tc>
          <w:tcPr>
            <w:tcW w:w="1134" w:type="dxa"/>
          </w:tcPr>
          <w:p w14:paraId="71A97A49" w14:textId="77777777" w:rsidR="006C0CF0" w:rsidRPr="00FC3AFB" w:rsidRDefault="006C0CF0" w:rsidP="003E1312">
            <w:pPr>
              <w:pStyle w:val="TableCopy"/>
              <w:jc w:val="right"/>
              <w:rPr>
                <w:rFonts w:asciiTheme="minorHAnsi" w:hAnsiTheme="minorHAnsi" w:cstheme="minorHAnsi"/>
                <w:b/>
                <w:bCs/>
                <w:szCs w:val="24"/>
              </w:rPr>
            </w:pPr>
            <w:r w:rsidRPr="00FC3AFB">
              <w:rPr>
                <w:rFonts w:asciiTheme="minorHAnsi" w:hAnsiTheme="minorHAnsi" w:cstheme="minorHAnsi"/>
                <w:b/>
                <w:bCs/>
                <w:szCs w:val="24"/>
              </w:rPr>
              <w:t>(222)</w:t>
            </w:r>
          </w:p>
        </w:tc>
        <w:tc>
          <w:tcPr>
            <w:tcW w:w="1134" w:type="dxa"/>
          </w:tcPr>
          <w:p w14:paraId="0DC52581" w14:textId="77777777" w:rsidR="006C0CF0" w:rsidRPr="00FC3AFB" w:rsidRDefault="006C0CF0" w:rsidP="003E1312">
            <w:pPr>
              <w:pStyle w:val="TableCopy"/>
              <w:jc w:val="right"/>
              <w:rPr>
                <w:rFonts w:asciiTheme="minorHAnsi" w:hAnsiTheme="minorHAnsi" w:cstheme="minorHAnsi"/>
                <w:b/>
                <w:bCs/>
                <w:szCs w:val="24"/>
              </w:rPr>
            </w:pPr>
            <w:r w:rsidRPr="00FC3AFB">
              <w:rPr>
                <w:rFonts w:asciiTheme="minorHAnsi" w:hAnsiTheme="minorHAnsi" w:cstheme="minorHAnsi"/>
                <w:b/>
                <w:bCs/>
                <w:szCs w:val="24"/>
              </w:rPr>
              <w:t>(1,421)</w:t>
            </w:r>
          </w:p>
        </w:tc>
        <w:tc>
          <w:tcPr>
            <w:tcW w:w="1089" w:type="dxa"/>
          </w:tcPr>
          <w:p w14:paraId="5F3C7764" w14:textId="77777777" w:rsidR="006C0CF0" w:rsidRPr="00FC3AFB" w:rsidRDefault="006C0CF0" w:rsidP="003E1312">
            <w:pPr>
              <w:pStyle w:val="TableCopy"/>
              <w:jc w:val="right"/>
              <w:rPr>
                <w:rFonts w:asciiTheme="minorHAnsi" w:hAnsiTheme="minorHAnsi" w:cstheme="minorHAnsi"/>
                <w:b/>
                <w:bCs/>
                <w:szCs w:val="24"/>
              </w:rPr>
            </w:pPr>
            <w:r w:rsidRPr="00FC3AFB">
              <w:rPr>
                <w:rFonts w:asciiTheme="minorHAnsi" w:hAnsiTheme="minorHAnsi" w:cstheme="minorHAnsi"/>
                <w:b/>
                <w:bCs/>
                <w:szCs w:val="24"/>
              </w:rPr>
              <w:t>(91,691)</w:t>
            </w:r>
          </w:p>
        </w:tc>
        <w:tc>
          <w:tcPr>
            <w:tcW w:w="1179" w:type="dxa"/>
          </w:tcPr>
          <w:p w14:paraId="2DBD13A4" w14:textId="77777777" w:rsidR="006C0CF0" w:rsidRPr="00FC3AFB" w:rsidRDefault="006C0CF0" w:rsidP="003E1312">
            <w:pPr>
              <w:pStyle w:val="TableCopy"/>
              <w:jc w:val="right"/>
              <w:rPr>
                <w:rFonts w:asciiTheme="minorHAnsi" w:hAnsiTheme="minorHAnsi" w:cstheme="minorHAnsi"/>
                <w:b/>
                <w:bCs/>
                <w:spacing w:val="-4"/>
                <w:szCs w:val="24"/>
              </w:rPr>
            </w:pPr>
            <w:r w:rsidRPr="00FC3AFB">
              <w:rPr>
                <w:rFonts w:asciiTheme="minorHAnsi" w:hAnsiTheme="minorHAnsi" w:cstheme="minorHAnsi"/>
                <w:b/>
                <w:bCs/>
                <w:spacing w:val="-4"/>
                <w:szCs w:val="24"/>
              </w:rPr>
              <w:t>(844,677)</w:t>
            </w:r>
          </w:p>
        </w:tc>
        <w:tc>
          <w:tcPr>
            <w:tcW w:w="1225" w:type="dxa"/>
          </w:tcPr>
          <w:p w14:paraId="49A74C06" w14:textId="77777777" w:rsidR="006C0CF0" w:rsidRPr="00FC3AFB" w:rsidRDefault="006C0CF0" w:rsidP="003E1312">
            <w:pPr>
              <w:pStyle w:val="TableCopy"/>
              <w:jc w:val="right"/>
              <w:rPr>
                <w:rFonts w:asciiTheme="minorHAnsi" w:hAnsiTheme="minorHAnsi" w:cstheme="minorHAnsi"/>
                <w:b/>
                <w:bCs/>
                <w:szCs w:val="24"/>
              </w:rPr>
            </w:pPr>
            <w:r w:rsidRPr="00FC3AFB">
              <w:rPr>
                <w:rFonts w:asciiTheme="minorHAnsi" w:hAnsiTheme="minorHAnsi" w:cstheme="minorHAnsi"/>
                <w:b/>
                <w:bCs/>
                <w:szCs w:val="24"/>
              </w:rPr>
              <w:t>(1,524)</w:t>
            </w:r>
          </w:p>
        </w:tc>
        <w:tc>
          <w:tcPr>
            <w:tcW w:w="1276" w:type="dxa"/>
          </w:tcPr>
          <w:p w14:paraId="321C6D07" w14:textId="77777777" w:rsidR="006C0CF0" w:rsidRPr="00FC3AFB" w:rsidRDefault="006C0CF0" w:rsidP="003E1312">
            <w:pPr>
              <w:pStyle w:val="TableCopy"/>
              <w:jc w:val="right"/>
              <w:rPr>
                <w:rFonts w:asciiTheme="minorHAnsi" w:hAnsiTheme="minorHAnsi" w:cstheme="minorHAnsi"/>
                <w:b/>
                <w:bCs/>
                <w:szCs w:val="24"/>
              </w:rPr>
            </w:pPr>
            <w:r w:rsidRPr="00FC3AFB">
              <w:rPr>
                <w:rFonts w:asciiTheme="minorHAnsi" w:hAnsiTheme="minorHAnsi" w:cstheme="minorHAnsi"/>
                <w:b/>
                <w:bCs/>
                <w:szCs w:val="24"/>
              </w:rPr>
              <w:t>(1,240)</w:t>
            </w:r>
          </w:p>
        </w:tc>
        <w:tc>
          <w:tcPr>
            <w:tcW w:w="1236" w:type="dxa"/>
          </w:tcPr>
          <w:p w14:paraId="078F8023" w14:textId="77777777" w:rsidR="006C0CF0" w:rsidRPr="00FC3AFB" w:rsidRDefault="006C0CF0" w:rsidP="003E1312">
            <w:pPr>
              <w:pStyle w:val="TableCopy"/>
              <w:jc w:val="right"/>
              <w:rPr>
                <w:rFonts w:asciiTheme="minorHAnsi" w:hAnsiTheme="minorHAnsi" w:cstheme="minorHAnsi"/>
                <w:b/>
                <w:bCs/>
                <w:szCs w:val="24"/>
              </w:rPr>
            </w:pPr>
            <w:r w:rsidRPr="00FC3AFB">
              <w:rPr>
                <w:rFonts w:asciiTheme="minorHAnsi" w:hAnsiTheme="minorHAnsi" w:cstheme="minorHAnsi"/>
                <w:b/>
                <w:bCs/>
                <w:szCs w:val="24"/>
              </w:rPr>
              <w:t>(263,952)</w:t>
            </w:r>
          </w:p>
        </w:tc>
        <w:tc>
          <w:tcPr>
            <w:tcW w:w="1366" w:type="dxa"/>
          </w:tcPr>
          <w:p w14:paraId="273362FB" w14:textId="77777777" w:rsidR="006C0CF0" w:rsidRPr="00FC3AFB" w:rsidRDefault="006C0CF0" w:rsidP="003E1312">
            <w:pPr>
              <w:pStyle w:val="TableCopy"/>
              <w:jc w:val="right"/>
              <w:rPr>
                <w:rFonts w:asciiTheme="minorHAnsi" w:hAnsiTheme="minorHAnsi" w:cstheme="minorHAnsi"/>
                <w:b/>
                <w:bCs/>
                <w:spacing w:val="-4"/>
                <w:szCs w:val="24"/>
              </w:rPr>
            </w:pPr>
            <w:r w:rsidRPr="00FC3AFB">
              <w:rPr>
                <w:rFonts w:asciiTheme="minorHAnsi" w:hAnsiTheme="minorHAnsi" w:cstheme="minorHAnsi"/>
                <w:b/>
                <w:bCs/>
                <w:spacing w:val="-4"/>
                <w:szCs w:val="24"/>
              </w:rPr>
              <w:t>(1,114,252)</w:t>
            </w:r>
          </w:p>
        </w:tc>
        <w:tc>
          <w:tcPr>
            <w:tcW w:w="1276" w:type="dxa"/>
          </w:tcPr>
          <w:p w14:paraId="79690DB9" w14:textId="77777777" w:rsidR="006C0CF0" w:rsidRPr="00FC3AFB" w:rsidRDefault="006C0CF0" w:rsidP="003E1312">
            <w:pPr>
              <w:pStyle w:val="TableCopy"/>
              <w:jc w:val="right"/>
              <w:rPr>
                <w:rFonts w:asciiTheme="minorHAnsi" w:hAnsiTheme="minorHAnsi" w:cstheme="minorHAnsi"/>
                <w:b/>
                <w:bCs/>
                <w:szCs w:val="24"/>
              </w:rPr>
            </w:pPr>
            <w:r w:rsidRPr="00FC3AFB">
              <w:rPr>
                <w:rFonts w:asciiTheme="minorHAnsi" w:hAnsiTheme="minorHAnsi" w:cstheme="minorHAnsi"/>
                <w:b/>
                <w:bCs/>
                <w:szCs w:val="24"/>
              </w:rPr>
              <w:t>(370,837)</w:t>
            </w:r>
          </w:p>
        </w:tc>
        <w:tc>
          <w:tcPr>
            <w:tcW w:w="1323" w:type="dxa"/>
          </w:tcPr>
          <w:p w14:paraId="4E406A8B" w14:textId="77777777" w:rsidR="006C0CF0" w:rsidRPr="003E1312" w:rsidRDefault="006C0CF0" w:rsidP="003E1312">
            <w:pPr>
              <w:pStyle w:val="TableCopy"/>
              <w:jc w:val="right"/>
              <w:rPr>
                <w:rFonts w:asciiTheme="minorHAnsi" w:hAnsiTheme="minorHAnsi" w:cstheme="minorHAnsi"/>
                <w:b/>
                <w:bCs/>
                <w:spacing w:val="-4"/>
                <w:szCs w:val="24"/>
              </w:rPr>
            </w:pPr>
            <w:r w:rsidRPr="003E1312">
              <w:rPr>
                <w:rFonts w:asciiTheme="minorHAnsi" w:hAnsiTheme="minorHAnsi" w:cstheme="minorHAnsi"/>
                <w:b/>
                <w:bCs/>
                <w:spacing w:val="-4"/>
                <w:szCs w:val="24"/>
              </w:rPr>
              <w:t>(1,249,649)</w:t>
            </w:r>
          </w:p>
        </w:tc>
      </w:tr>
      <w:tr w:rsidR="006C0CF0" w:rsidRPr="003E1312" w14:paraId="5E5DC743" w14:textId="77777777" w:rsidTr="00D041F8">
        <w:trPr>
          <w:trHeight w:val="113"/>
        </w:trPr>
        <w:tc>
          <w:tcPr>
            <w:tcW w:w="2830" w:type="dxa"/>
          </w:tcPr>
          <w:p w14:paraId="1B97549A" w14:textId="77777777" w:rsidR="006C0CF0" w:rsidRPr="003E1312" w:rsidRDefault="006C0CF0" w:rsidP="00AB7848">
            <w:pPr>
              <w:pStyle w:val="TableCopy"/>
              <w:rPr>
                <w:rFonts w:asciiTheme="minorHAnsi" w:hAnsiTheme="minorHAnsi" w:cstheme="minorHAnsi"/>
                <w:b/>
                <w:bCs/>
                <w:szCs w:val="24"/>
              </w:rPr>
            </w:pPr>
            <w:r w:rsidRPr="003E1312">
              <w:rPr>
                <w:rFonts w:asciiTheme="minorHAnsi" w:hAnsiTheme="minorHAnsi" w:cstheme="minorHAnsi"/>
                <w:b/>
                <w:bCs/>
                <w:szCs w:val="24"/>
              </w:rPr>
              <w:lastRenderedPageBreak/>
              <w:t>Total administered net result from transactions</w:t>
            </w:r>
          </w:p>
        </w:tc>
        <w:tc>
          <w:tcPr>
            <w:tcW w:w="1134" w:type="dxa"/>
          </w:tcPr>
          <w:p w14:paraId="5001F38A" w14:textId="77777777" w:rsidR="006C0CF0" w:rsidRPr="003E1312" w:rsidRDefault="006C0CF0" w:rsidP="003E1312">
            <w:pPr>
              <w:pStyle w:val="TableCopy"/>
              <w:jc w:val="right"/>
              <w:rPr>
                <w:rFonts w:asciiTheme="minorHAnsi" w:hAnsiTheme="minorHAnsi" w:cstheme="minorHAnsi"/>
                <w:b/>
                <w:bCs/>
                <w:szCs w:val="24"/>
              </w:rPr>
            </w:pPr>
            <w:r w:rsidRPr="003E1312">
              <w:rPr>
                <w:rFonts w:asciiTheme="minorHAnsi" w:hAnsiTheme="minorHAnsi" w:cstheme="minorHAnsi"/>
                <w:b/>
                <w:bCs/>
                <w:szCs w:val="24"/>
              </w:rPr>
              <w:t>(368)</w:t>
            </w:r>
          </w:p>
        </w:tc>
        <w:tc>
          <w:tcPr>
            <w:tcW w:w="1134" w:type="dxa"/>
          </w:tcPr>
          <w:p w14:paraId="75E8CF6B" w14:textId="77777777" w:rsidR="006C0CF0" w:rsidRPr="003E1312" w:rsidRDefault="006C0CF0" w:rsidP="003E1312">
            <w:pPr>
              <w:pStyle w:val="TableCopy"/>
              <w:jc w:val="right"/>
              <w:rPr>
                <w:rFonts w:asciiTheme="minorHAnsi" w:hAnsiTheme="minorHAnsi" w:cstheme="minorHAnsi"/>
                <w:b/>
                <w:bCs/>
                <w:szCs w:val="24"/>
              </w:rPr>
            </w:pPr>
            <w:r w:rsidRPr="003E1312">
              <w:rPr>
                <w:rFonts w:asciiTheme="minorHAnsi" w:hAnsiTheme="minorHAnsi" w:cstheme="minorHAnsi"/>
                <w:b/>
                <w:bCs/>
                <w:szCs w:val="24"/>
              </w:rPr>
              <w:t>(1,404)</w:t>
            </w:r>
          </w:p>
        </w:tc>
        <w:tc>
          <w:tcPr>
            <w:tcW w:w="1089" w:type="dxa"/>
          </w:tcPr>
          <w:p w14:paraId="7F6A3759" w14:textId="5F9C3CBE" w:rsidR="006C0CF0" w:rsidRPr="003E1312" w:rsidRDefault="006C0CF0" w:rsidP="003E1312">
            <w:pPr>
              <w:pStyle w:val="TableCopy"/>
              <w:jc w:val="right"/>
              <w:rPr>
                <w:rFonts w:asciiTheme="minorHAnsi" w:hAnsiTheme="minorHAnsi" w:cstheme="minorHAnsi"/>
                <w:b/>
                <w:bCs/>
                <w:szCs w:val="24"/>
              </w:rPr>
            </w:pPr>
            <w:r w:rsidRPr="003E1312">
              <w:rPr>
                <w:rFonts w:asciiTheme="minorHAnsi" w:hAnsiTheme="minorHAnsi" w:cstheme="minorHAnsi"/>
                <w:b/>
                <w:bCs/>
                <w:szCs w:val="24"/>
              </w:rPr>
              <w:t>–</w:t>
            </w:r>
          </w:p>
        </w:tc>
        <w:tc>
          <w:tcPr>
            <w:tcW w:w="1179" w:type="dxa"/>
          </w:tcPr>
          <w:p w14:paraId="28DA5EB9" w14:textId="07D32BFB" w:rsidR="006C0CF0" w:rsidRPr="003E1312" w:rsidRDefault="006C0CF0" w:rsidP="003E1312">
            <w:pPr>
              <w:pStyle w:val="TableCopy"/>
              <w:jc w:val="right"/>
              <w:rPr>
                <w:rFonts w:asciiTheme="minorHAnsi" w:hAnsiTheme="minorHAnsi" w:cstheme="minorHAnsi"/>
                <w:b/>
                <w:bCs/>
                <w:szCs w:val="24"/>
              </w:rPr>
            </w:pPr>
            <w:r w:rsidRPr="003E1312">
              <w:rPr>
                <w:rFonts w:asciiTheme="minorHAnsi" w:hAnsiTheme="minorHAnsi" w:cstheme="minorHAnsi"/>
                <w:b/>
                <w:bCs/>
                <w:szCs w:val="24"/>
              </w:rPr>
              <w:t>7</w:t>
            </w:r>
          </w:p>
        </w:tc>
        <w:tc>
          <w:tcPr>
            <w:tcW w:w="1225" w:type="dxa"/>
          </w:tcPr>
          <w:p w14:paraId="5C70AFC1" w14:textId="12665443" w:rsidR="006C0CF0" w:rsidRPr="003E1312" w:rsidRDefault="006C0CF0" w:rsidP="003E1312">
            <w:pPr>
              <w:pStyle w:val="TableCopy"/>
              <w:jc w:val="right"/>
              <w:rPr>
                <w:rFonts w:asciiTheme="minorHAnsi" w:hAnsiTheme="minorHAnsi" w:cstheme="minorHAnsi"/>
                <w:b/>
                <w:bCs/>
                <w:szCs w:val="24"/>
              </w:rPr>
            </w:pPr>
            <w:r w:rsidRPr="003E1312">
              <w:rPr>
                <w:rFonts w:asciiTheme="minorHAnsi" w:hAnsiTheme="minorHAnsi" w:cstheme="minorHAnsi"/>
                <w:b/>
                <w:bCs/>
                <w:szCs w:val="24"/>
              </w:rPr>
              <w:t>–</w:t>
            </w:r>
          </w:p>
        </w:tc>
        <w:tc>
          <w:tcPr>
            <w:tcW w:w="1276" w:type="dxa"/>
          </w:tcPr>
          <w:p w14:paraId="6A136311" w14:textId="7F2EA5B2" w:rsidR="006C0CF0" w:rsidRPr="003E1312" w:rsidRDefault="006C0CF0" w:rsidP="003E1312">
            <w:pPr>
              <w:pStyle w:val="TableCopy"/>
              <w:jc w:val="right"/>
              <w:rPr>
                <w:rFonts w:asciiTheme="minorHAnsi" w:hAnsiTheme="minorHAnsi" w:cstheme="minorHAnsi"/>
                <w:b/>
                <w:bCs/>
                <w:szCs w:val="24"/>
              </w:rPr>
            </w:pPr>
            <w:r w:rsidRPr="003E1312">
              <w:rPr>
                <w:rFonts w:asciiTheme="minorHAnsi" w:hAnsiTheme="minorHAnsi" w:cstheme="minorHAnsi"/>
                <w:b/>
                <w:bCs/>
                <w:szCs w:val="24"/>
              </w:rPr>
              <w:t>–</w:t>
            </w:r>
          </w:p>
        </w:tc>
        <w:tc>
          <w:tcPr>
            <w:tcW w:w="1236" w:type="dxa"/>
          </w:tcPr>
          <w:p w14:paraId="04CC68DB" w14:textId="77777777" w:rsidR="006C0CF0" w:rsidRPr="003E1312" w:rsidRDefault="006C0CF0" w:rsidP="003E1312">
            <w:pPr>
              <w:pStyle w:val="TableCopy"/>
              <w:jc w:val="right"/>
              <w:rPr>
                <w:rFonts w:asciiTheme="minorHAnsi" w:hAnsiTheme="minorHAnsi" w:cstheme="minorHAnsi"/>
                <w:b/>
                <w:bCs/>
                <w:szCs w:val="24"/>
              </w:rPr>
            </w:pPr>
            <w:r w:rsidRPr="003E1312">
              <w:rPr>
                <w:rFonts w:asciiTheme="minorHAnsi" w:hAnsiTheme="minorHAnsi" w:cstheme="minorHAnsi"/>
                <w:b/>
                <w:bCs/>
                <w:szCs w:val="24"/>
              </w:rPr>
              <w:t>(68,561)</w:t>
            </w:r>
          </w:p>
        </w:tc>
        <w:tc>
          <w:tcPr>
            <w:tcW w:w="1366" w:type="dxa"/>
          </w:tcPr>
          <w:p w14:paraId="30DF5FB1" w14:textId="77777777" w:rsidR="006C0CF0" w:rsidRPr="003E1312" w:rsidRDefault="006C0CF0" w:rsidP="003E1312">
            <w:pPr>
              <w:pStyle w:val="TableCopy"/>
              <w:jc w:val="right"/>
              <w:rPr>
                <w:rFonts w:asciiTheme="minorHAnsi" w:hAnsiTheme="minorHAnsi" w:cstheme="minorHAnsi"/>
                <w:b/>
                <w:bCs/>
                <w:szCs w:val="24"/>
              </w:rPr>
            </w:pPr>
            <w:r w:rsidRPr="003E1312">
              <w:rPr>
                <w:rFonts w:asciiTheme="minorHAnsi" w:hAnsiTheme="minorHAnsi" w:cstheme="minorHAnsi"/>
                <w:b/>
                <w:bCs/>
                <w:szCs w:val="24"/>
              </w:rPr>
              <w:t>(21,826)</w:t>
            </w:r>
          </w:p>
        </w:tc>
        <w:tc>
          <w:tcPr>
            <w:tcW w:w="1276" w:type="dxa"/>
          </w:tcPr>
          <w:p w14:paraId="0466E3BE" w14:textId="77777777" w:rsidR="006C0CF0" w:rsidRPr="003E1312" w:rsidRDefault="006C0CF0" w:rsidP="003E1312">
            <w:pPr>
              <w:pStyle w:val="TableCopy"/>
              <w:jc w:val="right"/>
              <w:rPr>
                <w:rFonts w:asciiTheme="minorHAnsi" w:hAnsiTheme="minorHAnsi" w:cstheme="minorHAnsi"/>
                <w:b/>
                <w:bCs/>
                <w:szCs w:val="24"/>
              </w:rPr>
            </w:pPr>
            <w:r w:rsidRPr="003E1312">
              <w:rPr>
                <w:rFonts w:asciiTheme="minorHAnsi" w:hAnsiTheme="minorHAnsi" w:cstheme="minorHAnsi"/>
                <w:b/>
                <w:bCs/>
                <w:szCs w:val="24"/>
              </w:rPr>
              <w:t>(50,289)</w:t>
            </w:r>
          </w:p>
        </w:tc>
        <w:tc>
          <w:tcPr>
            <w:tcW w:w="1323" w:type="dxa"/>
          </w:tcPr>
          <w:p w14:paraId="7A3BACB6" w14:textId="77777777" w:rsidR="006C0CF0" w:rsidRPr="003E1312" w:rsidRDefault="006C0CF0" w:rsidP="003E1312">
            <w:pPr>
              <w:pStyle w:val="TableCopy"/>
              <w:jc w:val="right"/>
              <w:rPr>
                <w:rFonts w:asciiTheme="minorHAnsi" w:hAnsiTheme="minorHAnsi" w:cstheme="minorHAnsi"/>
                <w:b/>
                <w:bCs/>
                <w:szCs w:val="24"/>
              </w:rPr>
            </w:pPr>
            <w:r w:rsidRPr="003E1312">
              <w:rPr>
                <w:rFonts w:asciiTheme="minorHAnsi" w:hAnsiTheme="minorHAnsi" w:cstheme="minorHAnsi"/>
                <w:b/>
                <w:bCs/>
                <w:szCs w:val="24"/>
              </w:rPr>
              <w:t>(24,431)</w:t>
            </w:r>
          </w:p>
        </w:tc>
      </w:tr>
      <w:tr w:rsidR="006C0CF0" w:rsidRPr="003E1312" w14:paraId="178735D8" w14:textId="77777777" w:rsidTr="00D041F8">
        <w:trPr>
          <w:trHeight w:val="113"/>
        </w:trPr>
        <w:tc>
          <w:tcPr>
            <w:tcW w:w="2830" w:type="dxa"/>
          </w:tcPr>
          <w:p w14:paraId="450302E0" w14:textId="77777777" w:rsidR="006C0CF0" w:rsidRPr="003E1312" w:rsidRDefault="006C0CF0" w:rsidP="00AB7848">
            <w:pPr>
              <w:pStyle w:val="TableCopy"/>
              <w:rPr>
                <w:rFonts w:asciiTheme="minorHAnsi" w:hAnsiTheme="minorHAnsi" w:cstheme="minorHAnsi"/>
                <w:b/>
                <w:bCs/>
                <w:szCs w:val="24"/>
              </w:rPr>
            </w:pPr>
            <w:r w:rsidRPr="003E1312">
              <w:rPr>
                <w:rFonts w:asciiTheme="minorHAnsi" w:hAnsiTheme="minorHAnsi" w:cstheme="minorHAnsi"/>
                <w:b/>
                <w:bCs/>
                <w:szCs w:val="24"/>
              </w:rPr>
              <w:t>Net gain on other economic flows</w:t>
            </w:r>
          </w:p>
        </w:tc>
        <w:tc>
          <w:tcPr>
            <w:tcW w:w="1134" w:type="dxa"/>
          </w:tcPr>
          <w:p w14:paraId="47637DD5" w14:textId="408AB6AD" w:rsidR="006C0CF0" w:rsidRPr="003E1312" w:rsidRDefault="006C0CF0" w:rsidP="003E1312">
            <w:pPr>
              <w:pStyle w:val="TableCopy"/>
              <w:jc w:val="right"/>
              <w:rPr>
                <w:rFonts w:asciiTheme="minorHAnsi" w:hAnsiTheme="minorHAnsi" w:cstheme="minorHAnsi"/>
                <w:b/>
                <w:bCs/>
                <w:szCs w:val="24"/>
              </w:rPr>
            </w:pPr>
            <w:r w:rsidRPr="003E1312">
              <w:rPr>
                <w:rFonts w:asciiTheme="minorHAnsi" w:hAnsiTheme="minorHAnsi" w:cstheme="minorHAnsi"/>
                <w:b/>
                <w:bCs/>
                <w:szCs w:val="24"/>
              </w:rPr>
              <w:t>–</w:t>
            </w:r>
          </w:p>
        </w:tc>
        <w:tc>
          <w:tcPr>
            <w:tcW w:w="1134" w:type="dxa"/>
          </w:tcPr>
          <w:p w14:paraId="4EDF3662" w14:textId="77777777" w:rsidR="006C0CF0" w:rsidRPr="003E1312" w:rsidRDefault="006C0CF0" w:rsidP="003E1312">
            <w:pPr>
              <w:pStyle w:val="TableCopy"/>
              <w:jc w:val="right"/>
              <w:rPr>
                <w:rFonts w:asciiTheme="minorHAnsi" w:hAnsiTheme="minorHAnsi" w:cstheme="minorHAnsi"/>
                <w:b/>
                <w:bCs/>
                <w:szCs w:val="24"/>
              </w:rPr>
            </w:pPr>
            <w:r w:rsidRPr="003E1312">
              <w:rPr>
                <w:rFonts w:asciiTheme="minorHAnsi" w:hAnsiTheme="minorHAnsi" w:cstheme="minorHAnsi"/>
                <w:b/>
                <w:bCs/>
                <w:szCs w:val="24"/>
              </w:rPr>
              <w:t>(8)</w:t>
            </w:r>
          </w:p>
        </w:tc>
        <w:tc>
          <w:tcPr>
            <w:tcW w:w="1089" w:type="dxa"/>
          </w:tcPr>
          <w:p w14:paraId="64363DEB" w14:textId="1610C655" w:rsidR="006C0CF0" w:rsidRPr="003E1312" w:rsidRDefault="006C0CF0" w:rsidP="003E1312">
            <w:pPr>
              <w:pStyle w:val="TableCopy"/>
              <w:jc w:val="right"/>
              <w:rPr>
                <w:rFonts w:asciiTheme="minorHAnsi" w:hAnsiTheme="minorHAnsi" w:cstheme="minorHAnsi"/>
                <w:b/>
                <w:bCs/>
                <w:szCs w:val="24"/>
              </w:rPr>
            </w:pPr>
            <w:r w:rsidRPr="003E1312">
              <w:rPr>
                <w:rFonts w:asciiTheme="minorHAnsi" w:hAnsiTheme="minorHAnsi" w:cstheme="minorHAnsi"/>
                <w:b/>
                <w:bCs/>
                <w:szCs w:val="24"/>
              </w:rPr>
              <w:t>–</w:t>
            </w:r>
          </w:p>
        </w:tc>
        <w:tc>
          <w:tcPr>
            <w:tcW w:w="1179" w:type="dxa"/>
          </w:tcPr>
          <w:p w14:paraId="0FF244EE" w14:textId="77777777" w:rsidR="006C0CF0" w:rsidRPr="003E1312" w:rsidRDefault="006C0CF0" w:rsidP="003E1312">
            <w:pPr>
              <w:pStyle w:val="TableCopy"/>
              <w:jc w:val="right"/>
              <w:rPr>
                <w:rFonts w:asciiTheme="minorHAnsi" w:hAnsiTheme="minorHAnsi" w:cstheme="minorHAnsi"/>
                <w:b/>
                <w:bCs/>
                <w:szCs w:val="24"/>
              </w:rPr>
            </w:pPr>
            <w:r w:rsidRPr="003E1312">
              <w:rPr>
                <w:rFonts w:asciiTheme="minorHAnsi" w:hAnsiTheme="minorHAnsi" w:cstheme="minorHAnsi"/>
                <w:b/>
                <w:bCs/>
                <w:szCs w:val="24"/>
              </w:rPr>
              <w:t>(1)</w:t>
            </w:r>
          </w:p>
        </w:tc>
        <w:tc>
          <w:tcPr>
            <w:tcW w:w="1225" w:type="dxa"/>
          </w:tcPr>
          <w:p w14:paraId="5C4B08CB" w14:textId="2A45EFBD" w:rsidR="006C0CF0" w:rsidRPr="003E1312" w:rsidRDefault="006C0CF0" w:rsidP="003E1312">
            <w:pPr>
              <w:pStyle w:val="TableCopy"/>
              <w:jc w:val="right"/>
              <w:rPr>
                <w:rFonts w:asciiTheme="minorHAnsi" w:hAnsiTheme="minorHAnsi" w:cstheme="minorHAnsi"/>
                <w:b/>
                <w:bCs/>
                <w:szCs w:val="24"/>
              </w:rPr>
            </w:pPr>
            <w:r w:rsidRPr="003E1312">
              <w:rPr>
                <w:rFonts w:asciiTheme="minorHAnsi" w:hAnsiTheme="minorHAnsi" w:cstheme="minorHAnsi"/>
                <w:b/>
                <w:bCs/>
                <w:szCs w:val="24"/>
              </w:rPr>
              <w:t>–</w:t>
            </w:r>
          </w:p>
        </w:tc>
        <w:tc>
          <w:tcPr>
            <w:tcW w:w="1276" w:type="dxa"/>
          </w:tcPr>
          <w:p w14:paraId="459D45A3" w14:textId="3826CC9D" w:rsidR="006C0CF0" w:rsidRPr="003E1312" w:rsidRDefault="006C0CF0" w:rsidP="003E1312">
            <w:pPr>
              <w:pStyle w:val="TableCopy"/>
              <w:jc w:val="right"/>
              <w:rPr>
                <w:rFonts w:asciiTheme="minorHAnsi" w:hAnsiTheme="minorHAnsi" w:cstheme="minorHAnsi"/>
                <w:b/>
                <w:bCs/>
                <w:szCs w:val="24"/>
              </w:rPr>
            </w:pPr>
            <w:r w:rsidRPr="003E1312">
              <w:rPr>
                <w:rFonts w:asciiTheme="minorHAnsi" w:hAnsiTheme="minorHAnsi" w:cstheme="minorHAnsi"/>
                <w:b/>
                <w:bCs/>
                <w:szCs w:val="24"/>
              </w:rPr>
              <w:t>–</w:t>
            </w:r>
          </w:p>
        </w:tc>
        <w:tc>
          <w:tcPr>
            <w:tcW w:w="1236" w:type="dxa"/>
          </w:tcPr>
          <w:p w14:paraId="3D855BA7" w14:textId="4BBD5A4C" w:rsidR="006C0CF0" w:rsidRPr="003E1312" w:rsidRDefault="006C0CF0" w:rsidP="003E1312">
            <w:pPr>
              <w:pStyle w:val="TableCopy"/>
              <w:jc w:val="right"/>
              <w:rPr>
                <w:rFonts w:asciiTheme="minorHAnsi" w:hAnsiTheme="minorHAnsi" w:cstheme="minorHAnsi"/>
                <w:b/>
                <w:bCs/>
                <w:szCs w:val="24"/>
              </w:rPr>
            </w:pPr>
            <w:r w:rsidRPr="003E1312">
              <w:rPr>
                <w:rFonts w:asciiTheme="minorHAnsi" w:hAnsiTheme="minorHAnsi" w:cstheme="minorHAnsi"/>
                <w:b/>
                <w:bCs/>
                <w:szCs w:val="24"/>
              </w:rPr>
              <w:t>–</w:t>
            </w:r>
          </w:p>
        </w:tc>
        <w:tc>
          <w:tcPr>
            <w:tcW w:w="1366" w:type="dxa"/>
          </w:tcPr>
          <w:p w14:paraId="4019DC8D" w14:textId="77777777" w:rsidR="006C0CF0" w:rsidRPr="003E1312" w:rsidRDefault="006C0CF0" w:rsidP="003E1312">
            <w:pPr>
              <w:pStyle w:val="TableCopy"/>
              <w:jc w:val="right"/>
              <w:rPr>
                <w:rFonts w:asciiTheme="minorHAnsi" w:hAnsiTheme="minorHAnsi" w:cstheme="minorHAnsi"/>
                <w:b/>
                <w:bCs/>
                <w:szCs w:val="24"/>
              </w:rPr>
            </w:pPr>
            <w:r w:rsidRPr="003E1312">
              <w:rPr>
                <w:rFonts w:asciiTheme="minorHAnsi" w:hAnsiTheme="minorHAnsi" w:cstheme="minorHAnsi"/>
                <w:b/>
                <w:bCs/>
                <w:szCs w:val="24"/>
              </w:rPr>
              <w:t>(10,087)</w:t>
            </w:r>
          </w:p>
        </w:tc>
        <w:tc>
          <w:tcPr>
            <w:tcW w:w="1276" w:type="dxa"/>
          </w:tcPr>
          <w:p w14:paraId="3B2EE09E" w14:textId="77036A55" w:rsidR="006C0CF0" w:rsidRPr="003E1312" w:rsidRDefault="006C0CF0" w:rsidP="003E1312">
            <w:pPr>
              <w:pStyle w:val="TableCopy"/>
              <w:jc w:val="right"/>
              <w:rPr>
                <w:rFonts w:asciiTheme="minorHAnsi" w:hAnsiTheme="minorHAnsi" w:cstheme="minorHAnsi"/>
                <w:b/>
                <w:bCs/>
                <w:szCs w:val="24"/>
              </w:rPr>
            </w:pPr>
            <w:r w:rsidRPr="003E1312">
              <w:rPr>
                <w:rFonts w:asciiTheme="minorHAnsi" w:hAnsiTheme="minorHAnsi" w:cstheme="minorHAnsi"/>
                <w:b/>
                <w:bCs/>
                <w:szCs w:val="24"/>
              </w:rPr>
              <w:t>–</w:t>
            </w:r>
          </w:p>
        </w:tc>
        <w:tc>
          <w:tcPr>
            <w:tcW w:w="1323" w:type="dxa"/>
          </w:tcPr>
          <w:p w14:paraId="106BED9C" w14:textId="59133078" w:rsidR="006C0CF0" w:rsidRPr="003E1312" w:rsidRDefault="006C0CF0" w:rsidP="003E1312">
            <w:pPr>
              <w:pStyle w:val="TableCopy"/>
              <w:jc w:val="right"/>
              <w:rPr>
                <w:rFonts w:asciiTheme="minorHAnsi" w:hAnsiTheme="minorHAnsi" w:cstheme="minorHAnsi"/>
                <w:b/>
                <w:bCs/>
                <w:szCs w:val="24"/>
              </w:rPr>
            </w:pPr>
            <w:r w:rsidRPr="003E1312">
              <w:rPr>
                <w:rFonts w:asciiTheme="minorHAnsi" w:hAnsiTheme="minorHAnsi" w:cstheme="minorHAnsi"/>
                <w:b/>
                <w:bCs/>
                <w:szCs w:val="24"/>
              </w:rPr>
              <w:t>10,334</w:t>
            </w:r>
          </w:p>
        </w:tc>
      </w:tr>
      <w:tr w:rsidR="006C0CF0" w:rsidRPr="003E1312" w14:paraId="06F57F78" w14:textId="77777777" w:rsidTr="00D041F8">
        <w:trPr>
          <w:trHeight w:val="113"/>
        </w:trPr>
        <w:tc>
          <w:tcPr>
            <w:tcW w:w="2830" w:type="dxa"/>
          </w:tcPr>
          <w:p w14:paraId="3BC71EA9" w14:textId="77777777" w:rsidR="006C0CF0" w:rsidRPr="003E1312" w:rsidRDefault="006C0CF0" w:rsidP="00AB7848">
            <w:pPr>
              <w:pStyle w:val="TableCopy"/>
              <w:rPr>
                <w:rFonts w:asciiTheme="minorHAnsi" w:hAnsiTheme="minorHAnsi" w:cstheme="minorHAnsi"/>
                <w:b/>
                <w:bCs/>
                <w:szCs w:val="24"/>
              </w:rPr>
            </w:pPr>
            <w:r w:rsidRPr="003E1312">
              <w:rPr>
                <w:rFonts w:asciiTheme="minorHAnsi" w:hAnsiTheme="minorHAnsi" w:cstheme="minorHAnsi"/>
                <w:b/>
                <w:bCs/>
                <w:szCs w:val="24"/>
              </w:rPr>
              <w:t>Total administered comprehensive result</w:t>
            </w:r>
          </w:p>
        </w:tc>
        <w:tc>
          <w:tcPr>
            <w:tcW w:w="1134" w:type="dxa"/>
          </w:tcPr>
          <w:p w14:paraId="5D8D8E9F" w14:textId="77777777" w:rsidR="006C0CF0" w:rsidRPr="003E1312" w:rsidRDefault="006C0CF0" w:rsidP="003E1312">
            <w:pPr>
              <w:pStyle w:val="TableCopy"/>
              <w:jc w:val="right"/>
              <w:rPr>
                <w:rFonts w:asciiTheme="minorHAnsi" w:hAnsiTheme="minorHAnsi" w:cstheme="minorHAnsi"/>
                <w:b/>
                <w:bCs/>
                <w:szCs w:val="24"/>
              </w:rPr>
            </w:pPr>
            <w:r w:rsidRPr="003E1312">
              <w:rPr>
                <w:rFonts w:asciiTheme="minorHAnsi" w:hAnsiTheme="minorHAnsi" w:cstheme="minorHAnsi"/>
                <w:b/>
                <w:bCs/>
                <w:szCs w:val="24"/>
              </w:rPr>
              <w:t>(368)</w:t>
            </w:r>
          </w:p>
        </w:tc>
        <w:tc>
          <w:tcPr>
            <w:tcW w:w="1134" w:type="dxa"/>
          </w:tcPr>
          <w:p w14:paraId="1AA55416" w14:textId="77777777" w:rsidR="006C0CF0" w:rsidRPr="003E1312" w:rsidRDefault="006C0CF0" w:rsidP="003E1312">
            <w:pPr>
              <w:pStyle w:val="TableCopy"/>
              <w:jc w:val="right"/>
              <w:rPr>
                <w:rFonts w:asciiTheme="minorHAnsi" w:hAnsiTheme="minorHAnsi" w:cstheme="minorHAnsi"/>
                <w:b/>
                <w:bCs/>
                <w:szCs w:val="24"/>
              </w:rPr>
            </w:pPr>
            <w:r w:rsidRPr="003E1312">
              <w:rPr>
                <w:rFonts w:asciiTheme="minorHAnsi" w:hAnsiTheme="minorHAnsi" w:cstheme="minorHAnsi"/>
                <w:b/>
                <w:bCs/>
                <w:szCs w:val="24"/>
              </w:rPr>
              <w:t>(1,412)</w:t>
            </w:r>
          </w:p>
        </w:tc>
        <w:tc>
          <w:tcPr>
            <w:tcW w:w="1089" w:type="dxa"/>
          </w:tcPr>
          <w:p w14:paraId="5397A02A" w14:textId="758BECAE" w:rsidR="006C0CF0" w:rsidRPr="003E1312" w:rsidRDefault="006C0CF0" w:rsidP="003E1312">
            <w:pPr>
              <w:pStyle w:val="TableCopy"/>
              <w:jc w:val="right"/>
              <w:rPr>
                <w:rFonts w:asciiTheme="minorHAnsi" w:hAnsiTheme="minorHAnsi" w:cstheme="minorHAnsi"/>
                <w:b/>
                <w:bCs/>
                <w:szCs w:val="24"/>
              </w:rPr>
            </w:pPr>
            <w:r w:rsidRPr="003E1312">
              <w:rPr>
                <w:rFonts w:asciiTheme="minorHAnsi" w:hAnsiTheme="minorHAnsi" w:cstheme="minorHAnsi"/>
                <w:b/>
                <w:bCs/>
                <w:szCs w:val="24"/>
              </w:rPr>
              <w:t>–</w:t>
            </w:r>
          </w:p>
        </w:tc>
        <w:tc>
          <w:tcPr>
            <w:tcW w:w="1179" w:type="dxa"/>
          </w:tcPr>
          <w:p w14:paraId="7AE852BB" w14:textId="1403C779" w:rsidR="006C0CF0" w:rsidRPr="003E1312" w:rsidRDefault="006C0CF0" w:rsidP="003E1312">
            <w:pPr>
              <w:pStyle w:val="TableCopy"/>
              <w:jc w:val="right"/>
              <w:rPr>
                <w:rFonts w:asciiTheme="minorHAnsi" w:hAnsiTheme="minorHAnsi" w:cstheme="minorHAnsi"/>
                <w:b/>
                <w:bCs/>
                <w:szCs w:val="24"/>
              </w:rPr>
            </w:pPr>
            <w:r w:rsidRPr="003E1312">
              <w:rPr>
                <w:rFonts w:asciiTheme="minorHAnsi" w:hAnsiTheme="minorHAnsi" w:cstheme="minorHAnsi"/>
                <w:b/>
                <w:bCs/>
                <w:szCs w:val="24"/>
              </w:rPr>
              <w:t>6</w:t>
            </w:r>
          </w:p>
        </w:tc>
        <w:tc>
          <w:tcPr>
            <w:tcW w:w="1225" w:type="dxa"/>
          </w:tcPr>
          <w:p w14:paraId="3DBACA38" w14:textId="05E4B091" w:rsidR="006C0CF0" w:rsidRPr="003E1312" w:rsidRDefault="006C0CF0" w:rsidP="003E1312">
            <w:pPr>
              <w:pStyle w:val="TableCopy"/>
              <w:jc w:val="right"/>
              <w:rPr>
                <w:rFonts w:asciiTheme="minorHAnsi" w:hAnsiTheme="minorHAnsi" w:cstheme="minorHAnsi"/>
                <w:b/>
                <w:bCs/>
                <w:szCs w:val="24"/>
              </w:rPr>
            </w:pPr>
            <w:r w:rsidRPr="003E1312">
              <w:rPr>
                <w:rFonts w:asciiTheme="minorHAnsi" w:hAnsiTheme="minorHAnsi" w:cstheme="minorHAnsi"/>
                <w:b/>
                <w:bCs/>
                <w:szCs w:val="24"/>
              </w:rPr>
              <w:t>–</w:t>
            </w:r>
          </w:p>
        </w:tc>
        <w:tc>
          <w:tcPr>
            <w:tcW w:w="1276" w:type="dxa"/>
          </w:tcPr>
          <w:p w14:paraId="41EC8A9B" w14:textId="56D76D53" w:rsidR="006C0CF0" w:rsidRPr="003E1312" w:rsidRDefault="006C0CF0" w:rsidP="003E1312">
            <w:pPr>
              <w:pStyle w:val="TableCopy"/>
              <w:jc w:val="right"/>
              <w:rPr>
                <w:rFonts w:asciiTheme="minorHAnsi" w:hAnsiTheme="minorHAnsi" w:cstheme="minorHAnsi"/>
                <w:b/>
                <w:bCs/>
                <w:szCs w:val="24"/>
              </w:rPr>
            </w:pPr>
            <w:r w:rsidRPr="003E1312">
              <w:rPr>
                <w:rFonts w:asciiTheme="minorHAnsi" w:hAnsiTheme="minorHAnsi" w:cstheme="minorHAnsi"/>
                <w:b/>
                <w:bCs/>
                <w:szCs w:val="24"/>
              </w:rPr>
              <w:t>–</w:t>
            </w:r>
          </w:p>
        </w:tc>
        <w:tc>
          <w:tcPr>
            <w:tcW w:w="1236" w:type="dxa"/>
          </w:tcPr>
          <w:p w14:paraId="2A8E21FE" w14:textId="77777777" w:rsidR="006C0CF0" w:rsidRPr="003E1312" w:rsidRDefault="006C0CF0" w:rsidP="003E1312">
            <w:pPr>
              <w:pStyle w:val="TableCopy"/>
              <w:jc w:val="right"/>
              <w:rPr>
                <w:rFonts w:asciiTheme="minorHAnsi" w:hAnsiTheme="minorHAnsi" w:cstheme="minorHAnsi"/>
                <w:b/>
                <w:bCs/>
                <w:szCs w:val="24"/>
              </w:rPr>
            </w:pPr>
            <w:r w:rsidRPr="003E1312">
              <w:rPr>
                <w:rFonts w:asciiTheme="minorHAnsi" w:hAnsiTheme="minorHAnsi" w:cstheme="minorHAnsi"/>
                <w:b/>
                <w:bCs/>
                <w:szCs w:val="24"/>
              </w:rPr>
              <w:t>(68,561)</w:t>
            </w:r>
          </w:p>
        </w:tc>
        <w:tc>
          <w:tcPr>
            <w:tcW w:w="1366" w:type="dxa"/>
          </w:tcPr>
          <w:p w14:paraId="29BAE444" w14:textId="77777777" w:rsidR="006C0CF0" w:rsidRPr="003E1312" w:rsidRDefault="006C0CF0" w:rsidP="003E1312">
            <w:pPr>
              <w:pStyle w:val="TableCopy"/>
              <w:jc w:val="right"/>
              <w:rPr>
                <w:rFonts w:asciiTheme="minorHAnsi" w:hAnsiTheme="minorHAnsi" w:cstheme="minorHAnsi"/>
                <w:b/>
                <w:bCs/>
                <w:szCs w:val="24"/>
              </w:rPr>
            </w:pPr>
            <w:r w:rsidRPr="003E1312">
              <w:rPr>
                <w:rFonts w:asciiTheme="minorHAnsi" w:hAnsiTheme="minorHAnsi" w:cstheme="minorHAnsi"/>
                <w:b/>
                <w:bCs/>
                <w:szCs w:val="24"/>
              </w:rPr>
              <w:t>(31,913)</w:t>
            </w:r>
          </w:p>
        </w:tc>
        <w:tc>
          <w:tcPr>
            <w:tcW w:w="1276" w:type="dxa"/>
          </w:tcPr>
          <w:p w14:paraId="01D3DA20" w14:textId="77777777" w:rsidR="006C0CF0" w:rsidRPr="003E1312" w:rsidRDefault="006C0CF0" w:rsidP="003E1312">
            <w:pPr>
              <w:pStyle w:val="TableCopy"/>
              <w:jc w:val="right"/>
              <w:rPr>
                <w:rFonts w:asciiTheme="minorHAnsi" w:hAnsiTheme="minorHAnsi" w:cstheme="minorHAnsi"/>
                <w:b/>
                <w:bCs/>
                <w:szCs w:val="24"/>
              </w:rPr>
            </w:pPr>
            <w:r w:rsidRPr="003E1312">
              <w:rPr>
                <w:rFonts w:asciiTheme="minorHAnsi" w:hAnsiTheme="minorHAnsi" w:cstheme="minorHAnsi"/>
                <w:b/>
                <w:bCs/>
                <w:szCs w:val="24"/>
              </w:rPr>
              <w:t>(50,289)</w:t>
            </w:r>
          </w:p>
        </w:tc>
        <w:tc>
          <w:tcPr>
            <w:tcW w:w="1323" w:type="dxa"/>
          </w:tcPr>
          <w:p w14:paraId="3763B3CD" w14:textId="77777777" w:rsidR="006C0CF0" w:rsidRPr="003E1312" w:rsidRDefault="006C0CF0" w:rsidP="003E1312">
            <w:pPr>
              <w:pStyle w:val="TableCopy"/>
              <w:jc w:val="right"/>
              <w:rPr>
                <w:rFonts w:asciiTheme="minorHAnsi" w:hAnsiTheme="minorHAnsi" w:cstheme="minorHAnsi"/>
                <w:b/>
                <w:bCs/>
                <w:szCs w:val="24"/>
              </w:rPr>
            </w:pPr>
            <w:r w:rsidRPr="003E1312">
              <w:rPr>
                <w:rFonts w:asciiTheme="minorHAnsi" w:hAnsiTheme="minorHAnsi" w:cstheme="minorHAnsi"/>
                <w:b/>
                <w:bCs/>
                <w:szCs w:val="24"/>
              </w:rPr>
              <w:t>(14,097)</w:t>
            </w:r>
          </w:p>
        </w:tc>
      </w:tr>
    </w:tbl>
    <w:p w14:paraId="77CCF0E3" w14:textId="15CAE7FE" w:rsidR="000756EB" w:rsidRDefault="004A4D88" w:rsidP="003E1312">
      <w:pPr>
        <w:pStyle w:val="FootnoteText"/>
        <w:rPr>
          <w:i/>
          <w:iCs/>
        </w:rPr>
      </w:pPr>
      <w:r>
        <w:t>(ii)</w:t>
      </w:r>
      <w:r w:rsidR="003E1312">
        <w:t xml:space="preserve"> </w:t>
      </w:r>
      <w:r>
        <w:t>For</w:t>
      </w:r>
      <w:r w:rsidR="00A03629">
        <w:t xml:space="preserve"> </w:t>
      </w:r>
      <w:r>
        <w:t>the</w:t>
      </w:r>
      <w:r w:rsidR="00A03629">
        <w:t xml:space="preserve"> </w:t>
      </w:r>
      <w:r>
        <w:t>functions</w:t>
      </w:r>
      <w:r w:rsidR="00A03629">
        <w:t xml:space="preserve"> </w:t>
      </w:r>
      <w:r>
        <w:t>relinquished</w:t>
      </w:r>
      <w:r w:rsidR="00A03629">
        <w:t xml:space="preserve"> </w:t>
      </w:r>
      <w:proofErr w:type="gramStart"/>
      <w:r>
        <w:t>as</w:t>
      </w:r>
      <w:r w:rsidR="00A03629">
        <w:t xml:space="preserve"> </w:t>
      </w:r>
      <w:r>
        <w:t>a</w:t>
      </w:r>
      <w:r w:rsidR="00A03629">
        <w:t xml:space="preserve"> </w:t>
      </w:r>
      <w:r>
        <w:t>result</w:t>
      </w:r>
      <w:r w:rsidR="00A03629">
        <w:t xml:space="preserve"> </w:t>
      </w:r>
      <w:r>
        <w:t>of</w:t>
      </w:r>
      <w:proofErr w:type="gramEnd"/>
      <w:r w:rsidR="00A03629">
        <w:t xml:space="preserve"> </w:t>
      </w:r>
      <w:r>
        <w:t>the</w:t>
      </w:r>
      <w:r w:rsidR="00A03629">
        <w:t xml:space="preserve"> </w:t>
      </w:r>
      <w:r>
        <w:t>machinery</w:t>
      </w:r>
      <w:r w:rsidR="00A03629">
        <w:t xml:space="preserve"> </w:t>
      </w:r>
      <w:r>
        <w:t>of</w:t>
      </w:r>
      <w:r w:rsidR="00A03629">
        <w:t xml:space="preserve"> </w:t>
      </w:r>
      <w:r>
        <w:t>government</w:t>
      </w:r>
      <w:r w:rsidR="00A03629">
        <w:t xml:space="preserve"> </w:t>
      </w:r>
      <w:r>
        <w:t>changes,</w:t>
      </w:r>
      <w:r w:rsidR="00A03629">
        <w:t xml:space="preserve"> </w:t>
      </w:r>
      <w:r>
        <w:t>the</w:t>
      </w:r>
      <w:r w:rsidR="00A03629">
        <w:t xml:space="preserve"> </w:t>
      </w:r>
      <w:r>
        <w:t>2023</w:t>
      </w:r>
      <w:r w:rsidR="00A03629">
        <w:t xml:space="preserve"> </w:t>
      </w:r>
      <w:r>
        <w:t>outputs</w:t>
      </w:r>
      <w:r w:rsidR="00A03629">
        <w:t xml:space="preserve"> </w:t>
      </w:r>
      <w:r>
        <w:t>are</w:t>
      </w:r>
      <w:r w:rsidR="00A03629">
        <w:t xml:space="preserve"> </w:t>
      </w:r>
      <w:r>
        <w:t>for</w:t>
      </w:r>
      <w:r w:rsidR="00A03629">
        <w:t xml:space="preserve"> </w:t>
      </w:r>
      <w:r>
        <w:t>the</w:t>
      </w:r>
      <w:r w:rsidR="00A03629">
        <w:t xml:space="preserve"> </w:t>
      </w:r>
      <w:r>
        <w:t>period</w:t>
      </w:r>
      <w:r w:rsidR="00A03629">
        <w:t xml:space="preserve"> </w:t>
      </w:r>
      <w:r>
        <w:t>from</w:t>
      </w:r>
      <w:r w:rsidR="00A03629">
        <w:t xml:space="preserve"> </w:t>
      </w:r>
      <w:r>
        <w:t>1</w:t>
      </w:r>
      <w:r w:rsidR="00A03629">
        <w:t xml:space="preserve"> </w:t>
      </w:r>
      <w:r>
        <w:t>July</w:t>
      </w:r>
      <w:r w:rsidR="00A03629">
        <w:t xml:space="preserve"> </w:t>
      </w:r>
      <w:r>
        <w:t>2022</w:t>
      </w:r>
      <w:r w:rsidR="00A03629">
        <w:t xml:space="preserve"> </w:t>
      </w:r>
      <w:r>
        <w:t>to</w:t>
      </w:r>
      <w:r w:rsidR="00A03629">
        <w:rPr>
          <w:rFonts w:ascii="Cambria" w:hAnsi="Cambria" w:cs="Cambria"/>
        </w:rPr>
        <w:t xml:space="preserve"> </w:t>
      </w:r>
      <w:r>
        <w:t>31</w:t>
      </w:r>
      <w:r w:rsidR="00A03629">
        <w:t xml:space="preserve"> </w:t>
      </w:r>
      <w:r>
        <w:t>December</w:t>
      </w:r>
      <w:r w:rsidR="00A03629">
        <w:t xml:space="preserve"> </w:t>
      </w:r>
      <w:r>
        <w:t>2022</w:t>
      </w:r>
      <w:r w:rsidR="00A03629">
        <w:t xml:space="preserve"> </w:t>
      </w:r>
      <w:r>
        <w:t>compared</w:t>
      </w:r>
      <w:r w:rsidR="00A03629">
        <w:t xml:space="preserve"> </w:t>
      </w:r>
      <w:r>
        <w:t>to</w:t>
      </w:r>
      <w:r w:rsidR="00A03629">
        <w:t xml:space="preserve"> </w:t>
      </w:r>
      <w:r>
        <w:t>the</w:t>
      </w:r>
      <w:r w:rsidR="00A03629">
        <w:t xml:space="preserve"> </w:t>
      </w:r>
      <w:r>
        <w:t>2022</w:t>
      </w:r>
      <w:r w:rsidR="00A03629">
        <w:t xml:space="preserve"> </w:t>
      </w:r>
      <w:r>
        <w:t>outputs</w:t>
      </w:r>
      <w:r w:rsidR="00A03629">
        <w:t xml:space="preserve"> </w:t>
      </w:r>
      <w:r>
        <w:t>which</w:t>
      </w:r>
      <w:r w:rsidR="00A03629">
        <w:t xml:space="preserve"> </w:t>
      </w:r>
      <w:r>
        <w:t>is</w:t>
      </w:r>
      <w:r w:rsidR="00A03629">
        <w:t xml:space="preserve"> </w:t>
      </w:r>
      <w:r>
        <w:t>from</w:t>
      </w:r>
      <w:r w:rsidR="00A03629">
        <w:t xml:space="preserve"> </w:t>
      </w:r>
      <w:r>
        <w:t>1</w:t>
      </w:r>
      <w:r w:rsidR="00A03629">
        <w:t xml:space="preserve"> </w:t>
      </w:r>
      <w:r>
        <w:t>July</w:t>
      </w:r>
      <w:r w:rsidR="00A03629">
        <w:t xml:space="preserve"> </w:t>
      </w:r>
      <w:r>
        <w:t>2021</w:t>
      </w:r>
      <w:r w:rsidR="00A03629">
        <w:t xml:space="preserve"> </w:t>
      </w:r>
      <w:r>
        <w:t>to</w:t>
      </w:r>
      <w:r w:rsidR="00A03629">
        <w:t xml:space="preserve"> </w:t>
      </w:r>
      <w:r>
        <w:t>30</w:t>
      </w:r>
      <w:r w:rsidR="00A03629">
        <w:t xml:space="preserve"> </w:t>
      </w:r>
      <w:r>
        <w:t>June</w:t>
      </w:r>
      <w:r w:rsidR="00A03629">
        <w:t xml:space="preserve"> </w:t>
      </w:r>
      <w:r>
        <w:t>2022.</w:t>
      </w:r>
    </w:p>
    <w:p w14:paraId="0C421E6B" w14:textId="2D6EA924" w:rsidR="000756EB" w:rsidRDefault="004A4D88" w:rsidP="003E1312">
      <w:pPr>
        <w:pStyle w:val="FootnoteText"/>
        <w:rPr>
          <w:i/>
          <w:iCs/>
        </w:rPr>
      </w:pPr>
      <w:r>
        <w:t>(iii)</w:t>
      </w:r>
      <w:r w:rsidR="00A03629">
        <w:t xml:space="preserve"> </w:t>
      </w:r>
      <w:r>
        <w:t>For</w:t>
      </w:r>
      <w:r w:rsidR="00A03629">
        <w:t xml:space="preserve"> </w:t>
      </w:r>
      <w:r>
        <w:t>the</w:t>
      </w:r>
      <w:r w:rsidR="00A03629">
        <w:t xml:space="preserve"> </w:t>
      </w:r>
      <w:r>
        <w:t>functions</w:t>
      </w:r>
      <w:r w:rsidR="00A03629">
        <w:t xml:space="preserve"> </w:t>
      </w:r>
      <w:r>
        <w:t>relinquished</w:t>
      </w:r>
      <w:r w:rsidR="00A03629">
        <w:t xml:space="preserve"> </w:t>
      </w:r>
      <w:proofErr w:type="gramStart"/>
      <w:r>
        <w:t>as</w:t>
      </w:r>
      <w:r w:rsidR="00A03629">
        <w:t xml:space="preserve"> </w:t>
      </w:r>
      <w:r>
        <w:t>a</w:t>
      </w:r>
      <w:r w:rsidR="00A03629">
        <w:t xml:space="preserve"> </w:t>
      </w:r>
      <w:r>
        <w:t>result</w:t>
      </w:r>
      <w:r w:rsidR="00A03629">
        <w:t xml:space="preserve"> </w:t>
      </w:r>
      <w:r>
        <w:t>of</w:t>
      </w:r>
      <w:proofErr w:type="gramEnd"/>
      <w:r w:rsidR="00A03629">
        <w:t xml:space="preserve"> </w:t>
      </w:r>
      <w:r>
        <w:t>the</w:t>
      </w:r>
      <w:r w:rsidR="00A03629">
        <w:t xml:space="preserve"> </w:t>
      </w:r>
      <w:r>
        <w:t>machinery</w:t>
      </w:r>
      <w:r w:rsidR="00A03629">
        <w:t xml:space="preserve"> </w:t>
      </w:r>
      <w:r>
        <w:t>of</w:t>
      </w:r>
      <w:r w:rsidR="00A03629">
        <w:t xml:space="preserve"> </w:t>
      </w:r>
      <w:r>
        <w:t>government</w:t>
      </w:r>
      <w:r w:rsidR="00A03629">
        <w:t xml:space="preserve"> </w:t>
      </w:r>
      <w:r>
        <w:t>changes:</w:t>
      </w:r>
      <w:r w:rsidR="00A03629">
        <w:t xml:space="preserve"> </w:t>
      </w:r>
      <w:r>
        <w:t>Racing</w:t>
      </w:r>
      <w:r w:rsidR="00A03629">
        <w:t xml:space="preserve"> </w:t>
      </w:r>
      <w:r>
        <w:t>of</w:t>
      </w:r>
      <w:r w:rsidR="00A03629">
        <w:t xml:space="preserve"> </w:t>
      </w:r>
      <w:r>
        <w:t>the</w:t>
      </w:r>
      <w:r w:rsidR="00A03629">
        <w:t xml:space="preserve"> </w:t>
      </w:r>
      <w:r>
        <w:t>Sport,</w:t>
      </w:r>
      <w:r w:rsidR="00A03629">
        <w:t xml:space="preserve"> </w:t>
      </w:r>
      <w:r>
        <w:t>Recreation</w:t>
      </w:r>
      <w:r w:rsidR="00A03629">
        <w:t xml:space="preserve"> </w:t>
      </w:r>
      <w:r>
        <w:t>and</w:t>
      </w:r>
      <w:r w:rsidR="00A03629">
        <w:t xml:space="preserve"> </w:t>
      </w:r>
      <w:r>
        <w:t>Racing</w:t>
      </w:r>
      <w:r w:rsidR="00A03629">
        <w:t xml:space="preserve"> </w:t>
      </w:r>
      <w:r>
        <w:t>output;</w:t>
      </w:r>
      <w:r w:rsidR="00A03629">
        <w:t xml:space="preserve"> </w:t>
      </w:r>
      <w:r>
        <w:t>Local</w:t>
      </w:r>
      <w:r w:rsidR="00A03629">
        <w:t xml:space="preserve"> </w:t>
      </w:r>
      <w:r>
        <w:t>Government</w:t>
      </w:r>
      <w:r w:rsidR="00A03629">
        <w:t xml:space="preserve"> </w:t>
      </w:r>
      <w:r>
        <w:t>of</w:t>
      </w:r>
      <w:r w:rsidR="00A03629">
        <w:t xml:space="preserve"> </w:t>
      </w:r>
      <w:r>
        <w:t>the</w:t>
      </w:r>
      <w:r w:rsidR="00A03629">
        <w:t xml:space="preserve"> </w:t>
      </w:r>
      <w:r>
        <w:t>Local</w:t>
      </w:r>
      <w:r w:rsidR="00A03629">
        <w:t xml:space="preserve"> </w:t>
      </w:r>
      <w:r>
        <w:t>Government</w:t>
      </w:r>
      <w:r w:rsidR="00A03629">
        <w:t xml:space="preserve"> </w:t>
      </w:r>
      <w:r>
        <w:t>and</w:t>
      </w:r>
      <w:r w:rsidR="00A03629">
        <w:t xml:space="preserve"> </w:t>
      </w:r>
      <w:r>
        <w:t>Suburban</w:t>
      </w:r>
      <w:r w:rsidR="00A03629">
        <w:t xml:space="preserve"> </w:t>
      </w:r>
      <w:r>
        <w:t>Development</w:t>
      </w:r>
      <w:r w:rsidR="00A03629">
        <w:t xml:space="preserve"> </w:t>
      </w:r>
      <w:r>
        <w:t>output;</w:t>
      </w:r>
      <w:r w:rsidR="00A03629">
        <w:t xml:space="preserve"> </w:t>
      </w:r>
      <w:r>
        <w:t>Medical</w:t>
      </w:r>
      <w:r w:rsidR="00A03629">
        <w:t xml:space="preserve"> </w:t>
      </w:r>
      <w:r>
        <w:t>Research</w:t>
      </w:r>
      <w:r w:rsidR="00A03629">
        <w:t xml:space="preserve"> </w:t>
      </w:r>
      <w:r>
        <w:t>and</w:t>
      </w:r>
      <w:r w:rsidR="00A03629">
        <w:t xml:space="preserve"> </w:t>
      </w:r>
      <w:r>
        <w:t>Telecommunication</w:t>
      </w:r>
      <w:r w:rsidR="00A03629">
        <w:t xml:space="preserve"> </w:t>
      </w:r>
      <w:r>
        <w:t>of</w:t>
      </w:r>
      <w:r w:rsidR="00A03629">
        <w:t xml:space="preserve"> </w:t>
      </w:r>
      <w:r>
        <w:t>the</w:t>
      </w:r>
      <w:r w:rsidR="00A03629">
        <w:t xml:space="preserve"> </w:t>
      </w:r>
      <w:r>
        <w:t>Industry,</w:t>
      </w:r>
      <w:r w:rsidR="00A03629">
        <w:t xml:space="preserve"> </w:t>
      </w:r>
      <w:r>
        <w:t>Innovation,</w:t>
      </w:r>
      <w:r w:rsidR="00A03629">
        <w:t xml:space="preserve"> </w:t>
      </w:r>
      <w:r>
        <w:t>Medical</w:t>
      </w:r>
      <w:r w:rsidR="00A03629">
        <w:t xml:space="preserve"> </w:t>
      </w:r>
      <w:r>
        <w:t>Research</w:t>
      </w:r>
      <w:r w:rsidR="00A03629">
        <w:t xml:space="preserve"> </w:t>
      </w:r>
      <w:r>
        <w:t>and</w:t>
      </w:r>
      <w:r w:rsidR="00A03629">
        <w:t xml:space="preserve"> </w:t>
      </w:r>
      <w:r>
        <w:t>Small</w:t>
      </w:r>
      <w:r w:rsidR="00A03629">
        <w:t xml:space="preserve"> </w:t>
      </w:r>
      <w:r>
        <w:t>Business</w:t>
      </w:r>
      <w:r w:rsidR="00A03629">
        <w:t xml:space="preserve"> </w:t>
      </w:r>
      <w:r>
        <w:t>output.</w:t>
      </w:r>
    </w:p>
    <w:p w14:paraId="5F959C5A" w14:textId="6FB18D88" w:rsidR="000756EB" w:rsidRDefault="004A4D88" w:rsidP="003E1312">
      <w:pPr>
        <w:pStyle w:val="Heading3"/>
      </w:pPr>
      <w:r>
        <w:lastRenderedPageBreak/>
        <w:t>4.2.3</w:t>
      </w:r>
      <w:r w:rsidR="00DE38B5">
        <w:t xml:space="preserve"> </w:t>
      </w:r>
      <w:r>
        <w:t>Administered</w:t>
      </w:r>
      <w:r w:rsidR="00A03629">
        <w:t xml:space="preserve"> </w:t>
      </w:r>
      <w:r>
        <w:t>assets</w:t>
      </w:r>
      <w:r w:rsidR="00A03629">
        <w:t xml:space="preserve"> </w:t>
      </w:r>
      <w:r>
        <w:t>and</w:t>
      </w:r>
      <w:r w:rsidR="00A03629">
        <w:t xml:space="preserve"> </w:t>
      </w:r>
      <w:r>
        <w:t>liabilities</w:t>
      </w:r>
      <w:r w:rsidR="00A03629">
        <w:t xml:space="preserve"> </w:t>
      </w:r>
      <w:proofErr w:type="gramStart"/>
      <w:r>
        <w:t>at</w:t>
      </w:r>
      <w:proofErr w:type="gramEnd"/>
      <w:r w:rsidR="00A03629">
        <w:t xml:space="preserve"> </w:t>
      </w:r>
      <w:r>
        <w:t>30</w:t>
      </w:r>
      <w:r w:rsidR="00A03629">
        <w:t xml:space="preserve"> </w:t>
      </w:r>
      <w:r>
        <w:t>June</w:t>
      </w:r>
      <w:r w:rsidR="00A03629">
        <w:t xml:space="preserve"> </w:t>
      </w:r>
      <w:r>
        <w:t>2023</w:t>
      </w:r>
      <w:r w:rsidR="003E1312">
        <w:t xml:space="preserve"> </w:t>
      </w:r>
      <w:r>
        <w:t>Department</w:t>
      </w:r>
      <w:r w:rsidR="00A03629">
        <w:t xml:space="preserve"> </w:t>
      </w:r>
      <w:r>
        <w:t>of</w:t>
      </w:r>
      <w:r w:rsidR="00A03629">
        <w:t xml:space="preserve"> </w:t>
      </w:r>
      <w:r>
        <w:t>Jobs,</w:t>
      </w:r>
      <w:r w:rsidR="00A03629">
        <w:t xml:space="preserve"> </w:t>
      </w:r>
      <w:r>
        <w:t>Skills,</w:t>
      </w:r>
      <w:r w:rsidR="00A03629">
        <w:t xml:space="preserve"> </w:t>
      </w:r>
      <w:r>
        <w:t>Industry</w:t>
      </w:r>
      <w:r w:rsidR="00A03629">
        <w:t xml:space="preserve"> </w:t>
      </w:r>
      <w:r>
        <w:t>and</w:t>
      </w:r>
      <w:r w:rsidR="00A03629">
        <w:t xml:space="preserve"> </w:t>
      </w:r>
      <w:r>
        <w:t>Regions</w:t>
      </w:r>
      <w:r w:rsidR="00A03629">
        <w:t xml:space="preserve"> </w:t>
      </w:r>
      <w:r>
        <w:t>Outputs</w:t>
      </w:r>
    </w:p>
    <w:tbl>
      <w:tblPr>
        <w:tblStyle w:val="TableGrid"/>
        <w:tblW w:w="14957" w:type="dxa"/>
        <w:tblLayout w:type="fixed"/>
        <w:tblLook w:val="0020" w:firstRow="1" w:lastRow="0" w:firstColumn="0" w:lastColumn="0" w:noHBand="0" w:noVBand="0"/>
      </w:tblPr>
      <w:tblGrid>
        <w:gridCol w:w="3964"/>
        <w:gridCol w:w="1165"/>
        <w:gridCol w:w="1092"/>
        <w:gridCol w:w="1092"/>
        <w:gridCol w:w="1092"/>
        <w:gridCol w:w="1092"/>
        <w:gridCol w:w="1092"/>
        <w:gridCol w:w="1092"/>
        <w:gridCol w:w="1092"/>
        <w:gridCol w:w="1092"/>
        <w:gridCol w:w="1092"/>
      </w:tblGrid>
      <w:tr w:rsidR="00D041F8" w:rsidRPr="00D041F8" w14:paraId="420E829A" w14:textId="77777777" w:rsidTr="00C47647">
        <w:trPr>
          <w:cantSplit/>
        </w:trPr>
        <w:tc>
          <w:tcPr>
            <w:tcW w:w="3964" w:type="dxa"/>
          </w:tcPr>
          <w:p w14:paraId="2EFE7CF0" w14:textId="77777777" w:rsidR="00D041F8" w:rsidRPr="00D041F8" w:rsidRDefault="00D041F8" w:rsidP="00D041F8">
            <w:pPr>
              <w:pStyle w:val="TableColumnHeading"/>
              <w:rPr>
                <w:rFonts w:asciiTheme="minorHAnsi" w:hAnsiTheme="minorHAnsi" w:cstheme="minorHAnsi"/>
                <w:sz w:val="20"/>
                <w:szCs w:val="28"/>
              </w:rPr>
            </w:pPr>
            <w:bookmarkStart w:id="54" w:name="ColumnTitles_30"/>
            <w:bookmarkEnd w:id="54"/>
          </w:p>
        </w:tc>
        <w:tc>
          <w:tcPr>
            <w:tcW w:w="1165" w:type="dxa"/>
          </w:tcPr>
          <w:p w14:paraId="740BC26D" w14:textId="03AFF4E7" w:rsidR="00D041F8" w:rsidRPr="00D041F8" w:rsidRDefault="00D041F8" w:rsidP="00104948">
            <w:pPr>
              <w:pStyle w:val="TableColumnHeading"/>
              <w:jc w:val="right"/>
              <w:rPr>
                <w:rFonts w:asciiTheme="minorHAnsi" w:hAnsiTheme="minorHAnsi" w:cstheme="minorHAnsi"/>
                <w:sz w:val="20"/>
                <w:szCs w:val="28"/>
              </w:rPr>
            </w:pPr>
            <w:r w:rsidRPr="00D041F8">
              <w:rPr>
                <w:rFonts w:asciiTheme="minorHAnsi" w:hAnsiTheme="minorHAnsi" w:cstheme="minorHAnsi"/>
                <w:sz w:val="20"/>
                <w:szCs w:val="28"/>
              </w:rPr>
              <w:t>Creative Industries Access, Develop</w:t>
            </w:r>
            <w:r w:rsidR="00C47647">
              <w:rPr>
                <w:rFonts w:asciiTheme="minorHAnsi" w:hAnsiTheme="minorHAnsi" w:cstheme="minorHAnsi"/>
                <w:sz w:val="20"/>
                <w:szCs w:val="28"/>
              </w:rPr>
              <w:t>-</w:t>
            </w:r>
            <w:proofErr w:type="spellStart"/>
            <w:r w:rsidRPr="00D041F8">
              <w:rPr>
                <w:rFonts w:asciiTheme="minorHAnsi" w:hAnsiTheme="minorHAnsi" w:cstheme="minorHAnsi"/>
                <w:sz w:val="20"/>
                <w:szCs w:val="28"/>
              </w:rPr>
              <w:t>ment</w:t>
            </w:r>
            <w:proofErr w:type="spellEnd"/>
            <w:r w:rsidRPr="00D041F8">
              <w:rPr>
                <w:rFonts w:asciiTheme="minorHAnsi" w:hAnsiTheme="minorHAnsi" w:cstheme="minorHAnsi"/>
                <w:sz w:val="20"/>
                <w:szCs w:val="28"/>
              </w:rPr>
              <w:t xml:space="preserve"> and Innovation 2023 ($ thousand) </w:t>
            </w:r>
          </w:p>
        </w:tc>
        <w:tc>
          <w:tcPr>
            <w:tcW w:w="1092" w:type="dxa"/>
          </w:tcPr>
          <w:p w14:paraId="022EB521" w14:textId="1052E450" w:rsidR="00D041F8" w:rsidRPr="00D041F8" w:rsidRDefault="00D041F8" w:rsidP="00104948">
            <w:pPr>
              <w:pStyle w:val="TableColumnHeading"/>
              <w:jc w:val="right"/>
              <w:rPr>
                <w:rFonts w:asciiTheme="minorHAnsi" w:hAnsiTheme="minorHAnsi" w:cstheme="minorHAnsi"/>
                <w:sz w:val="20"/>
                <w:szCs w:val="28"/>
              </w:rPr>
            </w:pPr>
            <w:r w:rsidRPr="00D041F8">
              <w:rPr>
                <w:rFonts w:asciiTheme="minorHAnsi" w:hAnsiTheme="minorHAnsi" w:cstheme="minorHAnsi"/>
                <w:sz w:val="20"/>
                <w:szCs w:val="28"/>
              </w:rPr>
              <w:t>Creative Industries Access, Develop</w:t>
            </w:r>
            <w:r w:rsidR="00C47647">
              <w:rPr>
                <w:rFonts w:asciiTheme="minorHAnsi" w:hAnsiTheme="minorHAnsi" w:cstheme="minorHAnsi"/>
                <w:sz w:val="20"/>
                <w:szCs w:val="28"/>
              </w:rPr>
              <w:t>-</w:t>
            </w:r>
            <w:proofErr w:type="spellStart"/>
            <w:r w:rsidRPr="00D041F8">
              <w:rPr>
                <w:rFonts w:asciiTheme="minorHAnsi" w:hAnsiTheme="minorHAnsi" w:cstheme="minorHAnsi"/>
                <w:sz w:val="20"/>
                <w:szCs w:val="28"/>
              </w:rPr>
              <w:t>ment</w:t>
            </w:r>
            <w:proofErr w:type="spellEnd"/>
            <w:r w:rsidRPr="00D041F8">
              <w:rPr>
                <w:rFonts w:asciiTheme="minorHAnsi" w:hAnsiTheme="minorHAnsi" w:cstheme="minorHAnsi"/>
                <w:sz w:val="20"/>
                <w:szCs w:val="28"/>
              </w:rPr>
              <w:t xml:space="preserve"> and Innovation 2022 ($ thousand)</w:t>
            </w:r>
          </w:p>
        </w:tc>
        <w:tc>
          <w:tcPr>
            <w:tcW w:w="1092" w:type="dxa"/>
          </w:tcPr>
          <w:p w14:paraId="4D0AACA1" w14:textId="678D52D4" w:rsidR="00D041F8" w:rsidRPr="00D041F8" w:rsidRDefault="00D041F8" w:rsidP="00104948">
            <w:pPr>
              <w:pStyle w:val="TableColumnHeading"/>
              <w:jc w:val="right"/>
              <w:rPr>
                <w:rFonts w:asciiTheme="minorHAnsi" w:hAnsiTheme="minorHAnsi" w:cstheme="minorHAnsi"/>
                <w:sz w:val="20"/>
                <w:szCs w:val="28"/>
              </w:rPr>
            </w:pPr>
            <w:r w:rsidRPr="00D041F8">
              <w:rPr>
                <w:rFonts w:asciiTheme="minorHAnsi" w:hAnsiTheme="minorHAnsi" w:cstheme="minorHAnsi"/>
                <w:sz w:val="20"/>
                <w:szCs w:val="28"/>
              </w:rPr>
              <w:t xml:space="preserve">Creative Industries Portfolio Agencies 2023 ($ thousand) </w:t>
            </w:r>
          </w:p>
        </w:tc>
        <w:tc>
          <w:tcPr>
            <w:tcW w:w="1092" w:type="dxa"/>
          </w:tcPr>
          <w:p w14:paraId="2D8D6B50" w14:textId="6A321BB0" w:rsidR="00D041F8" w:rsidRPr="00D041F8" w:rsidRDefault="00D041F8" w:rsidP="00104948">
            <w:pPr>
              <w:pStyle w:val="TableColumnHeading"/>
              <w:jc w:val="right"/>
              <w:rPr>
                <w:rFonts w:asciiTheme="minorHAnsi" w:hAnsiTheme="minorHAnsi" w:cstheme="minorHAnsi"/>
                <w:sz w:val="20"/>
                <w:szCs w:val="28"/>
              </w:rPr>
            </w:pPr>
            <w:r w:rsidRPr="00D041F8">
              <w:rPr>
                <w:rFonts w:asciiTheme="minorHAnsi" w:hAnsiTheme="minorHAnsi" w:cstheme="minorHAnsi"/>
                <w:sz w:val="20"/>
                <w:szCs w:val="28"/>
              </w:rPr>
              <w:t>Creative Industries Portfolio Agencies 2022 ($ thousand)</w:t>
            </w:r>
          </w:p>
        </w:tc>
        <w:tc>
          <w:tcPr>
            <w:tcW w:w="1092" w:type="dxa"/>
          </w:tcPr>
          <w:p w14:paraId="255AB933" w14:textId="570D92D9" w:rsidR="00D041F8" w:rsidRPr="00D041F8" w:rsidRDefault="00D041F8" w:rsidP="00104948">
            <w:pPr>
              <w:pStyle w:val="TableColumnHeading"/>
              <w:jc w:val="right"/>
              <w:rPr>
                <w:rFonts w:asciiTheme="minorHAnsi" w:hAnsiTheme="minorHAnsi" w:cstheme="minorHAnsi"/>
                <w:sz w:val="20"/>
                <w:szCs w:val="28"/>
              </w:rPr>
            </w:pPr>
            <w:r w:rsidRPr="00D041F8">
              <w:rPr>
                <w:rFonts w:asciiTheme="minorHAnsi" w:hAnsiTheme="minorHAnsi" w:cstheme="minorHAnsi"/>
                <w:sz w:val="20"/>
                <w:szCs w:val="28"/>
              </w:rPr>
              <w:t>Cultural Infra</w:t>
            </w:r>
            <w:r w:rsidR="00C47647">
              <w:rPr>
                <w:rFonts w:asciiTheme="minorHAnsi" w:hAnsiTheme="minorHAnsi" w:cstheme="minorHAnsi"/>
                <w:sz w:val="20"/>
                <w:szCs w:val="28"/>
              </w:rPr>
              <w:t>-</w:t>
            </w:r>
            <w:r w:rsidRPr="00D041F8">
              <w:rPr>
                <w:rFonts w:asciiTheme="minorHAnsi" w:hAnsiTheme="minorHAnsi" w:cstheme="minorHAnsi"/>
                <w:sz w:val="20"/>
                <w:szCs w:val="28"/>
              </w:rPr>
              <w:t xml:space="preserve">structure and Facilities 2023 ($ thousand) </w:t>
            </w:r>
          </w:p>
        </w:tc>
        <w:tc>
          <w:tcPr>
            <w:tcW w:w="1092" w:type="dxa"/>
          </w:tcPr>
          <w:p w14:paraId="247FAAE7" w14:textId="3EC77B1B" w:rsidR="00D041F8" w:rsidRPr="00D041F8" w:rsidRDefault="00D041F8" w:rsidP="00104948">
            <w:pPr>
              <w:pStyle w:val="TableColumnHeading"/>
              <w:jc w:val="right"/>
              <w:rPr>
                <w:rFonts w:asciiTheme="minorHAnsi" w:hAnsiTheme="minorHAnsi" w:cstheme="minorHAnsi"/>
                <w:sz w:val="20"/>
                <w:szCs w:val="28"/>
              </w:rPr>
            </w:pPr>
            <w:r w:rsidRPr="00D041F8">
              <w:rPr>
                <w:rFonts w:asciiTheme="minorHAnsi" w:hAnsiTheme="minorHAnsi" w:cstheme="minorHAnsi"/>
                <w:sz w:val="20"/>
                <w:szCs w:val="28"/>
              </w:rPr>
              <w:t>Cultural Infra</w:t>
            </w:r>
            <w:r w:rsidR="00C47647">
              <w:rPr>
                <w:rFonts w:asciiTheme="minorHAnsi" w:hAnsiTheme="minorHAnsi" w:cstheme="minorHAnsi"/>
                <w:sz w:val="20"/>
                <w:szCs w:val="28"/>
              </w:rPr>
              <w:t>-</w:t>
            </w:r>
            <w:r w:rsidRPr="00D041F8">
              <w:rPr>
                <w:rFonts w:asciiTheme="minorHAnsi" w:hAnsiTheme="minorHAnsi" w:cstheme="minorHAnsi"/>
                <w:sz w:val="20"/>
                <w:szCs w:val="28"/>
              </w:rPr>
              <w:t>structure and Facilities 2022 ($ thousand)</w:t>
            </w:r>
          </w:p>
        </w:tc>
        <w:tc>
          <w:tcPr>
            <w:tcW w:w="1092" w:type="dxa"/>
          </w:tcPr>
          <w:p w14:paraId="50CC1D6F" w14:textId="05CA8059" w:rsidR="00D041F8" w:rsidRPr="00D041F8" w:rsidRDefault="00D041F8" w:rsidP="00104948">
            <w:pPr>
              <w:pStyle w:val="TableColumnHeading"/>
              <w:jc w:val="right"/>
              <w:rPr>
                <w:rFonts w:asciiTheme="minorHAnsi" w:hAnsiTheme="minorHAnsi" w:cstheme="minorHAnsi"/>
                <w:sz w:val="20"/>
                <w:szCs w:val="28"/>
              </w:rPr>
            </w:pPr>
            <w:r w:rsidRPr="00D041F8">
              <w:rPr>
                <w:rFonts w:asciiTheme="minorHAnsi" w:hAnsiTheme="minorHAnsi" w:cstheme="minorHAnsi"/>
                <w:sz w:val="20"/>
                <w:szCs w:val="28"/>
              </w:rPr>
              <w:t>Industry, Inno</w:t>
            </w:r>
            <w:r w:rsidR="00C47647">
              <w:rPr>
                <w:rFonts w:asciiTheme="minorHAnsi" w:hAnsiTheme="minorHAnsi" w:cstheme="minorHAnsi"/>
                <w:sz w:val="20"/>
                <w:szCs w:val="28"/>
              </w:rPr>
              <w:t>-</w:t>
            </w:r>
            <w:proofErr w:type="spellStart"/>
            <w:r w:rsidRPr="00D041F8">
              <w:rPr>
                <w:rFonts w:asciiTheme="minorHAnsi" w:hAnsiTheme="minorHAnsi" w:cstheme="minorHAnsi"/>
                <w:sz w:val="20"/>
                <w:szCs w:val="28"/>
              </w:rPr>
              <w:t>vation</w:t>
            </w:r>
            <w:proofErr w:type="spellEnd"/>
            <w:r w:rsidRPr="00D041F8">
              <w:rPr>
                <w:rFonts w:asciiTheme="minorHAnsi" w:hAnsiTheme="minorHAnsi" w:cstheme="minorHAnsi"/>
                <w:sz w:val="20"/>
                <w:szCs w:val="28"/>
              </w:rPr>
              <w:t xml:space="preserve">, and Small Business 2023 ($ thousand) </w:t>
            </w:r>
          </w:p>
        </w:tc>
        <w:tc>
          <w:tcPr>
            <w:tcW w:w="1092" w:type="dxa"/>
          </w:tcPr>
          <w:p w14:paraId="41920A09" w14:textId="44AA7906" w:rsidR="00D041F8" w:rsidRPr="00D041F8" w:rsidRDefault="00D041F8" w:rsidP="00104948">
            <w:pPr>
              <w:pStyle w:val="TableColumnHeading"/>
              <w:jc w:val="right"/>
              <w:rPr>
                <w:rFonts w:asciiTheme="minorHAnsi" w:hAnsiTheme="minorHAnsi" w:cstheme="minorHAnsi"/>
                <w:sz w:val="20"/>
                <w:szCs w:val="28"/>
              </w:rPr>
            </w:pPr>
            <w:r w:rsidRPr="00D041F8">
              <w:rPr>
                <w:rFonts w:asciiTheme="minorHAnsi" w:hAnsiTheme="minorHAnsi" w:cstheme="minorHAnsi"/>
                <w:sz w:val="20"/>
                <w:szCs w:val="28"/>
              </w:rPr>
              <w:t>Industry, Inno</w:t>
            </w:r>
            <w:r w:rsidR="00C47647">
              <w:rPr>
                <w:rFonts w:asciiTheme="minorHAnsi" w:hAnsiTheme="minorHAnsi" w:cstheme="minorHAnsi"/>
                <w:sz w:val="20"/>
                <w:szCs w:val="28"/>
              </w:rPr>
              <w:t>-</w:t>
            </w:r>
            <w:proofErr w:type="spellStart"/>
            <w:r w:rsidRPr="00D041F8">
              <w:rPr>
                <w:rFonts w:asciiTheme="minorHAnsi" w:hAnsiTheme="minorHAnsi" w:cstheme="minorHAnsi"/>
                <w:sz w:val="20"/>
                <w:szCs w:val="28"/>
              </w:rPr>
              <w:t>vation</w:t>
            </w:r>
            <w:proofErr w:type="spellEnd"/>
            <w:r w:rsidRPr="00D041F8">
              <w:rPr>
                <w:rFonts w:asciiTheme="minorHAnsi" w:hAnsiTheme="minorHAnsi" w:cstheme="minorHAnsi"/>
                <w:sz w:val="20"/>
                <w:szCs w:val="28"/>
              </w:rPr>
              <w:t>, and Small Business 2022 ($ thousand)</w:t>
            </w:r>
          </w:p>
        </w:tc>
        <w:tc>
          <w:tcPr>
            <w:tcW w:w="1092" w:type="dxa"/>
          </w:tcPr>
          <w:p w14:paraId="1A97C587" w14:textId="064CEBE5" w:rsidR="00D041F8" w:rsidRPr="00D041F8" w:rsidRDefault="00D041F8" w:rsidP="00104948">
            <w:pPr>
              <w:pStyle w:val="TableColumnHeading"/>
              <w:jc w:val="right"/>
              <w:rPr>
                <w:rFonts w:asciiTheme="minorHAnsi" w:hAnsiTheme="minorHAnsi" w:cstheme="minorHAnsi"/>
                <w:sz w:val="20"/>
                <w:szCs w:val="28"/>
              </w:rPr>
            </w:pPr>
            <w:r w:rsidRPr="00D041F8">
              <w:rPr>
                <w:rFonts w:asciiTheme="minorHAnsi" w:hAnsiTheme="minorHAnsi" w:cstheme="minorHAnsi"/>
                <w:sz w:val="20"/>
                <w:szCs w:val="28"/>
              </w:rPr>
              <w:t>Jobs 2023</w:t>
            </w:r>
            <w:r w:rsidR="00C47647">
              <w:rPr>
                <w:rFonts w:asciiTheme="minorHAnsi" w:hAnsiTheme="minorHAnsi" w:cstheme="minorHAnsi"/>
                <w:sz w:val="20"/>
                <w:szCs w:val="28"/>
              </w:rPr>
              <w:t> </w:t>
            </w:r>
            <w:r w:rsidRPr="00D041F8">
              <w:rPr>
                <w:rFonts w:asciiTheme="minorHAnsi" w:hAnsiTheme="minorHAnsi" w:cstheme="minorHAnsi"/>
                <w:sz w:val="20"/>
                <w:szCs w:val="28"/>
              </w:rPr>
              <w:t xml:space="preserve">($ thousand) </w:t>
            </w:r>
          </w:p>
        </w:tc>
        <w:tc>
          <w:tcPr>
            <w:tcW w:w="1092" w:type="dxa"/>
          </w:tcPr>
          <w:p w14:paraId="4B817FBE" w14:textId="09A4A70B" w:rsidR="00D041F8" w:rsidRPr="00D041F8" w:rsidRDefault="00D041F8" w:rsidP="00104948">
            <w:pPr>
              <w:pStyle w:val="TableColumnHeading"/>
              <w:jc w:val="right"/>
              <w:rPr>
                <w:rFonts w:asciiTheme="minorHAnsi" w:hAnsiTheme="minorHAnsi" w:cstheme="minorHAnsi"/>
                <w:sz w:val="20"/>
                <w:szCs w:val="28"/>
              </w:rPr>
            </w:pPr>
            <w:r w:rsidRPr="00D041F8">
              <w:rPr>
                <w:rFonts w:asciiTheme="minorHAnsi" w:hAnsiTheme="minorHAnsi" w:cstheme="minorHAnsi"/>
                <w:sz w:val="20"/>
                <w:szCs w:val="28"/>
              </w:rPr>
              <w:t>Jobs 2022</w:t>
            </w:r>
            <w:r w:rsidR="00C47647">
              <w:rPr>
                <w:rFonts w:asciiTheme="minorHAnsi" w:hAnsiTheme="minorHAnsi" w:cstheme="minorHAnsi"/>
                <w:sz w:val="20"/>
                <w:szCs w:val="28"/>
              </w:rPr>
              <w:t> </w:t>
            </w:r>
            <w:r w:rsidRPr="00D041F8">
              <w:rPr>
                <w:rFonts w:asciiTheme="minorHAnsi" w:hAnsiTheme="minorHAnsi" w:cstheme="minorHAnsi"/>
                <w:sz w:val="20"/>
                <w:szCs w:val="28"/>
              </w:rPr>
              <w:t>($ thousand)</w:t>
            </w:r>
          </w:p>
        </w:tc>
      </w:tr>
      <w:tr w:rsidR="00D041F8" w:rsidRPr="00C47647" w14:paraId="2D0C42DF" w14:textId="77777777" w:rsidTr="00C47647">
        <w:trPr>
          <w:cantSplit/>
        </w:trPr>
        <w:tc>
          <w:tcPr>
            <w:tcW w:w="3964" w:type="dxa"/>
          </w:tcPr>
          <w:p w14:paraId="41B51AF9" w14:textId="615BF3C6" w:rsidR="00D041F8" w:rsidRPr="00C47647" w:rsidRDefault="00D041F8" w:rsidP="00C47647">
            <w:pPr>
              <w:pStyle w:val="TableHeading"/>
            </w:pPr>
            <w:r w:rsidRPr="00C47647">
              <w:t>Administered financial assets</w:t>
            </w:r>
          </w:p>
        </w:tc>
        <w:tc>
          <w:tcPr>
            <w:tcW w:w="1165" w:type="dxa"/>
          </w:tcPr>
          <w:p w14:paraId="5BD891CE" w14:textId="77777777" w:rsidR="00D041F8" w:rsidRPr="00C47647" w:rsidRDefault="00D041F8" w:rsidP="00104948">
            <w:pPr>
              <w:pStyle w:val="TableHeading"/>
              <w:jc w:val="right"/>
            </w:pPr>
          </w:p>
        </w:tc>
        <w:tc>
          <w:tcPr>
            <w:tcW w:w="1092" w:type="dxa"/>
          </w:tcPr>
          <w:p w14:paraId="1E5E7364" w14:textId="77777777" w:rsidR="00D041F8" w:rsidRPr="00C47647" w:rsidRDefault="00D041F8" w:rsidP="00104948">
            <w:pPr>
              <w:pStyle w:val="TableHeading"/>
              <w:jc w:val="right"/>
            </w:pPr>
          </w:p>
        </w:tc>
        <w:tc>
          <w:tcPr>
            <w:tcW w:w="1092" w:type="dxa"/>
          </w:tcPr>
          <w:p w14:paraId="706BCCB2" w14:textId="77777777" w:rsidR="00D041F8" w:rsidRPr="00C47647" w:rsidRDefault="00D041F8" w:rsidP="00104948">
            <w:pPr>
              <w:pStyle w:val="TableHeading"/>
              <w:jc w:val="right"/>
            </w:pPr>
          </w:p>
        </w:tc>
        <w:tc>
          <w:tcPr>
            <w:tcW w:w="1092" w:type="dxa"/>
          </w:tcPr>
          <w:p w14:paraId="7298B515" w14:textId="77777777" w:rsidR="00D041F8" w:rsidRPr="00C47647" w:rsidRDefault="00D041F8" w:rsidP="00104948">
            <w:pPr>
              <w:pStyle w:val="TableHeading"/>
              <w:jc w:val="right"/>
            </w:pPr>
          </w:p>
        </w:tc>
        <w:tc>
          <w:tcPr>
            <w:tcW w:w="1092" w:type="dxa"/>
          </w:tcPr>
          <w:p w14:paraId="6767E089" w14:textId="77777777" w:rsidR="00D041F8" w:rsidRPr="00C47647" w:rsidRDefault="00D041F8" w:rsidP="00104948">
            <w:pPr>
              <w:pStyle w:val="TableHeading"/>
              <w:jc w:val="right"/>
            </w:pPr>
          </w:p>
        </w:tc>
        <w:tc>
          <w:tcPr>
            <w:tcW w:w="1092" w:type="dxa"/>
          </w:tcPr>
          <w:p w14:paraId="171DD5FE" w14:textId="77777777" w:rsidR="00D041F8" w:rsidRPr="00C47647" w:rsidRDefault="00D041F8" w:rsidP="00104948">
            <w:pPr>
              <w:pStyle w:val="TableHeading"/>
              <w:jc w:val="right"/>
            </w:pPr>
          </w:p>
        </w:tc>
        <w:tc>
          <w:tcPr>
            <w:tcW w:w="1092" w:type="dxa"/>
          </w:tcPr>
          <w:p w14:paraId="6EA72C2A" w14:textId="77777777" w:rsidR="00D041F8" w:rsidRPr="00C47647" w:rsidRDefault="00D041F8" w:rsidP="00104948">
            <w:pPr>
              <w:pStyle w:val="TableHeading"/>
              <w:jc w:val="right"/>
            </w:pPr>
          </w:p>
        </w:tc>
        <w:tc>
          <w:tcPr>
            <w:tcW w:w="1092" w:type="dxa"/>
          </w:tcPr>
          <w:p w14:paraId="1E563E9F" w14:textId="77777777" w:rsidR="00D041F8" w:rsidRPr="00C47647" w:rsidRDefault="00D041F8" w:rsidP="00104948">
            <w:pPr>
              <w:pStyle w:val="TableHeading"/>
              <w:jc w:val="right"/>
            </w:pPr>
          </w:p>
        </w:tc>
        <w:tc>
          <w:tcPr>
            <w:tcW w:w="1092" w:type="dxa"/>
          </w:tcPr>
          <w:p w14:paraId="6DAD1ADF" w14:textId="77777777" w:rsidR="00D041F8" w:rsidRPr="00C47647" w:rsidRDefault="00D041F8" w:rsidP="00104948">
            <w:pPr>
              <w:pStyle w:val="TableHeading"/>
              <w:jc w:val="right"/>
            </w:pPr>
          </w:p>
        </w:tc>
        <w:tc>
          <w:tcPr>
            <w:tcW w:w="1092" w:type="dxa"/>
          </w:tcPr>
          <w:p w14:paraId="24ECD74C" w14:textId="77777777" w:rsidR="00D041F8" w:rsidRPr="00C47647" w:rsidRDefault="00D041F8" w:rsidP="00104948">
            <w:pPr>
              <w:pStyle w:val="TableHeading"/>
              <w:jc w:val="right"/>
            </w:pPr>
          </w:p>
        </w:tc>
      </w:tr>
      <w:tr w:rsidR="00D041F8" w14:paraId="3D20D0DD" w14:textId="77777777" w:rsidTr="00C47647">
        <w:trPr>
          <w:cantSplit/>
        </w:trPr>
        <w:tc>
          <w:tcPr>
            <w:tcW w:w="3964" w:type="dxa"/>
          </w:tcPr>
          <w:p w14:paraId="4A6E2AB2" w14:textId="7CFF9B7C" w:rsidR="00D041F8" w:rsidRDefault="00D041F8" w:rsidP="00C47647">
            <w:pPr>
              <w:pStyle w:val="TableCopy"/>
            </w:pPr>
            <w:r>
              <w:t>Cash and receivables</w:t>
            </w:r>
          </w:p>
        </w:tc>
        <w:tc>
          <w:tcPr>
            <w:tcW w:w="1165" w:type="dxa"/>
          </w:tcPr>
          <w:p w14:paraId="7F68C5A7" w14:textId="77777777" w:rsidR="00D041F8" w:rsidRDefault="00D041F8" w:rsidP="00104948">
            <w:pPr>
              <w:pStyle w:val="TableCopy"/>
              <w:jc w:val="right"/>
            </w:pPr>
            <w:r>
              <w:t>(150)</w:t>
            </w:r>
          </w:p>
        </w:tc>
        <w:tc>
          <w:tcPr>
            <w:tcW w:w="1092" w:type="dxa"/>
          </w:tcPr>
          <w:p w14:paraId="71739372" w14:textId="2189F56D" w:rsidR="00D041F8" w:rsidRDefault="00D041F8" w:rsidP="00104948">
            <w:pPr>
              <w:pStyle w:val="TableCopy"/>
              <w:jc w:val="right"/>
            </w:pPr>
            <w:r>
              <w:t>700</w:t>
            </w:r>
          </w:p>
        </w:tc>
        <w:tc>
          <w:tcPr>
            <w:tcW w:w="1092" w:type="dxa"/>
          </w:tcPr>
          <w:p w14:paraId="00DD067E" w14:textId="77777777" w:rsidR="00D041F8" w:rsidRDefault="00D041F8" w:rsidP="00104948">
            <w:pPr>
              <w:pStyle w:val="TableCopy"/>
              <w:jc w:val="right"/>
            </w:pPr>
            <w:r>
              <w:t>(83)</w:t>
            </w:r>
          </w:p>
        </w:tc>
        <w:tc>
          <w:tcPr>
            <w:tcW w:w="1092" w:type="dxa"/>
          </w:tcPr>
          <w:p w14:paraId="3A4ECEF0" w14:textId="44991C22" w:rsidR="00D041F8" w:rsidRDefault="00D041F8" w:rsidP="00104948">
            <w:pPr>
              <w:pStyle w:val="TableCopy"/>
              <w:jc w:val="right"/>
            </w:pPr>
            <w:r>
              <w:t>401</w:t>
            </w:r>
          </w:p>
        </w:tc>
        <w:tc>
          <w:tcPr>
            <w:tcW w:w="1092" w:type="dxa"/>
          </w:tcPr>
          <w:p w14:paraId="7C65ABBF" w14:textId="40D90D68" w:rsidR="00D041F8" w:rsidRDefault="00D041F8" w:rsidP="00104948">
            <w:pPr>
              <w:pStyle w:val="TableCopy"/>
              <w:jc w:val="right"/>
            </w:pPr>
            <w:r>
              <w:t>31</w:t>
            </w:r>
          </w:p>
        </w:tc>
        <w:tc>
          <w:tcPr>
            <w:tcW w:w="1092" w:type="dxa"/>
          </w:tcPr>
          <w:p w14:paraId="637AAC88" w14:textId="61E42C71" w:rsidR="00D041F8" w:rsidRDefault="00D041F8" w:rsidP="00104948">
            <w:pPr>
              <w:pStyle w:val="TableCopy"/>
              <w:jc w:val="right"/>
            </w:pPr>
            <w:r>
              <w:t>138</w:t>
            </w:r>
          </w:p>
        </w:tc>
        <w:tc>
          <w:tcPr>
            <w:tcW w:w="1092" w:type="dxa"/>
          </w:tcPr>
          <w:p w14:paraId="7439B7D8" w14:textId="77777777" w:rsidR="00D041F8" w:rsidRDefault="00D041F8" w:rsidP="00104948">
            <w:pPr>
              <w:pStyle w:val="TableCopy"/>
              <w:jc w:val="right"/>
            </w:pPr>
            <w:r>
              <w:t>(3,138)</w:t>
            </w:r>
          </w:p>
        </w:tc>
        <w:tc>
          <w:tcPr>
            <w:tcW w:w="1092" w:type="dxa"/>
          </w:tcPr>
          <w:p w14:paraId="654EBC86" w14:textId="77777777" w:rsidR="00D041F8" w:rsidRDefault="00D041F8" w:rsidP="00104948">
            <w:pPr>
              <w:pStyle w:val="TableCopy"/>
              <w:jc w:val="right"/>
            </w:pPr>
            <w:r>
              <w:t>(919)</w:t>
            </w:r>
          </w:p>
        </w:tc>
        <w:tc>
          <w:tcPr>
            <w:tcW w:w="1092" w:type="dxa"/>
          </w:tcPr>
          <w:p w14:paraId="18A33F9E" w14:textId="77777777" w:rsidR="00D041F8" w:rsidRDefault="00D041F8" w:rsidP="00104948">
            <w:pPr>
              <w:pStyle w:val="TableCopy"/>
              <w:jc w:val="right"/>
            </w:pPr>
            <w:r>
              <w:t>(238)</w:t>
            </w:r>
          </w:p>
        </w:tc>
        <w:tc>
          <w:tcPr>
            <w:tcW w:w="1092" w:type="dxa"/>
          </w:tcPr>
          <w:p w14:paraId="49CC4932" w14:textId="0989C6D7" w:rsidR="00D041F8" w:rsidRDefault="00D041F8" w:rsidP="00104948">
            <w:pPr>
              <w:pStyle w:val="TableCopy"/>
              <w:jc w:val="right"/>
            </w:pPr>
            <w:r>
              <w:t>2,398</w:t>
            </w:r>
          </w:p>
        </w:tc>
      </w:tr>
      <w:tr w:rsidR="00D041F8" w14:paraId="6A08081C" w14:textId="77777777" w:rsidTr="00C47647">
        <w:trPr>
          <w:cantSplit/>
        </w:trPr>
        <w:tc>
          <w:tcPr>
            <w:tcW w:w="3964" w:type="dxa"/>
          </w:tcPr>
          <w:p w14:paraId="2EF995FD" w14:textId="72192735" w:rsidR="00D041F8" w:rsidRDefault="00D041F8" w:rsidP="00C47647">
            <w:pPr>
              <w:pStyle w:val="TableCopy"/>
            </w:pPr>
            <w:r>
              <w:t>Trust funds</w:t>
            </w:r>
          </w:p>
        </w:tc>
        <w:tc>
          <w:tcPr>
            <w:tcW w:w="1165" w:type="dxa"/>
          </w:tcPr>
          <w:p w14:paraId="37FBCD5F" w14:textId="059DED24" w:rsidR="00D041F8" w:rsidRDefault="00D041F8" w:rsidP="00104948">
            <w:pPr>
              <w:pStyle w:val="TableCopy"/>
              <w:jc w:val="right"/>
            </w:pPr>
            <w:r>
              <w:t>49</w:t>
            </w:r>
          </w:p>
        </w:tc>
        <w:tc>
          <w:tcPr>
            <w:tcW w:w="1092" w:type="dxa"/>
          </w:tcPr>
          <w:p w14:paraId="520293C5" w14:textId="755C5952" w:rsidR="00D041F8" w:rsidRDefault="00D041F8" w:rsidP="00104948">
            <w:pPr>
              <w:pStyle w:val="TableCopy"/>
              <w:jc w:val="right"/>
            </w:pPr>
            <w:r>
              <w:t>–</w:t>
            </w:r>
          </w:p>
        </w:tc>
        <w:tc>
          <w:tcPr>
            <w:tcW w:w="1092" w:type="dxa"/>
          </w:tcPr>
          <w:p w14:paraId="3E0CF416" w14:textId="72DBA86E" w:rsidR="00D041F8" w:rsidRDefault="00D041F8" w:rsidP="00104948">
            <w:pPr>
              <w:pStyle w:val="TableCopy"/>
              <w:jc w:val="right"/>
            </w:pPr>
            <w:r>
              <w:t>32</w:t>
            </w:r>
          </w:p>
        </w:tc>
        <w:tc>
          <w:tcPr>
            <w:tcW w:w="1092" w:type="dxa"/>
          </w:tcPr>
          <w:p w14:paraId="11FCD453" w14:textId="04D2E67A" w:rsidR="00D041F8" w:rsidRDefault="00D041F8" w:rsidP="00104948">
            <w:pPr>
              <w:pStyle w:val="TableCopy"/>
              <w:jc w:val="right"/>
            </w:pPr>
            <w:r>
              <w:t>–</w:t>
            </w:r>
          </w:p>
        </w:tc>
        <w:tc>
          <w:tcPr>
            <w:tcW w:w="1092" w:type="dxa"/>
          </w:tcPr>
          <w:p w14:paraId="2B6A2FF2" w14:textId="29E089F3" w:rsidR="00D041F8" w:rsidRDefault="00D041F8" w:rsidP="00104948">
            <w:pPr>
              <w:pStyle w:val="TableCopy"/>
              <w:jc w:val="right"/>
            </w:pPr>
            <w:r>
              <w:t>10</w:t>
            </w:r>
          </w:p>
        </w:tc>
        <w:tc>
          <w:tcPr>
            <w:tcW w:w="1092" w:type="dxa"/>
          </w:tcPr>
          <w:p w14:paraId="23BE2ECF" w14:textId="249D2DD4" w:rsidR="00D041F8" w:rsidRDefault="00D041F8" w:rsidP="00104948">
            <w:pPr>
              <w:pStyle w:val="TableCopy"/>
              <w:jc w:val="right"/>
            </w:pPr>
            <w:r>
              <w:t>–</w:t>
            </w:r>
          </w:p>
        </w:tc>
        <w:tc>
          <w:tcPr>
            <w:tcW w:w="1092" w:type="dxa"/>
          </w:tcPr>
          <w:p w14:paraId="52167126" w14:textId="3CF3ECFE" w:rsidR="00D041F8" w:rsidRDefault="00D041F8" w:rsidP="00104948">
            <w:pPr>
              <w:pStyle w:val="TableCopy"/>
              <w:jc w:val="right"/>
            </w:pPr>
            <w:r>
              <w:t>24</w:t>
            </w:r>
          </w:p>
        </w:tc>
        <w:tc>
          <w:tcPr>
            <w:tcW w:w="1092" w:type="dxa"/>
          </w:tcPr>
          <w:p w14:paraId="41FF9040" w14:textId="77777777" w:rsidR="00D041F8" w:rsidRDefault="00D041F8" w:rsidP="00104948">
            <w:pPr>
              <w:pStyle w:val="TableCopy"/>
              <w:jc w:val="right"/>
            </w:pPr>
            <w:r>
              <w:t>(23)</w:t>
            </w:r>
          </w:p>
        </w:tc>
        <w:tc>
          <w:tcPr>
            <w:tcW w:w="1092" w:type="dxa"/>
          </w:tcPr>
          <w:p w14:paraId="044DD21A" w14:textId="74D790FB" w:rsidR="00D041F8" w:rsidRDefault="00D041F8" w:rsidP="00104948">
            <w:pPr>
              <w:pStyle w:val="TableCopy"/>
              <w:jc w:val="right"/>
            </w:pPr>
            <w:r>
              <w:t>157</w:t>
            </w:r>
          </w:p>
        </w:tc>
        <w:tc>
          <w:tcPr>
            <w:tcW w:w="1092" w:type="dxa"/>
          </w:tcPr>
          <w:p w14:paraId="3881E3AC" w14:textId="4FDBBD7A" w:rsidR="00D041F8" w:rsidRDefault="00D041F8" w:rsidP="00104948">
            <w:pPr>
              <w:pStyle w:val="TableCopy"/>
              <w:jc w:val="right"/>
            </w:pPr>
            <w:r>
              <w:t>–</w:t>
            </w:r>
          </w:p>
        </w:tc>
      </w:tr>
      <w:tr w:rsidR="00D041F8" w14:paraId="04A540FE" w14:textId="77777777" w:rsidTr="00C47647">
        <w:trPr>
          <w:cantSplit/>
        </w:trPr>
        <w:tc>
          <w:tcPr>
            <w:tcW w:w="3964" w:type="dxa"/>
          </w:tcPr>
          <w:p w14:paraId="512C1714" w14:textId="77777777" w:rsidR="00D041F8" w:rsidRDefault="00D041F8" w:rsidP="00C47647">
            <w:pPr>
              <w:pStyle w:val="TableCopy"/>
            </w:pPr>
            <w:r>
              <w:t>Loans</w:t>
            </w:r>
          </w:p>
        </w:tc>
        <w:tc>
          <w:tcPr>
            <w:tcW w:w="1165" w:type="dxa"/>
          </w:tcPr>
          <w:p w14:paraId="237E2C3D" w14:textId="77777777" w:rsidR="00D041F8" w:rsidRDefault="00D041F8" w:rsidP="00104948">
            <w:pPr>
              <w:pStyle w:val="TableCopy"/>
              <w:jc w:val="right"/>
            </w:pPr>
            <w:r>
              <w:t>(196)</w:t>
            </w:r>
          </w:p>
        </w:tc>
        <w:tc>
          <w:tcPr>
            <w:tcW w:w="1092" w:type="dxa"/>
          </w:tcPr>
          <w:p w14:paraId="3A73EF0F" w14:textId="052B5952" w:rsidR="00D041F8" w:rsidRDefault="00D041F8" w:rsidP="00104948">
            <w:pPr>
              <w:pStyle w:val="TableCopy"/>
              <w:jc w:val="right"/>
            </w:pPr>
            <w:r>
              <w:t>–</w:t>
            </w:r>
          </w:p>
        </w:tc>
        <w:tc>
          <w:tcPr>
            <w:tcW w:w="1092" w:type="dxa"/>
          </w:tcPr>
          <w:p w14:paraId="7C4D72D5" w14:textId="77777777" w:rsidR="00D041F8" w:rsidRDefault="00D041F8" w:rsidP="00104948">
            <w:pPr>
              <w:pStyle w:val="TableCopy"/>
              <w:jc w:val="right"/>
            </w:pPr>
            <w:r>
              <w:t>(128)</w:t>
            </w:r>
          </w:p>
        </w:tc>
        <w:tc>
          <w:tcPr>
            <w:tcW w:w="1092" w:type="dxa"/>
          </w:tcPr>
          <w:p w14:paraId="423B5FFF" w14:textId="200F2586" w:rsidR="00D041F8" w:rsidRDefault="00D041F8" w:rsidP="00104948">
            <w:pPr>
              <w:pStyle w:val="TableCopy"/>
              <w:jc w:val="right"/>
            </w:pPr>
            <w:r>
              <w:t>–</w:t>
            </w:r>
          </w:p>
        </w:tc>
        <w:tc>
          <w:tcPr>
            <w:tcW w:w="1092" w:type="dxa"/>
          </w:tcPr>
          <w:p w14:paraId="7ADE94F9" w14:textId="77777777" w:rsidR="00D041F8" w:rsidRDefault="00D041F8" w:rsidP="00104948">
            <w:pPr>
              <w:pStyle w:val="TableCopy"/>
              <w:jc w:val="right"/>
            </w:pPr>
            <w:r>
              <w:t>(40)</w:t>
            </w:r>
          </w:p>
        </w:tc>
        <w:tc>
          <w:tcPr>
            <w:tcW w:w="1092" w:type="dxa"/>
          </w:tcPr>
          <w:p w14:paraId="4805FE68" w14:textId="4A95718C" w:rsidR="00D041F8" w:rsidRDefault="00D041F8" w:rsidP="00104948">
            <w:pPr>
              <w:pStyle w:val="TableCopy"/>
              <w:jc w:val="right"/>
            </w:pPr>
            <w:r>
              <w:t>–</w:t>
            </w:r>
          </w:p>
        </w:tc>
        <w:tc>
          <w:tcPr>
            <w:tcW w:w="1092" w:type="dxa"/>
          </w:tcPr>
          <w:p w14:paraId="28FDAFA1" w14:textId="6231D4A9" w:rsidR="00D041F8" w:rsidRDefault="00D041F8" w:rsidP="00104948">
            <w:pPr>
              <w:pStyle w:val="TableCopy"/>
              <w:jc w:val="right"/>
            </w:pPr>
            <w:r>
              <w:t>49,693</w:t>
            </w:r>
          </w:p>
        </w:tc>
        <w:tc>
          <w:tcPr>
            <w:tcW w:w="1092" w:type="dxa"/>
          </w:tcPr>
          <w:p w14:paraId="274770C8" w14:textId="2CB84697" w:rsidR="00D041F8" w:rsidRDefault="00D041F8" w:rsidP="00104948">
            <w:pPr>
              <w:pStyle w:val="TableCopy"/>
              <w:jc w:val="right"/>
            </w:pPr>
            <w:r>
              <w:t>50,000</w:t>
            </w:r>
          </w:p>
        </w:tc>
        <w:tc>
          <w:tcPr>
            <w:tcW w:w="1092" w:type="dxa"/>
          </w:tcPr>
          <w:p w14:paraId="7ABE7275" w14:textId="77777777" w:rsidR="00D041F8" w:rsidRDefault="00D041F8" w:rsidP="00104948">
            <w:pPr>
              <w:pStyle w:val="TableCopy"/>
              <w:jc w:val="right"/>
            </w:pPr>
            <w:r>
              <w:t>(630)</w:t>
            </w:r>
          </w:p>
        </w:tc>
        <w:tc>
          <w:tcPr>
            <w:tcW w:w="1092" w:type="dxa"/>
          </w:tcPr>
          <w:p w14:paraId="7739EF7B" w14:textId="1AF463D3" w:rsidR="00D041F8" w:rsidRDefault="00D041F8" w:rsidP="00104948">
            <w:pPr>
              <w:pStyle w:val="TableCopy"/>
              <w:jc w:val="right"/>
            </w:pPr>
            <w:r>
              <w:t>–</w:t>
            </w:r>
          </w:p>
        </w:tc>
      </w:tr>
      <w:tr w:rsidR="00D041F8" w:rsidRPr="00C47647" w14:paraId="3615AA0F" w14:textId="77777777" w:rsidTr="00C47647">
        <w:trPr>
          <w:cantSplit/>
        </w:trPr>
        <w:tc>
          <w:tcPr>
            <w:tcW w:w="3964" w:type="dxa"/>
          </w:tcPr>
          <w:p w14:paraId="52BAF4C3" w14:textId="66F5AE6B" w:rsidR="00D041F8" w:rsidRPr="00C47647" w:rsidRDefault="00D041F8" w:rsidP="00C47647">
            <w:pPr>
              <w:pStyle w:val="TableCopy"/>
              <w:rPr>
                <w:b/>
                <w:bCs/>
              </w:rPr>
            </w:pPr>
            <w:r w:rsidRPr="00C47647">
              <w:rPr>
                <w:b/>
                <w:bCs/>
              </w:rPr>
              <w:t>Total administered financial assets</w:t>
            </w:r>
          </w:p>
        </w:tc>
        <w:tc>
          <w:tcPr>
            <w:tcW w:w="1165" w:type="dxa"/>
          </w:tcPr>
          <w:p w14:paraId="694CC849" w14:textId="77777777" w:rsidR="00D041F8" w:rsidRPr="00C47647" w:rsidRDefault="00D041F8" w:rsidP="00104948">
            <w:pPr>
              <w:pStyle w:val="TableCopy"/>
              <w:jc w:val="right"/>
              <w:rPr>
                <w:b/>
                <w:bCs/>
              </w:rPr>
            </w:pPr>
            <w:r w:rsidRPr="00C47647">
              <w:rPr>
                <w:b/>
                <w:bCs/>
              </w:rPr>
              <w:t>(297)</w:t>
            </w:r>
          </w:p>
        </w:tc>
        <w:tc>
          <w:tcPr>
            <w:tcW w:w="1092" w:type="dxa"/>
          </w:tcPr>
          <w:p w14:paraId="41AC847E" w14:textId="2CA65B90" w:rsidR="00D041F8" w:rsidRPr="00C47647" w:rsidRDefault="00D041F8" w:rsidP="00104948">
            <w:pPr>
              <w:pStyle w:val="TableCopy"/>
              <w:jc w:val="right"/>
              <w:rPr>
                <w:b/>
                <w:bCs/>
              </w:rPr>
            </w:pPr>
            <w:r w:rsidRPr="00C47647">
              <w:rPr>
                <w:b/>
                <w:bCs/>
              </w:rPr>
              <w:t>700</w:t>
            </w:r>
          </w:p>
        </w:tc>
        <w:tc>
          <w:tcPr>
            <w:tcW w:w="1092" w:type="dxa"/>
          </w:tcPr>
          <w:p w14:paraId="13DC5CA7" w14:textId="77777777" w:rsidR="00D041F8" w:rsidRPr="00C47647" w:rsidRDefault="00D041F8" w:rsidP="00104948">
            <w:pPr>
              <w:pStyle w:val="TableCopy"/>
              <w:jc w:val="right"/>
              <w:rPr>
                <w:b/>
                <w:bCs/>
              </w:rPr>
            </w:pPr>
            <w:r w:rsidRPr="00C47647">
              <w:rPr>
                <w:b/>
                <w:bCs/>
              </w:rPr>
              <w:t>(179)</w:t>
            </w:r>
          </w:p>
        </w:tc>
        <w:tc>
          <w:tcPr>
            <w:tcW w:w="1092" w:type="dxa"/>
          </w:tcPr>
          <w:p w14:paraId="07DB2878" w14:textId="051368DA" w:rsidR="00D041F8" w:rsidRPr="00C47647" w:rsidRDefault="00D041F8" w:rsidP="00104948">
            <w:pPr>
              <w:pStyle w:val="TableCopy"/>
              <w:jc w:val="right"/>
              <w:rPr>
                <w:b/>
                <w:bCs/>
              </w:rPr>
            </w:pPr>
            <w:r w:rsidRPr="00C47647">
              <w:rPr>
                <w:b/>
                <w:bCs/>
              </w:rPr>
              <w:t>401</w:t>
            </w:r>
          </w:p>
        </w:tc>
        <w:tc>
          <w:tcPr>
            <w:tcW w:w="1092" w:type="dxa"/>
          </w:tcPr>
          <w:p w14:paraId="7DAC471A" w14:textId="54AA15E3" w:rsidR="00D041F8" w:rsidRPr="00C47647" w:rsidRDefault="00D041F8" w:rsidP="00104948">
            <w:pPr>
              <w:pStyle w:val="TableCopy"/>
              <w:jc w:val="right"/>
              <w:rPr>
                <w:b/>
                <w:bCs/>
              </w:rPr>
            </w:pPr>
            <w:r w:rsidRPr="00C47647">
              <w:rPr>
                <w:b/>
                <w:bCs/>
              </w:rPr>
              <w:t>1</w:t>
            </w:r>
          </w:p>
        </w:tc>
        <w:tc>
          <w:tcPr>
            <w:tcW w:w="1092" w:type="dxa"/>
          </w:tcPr>
          <w:p w14:paraId="5530A389" w14:textId="1C168321" w:rsidR="00D041F8" w:rsidRPr="00C47647" w:rsidRDefault="00D041F8" w:rsidP="00104948">
            <w:pPr>
              <w:pStyle w:val="TableCopy"/>
              <w:jc w:val="right"/>
              <w:rPr>
                <w:b/>
                <w:bCs/>
              </w:rPr>
            </w:pPr>
            <w:r w:rsidRPr="00C47647">
              <w:rPr>
                <w:b/>
                <w:bCs/>
              </w:rPr>
              <w:t>138</w:t>
            </w:r>
          </w:p>
        </w:tc>
        <w:tc>
          <w:tcPr>
            <w:tcW w:w="1092" w:type="dxa"/>
          </w:tcPr>
          <w:p w14:paraId="45FE989C" w14:textId="26B13E6A" w:rsidR="00D041F8" w:rsidRPr="00C47647" w:rsidRDefault="00D041F8" w:rsidP="00104948">
            <w:pPr>
              <w:pStyle w:val="TableCopy"/>
              <w:jc w:val="right"/>
              <w:rPr>
                <w:b/>
                <w:bCs/>
              </w:rPr>
            </w:pPr>
            <w:r w:rsidRPr="00C47647">
              <w:rPr>
                <w:b/>
                <w:bCs/>
              </w:rPr>
              <w:t>46,579</w:t>
            </w:r>
          </w:p>
        </w:tc>
        <w:tc>
          <w:tcPr>
            <w:tcW w:w="1092" w:type="dxa"/>
          </w:tcPr>
          <w:p w14:paraId="53316A58" w14:textId="78B42F89" w:rsidR="00D041F8" w:rsidRPr="00C47647" w:rsidRDefault="00D041F8" w:rsidP="00104948">
            <w:pPr>
              <w:pStyle w:val="TableCopy"/>
              <w:jc w:val="right"/>
              <w:rPr>
                <w:b/>
                <w:bCs/>
              </w:rPr>
            </w:pPr>
            <w:r w:rsidRPr="00C47647">
              <w:rPr>
                <w:b/>
                <w:bCs/>
              </w:rPr>
              <w:t>49,058</w:t>
            </w:r>
          </w:p>
        </w:tc>
        <w:tc>
          <w:tcPr>
            <w:tcW w:w="1092" w:type="dxa"/>
          </w:tcPr>
          <w:p w14:paraId="29C98B5C" w14:textId="77777777" w:rsidR="00D041F8" w:rsidRPr="00C47647" w:rsidRDefault="00D041F8" w:rsidP="00104948">
            <w:pPr>
              <w:pStyle w:val="TableCopy"/>
              <w:jc w:val="right"/>
              <w:rPr>
                <w:b/>
                <w:bCs/>
              </w:rPr>
            </w:pPr>
            <w:r w:rsidRPr="00C47647">
              <w:rPr>
                <w:b/>
                <w:bCs/>
              </w:rPr>
              <w:t>(711)</w:t>
            </w:r>
          </w:p>
        </w:tc>
        <w:tc>
          <w:tcPr>
            <w:tcW w:w="1092" w:type="dxa"/>
          </w:tcPr>
          <w:p w14:paraId="33F416A6" w14:textId="3390A277" w:rsidR="00D041F8" w:rsidRPr="00C47647" w:rsidRDefault="00D041F8" w:rsidP="00104948">
            <w:pPr>
              <w:pStyle w:val="TableCopy"/>
              <w:jc w:val="right"/>
              <w:rPr>
                <w:b/>
                <w:bCs/>
              </w:rPr>
            </w:pPr>
            <w:r w:rsidRPr="00C47647">
              <w:rPr>
                <w:b/>
                <w:bCs/>
              </w:rPr>
              <w:t>2,398</w:t>
            </w:r>
          </w:p>
        </w:tc>
      </w:tr>
      <w:tr w:rsidR="00D041F8" w:rsidRPr="00C47647" w14:paraId="0BE4FB90" w14:textId="77777777" w:rsidTr="00C47647">
        <w:trPr>
          <w:cantSplit/>
        </w:trPr>
        <w:tc>
          <w:tcPr>
            <w:tcW w:w="3964" w:type="dxa"/>
          </w:tcPr>
          <w:p w14:paraId="49A488FE" w14:textId="57DF57E2" w:rsidR="00D041F8" w:rsidRPr="00C47647" w:rsidRDefault="00D041F8" w:rsidP="00C47647">
            <w:pPr>
              <w:pStyle w:val="TableHeading"/>
            </w:pPr>
            <w:r w:rsidRPr="00C47647">
              <w:t>Administered liabilities</w:t>
            </w:r>
          </w:p>
        </w:tc>
        <w:tc>
          <w:tcPr>
            <w:tcW w:w="1165" w:type="dxa"/>
          </w:tcPr>
          <w:p w14:paraId="482842D4" w14:textId="77777777" w:rsidR="00D041F8" w:rsidRPr="00C47647" w:rsidRDefault="00D041F8" w:rsidP="00104948">
            <w:pPr>
              <w:pStyle w:val="TableHeading"/>
              <w:jc w:val="right"/>
            </w:pPr>
          </w:p>
        </w:tc>
        <w:tc>
          <w:tcPr>
            <w:tcW w:w="1092" w:type="dxa"/>
          </w:tcPr>
          <w:p w14:paraId="4B988E97" w14:textId="77777777" w:rsidR="00D041F8" w:rsidRPr="00C47647" w:rsidRDefault="00D041F8" w:rsidP="00104948">
            <w:pPr>
              <w:pStyle w:val="TableHeading"/>
              <w:jc w:val="right"/>
            </w:pPr>
          </w:p>
        </w:tc>
        <w:tc>
          <w:tcPr>
            <w:tcW w:w="1092" w:type="dxa"/>
          </w:tcPr>
          <w:p w14:paraId="283494CE" w14:textId="77777777" w:rsidR="00D041F8" w:rsidRPr="00C47647" w:rsidRDefault="00D041F8" w:rsidP="00104948">
            <w:pPr>
              <w:pStyle w:val="TableHeading"/>
              <w:jc w:val="right"/>
            </w:pPr>
          </w:p>
        </w:tc>
        <w:tc>
          <w:tcPr>
            <w:tcW w:w="1092" w:type="dxa"/>
          </w:tcPr>
          <w:p w14:paraId="043D641A" w14:textId="77777777" w:rsidR="00D041F8" w:rsidRPr="00C47647" w:rsidRDefault="00D041F8" w:rsidP="00104948">
            <w:pPr>
              <w:pStyle w:val="TableHeading"/>
              <w:jc w:val="right"/>
            </w:pPr>
          </w:p>
        </w:tc>
        <w:tc>
          <w:tcPr>
            <w:tcW w:w="1092" w:type="dxa"/>
          </w:tcPr>
          <w:p w14:paraId="4235F4F0" w14:textId="77777777" w:rsidR="00D041F8" w:rsidRPr="00C47647" w:rsidRDefault="00D041F8" w:rsidP="00104948">
            <w:pPr>
              <w:pStyle w:val="TableHeading"/>
              <w:jc w:val="right"/>
            </w:pPr>
          </w:p>
        </w:tc>
        <w:tc>
          <w:tcPr>
            <w:tcW w:w="1092" w:type="dxa"/>
          </w:tcPr>
          <w:p w14:paraId="2B027D92" w14:textId="77777777" w:rsidR="00D041F8" w:rsidRPr="00C47647" w:rsidRDefault="00D041F8" w:rsidP="00104948">
            <w:pPr>
              <w:pStyle w:val="TableHeading"/>
              <w:jc w:val="right"/>
            </w:pPr>
          </w:p>
        </w:tc>
        <w:tc>
          <w:tcPr>
            <w:tcW w:w="1092" w:type="dxa"/>
          </w:tcPr>
          <w:p w14:paraId="19981079" w14:textId="77777777" w:rsidR="00D041F8" w:rsidRPr="00C47647" w:rsidRDefault="00D041F8" w:rsidP="00104948">
            <w:pPr>
              <w:pStyle w:val="TableHeading"/>
              <w:jc w:val="right"/>
            </w:pPr>
          </w:p>
        </w:tc>
        <w:tc>
          <w:tcPr>
            <w:tcW w:w="1092" w:type="dxa"/>
          </w:tcPr>
          <w:p w14:paraId="79BCC1E7" w14:textId="77777777" w:rsidR="00D041F8" w:rsidRPr="00C47647" w:rsidRDefault="00D041F8" w:rsidP="00104948">
            <w:pPr>
              <w:pStyle w:val="TableHeading"/>
              <w:jc w:val="right"/>
            </w:pPr>
          </w:p>
        </w:tc>
        <w:tc>
          <w:tcPr>
            <w:tcW w:w="1092" w:type="dxa"/>
          </w:tcPr>
          <w:p w14:paraId="5967B3DA" w14:textId="77777777" w:rsidR="00D041F8" w:rsidRPr="00C47647" w:rsidRDefault="00D041F8" w:rsidP="00104948">
            <w:pPr>
              <w:pStyle w:val="TableHeading"/>
              <w:jc w:val="right"/>
            </w:pPr>
          </w:p>
        </w:tc>
        <w:tc>
          <w:tcPr>
            <w:tcW w:w="1092" w:type="dxa"/>
          </w:tcPr>
          <w:p w14:paraId="7A6B92A0" w14:textId="77777777" w:rsidR="00D041F8" w:rsidRPr="00C47647" w:rsidRDefault="00D041F8" w:rsidP="00104948">
            <w:pPr>
              <w:pStyle w:val="TableHeading"/>
              <w:jc w:val="right"/>
            </w:pPr>
          </w:p>
        </w:tc>
      </w:tr>
      <w:tr w:rsidR="00D041F8" w14:paraId="68380E62" w14:textId="77777777" w:rsidTr="00C47647">
        <w:trPr>
          <w:cantSplit/>
        </w:trPr>
        <w:tc>
          <w:tcPr>
            <w:tcW w:w="3964" w:type="dxa"/>
          </w:tcPr>
          <w:p w14:paraId="6A938B77" w14:textId="78E25623" w:rsidR="00D041F8" w:rsidRDefault="00D041F8" w:rsidP="00C47647">
            <w:pPr>
              <w:pStyle w:val="TableCopy"/>
            </w:pPr>
            <w:r>
              <w:t>Creditors and accruals</w:t>
            </w:r>
          </w:p>
        </w:tc>
        <w:tc>
          <w:tcPr>
            <w:tcW w:w="1165" w:type="dxa"/>
          </w:tcPr>
          <w:p w14:paraId="395A515D" w14:textId="77777777" w:rsidR="00D041F8" w:rsidRDefault="00D041F8" w:rsidP="00104948">
            <w:pPr>
              <w:pStyle w:val="TableCopy"/>
              <w:jc w:val="right"/>
            </w:pPr>
            <w:r>
              <w:t>(4)</w:t>
            </w:r>
          </w:p>
        </w:tc>
        <w:tc>
          <w:tcPr>
            <w:tcW w:w="1092" w:type="dxa"/>
          </w:tcPr>
          <w:p w14:paraId="58F01D4C" w14:textId="77777777" w:rsidR="00D041F8" w:rsidRDefault="00D041F8" w:rsidP="00104948">
            <w:pPr>
              <w:pStyle w:val="TableCopy"/>
              <w:jc w:val="right"/>
            </w:pPr>
            <w:r>
              <w:t>(5)</w:t>
            </w:r>
          </w:p>
        </w:tc>
        <w:tc>
          <w:tcPr>
            <w:tcW w:w="1092" w:type="dxa"/>
          </w:tcPr>
          <w:p w14:paraId="4B2BC174" w14:textId="4EB58745" w:rsidR="00D041F8" w:rsidRDefault="00D041F8" w:rsidP="00104948">
            <w:pPr>
              <w:pStyle w:val="TableCopy"/>
              <w:jc w:val="right"/>
            </w:pPr>
            <w:r>
              <w:t>4</w:t>
            </w:r>
          </w:p>
        </w:tc>
        <w:tc>
          <w:tcPr>
            <w:tcW w:w="1092" w:type="dxa"/>
          </w:tcPr>
          <w:p w14:paraId="68A96830" w14:textId="77777777" w:rsidR="00D041F8" w:rsidRDefault="00D041F8" w:rsidP="00104948">
            <w:pPr>
              <w:pStyle w:val="TableCopy"/>
              <w:jc w:val="right"/>
            </w:pPr>
            <w:r>
              <w:t>(3)</w:t>
            </w:r>
          </w:p>
        </w:tc>
        <w:tc>
          <w:tcPr>
            <w:tcW w:w="1092" w:type="dxa"/>
          </w:tcPr>
          <w:p w14:paraId="460EEC9A" w14:textId="25134C51" w:rsidR="00D041F8" w:rsidRDefault="00D041F8" w:rsidP="00104948">
            <w:pPr>
              <w:pStyle w:val="TableCopy"/>
              <w:jc w:val="right"/>
            </w:pPr>
            <w:r>
              <w:t>6</w:t>
            </w:r>
          </w:p>
        </w:tc>
        <w:tc>
          <w:tcPr>
            <w:tcW w:w="1092" w:type="dxa"/>
          </w:tcPr>
          <w:p w14:paraId="4597B0C1" w14:textId="77777777" w:rsidR="00D041F8" w:rsidRDefault="00D041F8" w:rsidP="00104948">
            <w:pPr>
              <w:pStyle w:val="TableCopy"/>
              <w:jc w:val="right"/>
            </w:pPr>
            <w:r>
              <w:t>(1)</w:t>
            </w:r>
          </w:p>
        </w:tc>
        <w:tc>
          <w:tcPr>
            <w:tcW w:w="1092" w:type="dxa"/>
          </w:tcPr>
          <w:p w14:paraId="6764A9A9" w14:textId="706388A1" w:rsidR="00D041F8" w:rsidRDefault="00D041F8" w:rsidP="00104948">
            <w:pPr>
              <w:pStyle w:val="TableCopy"/>
              <w:jc w:val="right"/>
            </w:pPr>
            <w:r>
              <w:t>22</w:t>
            </w:r>
          </w:p>
        </w:tc>
        <w:tc>
          <w:tcPr>
            <w:tcW w:w="1092" w:type="dxa"/>
          </w:tcPr>
          <w:p w14:paraId="1BCDB886" w14:textId="77777777" w:rsidR="00D041F8" w:rsidRDefault="00D041F8" w:rsidP="00104948">
            <w:pPr>
              <w:pStyle w:val="TableCopy"/>
              <w:jc w:val="right"/>
            </w:pPr>
            <w:r>
              <w:t>(9)</w:t>
            </w:r>
          </w:p>
        </w:tc>
        <w:tc>
          <w:tcPr>
            <w:tcW w:w="1092" w:type="dxa"/>
          </w:tcPr>
          <w:p w14:paraId="3E2CB762" w14:textId="77777777" w:rsidR="00D041F8" w:rsidRDefault="00D041F8" w:rsidP="00104948">
            <w:pPr>
              <w:pStyle w:val="TableCopy"/>
              <w:jc w:val="right"/>
            </w:pPr>
            <w:r>
              <w:t>(2)</w:t>
            </w:r>
          </w:p>
        </w:tc>
        <w:tc>
          <w:tcPr>
            <w:tcW w:w="1092" w:type="dxa"/>
          </w:tcPr>
          <w:p w14:paraId="5484081C" w14:textId="77777777" w:rsidR="00D041F8" w:rsidRDefault="00D041F8" w:rsidP="00104948">
            <w:pPr>
              <w:pStyle w:val="TableCopy"/>
              <w:jc w:val="right"/>
            </w:pPr>
            <w:r>
              <w:t>(17)</w:t>
            </w:r>
          </w:p>
        </w:tc>
      </w:tr>
      <w:tr w:rsidR="00D041F8" w14:paraId="48FC2AE8" w14:textId="77777777" w:rsidTr="00C47647">
        <w:trPr>
          <w:cantSplit/>
        </w:trPr>
        <w:tc>
          <w:tcPr>
            <w:tcW w:w="3964" w:type="dxa"/>
          </w:tcPr>
          <w:p w14:paraId="498CBB3D" w14:textId="48BF544D" w:rsidR="00D041F8" w:rsidRDefault="00D041F8" w:rsidP="00C47647">
            <w:pPr>
              <w:pStyle w:val="TableCopy"/>
            </w:pPr>
            <w:r>
              <w:t>Unearned income</w:t>
            </w:r>
          </w:p>
        </w:tc>
        <w:tc>
          <w:tcPr>
            <w:tcW w:w="1165" w:type="dxa"/>
          </w:tcPr>
          <w:p w14:paraId="36F7F3BE" w14:textId="28DB438A" w:rsidR="00D041F8" w:rsidRDefault="00D041F8" w:rsidP="00104948">
            <w:pPr>
              <w:pStyle w:val="TableCopy"/>
              <w:jc w:val="right"/>
            </w:pPr>
            <w:r>
              <w:t>–</w:t>
            </w:r>
          </w:p>
        </w:tc>
        <w:tc>
          <w:tcPr>
            <w:tcW w:w="1092" w:type="dxa"/>
          </w:tcPr>
          <w:p w14:paraId="614E9F08" w14:textId="5F54074B" w:rsidR="00D041F8" w:rsidRDefault="00D041F8" w:rsidP="00104948">
            <w:pPr>
              <w:pStyle w:val="TableCopy"/>
              <w:jc w:val="right"/>
            </w:pPr>
            <w:r>
              <w:t>–</w:t>
            </w:r>
          </w:p>
        </w:tc>
        <w:tc>
          <w:tcPr>
            <w:tcW w:w="1092" w:type="dxa"/>
          </w:tcPr>
          <w:p w14:paraId="1A010EDA" w14:textId="266C7D78" w:rsidR="00D041F8" w:rsidRDefault="00D041F8" w:rsidP="00104948">
            <w:pPr>
              <w:pStyle w:val="TableCopy"/>
              <w:jc w:val="right"/>
            </w:pPr>
            <w:r>
              <w:t>–</w:t>
            </w:r>
          </w:p>
        </w:tc>
        <w:tc>
          <w:tcPr>
            <w:tcW w:w="1092" w:type="dxa"/>
          </w:tcPr>
          <w:p w14:paraId="35A382E9" w14:textId="0D609147" w:rsidR="00D041F8" w:rsidRDefault="00D041F8" w:rsidP="00104948">
            <w:pPr>
              <w:pStyle w:val="TableCopy"/>
              <w:jc w:val="right"/>
            </w:pPr>
            <w:r>
              <w:t>–</w:t>
            </w:r>
          </w:p>
        </w:tc>
        <w:tc>
          <w:tcPr>
            <w:tcW w:w="1092" w:type="dxa"/>
          </w:tcPr>
          <w:p w14:paraId="5CE1E395" w14:textId="6637C745" w:rsidR="00D041F8" w:rsidRDefault="00D041F8" w:rsidP="00104948">
            <w:pPr>
              <w:pStyle w:val="TableCopy"/>
              <w:jc w:val="right"/>
            </w:pPr>
            <w:r>
              <w:t>–</w:t>
            </w:r>
          </w:p>
        </w:tc>
        <w:tc>
          <w:tcPr>
            <w:tcW w:w="1092" w:type="dxa"/>
          </w:tcPr>
          <w:p w14:paraId="60E4BB25" w14:textId="4D583A9B" w:rsidR="00D041F8" w:rsidRDefault="00D041F8" w:rsidP="00104948">
            <w:pPr>
              <w:pStyle w:val="TableCopy"/>
              <w:jc w:val="right"/>
            </w:pPr>
            <w:r>
              <w:t>–</w:t>
            </w:r>
          </w:p>
        </w:tc>
        <w:tc>
          <w:tcPr>
            <w:tcW w:w="1092" w:type="dxa"/>
          </w:tcPr>
          <w:p w14:paraId="41EC697C" w14:textId="7781F75A" w:rsidR="00D041F8" w:rsidRDefault="00D041F8" w:rsidP="00104948">
            <w:pPr>
              <w:pStyle w:val="TableCopy"/>
              <w:jc w:val="right"/>
            </w:pPr>
            <w:r>
              <w:t>–</w:t>
            </w:r>
          </w:p>
        </w:tc>
        <w:tc>
          <w:tcPr>
            <w:tcW w:w="1092" w:type="dxa"/>
          </w:tcPr>
          <w:p w14:paraId="25979B3B" w14:textId="6F85F360" w:rsidR="00D041F8" w:rsidRDefault="00D041F8" w:rsidP="00104948">
            <w:pPr>
              <w:pStyle w:val="TableCopy"/>
              <w:jc w:val="right"/>
            </w:pPr>
            <w:r>
              <w:t>–</w:t>
            </w:r>
          </w:p>
        </w:tc>
        <w:tc>
          <w:tcPr>
            <w:tcW w:w="1092" w:type="dxa"/>
          </w:tcPr>
          <w:p w14:paraId="442AF076" w14:textId="42176353" w:rsidR="00D041F8" w:rsidRDefault="00D041F8" w:rsidP="00104948">
            <w:pPr>
              <w:pStyle w:val="TableCopy"/>
              <w:jc w:val="right"/>
            </w:pPr>
            <w:r>
              <w:t>–</w:t>
            </w:r>
          </w:p>
        </w:tc>
        <w:tc>
          <w:tcPr>
            <w:tcW w:w="1092" w:type="dxa"/>
          </w:tcPr>
          <w:p w14:paraId="3E57CA64" w14:textId="3C16319B" w:rsidR="00D041F8" w:rsidRDefault="00D041F8" w:rsidP="00104948">
            <w:pPr>
              <w:pStyle w:val="TableCopy"/>
              <w:jc w:val="right"/>
            </w:pPr>
            <w:r>
              <w:t>–</w:t>
            </w:r>
          </w:p>
        </w:tc>
      </w:tr>
      <w:tr w:rsidR="00D041F8" w14:paraId="5D81EAA3" w14:textId="77777777" w:rsidTr="00C47647">
        <w:trPr>
          <w:cantSplit/>
        </w:trPr>
        <w:tc>
          <w:tcPr>
            <w:tcW w:w="3964" w:type="dxa"/>
          </w:tcPr>
          <w:p w14:paraId="0D06D230" w14:textId="7F887074" w:rsidR="00D041F8" w:rsidRDefault="00D041F8" w:rsidP="00C47647">
            <w:pPr>
              <w:pStyle w:val="TableCopy"/>
            </w:pPr>
            <w:r>
              <w:t>Interest bearing liabilities</w:t>
            </w:r>
          </w:p>
        </w:tc>
        <w:tc>
          <w:tcPr>
            <w:tcW w:w="1165" w:type="dxa"/>
          </w:tcPr>
          <w:p w14:paraId="59BA2EFD" w14:textId="6EED956D" w:rsidR="00D041F8" w:rsidRDefault="00D041F8" w:rsidP="00104948">
            <w:pPr>
              <w:pStyle w:val="TableCopy"/>
              <w:jc w:val="right"/>
            </w:pPr>
            <w:r>
              <w:t>–</w:t>
            </w:r>
          </w:p>
        </w:tc>
        <w:tc>
          <w:tcPr>
            <w:tcW w:w="1092" w:type="dxa"/>
          </w:tcPr>
          <w:p w14:paraId="56A9788D" w14:textId="767B9091" w:rsidR="00D041F8" w:rsidRDefault="00D041F8" w:rsidP="00104948">
            <w:pPr>
              <w:pStyle w:val="TableCopy"/>
              <w:jc w:val="right"/>
            </w:pPr>
            <w:r>
              <w:t>–</w:t>
            </w:r>
          </w:p>
        </w:tc>
        <w:tc>
          <w:tcPr>
            <w:tcW w:w="1092" w:type="dxa"/>
          </w:tcPr>
          <w:p w14:paraId="31A14660" w14:textId="4CED6062" w:rsidR="00D041F8" w:rsidRDefault="00D041F8" w:rsidP="00104948">
            <w:pPr>
              <w:pStyle w:val="TableCopy"/>
              <w:jc w:val="right"/>
            </w:pPr>
            <w:r>
              <w:t>–</w:t>
            </w:r>
          </w:p>
        </w:tc>
        <w:tc>
          <w:tcPr>
            <w:tcW w:w="1092" w:type="dxa"/>
          </w:tcPr>
          <w:p w14:paraId="1315991C" w14:textId="4EAF7D00" w:rsidR="00D041F8" w:rsidRDefault="00D041F8" w:rsidP="00104948">
            <w:pPr>
              <w:pStyle w:val="TableCopy"/>
              <w:jc w:val="right"/>
            </w:pPr>
            <w:r>
              <w:t>–</w:t>
            </w:r>
          </w:p>
        </w:tc>
        <w:tc>
          <w:tcPr>
            <w:tcW w:w="1092" w:type="dxa"/>
          </w:tcPr>
          <w:p w14:paraId="3E9F7E8B" w14:textId="72FD2E4E" w:rsidR="00D041F8" w:rsidRDefault="00D041F8" w:rsidP="00104948">
            <w:pPr>
              <w:pStyle w:val="TableCopy"/>
              <w:jc w:val="right"/>
            </w:pPr>
            <w:r>
              <w:t>–</w:t>
            </w:r>
          </w:p>
        </w:tc>
        <w:tc>
          <w:tcPr>
            <w:tcW w:w="1092" w:type="dxa"/>
          </w:tcPr>
          <w:p w14:paraId="07C67D41" w14:textId="23DE8389" w:rsidR="00D041F8" w:rsidRDefault="00D041F8" w:rsidP="00104948">
            <w:pPr>
              <w:pStyle w:val="TableCopy"/>
              <w:jc w:val="right"/>
            </w:pPr>
            <w:r>
              <w:t>–</w:t>
            </w:r>
          </w:p>
        </w:tc>
        <w:tc>
          <w:tcPr>
            <w:tcW w:w="1092" w:type="dxa"/>
          </w:tcPr>
          <w:p w14:paraId="64BFE986" w14:textId="15A96648" w:rsidR="00D041F8" w:rsidRDefault="00D041F8" w:rsidP="00104948">
            <w:pPr>
              <w:pStyle w:val="TableCopy"/>
              <w:jc w:val="right"/>
            </w:pPr>
            <w:r>
              <w:t>–</w:t>
            </w:r>
          </w:p>
        </w:tc>
        <w:tc>
          <w:tcPr>
            <w:tcW w:w="1092" w:type="dxa"/>
          </w:tcPr>
          <w:p w14:paraId="316E9B63" w14:textId="1CA44ADA" w:rsidR="00D041F8" w:rsidRDefault="00D041F8" w:rsidP="00104948">
            <w:pPr>
              <w:pStyle w:val="TableCopy"/>
              <w:jc w:val="right"/>
            </w:pPr>
            <w:r>
              <w:t>–</w:t>
            </w:r>
          </w:p>
        </w:tc>
        <w:tc>
          <w:tcPr>
            <w:tcW w:w="1092" w:type="dxa"/>
          </w:tcPr>
          <w:p w14:paraId="7B4BF968" w14:textId="36DC39A3" w:rsidR="00D041F8" w:rsidRDefault="00D041F8" w:rsidP="00104948">
            <w:pPr>
              <w:pStyle w:val="TableCopy"/>
              <w:jc w:val="right"/>
            </w:pPr>
            <w:r>
              <w:t>–</w:t>
            </w:r>
          </w:p>
        </w:tc>
        <w:tc>
          <w:tcPr>
            <w:tcW w:w="1092" w:type="dxa"/>
          </w:tcPr>
          <w:p w14:paraId="2CABFFD2" w14:textId="2E0ACED0" w:rsidR="00D041F8" w:rsidRDefault="00D041F8" w:rsidP="00104948">
            <w:pPr>
              <w:pStyle w:val="TableCopy"/>
              <w:jc w:val="right"/>
            </w:pPr>
            <w:r>
              <w:t>–</w:t>
            </w:r>
          </w:p>
        </w:tc>
      </w:tr>
      <w:tr w:rsidR="00D041F8" w:rsidRPr="00C47647" w14:paraId="3B65AE1B" w14:textId="77777777" w:rsidTr="00C47647">
        <w:trPr>
          <w:cantSplit/>
        </w:trPr>
        <w:tc>
          <w:tcPr>
            <w:tcW w:w="3964" w:type="dxa"/>
          </w:tcPr>
          <w:p w14:paraId="5C1356C4" w14:textId="2D1F98BD" w:rsidR="00D041F8" w:rsidRPr="00C47647" w:rsidRDefault="00D041F8" w:rsidP="00C47647">
            <w:pPr>
              <w:pStyle w:val="TableCopy"/>
              <w:rPr>
                <w:b/>
                <w:bCs/>
              </w:rPr>
            </w:pPr>
            <w:r w:rsidRPr="00C47647">
              <w:rPr>
                <w:b/>
                <w:bCs/>
              </w:rPr>
              <w:t>Total administered liabilities</w:t>
            </w:r>
          </w:p>
        </w:tc>
        <w:tc>
          <w:tcPr>
            <w:tcW w:w="1165" w:type="dxa"/>
          </w:tcPr>
          <w:p w14:paraId="6CF47817" w14:textId="77777777" w:rsidR="00D041F8" w:rsidRPr="00C47647" w:rsidRDefault="00D041F8" w:rsidP="00104948">
            <w:pPr>
              <w:pStyle w:val="TableCopy"/>
              <w:jc w:val="right"/>
              <w:rPr>
                <w:b/>
                <w:bCs/>
              </w:rPr>
            </w:pPr>
            <w:r w:rsidRPr="00C47647">
              <w:rPr>
                <w:b/>
                <w:bCs/>
              </w:rPr>
              <w:t>(4)</w:t>
            </w:r>
          </w:p>
        </w:tc>
        <w:tc>
          <w:tcPr>
            <w:tcW w:w="1092" w:type="dxa"/>
          </w:tcPr>
          <w:p w14:paraId="79AFF0DB" w14:textId="77777777" w:rsidR="00D041F8" w:rsidRPr="00C47647" w:rsidRDefault="00D041F8" w:rsidP="00104948">
            <w:pPr>
              <w:pStyle w:val="TableCopy"/>
              <w:jc w:val="right"/>
              <w:rPr>
                <w:b/>
                <w:bCs/>
              </w:rPr>
            </w:pPr>
            <w:r w:rsidRPr="00C47647">
              <w:rPr>
                <w:b/>
                <w:bCs/>
              </w:rPr>
              <w:t>(5)</w:t>
            </w:r>
          </w:p>
        </w:tc>
        <w:tc>
          <w:tcPr>
            <w:tcW w:w="1092" w:type="dxa"/>
          </w:tcPr>
          <w:p w14:paraId="443189BB" w14:textId="6FACDA33" w:rsidR="00D041F8" w:rsidRPr="00C47647" w:rsidRDefault="00D041F8" w:rsidP="00104948">
            <w:pPr>
              <w:pStyle w:val="TableCopy"/>
              <w:jc w:val="right"/>
              <w:rPr>
                <w:b/>
                <w:bCs/>
              </w:rPr>
            </w:pPr>
            <w:r w:rsidRPr="00C47647">
              <w:rPr>
                <w:b/>
                <w:bCs/>
              </w:rPr>
              <w:t>4</w:t>
            </w:r>
          </w:p>
        </w:tc>
        <w:tc>
          <w:tcPr>
            <w:tcW w:w="1092" w:type="dxa"/>
          </w:tcPr>
          <w:p w14:paraId="3B7D92CA" w14:textId="77777777" w:rsidR="00D041F8" w:rsidRPr="00C47647" w:rsidRDefault="00D041F8" w:rsidP="00104948">
            <w:pPr>
              <w:pStyle w:val="TableCopy"/>
              <w:jc w:val="right"/>
              <w:rPr>
                <w:b/>
                <w:bCs/>
              </w:rPr>
            </w:pPr>
            <w:r w:rsidRPr="00C47647">
              <w:rPr>
                <w:b/>
                <w:bCs/>
              </w:rPr>
              <w:t>(3)</w:t>
            </w:r>
          </w:p>
        </w:tc>
        <w:tc>
          <w:tcPr>
            <w:tcW w:w="1092" w:type="dxa"/>
          </w:tcPr>
          <w:p w14:paraId="5B7530A3" w14:textId="553BD228" w:rsidR="00D041F8" w:rsidRPr="00C47647" w:rsidRDefault="00D041F8" w:rsidP="00104948">
            <w:pPr>
              <w:pStyle w:val="TableCopy"/>
              <w:jc w:val="right"/>
              <w:rPr>
                <w:b/>
                <w:bCs/>
              </w:rPr>
            </w:pPr>
            <w:r w:rsidRPr="00C47647">
              <w:rPr>
                <w:b/>
                <w:bCs/>
              </w:rPr>
              <w:t>6</w:t>
            </w:r>
          </w:p>
        </w:tc>
        <w:tc>
          <w:tcPr>
            <w:tcW w:w="1092" w:type="dxa"/>
          </w:tcPr>
          <w:p w14:paraId="39D7D494" w14:textId="77777777" w:rsidR="00D041F8" w:rsidRPr="00C47647" w:rsidRDefault="00D041F8" w:rsidP="00104948">
            <w:pPr>
              <w:pStyle w:val="TableCopy"/>
              <w:jc w:val="right"/>
              <w:rPr>
                <w:b/>
                <w:bCs/>
              </w:rPr>
            </w:pPr>
            <w:r w:rsidRPr="00C47647">
              <w:rPr>
                <w:b/>
                <w:bCs/>
              </w:rPr>
              <w:t>(1)</w:t>
            </w:r>
          </w:p>
        </w:tc>
        <w:tc>
          <w:tcPr>
            <w:tcW w:w="1092" w:type="dxa"/>
          </w:tcPr>
          <w:p w14:paraId="2802F2CE" w14:textId="72FA3DA4" w:rsidR="00D041F8" w:rsidRPr="00C47647" w:rsidRDefault="00D041F8" w:rsidP="00104948">
            <w:pPr>
              <w:pStyle w:val="TableCopy"/>
              <w:jc w:val="right"/>
              <w:rPr>
                <w:b/>
                <w:bCs/>
              </w:rPr>
            </w:pPr>
            <w:r w:rsidRPr="00C47647">
              <w:rPr>
                <w:b/>
                <w:bCs/>
              </w:rPr>
              <w:t>22</w:t>
            </w:r>
          </w:p>
        </w:tc>
        <w:tc>
          <w:tcPr>
            <w:tcW w:w="1092" w:type="dxa"/>
          </w:tcPr>
          <w:p w14:paraId="142995CA" w14:textId="77777777" w:rsidR="00D041F8" w:rsidRPr="00C47647" w:rsidRDefault="00D041F8" w:rsidP="00104948">
            <w:pPr>
              <w:pStyle w:val="TableCopy"/>
              <w:jc w:val="right"/>
              <w:rPr>
                <w:b/>
                <w:bCs/>
              </w:rPr>
            </w:pPr>
            <w:r w:rsidRPr="00C47647">
              <w:rPr>
                <w:b/>
                <w:bCs/>
              </w:rPr>
              <w:t>(9)</w:t>
            </w:r>
          </w:p>
        </w:tc>
        <w:tc>
          <w:tcPr>
            <w:tcW w:w="1092" w:type="dxa"/>
          </w:tcPr>
          <w:p w14:paraId="1A642EC4" w14:textId="77777777" w:rsidR="00D041F8" w:rsidRPr="00C47647" w:rsidRDefault="00D041F8" w:rsidP="00104948">
            <w:pPr>
              <w:pStyle w:val="TableCopy"/>
              <w:jc w:val="right"/>
              <w:rPr>
                <w:b/>
                <w:bCs/>
              </w:rPr>
            </w:pPr>
            <w:r w:rsidRPr="00C47647">
              <w:rPr>
                <w:b/>
                <w:bCs/>
              </w:rPr>
              <w:t>(2)</w:t>
            </w:r>
          </w:p>
        </w:tc>
        <w:tc>
          <w:tcPr>
            <w:tcW w:w="1092" w:type="dxa"/>
          </w:tcPr>
          <w:p w14:paraId="1062DA84" w14:textId="77777777" w:rsidR="00D041F8" w:rsidRPr="00C47647" w:rsidRDefault="00D041F8" w:rsidP="00104948">
            <w:pPr>
              <w:pStyle w:val="TableCopy"/>
              <w:jc w:val="right"/>
              <w:rPr>
                <w:b/>
                <w:bCs/>
              </w:rPr>
            </w:pPr>
            <w:r w:rsidRPr="00C47647">
              <w:rPr>
                <w:b/>
                <w:bCs/>
              </w:rPr>
              <w:t>(17)</w:t>
            </w:r>
          </w:p>
        </w:tc>
      </w:tr>
      <w:tr w:rsidR="00D041F8" w:rsidRPr="00C47647" w14:paraId="26A4E88D" w14:textId="77777777" w:rsidTr="00C47647">
        <w:trPr>
          <w:cantSplit/>
        </w:trPr>
        <w:tc>
          <w:tcPr>
            <w:tcW w:w="3964" w:type="dxa"/>
          </w:tcPr>
          <w:p w14:paraId="661554AA" w14:textId="7BB8F99A" w:rsidR="00D041F8" w:rsidRPr="00C47647" w:rsidRDefault="00D041F8" w:rsidP="00C47647">
            <w:pPr>
              <w:pStyle w:val="TableCopy"/>
              <w:rPr>
                <w:b/>
                <w:bCs/>
              </w:rPr>
            </w:pPr>
            <w:r w:rsidRPr="00C47647">
              <w:rPr>
                <w:b/>
                <w:bCs/>
              </w:rPr>
              <w:t>Total administered net assets</w:t>
            </w:r>
          </w:p>
        </w:tc>
        <w:tc>
          <w:tcPr>
            <w:tcW w:w="1165" w:type="dxa"/>
          </w:tcPr>
          <w:p w14:paraId="5B5DDA38" w14:textId="77777777" w:rsidR="00D041F8" w:rsidRPr="00C47647" w:rsidRDefault="00D041F8" w:rsidP="00104948">
            <w:pPr>
              <w:pStyle w:val="TableCopy"/>
              <w:jc w:val="right"/>
              <w:rPr>
                <w:b/>
                <w:bCs/>
              </w:rPr>
            </w:pPr>
            <w:r w:rsidRPr="00C47647">
              <w:rPr>
                <w:b/>
                <w:bCs/>
              </w:rPr>
              <w:t>(294)</w:t>
            </w:r>
          </w:p>
        </w:tc>
        <w:tc>
          <w:tcPr>
            <w:tcW w:w="1092" w:type="dxa"/>
          </w:tcPr>
          <w:p w14:paraId="3A8975BA" w14:textId="051BB91D" w:rsidR="00D041F8" w:rsidRPr="00C47647" w:rsidRDefault="00D041F8" w:rsidP="00104948">
            <w:pPr>
              <w:pStyle w:val="TableCopy"/>
              <w:jc w:val="right"/>
              <w:rPr>
                <w:b/>
                <w:bCs/>
              </w:rPr>
            </w:pPr>
            <w:r w:rsidRPr="00C47647">
              <w:rPr>
                <w:b/>
                <w:bCs/>
              </w:rPr>
              <w:t>705</w:t>
            </w:r>
          </w:p>
        </w:tc>
        <w:tc>
          <w:tcPr>
            <w:tcW w:w="1092" w:type="dxa"/>
          </w:tcPr>
          <w:p w14:paraId="41FBF0AF" w14:textId="77777777" w:rsidR="00D041F8" w:rsidRPr="00C47647" w:rsidRDefault="00D041F8" w:rsidP="00104948">
            <w:pPr>
              <w:pStyle w:val="TableCopy"/>
              <w:jc w:val="right"/>
              <w:rPr>
                <w:b/>
                <w:bCs/>
              </w:rPr>
            </w:pPr>
            <w:r w:rsidRPr="00C47647">
              <w:rPr>
                <w:b/>
                <w:bCs/>
              </w:rPr>
              <w:t>(183)</w:t>
            </w:r>
          </w:p>
        </w:tc>
        <w:tc>
          <w:tcPr>
            <w:tcW w:w="1092" w:type="dxa"/>
          </w:tcPr>
          <w:p w14:paraId="794D5385" w14:textId="13993CD1" w:rsidR="00D041F8" w:rsidRPr="00C47647" w:rsidRDefault="00D041F8" w:rsidP="00104948">
            <w:pPr>
              <w:pStyle w:val="TableCopy"/>
              <w:jc w:val="right"/>
              <w:rPr>
                <w:b/>
                <w:bCs/>
              </w:rPr>
            </w:pPr>
            <w:r w:rsidRPr="00C47647">
              <w:rPr>
                <w:b/>
                <w:bCs/>
              </w:rPr>
              <w:t>404</w:t>
            </w:r>
          </w:p>
        </w:tc>
        <w:tc>
          <w:tcPr>
            <w:tcW w:w="1092" w:type="dxa"/>
          </w:tcPr>
          <w:p w14:paraId="268A0F60" w14:textId="77777777" w:rsidR="00D041F8" w:rsidRPr="00C47647" w:rsidRDefault="00D041F8" w:rsidP="00104948">
            <w:pPr>
              <w:pStyle w:val="TableCopy"/>
              <w:jc w:val="right"/>
              <w:rPr>
                <w:b/>
                <w:bCs/>
              </w:rPr>
            </w:pPr>
            <w:r w:rsidRPr="00C47647">
              <w:rPr>
                <w:b/>
                <w:bCs/>
              </w:rPr>
              <w:t>(5)</w:t>
            </w:r>
          </w:p>
        </w:tc>
        <w:tc>
          <w:tcPr>
            <w:tcW w:w="1092" w:type="dxa"/>
          </w:tcPr>
          <w:p w14:paraId="197CABAC" w14:textId="78BEE900" w:rsidR="00D041F8" w:rsidRPr="00C47647" w:rsidRDefault="00D041F8" w:rsidP="00104948">
            <w:pPr>
              <w:pStyle w:val="TableCopy"/>
              <w:jc w:val="right"/>
              <w:rPr>
                <w:b/>
                <w:bCs/>
              </w:rPr>
            </w:pPr>
            <w:r w:rsidRPr="00C47647">
              <w:rPr>
                <w:b/>
                <w:bCs/>
              </w:rPr>
              <w:t>139</w:t>
            </w:r>
          </w:p>
        </w:tc>
        <w:tc>
          <w:tcPr>
            <w:tcW w:w="1092" w:type="dxa"/>
          </w:tcPr>
          <w:p w14:paraId="5ED29822" w14:textId="4EFDA55A" w:rsidR="00D041F8" w:rsidRPr="00C47647" w:rsidRDefault="00D041F8" w:rsidP="00104948">
            <w:pPr>
              <w:pStyle w:val="TableCopy"/>
              <w:jc w:val="right"/>
              <w:rPr>
                <w:b/>
                <w:bCs/>
              </w:rPr>
            </w:pPr>
            <w:r w:rsidRPr="00C47647">
              <w:rPr>
                <w:b/>
                <w:bCs/>
              </w:rPr>
              <w:t>46,557</w:t>
            </w:r>
          </w:p>
        </w:tc>
        <w:tc>
          <w:tcPr>
            <w:tcW w:w="1092" w:type="dxa"/>
          </w:tcPr>
          <w:p w14:paraId="50234876" w14:textId="73BD4D60" w:rsidR="00D041F8" w:rsidRPr="00C47647" w:rsidRDefault="00D041F8" w:rsidP="00104948">
            <w:pPr>
              <w:pStyle w:val="TableCopy"/>
              <w:jc w:val="right"/>
              <w:rPr>
                <w:b/>
                <w:bCs/>
              </w:rPr>
            </w:pPr>
            <w:r w:rsidRPr="00C47647">
              <w:rPr>
                <w:b/>
                <w:bCs/>
              </w:rPr>
              <w:t>49,067</w:t>
            </w:r>
          </w:p>
        </w:tc>
        <w:tc>
          <w:tcPr>
            <w:tcW w:w="1092" w:type="dxa"/>
          </w:tcPr>
          <w:p w14:paraId="749FB739" w14:textId="77777777" w:rsidR="00D041F8" w:rsidRPr="00C47647" w:rsidRDefault="00D041F8" w:rsidP="00104948">
            <w:pPr>
              <w:pStyle w:val="TableCopy"/>
              <w:jc w:val="right"/>
              <w:rPr>
                <w:b/>
                <w:bCs/>
              </w:rPr>
            </w:pPr>
            <w:r w:rsidRPr="00C47647">
              <w:rPr>
                <w:b/>
                <w:bCs/>
              </w:rPr>
              <w:t>(710)</w:t>
            </w:r>
          </w:p>
        </w:tc>
        <w:tc>
          <w:tcPr>
            <w:tcW w:w="1092" w:type="dxa"/>
          </w:tcPr>
          <w:p w14:paraId="2E44F62D" w14:textId="404E5A5B" w:rsidR="00D041F8" w:rsidRPr="00C47647" w:rsidRDefault="00D041F8" w:rsidP="00104948">
            <w:pPr>
              <w:pStyle w:val="TableCopy"/>
              <w:jc w:val="right"/>
              <w:rPr>
                <w:b/>
                <w:bCs/>
              </w:rPr>
            </w:pPr>
            <w:r w:rsidRPr="00C47647">
              <w:rPr>
                <w:b/>
                <w:bCs/>
              </w:rPr>
              <w:t>2,415</w:t>
            </w:r>
          </w:p>
        </w:tc>
      </w:tr>
    </w:tbl>
    <w:p w14:paraId="1F7A38A6" w14:textId="77777777" w:rsidR="000756EB" w:rsidRPr="00C47647" w:rsidRDefault="000756EB" w:rsidP="00C47647">
      <w:pPr>
        <w:spacing w:after="0" w:line="240" w:lineRule="auto"/>
        <w:rPr>
          <w:sz w:val="22"/>
          <w:szCs w:val="30"/>
        </w:rPr>
      </w:pPr>
    </w:p>
    <w:p w14:paraId="490A85A2" w14:textId="623FC60B" w:rsidR="000756EB" w:rsidRDefault="004A4D88" w:rsidP="00C47647">
      <w:pPr>
        <w:pStyle w:val="Heading3"/>
      </w:pPr>
      <w:r>
        <w:lastRenderedPageBreak/>
        <w:t>4.2.3</w:t>
      </w:r>
      <w:r w:rsidR="00DE38B5">
        <w:t xml:space="preserve"> </w:t>
      </w:r>
      <w:r>
        <w:t>Administered</w:t>
      </w:r>
      <w:r w:rsidR="00A03629">
        <w:t xml:space="preserve"> </w:t>
      </w:r>
      <w:r>
        <w:t>assets</w:t>
      </w:r>
      <w:r w:rsidR="00A03629">
        <w:t xml:space="preserve"> </w:t>
      </w:r>
      <w:r>
        <w:t>and</w:t>
      </w:r>
      <w:r w:rsidR="00A03629">
        <w:t xml:space="preserve"> </w:t>
      </w:r>
      <w:r>
        <w:t>liabilities</w:t>
      </w:r>
      <w:r w:rsidR="00A03629">
        <w:t xml:space="preserve"> </w:t>
      </w:r>
      <w:proofErr w:type="gramStart"/>
      <w:r>
        <w:t>at</w:t>
      </w:r>
      <w:proofErr w:type="gramEnd"/>
      <w:r w:rsidR="00A03629">
        <w:t xml:space="preserve"> </w:t>
      </w:r>
      <w:r>
        <w:t>30</w:t>
      </w:r>
      <w:r w:rsidR="00A03629">
        <w:t xml:space="preserve"> </w:t>
      </w:r>
      <w:r>
        <w:t>June</w:t>
      </w:r>
      <w:r w:rsidR="00A03629">
        <w:t xml:space="preserve"> </w:t>
      </w:r>
      <w:r>
        <w:t>2023</w:t>
      </w:r>
      <w:r w:rsidR="00A03629">
        <w:t xml:space="preserve"> </w:t>
      </w:r>
      <w:r>
        <w:t>(continued)</w:t>
      </w:r>
      <w:r w:rsidR="00C47647">
        <w:t xml:space="preserve"> </w:t>
      </w:r>
      <w:r>
        <w:t>Department</w:t>
      </w:r>
      <w:r w:rsidR="00A03629">
        <w:t xml:space="preserve"> </w:t>
      </w:r>
      <w:r>
        <w:t>of</w:t>
      </w:r>
      <w:r w:rsidR="00A03629">
        <w:t xml:space="preserve"> </w:t>
      </w:r>
      <w:r>
        <w:t>Jobs,</w:t>
      </w:r>
      <w:r w:rsidR="00A03629">
        <w:t xml:space="preserve"> </w:t>
      </w:r>
      <w:r>
        <w:t>Skills,</w:t>
      </w:r>
      <w:r w:rsidR="00A03629">
        <w:t xml:space="preserve"> </w:t>
      </w:r>
      <w:r>
        <w:t>Industry</w:t>
      </w:r>
      <w:r w:rsidR="00A03629">
        <w:t xml:space="preserve"> </w:t>
      </w:r>
      <w:r>
        <w:t>and</w:t>
      </w:r>
      <w:r w:rsidR="00A03629">
        <w:t xml:space="preserve"> </w:t>
      </w:r>
      <w:r>
        <w:t>Regions</w:t>
      </w:r>
      <w:r w:rsidR="00A03629">
        <w:t xml:space="preserve"> </w:t>
      </w:r>
      <w:r>
        <w:t>Outputs</w:t>
      </w:r>
    </w:p>
    <w:tbl>
      <w:tblPr>
        <w:tblStyle w:val="TableGrid"/>
        <w:tblW w:w="14889" w:type="dxa"/>
        <w:tblLayout w:type="fixed"/>
        <w:tblLook w:val="0020" w:firstRow="1" w:lastRow="0" w:firstColumn="0" w:lastColumn="0" w:noHBand="0" w:noVBand="0"/>
      </w:tblPr>
      <w:tblGrid>
        <w:gridCol w:w="4248"/>
        <w:gridCol w:w="1417"/>
        <w:gridCol w:w="1418"/>
        <w:gridCol w:w="1417"/>
        <w:gridCol w:w="1418"/>
        <w:gridCol w:w="1280"/>
        <w:gridCol w:w="1279"/>
        <w:gridCol w:w="1222"/>
        <w:gridCol w:w="1190"/>
      </w:tblGrid>
      <w:tr w:rsidR="00C47647" w:rsidRPr="009D3D7A" w14:paraId="5F18FB04" w14:textId="77777777" w:rsidTr="00B03469">
        <w:trPr>
          <w:trHeight w:val="113"/>
        </w:trPr>
        <w:tc>
          <w:tcPr>
            <w:tcW w:w="4248" w:type="dxa"/>
          </w:tcPr>
          <w:p w14:paraId="470DBF7C" w14:textId="77777777" w:rsidR="00C47647" w:rsidRPr="009D3D7A" w:rsidRDefault="00C47647" w:rsidP="009D3D7A">
            <w:pPr>
              <w:pStyle w:val="TableColumnHeading"/>
              <w:rPr>
                <w:rFonts w:asciiTheme="minorHAnsi" w:hAnsiTheme="minorHAnsi" w:cstheme="minorHAnsi"/>
                <w:sz w:val="20"/>
                <w:szCs w:val="28"/>
              </w:rPr>
            </w:pPr>
            <w:bookmarkStart w:id="55" w:name="ColumnTitles_31"/>
            <w:bookmarkEnd w:id="55"/>
          </w:p>
        </w:tc>
        <w:tc>
          <w:tcPr>
            <w:tcW w:w="1417" w:type="dxa"/>
          </w:tcPr>
          <w:p w14:paraId="7577CD03" w14:textId="5A498A94" w:rsidR="00C47647" w:rsidRPr="009D3D7A" w:rsidRDefault="009D3D7A" w:rsidP="00104948">
            <w:pPr>
              <w:pStyle w:val="TableColumnHeading"/>
              <w:jc w:val="right"/>
              <w:rPr>
                <w:rFonts w:asciiTheme="minorHAnsi" w:hAnsiTheme="minorHAnsi" w:cstheme="minorHAnsi"/>
                <w:sz w:val="20"/>
                <w:szCs w:val="28"/>
              </w:rPr>
            </w:pPr>
            <w:r w:rsidRPr="009D3D7A">
              <w:rPr>
                <w:rFonts w:asciiTheme="minorHAnsi" w:hAnsiTheme="minorHAnsi" w:cstheme="minorHAnsi"/>
                <w:sz w:val="20"/>
                <w:szCs w:val="28"/>
              </w:rPr>
              <w:t xml:space="preserve">Suburban Development </w:t>
            </w:r>
            <w:r w:rsidR="00C47647" w:rsidRPr="009D3D7A">
              <w:rPr>
                <w:rFonts w:asciiTheme="minorHAnsi" w:hAnsiTheme="minorHAnsi" w:cstheme="minorHAnsi"/>
                <w:sz w:val="20"/>
                <w:szCs w:val="28"/>
              </w:rPr>
              <w:t>2023</w:t>
            </w:r>
            <w:r w:rsidRPr="009D3D7A">
              <w:rPr>
                <w:rFonts w:asciiTheme="minorHAnsi" w:hAnsiTheme="minorHAnsi" w:cstheme="minorHAnsi"/>
                <w:sz w:val="20"/>
                <w:szCs w:val="28"/>
              </w:rPr>
              <w:t xml:space="preserve"> ($</w:t>
            </w:r>
            <w:r>
              <w:rPr>
                <w:rFonts w:asciiTheme="minorHAnsi" w:hAnsiTheme="minorHAnsi" w:cstheme="minorHAnsi"/>
                <w:sz w:val="20"/>
                <w:szCs w:val="28"/>
              </w:rPr>
              <w:t> </w:t>
            </w:r>
            <w:r w:rsidRPr="009D3D7A">
              <w:rPr>
                <w:rFonts w:asciiTheme="minorHAnsi" w:hAnsiTheme="minorHAnsi" w:cstheme="minorHAnsi"/>
                <w:sz w:val="20"/>
                <w:szCs w:val="28"/>
              </w:rPr>
              <w:t>thousand)</w:t>
            </w:r>
            <w:r w:rsidR="00C47647" w:rsidRPr="009D3D7A">
              <w:rPr>
                <w:rFonts w:asciiTheme="minorHAnsi" w:hAnsiTheme="minorHAnsi" w:cstheme="minorHAnsi"/>
                <w:sz w:val="20"/>
                <w:szCs w:val="28"/>
              </w:rPr>
              <w:t xml:space="preserve"> </w:t>
            </w:r>
          </w:p>
        </w:tc>
        <w:tc>
          <w:tcPr>
            <w:tcW w:w="1418" w:type="dxa"/>
          </w:tcPr>
          <w:p w14:paraId="1000EB8C" w14:textId="53079D1F" w:rsidR="00C47647" w:rsidRPr="009D3D7A" w:rsidRDefault="009D3D7A" w:rsidP="00104948">
            <w:pPr>
              <w:pStyle w:val="TableColumnHeading"/>
              <w:jc w:val="right"/>
              <w:rPr>
                <w:rFonts w:asciiTheme="minorHAnsi" w:hAnsiTheme="minorHAnsi" w:cstheme="minorHAnsi"/>
                <w:sz w:val="20"/>
                <w:szCs w:val="28"/>
              </w:rPr>
            </w:pPr>
            <w:r w:rsidRPr="009D3D7A">
              <w:rPr>
                <w:rFonts w:asciiTheme="minorHAnsi" w:hAnsiTheme="minorHAnsi" w:cstheme="minorHAnsi"/>
                <w:sz w:val="20"/>
                <w:szCs w:val="28"/>
              </w:rPr>
              <w:t xml:space="preserve">Suburban Development </w:t>
            </w:r>
            <w:r w:rsidR="00C47647" w:rsidRPr="009D3D7A">
              <w:rPr>
                <w:rFonts w:asciiTheme="minorHAnsi" w:hAnsiTheme="minorHAnsi" w:cstheme="minorHAnsi"/>
                <w:sz w:val="20"/>
                <w:szCs w:val="28"/>
              </w:rPr>
              <w:t>2022</w:t>
            </w:r>
            <w:r w:rsidRPr="009D3D7A">
              <w:rPr>
                <w:rFonts w:asciiTheme="minorHAnsi" w:hAnsiTheme="minorHAnsi" w:cstheme="minorHAnsi"/>
                <w:sz w:val="20"/>
                <w:szCs w:val="28"/>
              </w:rPr>
              <w:t xml:space="preserve"> ($</w:t>
            </w:r>
            <w:r>
              <w:rPr>
                <w:rFonts w:asciiTheme="minorHAnsi" w:hAnsiTheme="minorHAnsi" w:cstheme="minorHAnsi"/>
                <w:sz w:val="20"/>
                <w:szCs w:val="28"/>
              </w:rPr>
              <w:t> </w:t>
            </w:r>
            <w:r w:rsidRPr="009D3D7A">
              <w:rPr>
                <w:rFonts w:asciiTheme="minorHAnsi" w:hAnsiTheme="minorHAnsi" w:cstheme="minorHAnsi"/>
                <w:sz w:val="20"/>
                <w:szCs w:val="28"/>
              </w:rPr>
              <w:t>thousand)</w:t>
            </w:r>
          </w:p>
        </w:tc>
        <w:tc>
          <w:tcPr>
            <w:tcW w:w="1417" w:type="dxa"/>
          </w:tcPr>
          <w:p w14:paraId="09392FBA" w14:textId="7BA7C4EF" w:rsidR="00C47647" w:rsidRPr="009D3D7A" w:rsidRDefault="009D3D7A" w:rsidP="00104948">
            <w:pPr>
              <w:pStyle w:val="TableColumnHeading"/>
              <w:jc w:val="right"/>
              <w:rPr>
                <w:rFonts w:asciiTheme="minorHAnsi" w:hAnsiTheme="minorHAnsi" w:cstheme="minorHAnsi"/>
                <w:sz w:val="20"/>
                <w:szCs w:val="28"/>
              </w:rPr>
            </w:pPr>
            <w:r w:rsidRPr="009D3D7A">
              <w:rPr>
                <w:rFonts w:asciiTheme="minorHAnsi" w:hAnsiTheme="minorHAnsi" w:cstheme="minorHAnsi"/>
                <w:sz w:val="20"/>
                <w:szCs w:val="28"/>
              </w:rPr>
              <w:t xml:space="preserve">Regional Development </w:t>
            </w:r>
            <w:r w:rsidR="00C47647" w:rsidRPr="009D3D7A">
              <w:rPr>
                <w:rFonts w:asciiTheme="minorHAnsi" w:hAnsiTheme="minorHAnsi" w:cstheme="minorHAnsi"/>
                <w:sz w:val="20"/>
                <w:szCs w:val="28"/>
              </w:rPr>
              <w:t>2023</w:t>
            </w:r>
            <w:r w:rsidRPr="009D3D7A">
              <w:rPr>
                <w:rFonts w:asciiTheme="minorHAnsi" w:hAnsiTheme="minorHAnsi" w:cstheme="minorHAnsi"/>
                <w:sz w:val="20"/>
                <w:szCs w:val="28"/>
              </w:rPr>
              <w:t xml:space="preserve"> ($</w:t>
            </w:r>
            <w:r>
              <w:rPr>
                <w:rFonts w:asciiTheme="minorHAnsi" w:hAnsiTheme="minorHAnsi" w:cstheme="minorHAnsi"/>
                <w:sz w:val="20"/>
                <w:szCs w:val="28"/>
              </w:rPr>
              <w:t> </w:t>
            </w:r>
            <w:r w:rsidRPr="009D3D7A">
              <w:rPr>
                <w:rFonts w:asciiTheme="minorHAnsi" w:hAnsiTheme="minorHAnsi" w:cstheme="minorHAnsi"/>
                <w:sz w:val="20"/>
                <w:szCs w:val="28"/>
              </w:rPr>
              <w:t>thousand)</w:t>
            </w:r>
            <w:r w:rsidR="00C47647" w:rsidRPr="009D3D7A">
              <w:rPr>
                <w:rFonts w:asciiTheme="minorHAnsi" w:hAnsiTheme="minorHAnsi" w:cstheme="minorHAnsi"/>
                <w:sz w:val="20"/>
                <w:szCs w:val="28"/>
              </w:rPr>
              <w:t xml:space="preserve"> </w:t>
            </w:r>
          </w:p>
        </w:tc>
        <w:tc>
          <w:tcPr>
            <w:tcW w:w="1418" w:type="dxa"/>
          </w:tcPr>
          <w:p w14:paraId="71E8B8ED" w14:textId="68371AFB" w:rsidR="00C47647" w:rsidRPr="009D3D7A" w:rsidRDefault="009D3D7A" w:rsidP="00104948">
            <w:pPr>
              <w:pStyle w:val="TableColumnHeading"/>
              <w:jc w:val="right"/>
              <w:rPr>
                <w:rFonts w:asciiTheme="minorHAnsi" w:hAnsiTheme="minorHAnsi" w:cstheme="minorHAnsi"/>
                <w:sz w:val="20"/>
                <w:szCs w:val="28"/>
              </w:rPr>
            </w:pPr>
            <w:r w:rsidRPr="009D3D7A">
              <w:rPr>
                <w:rFonts w:asciiTheme="minorHAnsi" w:hAnsiTheme="minorHAnsi" w:cstheme="minorHAnsi"/>
                <w:sz w:val="20"/>
                <w:szCs w:val="28"/>
              </w:rPr>
              <w:t xml:space="preserve">Regional Development </w:t>
            </w:r>
            <w:r w:rsidR="00C47647" w:rsidRPr="009D3D7A">
              <w:rPr>
                <w:rFonts w:asciiTheme="minorHAnsi" w:hAnsiTheme="minorHAnsi" w:cstheme="minorHAnsi"/>
                <w:sz w:val="20"/>
                <w:szCs w:val="28"/>
              </w:rPr>
              <w:t>2022</w:t>
            </w:r>
            <w:r w:rsidRPr="009D3D7A">
              <w:rPr>
                <w:rFonts w:asciiTheme="minorHAnsi" w:hAnsiTheme="minorHAnsi" w:cstheme="minorHAnsi"/>
                <w:sz w:val="20"/>
                <w:szCs w:val="28"/>
              </w:rPr>
              <w:t xml:space="preserve"> ($</w:t>
            </w:r>
            <w:r>
              <w:rPr>
                <w:rFonts w:asciiTheme="minorHAnsi" w:hAnsiTheme="minorHAnsi" w:cstheme="minorHAnsi"/>
                <w:sz w:val="20"/>
                <w:szCs w:val="28"/>
              </w:rPr>
              <w:t> </w:t>
            </w:r>
            <w:r w:rsidRPr="009D3D7A">
              <w:rPr>
                <w:rFonts w:asciiTheme="minorHAnsi" w:hAnsiTheme="minorHAnsi" w:cstheme="minorHAnsi"/>
                <w:sz w:val="20"/>
                <w:szCs w:val="28"/>
              </w:rPr>
              <w:t>thousand)</w:t>
            </w:r>
          </w:p>
        </w:tc>
        <w:tc>
          <w:tcPr>
            <w:tcW w:w="1280" w:type="dxa"/>
          </w:tcPr>
          <w:p w14:paraId="080B4B72" w14:textId="08C47E08" w:rsidR="00C47647" w:rsidRPr="009D3D7A" w:rsidRDefault="009D3D7A" w:rsidP="00104948">
            <w:pPr>
              <w:pStyle w:val="TableColumnHeading"/>
              <w:jc w:val="right"/>
              <w:rPr>
                <w:rFonts w:asciiTheme="minorHAnsi" w:hAnsiTheme="minorHAnsi" w:cstheme="minorHAnsi"/>
                <w:sz w:val="20"/>
                <w:szCs w:val="28"/>
              </w:rPr>
            </w:pPr>
            <w:r w:rsidRPr="009D3D7A">
              <w:rPr>
                <w:rFonts w:asciiTheme="minorHAnsi" w:hAnsiTheme="minorHAnsi" w:cstheme="minorHAnsi"/>
                <w:sz w:val="20"/>
                <w:szCs w:val="28"/>
              </w:rPr>
              <w:t xml:space="preserve">Sport and Recreation </w:t>
            </w:r>
            <w:r w:rsidR="00C47647" w:rsidRPr="009D3D7A">
              <w:rPr>
                <w:rFonts w:asciiTheme="minorHAnsi" w:hAnsiTheme="minorHAnsi" w:cstheme="minorHAnsi"/>
                <w:sz w:val="20"/>
                <w:szCs w:val="28"/>
              </w:rPr>
              <w:t>2023</w:t>
            </w:r>
            <w:r w:rsidRPr="009D3D7A">
              <w:rPr>
                <w:rFonts w:asciiTheme="minorHAnsi" w:hAnsiTheme="minorHAnsi" w:cstheme="minorHAnsi"/>
                <w:sz w:val="20"/>
                <w:szCs w:val="28"/>
              </w:rPr>
              <w:t xml:space="preserve"> ($ thousand)</w:t>
            </w:r>
            <w:r w:rsidR="00C47647" w:rsidRPr="009D3D7A">
              <w:rPr>
                <w:rFonts w:asciiTheme="minorHAnsi" w:hAnsiTheme="minorHAnsi" w:cstheme="minorHAnsi"/>
                <w:sz w:val="20"/>
                <w:szCs w:val="28"/>
              </w:rPr>
              <w:t xml:space="preserve"> </w:t>
            </w:r>
          </w:p>
        </w:tc>
        <w:tc>
          <w:tcPr>
            <w:tcW w:w="1279" w:type="dxa"/>
          </w:tcPr>
          <w:p w14:paraId="345A04E5" w14:textId="793FD738" w:rsidR="00C47647" w:rsidRPr="009D3D7A" w:rsidRDefault="009D3D7A" w:rsidP="00104948">
            <w:pPr>
              <w:pStyle w:val="TableColumnHeading"/>
              <w:jc w:val="right"/>
              <w:rPr>
                <w:rFonts w:asciiTheme="minorHAnsi" w:hAnsiTheme="minorHAnsi" w:cstheme="minorHAnsi"/>
                <w:sz w:val="20"/>
                <w:szCs w:val="28"/>
              </w:rPr>
            </w:pPr>
            <w:r w:rsidRPr="009D3D7A">
              <w:rPr>
                <w:rFonts w:asciiTheme="minorHAnsi" w:hAnsiTheme="minorHAnsi" w:cstheme="minorHAnsi"/>
                <w:sz w:val="20"/>
                <w:szCs w:val="28"/>
              </w:rPr>
              <w:t xml:space="preserve">Sport and Recreation </w:t>
            </w:r>
            <w:r w:rsidR="00C47647" w:rsidRPr="009D3D7A">
              <w:rPr>
                <w:rFonts w:asciiTheme="minorHAnsi" w:hAnsiTheme="minorHAnsi" w:cstheme="minorHAnsi"/>
                <w:sz w:val="20"/>
                <w:szCs w:val="28"/>
              </w:rPr>
              <w:t>2022</w:t>
            </w:r>
            <w:r w:rsidRPr="009D3D7A">
              <w:rPr>
                <w:rFonts w:asciiTheme="minorHAnsi" w:hAnsiTheme="minorHAnsi" w:cstheme="minorHAnsi"/>
                <w:sz w:val="20"/>
                <w:szCs w:val="28"/>
              </w:rPr>
              <w:t xml:space="preserve"> ($ thousand)</w:t>
            </w:r>
          </w:p>
        </w:tc>
        <w:tc>
          <w:tcPr>
            <w:tcW w:w="1222" w:type="dxa"/>
          </w:tcPr>
          <w:p w14:paraId="7C7A8CAB" w14:textId="55AF9420" w:rsidR="00C47647" w:rsidRPr="009D3D7A" w:rsidRDefault="009D3D7A" w:rsidP="00104948">
            <w:pPr>
              <w:pStyle w:val="TableColumnHeading"/>
              <w:jc w:val="right"/>
              <w:rPr>
                <w:rFonts w:asciiTheme="minorHAnsi" w:hAnsiTheme="minorHAnsi" w:cstheme="minorHAnsi"/>
                <w:sz w:val="20"/>
                <w:szCs w:val="28"/>
              </w:rPr>
            </w:pPr>
            <w:r w:rsidRPr="009D3D7A">
              <w:rPr>
                <w:rFonts w:asciiTheme="minorHAnsi" w:hAnsiTheme="minorHAnsi" w:cstheme="minorHAnsi"/>
                <w:sz w:val="20"/>
                <w:szCs w:val="28"/>
              </w:rPr>
              <w:t xml:space="preserve">Trade and Investment </w:t>
            </w:r>
            <w:r w:rsidR="00C47647" w:rsidRPr="009D3D7A">
              <w:rPr>
                <w:rFonts w:asciiTheme="minorHAnsi" w:hAnsiTheme="minorHAnsi" w:cstheme="minorHAnsi"/>
                <w:sz w:val="20"/>
                <w:szCs w:val="28"/>
              </w:rPr>
              <w:t>2023</w:t>
            </w:r>
            <w:r w:rsidRPr="009D3D7A">
              <w:rPr>
                <w:rFonts w:asciiTheme="minorHAnsi" w:hAnsiTheme="minorHAnsi" w:cstheme="minorHAnsi"/>
                <w:sz w:val="20"/>
                <w:szCs w:val="28"/>
              </w:rPr>
              <w:t xml:space="preserve"> ($ thousand)</w:t>
            </w:r>
            <w:r w:rsidR="00C47647" w:rsidRPr="009D3D7A">
              <w:rPr>
                <w:rFonts w:asciiTheme="minorHAnsi" w:hAnsiTheme="minorHAnsi" w:cstheme="minorHAnsi"/>
                <w:sz w:val="20"/>
                <w:szCs w:val="28"/>
              </w:rPr>
              <w:t xml:space="preserve"> </w:t>
            </w:r>
          </w:p>
        </w:tc>
        <w:tc>
          <w:tcPr>
            <w:tcW w:w="1190" w:type="dxa"/>
          </w:tcPr>
          <w:p w14:paraId="04738744" w14:textId="661605EE" w:rsidR="00C47647" w:rsidRPr="009D3D7A" w:rsidRDefault="009D3D7A" w:rsidP="00104948">
            <w:pPr>
              <w:pStyle w:val="TableColumnHeading"/>
              <w:jc w:val="right"/>
              <w:rPr>
                <w:rFonts w:asciiTheme="minorHAnsi" w:hAnsiTheme="minorHAnsi" w:cstheme="minorHAnsi"/>
                <w:sz w:val="20"/>
                <w:szCs w:val="28"/>
              </w:rPr>
            </w:pPr>
            <w:r w:rsidRPr="009D3D7A">
              <w:rPr>
                <w:rFonts w:asciiTheme="minorHAnsi" w:hAnsiTheme="minorHAnsi" w:cstheme="minorHAnsi"/>
                <w:sz w:val="20"/>
                <w:szCs w:val="28"/>
              </w:rPr>
              <w:t xml:space="preserve">Trade and Investment </w:t>
            </w:r>
            <w:r w:rsidR="00C47647" w:rsidRPr="009D3D7A">
              <w:rPr>
                <w:rFonts w:asciiTheme="minorHAnsi" w:hAnsiTheme="minorHAnsi" w:cstheme="minorHAnsi"/>
                <w:sz w:val="20"/>
                <w:szCs w:val="28"/>
              </w:rPr>
              <w:t>2022</w:t>
            </w:r>
            <w:r w:rsidRPr="009D3D7A">
              <w:rPr>
                <w:rFonts w:asciiTheme="minorHAnsi" w:hAnsiTheme="minorHAnsi" w:cstheme="minorHAnsi"/>
                <w:sz w:val="20"/>
                <w:szCs w:val="28"/>
              </w:rPr>
              <w:t xml:space="preserve"> ($ thousand)</w:t>
            </w:r>
          </w:p>
        </w:tc>
      </w:tr>
      <w:tr w:rsidR="00C47647" w:rsidRPr="009D3D7A" w14:paraId="64EFBD44" w14:textId="77777777" w:rsidTr="00B03469">
        <w:trPr>
          <w:trHeight w:val="113"/>
        </w:trPr>
        <w:tc>
          <w:tcPr>
            <w:tcW w:w="4248" w:type="dxa"/>
          </w:tcPr>
          <w:p w14:paraId="5C62B4F3" w14:textId="465659D8" w:rsidR="00C47647" w:rsidRPr="009D3D7A" w:rsidRDefault="00C47647" w:rsidP="009D3D7A">
            <w:pPr>
              <w:pStyle w:val="TableHeading"/>
            </w:pPr>
            <w:r w:rsidRPr="009D3D7A">
              <w:t>Administered financial assets</w:t>
            </w:r>
          </w:p>
        </w:tc>
        <w:tc>
          <w:tcPr>
            <w:tcW w:w="1417" w:type="dxa"/>
          </w:tcPr>
          <w:p w14:paraId="51C4A8B7" w14:textId="77777777" w:rsidR="00C47647" w:rsidRPr="009D3D7A" w:rsidRDefault="00C47647" w:rsidP="00104948">
            <w:pPr>
              <w:pStyle w:val="TableHeading"/>
              <w:jc w:val="right"/>
            </w:pPr>
          </w:p>
        </w:tc>
        <w:tc>
          <w:tcPr>
            <w:tcW w:w="1418" w:type="dxa"/>
          </w:tcPr>
          <w:p w14:paraId="0089578A" w14:textId="77777777" w:rsidR="00C47647" w:rsidRPr="009D3D7A" w:rsidRDefault="00C47647" w:rsidP="00104948">
            <w:pPr>
              <w:pStyle w:val="TableHeading"/>
              <w:jc w:val="right"/>
            </w:pPr>
          </w:p>
        </w:tc>
        <w:tc>
          <w:tcPr>
            <w:tcW w:w="1417" w:type="dxa"/>
          </w:tcPr>
          <w:p w14:paraId="257875D0" w14:textId="77777777" w:rsidR="00C47647" w:rsidRPr="009D3D7A" w:rsidRDefault="00C47647" w:rsidP="00104948">
            <w:pPr>
              <w:pStyle w:val="TableHeading"/>
              <w:jc w:val="right"/>
            </w:pPr>
          </w:p>
        </w:tc>
        <w:tc>
          <w:tcPr>
            <w:tcW w:w="1418" w:type="dxa"/>
          </w:tcPr>
          <w:p w14:paraId="194C67A5" w14:textId="77777777" w:rsidR="00C47647" w:rsidRPr="009D3D7A" w:rsidRDefault="00C47647" w:rsidP="00104948">
            <w:pPr>
              <w:pStyle w:val="TableHeading"/>
              <w:jc w:val="right"/>
            </w:pPr>
          </w:p>
        </w:tc>
        <w:tc>
          <w:tcPr>
            <w:tcW w:w="1280" w:type="dxa"/>
          </w:tcPr>
          <w:p w14:paraId="2330F42E" w14:textId="77777777" w:rsidR="00C47647" w:rsidRPr="009D3D7A" w:rsidRDefault="00C47647" w:rsidP="00104948">
            <w:pPr>
              <w:pStyle w:val="TableHeading"/>
              <w:jc w:val="right"/>
            </w:pPr>
          </w:p>
        </w:tc>
        <w:tc>
          <w:tcPr>
            <w:tcW w:w="1279" w:type="dxa"/>
          </w:tcPr>
          <w:p w14:paraId="281452A1" w14:textId="77777777" w:rsidR="00C47647" w:rsidRPr="009D3D7A" w:rsidRDefault="00C47647" w:rsidP="00104948">
            <w:pPr>
              <w:pStyle w:val="TableHeading"/>
              <w:jc w:val="right"/>
            </w:pPr>
          </w:p>
        </w:tc>
        <w:tc>
          <w:tcPr>
            <w:tcW w:w="1222" w:type="dxa"/>
          </w:tcPr>
          <w:p w14:paraId="2EB2B861" w14:textId="77777777" w:rsidR="00C47647" w:rsidRPr="009D3D7A" w:rsidRDefault="00C47647" w:rsidP="00104948">
            <w:pPr>
              <w:pStyle w:val="TableHeading"/>
              <w:jc w:val="right"/>
            </w:pPr>
          </w:p>
        </w:tc>
        <w:tc>
          <w:tcPr>
            <w:tcW w:w="1190" w:type="dxa"/>
          </w:tcPr>
          <w:p w14:paraId="195820D1" w14:textId="77777777" w:rsidR="00C47647" w:rsidRPr="009D3D7A" w:rsidRDefault="00C47647" w:rsidP="00104948">
            <w:pPr>
              <w:pStyle w:val="TableHeading"/>
              <w:jc w:val="right"/>
            </w:pPr>
          </w:p>
        </w:tc>
      </w:tr>
      <w:tr w:rsidR="00C47647" w14:paraId="54A964EE" w14:textId="77777777" w:rsidTr="00B03469">
        <w:trPr>
          <w:trHeight w:val="113"/>
        </w:trPr>
        <w:tc>
          <w:tcPr>
            <w:tcW w:w="4248" w:type="dxa"/>
          </w:tcPr>
          <w:p w14:paraId="5C3CB8E6" w14:textId="4987A093" w:rsidR="00C47647" w:rsidRDefault="00C47647" w:rsidP="009D3D7A">
            <w:pPr>
              <w:pStyle w:val="TableCopy"/>
            </w:pPr>
            <w:r>
              <w:t>Cash and receivables</w:t>
            </w:r>
          </w:p>
        </w:tc>
        <w:tc>
          <w:tcPr>
            <w:tcW w:w="1417" w:type="dxa"/>
          </w:tcPr>
          <w:p w14:paraId="208E33F6" w14:textId="4E623DAF" w:rsidR="00C47647" w:rsidRDefault="00C47647" w:rsidP="00104948">
            <w:pPr>
              <w:pStyle w:val="TableCopy"/>
              <w:jc w:val="right"/>
            </w:pPr>
            <w:r>
              <w:t>–</w:t>
            </w:r>
          </w:p>
        </w:tc>
        <w:tc>
          <w:tcPr>
            <w:tcW w:w="1418" w:type="dxa"/>
          </w:tcPr>
          <w:p w14:paraId="0A6C2722" w14:textId="29E5518B" w:rsidR="00C47647" w:rsidRDefault="00C47647" w:rsidP="00104948">
            <w:pPr>
              <w:pStyle w:val="TableCopy"/>
              <w:jc w:val="right"/>
            </w:pPr>
            <w:r>
              <w:t>123</w:t>
            </w:r>
          </w:p>
        </w:tc>
        <w:tc>
          <w:tcPr>
            <w:tcW w:w="1417" w:type="dxa"/>
          </w:tcPr>
          <w:p w14:paraId="34921F2A" w14:textId="5D761BB5" w:rsidR="00C47647" w:rsidRDefault="00C47647" w:rsidP="00104948">
            <w:pPr>
              <w:pStyle w:val="TableCopy"/>
              <w:jc w:val="right"/>
            </w:pPr>
            <w:r>
              <w:t>12,511</w:t>
            </w:r>
          </w:p>
        </w:tc>
        <w:tc>
          <w:tcPr>
            <w:tcW w:w="1418" w:type="dxa"/>
          </w:tcPr>
          <w:p w14:paraId="64C25C42" w14:textId="1711E345" w:rsidR="00C47647" w:rsidRDefault="00C47647" w:rsidP="00104948">
            <w:pPr>
              <w:pStyle w:val="TableCopy"/>
              <w:jc w:val="right"/>
            </w:pPr>
            <w:r>
              <w:t>3,840</w:t>
            </w:r>
          </w:p>
        </w:tc>
        <w:tc>
          <w:tcPr>
            <w:tcW w:w="1280" w:type="dxa"/>
          </w:tcPr>
          <w:p w14:paraId="0F5A2D31" w14:textId="77777777" w:rsidR="00C47647" w:rsidRDefault="00C47647" w:rsidP="00104948">
            <w:pPr>
              <w:pStyle w:val="TableCopy"/>
              <w:jc w:val="right"/>
            </w:pPr>
            <w:r>
              <w:t>(1,032)</w:t>
            </w:r>
          </w:p>
        </w:tc>
        <w:tc>
          <w:tcPr>
            <w:tcW w:w="1279" w:type="dxa"/>
          </w:tcPr>
          <w:p w14:paraId="118462C8" w14:textId="244892DA" w:rsidR="00C47647" w:rsidRDefault="00C47647" w:rsidP="00104948">
            <w:pPr>
              <w:pStyle w:val="TableCopy"/>
              <w:jc w:val="right"/>
            </w:pPr>
            <w:r>
              <w:t>5,386</w:t>
            </w:r>
          </w:p>
        </w:tc>
        <w:tc>
          <w:tcPr>
            <w:tcW w:w="1222" w:type="dxa"/>
          </w:tcPr>
          <w:p w14:paraId="1ECE4C0E" w14:textId="39A46EC1" w:rsidR="00C47647" w:rsidRDefault="00C47647" w:rsidP="00104948">
            <w:pPr>
              <w:pStyle w:val="TableCopy"/>
              <w:jc w:val="right"/>
            </w:pPr>
            <w:r>
              <w:t>–</w:t>
            </w:r>
          </w:p>
        </w:tc>
        <w:tc>
          <w:tcPr>
            <w:tcW w:w="1190" w:type="dxa"/>
          </w:tcPr>
          <w:p w14:paraId="6B486DCE" w14:textId="7439BA27" w:rsidR="00C47647" w:rsidRDefault="00C47647" w:rsidP="00104948">
            <w:pPr>
              <w:pStyle w:val="TableCopy"/>
              <w:jc w:val="right"/>
            </w:pPr>
            <w:r>
              <w:t>230</w:t>
            </w:r>
          </w:p>
        </w:tc>
      </w:tr>
      <w:tr w:rsidR="00C47647" w14:paraId="59A22067" w14:textId="77777777" w:rsidTr="00B03469">
        <w:trPr>
          <w:trHeight w:val="113"/>
        </w:trPr>
        <w:tc>
          <w:tcPr>
            <w:tcW w:w="4248" w:type="dxa"/>
          </w:tcPr>
          <w:p w14:paraId="0191EA49" w14:textId="48144AE4" w:rsidR="00C47647" w:rsidRDefault="00C47647" w:rsidP="009D3D7A">
            <w:pPr>
              <w:pStyle w:val="TableCopy"/>
            </w:pPr>
            <w:r>
              <w:t>Trust funds</w:t>
            </w:r>
          </w:p>
        </w:tc>
        <w:tc>
          <w:tcPr>
            <w:tcW w:w="1417" w:type="dxa"/>
          </w:tcPr>
          <w:p w14:paraId="55D5B49B" w14:textId="5F5E5639" w:rsidR="00C47647" w:rsidRDefault="00C47647" w:rsidP="00104948">
            <w:pPr>
              <w:pStyle w:val="TableCopy"/>
              <w:jc w:val="right"/>
            </w:pPr>
            <w:r>
              <w:t>–</w:t>
            </w:r>
          </w:p>
        </w:tc>
        <w:tc>
          <w:tcPr>
            <w:tcW w:w="1418" w:type="dxa"/>
          </w:tcPr>
          <w:p w14:paraId="027E8018" w14:textId="540E8FD3" w:rsidR="00C47647" w:rsidRDefault="00C47647" w:rsidP="00104948">
            <w:pPr>
              <w:pStyle w:val="TableCopy"/>
              <w:jc w:val="right"/>
            </w:pPr>
            <w:r>
              <w:t>–</w:t>
            </w:r>
          </w:p>
        </w:tc>
        <w:tc>
          <w:tcPr>
            <w:tcW w:w="1417" w:type="dxa"/>
          </w:tcPr>
          <w:p w14:paraId="370E9556" w14:textId="4DB0808C" w:rsidR="00C47647" w:rsidRDefault="00C47647" w:rsidP="00104948">
            <w:pPr>
              <w:pStyle w:val="TableCopy"/>
              <w:jc w:val="right"/>
            </w:pPr>
            <w:r>
              <w:t>288</w:t>
            </w:r>
          </w:p>
        </w:tc>
        <w:tc>
          <w:tcPr>
            <w:tcW w:w="1418" w:type="dxa"/>
          </w:tcPr>
          <w:p w14:paraId="4583DA1C" w14:textId="49013414" w:rsidR="00C47647" w:rsidRDefault="00C47647" w:rsidP="00104948">
            <w:pPr>
              <w:pStyle w:val="TableCopy"/>
              <w:jc w:val="right"/>
            </w:pPr>
            <w:r>
              <w:t>–</w:t>
            </w:r>
          </w:p>
        </w:tc>
        <w:tc>
          <w:tcPr>
            <w:tcW w:w="1280" w:type="dxa"/>
          </w:tcPr>
          <w:p w14:paraId="6E534427" w14:textId="77777777" w:rsidR="00C47647" w:rsidRDefault="00C47647" w:rsidP="00104948">
            <w:pPr>
              <w:pStyle w:val="TableCopy"/>
              <w:jc w:val="right"/>
            </w:pPr>
            <w:r>
              <w:t>(979)</w:t>
            </w:r>
          </w:p>
        </w:tc>
        <w:tc>
          <w:tcPr>
            <w:tcW w:w="1279" w:type="dxa"/>
          </w:tcPr>
          <w:p w14:paraId="0B6A8029" w14:textId="4E37CE0A" w:rsidR="00C47647" w:rsidRDefault="00C47647" w:rsidP="00104948">
            <w:pPr>
              <w:pStyle w:val="TableCopy"/>
              <w:jc w:val="right"/>
            </w:pPr>
            <w:r>
              <w:t>137</w:t>
            </w:r>
          </w:p>
        </w:tc>
        <w:tc>
          <w:tcPr>
            <w:tcW w:w="1222" w:type="dxa"/>
          </w:tcPr>
          <w:p w14:paraId="0FC35F44" w14:textId="5E83715D" w:rsidR="00C47647" w:rsidRDefault="00C47647" w:rsidP="00104948">
            <w:pPr>
              <w:pStyle w:val="TableCopy"/>
              <w:jc w:val="right"/>
            </w:pPr>
            <w:r>
              <w:t>–</w:t>
            </w:r>
          </w:p>
        </w:tc>
        <w:tc>
          <w:tcPr>
            <w:tcW w:w="1190" w:type="dxa"/>
          </w:tcPr>
          <w:p w14:paraId="552A7A49" w14:textId="7BC9B021" w:rsidR="00C47647" w:rsidRDefault="00C47647" w:rsidP="00104948">
            <w:pPr>
              <w:pStyle w:val="TableCopy"/>
              <w:jc w:val="right"/>
            </w:pPr>
            <w:r>
              <w:t>–</w:t>
            </w:r>
          </w:p>
        </w:tc>
      </w:tr>
      <w:tr w:rsidR="00C47647" w14:paraId="3F3911AC" w14:textId="77777777" w:rsidTr="00B03469">
        <w:trPr>
          <w:trHeight w:val="113"/>
        </w:trPr>
        <w:tc>
          <w:tcPr>
            <w:tcW w:w="4248" w:type="dxa"/>
          </w:tcPr>
          <w:p w14:paraId="3BC2001C" w14:textId="77777777" w:rsidR="00C47647" w:rsidRDefault="00C47647" w:rsidP="009D3D7A">
            <w:pPr>
              <w:pStyle w:val="TableCopy"/>
            </w:pPr>
            <w:r>
              <w:t>Loans</w:t>
            </w:r>
          </w:p>
        </w:tc>
        <w:tc>
          <w:tcPr>
            <w:tcW w:w="1417" w:type="dxa"/>
          </w:tcPr>
          <w:p w14:paraId="1C8B1335" w14:textId="0445F2BD" w:rsidR="00C47647" w:rsidRDefault="00C47647" w:rsidP="00104948">
            <w:pPr>
              <w:pStyle w:val="TableCopy"/>
              <w:jc w:val="right"/>
            </w:pPr>
            <w:r>
              <w:t>–</w:t>
            </w:r>
          </w:p>
        </w:tc>
        <w:tc>
          <w:tcPr>
            <w:tcW w:w="1418" w:type="dxa"/>
          </w:tcPr>
          <w:p w14:paraId="1E6C9459" w14:textId="1DA012CF" w:rsidR="00C47647" w:rsidRDefault="00C47647" w:rsidP="00104948">
            <w:pPr>
              <w:pStyle w:val="TableCopy"/>
              <w:jc w:val="right"/>
            </w:pPr>
            <w:r>
              <w:t>–</w:t>
            </w:r>
          </w:p>
        </w:tc>
        <w:tc>
          <w:tcPr>
            <w:tcW w:w="1417" w:type="dxa"/>
          </w:tcPr>
          <w:p w14:paraId="4D5DE320" w14:textId="77777777" w:rsidR="00C47647" w:rsidRDefault="00C47647" w:rsidP="00104948">
            <w:pPr>
              <w:pStyle w:val="TableCopy"/>
              <w:jc w:val="right"/>
            </w:pPr>
            <w:r>
              <w:t>(1,159)</w:t>
            </w:r>
          </w:p>
        </w:tc>
        <w:tc>
          <w:tcPr>
            <w:tcW w:w="1418" w:type="dxa"/>
          </w:tcPr>
          <w:p w14:paraId="25DF1593" w14:textId="59642993" w:rsidR="00C47647" w:rsidRDefault="00C47647" w:rsidP="00104948">
            <w:pPr>
              <w:pStyle w:val="TableCopy"/>
              <w:jc w:val="right"/>
            </w:pPr>
            <w:r>
              <w:t>–</w:t>
            </w:r>
          </w:p>
        </w:tc>
        <w:tc>
          <w:tcPr>
            <w:tcW w:w="1280" w:type="dxa"/>
          </w:tcPr>
          <w:p w14:paraId="7A4B5ECC" w14:textId="77777777" w:rsidR="00C47647" w:rsidRDefault="00C47647" w:rsidP="00104948">
            <w:pPr>
              <w:pStyle w:val="TableCopy"/>
              <w:jc w:val="right"/>
            </w:pPr>
            <w:r>
              <w:t>(1,139)</w:t>
            </w:r>
          </w:p>
        </w:tc>
        <w:tc>
          <w:tcPr>
            <w:tcW w:w="1279" w:type="dxa"/>
          </w:tcPr>
          <w:p w14:paraId="3880B35E" w14:textId="5D086A95" w:rsidR="00C47647" w:rsidRDefault="00C47647" w:rsidP="00104948">
            <w:pPr>
              <w:pStyle w:val="TableCopy"/>
              <w:jc w:val="right"/>
            </w:pPr>
            <w:r>
              <w:t>–</w:t>
            </w:r>
          </w:p>
        </w:tc>
        <w:tc>
          <w:tcPr>
            <w:tcW w:w="1222" w:type="dxa"/>
          </w:tcPr>
          <w:p w14:paraId="3C6DEF58" w14:textId="09507A14" w:rsidR="00C47647" w:rsidRDefault="00C47647" w:rsidP="00104948">
            <w:pPr>
              <w:pStyle w:val="TableCopy"/>
              <w:jc w:val="right"/>
            </w:pPr>
            <w:r>
              <w:t>–</w:t>
            </w:r>
          </w:p>
        </w:tc>
        <w:tc>
          <w:tcPr>
            <w:tcW w:w="1190" w:type="dxa"/>
          </w:tcPr>
          <w:p w14:paraId="6083E6C6" w14:textId="03658BE4" w:rsidR="00C47647" w:rsidRDefault="00C47647" w:rsidP="00104948">
            <w:pPr>
              <w:pStyle w:val="TableCopy"/>
              <w:jc w:val="right"/>
            </w:pPr>
            <w:r>
              <w:t>–</w:t>
            </w:r>
          </w:p>
        </w:tc>
      </w:tr>
      <w:tr w:rsidR="00C47647" w:rsidRPr="009D3D7A" w14:paraId="62B418F0" w14:textId="77777777" w:rsidTr="00B03469">
        <w:trPr>
          <w:trHeight w:val="113"/>
        </w:trPr>
        <w:tc>
          <w:tcPr>
            <w:tcW w:w="4248" w:type="dxa"/>
          </w:tcPr>
          <w:p w14:paraId="0B67C1DD" w14:textId="51DF7EF9" w:rsidR="00C47647" w:rsidRPr="009D3D7A" w:rsidRDefault="00C47647" w:rsidP="009D3D7A">
            <w:pPr>
              <w:pStyle w:val="TableCopy"/>
              <w:rPr>
                <w:b/>
                <w:bCs/>
              </w:rPr>
            </w:pPr>
            <w:r w:rsidRPr="009D3D7A">
              <w:rPr>
                <w:b/>
                <w:bCs/>
              </w:rPr>
              <w:t>Total administered financial assets</w:t>
            </w:r>
          </w:p>
        </w:tc>
        <w:tc>
          <w:tcPr>
            <w:tcW w:w="1417" w:type="dxa"/>
          </w:tcPr>
          <w:p w14:paraId="2684EE9D" w14:textId="471BCEA1" w:rsidR="00C47647" w:rsidRPr="009D3D7A" w:rsidRDefault="00C47647" w:rsidP="00104948">
            <w:pPr>
              <w:pStyle w:val="TableCopy"/>
              <w:jc w:val="right"/>
              <w:rPr>
                <w:b/>
                <w:bCs/>
              </w:rPr>
            </w:pPr>
            <w:r w:rsidRPr="009D3D7A">
              <w:rPr>
                <w:b/>
                <w:bCs/>
              </w:rPr>
              <w:t>–</w:t>
            </w:r>
          </w:p>
        </w:tc>
        <w:tc>
          <w:tcPr>
            <w:tcW w:w="1418" w:type="dxa"/>
          </w:tcPr>
          <w:p w14:paraId="54C2C0C5" w14:textId="10D2D02E" w:rsidR="00C47647" w:rsidRPr="009D3D7A" w:rsidRDefault="00C47647" w:rsidP="00104948">
            <w:pPr>
              <w:pStyle w:val="TableCopy"/>
              <w:jc w:val="right"/>
              <w:rPr>
                <w:b/>
                <w:bCs/>
              </w:rPr>
            </w:pPr>
            <w:r w:rsidRPr="009D3D7A">
              <w:rPr>
                <w:b/>
                <w:bCs/>
              </w:rPr>
              <w:t>123</w:t>
            </w:r>
          </w:p>
        </w:tc>
        <w:tc>
          <w:tcPr>
            <w:tcW w:w="1417" w:type="dxa"/>
          </w:tcPr>
          <w:p w14:paraId="596E9D01" w14:textId="02893873" w:rsidR="00C47647" w:rsidRPr="009D3D7A" w:rsidRDefault="00C47647" w:rsidP="00104948">
            <w:pPr>
              <w:pStyle w:val="TableCopy"/>
              <w:jc w:val="right"/>
              <w:rPr>
                <w:b/>
                <w:bCs/>
              </w:rPr>
            </w:pPr>
            <w:r w:rsidRPr="009D3D7A">
              <w:rPr>
                <w:b/>
                <w:bCs/>
              </w:rPr>
              <w:t>11,640</w:t>
            </w:r>
          </w:p>
        </w:tc>
        <w:tc>
          <w:tcPr>
            <w:tcW w:w="1418" w:type="dxa"/>
          </w:tcPr>
          <w:p w14:paraId="038A022A" w14:textId="65474F0B" w:rsidR="00C47647" w:rsidRPr="009D3D7A" w:rsidRDefault="00C47647" w:rsidP="00104948">
            <w:pPr>
              <w:pStyle w:val="TableCopy"/>
              <w:jc w:val="right"/>
              <w:rPr>
                <w:b/>
                <w:bCs/>
              </w:rPr>
            </w:pPr>
            <w:r w:rsidRPr="009D3D7A">
              <w:rPr>
                <w:b/>
                <w:bCs/>
              </w:rPr>
              <w:t>3,840</w:t>
            </w:r>
          </w:p>
        </w:tc>
        <w:tc>
          <w:tcPr>
            <w:tcW w:w="1280" w:type="dxa"/>
          </w:tcPr>
          <w:p w14:paraId="6081ADB8" w14:textId="77777777" w:rsidR="00C47647" w:rsidRPr="009D3D7A" w:rsidRDefault="00C47647" w:rsidP="00104948">
            <w:pPr>
              <w:pStyle w:val="TableCopy"/>
              <w:jc w:val="right"/>
              <w:rPr>
                <w:b/>
                <w:bCs/>
              </w:rPr>
            </w:pPr>
            <w:r w:rsidRPr="009D3D7A">
              <w:rPr>
                <w:b/>
                <w:bCs/>
              </w:rPr>
              <w:t>(3,151)</w:t>
            </w:r>
          </w:p>
        </w:tc>
        <w:tc>
          <w:tcPr>
            <w:tcW w:w="1279" w:type="dxa"/>
          </w:tcPr>
          <w:p w14:paraId="69F248FA" w14:textId="7BB04CD6" w:rsidR="00C47647" w:rsidRPr="009D3D7A" w:rsidRDefault="00C47647" w:rsidP="00104948">
            <w:pPr>
              <w:pStyle w:val="TableCopy"/>
              <w:jc w:val="right"/>
              <w:rPr>
                <w:b/>
                <w:bCs/>
              </w:rPr>
            </w:pPr>
            <w:r w:rsidRPr="009D3D7A">
              <w:rPr>
                <w:b/>
                <w:bCs/>
              </w:rPr>
              <w:t>5,523</w:t>
            </w:r>
          </w:p>
        </w:tc>
        <w:tc>
          <w:tcPr>
            <w:tcW w:w="1222" w:type="dxa"/>
          </w:tcPr>
          <w:p w14:paraId="0EE6968F" w14:textId="21427542" w:rsidR="00C47647" w:rsidRPr="009D3D7A" w:rsidRDefault="00C47647" w:rsidP="00104948">
            <w:pPr>
              <w:pStyle w:val="TableCopy"/>
              <w:jc w:val="right"/>
              <w:rPr>
                <w:b/>
                <w:bCs/>
              </w:rPr>
            </w:pPr>
            <w:r w:rsidRPr="009D3D7A">
              <w:rPr>
                <w:b/>
                <w:bCs/>
              </w:rPr>
              <w:t>–</w:t>
            </w:r>
          </w:p>
        </w:tc>
        <w:tc>
          <w:tcPr>
            <w:tcW w:w="1190" w:type="dxa"/>
          </w:tcPr>
          <w:p w14:paraId="3F2AA977" w14:textId="0D991C94" w:rsidR="00C47647" w:rsidRPr="009D3D7A" w:rsidRDefault="00C47647" w:rsidP="00104948">
            <w:pPr>
              <w:pStyle w:val="TableCopy"/>
              <w:jc w:val="right"/>
              <w:rPr>
                <w:b/>
                <w:bCs/>
              </w:rPr>
            </w:pPr>
            <w:r w:rsidRPr="009D3D7A">
              <w:rPr>
                <w:b/>
                <w:bCs/>
              </w:rPr>
              <w:t>230</w:t>
            </w:r>
          </w:p>
        </w:tc>
      </w:tr>
      <w:tr w:rsidR="00C47647" w:rsidRPr="009D3D7A" w14:paraId="3277DF7D" w14:textId="77777777" w:rsidTr="00B03469">
        <w:trPr>
          <w:trHeight w:val="113"/>
        </w:trPr>
        <w:tc>
          <w:tcPr>
            <w:tcW w:w="4248" w:type="dxa"/>
          </w:tcPr>
          <w:p w14:paraId="20A546D0" w14:textId="072AFE73" w:rsidR="00C47647" w:rsidRPr="009D3D7A" w:rsidRDefault="00C47647" w:rsidP="009D3D7A">
            <w:pPr>
              <w:pStyle w:val="TableHeading"/>
            </w:pPr>
            <w:r w:rsidRPr="009D3D7A">
              <w:t>Administered liabilities</w:t>
            </w:r>
          </w:p>
        </w:tc>
        <w:tc>
          <w:tcPr>
            <w:tcW w:w="1417" w:type="dxa"/>
          </w:tcPr>
          <w:p w14:paraId="7F9A6E4E" w14:textId="77777777" w:rsidR="00C47647" w:rsidRPr="009D3D7A" w:rsidRDefault="00C47647" w:rsidP="00104948">
            <w:pPr>
              <w:pStyle w:val="TableHeading"/>
              <w:jc w:val="right"/>
            </w:pPr>
          </w:p>
        </w:tc>
        <w:tc>
          <w:tcPr>
            <w:tcW w:w="1418" w:type="dxa"/>
          </w:tcPr>
          <w:p w14:paraId="628690E2" w14:textId="77777777" w:rsidR="00C47647" w:rsidRPr="009D3D7A" w:rsidRDefault="00C47647" w:rsidP="00104948">
            <w:pPr>
              <w:pStyle w:val="TableHeading"/>
              <w:jc w:val="right"/>
            </w:pPr>
          </w:p>
        </w:tc>
        <w:tc>
          <w:tcPr>
            <w:tcW w:w="1417" w:type="dxa"/>
          </w:tcPr>
          <w:p w14:paraId="0FFF6691" w14:textId="77777777" w:rsidR="00C47647" w:rsidRPr="009D3D7A" w:rsidRDefault="00C47647" w:rsidP="00104948">
            <w:pPr>
              <w:pStyle w:val="TableHeading"/>
              <w:jc w:val="right"/>
            </w:pPr>
          </w:p>
        </w:tc>
        <w:tc>
          <w:tcPr>
            <w:tcW w:w="1418" w:type="dxa"/>
          </w:tcPr>
          <w:p w14:paraId="540E957A" w14:textId="77777777" w:rsidR="00C47647" w:rsidRPr="009D3D7A" w:rsidRDefault="00C47647" w:rsidP="00104948">
            <w:pPr>
              <w:pStyle w:val="TableHeading"/>
              <w:jc w:val="right"/>
            </w:pPr>
          </w:p>
        </w:tc>
        <w:tc>
          <w:tcPr>
            <w:tcW w:w="1280" w:type="dxa"/>
          </w:tcPr>
          <w:p w14:paraId="4E894A21" w14:textId="77777777" w:rsidR="00C47647" w:rsidRPr="009D3D7A" w:rsidRDefault="00C47647" w:rsidP="00104948">
            <w:pPr>
              <w:pStyle w:val="TableHeading"/>
              <w:jc w:val="right"/>
            </w:pPr>
          </w:p>
        </w:tc>
        <w:tc>
          <w:tcPr>
            <w:tcW w:w="1279" w:type="dxa"/>
          </w:tcPr>
          <w:p w14:paraId="03EDA18B" w14:textId="77777777" w:rsidR="00C47647" w:rsidRPr="009D3D7A" w:rsidRDefault="00C47647" w:rsidP="00104948">
            <w:pPr>
              <w:pStyle w:val="TableHeading"/>
              <w:jc w:val="right"/>
            </w:pPr>
          </w:p>
        </w:tc>
        <w:tc>
          <w:tcPr>
            <w:tcW w:w="1222" w:type="dxa"/>
          </w:tcPr>
          <w:p w14:paraId="4E5B04E5" w14:textId="77777777" w:rsidR="00C47647" w:rsidRPr="009D3D7A" w:rsidRDefault="00C47647" w:rsidP="00104948">
            <w:pPr>
              <w:pStyle w:val="TableHeading"/>
              <w:jc w:val="right"/>
            </w:pPr>
          </w:p>
        </w:tc>
        <w:tc>
          <w:tcPr>
            <w:tcW w:w="1190" w:type="dxa"/>
          </w:tcPr>
          <w:p w14:paraId="14D7B643" w14:textId="77777777" w:rsidR="00C47647" w:rsidRPr="009D3D7A" w:rsidRDefault="00C47647" w:rsidP="00104948">
            <w:pPr>
              <w:pStyle w:val="TableHeading"/>
              <w:jc w:val="right"/>
            </w:pPr>
          </w:p>
        </w:tc>
      </w:tr>
      <w:tr w:rsidR="00C47647" w14:paraId="235D8AD8" w14:textId="77777777" w:rsidTr="00B03469">
        <w:trPr>
          <w:trHeight w:val="113"/>
        </w:trPr>
        <w:tc>
          <w:tcPr>
            <w:tcW w:w="4248" w:type="dxa"/>
          </w:tcPr>
          <w:p w14:paraId="3BC58C43" w14:textId="7D6DAFDB" w:rsidR="00C47647" w:rsidRDefault="00C47647" w:rsidP="009D3D7A">
            <w:pPr>
              <w:pStyle w:val="TableCopy"/>
            </w:pPr>
            <w:r>
              <w:t>Creditors and accruals</w:t>
            </w:r>
          </w:p>
        </w:tc>
        <w:tc>
          <w:tcPr>
            <w:tcW w:w="1417" w:type="dxa"/>
          </w:tcPr>
          <w:p w14:paraId="24A2B59E" w14:textId="3DC323F0" w:rsidR="00C47647" w:rsidRDefault="00C47647" w:rsidP="00104948">
            <w:pPr>
              <w:pStyle w:val="TableCopy"/>
              <w:jc w:val="right"/>
            </w:pPr>
            <w:r>
              <w:t>–</w:t>
            </w:r>
          </w:p>
        </w:tc>
        <w:tc>
          <w:tcPr>
            <w:tcW w:w="1418" w:type="dxa"/>
          </w:tcPr>
          <w:p w14:paraId="111E289F" w14:textId="77777777" w:rsidR="00C47647" w:rsidRDefault="00C47647" w:rsidP="00104948">
            <w:pPr>
              <w:pStyle w:val="TableCopy"/>
              <w:jc w:val="right"/>
            </w:pPr>
            <w:r>
              <w:t>(1)</w:t>
            </w:r>
          </w:p>
        </w:tc>
        <w:tc>
          <w:tcPr>
            <w:tcW w:w="1417" w:type="dxa"/>
          </w:tcPr>
          <w:p w14:paraId="7060BFE8" w14:textId="77777777" w:rsidR="00C47647" w:rsidRDefault="00C47647" w:rsidP="00104948">
            <w:pPr>
              <w:pStyle w:val="TableCopy"/>
              <w:jc w:val="right"/>
            </w:pPr>
            <w:r>
              <w:t>(10)</w:t>
            </w:r>
          </w:p>
        </w:tc>
        <w:tc>
          <w:tcPr>
            <w:tcW w:w="1418" w:type="dxa"/>
          </w:tcPr>
          <w:p w14:paraId="4AAF1739" w14:textId="77777777" w:rsidR="00C47647" w:rsidRDefault="00C47647" w:rsidP="00104948">
            <w:pPr>
              <w:pStyle w:val="TableCopy"/>
              <w:jc w:val="right"/>
            </w:pPr>
            <w:r>
              <w:t>(28)</w:t>
            </w:r>
          </w:p>
        </w:tc>
        <w:tc>
          <w:tcPr>
            <w:tcW w:w="1280" w:type="dxa"/>
          </w:tcPr>
          <w:p w14:paraId="3A1ACDEF" w14:textId="77777777" w:rsidR="00C47647" w:rsidRDefault="00C47647" w:rsidP="00104948">
            <w:pPr>
              <w:pStyle w:val="TableCopy"/>
              <w:jc w:val="right"/>
            </w:pPr>
            <w:r>
              <w:t>(22)</w:t>
            </w:r>
          </w:p>
        </w:tc>
        <w:tc>
          <w:tcPr>
            <w:tcW w:w="1279" w:type="dxa"/>
          </w:tcPr>
          <w:p w14:paraId="315B16B4" w14:textId="77777777" w:rsidR="00C47647" w:rsidRDefault="00C47647" w:rsidP="00104948">
            <w:pPr>
              <w:pStyle w:val="TableCopy"/>
              <w:jc w:val="right"/>
            </w:pPr>
            <w:r>
              <w:t>(39)</w:t>
            </w:r>
          </w:p>
        </w:tc>
        <w:tc>
          <w:tcPr>
            <w:tcW w:w="1222" w:type="dxa"/>
          </w:tcPr>
          <w:p w14:paraId="0E82B8CE" w14:textId="683636B2" w:rsidR="00C47647" w:rsidRDefault="00C47647" w:rsidP="00104948">
            <w:pPr>
              <w:pStyle w:val="TableCopy"/>
              <w:jc w:val="right"/>
            </w:pPr>
            <w:r>
              <w:t>–</w:t>
            </w:r>
          </w:p>
        </w:tc>
        <w:tc>
          <w:tcPr>
            <w:tcW w:w="1190" w:type="dxa"/>
          </w:tcPr>
          <w:p w14:paraId="47F88044" w14:textId="77777777" w:rsidR="00C47647" w:rsidRDefault="00C47647" w:rsidP="00104948">
            <w:pPr>
              <w:pStyle w:val="TableCopy"/>
              <w:jc w:val="right"/>
            </w:pPr>
            <w:r>
              <w:t>(2)</w:t>
            </w:r>
          </w:p>
        </w:tc>
      </w:tr>
      <w:tr w:rsidR="00C47647" w14:paraId="5EC17F73" w14:textId="77777777" w:rsidTr="00B03469">
        <w:trPr>
          <w:trHeight w:val="333"/>
        </w:trPr>
        <w:tc>
          <w:tcPr>
            <w:tcW w:w="4248" w:type="dxa"/>
          </w:tcPr>
          <w:p w14:paraId="56A447A6" w14:textId="0AC7B50B" w:rsidR="00C47647" w:rsidRDefault="00C47647" w:rsidP="009D3D7A">
            <w:pPr>
              <w:pStyle w:val="TableCopy"/>
            </w:pPr>
            <w:r>
              <w:t>Unearned income</w:t>
            </w:r>
          </w:p>
        </w:tc>
        <w:tc>
          <w:tcPr>
            <w:tcW w:w="1417" w:type="dxa"/>
          </w:tcPr>
          <w:p w14:paraId="775D9A92" w14:textId="795E0B12" w:rsidR="00C47647" w:rsidRDefault="00C47647" w:rsidP="00104948">
            <w:pPr>
              <w:pStyle w:val="TableCopy"/>
              <w:jc w:val="right"/>
            </w:pPr>
            <w:r>
              <w:t>–</w:t>
            </w:r>
          </w:p>
        </w:tc>
        <w:tc>
          <w:tcPr>
            <w:tcW w:w="1418" w:type="dxa"/>
          </w:tcPr>
          <w:p w14:paraId="5CFFC920" w14:textId="2EAF77C5" w:rsidR="00C47647" w:rsidRDefault="00C47647" w:rsidP="00104948">
            <w:pPr>
              <w:pStyle w:val="TableCopy"/>
              <w:jc w:val="right"/>
            </w:pPr>
            <w:r>
              <w:t>–</w:t>
            </w:r>
          </w:p>
        </w:tc>
        <w:tc>
          <w:tcPr>
            <w:tcW w:w="1417" w:type="dxa"/>
          </w:tcPr>
          <w:p w14:paraId="63C65750" w14:textId="3F263A5C" w:rsidR="00C47647" w:rsidRDefault="00C47647" w:rsidP="00104948">
            <w:pPr>
              <w:pStyle w:val="TableCopy"/>
              <w:jc w:val="right"/>
            </w:pPr>
            <w:r>
              <w:t>–</w:t>
            </w:r>
          </w:p>
        </w:tc>
        <w:tc>
          <w:tcPr>
            <w:tcW w:w="1418" w:type="dxa"/>
          </w:tcPr>
          <w:p w14:paraId="4B108070" w14:textId="7A4D4E35" w:rsidR="00C47647" w:rsidRDefault="00C47647" w:rsidP="00104948">
            <w:pPr>
              <w:pStyle w:val="TableCopy"/>
              <w:jc w:val="right"/>
            </w:pPr>
            <w:r>
              <w:t>–</w:t>
            </w:r>
          </w:p>
        </w:tc>
        <w:tc>
          <w:tcPr>
            <w:tcW w:w="1280" w:type="dxa"/>
          </w:tcPr>
          <w:p w14:paraId="531C2380" w14:textId="5A5D72F1" w:rsidR="00C47647" w:rsidRDefault="00C47647" w:rsidP="00104948">
            <w:pPr>
              <w:pStyle w:val="TableCopy"/>
              <w:jc w:val="right"/>
            </w:pPr>
            <w:r>
              <w:t>–</w:t>
            </w:r>
          </w:p>
        </w:tc>
        <w:tc>
          <w:tcPr>
            <w:tcW w:w="1279" w:type="dxa"/>
          </w:tcPr>
          <w:p w14:paraId="798AC508" w14:textId="3E2F4C7B" w:rsidR="00C47647" w:rsidRDefault="00C47647" w:rsidP="00104948">
            <w:pPr>
              <w:pStyle w:val="TableCopy"/>
              <w:jc w:val="right"/>
            </w:pPr>
            <w:r>
              <w:t>–</w:t>
            </w:r>
          </w:p>
        </w:tc>
        <w:tc>
          <w:tcPr>
            <w:tcW w:w="1222" w:type="dxa"/>
          </w:tcPr>
          <w:p w14:paraId="5BB5B472" w14:textId="0947DE91" w:rsidR="00C47647" w:rsidRDefault="00C47647" w:rsidP="00104948">
            <w:pPr>
              <w:pStyle w:val="TableCopy"/>
              <w:jc w:val="right"/>
            </w:pPr>
            <w:r>
              <w:t>–</w:t>
            </w:r>
          </w:p>
        </w:tc>
        <w:tc>
          <w:tcPr>
            <w:tcW w:w="1190" w:type="dxa"/>
          </w:tcPr>
          <w:p w14:paraId="64D87305" w14:textId="0D9DA972" w:rsidR="00C47647" w:rsidRDefault="00C47647" w:rsidP="00104948">
            <w:pPr>
              <w:pStyle w:val="TableCopy"/>
              <w:jc w:val="right"/>
            </w:pPr>
            <w:r>
              <w:t>–</w:t>
            </w:r>
          </w:p>
        </w:tc>
      </w:tr>
      <w:tr w:rsidR="00C47647" w14:paraId="7D27BDF3" w14:textId="77777777" w:rsidTr="00B03469">
        <w:trPr>
          <w:trHeight w:val="113"/>
        </w:trPr>
        <w:tc>
          <w:tcPr>
            <w:tcW w:w="4248" w:type="dxa"/>
          </w:tcPr>
          <w:p w14:paraId="4043498D" w14:textId="057B8BD2" w:rsidR="00C47647" w:rsidRDefault="00C47647" w:rsidP="009D3D7A">
            <w:pPr>
              <w:pStyle w:val="TableCopy"/>
            </w:pPr>
            <w:r>
              <w:t>Interest bearing liabilities</w:t>
            </w:r>
          </w:p>
        </w:tc>
        <w:tc>
          <w:tcPr>
            <w:tcW w:w="1417" w:type="dxa"/>
          </w:tcPr>
          <w:p w14:paraId="706979D7" w14:textId="102DBF42" w:rsidR="00C47647" w:rsidRDefault="00C47647" w:rsidP="00104948">
            <w:pPr>
              <w:pStyle w:val="TableCopy"/>
              <w:jc w:val="right"/>
            </w:pPr>
            <w:r>
              <w:t>–</w:t>
            </w:r>
          </w:p>
        </w:tc>
        <w:tc>
          <w:tcPr>
            <w:tcW w:w="1418" w:type="dxa"/>
          </w:tcPr>
          <w:p w14:paraId="19742239" w14:textId="4AA1E3AC" w:rsidR="00C47647" w:rsidRDefault="00C47647" w:rsidP="00104948">
            <w:pPr>
              <w:pStyle w:val="TableCopy"/>
              <w:jc w:val="right"/>
            </w:pPr>
            <w:r>
              <w:t>–</w:t>
            </w:r>
          </w:p>
        </w:tc>
        <w:tc>
          <w:tcPr>
            <w:tcW w:w="1417" w:type="dxa"/>
          </w:tcPr>
          <w:p w14:paraId="2FBE1AF4" w14:textId="2C717566" w:rsidR="00C47647" w:rsidRDefault="00C47647" w:rsidP="00104948">
            <w:pPr>
              <w:pStyle w:val="TableCopy"/>
              <w:jc w:val="right"/>
            </w:pPr>
            <w:r>
              <w:t>–</w:t>
            </w:r>
          </w:p>
        </w:tc>
        <w:tc>
          <w:tcPr>
            <w:tcW w:w="1418" w:type="dxa"/>
          </w:tcPr>
          <w:p w14:paraId="2B1CE207" w14:textId="117401B3" w:rsidR="00C47647" w:rsidRDefault="00C47647" w:rsidP="00104948">
            <w:pPr>
              <w:pStyle w:val="TableCopy"/>
              <w:jc w:val="right"/>
            </w:pPr>
            <w:r>
              <w:t>–</w:t>
            </w:r>
          </w:p>
        </w:tc>
        <w:tc>
          <w:tcPr>
            <w:tcW w:w="1280" w:type="dxa"/>
          </w:tcPr>
          <w:p w14:paraId="0E17E2CA" w14:textId="6E9ED89E" w:rsidR="00C47647" w:rsidRDefault="00C47647" w:rsidP="00104948">
            <w:pPr>
              <w:pStyle w:val="TableCopy"/>
              <w:jc w:val="right"/>
            </w:pPr>
            <w:r>
              <w:t>–</w:t>
            </w:r>
          </w:p>
        </w:tc>
        <w:tc>
          <w:tcPr>
            <w:tcW w:w="1279" w:type="dxa"/>
          </w:tcPr>
          <w:p w14:paraId="4564145B" w14:textId="30CA5CE7" w:rsidR="00C47647" w:rsidRDefault="00C47647" w:rsidP="00104948">
            <w:pPr>
              <w:pStyle w:val="TableCopy"/>
              <w:jc w:val="right"/>
            </w:pPr>
            <w:r>
              <w:t>–</w:t>
            </w:r>
          </w:p>
        </w:tc>
        <w:tc>
          <w:tcPr>
            <w:tcW w:w="1222" w:type="dxa"/>
          </w:tcPr>
          <w:p w14:paraId="2B6DD102" w14:textId="5C00A7C4" w:rsidR="00C47647" w:rsidRDefault="00C47647" w:rsidP="00104948">
            <w:pPr>
              <w:pStyle w:val="TableCopy"/>
              <w:jc w:val="right"/>
            </w:pPr>
            <w:r>
              <w:t>–</w:t>
            </w:r>
          </w:p>
        </w:tc>
        <w:tc>
          <w:tcPr>
            <w:tcW w:w="1190" w:type="dxa"/>
          </w:tcPr>
          <w:p w14:paraId="2EF80D6C" w14:textId="0EF12870" w:rsidR="00C47647" w:rsidRDefault="00C47647" w:rsidP="00104948">
            <w:pPr>
              <w:pStyle w:val="TableCopy"/>
              <w:jc w:val="right"/>
            </w:pPr>
            <w:r>
              <w:t>–</w:t>
            </w:r>
          </w:p>
        </w:tc>
      </w:tr>
      <w:tr w:rsidR="00C47647" w:rsidRPr="009D3D7A" w14:paraId="1F790000" w14:textId="77777777" w:rsidTr="00B03469">
        <w:trPr>
          <w:trHeight w:val="113"/>
        </w:trPr>
        <w:tc>
          <w:tcPr>
            <w:tcW w:w="4248" w:type="dxa"/>
          </w:tcPr>
          <w:p w14:paraId="78AF0BAF" w14:textId="4A352837" w:rsidR="00C47647" w:rsidRPr="009D3D7A" w:rsidRDefault="00C47647" w:rsidP="009D3D7A">
            <w:pPr>
              <w:pStyle w:val="TableCopy"/>
              <w:rPr>
                <w:b/>
                <w:bCs/>
              </w:rPr>
            </w:pPr>
            <w:r w:rsidRPr="009D3D7A">
              <w:rPr>
                <w:b/>
                <w:bCs/>
              </w:rPr>
              <w:t>Total administered liabilities</w:t>
            </w:r>
          </w:p>
        </w:tc>
        <w:tc>
          <w:tcPr>
            <w:tcW w:w="1417" w:type="dxa"/>
          </w:tcPr>
          <w:p w14:paraId="6E6034E1" w14:textId="74CF1CE2" w:rsidR="00C47647" w:rsidRPr="009D3D7A" w:rsidRDefault="00C47647" w:rsidP="00104948">
            <w:pPr>
              <w:pStyle w:val="TableCopy"/>
              <w:jc w:val="right"/>
              <w:rPr>
                <w:b/>
                <w:bCs/>
              </w:rPr>
            </w:pPr>
            <w:r w:rsidRPr="009D3D7A">
              <w:rPr>
                <w:b/>
                <w:bCs/>
              </w:rPr>
              <w:t>–</w:t>
            </w:r>
          </w:p>
        </w:tc>
        <w:tc>
          <w:tcPr>
            <w:tcW w:w="1418" w:type="dxa"/>
          </w:tcPr>
          <w:p w14:paraId="7BD982C3" w14:textId="77777777" w:rsidR="00C47647" w:rsidRPr="009D3D7A" w:rsidRDefault="00C47647" w:rsidP="00104948">
            <w:pPr>
              <w:pStyle w:val="TableCopy"/>
              <w:jc w:val="right"/>
              <w:rPr>
                <w:b/>
                <w:bCs/>
              </w:rPr>
            </w:pPr>
            <w:r w:rsidRPr="009D3D7A">
              <w:rPr>
                <w:b/>
                <w:bCs/>
              </w:rPr>
              <w:t>(1)</w:t>
            </w:r>
          </w:p>
        </w:tc>
        <w:tc>
          <w:tcPr>
            <w:tcW w:w="1417" w:type="dxa"/>
          </w:tcPr>
          <w:p w14:paraId="0D37CEC8" w14:textId="77777777" w:rsidR="00C47647" w:rsidRPr="009D3D7A" w:rsidRDefault="00C47647" w:rsidP="00104948">
            <w:pPr>
              <w:pStyle w:val="TableCopy"/>
              <w:jc w:val="right"/>
              <w:rPr>
                <w:b/>
                <w:bCs/>
              </w:rPr>
            </w:pPr>
            <w:r w:rsidRPr="009D3D7A">
              <w:rPr>
                <w:b/>
                <w:bCs/>
              </w:rPr>
              <w:t>(10)</w:t>
            </w:r>
          </w:p>
        </w:tc>
        <w:tc>
          <w:tcPr>
            <w:tcW w:w="1418" w:type="dxa"/>
          </w:tcPr>
          <w:p w14:paraId="310494F1" w14:textId="77777777" w:rsidR="00C47647" w:rsidRPr="009D3D7A" w:rsidRDefault="00C47647" w:rsidP="00104948">
            <w:pPr>
              <w:pStyle w:val="TableCopy"/>
              <w:jc w:val="right"/>
              <w:rPr>
                <w:b/>
                <w:bCs/>
              </w:rPr>
            </w:pPr>
            <w:r w:rsidRPr="009D3D7A">
              <w:rPr>
                <w:b/>
                <w:bCs/>
              </w:rPr>
              <w:t>(28)</w:t>
            </w:r>
          </w:p>
        </w:tc>
        <w:tc>
          <w:tcPr>
            <w:tcW w:w="1280" w:type="dxa"/>
          </w:tcPr>
          <w:p w14:paraId="17D2A391" w14:textId="77777777" w:rsidR="00C47647" w:rsidRPr="009D3D7A" w:rsidRDefault="00C47647" w:rsidP="00104948">
            <w:pPr>
              <w:pStyle w:val="TableCopy"/>
              <w:jc w:val="right"/>
              <w:rPr>
                <w:b/>
                <w:bCs/>
              </w:rPr>
            </w:pPr>
            <w:r w:rsidRPr="009D3D7A">
              <w:rPr>
                <w:b/>
                <w:bCs/>
              </w:rPr>
              <w:t>(22)</w:t>
            </w:r>
          </w:p>
        </w:tc>
        <w:tc>
          <w:tcPr>
            <w:tcW w:w="1279" w:type="dxa"/>
          </w:tcPr>
          <w:p w14:paraId="06D9A621" w14:textId="77777777" w:rsidR="00C47647" w:rsidRPr="009D3D7A" w:rsidRDefault="00C47647" w:rsidP="00104948">
            <w:pPr>
              <w:pStyle w:val="TableCopy"/>
              <w:jc w:val="right"/>
              <w:rPr>
                <w:b/>
                <w:bCs/>
              </w:rPr>
            </w:pPr>
            <w:r w:rsidRPr="009D3D7A">
              <w:rPr>
                <w:b/>
                <w:bCs/>
              </w:rPr>
              <w:t>(39)</w:t>
            </w:r>
          </w:p>
        </w:tc>
        <w:tc>
          <w:tcPr>
            <w:tcW w:w="1222" w:type="dxa"/>
          </w:tcPr>
          <w:p w14:paraId="66C6F928" w14:textId="6E8DAFD9" w:rsidR="00C47647" w:rsidRPr="009D3D7A" w:rsidRDefault="00C47647" w:rsidP="00104948">
            <w:pPr>
              <w:pStyle w:val="TableCopy"/>
              <w:jc w:val="right"/>
              <w:rPr>
                <w:b/>
                <w:bCs/>
              </w:rPr>
            </w:pPr>
            <w:r w:rsidRPr="009D3D7A">
              <w:rPr>
                <w:b/>
                <w:bCs/>
              </w:rPr>
              <w:t>–</w:t>
            </w:r>
          </w:p>
        </w:tc>
        <w:tc>
          <w:tcPr>
            <w:tcW w:w="1190" w:type="dxa"/>
          </w:tcPr>
          <w:p w14:paraId="7A516412" w14:textId="77777777" w:rsidR="00C47647" w:rsidRPr="009D3D7A" w:rsidRDefault="00C47647" w:rsidP="00104948">
            <w:pPr>
              <w:pStyle w:val="TableCopy"/>
              <w:jc w:val="right"/>
              <w:rPr>
                <w:b/>
                <w:bCs/>
              </w:rPr>
            </w:pPr>
            <w:r w:rsidRPr="009D3D7A">
              <w:rPr>
                <w:b/>
                <w:bCs/>
              </w:rPr>
              <w:t>(2)</w:t>
            </w:r>
          </w:p>
        </w:tc>
      </w:tr>
      <w:tr w:rsidR="00C47647" w:rsidRPr="009D3D7A" w14:paraId="04EB46C8" w14:textId="77777777" w:rsidTr="00B03469">
        <w:trPr>
          <w:trHeight w:val="113"/>
        </w:trPr>
        <w:tc>
          <w:tcPr>
            <w:tcW w:w="4248" w:type="dxa"/>
          </w:tcPr>
          <w:p w14:paraId="02648C4A" w14:textId="3AF1E8A1" w:rsidR="00C47647" w:rsidRPr="009D3D7A" w:rsidRDefault="00C47647" w:rsidP="009D3D7A">
            <w:pPr>
              <w:pStyle w:val="TableCopy"/>
              <w:rPr>
                <w:b/>
                <w:bCs/>
              </w:rPr>
            </w:pPr>
            <w:r w:rsidRPr="009D3D7A">
              <w:rPr>
                <w:b/>
                <w:bCs/>
              </w:rPr>
              <w:t>Total administered net assets</w:t>
            </w:r>
          </w:p>
        </w:tc>
        <w:tc>
          <w:tcPr>
            <w:tcW w:w="1417" w:type="dxa"/>
          </w:tcPr>
          <w:p w14:paraId="66669F63" w14:textId="315A2A89" w:rsidR="00C47647" w:rsidRPr="009D3D7A" w:rsidRDefault="00C47647" w:rsidP="00104948">
            <w:pPr>
              <w:pStyle w:val="TableCopy"/>
              <w:jc w:val="right"/>
              <w:rPr>
                <w:b/>
                <w:bCs/>
              </w:rPr>
            </w:pPr>
            <w:r w:rsidRPr="009D3D7A">
              <w:rPr>
                <w:b/>
                <w:bCs/>
              </w:rPr>
              <w:t>–</w:t>
            </w:r>
          </w:p>
        </w:tc>
        <w:tc>
          <w:tcPr>
            <w:tcW w:w="1418" w:type="dxa"/>
          </w:tcPr>
          <w:p w14:paraId="09FD9521" w14:textId="6B1EA807" w:rsidR="00C47647" w:rsidRPr="009D3D7A" w:rsidRDefault="00C47647" w:rsidP="00104948">
            <w:pPr>
              <w:pStyle w:val="TableCopy"/>
              <w:jc w:val="right"/>
              <w:rPr>
                <w:b/>
                <w:bCs/>
              </w:rPr>
            </w:pPr>
            <w:r w:rsidRPr="009D3D7A">
              <w:rPr>
                <w:b/>
                <w:bCs/>
              </w:rPr>
              <w:t>124</w:t>
            </w:r>
          </w:p>
        </w:tc>
        <w:tc>
          <w:tcPr>
            <w:tcW w:w="1417" w:type="dxa"/>
          </w:tcPr>
          <w:p w14:paraId="46B3B0D6" w14:textId="122101B7" w:rsidR="00C47647" w:rsidRPr="009D3D7A" w:rsidRDefault="00C47647" w:rsidP="00104948">
            <w:pPr>
              <w:pStyle w:val="TableCopy"/>
              <w:jc w:val="right"/>
              <w:rPr>
                <w:b/>
                <w:bCs/>
              </w:rPr>
            </w:pPr>
            <w:r w:rsidRPr="009D3D7A">
              <w:rPr>
                <w:b/>
                <w:bCs/>
              </w:rPr>
              <w:t>11,650</w:t>
            </w:r>
          </w:p>
        </w:tc>
        <w:tc>
          <w:tcPr>
            <w:tcW w:w="1418" w:type="dxa"/>
          </w:tcPr>
          <w:p w14:paraId="7693E2EC" w14:textId="174B95FC" w:rsidR="00C47647" w:rsidRPr="009D3D7A" w:rsidRDefault="00C47647" w:rsidP="00104948">
            <w:pPr>
              <w:pStyle w:val="TableCopy"/>
              <w:jc w:val="right"/>
              <w:rPr>
                <w:b/>
                <w:bCs/>
              </w:rPr>
            </w:pPr>
            <w:r w:rsidRPr="009D3D7A">
              <w:rPr>
                <w:b/>
                <w:bCs/>
              </w:rPr>
              <w:t>3,868</w:t>
            </w:r>
          </w:p>
        </w:tc>
        <w:tc>
          <w:tcPr>
            <w:tcW w:w="1280" w:type="dxa"/>
          </w:tcPr>
          <w:p w14:paraId="22756821" w14:textId="77777777" w:rsidR="00C47647" w:rsidRPr="009D3D7A" w:rsidRDefault="00C47647" w:rsidP="00104948">
            <w:pPr>
              <w:pStyle w:val="TableCopy"/>
              <w:jc w:val="right"/>
              <w:rPr>
                <w:b/>
                <w:bCs/>
              </w:rPr>
            </w:pPr>
            <w:r w:rsidRPr="009D3D7A">
              <w:rPr>
                <w:b/>
                <w:bCs/>
              </w:rPr>
              <w:t>(3,129)</w:t>
            </w:r>
          </w:p>
        </w:tc>
        <w:tc>
          <w:tcPr>
            <w:tcW w:w="1279" w:type="dxa"/>
          </w:tcPr>
          <w:p w14:paraId="0D287F27" w14:textId="49C5A97B" w:rsidR="00C47647" w:rsidRPr="009D3D7A" w:rsidRDefault="00C47647" w:rsidP="00104948">
            <w:pPr>
              <w:pStyle w:val="TableCopy"/>
              <w:jc w:val="right"/>
              <w:rPr>
                <w:b/>
                <w:bCs/>
              </w:rPr>
            </w:pPr>
            <w:r w:rsidRPr="009D3D7A">
              <w:rPr>
                <w:b/>
                <w:bCs/>
              </w:rPr>
              <w:t>5,562</w:t>
            </w:r>
          </w:p>
        </w:tc>
        <w:tc>
          <w:tcPr>
            <w:tcW w:w="1222" w:type="dxa"/>
          </w:tcPr>
          <w:p w14:paraId="65A2A161" w14:textId="0BC5B81D" w:rsidR="00C47647" w:rsidRPr="009D3D7A" w:rsidRDefault="00C47647" w:rsidP="00104948">
            <w:pPr>
              <w:pStyle w:val="TableCopy"/>
              <w:jc w:val="right"/>
              <w:rPr>
                <w:b/>
                <w:bCs/>
              </w:rPr>
            </w:pPr>
            <w:r w:rsidRPr="009D3D7A">
              <w:rPr>
                <w:b/>
                <w:bCs/>
              </w:rPr>
              <w:t>–</w:t>
            </w:r>
          </w:p>
        </w:tc>
        <w:tc>
          <w:tcPr>
            <w:tcW w:w="1190" w:type="dxa"/>
          </w:tcPr>
          <w:p w14:paraId="2B15F881" w14:textId="3B34E2F6" w:rsidR="00C47647" w:rsidRPr="009D3D7A" w:rsidRDefault="00C47647" w:rsidP="00104948">
            <w:pPr>
              <w:pStyle w:val="TableCopy"/>
              <w:jc w:val="right"/>
              <w:rPr>
                <w:b/>
                <w:bCs/>
              </w:rPr>
            </w:pPr>
            <w:r w:rsidRPr="009D3D7A">
              <w:rPr>
                <w:b/>
                <w:bCs/>
              </w:rPr>
              <w:t>232</w:t>
            </w:r>
          </w:p>
        </w:tc>
      </w:tr>
    </w:tbl>
    <w:p w14:paraId="18545E18" w14:textId="6ACF44FC" w:rsidR="000756EB" w:rsidRDefault="004A4D88" w:rsidP="009D3D7A">
      <w:pPr>
        <w:pStyle w:val="FootnoteText"/>
        <w:spacing w:before="120" w:after="280"/>
        <w:rPr>
          <w:i/>
          <w:iCs/>
        </w:rPr>
      </w:pPr>
      <w:r>
        <w:t>(</w:t>
      </w:r>
      <w:proofErr w:type="spellStart"/>
      <w:r>
        <w:t>i</w:t>
      </w:r>
      <w:proofErr w:type="spellEnd"/>
      <w:r>
        <w:t>)</w:t>
      </w:r>
      <w:r w:rsidR="009D3D7A">
        <w:t xml:space="preserve"> </w:t>
      </w:r>
      <w:r>
        <w:t>For</w:t>
      </w:r>
      <w:r w:rsidR="00A03629">
        <w:t xml:space="preserve"> </w:t>
      </w:r>
      <w:r>
        <w:t>the</w:t>
      </w:r>
      <w:r w:rsidR="00A03629">
        <w:t xml:space="preserve"> </w:t>
      </w:r>
      <w:r>
        <w:t>functions</w:t>
      </w:r>
      <w:r w:rsidR="00A03629">
        <w:t xml:space="preserve"> </w:t>
      </w:r>
      <w:r>
        <w:t>assumed</w:t>
      </w:r>
      <w:r w:rsidR="00A03629">
        <w:t xml:space="preserve"> </w:t>
      </w:r>
      <w:r>
        <w:t>as</w:t>
      </w:r>
      <w:r w:rsidR="00A03629">
        <w:t xml:space="preserve"> </w:t>
      </w:r>
      <w:r>
        <w:t>a</w:t>
      </w:r>
      <w:r w:rsidR="00A03629">
        <w:t xml:space="preserve"> </w:t>
      </w:r>
      <w:r>
        <w:t>result</w:t>
      </w:r>
      <w:r w:rsidR="00A03629">
        <w:t xml:space="preserve"> </w:t>
      </w:r>
      <w:r>
        <w:t>of</w:t>
      </w:r>
      <w:r w:rsidR="00A03629">
        <w:t xml:space="preserve"> </w:t>
      </w:r>
      <w:r>
        <w:t>the</w:t>
      </w:r>
      <w:r w:rsidR="00A03629">
        <w:t xml:space="preserve"> </w:t>
      </w:r>
      <w:r>
        <w:t>machinery</w:t>
      </w:r>
      <w:r w:rsidR="00A03629">
        <w:t xml:space="preserve"> </w:t>
      </w:r>
      <w:r>
        <w:t>of</w:t>
      </w:r>
      <w:r w:rsidR="00A03629">
        <w:t xml:space="preserve"> </w:t>
      </w:r>
      <w:r>
        <w:t>government</w:t>
      </w:r>
      <w:r w:rsidR="00A03629">
        <w:t xml:space="preserve"> </w:t>
      </w:r>
      <w:r>
        <w:t>changes,</w:t>
      </w:r>
      <w:r w:rsidR="00A03629">
        <w:t xml:space="preserve"> </w:t>
      </w:r>
      <w:r>
        <w:t>the</w:t>
      </w:r>
      <w:r w:rsidR="00A03629">
        <w:t xml:space="preserve"> </w:t>
      </w:r>
      <w:r>
        <w:t>2023</w:t>
      </w:r>
      <w:r w:rsidR="00A03629">
        <w:t xml:space="preserve"> </w:t>
      </w:r>
      <w:r>
        <w:t>outputs</w:t>
      </w:r>
      <w:r w:rsidR="00A03629">
        <w:t xml:space="preserve"> </w:t>
      </w:r>
      <w:r>
        <w:t>are</w:t>
      </w:r>
      <w:r w:rsidR="00A03629">
        <w:t xml:space="preserve"> </w:t>
      </w:r>
      <w:r>
        <w:t>as</w:t>
      </w:r>
      <w:r w:rsidR="00A03629">
        <w:t xml:space="preserve"> </w:t>
      </w:r>
      <w:proofErr w:type="gramStart"/>
      <w:r>
        <w:t>at</w:t>
      </w:r>
      <w:proofErr w:type="gramEnd"/>
      <w:r w:rsidR="00A03629">
        <w:t xml:space="preserve"> </w:t>
      </w:r>
      <w:r>
        <w:t>30</w:t>
      </w:r>
      <w:r w:rsidR="00A03629">
        <w:t xml:space="preserve"> </w:t>
      </w:r>
      <w:r>
        <w:t>June</w:t>
      </w:r>
      <w:r w:rsidR="00A03629">
        <w:t xml:space="preserve"> </w:t>
      </w:r>
      <w:r>
        <w:t>2023</w:t>
      </w:r>
      <w:r w:rsidR="00A03629">
        <w:t xml:space="preserve"> </w:t>
      </w:r>
      <w:r>
        <w:t>with</w:t>
      </w:r>
      <w:r w:rsidR="00A03629">
        <w:rPr>
          <w:rFonts w:ascii="Cambria" w:hAnsi="Cambria" w:cs="Cambria"/>
        </w:rPr>
        <w:t xml:space="preserve"> </w:t>
      </w:r>
      <w:r>
        <w:t>nil</w:t>
      </w:r>
      <w:r w:rsidR="00A03629">
        <w:rPr>
          <w:rFonts w:ascii="Cambria" w:hAnsi="Cambria" w:cs="Cambria"/>
        </w:rPr>
        <w:t xml:space="preserve"> </w:t>
      </w:r>
      <w:r>
        <w:t>comparatives</w:t>
      </w:r>
      <w:r w:rsidR="00A03629">
        <w:t xml:space="preserve"> </w:t>
      </w:r>
      <w:r>
        <w:t>for</w:t>
      </w:r>
      <w:r w:rsidR="00A03629">
        <w:t xml:space="preserve"> </w:t>
      </w:r>
      <w:r>
        <w:t>2022.</w:t>
      </w:r>
    </w:p>
    <w:p w14:paraId="77AA8D51" w14:textId="0A1E15D2" w:rsidR="000756EB" w:rsidRDefault="004A4D88" w:rsidP="00B03469">
      <w:pPr>
        <w:pStyle w:val="Heading3"/>
      </w:pPr>
      <w:r>
        <w:lastRenderedPageBreak/>
        <w:t>4.2.3</w:t>
      </w:r>
      <w:r w:rsidR="00DE38B5">
        <w:t xml:space="preserve"> </w:t>
      </w:r>
      <w:r>
        <w:t>Administered</w:t>
      </w:r>
      <w:r w:rsidR="00A03629">
        <w:t xml:space="preserve"> </w:t>
      </w:r>
      <w:r>
        <w:t>assets</w:t>
      </w:r>
      <w:r w:rsidR="00A03629">
        <w:t xml:space="preserve"> </w:t>
      </w:r>
      <w:r>
        <w:t>and</w:t>
      </w:r>
      <w:r w:rsidR="00A03629">
        <w:t xml:space="preserve"> </w:t>
      </w:r>
      <w:r>
        <w:t>liabilities</w:t>
      </w:r>
      <w:r w:rsidR="00A03629">
        <w:t xml:space="preserve"> </w:t>
      </w:r>
      <w:proofErr w:type="gramStart"/>
      <w:r>
        <w:t>at</w:t>
      </w:r>
      <w:proofErr w:type="gramEnd"/>
      <w:r w:rsidR="00A03629">
        <w:t xml:space="preserve"> </w:t>
      </w:r>
      <w:r>
        <w:t>30</w:t>
      </w:r>
      <w:r w:rsidR="00A03629">
        <w:t xml:space="preserve"> </w:t>
      </w:r>
      <w:r>
        <w:t>June</w:t>
      </w:r>
      <w:r w:rsidR="00A03629">
        <w:t xml:space="preserve"> </w:t>
      </w:r>
      <w:r>
        <w:t>2023</w:t>
      </w:r>
      <w:r w:rsidR="00A03629">
        <w:t xml:space="preserve"> </w:t>
      </w:r>
      <w:r>
        <w:t>(continued)</w:t>
      </w:r>
      <w:r w:rsidR="00104948">
        <w:t xml:space="preserve"> </w:t>
      </w:r>
      <w:r>
        <w:t>Department</w:t>
      </w:r>
      <w:r w:rsidR="00A03629">
        <w:t xml:space="preserve"> </w:t>
      </w:r>
      <w:r>
        <w:t>of</w:t>
      </w:r>
      <w:r w:rsidR="00A03629">
        <w:t xml:space="preserve"> </w:t>
      </w:r>
      <w:r>
        <w:t>Jobs,</w:t>
      </w:r>
      <w:r w:rsidR="00A03629">
        <w:t xml:space="preserve"> </w:t>
      </w:r>
      <w:r>
        <w:t>Skills,</w:t>
      </w:r>
      <w:r w:rsidR="00A03629">
        <w:t xml:space="preserve"> </w:t>
      </w:r>
      <w:r>
        <w:t>Industry</w:t>
      </w:r>
      <w:r w:rsidR="00A03629">
        <w:t xml:space="preserve"> </w:t>
      </w:r>
      <w:r>
        <w:t>and</w:t>
      </w:r>
      <w:r w:rsidR="00A03629">
        <w:t xml:space="preserve"> </w:t>
      </w:r>
      <w:r>
        <w:t>Regions</w:t>
      </w:r>
      <w:r w:rsidR="00A03629">
        <w:t xml:space="preserve"> </w:t>
      </w:r>
      <w:r>
        <w:t>Outputs</w:t>
      </w:r>
    </w:p>
    <w:tbl>
      <w:tblPr>
        <w:tblStyle w:val="TableGrid"/>
        <w:tblW w:w="14939" w:type="dxa"/>
        <w:tblLayout w:type="fixed"/>
        <w:tblLook w:val="0020" w:firstRow="1" w:lastRow="0" w:firstColumn="0" w:lastColumn="0" w:noHBand="0" w:noVBand="0"/>
      </w:tblPr>
      <w:tblGrid>
        <w:gridCol w:w="3823"/>
        <w:gridCol w:w="1326"/>
        <w:gridCol w:w="1327"/>
        <w:gridCol w:w="1344"/>
        <w:gridCol w:w="1372"/>
        <w:gridCol w:w="1576"/>
        <w:gridCol w:w="1517"/>
        <w:gridCol w:w="1327"/>
        <w:gridCol w:w="1327"/>
      </w:tblGrid>
      <w:tr w:rsidR="00B03469" w:rsidRPr="00B03469" w14:paraId="3828BCC7" w14:textId="77777777" w:rsidTr="00855DFD">
        <w:trPr>
          <w:trHeight w:val="113"/>
        </w:trPr>
        <w:tc>
          <w:tcPr>
            <w:tcW w:w="3823" w:type="dxa"/>
          </w:tcPr>
          <w:p w14:paraId="57839993" w14:textId="77777777" w:rsidR="00B03469" w:rsidRPr="00B03469" w:rsidRDefault="00B03469" w:rsidP="00B03469">
            <w:pPr>
              <w:pStyle w:val="TableColumnHeading"/>
              <w:rPr>
                <w:rFonts w:asciiTheme="minorHAnsi" w:hAnsiTheme="minorHAnsi" w:cstheme="minorHAnsi"/>
                <w:sz w:val="20"/>
                <w:szCs w:val="28"/>
              </w:rPr>
            </w:pPr>
            <w:bookmarkStart w:id="56" w:name="ColumnTitles_32"/>
            <w:bookmarkEnd w:id="56"/>
          </w:p>
        </w:tc>
        <w:tc>
          <w:tcPr>
            <w:tcW w:w="1326" w:type="dxa"/>
          </w:tcPr>
          <w:p w14:paraId="6EA77437" w14:textId="50FBBAED" w:rsidR="00B03469" w:rsidRPr="00B03469" w:rsidRDefault="00B03469" w:rsidP="00652DE3">
            <w:pPr>
              <w:pStyle w:val="TableColumnHeading"/>
              <w:jc w:val="right"/>
              <w:rPr>
                <w:rFonts w:asciiTheme="minorHAnsi" w:hAnsiTheme="minorHAnsi" w:cstheme="minorHAnsi"/>
                <w:sz w:val="20"/>
                <w:szCs w:val="28"/>
              </w:rPr>
            </w:pPr>
            <w:r w:rsidRPr="00B03469">
              <w:rPr>
                <w:rFonts w:asciiTheme="minorHAnsi" w:hAnsiTheme="minorHAnsi" w:cstheme="minorHAnsi"/>
                <w:sz w:val="20"/>
                <w:szCs w:val="28"/>
              </w:rPr>
              <w:t>Tourism and Major Events 2023</w:t>
            </w:r>
            <w:r w:rsidR="00855DFD">
              <w:rPr>
                <w:rFonts w:asciiTheme="minorHAnsi" w:hAnsiTheme="minorHAnsi" w:cstheme="minorHAnsi"/>
                <w:sz w:val="20"/>
                <w:szCs w:val="28"/>
              </w:rPr>
              <w:t xml:space="preserve"> </w:t>
            </w:r>
            <w:r w:rsidR="00855DFD" w:rsidRPr="00B03469">
              <w:rPr>
                <w:rFonts w:asciiTheme="minorHAnsi" w:hAnsiTheme="minorHAnsi" w:cstheme="minorHAnsi"/>
                <w:sz w:val="20"/>
                <w:szCs w:val="28"/>
              </w:rPr>
              <w:t>($ thousand)</w:t>
            </w:r>
            <w:r w:rsidRPr="00B03469">
              <w:rPr>
                <w:rFonts w:asciiTheme="minorHAnsi" w:hAnsiTheme="minorHAnsi" w:cstheme="minorHAnsi"/>
                <w:sz w:val="20"/>
                <w:szCs w:val="28"/>
              </w:rPr>
              <w:t xml:space="preserve"> </w:t>
            </w:r>
          </w:p>
        </w:tc>
        <w:tc>
          <w:tcPr>
            <w:tcW w:w="1327" w:type="dxa"/>
          </w:tcPr>
          <w:p w14:paraId="29225DB0" w14:textId="7355AE80" w:rsidR="00B03469" w:rsidRPr="00B03469" w:rsidRDefault="00B03469" w:rsidP="00652DE3">
            <w:pPr>
              <w:pStyle w:val="TableColumnHeading"/>
              <w:jc w:val="right"/>
              <w:rPr>
                <w:rFonts w:asciiTheme="minorHAnsi" w:hAnsiTheme="minorHAnsi" w:cstheme="minorHAnsi"/>
                <w:sz w:val="20"/>
                <w:szCs w:val="28"/>
              </w:rPr>
            </w:pPr>
            <w:r w:rsidRPr="00B03469">
              <w:rPr>
                <w:rFonts w:asciiTheme="minorHAnsi" w:hAnsiTheme="minorHAnsi" w:cstheme="minorHAnsi"/>
                <w:sz w:val="20"/>
                <w:szCs w:val="28"/>
              </w:rPr>
              <w:t>Tourism and Major Events 2022</w:t>
            </w:r>
            <w:r w:rsidR="00855DFD">
              <w:rPr>
                <w:rFonts w:asciiTheme="minorHAnsi" w:hAnsiTheme="minorHAnsi" w:cstheme="minorHAnsi"/>
                <w:sz w:val="20"/>
                <w:szCs w:val="28"/>
              </w:rPr>
              <w:t xml:space="preserve"> </w:t>
            </w:r>
            <w:r w:rsidR="00855DFD" w:rsidRPr="00B03469">
              <w:rPr>
                <w:rFonts w:asciiTheme="minorHAnsi" w:hAnsiTheme="minorHAnsi" w:cstheme="minorHAnsi"/>
                <w:sz w:val="20"/>
                <w:szCs w:val="28"/>
              </w:rPr>
              <w:t>($ thousand)</w:t>
            </w:r>
          </w:p>
        </w:tc>
        <w:tc>
          <w:tcPr>
            <w:tcW w:w="1344" w:type="dxa"/>
          </w:tcPr>
          <w:p w14:paraId="57E36535" w14:textId="42663499" w:rsidR="00B03469" w:rsidRPr="00B03469" w:rsidRDefault="00B03469" w:rsidP="00652DE3">
            <w:pPr>
              <w:pStyle w:val="TableColumnHeading"/>
              <w:jc w:val="right"/>
              <w:rPr>
                <w:rFonts w:asciiTheme="minorHAnsi" w:hAnsiTheme="minorHAnsi" w:cstheme="minorHAnsi"/>
                <w:sz w:val="20"/>
                <w:szCs w:val="28"/>
              </w:rPr>
            </w:pPr>
            <w:r w:rsidRPr="00B03469">
              <w:rPr>
                <w:rFonts w:asciiTheme="minorHAnsi" w:hAnsiTheme="minorHAnsi" w:cstheme="minorHAnsi"/>
                <w:sz w:val="20"/>
                <w:szCs w:val="28"/>
              </w:rPr>
              <w:t>Fishing, Boating and Game Management</w:t>
            </w:r>
            <w:r w:rsidRPr="00614829">
              <w:rPr>
                <w:rStyle w:val="FootnotereferencessuperscriptMisc"/>
                <w:sz w:val="20"/>
                <w:szCs w:val="28"/>
              </w:rPr>
              <w:t xml:space="preserve"> (</w:t>
            </w:r>
            <w:proofErr w:type="spellStart"/>
            <w:r w:rsidRPr="00614829">
              <w:rPr>
                <w:rStyle w:val="FootnotereferencessuperscriptMisc"/>
                <w:sz w:val="20"/>
                <w:szCs w:val="28"/>
              </w:rPr>
              <w:t>i</w:t>
            </w:r>
            <w:proofErr w:type="spellEnd"/>
            <w:r w:rsidRPr="00614829">
              <w:rPr>
                <w:rStyle w:val="FootnotereferencessuperscriptMisc"/>
                <w:sz w:val="20"/>
                <w:szCs w:val="28"/>
              </w:rPr>
              <w:t>)</w:t>
            </w:r>
            <w:r w:rsidRPr="00B03469">
              <w:rPr>
                <w:rFonts w:asciiTheme="minorHAnsi" w:hAnsiTheme="minorHAnsi" w:cstheme="minorHAnsi"/>
                <w:sz w:val="20"/>
                <w:szCs w:val="28"/>
              </w:rPr>
              <w:t xml:space="preserve"> 2023</w:t>
            </w:r>
            <w:r w:rsidR="00855DFD">
              <w:rPr>
                <w:rFonts w:asciiTheme="minorHAnsi" w:hAnsiTheme="minorHAnsi" w:cstheme="minorHAnsi"/>
                <w:sz w:val="20"/>
                <w:szCs w:val="28"/>
              </w:rPr>
              <w:t xml:space="preserve"> </w:t>
            </w:r>
            <w:r w:rsidR="00855DFD" w:rsidRPr="00B03469">
              <w:rPr>
                <w:rFonts w:asciiTheme="minorHAnsi" w:hAnsiTheme="minorHAnsi" w:cstheme="minorHAnsi"/>
                <w:sz w:val="20"/>
                <w:szCs w:val="28"/>
              </w:rPr>
              <w:t>($ thousand)</w:t>
            </w:r>
          </w:p>
        </w:tc>
        <w:tc>
          <w:tcPr>
            <w:tcW w:w="1372" w:type="dxa"/>
          </w:tcPr>
          <w:p w14:paraId="49AE7C3E" w14:textId="2D735C05" w:rsidR="00B03469" w:rsidRPr="00B03469" w:rsidRDefault="00B03469" w:rsidP="00652DE3">
            <w:pPr>
              <w:pStyle w:val="TableColumnHeading"/>
              <w:jc w:val="right"/>
              <w:rPr>
                <w:rFonts w:asciiTheme="minorHAnsi" w:hAnsiTheme="minorHAnsi" w:cstheme="minorHAnsi"/>
                <w:sz w:val="20"/>
                <w:szCs w:val="28"/>
              </w:rPr>
            </w:pPr>
            <w:r w:rsidRPr="00B03469">
              <w:rPr>
                <w:rFonts w:asciiTheme="minorHAnsi" w:hAnsiTheme="minorHAnsi" w:cstheme="minorHAnsi"/>
                <w:sz w:val="20"/>
                <w:szCs w:val="28"/>
              </w:rPr>
              <w:t>Fishing, Boating and Game Management</w:t>
            </w:r>
            <w:r w:rsidRPr="00614829">
              <w:rPr>
                <w:rStyle w:val="FootnotereferencessuperscriptMisc"/>
                <w:sz w:val="20"/>
                <w:szCs w:val="28"/>
              </w:rPr>
              <w:t xml:space="preserve"> (</w:t>
            </w:r>
            <w:proofErr w:type="spellStart"/>
            <w:r w:rsidRPr="00614829">
              <w:rPr>
                <w:rStyle w:val="FootnotereferencessuperscriptMisc"/>
                <w:sz w:val="20"/>
                <w:szCs w:val="28"/>
              </w:rPr>
              <w:t>i</w:t>
            </w:r>
            <w:proofErr w:type="spellEnd"/>
            <w:r w:rsidRPr="00614829">
              <w:rPr>
                <w:rStyle w:val="FootnotereferencessuperscriptMisc"/>
                <w:sz w:val="20"/>
                <w:szCs w:val="28"/>
              </w:rPr>
              <w:t>)</w:t>
            </w:r>
            <w:r w:rsidRPr="00B03469">
              <w:rPr>
                <w:rFonts w:asciiTheme="minorHAnsi" w:hAnsiTheme="minorHAnsi" w:cstheme="minorHAnsi"/>
                <w:sz w:val="20"/>
                <w:szCs w:val="28"/>
              </w:rPr>
              <w:t xml:space="preserve"> 2022</w:t>
            </w:r>
            <w:r w:rsidR="00855DFD">
              <w:rPr>
                <w:rFonts w:asciiTheme="minorHAnsi" w:hAnsiTheme="minorHAnsi" w:cstheme="minorHAnsi"/>
                <w:sz w:val="20"/>
                <w:szCs w:val="28"/>
              </w:rPr>
              <w:t xml:space="preserve"> </w:t>
            </w:r>
            <w:r w:rsidR="00855DFD" w:rsidRPr="00B03469">
              <w:rPr>
                <w:rFonts w:asciiTheme="minorHAnsi" w:hAnsiTheme="minorHAnsi" w:cstheme="minorHAnsi"/>
                <w:sz w:val="20"/>
                <w:szCs w:val="28"/>
              </w:rPr>
              <w:t>($ thousand)</w:t>
            </w:r>
          </w:p>
        </w:tc>
        <w:tc>
          <w:tcPr>
            <w:tcW w:w="1576" w:type="dxa"/>
          </w:tcPr>
          <w:p w14:paraId="45E13622" w14:textId="65FCA905" w:rsidR="00B03469" w:rsidRPr="00B03469" w:rsidRDefault="00B03469" w:rsidP="00652DE3">
            <w:pPr>
              <w:pStyle w:val="TableColumnHeading"/>
              <w:jc w:val="right"/>
              <w:rPr>
                <w:rFonts w:asciiTheme="minorHAnsi" w:hAnsiTheme="minorHAnsi" w:cstheme="minorHAnsi"/>
                <w:sz w:val="20"/>
                <w:szCs w:val="28"/>
              </w:rPr>
            </w:pPr>
            <w:r w:rsidRPr="00B03469">
              <w:rPr>
                <w:rFonts w:asciiTheme="minorHAnsi" w:hAnsiTheme="minorHAnsi" w:cstheme="minorHAnsi"/>
                <w:spacing w:val="-1"/>
                <w:sz w:val="20"/>
                <w:szCs w:val="28"/>
              </w:rPr>
              <w:t>Training, Higher Education and Workforce Development</w:t>
            </w:r>
            <w:r w:rsidRPr="00614829">
              <w:rPr>
                <w:rStyle w:val="FootnotereferencessuperscriptMisc"/>
                <w:spacing w:val="-1"/>
                <w:sz w:val="20"/>
                <w:szCs w:val="28"/>
              </w:rPr>
              <w:t xml:space="preserve"> (</w:t>
            </w:r>
            <w:proofErr w:type="spellStart"/>
            <w:r w:rsidRPr="00614829">
              <w:rPr>
                <w:rStyle w:val="FootnotereferencessuperscriptMisc"/>
                <w:spacing w:val="-1"/>
                <w:sz w:val="20"/>
                <w:szCs w:val="28"/>
              </w:rPr>
              <w:t>i</w:t>
            </w:r>
            <w:proofErr w:type="spellEnd"/>
            <w:r w:rsidRPr="00614829">
              <w:rPr>
                <w:rStyle w:val="FootnotereferencessuperscriptMisc"/>
                <w:spacing w:val="-1"/>
                <w:sz w:val="20"/>
                <w:szCs w:val="28"/>
              </w:rPr>
              <w:t>)</w:t>
            </w:r>
            <w:r w:rsidRPr="00B03469">
              <w:rPr>
                <w:rFonts w:asciiTheme="minorHAnsi" w:hAnsiTheme="minorHAnsi" w:cstheme="minorHAnsi"/>
                <w:sz w:val="20"/>
                <w:szCs w:val="28"/>
              </w:rPr>
              <w:t xml:space="preserve"> 2023</w:t>
            </w:r>
            <w:r w:rsidR="00855DFD">
              <w:rPr>
                <w:rFonts w:asciiTheme="minorHAnsi" w:hAnsiTheme="minorHAnsi" w:cstheme="minorHAnsi"/>
                <w:sz w:val="20"/>
                <w:szCs w:val="28"/>
              </w:rPr>
              <w:t xml:space="preserve"> </w:t>
            </w:r>
            <w:r w:rsidR="00855DFD" w:rsidRPr="00B03469">
              <w:rPr>
                <w:rFonts w:asciiTheme="minorHAnsi" w:hAnsiTheme="minorHAnsi" w:cstheme="minorHAnsi"/>
                <w:sz w:val="20"/>
                <w:szCs w:val="28"/>
              </w:rPr>
              <w:t>($ thousand)</w:t>
            </w:r>
          </w:p>
        </w:tc>
        <w:tc>
          <w:tcPr>
            <w:tcW w:w="1517" w:type="dxa"/>
          </w:tcPr>
          <w:p w14:paraId="6BE6877F" w14:textId="26A46AD2" w:rsidR="00B03469" w:rsidRPr="00B03469" w:rsidRDefault="00B03469" w:rsidP="00652DE3">
            <w:pPr>
              <w:pStyle w:val="TableColumnHeading"/>
              <w:jc w:val="right"/>
              <w:rPr>
                <w:rFonts w:asciiTheme="minorHAnsi" w:hAnsiTheme="minorHAnsi" w:cstheme="minorHAnsi"/>
                <w:sz w:val="20"/>
                <w:szCs w:val="28"/>
              </w:rPr>
            </w:pPr>
            <w:r w:rsidRPr="00B03469">
              <w:rPr>
                <w:rFonts w:asciiTheme="minorHAnsi" w:hAnsiTheme="minorHAnsi" w:cstheme="minorHAnsi"/>
                <w:spacing w:val="-1"/>
                <w:sz w:val="20"/>
                <w:szCs w:val="28"/>
              </w:rPr>
              <w:t>Training, Higher Education and Workforce Development</w:t>
            </w:r>
            <w:r w:rsidRPr="00614829">
              <w:rPr>
                <w:rStyle w:val="FootnotereferencessuperscriptMisc"/>
                <w:spacing w:val="-1"/>
                <w:sz w:val="20"/>
                <w:szCs w:val="28"/>
              </w:rPr>
              <w:t xml:space="preserve"> (</w:t>
            </w:r>
            <w:proofErr w:type="spellStart"/>
            <w:r w:rsidRPr="00614829">
              <w:rPr>
                <w:rStyle w:val="FootnotereferencessuperscriptMisc"/>
                <w:spacing w:val="-1"/>
                <w:sz w:val="20"/>
                <w:szCs w:val="28"/>
              </w:rPr>
              <w:t>i</w:t>
            </w:r>
            <w:proofErr w:type="spellEnd"/>
            <w:r w:rsidRPr="00614829">
              <w:rPr>
                <w:rStyle w:val="FootnotereferencessuperscriptMisc"/>
                <w:spacing w:val="-1"/>
                <w:sz w:val="20"/>
                <w:szCs w:val="28"/>
              </w:rPr>
              <w:t>)</w:t>
            </w:r>
            <w:r w:rsidRPr="00B03469">
              <w:rPr>
                <w:rFonts w:asciiTheme="minorHAnsi" w:hAnsiTheme="minorHAnsi" w:cstheme="minorHAnsi"/>
                <w:sz w:val="20"/>
                <w:szCs w:val="28"/>
              </w:rPr>
              <w:t xml:space="preserve"> 2022</w:t>
            </w:r>
            <w:r w:rsidR="00855DFD">
              <w:rPr>
                <w:rFonts w:asciiTheme="minorHAnsi" w:hAnsiTheme="minorHAnsi" w:cstheme="minorHAnsi"/>
                <w:sz w:val="20"/>
                <w:szCs w:val="28"/>
              </w:rPr>
              <w:t xml:space="preserve"> </w:t>
            </w:r>
            <w:r w:rsidR="00855DFD" w:rsidRPr="00B03469">
              <w:rPr>
                <w:rFonts w:asciiTheme="minorHAnsi" w:hAnsiTheme="minorHAnsi" w:cstheme="minorHAnsi"/>
                <w:sz w:val="20"/>
                <w:szCs w:val="28"/>
              </w:rPr>
              <w:t>($ thousand)</w:t>
            </w:r>
          </w:p>
        </w:tc>
        <w:tc>
          <w:tcPr>
            <w:tcW w:w="1327" w:type="dxa"/>
          </w:tcPr>
          <w:p w14:paraId="05E9087A" w14:textId="28ED240C" w:rsidR="00B03469" w:rsidRPr="00B03469" w:rsidRDefault="00B03469" w:rsidP="00652DE3">
            <w:pPr>
              <w:pStyle w:val="TableColumnHeading"/>
              <w:jc w:val="right"/>
              <w:rPr>
                <w:rFonts w:asciiTheme="minorHAnsi" w:hAnsiTheme="minorHAnsi" w:cstheme="minorHAnsi"/>
                <w:sz w:val="20"/>
                <w:szCs w:val="28"/>
              </w:rPr>
            </w:pPr>
            <w:r w:rsidRPr="00B03469">
              <w:rPr>
                <w:rFonts w:asciiTheme="minorHAnsi" w:hAnsiTheme="minorHAnsi" w:cstheme="minorHAnsi"/>
                <w:sz w:val="20"/>
                <w:szCs w:val="28"/>
              </w:rPr>
              <w:t>DJSIR Existing and New Outputs Subtotal 2023</w:t>
            </w:r>
            <w:r w:rsidR="00855DFD">
              <w:rPr>
                <w:rFonts w:asciiTheme="minorHAnsi" w:hAnsiTheme="minorHAnsi" w:cstheme="minorHAnsi"/>
                <w:sz w:val="20"/>
                <w:szCs w:val="28"/>
              </w:rPr>
              <w:t xml:space="preserve"> </w:t>
            </w:r>
            <w:r w:rsidR="00855DFD" w:rsidRPr="00B03469">
              <w:rPr>
                <w:rFonts w:asciiTheme="minorHAnsi" w:hAnsiTheme="minorHAnsi" w:cstheme="minorHAnsi"/>
                <w:sz w:val="20"/>
                <w:szCs w:val="28"/>
              </w:rPr>
              <w:t>($ thousand)</w:t>
            </w:r>
          </w:p>
        </w:tc>
        <w:tc>
          <w:tcPr>
            <w:tcW w:w="1327" w:type="dxa"/>
          </w:tcPr>
          <w:p w14:paraId="57F6F52E" w14:textId="32782FA6" w:rsidR="00B03469" w:rsidRPr="00B03469" w:rsidRDefault="00B03469" w:rsidP="00652DE3">
            <w:pPr>
              <w:pStyle w:val="TableColumnHeading"/>
              <w:jc w:val="right"/>
              <w:rPr>
                <w:rFonts w:asciiTheme="minorHAnsi" w:hAnsiTheme="minorHAnsi" w:cstheme="minorHAnsi"/>
                <w:sz w:val="20"/>
                <w:szCs w:val="28"/>
              </w:rPr>
            </w:pPr>
            <w:r w:rsidRPr="00B03469">
              <w:rPr>
                <w:rFonts w:asciiTheme="minorHAnsi" w:hAnsiTheme="minorHAnsi" w:cstheme="minorHAnsi"/>
                <w:sz w:val="20"/>
                <w:szCs w:val="28"/>
              </w:rPr>
              <w:t>DJSIR Existing and New Outputs Subtotal 2022</w:t>
            </w:r>
            <w:r w:rsidR="00855DFD">
              <w:rPr>
                <w:rFonts w:asciiTheme="minorHAnsi" w:hAnsiTheme="minorHAnsi" w:cstheme="minorHAnsi"/>
                <w:sz w:val="20"/>
                <w:szCs w:val="28"/>
              </w:rPr>
              <w:t xml:space="preserve"> </w:t>
            </w:r>
            <w:r w:rsidR="00855DFD" w:rsidRPr="00B03469">
              <w:rPr>
                <w:rFonts w:asciiTheme="minorHAnsi" w:hAnsiTheme="minorHAnsi" w:cstheme="minorHAnsi"/>
                <w:sz w:val="20"/>
                <w:szCs w:val="28"/>
              </w:rPr>
              <w:t>($ thousand)</w:t>
            </w:r>
          </w:p>
        </w:tc>
      </w:tr>
      <w:tr w:rsidR="00B03469" w:rsidRPr="00855DFD" w14:paraId="09A128FF" w14:textId="77777777" w:rsidTr="00855DFD">
        <w:trPr>
          <w:trHeight w:val="113"/>
        </w:trPr>
        <w:tc>
          <w:tcPr>
            <w:tcW w:w="3823" w:type="dxa"/>
          </w:tcPr>
          <w:p w14:paraId="0DDEFAAF" w14:textId="4FC15B18" w:rsidR="00B03469" w:rsidRPr="00855DFD" w:rsidRDefault="00B03469" w:rsidP="00855DFD">
            <w:pPr>
              <w:pStyle w:val="TableHeading"/>
            </w:pPr>
            <w:r w:rsidRPr="00855DFD">
              <w:t>Administered financial assets</w:t>
            </w:r>
          </w:p>
        </w:tc>
        <w:tc>
          <w:tcPr>
            <w:tcW w:w="1326" w:type="dxa"/>
          </w:tcPr>
          <w:p w14:paraId="3E43BDA0" w14:textId="77777777" w:rsidR="00B03469" w:rsidRPr="00855DFD" w:rsidRDefault="00B03469" w:rsidP="00652DE3">
            <w:pPr>
              <w:pStyle w:val="TableHeading"/>
              <w:jc w:val="right"/>
            </w:pPr>
          </w:p>
        </w:tc>
        <w:tc>
          <w:tcPr>
            <w:tcW w:w="1327" w:type="dxa"/>
          </w:tcPr>
          <w:p w14:paraId="47CE89DA" w14:textId="77777777" w:rsidR="00B03469" w:rsidRPr="00855DFD" w:rsidRDefault="00B03469" w:rsidP="00652DE3">
            <w:pPr>
              <w:pStyle w:val="TableHeading"/>
              <w:jc w:val="right"/>
            </w:pPr>
          </w:p>
        </w:tc>
        <w:tc>
          <w:tcPr>
            <w:tcW w:w="1344" w:type="dxa"/>
          </w:tcPr>
          <w:p w14:paraId="4FCF2B00" w14:textId="77777777" w:rsidR="00B03469" w:rsidRPr="00855DFD" w:rsidRDefault="00B03469" w:rsidP="00652DE3">
            <w:pPr>
              <w:pStyle w:val="TableHeading"/>
              <w:jc w:val="right"/>
            </w:pPr>
          </w:p>
        </w:tc>
        <w:tc>
          <w:tcPr>
            <w:tcW w:w="1372" w:type="dxa"/>
          </w:tcPr>
          <w:p w14:paraId="59B1874D" w14:textId="77777777" w:rsidR="00B03469" w:rsidRPr="00855DFD" w:rsidRDefault="00B03469" w:rsidP="00652DE3">
            <w:pPr>
              <w:pStyle w:val="TableHeading"/>
              <w:jc w:val="right"/>
            </w:pPr>
          </w:p>
        </w:tc>
        <w:tc>
          <w:tcPr>
            <w:tcW w:w="1576" w:type="dxa"/>
          </w:tcPr>
          <w:p w14:paraId="0AA068D2" w14:textId="77777777" w:rsidR="00B03469" w:rsidRPr="00855DFD" w:rsidRDefault="00B03469" w:rsidP="00652DE3">
            <w:pPr>
              <w:pStyle w:val="TableHeading"/>
              <w:jc w:val="right"/>
            </w:pPr>
          </w:p>
        </w:tc>
        <w:tc>
          <w:tcPr>
            <w:tcW w:w="1517" w:type="dxa"/>
          </w:tcPr>
          <w:p w14:paraId="46E1FD95" w14:textId="77777777" w:rsidR="00B03469" w:rsidRPr="00855DFD" w:rsidRDefault="00B03469" w:rsidP="00652DE3">
            <w:pPr>
              <w:pStyle w:val="TableHeading"/>
              <w:jc w:val="right"/>
            </w:pPr>
          </w:p>
        </w:tc>
        <w:tc>
          <w:tcPr>
            <w:tcW w:w="1327" w:type="dxa"/>
          </w:tcPr>
          <w:p w14:paraId="66CA06EE" w14:textId="77777777" w:rsidR="00B03469" w:rsidRPr="00855DFD" w:rsidRDefault="00B03469" w:rsidP="00652DE3">
            <w:pPr>
              <w:pStyle w:val="TableHeading"/>
              <w:jc w:val="right"/>
            </w:pPr>
          </w:p>
        </w:tc>
        <w:tc>
          <w:tcPr>
            <w:tcW w:w="1327" w:type="dxa"/>
          </w:tcPr>
          <w:p w14:paraId="6F78D570" w14:textId="77777777" w:rsidR="00B03469" w:rsidRPr="00855DFD" w:rsidRDefault="00B03469" w:rsidP="00652DE3">
            <w:pPr>
              <w:pStyle w:val="TableHeading"/>
              <w:jc w:val="right"/>
            </w:pPr>
          </w:p>
        </w:tc>
      </w:tr>
      <w:tr w:rsidR="00B03469" w14:paraId="560CD3C8" w14:textId="77777777" w:rsidTr="00855DFD">
        <w:trPr>
          <w:trHeight w:val="113"/>
        </w:trPr>
        <w:tc>
          <w:tcPr>
            <w:tcW w:w="3823" w:type="dxa"/>
          </w:tcPr>
          <w:p w14:paraId="06AE6321" w14:textId="4AA98D46" w:rsidR="00B03469" w:rsidRDefault="00B03469" w:rsidP="00855DFD">
            <w:pPr>
              <w:pStyle w:val="TableCopy"/>
            </w:pPr>
            <w:r>
              <w:t>Cash and receivables</w:t>
            </w:r>
          </w:p>
        </w:tc>
        <w:tc>
          <w:tcPr>
            <w:tcW w:w="1326" w:type="dxa"/>
          </w:tcPr>
          <w:p w14:paraId="6B1DAE12" w14:textId="77777777" w:rsidR="00B03469" w:rsidRDefault="00B03469" w:rsidP="00652DE3">
            <w:pPr>
              <w:pStyle w:val="TableCopy"/>
              <w:jc w:val="right"/>
            </w:pPr>
            <w:r>
              <w:t>(7,272)</w:t>
            </w:r>
          </w:p>
        </w:tc>
        <w:tc>
          <w:tcPr>
            <w:tcW w:w="1327" w:type="dxa"/>
          </w:tcPr>
          <w:p w14:paraId="6CABD482" w14:textId="77777777" w:rsidR="00B03469" w:rsidRDefault="00B03469" w:rsidP="00652DE3">
            <w:pPr>
              <w:pStyle w:val="TableCopy"/>
              <w:jc w:val="right"/>
            </w:pPr>
            <w:r>
              <w:t>(2,686)</w:t>
            </w:r>
          </w:p>
        </w:tc>
        <w:tc>
          <w:tcPr>
            <w:tcW w:w="1344" w:type="dxa"/>
          </w:tcPr>
          <w:p w14:paraId="2123C186" w14:textId="76F3DA92" w:rsidR="00B03469" w:rsidRDefault="00B03469" w:rsidP="00652DE3">
            <w:pPr>
              <w:pStyle w:val="TableCopy"/>
              <w:jc w:val="right"/>
            </w:pPr>
            <w:r>
              <w:t>20</w:t>
            </w:r>
          </w:p>
        </w:tc>
        <w:tc>
          <w:tcPr>
            <w:tcW w:w="1372" w:type="dxa"/>
          </w:tcPr>
          <w:p w14:paraId="73C3EA53" w14:textId="34A4A4E5" w:rsidR="00B03469" w:rsidRDefault="00B03469" w:rsidP="00652DE3">
            <w:pPr>
              <w:pStyle w:val="TableCopy"/>
              <w:jc w:val="right"/>
            </w:pPr>
            <w:r>
              <w:t>–</w:t>
            </w:r>
          </w:p>
        </w:tc>
        <w:tc>
          <w:tcPr>
            <w:tcW w:w="1576" w:type="dxa"/>
          </w:tcPr>
          <w:p w14:paraId="3E015848" w14:textId="2B56C2DA" w:rsidR="00B03469" w:rsidRDefault="00B03469" w:rsidP="00652DE3">
            <w:pPr>
              <w:pStyle w:val="TableCopy"/>
              <w:jc w:val="right"/>
            </w:pPr>
            <w:r>
              <w:t>712</w:t>
            </w:r>
          </w:p>
        </w:tc>
        <w:tc>
          <w:tcPr>
            <w:tcW w:w="1517" w:type="dxa"/>
          </w:tcPr>
          <w:p w14:paraId="54A48BCF" w14:textId="0EF88A95" w:rsidR="00B03469" w:rsidRDefault="00B03469" w:rsidP="00652DE3">
            <w:pPr>
              <w:pStyle w:val="TableCopy"/>
              <w:jc w:val="right"/>
            </w:pPr>
            <w:r>
              <w:t>–</w:t>
            </w:r>
          </w:p>
        </w:tc>
        <w:tc>
          <w:tcPr>
            <w:tcW w:w="1327" w:type="dxa"/>
          </w:tcPr>
          <w:p w14:paraId="4794733E" w14:textId="6FE93118" w:rsidR="00B03469" w:rsidRDefault="00B03469" w:rsidP="00652DE3">
            <w:pPr>
              <w:pStyle w:val="TableCopy"/>
              <w:jc w:val="right"/>
            </w:pPr>
            <w:r>
              <w:t>1,359</w:t>
            </w:r>
          </w:p>
        </w:tc>
        <w:tc>
          <w:tcPr>
            <w:tcW w:w="1327" w:type="dxa"/>
          </w:tcPr>
          <w:p w14:paraId="2515F2B5" w14:textId="600D640C" w:rsidR="00B03469" w:rsidRDefault="00B03469" w:rsidP="00652DE3">
            <w:pPr>
              <w:pStyle w:val="TableCopy"/>
              <w:jc w:val="right"/>
            </w:pPr>
            <w:r>
              <w:t>9,611</w:t>
            </w:r>
          </w:p>
        </w:tc>
      </w:tr>
      <w:tr w:rsidR="00B03469" w14:paraId="5E600A94" w14:textId="77777777" w:rsidTr="00855DFD">
        <w:trPr>
          <w:trHeight w:val="113"/>
        </w:trPr>
        <w:tc>
          <w:tcPr>
            <w:tcW w:w="3823" w:type="dxa"/>
          </w:tcPr>
          <w:p w14:paraId="45258B2E" w14:textId="134E7A8A" w:rsidR="00B03469" w:rsidRDefault="00B03469" w:rsidP="00855DFD">
            <w:pPr>
              <w:pStyle w:val="TableCopy"/>
            </w:pPr>
            <w:r>
              <w:t>Trust funds</w:t>
            </w:r>
          </w:p>
        </w:tc>
        <w:tc>
          <w:tcPr>
            <w:tcW w:w="1326" w:type="dxa"/>
          </w:tcPr>
          <w:p w14:paraId="4C59304A" w14:textId="7CC403C9" w:rsidR="00B03469" w:rsidRDefault="00B03469" w:rsidP="00652DE3">
            <w:pPr>
              <w:pStyle w:val="TableCopy"/>
              <w:jc w:val="right"/>
            </w:pPr>
            <w:r>
              <w:t>101</w:t>
            </w:r>
          </w:p>
        </w:tc>
        <w:tc>
          <w:tcPr>
            <w:tcW w:w="1327" w:type="dxa"/>
          </w:tcPr>
          <w:p w14:paraId="149E52CA" w14:textId="49AD9812" w:rsidR="00B03469" w:rsidRDefault="00B03469" w:rsidP="00652DE3">
            <w:pPr>
              <w:pStyle w:val="TableCopy"/>
              <w:jc w:val="right"/>
            </w:pPr>
            <w:r>
              <w:t>–</w:t>
            </w:r>
          </w:p>
        </w:tc>
        <w:tc>
          <w:tcPr>
            <w:tcW w:w="1344" w:type="dxa"/>
          </w:tcPr>
          <w:p w14:paraId="1B752378" w14:textId="2AD69A59" w:rsidR="00B03469" w:rsidRDefault="00B03469" w:rsidP="00652DE3">
            <w:pPr>
              <w:pStyle w:val="TableCopy"/>
              <w:jc w:val="right"/>
            </w:pPr>
            <w:r>
              <w:t>–</w:t>
            </w:r>
          </w:p>
        </w:tc>
        <w:tc>
          <w:tcPr>
            <w:tcW w:w="1372" w:type="dxa"/>
          </w:tcPr>
          <w:p w14:paraId="77DE617F" w14:textId="4E60A9BC" w:rsidR="00B03469" w:rsidRDefault="00B03469" w:rsidP="00652DE3">
            <w:pPr>
              <w:pStyle w:val="TableCopy"/>
              <w:jc w:val="right"/>
            </w:pPr>
            <w:r>
              <w:t>–</w:t>
            </w:r>
          </w:p>
        </w:tc>
        <w:tc>
          <w:tcPr>
            <w:tcW w:w="1576" w:type="dxa"/>
          </w:tcPr>
          <w:p w14:paraId="294F3A1A" w14:textId="6D5C6C8F" w:rsidR="00B03469" w:rsidRDefault="00B03469" w:rsidP="00652DE3">
            <w:pPr>
              <w:pStyle w:val="TableCopy"/>
              <w:jc w:val="right"/>
            </w:pPr>
            <w:r>
              <w:t>1</w:t>
            </w:r>
          </w:p>
        </w:tc>
        <w:tc>
          <w:tcPr>
            <w:tcW w:w="1517" w:type="dxa"/>
          </w:tcPr>
          <w:p w14:paraId="5F74BFC0" w14:textId="3BD45E5A" w:rsidR="00B03469" w:rsidRDefault="00B03469" w:rsidP="00652DE3">
            <w:pPr>
              <w:pStyle w:val="TableCopy"/>
              <w:jc w:val="right"/>
            </w:pPr>
            <w:r>
              <w:t>–</w:t>
            </w:r>
          </w:p>
        </w:tc>
        <w:tc>
          <w:tcPr>
            <w:tcW w:w="1327" w:type="dxa"/>
          </w:tcPr>
          <w:p w14:paraId="1CED0D75" w14:textId="77777777" w:rsidR="00B03469" w:rsidRDefault="00B03469" w:rsidP="00652DE3">
            <w:pPr>
              <w:pStyle w:val="TableCopy"/>
              <w:jc w:val="right"/>
            </w:pPr>
            <w:r>
              <w:t>(319)</w:t>
            </w:r>
          </w:p>
        </w:tc>
        <w:tc>
          <w:tcPr>
            <w:tcW w:w="1327" w:type="dxa"/>
          </w:tcPr>
          <w:p w14:paraId="4D29F9C6" w14:textId="5D347F01" w:rsidR="00B03469" w:rsidRDefault="00B03469" w:rsidP="00652DE3">
            <w:pPr>
              <w:pStyle w:val="TableCopy"/>
              <w:jc w:val="right"/>
            </w:pPr>
            <w:r>
              <w:t>114</w:t>
            </w:r>
          </w:p>
        </w:tc>
      </w:tr>
      <w:tr w:rsidR="00B03469" w14:paraId="714969AC" w14:textId="77777777" w:rsidTr="00855DFD">
        <w:trPr>
          <w:trHeight w:val="113"/>
        </w:trPr>
        <w:tc>
          <w:tcPr>
            <w:tcW w:w="3823" w:type="dxa"/>
          </w:tcPr>
          <w:p w14:paraId="2582ADF4" w14:textId="77777777" w:rsidR="00B03469" w:rsidRDefault="00B03469" w:rsidP="00855DFD">
            <w:pPr>
              <w:pStyle w:val="TableCopy"/>
            </w:pPr>
            <w:r>
              <w:t>Loans</w:t>
            </w:r>
          </w:p>
        </w:tc>
        <w:tc>
          <w:tcPr>
            <w:tcW w:w="1326" w:type="dxa"/>
          </w:tcPr>
          <w:p w14:paraId="2158297B" w14:textId="41F9412C" w:rsidR="00B03469" w:rsidRDefault="00B03469" w:rsidP="00652DE3">
            <w:pPr>
              <w:pStyle w:val="TableCopy"/>
              <w:jc w:val="right"/>
            </w:pPr>
            <w:r>
              <w:t>161,448</w:t>
            </w:r>
          </w:p>
        </w:tc>
        <w:tc>
          <w:tcPr>
            <w:tcW w:w="1327" w:type="dxa"/>
          </w:tcPr>
          <w:p w14:paraId="4E3C243B" w14:textId="12461FD6" w:rsidR="00B03469" w:rsidRDefault="00B03469" w:rsidP="00652DE3">
            <w:pPr>
              <w:pStyle w:val="TableCopy"/>
              <w:jc w:val="right"/>
            </w:pPr>
            <w:r>
              <w:t>156,077</w:t>
            </w:r>
          </w:p>
        </w:tc>
        <w:tc>
          <w:tcPr>
            <w:tcW w:w="1344" w:type="dxa"/>
          </w:tcPr>
          <w:p w14:paraId="5B8EEEA4" w14:textId="1431F642" w:rsidR="00B03469" w:rsidRDefault="00B03469" w:rsidP="00652DE3">
            <w:pPr>
              <w:pStyle w:val="TableCopy"/>
              <w:jc w:val="right"/>
            </w:pPr>
            <w:r>
              <w:t>–</w:t>
            </w:r>
          </w:p>
        </w:tc>
        <w:tc>
          <w:tcPr>
            <w:tcW w:w="1372" w:type="dxa"/>
          </w:tcPr>
          <w:p w14:paraId="1565F627" w14:textId="251ECC2D" w:rsidR="00B03469" w:rsidRDefault="00B03469" w:rsidP="00652DE3">
            <w:pPr>
              <w:pStyle w:val="TableCopy"/>
              <w:jc w:val="right"/>
            </w:pPr>
            <w:r>
              <w:t>–</w:t>
            </w:r>
          </w:p>
        </w:tc>
        <w:tc>
          <w:tcPr>
            <w:tcW w:w="1576" w:type="dxa"/>
          </w:tcPr>
          <w:p w14:paraId="03A0F137" w14:textId="6F4A4A15" w:rsidR="00B03469" w:rsidRDefault="00B03469" w:rsidP="00652DE3">
            <w:pPr>
              <w:pStyle w:val="TableCopy"/>
              <w:jc w:val="right"/>
            </w:pPr>
            <w:r>
              <w:t>–</w:t>
            </w:r>
          </w:p>
        </w:tc>
        <w:tc>
          <w:tcPr>
            <w:tcW w:w="1517" w:type="dxa"/>
          </w:tcPr>
          <w:p w14:paraId="5052838D" w14:textId="42620C06" w:rsidR="00B03469" w:rsidRDefault="00B03469" w:rsidP="00652DE3">
            <w:pPr>
              <w:pStyle w:val="TableCopy"/>
              <w:jc w:val="right"/>
            </w:pPr>
            <w:r>
              <w:t>–</w:t>
            </w:r>
          </w:p>
        </w:tc>
        <w:tc>
          <w:tcPr>
            <w:tcW w:w="1327" w:type="dxa"/>
          </w:tcPr>
          <w:p w14:paraId="088D9763" w14:textId="46742024" w:rsidR="00B03469" w:rsidRDefault="00B03469" w:rsidP="00652DE3">
            <w:pPr>
              <w:pStyle w:val="TableCopy"/>
              <w:jc w:val="right"/>
            </w:pPr>
            <w:r>
              <w:t>207,849</w:t>
            </w:r>
          </w:p>
        </w:tc>
        <w:tc>
          <w:tcPr>
            <w:tcW w:w="1327" w:type="dxa"/>
          </w:tcPr>
          <w:p w14:paraId="3AF5584E" w14:textId="7001D65F" w:rsidR="00B03469" w:rsidRDefault="00B03469" w:rsidP="00652DE3">
            <w:pPr>
              <w:pStyle w:val="TableCopy"/>
              <w:jc w:val="right"/>
            </w:pPr>
            <w:r>
              <w:t>206,077</w:t>
            </w:r>
          </w:p>
        </w:tc>
      </w:tr>
      <w:tr w:rsidR="00B03469" w:rsidRPr="00855DFD" w14:paraId="31C25896" w14:textId="77777777" w:rsidTr="00855DFD">
        <w:trPr>
          <w:trHeight w:val="113"/>
        </w:trPr>
        <w:tc>
          <w:tcPr>
            <w:tcW w:w="3823" w:type="dxa"/>
          </w:tcPr>
          <w:p w14:paraId="2867D450" w14:textId="72A48621" w:rsidR="00B03469" w:rsidRPr="00855DFD" w:rsidRDefault="00B03469" w:rsidP="00855DFD">
            <w:pPr>
              <w:pStyle w:val="TableCopy"/>
              <w:rPr>
                <w:b/>
                <w:bCs/>
              </w:rPr>
            </w:pPr>
            <w:r w:rsidRPr="00855DFD">
              <w:rPr>
                <w:b/>
                <w:bCs/>
              </w:rPr>
              <w:t>Total administered financial assets</w:t>
            </w:r>
          </w:p>
        </w:tc>
        <w:tc>
          <w:tcPr>
            <w:tcW w:w="1326" w:type="dxa"/>
          </w:tcPr>
          <w:p w14:paraId="3248B909" w14:textId="1189FDCA" w:rsidR="00B03469" w:rsidRPr="00855DFD" w:rsidRDefault="00B03469" w:rsidP="00652DE3">
            <w:pPr>
              <w:pStyle w:val="TableCopy"/>
              <w:jc w:val="right"/>
              <w:rPr>
                <w:b/>
                <w:bCs/>
              </w:rPr>
            </w:pPr>
            <w:r w:rsidRPr="00855DFD">
              <w:rPr>
                <w:b/>
                <w:bCs/>
              </w:rPr>
              <w:t>154,277</w:t>
            </w:r>
          </w:p>
        </w:tc>
        <w:tc>
          <w:tcPr>
            <w:tcW w:w="1327" w:type="dxa"/>
          </w:tcPr>
          <w:p w14:paraId="2AEF5C0C" w14:textId="75D9EAD9" w:rsidR="00B03469" w:rsidRPr="00855DFD" w:rsidRDefault="00B03469" w:rsidP="00652DE3">
            <w:pPr>
              <w:pStyle w:val="TableCopy"/>
              <w:jc w:val="right"/>
              <w:rPr>
                <w:b/>
                <w:bCs/>
              </w:rPr>
            </w:pPr>
            <w:r w:rsidRPr="00855DFD">
              <w:rPr>
                <w:b/>
                <w:bCs/>
              </w:rPr>
              <w:t>153,391</w:t>
            </w:r>
          </w:p>
        </w:tc>
        <w:tc>
          <w:tcPr>
            <w:tcW w:w="1344" w:type="dxa"/>
          </w:tcPr>
          <w:p w14:paraId="2A455E77" w14:textId="44137713" w:rsidR="00B03469" w:rsidRPr="00855DFD" w:rsidRDefault="00B03469" w:rsidP="00652DE3">
            <w:pPr>
              <w:pStyle w:val="TableCopy"/>
              <w:jc w:val="right"/>
              <w:rPr>
                <w:b/>
                <w:bCs/>
              </w:rPr>
            </w:pPr>
            <w:r w:rsidRPr="00855DFD">
              <w:rPr>
                <w:b/>
                <w:bCs/>
              </w:rPr>
              <w:t>20</w:t>
            </w:r>
          </w:p>
        </w:tc>
        <w:tc>
          <w:tcPr>
            <w:tcW w:w="1372" w:type="dxa"/>
          </w:tcPr>
          <w:p w14:paraId="4245B380" w14:textId="6001DCF8" w:rsidR="00B03469" w:rsidRPr="00855DFD" w:rsidRDefault="00B03469" w:rsidP="00652DE3">
            <w:pPr>
              <w:pStyle w:val="TableCopy"/>
              <w:jc w:val="right"/>
              <w:rPr>
                <w:b/>
                <w:bCs/>
              </w:rPr>
            </w:pPr>
            <w:r w:rsidRPr="00855DFD">
              <w:rPr>
                <w:b/>
                <w:bCs/>
              </w:rPr>
              <w:t>–</w:t>
            </w:r>
          </w:p>
        </w:tc>
        <w:tc>
          <w:tcPr>
            <w:tcW w:w="1576" w:type="dxa"/>
          </w:tcPr>
          <w:p w14:paraId="07041F27" w14:textId="4286FF5E" w:rsidR="00B03469" w:rsidRPr="00855DFD" w:rsidRDefault="00B03469" w:rsidP="00652DE3">
            <w:pPr>
              <w:pStyle w:val="TableCopy"/>
              <w:jc w:val="right"/>
              <w:rPr>
                <w:b/>
                <w:bCs/>
              </w:rPr>
            </w:pPr>
            <w:r w:rsidRPr="00855DFD">
              <w:rPr>
                <w:b/>
                <w:bCs/>
              </w:rPr>
              <w:t>713</w:t>
            </w:r>
          </w:p>
        </w:tc>
        <w:tc>
          <w:tcPr>
            <w:tcW w:w="1517" w:type="dxa"/>
          </w:tcPr>
          <w:p w14:paraId="442BD2FD" w14:textId="1BE49801" w:rsidR="00B03469" w:rsidRPr="00855DFD" w:rsidRDefault="00B03469" w:rsidP="00652DE3">
            <w:pPr>
              <w:pStyle w:val="TableCopy"/>
              <w:jc w:val="right"/>
              <w:rPr>
                <w:b/>
                <w:bCs/>
              </w:rPr>
            </w:pPr>
            <w:r w:rsidRPr="00855DFD">
              <w:rPr>
                <w:b/>
                <w:bCs/>
              </w:rPr>
              <w:t>–</w:t>
            </w:r>
          </w:p>
        </w:tc>
        <w:tc>
          <w:tcPr>
            <w:tcW w:w="1327" w:type="dxa"/>
          </w:tcPr>
          <w:p w14:paraId="604A1A1C" w14:textId="2BA82D0A" w:rsidR="00B03469" w:rsidRPr="00855DFD" w:rsidRDefault="00B03469" w:rsidP="00652DE3">
            <w:pPr>
              <w:pStyle w:val="TableCopy"/>
              <w:jc w:val="right"/>
              <w:rPr>
                <w:b/>
                <w:bCs/>
              </w:rPr>
            </w:pPr>
            <w:r w:rsidRPr="00855DFD">
              <w:rPr>
                <w:b/>
                <w:bCs/>
              </w:rPr>
              <w:t>208,890</w:t>
            </w:r>
          </w:p>
        </w:tc>
        <w:tc>
          <w:tcPr>
            <w:tcW w:w="1327" w:type="dxa"/>
          </w:tcPr>
          <w:p w14:paraId="15D89B16" w14:textId="6DD4A7D4" w:rsidR="00B03469" w:rsidRPr="00855DFD" w:rsidRDefault="00B03469" w:rsidP="00652DE3">
            <w:pPr>
              <w:pStyle w:val="TableCopy"/>
              <w:jc w:val="right"/>
              <w:rPr>
                <w:b/>
                <w:bCs/>
              </w:rPr>
            </w:pPr>
            <w:r w:rsidRPr="00855DFD">
              <w:rPr>
                <w:b/>
                <w:bCs/>
              </w:rPr>
              <w:t>215,802</w:t>
            </w:r>
          </w:p>
        </w:tc>
      </w:tr>
      <w:tr w:rsidR="00B03469" w:rsidRPr="00855DFD" w14:paraId="7E0620BF" w14:textId="77777777" w:rsidTr="00855DFD">
        <w:trPr>
          <w:trHeight w:val="113"/>
        </w:trPr>
        <w:tc>
          <w:tcPr>
            <w:tcW w:w="3823" w:type="dxa"/>
          </w:tcPr>
          <w:p w14:paraId="155B88BB" w14:textId="5050932C" w:rsidR="00B03469" w:rsidRPr="00855DFD" w:rsidRDefault="00B03469" w:rsidP="00855DFD">
            <w:pPr>
              <w:pStyle w:val="TableHeading"/>
            </w:pPr>
            <w:r w:rsidRPr="00855DFD">
              <w:t>Administered liabilities</w:t>
            </w:r>
          </w:p>
        </w:tc>
        <w:tc>
          <w:tcPr>
            <w:tcW w:w="1326" w:type="dxa"/>
          </w:tcPr>
          <w:p w14:paraId="73993317" w14:textId="77777777" w:rsidR="00B03469" w:rsidRPr="00855DFD" w:rsidRDefault="00B03469" w:rsidP="00652DE3">
            <w:pPr>
              <w:pStyle w:val="TableHeading"/>
              <w:jc w:val="right"/>
            </w:pPr>
          </w:p>
        </w:tc>
        <w:tc>
          <w:tcPr>
            <w:tcW w:w="1327" w:type="dxa"/>
          </w:tcPr>
          <w:p w14:paraId="5749EC4B" w14:textId="77777777" w:rsidR="00B03469" w:rsidRPr="00855DFD" w:rsidRDefault="00B03469" w:rsidP="00652DE3">
            <w:pPr>
              <w:pStyle w:val="TableHeading"/>
              <w:jc w:val="right"/>
            </w:pPr>
          </w:p>
        </w:tc>
        <w:tc>
          <w:tcPr>
            <w:tcW w:w="1344" w:type="dxa"/>
          </w:tcPr>
          <w:p w14:paraId="3A2F9A3F" w14:textId="77777777" w:rsidR="00B03469" w:rsidRPr="00855DFD" w:rsidRDefault="00B03469" w:rsidP="00652DE3">
            <w:pPr>
              <w:pStyle w:val="TableHeading"/>
              <w:jc w:val="right"/>
            </w:pPr>
          </w:p>
        </w:tc>
        <w:tc>
          <w:tcPr>
            <w:tcW w:w="1372" w:type="dxa"/>
          </w:tcPr>
          <w:p w14:paraId="4F3D3349" w14:textId="77777777" w:rsidR="00B03469" w:rsidRPr="00855DFD" w:rsidRDefault="00B03469" w:rsidP="00652DE3">
            <w:pPr>
              <w:pStyle w:val="TableHeading"/>
              <w:jc w:val="right"/>
            </w:pPr>
          </w:p>
        </w:tc>
        <w:tc>
          <w:tcPr>
            <w:tcW w:w="1576" w:type="dxa"/>
          </w:tcPr>
          <w:p w14:paraId="79E54D89" w14:textId="77777777" w:rsidR="00B03469" w:rsidRPr="00855DFD" w:rsidRDefault="00B03469" w:rsidP="00652DE3">
            <w:pPr>
              <w:pStyle w:val="TableHeading"/>
              <w:jc w:val="right"/>
            </w:pPr>
          </w:p>
        </w:tc>
        <w:tc>
          <w:tcPr>
            <w:tcW w:w="1517" w:type="dxa"/>
          </w:tcPr>
          <w:p w14:paraId="6CDC6EB0" w14:textId="77777777" w:rsidR="00B03469" w:rsidRPr="00855DFD" w:rsidRDefault="00B03469" w:rsidP="00652DE3">
            <w:pPr>
              <w:pStyle w:val="TableHeading"/>
              <w:jc w:val="right"/>
            </w:pPr>
          </w:p>
        </w:tc>
        <w:tc>
          <w:tcPr>
            <w:tcW w:w="1327" w:type="dxa"/>
          </w:tcPr>
          <w:p w14:paraId="5F8F41C2" w14:textId="77777777" w:rsidR="00B03469" w:rsidRPr="00855DFD" w:rsidRDefault="00B03469" w:rsidP="00652DE3">
            <w:pPr>
              <w:pStyle w:val="TableHeading"/>
              <w:jc w:val="right"/>
            </w:pPr>
          </w:p>
        </w:tc>
        <w:tc>
          <w:tcPr>
            <w:tcW w:w="1327" w:type="dxa"/>
          </w:tcPr>
          <w:p w14:paraId="15DA9801" w14:textId="77777777" w:rsidR="00B03469" w:rsidRPr="00855DFD" w:rsidRDefault="00B03469" w:rsidP="00652DE3">
            <w:pPr>
              <w:pStyle w:val="TableHeading"/>
              <w:jc w:val="right"/>
            </w:pPr>
          </w:p>
        </w:tc>
      </w:tr>
      <w:tr w:rsidR="00B03469" w14:paraId="0D061418" w14:textId="77777777" w:rsidTr="00855DFD">
        <w:trPr>
          <w:trHeight w:val="113"/>
        </w:trPr>
        <w:tc>
          <w:tcPr>
            <w:tcW w:w="3823" w:type="dxa"/>
          </w:tcPr>
          <w:p w14:paraId="4C233D0B" w14:textId="33E6E38A" w:rsidR="00B03469" w:rsidRDefault="00B03469" w:rsidP="00855DFD">
            <w:pPr>
              <w:pStyle w:val="TableCopy"/>
            </w:pPr>
            <w:r>
              <w:t>Creditors and accruals</w:t>
            </w:r>
          </w:p>
        </w:tc>
        <w:tc>
          <w:tcPr>
            <w:tcW w:w="1326" w:type="dxa"/>
          </w:tcPr>
          <w:p w14:paraId="7EE999FF" w14:textId="12376FFF" w:rsidR="00B03469" w:rsidRDefault="00B03469" w:rsidP="00652DE3">
            <w:pPr>
              <w:pStyle w:val="TableCopy"/>
              <w:jc w:val="right"/>
            </w:pPr>
            <w:r>
              <w:t>25,168</w:t>
            </w:r>
          </w:p>
        </w:tc>
        <w:tc>
          <w:tcPr>
            <w:tcW w:w="1327" w:type="dxa"/>
          </w:tcPr>
          <w:p w14:paraId="62C5C505" w14:textId="73D04667" w:rsidR="00B03469" w:rsidRDefault="00B03469" w:rsidP="00652DE3">
            <w:pPr>
              <w:pStyle w:val="TableCopy"/>
              <w:jc w:val="right"/>
            </w:pPr>
            <w:r>
              <w:t>23,337</w:t>
            </w:r>
          </w:p>
        </w:tc>
        <w:tc>
          <w:tcPr>
            <w:tcW w:w="1344" w:type="dxa"/>
          </w:tcPr>
          <w:p w14:paraId="0000AFA3" w14:textId="1829C32C" w:rsidR="00B03469" w:rsidRDefault="00B03469" w:rsidP="00652DE3">
            <w:pPr>
              <w:pStyle w:val="TableCopy"/>
              <w:jc w:val="right"/>
            </w:pPr>
            <w:r>
              <w:t>2</w:t>
            </w:r>
          </w:p>
        </w:tc>
        <w:tc>
          <w:tcPr>
            <w:tcW w:w="1372" w:type="dxa"/>
          </w:tcPr>
          <w:p w14:paraId="355EAC59" w14:textId="1CE0AE0E" w:rsidR="00B03469" w:rsidRDefault="00B03469" w:rsidP="00652DE3">
            <w:pPr>
              <w:pStyle w:val="TableCopy"/>
              <w:jc w:val="right"/>
            </w:pPr>
            <w:r>
              <w:t>–</w:t>
            </w:r>
          </w:p>
        </w:tc>
        <w:tc>
          <w:tcPr>
            <w:tcW w:w="1576" w:type="dxa"/>
          </w:tcPr>
          <w:p w14:paraId="0C06ABA7" w14:textId="728203E8" w:rsidR="00B03469" w:rsidRDefault="00B03469" w:rsidP="00652DE3">
            <w:pPr>
              <w:pStyle w:val="TableCopy"/>
              <w:jc w:val="right"/>
            </w:pPr>
            <w:r>
              <w:t>67</w:t>
            </w:r>
          </w:p>
        </w:tc>
        <w:tc>
          <w:tcPr>
            <w:tcW w:w="1517" w:type="dxa"/>
          </w:tcPr>
          <w:p w14:paraId="76F3D458" w14:textId="343051F8" w:rsidR="00B03469" w:rsidRDefault="00B03469" w:rsidP="00652DE3">
            <w:pPr>
              <w:pStyle w:val="TableCopy"/>
              <w:jc w:val="right"/>
            </w:pPr>
            <w:r>
              <w:t>–</w:t>
            </w:r>
          </w:p>
        </w:tc>
        <w:tc>
          <w:tcPr>
            <w:tcW w:w="1327" w:type="dxa"/>
          </w:tcPr>
          <w:p w14:paraId="03263A65" w14:textId="3CC56C10" w:rsidR="00B03469" w:rsidRDefault="00B03469" w:rsidP="00652DE3">
            <w:pPr>
              <w:pStyle w:val="TableCopy"/>
              <w:jc w:val="right"/>
            </w:pPr>
            <w:r>
              <w:t>25,231</w:t>
            </w:r>
          </w:p>
        </w:tc>
        <w:tc>
          <w:tcPr>
            <w:tcW w:w="1327" w:type="dxa"/>
          </w:tcPr>
          <w:p w14:paraId="6C9AE312" w14:textId="7CCF8666" w:rsidR="00B03469" w:rsidRDefault="00B03469" w:rsidP="00652DE3">
            <w:pPr>
              <w:pStyle w:val="TableCopy"/>
              <w:jc w:val="right"/>
            </w:pPr>
            <w:r>
              <w:t>23,232</w:t>
            </w:r>
          </w:p>
        </w:tc>
      </w:tr>
      <w:tr w:rsidR="00B03469" w14:paraId="3AF435D4" w14:textId="77777777" w:rsidTr="00855DFD">
        <w:trPr>
          <w:trHeight w:val="333"/>
        </w:trPr>
        <w:tc>
          <w:tcPr>
            <w:tcW w:w="3823" w:type="dxa"/>
          </w:tcPr>
          <w:p w14:paraId="3D3D8C26" w14:textId="42E503F2" w:rsidR="00B03469" w:rsidRDefault="00B03469" w:rsidP="00855DFD">
            <w:pPr>
              <w:pStyle w:val="TableCopy"/>
            </w:pPr>
            <w:r>
              <w:t>Unearned income</w:t>
            </w:r>
          </w:p>
        </w:tc>
        <w:tc>
          <w:tcPr>
            <w:tcW w:w="1326" w:type="dxa"/>
          </w:tcPr>
          <w:p w14:paraId="7D3666D1" w14:textId="406404D2" w:rsidR="00B03469" w:rsidRDefault="00B03469" w:rsidP="00652DE3">
            <w:pPr>
              <w:pStyle w:val="TableCopy"/>
              <w:jc w:val="right"/>
            </w:pPr>
            <w:r>
              <w:t>51,039</w:t>
            </w:r>
          </w:p>
        </w:tc>
        <w:tc>
          <w:tcPr>
            <w:tcW w:w="1327" w:type="dxa"/>
          </w:tcPr>
          <w:p w14:paraId="2B13580A" w14:textId="5819B93D" w:rsidR="00B03469" w:rsidRDefault="00B03469" w:rsidP="00652DE3">
            <w:pPr>
              <w:pStyle w:val="TableCopy"/>
              <w:jc w:val="right"/>
            </w:pPr>
            <w:r>
              <w:t>55,226</w:t>
            </w:r>
          </w:p>
        </w:tc>
        <w:tc>
          <w:tcPr>
            <w:tcW w:w="1344" w:type="dxa"/>
          </w:tcPr>
          <w:p w14:paraId="4DF09776" w14:textId="69A75496" w:rsidR="00B03469" w:rsidRDefault="00B03469" w:rsidP="00652DE3">
            <w:pPr>
              <w:pStyle w:val="TableCopy"/>
              <w:jc w:val="right"/>
            </w:pPr>
            <w:r>
              <w:t>–</w:t>
            </w:r>
          </w:p>
        </w:tc>
        <w:tc>
          <w:tcPr>
            <w:tcW w:w="1372" w:type="dxa"/>
          </w:tcPr>
          <w:p w14:paraId="21EF783D" w14:textId="64A8830A" w:rsidR="00B03469" w:rsidRDefault="00B03469" w:rsidP="00652DE3">
            <w:pPr>
              <w:pStyle w:val="TableCopy"/>
              <w:jc w:val="right"/>
            </w:pPr>
            <w:r>
              <w:t>–</w:t>
            </w:r>
          </w:p>
        </w:tc>
        <w:tc>
          <w:tcPr>
            <w:tcW w:w="1576" w:type="dxa"/>
          </w:tcPr>
          <w:p w14:paraId="7AE484FD" w14:textId="43D2671B" w:rsidR="00B03469" w:rsidRDefault="00B03469" w:rsidP="00652DE3">
            <w:pPr>
              <w:pStyle w:val="TableCopy"/>
              <w:jc w:val="right"/>
            </w:pPr>
            <w:r>
              <w:t>–</w:t>
            </w:r>
          </w:p>
        </w:tc>
        <w:tc>
          <w:tcPr>
            <w:tcW w:w="1517" w:type="dxa"/>
          </w:tcPr>
          <w:p w14:paraId="2BCECD08" w14:textId="5FE114DB" w:rsidR="00B03469" w:rsidRDefault="00B03469" w:rsidP="00652DE3">
            <w:pPr>
              <w:pStyle w:val="TableCopy"/>
              <w:jc w:val="right"/>
            </w:pPr>
            <w:r>
              <w:t>–</w:t>
            </w:r>
          </w:p>
        </w:tc>
        <w:tc>
          <w:tcPr>
            <w:tcW w:w="1327" w:type="dxa"/>
          </w:tcPr>
          <w:p w14:paraId="379C6DC5" w14:textId="58EA092C" w:rsidR="00B03469" w:rsidRDefault="00B03469" w:rsidP="00652DE3">
            <w:pPr>
              <w:pStyle w:val="TableCopy"/>
              <w:jc w:val="right"/>
            </w:pPr>
            <w:r>
              <w:t>51,039</w:t>
            </w:r>
          </w:p>
        </w:tc>
        <w:tc>
          <w:tcPr>
            <w:tcW w:w="1327" w:type="dxa"/>
          </w:tcPr>
          <w:p w14:paraId="072BEB72" w14:textId="256EC13E" w:rsidR="00B03469" w:rsidRDefault="00B03469" w:rsidP="00652DE3">
            <w:pPr>
              <w:pStyle w:val="TableCopy"/>
              <w:jc w:val="right"/>
            </w:pPr>
            <w:r>
              <w:t>55,226</w:t>
            </w:r>
          </w:p>
        </w:tc>
      </w:tr>
      <w:tr w:rsidR="00B03469" w14:paraId="6EBFD850" w14:textId="77777777" w:rsidTr="00855DFD">
        <w:trPr>
          <w:trHeight w:val="113"/>
        </w:trPr>
        <w:tc>
          <w:tcPr>
            <w:tcW w:w="3823" w:type="dxa"/>
          </w:tcPr>
          <w:p w14:paraId="45C1CF72" w14:textId="77ACBE22" w:rsidR="00B03469" w:rsidRDefault="00B03469" w:rsidP="00855DFD">
            <w:pPr>
              <w:pStyle w:val="TableCopy"/>
            </w:pPr>
            <w:r>
              <w:t>Interest bearing liabilities</w:t>
            </w:r>
          </w:p>
        </w:tc>
        <w:tc>
          <w:tcPr>
            <w:tcW w:w="1326" w:type="dxa"/>
          </w:tcPr>
          <w:p w14:paraId="3740228E" w14:textId="24F81C5A" w:rsidR="00B03469" w:rsidRDefault="00B03469" w:rsidP="00652DE3">
            <w:pPr>
              <w:pStyle w:val="TableCopy"/>
              <w:jc w:val="right"/>
            </w:pPr>
            <w:r>
              <w:t>415,628</w:t>
            </w:r>
          </w:p>
        </w:tc>
        <w:tc>
          <w:tcPr>
            <w:tcW w:w="1327" w:type="dxa"/>
          </w:tcPr>
          <w:p w14:paraId="327A68C5" w14:textId="5D645E58" w:rsidR="00B03469" w:rsidRDefault="00B03469" w:rsidP="00652DE3">
            <w:pPr>
              <w:pStyle w:val="TableCopy"/>
              <w:jc w:val="right"/>
            </w:pPr>
            <w:r>
              <w:t>433,381</w:t>
            </w:r>
          </w:p>
        </w:tc>
        <w:tc>
          <w:tcPr>
            <w:tcW w:w="1344" w:type="dxa"/>
          </w:tcPr>
          <w:p w14:paraId="59F4EFAE" w14:textId="607B6640" w:rsidR="00B03469" w:rsidRDefault="00B03469" w:rsidP="00652DE3">
            <w:pPr>
              <w:pStyle w:val="TableCopy"/>
              <w:jc w:val="right"/>
            </w:pPr>
            <w:r>
              <w:t>–</w:t>
            </w:r>
          </w:p>
        </w:tc>
        <w:tc>
          <w:tcPr>
            <w:tcW w:w="1372" w:type="dxa"/>
          </w:tcPr>
          <w:p w14:paraId="249BCA3E" w14:textId="3C176810" w:rsidR="00B03469" w:rsidRDefault="00B03469" w:rsidP="00652DE3">
            <w:pPr>
              <w:pStyle w:val="TableCopy"/>
              <w:jc w:val="right"/>
            </w:pPr>
            <w:r>
              <w:t>–</w:t>
            </w:r>
          </w:p>
        </w:tc>
        <w:tc>
          <w:tcPr>
            <w:tcW w:w="1576" w:type="dxa"/>
          </w:tcPr>
          <w:p w14:paraId="07AA72CF" w14:textId="4057ED2B" w:rsidR="00B03469" w:rsidRDefault="00B03469" w:rsidP="00652DE3">
            <w:pPr>
              <w:pStyle w:val="TableCopy"/>
              <w:jc w:val="right"/>
            </w:pPr>
            <w:r>
              <w:t>–</w:t>
            </w:r>
          </w:p>
        </w:tc>
        <w:tc>
          <w:tcPr>
            <w:tcW w:w="1517" w:type="dxa"/>
          </w:tcPr>
          <w:p w14:paraId="31033136" w14:textId="11250A74" w:rsidR="00B03469" w:rsidRDefault="00B03469" w:rsidP="00652DE3">
            <w:pPr>
              <w:pStyle w:val="TableCopy"/>
              <w:jc w:val="right"/>
            </w:pPr>
            <w:r>
              <w:t>–</w:t>
            </w:r>
          </w:p>
        </w:tc>
        <w:tc>
          <w:tcPr>
            <w:tcW w:w="1327" w:type="dxa"/>
          </w:tcPr>
          <w:p w14:paraId="6283BF6E" w14:textId="550ECEFE" w:rsidR="00B03469" w:rsidRDefault="00B03469" w:rsidP="00652DE3">
            <w:pPr>
              <w:pStyle w:val="TableCopy"/>
              <w:jc w:val="right"/>
            </w:pPr>
            <w:r>
              <w:t>415,628</w:t>
            </w:r>
          </w:p>
        </w:tc>
        <w:tc>
          <w:tcPr>
            <w:tcW w:w="1327" w:type="dxa"/>
          </w:tcPr>
          <w:p w14:paraId="7353BE7E" w14:textId="3427D1B9" w:rsidR="00B03469" w:rsidRDefault="00B03469" w:rsidP="00652DE3">
            <w:pPr>
              <w:pStyle w:val="TableCopy"/>
              <w:jc w:val="right"/>
            </w:pPr>
            <w:r>
              <w:t>433,381</w:t>
            </w:r>
          </w:p>
        </w:tc>
      </w:tr>
      <w:tr w:rsidR="00B03469" w:rsidRPr="00855DFD" w14:paraId="50C2FB08" w14:textId="77777777" w:rsidTr="00855DFD">
        <w:trPr>
          <w:trHeight w:val="113"/>
        </w:trPr>
        <w:tc>
          <w:tcPr>
            <w:tcW w:w="3823" w:type="dxa"/>
          </w:tcPr>
          <w:p w14:paraId="50DA6EAC" w14:textId="44129921" w:rsidR="00B03469" w:rsidRPr="00855DFD" w:rsidRDefault="00B03469" w:rsidP="00855DFD">
            <w:pPr>
              <w:pStyle w:val="TableCopy"/>
              <w:rPr>
                <w:b/>
                <w:bCs/>
              </w:rPr>
            </w:pPr>
            <w:r w:rsidRPr="00855DFD">
              <w:rPr>
                <w:b/>
                <w:bCs/>
              </w:rPr>
              <w:t>Total administered liabilities</w:t>
            </w:r>
          </w:p>
        </w:tc>
        <w:tc>
          <w:tcPr>
            <w:tcW w:w="1326" w:type="dxa"/>
          </w:tcPr>
          <w:p w14:paraId="66D48ED4" w14:textId="76A56BD0" w:rsidR="00B03469" w:rsidRPr="00855DFD" w:rsidRDefault="00B03469" w:rsidP="00652DE3">
            <w:pPr>
              <w:pStyle w:val="TableCopy"/>
              <w:jc w:val="right"/>
              <w:rPr>
                <w:b/>
                <w:bCs/>
              </w:rPr>
            </w:pPr>
            <w:r w:rsidRPr="00855DFD">
              <w:rPr>
                <w:b/>
                <w:bCs/>
              </w:rPr>
              <w:t>491,835</w:t>
            </w:r>
          </w:p>
        </w:tc>
        <w:tc>
          <w:tcPr>
            <w:tcW w:w="1327" w:type="dxa"/>
          </w:tcPr>
          <w:p w14:paraId="03784CC3" w14:textId="432600F3" w:rsidR="00B03469" w:rsidRPr="00855DFD" w:rsidRDefault="00B03469" w:rsidP="00652DE3">
            <w:pPr>
              <w:pStyle w:val="TableCopy"/>
              <w:jc w:val="right"/>
              <w:rPr>
                <w:b/>
                <w:bCs/>
              </w:rPr>
            </w:pPr>
            <w:r w:rsidRPr="00855DFD">
              <w:rPr>
                <w:b/>
                <w:bCs/>
              </w:rPr>
              <w:t>511,944</w:t>
            </w:r>
          </w:p>
        </w:tc>
        <w:tc>
          <w:tcPr>
            <w:tcW w:w="1344" w:type="dxa"/>
          </w:tcPr>
          <w:p w14:paraId="6E5EAEF1" w14:textId="23FF43D2" w:rsidR="00B03469" w:rsidRPr="00855DFD" w:rsidRDefault="00B03469" w:rsidP="00652DE3">
            <w:pPr>
              <w:pStyle w:val="TableCopy"/>
              <w:jc w:val="right"/>
              <w:rPr>
                <w:b/>
                <w:bCs/>
              </w:rPr>
            </w:pPr>
            <w:r w:rsidRPr="00855DFD">
              <w:rPr>
                <w:b/>
                <w:bCs/>
              </w:rPr>
              <w:t>2</w:t>
            </w:r>
          </w:p>
        </w:tc>
        <w:tc>
          <w:tcPr>
            <w:tcW w:w="1372" w:type="dxa"/>
          </w:tcPr>
          <w:p w14:paraId="416A4C8F" w14:textId="3DD386DE" w:rsidR="00B03469" w:rsidRPr="00855DFD" w:rsidRDefault="00B03469" w:rsidP="00652DE3">
            <w:pPr>
              <w:pStyle w:val="TableCopy"/>
              <w:jc w:val="right"/>
              <w:rPr>
                <w:b/>
                <w:bCs/>
              </w:rPr>
            </w:pPr>
            <w:r w:rsidRPr="00855DFD">
              <w:rPr>
                <w:b/>
                <w:bCs/>
              </w:rPr>
              <w:t>–</w:t>
            </w:r>
          </w:p>
        </w:tc>
        <w:tc>
          <w:tcPr>
            <w:tcW w:w="1576" w:type="dxa"/>
          </w:tcPr>
          <w:p w14:paraId="2607F147" w14:textId="76E9BF5F" w:rsidR="00B03469" w:rsidRPr="00855DFD" w:rsidRDefault="00B03469" w:rsidP="00652DE3">
            <w:pPr>
              <w:pStyle w:val="TableCopy"/>
              <w:jc w:val="right"/>
              <w:rPr>
                <w:b/>
                <w:bCs/>
              </w:rPr>
            </w:pPr>
            <w:r w:rsidRPr="00855DFD">
              <w:rPr>
                <w:b/>
                <w:bCs/>
              </w:rPr>
              <w:t>67</w:t>
            </w:r>
          </w:p>
        </w:tc>
        <w:tc>
          <w:tcPr>
            <w:tcW w:w="1517" w:type="dxa"/>
          </w:tcPr>
          <w:p w14:paraId="19BFF6C7" w14:textId="6F7F013A" w:rsidR="00B03469" w:rsidRPr="00855DFD" w:rsidRDefault="00B03469" w:rsidP="00652DE3">
            <w:pPr>
              <w:pStyle w:val="TableCopy"/>
              <w:jc w:val="right"/>
              <w:rPr>
                <w:b/>
                <w:bCs/>
              </w:rPr>
            </w:pPr>
            <w:r w:rsidRPr="00855DFD">
              <w:rPr>
                <w:b/>
                <w:bCs/>
              </w:rPr>
              <w:t>–</w:t>
            </w:r>
          </w:p>
        </w:tc>
        <w:tc>
          <w:tcPr>
            <w:tcW w:w="1327" w:type="dxa"/>
          </w:tcPr>
          <w:p w14:paraId="746AFCCB" w14:textId="765EEE6D" w:rsidR="00B03469" w:rsidRPr="00855DFD" w:rsidRDefault="00B03469" w:rsidP="00652DE3">
            <w:pPr>
              <w:pStyle w:val="TableCopy"/>
              <w:jc w:val="right"/>
              <w:rPr>
                <w:b/>
                <w:bCs/>
              </w:rPr>
            </w:pPr>
            <w:r w:rsidRPr="00855DFD">
              <w:rPr>
                <w:b/>
                <w:bCs/>
              </w:rPr>
              <w:t>491,898</w:t>
            </w:r>
          </w:p>
        </w:tc>
        <w:tc>
          <w:tcPr>
            <w:tcW w:w="1327" w:type="dxa"/>
          </w:tcPr>
          <w:p w14:paraId="4770E30B" w14:textId="32EDCA74" w:rsidR="00B03469" w:rsidRPr="00855DFD" w:rsidRDefault="00B03469" w:rsidP="00652DE3">
            <w:pPr>
              <w:pStyle w:val="TableCopy"/>
              <w:jc w:val="right"/>
              <w:rPr>
                <w:b/>
                <w:bCs/>
              </w:rPr>
            </w:pPr>
            <w:r w:rsidRPr="00855DFD">
              <w:rPr>
                <w:b/>
                <w:bCs/>
              </w:rPr>
              <w:t>511,839</w:t>
            </w:r>
          </w:p>
        </w:tc>
      </w:tr>
      <w:tr w:rsidR="00B03469" w:rsidRPr="00855DFD" w14:paraId="025231B9" w14:textId="77777777" w:rsidTr="00855DFD">
        <w:trPr>
          <w:trHeight w:val="113"/>
        </w:trPr>
        <w:tc>
          <w:tcPr>
            <w:tcW w:w="3823" w:type="dxa"/>
          </w:tcPr>
          <w:p w14:paraId="1540744B" w14:textId="45D67EF8" w:rsidR="00B03469" w:rsidRPr="00855DFD" w:rsidRDefault="00B03469" w:rsidP="00855DFD">
            <w:pPr>
              <w:pStyle w:val="TableCopy"/>
              <w:rPr>
                <w:b/>
                <w:bCs/>
              </w:rPr>
            </w:pPr>
            <w:r w:rsidRPr="00855DFD">
              <w:rPr>
                <w:b/>
                <w:bCs/>
              </w:rPr>
              <w:t>Total administered net assets</w:t>
            </w:r>
          </w:p>
        </w:tc>
        <w:tc>
          <w:tcPr>
            <w:tcW w:w="1326" w:type="dxa"/>
          </w:tcPr>
          <w:p w14:paraId="64BA2D12" w14:textId="77777777" w:rsidR="00B03469" w:rsidRPr="00855DFD" w:rsidRDefault="00B03469" w:rsidP="00652DE3">
            <w:pPr>
              <w:pStyle w:val="TableCopy"/>
              <w:jc w:val="right"/>
              <w:rPr>
                <w:b/>
                <w:bCs/>
              </w:rPr>
            </w:pPr>
            <w:r w:rsidRPr="00855DFD">
              <w:rPr>
                <w:b/>
                <w:bCs/>
              </w:rPr>
              <w:t>(337,558)</w:t>
            </w:r>
          </w:p>
        </w:tc>
        <w:tc>
          <w:tcPr>
            <w:tcW w:w="1327" w:type="dxa"/>
          </w:tcPr>
          <w:p w14:paraId="556004D9" w14:textId="77777777" w:rsidR="00B03469" w:rsidRPr="00855DFD" w:rsidRDefault="00B03469" w:rsidP="00652DE3">
            <w:pPr>
              <w:pStyle w:val="TableCopy"/>
              <w:jc w:val="right"/>
              <w:rPr>
                <w:b/>
                <w:bCs/>
              </w:rPr>
            </w:pPr>
            <w:r w:rsidRPr="00855DFD">
              <w:rPr>
                <w:b/>
                <w:bCs/>
              </w:rPr>
              <w:t>(358,553)</w:t>
            </w:r>
          </w:p>
        </w:tc>
        <w:tc>
          <w:tcPr>
            <w:tcW w:w="1344" w:type="dxa"/>
          </w:tcPr>
          <w:p w14:paraId="1E5CFD1D" w14:textId="677C8B8C" w:rsidR="00B03469" w:rsidRPr="00855DFD" w:rsidRDefault="00B03469" w:rsidP="00652DE3">
            <w:pPr>
              <w:pStyle w:val="TableCopy"/>
              <w:jc w:val="right"/>
              <w:rPr>
                <w:b/>
                <w:bCs/>
              </w:rPr>
            </w:pPr>
            <w:r w:rsidRPr="00855DFD">
              <w:rPr>
                <w:b/>
                <w:bCs/>
              </w:rPr>
              <w:t>18</w:t>
            </w:r>
          </w:p>
        </w:tc>
        <w:tc>
          <w:tcPr>
            <w:tcW w:w="1372" w:type="dxa"/>
          </w:tcPr>
          <w:p w14:paraId="706713A7" w14:textId="64EA24D8" w:rsidR="00B03469" w:rsidRPr="00855DFD" w:rsidRDefault="00B03469" w:rsidP="00652DE3">
            <w:pPr>
              <w:pStyle w:val="TableCopy"/>
              <w:jc w:val="right"/>
              <w:rPr>
                <w:b/>
                <w:bCs/>
              </w:rPr>
            </w:pPr>
            <w:r w:rsidRPr="00855DFD">
              <w:rPr>
                <w:b/>
                <w:bCs/>
              </w:rPr>
              <w:t>–</w:t>
            </w:r>
          </w:p>
        </w:tc>
        <w:tc>
          <w:tcPr>
            <w:tcW w:w="1576" w:type="dxa"/>
          </w:tcPr>
          <w:p w14:paraId="3D69F0DE" w14:textId="5B596CE9" w:rsidR="00B03469" w:rsidRPr="00855DFD" w:rsidRDefault="00B03469" w:rsidP="00652DE3">
            <w:pPr>
              <w:pStyle w:val="TableCopy"/>
              <w:jc w:val="right"/>
              <w:rPr>
                <w:b/>
                <w:bCs/>
              </w:rPr>
            </w:pPr>
            <w:r w:rsidRPr="00855DFD">
              <w:rPr>
                <w:b/>
                <w:bCs/>
              </w:rPr>
              <w:t>646</w:t>
            </w:r>
          </w:p>
        </w:tc>
        <w:tc>
          <w:tcPr>
            <w:tcW w:w="1517" w:type="dxa"/>
          </w:tcPr>
          <w:p w14:paraId="244A5096" w14:textId="67970348" w:rsidR="00B03469" w:rsidRPr="00855DFD" w:rsidRDefault="00B03469" w:rsidP="00652DE3">
            <w:pPr>
              <w:pStyle w:val="TableCopy"/>
              <w:jc w:val="right"/>
              <w:rPr>
                <w:b/>
                <w:bCs/>
              </w:rPr>
            </w:pPr>
            <w:r w:rsidRPr="00855DFD">
              <w:rPr>
                <w:b/>
                <w:bCs/>
              </w:rPr>
              <w:t>–</w:t>
            </w:r>
          </w:p>
        </w:tc>
        <w:tc>
          <w:tcPr>
            <w:tcW w:w="1327" w:type="dxa"/>
          </w:tcPr>
          <w:p w14:paraId="52025F76" w14:textId="77777777" w:rsidR="00B03469" w:rsidRPr="00855DFD" w:rsidRDefault="00B03469" w:rsidP="00652DE3">
            <w:pPr>
              <w:pStyle w:val="TableCopy"/>
              <w:jc w:val="right"/>
              <w:rPr>
                <w:b/>
                <w:bCs/>
              </w:rPr>
            </w:pPr>
            <w:r w:rsidRPr="00855DFD">
              <w:rPr>
                <w:b/>
                <w:bCs/>
              </w:rPr>
              <w:t>(283,008)</w:t>
            </w:r>
          </w:p>
        </w:tc>
        <w:tc>
          <w:tcPr>
            <w:tcW w:w="1327" w:type="dxa"/>
          </w:tcPr>
          <w:p w14:paraId="40150AF5" w14:textId="77777777" w:rsidR="00B03469" w:rsidRPr="00855DFD" w:rsidRDefault="00B03469" w:rsidP="00652DE3">
            <w:pPr>
              <w:pStyle w:val="TableCopy"/>
              <w:jc w:val="right"/>
              <w:rPr>
                <w:b/>
                <w:bCs/>
              </w:rPr>
            </w:pPr>
            <w:r w:rsidRPr="00855DFD">
              <w:rPr>
                <w:b/>
                <w:bCs/>
              </w:rPr>
              <w:t>(296,037)</w:t>
            </w:r>
          </w:p>
        </w:tc>
      </w:tr>
    </w:tbl>
    <w:p w14:paraId="08EFBC1D" w14:textId="6E90805E" w:rsidR="000756EB" w:rsidRDefault="004A4D88" w:rsidP="00855DFD">
      <w:pPr>
        <w:pStyle w:val="FootnoteText"/>
        <w:spacing w:before="120" w:after="280"/>
        <w:rPr>
          <w:i/>
          <w:iCs/>
        </w:rPr>
      </w:pPr>
      <w:r>
        <w:t>(</w:t>
      </w:r>
      <w:proofErr w:type="spellStart"/>
      <w:r>
        <w:t>i</w:t>
      </w:r>
      <w:proofErr w:type="spellEnd"/>
      <w:r>
        <w:t>)</w:t>
      </w:r>
      <w:r w:rsidR="00855DFD">
        <w:t xml:space="preserve"> </w:t>
      </w:r>
      <w:r>
        <w:t>For</w:t>
      </w:r>
      <w:r w:rsidR="00A03629">
        <w:t xml:space="preserve"> </w:t>
      </w:r>
      <w:r>
        <w:t>the</w:t>
      </w:r>
      <w:r w:rsidR="00A03629">
        <w:t xml:space="preserve"> </w:t>
      </w:r>
      <w:r>
        <w:t>functions</w:t>
      </w:r>
      <w:r w:rsidR="00A03629">
        <w:t xml:space="preserve"> </w:t>
      </w:r>
      <w:r>
        <w:t>assumed</w:t>
      </w:r>
      <w:r w:rsidR="00A03629">
        <w:t xml:space="preserve"> </w:t>
      </w:r>
      <w:r>
        <w:t>as</w:t>
      </w:r>
      <w:r w:rsidR="00A03629">
        <w:t xml:space="preserve"> </w:t>
      </w:r>
      <w:r>
        <w:t>a</w:t>
      </w:r>
      <w:r w:rsidR="00A03629">
        <w:t xml:space="preserve"> </w:t>
      </w:r>
      <w:r>
        <w:t>result</w:t>
      </w:r>
      <w:r w:rsidR="00A03629">
        <w:t xml:space="preserve"> </w:t>
      </w:r>
      <w:r>
        <w:t>of</w:t>
      </w:r>
      <w:r w:rsidR="00A03629">
        <w:t xml:space="preserve"> </w:t>
      </w:r>
      <w:r>
        <w:t>the</w:t>
      </w:r>
      <w:r w:rsidR="00A03629">
        <w:t xml:space="preserve"> </w:t>
      </w:r>
      <w:r>
        <w:t>machinery</w:t>
      </w:r>
      <w:r w:rsidR="00A03629">
        <w:t xml:space="preserve"> </w:t>
      </w:r>
      <w:r>
        <w:t>of</w:t>
      </w:r>
      <w:r w:rsidR="00A03629">
        <w:t xml:space="preserve"> </w:t>
      </w:r>
      <w:r>
        <w:t>government</w:t>
      </w:r>
      <w:r w:rsidR="00A03629">
        <w:t xml:space="preserve"> </w:t>
      </w:r>
      <w:r>
        <w:t>changes,</w:t>
      </w:r>
      <w:r w:rsidR="00A03629">
        <w:t xml:space="preserve"> </w:t>
      </w:r>
      <w:r>
        <w:t>the</w:t>
      </w:r>
      <w:r w:rsidR="00A03629">
        <w:t xml:space="preserve"> </w:t>
      </w:r>
      <w:r>
        <w:t>2023</w:t>
      </w:r>
      <w:r w:rsidR="00A03629">
        <w:t xml:space="preserve"> </w:t>
      </w:r>
      <w:r>
        <w:t>outputs</w:t>
      </w:r>
      <w:r w:rsidR="00A03629">
        <w:t xml:space="preserve"> </w:t>
      </w:r>
      <w:r>
        <w:t>are</w:t>
      </w:r>
      <w:r w:rsidR="00A03629">
        <w:t xml:space="preserve"> </w:t>
      </w:r>
      <w:r>
        <w:t>as</w:t>
      </w:r>
      <w:r w:rsidR="00A03629">
        <w:t xml:space="preserve"> </w:t>
      </w:r>
      <w:proofErr w:type="gramStart"/>
      <w:r>
        <w:t>at</w:t>
      </w:r>
      <w:proofErr w:type="gramEnd"/>
      <w:r w:rsidR="00A03629">
        <w:t xml:space="preserve"> </w:t>
      </w:r>
      <w:r>
        <w:t>30</w:t>
      </w:r>
      <w:r w:rsidR="00A03629">
        <w:t xml:space="preserve"> </w:t>
      </w:r>
      <w:r>
        <w:t>June</w:t>
      </w:r>
      <w:r w:rsidR="00A03629">
        <w:t xml:space="preserve"> </w:t>
      </w:r>
      <w:r>
        <w:t>2023</w:t>
      </w:r>
      <w:r w:rsidR="00A03629">
        <w:t xml:space="preserve"> </w:t>
      </w:r>
      <w:r>
        <w:t>with</w:t>
      </w:r>
      <w:r w:rsidR="00A03629">
        <w:rPr>
          <w:rFonts w:ascii="Cambria" w:hAnsi="Cambria" w:cs="Cambria"/>
        </w:rPr>
        <w:t xml:space="preserve"> </w:t>
      </w:r>
      <w:r>
        <w:t>nil</w:t>
      </w:r>
      <w:r w:rsidR="00A03629">
        <w:rPr>
          <w:rFonts w:ascii="Cambria" w:hAnsi="Cambria" w:cs="Cambria"/>
        </w:rPr>
        <w:t xml:space="preserve"> </w:t>
      </w:r>
      <w:r>
        <w:t>comparatives</w:t>
      </w:r>
      <w:r w:rsidR="00A03629">
        <w:t xml:space="preserve"> </w:t>
      </w:r>
      <w:r>
        <w:t>for</w:t>
      </w:r>
      <w:r w:rsidR="00A03629">
        <w:t xml:space="preserve"> </w:t>
      </w:r>
      <w:r>
        <w:t>2022.</w:t>
      </w:r>
    </w:p>
    <w:p w14:paraId="3EEA92CE" w14:textId="5DA58B1F" w:rsidR="000756EB" w:rsidRDefault="004A4D88" w:rsidP="00855DFD">
      <w:pPr>
        <w:pStyle w:val="Heading3"/>
      </w:pPr>
      <w:r>
        <w:lastRenderedPageBreak/>
        <w:t>4.2.3</w:t>
      </w:r>
      <w:r w:rsidR="00DE38B5">
        <w:t xml:space="preserve"> </w:t>
      </w:r>
      <w:r>
        <w:t>Administered</w:t>
      </w:r>
      <w:r w:rsidR="00A03629">
        <w:t xml:space="preserve"> </w:t>
      </w:r>
      <w:r>
        <w:t>assets</w:t>
      </w:r>
      <w:r w:rsidR="00A03629">
        <w:t xml:space="preserve"> </w:t>
      </w:r>
      <w:r>
        <w:t>and</w:t>
      </w:r>
      <w:r w:rsidR="00A03629">
        <w:t xml:space="preserve"> </w:t>
      </w:r>
      <w:r>
        <w:t>liabilities</w:t>
      </w:r>
      <w:r w:rsidR="00A03629">
        <w:t xml:space="preserve"> </w:t>
      </w:r>
      <w:proofErr w:type="gramStart"/>
      <w:r>
        <w:t>at</w:t>
      </w:r>
      <w:proofErr w:type="gramEnd"/>
      <w:r w:rsidR="00A03629">
        <w:t xml:space="preserve"> </w:t>
      </w:r>
      <w:r>
        <w:t>30</w:t>
      </w:r>
      <w:r w:rsidR="00A03629">
        <w:t xml:space="preserve"> </w:t>
      </w:r>
      <w:r>
        <w:t>June</w:t>
      </w:r>
      <w:r w:rsidR="00A03629">
        <w:t xml:space="preserve"> </w:t>
      </w:r>
      <w:r>
        <w:t>2023</w:t>
      </w:r>
      <w:r w:rsidR="00A03629">
        <w:t xml:space="preserve"> </w:t>
      </w:r>
      <w:r>
        <w:t>(continued)</w:t>
      </w:r>
      <w:r w:rsidR="00855DFD">
        <w:t xml:space="preserve"> </w:t>
      </w:r>
      <w:r>
        <w:t>Outputs</w:t>
      </w:r>
      <w:r w:rsidR="00A03629">
        <w:t xml:space="preserve"> </w:t>
      </w:r>
      <w:r>
        <w:t>transferred</w:t>
      </w:r>
      <w:r w:rsidR="00A03629">
        <w:t xml:space="preserve"> </w:t>
      </w:r>
      <w:r>
        <w:t>out</w:t>
      </w:r>
      <w:r w:rsidR="00A03629">
        <w:t xml:space="preserve"> </w:t>
      </w:r>
      <w:r>
        <w:t>as</w:t>
      </w:r>
      <w:r w:rsidR="00A03629">
        <w:t xml:space="preserve"> </w:t>
      </w:r>
      <w:r>
        <w:t>part</w:t>
      </w:r>
      <w:r w:rsidR="00A03629">
        <w:t xml:space="preserve"> </w:t>
      </w:r>
      <w:r>
        <w:t>of</w:t>
      </w:r>
      <w:r w:rsidR="00A03629">
        <w:t xml:space="preserve"> </w:t>
      </w:r>
      <w:r>
        <w:t>Machinery-of-Governments</w:t>
      </w:r>
      <w:r w:rsidR="00A03629">
        <w:t xml:space="preserve"> </w:t>
      </w:r>
      <w:r>
        <w:t>Change</w:t>
      </w:r>
    </w:p>
    <w:tbl>
      <w:tblPr>
        <w:tblStyle w:val="TableGrid"/>
        <w:tblW w:w="14737" w:type="dxa"/>
        <w:tblLayout w:type="fixed"/>
        <w:tblLook w:val="0020" w:firstRow="1" w:lastRow="0" w:firstColumn="0" w:lastColumn="0" w:noHBand="0" w:noVBand="0"/>
      </w:tblPr>
      <w:tblGrid>
        <w:gridCol w:w="4248"/>
        <w:gridCol w:w="1690"/>
        <w:gridCol w:w="1690"/>
        <w:gridCol w:w="1777"/>
        <w:gridCol w:w="1777"/>
        <w:gridCol w:w="1777"/>
        <w:gridCol w:w="1778"/>
      </w:tblGrid>
      <w:tr w:rsidR="00D96C02" w:rsidRPr="00D96C02" w14:paraId="73484EB1" w14:textId="77777777" w:rsidTr="00D769EA">
        <w:trPr>
          <w:trHeight w:val="113"/>
        </w:trPr>
        <w:tc>
          <w:tcPr>
            <w:tcW w:w="4248" w:type="dxa"/>
          </w:tcPr>
          <w:p w14:paraId="03646CFE" w14:textId="77777777" w:rsidR="00D96C02" w:rsidRPr="00D96C02" w:rsidRDefault="00D96C02" w:rsidP="00D96C02">
            <w:pPr>
              <w:pStyle w:val="TableColumnHeading"/>
              <w:rPr>
                <w:rFonts w:asciiTheme="minorHAnsi" w:hAnsiTheme="minorHAnsi" w:cstheme="minorHAnsi"/>
                <w:sz w:val="20"/>
                <w:szCs w:val="28"/>
              </w:rPr>
            </w:pPr>
            <w:bookmarkStart w:id="57" w:name="ColumnTitles_33"/>
            <w:bookmarkEnd w:id="57"/>
          </w:p>
        </w:tc>
        <w:tc>
          <w:tcPr>
            <w:tcW w:w="1690" w:type="dxa"/>
          </w:tcPr>
          <w:p w14:paraId="3EB60991" w14:textId="6492B2F1" w:rsidR="00D96C02" w:rsidRPr="00D96C02" w:rsidRDefault="00D96C02" w:rsidP="00D769EA">
            <w:pPr>
              <w:pStyle w:val="TableColumnHeading"/>
              <w:jc w:val="right"/>
              <w:rPr>
                <w:rFonts w:asciiTheme="minorHAnsi" w:hAnsiTheme="minorHAnsi" w:cstheme="minorHAnsi"/>
                <w:sz w:val="20"/>
                <w:szCs w:val="28"/>
              </w:rPr>
            </w:pPr>
            <w:r w:rsidRPr="00D96C02">
              <w:rPr>
                <w:rFonts w:asciiTheme="minorHAnsi" w:hAnsiTheme="minorHAnsi" w:cstheme="minorHAnsi"/>
                <w:sz w:val="20"/>
                <w:szCs w:val="28"/>
              </w:rPr>
              <w:t>Agriculture</w:t>
            </w:r>
            <w:r>
              <w:rPr>
                <w:rFonts w:asciiTheme="minorHAnsi" w:hAnsiTheme="minorHAnsi" w:cstheme="minorHAnsi"/>
                <w:sz w:val="20"/>
                <w:szCs w:val="28"/>
              </w:rPr>
              <w:t xml:space="preserve"> </w:t>
            </w:r>
            <w:r w:rsidRPr="00D96C02">
              <w:rPr>
                <w:rFonts w:asciiTheme="minorHAnsi" w:hAnsiTheme="minorHAnsi" w:cstheme="minorHAnsi"/>
                <w:sz w:val="20"/>
                <w:szCs w:val="28"/>
              </w:rPr>
              <w:t xml:space="preserve">2023 </w:t>
            </w:r>
            <w:r w:rsidR="00D769EA" w:rsidRPr="00D96C02">
              <w:rPr>
                <w:rFonts w:asciiTheme="minorHAnsi" w:hAnsiTheme="minorHAnsi" w:cstheme="minorHAnsi"/>
                <w:sz w:val="20"/>
                <w:szCs w:val="28"/>
              </w:rPr>
              <w:t>($ thousand)</w:t>
            </w:r>
          </w:p>
        </w:tc>
        <w:tc>
          <w:tcPr>
            <w:tcW w:w="1690" w:type="dxa"/>
          </w:tcPr>
          <w:p w14:paraId="6899C97A" w14:textId="65C3E93E" w:rsidR="00D96C02" w:rsidRPr="00D96C02" w:rsidRDefault="00D96C02" w:rsidP="00D769EA">
            <w:pPr>
              <w:pStyle w:val="TableColumnHeading"/>
              <w:jc w:val="right"/>
              <w:rPr>
                <w:rFonts w:asciiTheme="minorHAnsi" w:hAnsiTheme="minorHAnsi" w:cstheme="minorHAnsi"/>
                <w:sz w:val="20"/>
                <w:szCs w:val="28"/>
              </w:rPr>
            </w:pPr>
            <w:r w:rsidRPr="00D96C02">
              <w:rPr>
                <w:rFonts w:asciiTheme="minorHAnsi" w:hAnsiTheme="minorHAnsi" w:cstheme="minorHAnsi"/>
                <w:sz w:val="20"/>
                <w:szCs w:val="28"/>
              </w:rPr>
              <w:t>Agriculture</w:t>
            </w:r>
            <w:r>
              <w:rPr>
                <w:rFonts w:asciiTheme="minorHAnsi" w:hAnsiTheme="minorHAnsi" w:cstheme="minorHAnsi"/>
                <w:sz w:val="20"/>
                <w:szCs w:val="28"/>
              </w:rPr>
              <w:t xml:space="preserve"> </w:t>
            </w:r>
            <w:r w:rsidRPr="00D96C02">
              <w:rPr>
                <w:rFonts w:asciiTheme="minorHAnsi" w:hAnsiTheme="minorHAnsi" w:cstheme="minorHAnsi"/>
                <w:sz w:val="20"/>
                <w:szCs w:val="28"/>
              </w:rPr>
              <w:t>2022</w:t>
            </w:r>
            <w:r>
              <w:rPr>
                <w:rFonts w:asciiTheme="minorHAnsi" w:hAnsiTheme="minorHAnsi" w:cstheme="minorHAnsi"/>
                <w:sz w:val="20"/>
                <w:szCs w:val="28"/>
              </w:rPr>
              <w:t xml:space="preserve"> </w:t>
            </w:r>
            <w:r w:rsidR="00D769EA" w:rsidRPr="00D96C02">
              <w:rPr>
                <w:rFonts w:asciiTheme="minorHAnsi" w:hAnsiTheme="minorHAnsi" w:cstheme="minorHAnsi"/>
                <w:sz w:val="20"/>
                <w:szCs w:val="28"/>
              </w:rPr>
              <w:t>($ thousand)</w:t>
            </w:r>
          </w:p>
        </w:tc>
        <w:tc>
          <w:tcPr>
            <w:tcW w:w="1777" w:type="dxa"/>
          </w:tcPr>
          <w:p w14:paraId="6ED34A4C" w14:textId="44FAD6D9" w:rsidR="00D96C02" w:rsidRPr="00D96C02" w:rsidRDefault="00D96C02" w:rsidP="00D769EA">
            <w:pPr>
              <w:pStyle w:val="TableColumnHeading"/>
              <w:jc w:val="right"/>
              <w:rPr>
                <w:rFonts w:asciiTheme="minorHAnsi" w:hAnsiTheme="minorHAnsi" w:cstheme="minorHAnsi"/>
                <w:sz w:val="20"/>
                <w:szCs w:val="28"/>
              </w:rPr>
            </w:pPr>
            <w:r w:rsidRPr="00D96C02">
              <w:rPr>
                <w:rFonts w:asciiTheme="minorHAnsi" w:hAnsiTheme="minorHAnsi" w:cstheme="minorHAnsi"/>
                <w:sz w:val="20"/>
                <w:szCs w:val="28"/>
              </w:rPr>
              <w:t>Business Precincts</w:t>
            </w:r>
            <w:r>
              <w:rPr>
                <w:rFonts w:asciiTheme="minorHAnsi" w:hAnsiTheme="minorHAnsi" w:cstheme="minorHAnsi"/>
                <w:sz w:val="20"/>
                <w:szCs w:val="28"/>
              </w:rPr>
              <w:t xml:space="preserve"> </w:t>
            </w:r>
            <w:r w:rsidRPr="00D96C02">
              <w:rPr>
                <w:rFonts w:asciiTheme="minorHAnsi" w:hAnsiTheme="minorHAnsi" w:cstheme="minorHAnsi"/>
                <w:sz w:val="20"/>
                <w:szCs w:val="28"/>
              </w:rPr>
              <w:t xml:space="preserve">2023 </w:t>
            </w:r>
            <w:r w:rsidR="00D769EA" w:rsidRPr="00D96C02">
              <w:rPr>
                <w:rFonts w:asciiTheme="minorHAnsi" w:hAnsiTheme="minorHAnsi" w:cstheme="minorHAnsi"/>
                <w:sz w:val="20"/>
                <w:szCs w:val="28"/>
              </w:rPr>
              <w:t>($</w:t>
            </w:r>
            <w:r w:rsidR="00D769EA">
              <w:rPr>
                <w:rFonts w:asciiTheme="minorHAnsi" w:hAnsiTheme="minorHAnsi" w:cstheme="minorHAnsi"/>
                <w:sz w:val="20"/>
                <w:szCs w:val="28"/>
              </w:rPr>
              <w:t> </w:t>
            </w:r>
            <w:r w:rsidR="00D769EA" w:rsidRPr="00D96C02">
              <w:rPr>
                <w:rFonts w:asciiTheme="minorHAnsi" w:hAnsiTheme="minorHAnsi" w:cstheme="minorHAnsi"/>
                <w:sz w:val="20"/>
                <w:szCs w:val="28"/>
              </w:rPr>
              <w:t>thousand)</w:t>
            </w:r>
          </w:p>
        </w:tc>
        <w:tc>
          <w:tcPr>
            <w:tcW w:w="1777" w:type="dxa"/>
          </w:tcPr>
          <w:p w14:paraId="3AD644EA" w14:textId="3818B495" w:rsidR="00D96C02" w:rsidRPr="00D96C02" w:rsidRDefault="00D96C02" w:rsidP="00D769EA">
            <w:pPr>
              <w:pStyle w:val="TableColumnHeading"/>
              <w:jc w:val="right"/>
              <w:rPr>
                <w:rFonts w:asciiTheme="minorHAnsi" w:hAnsiTheme="minorHAnsi" w:cstheme="minorHAnsi"/>
                <w:sz w:val="20"/>
                <w:szCs w:val="28"/>
              </w:rPr>
            </w:pPr>
            <w:r w:rsidRPr="00D96C02">
              <w:rPr>
                <w:rFonts w:asciiTheme="minorHAnsi" w:hAnsiTheme="minorHAnsi" w:cstheme="minorHAnsi"/>
                <w:sz w:val="20"/>
                <w:szCs w:val="28"/>
              </w:rPr>
              <w:t>Business Precincts</w:t>
            </w:r>
            <w:r>
              <w:rPr>
                <w:rFonts w:asciiTheme="minorHAnsi" w:hAnsiTheme="minorHAnsi" w:cstheme="minorHAnsi"/>
                <w:sz w:val="20"/>
                <w:szCs w:val="28"/>
              </w:rPr>
              <w:t xml:space="preserve"> </w:t>
            </w:r>
            <w:r w:rsidRPr="00D96C02">
              <w:rPr>
                <w:rFonts w:asciiTheme="minorHAnsi" w:hAnsiTheme="minorHAnsi" w:cstheme="minorHAnsi"/>
                <w:sz w:val="20"/>
                <w:szCs w:val="28"/>
              </w:rPr>
              <w:t>2022</w:t>
            </w:r>
            <w:r w:rsidR="00D769EA">
              <w:rPr>
                <w:rFonts w:asciiTheme="minorHAnsi" w:hAnsiTheme="minorHAnsi" w:cstheme="minorHAnsi"/>
                <w:sz w:val="20"/>
                <w:szCs w:val="28"/>
              </w:rPr>
              <w:t xml:space="preserve"> </w:t>
            </w:r>
            <w:r w:rsidR="00D769EA" w:rsidRPr="00D96C02">
              <w:rPr>
                <w:rFonts w:asciiTheme="minorHAnsi" w:hAnsiTheme="minorHAnsi" w:cstheme="minorHAnsi"/>
                <w:sz w:val="20"/>
                <w:szCs w:val="28"/>
              </w:rPr>
              <w:t>($</w:t>
            </w:r>
            <w:r w:rsidR="00D769EA">
              <w:rPr>
                <w:rFonts w:asciiTheme="minorHAnsi" w:hAnsiTheme="minorHAnsi" w:cstheme="minorHAnsi"/>
                <w:sz w:val="20"/>
                <w:szCs w:val="28"/>
              </w:rPr>
              <w:t> </w:t>
            </w:r>
            <w:r w:rsidR="00D769EA" w:rsidRPr="00D96C02">
              <w:rPr>
                <w:rFonts w:asciiTheme="minorHAnsi" w:hAnsiTheme="minorHAnsi" w:cstheme="minorHAnsi"/>
                <w:sz w:val="20"/>
                <w:szCs w:val="28"/>
              </w:rPr>
              <w:t>thousand)</w:t>
            </w:r>
          </w:p>
        </w:tc>
        <w:tc>
          <w:tcPr>
            <w:tcW w:w="1777" w:type="dxa"/>
          </w:tcPr>
          <w:p w14:paraId="491E8FDC" w14:textId="35B7312E" w:rsidR="00D96C02" w:rsidRPr="00D96C02" w:rsidRDefault="00D96C02" w:rsidP="00D769EA">
            <w:pPr>
              <w:pStyle w:val="TableColumnHeading"/>
              <w:jc w:val="right"/>
              <w:rPr>
                <w:rFonts w:asciiTheme="minorHAnsi" w:hAnsiTheme="minorHAnsi" w:cstheme="minorHAnsi"/>
                <w:sz w:val="20"/>
                <w:szCs w:val="28"/>
              </w:rPr>
            </w:pPr>
            <w:r w:rsidRPr="00D96C02">
              <w:rPr>
                <w:rFonts w:asciiTheme="minorHAnsi" w:hAnsiTheme="minorHAnsi" w:cstheme="minorHAnsi"/>
                <w:sz w:val="20"/>
                <w:szCs w:val="28"/>
              </w:rPr>
              <w:t>Resources</w:t>
            </w:r>
            <w:r>
              <w:rPr>
                <w:rFonts w:asciiTheme="minorHAnsi" w:hAnsiTheme="minorHAnsi" w:cstheme="minorHAnsi"/>
                <w:sz w:val="20"/>
                <w:szCs w:val="28"/>
              </w:rPr>
              <w:t xml:space="preserve"> </w:t>
            </w:r>
            <w:r w:rsidRPr="00D96C02">
              <w:rPr>
                <w:rFonts w:asciiTheme="minorHAnsi" w:hAnsiTheme="minorHAnsi" w:cstheme="minorHAnsi"/>
                <w:sz w:val="20"/>
                <w:szCs w:val="28"/>
              </w:rPr>
              <w:t xml:space="preserve">2023 </w:t>
            </w:r>
            <w:r w:rsidR="00D769EA" w:rsidRPr="00D96C02">
              <w:rPr>
                <w:rFonts w:asciiTheme="minorHAnsi" w:hAnsiTheme="minorHAnsi" w:cstheme="minorHAnsi"/>
                <w:sz w:val="20"/>
                <w:szCs w:val="28"/>
              </w:rPr>
              <w:t>($ thousand)</w:t>
            </w:r>
          </w:p>
        </w:tc>
        <w:tc>
          <w:tcPr>
            <w:tcW w:w="1778" w:type="dxa"/>
          </w:tcPr>
          <w:p w14:paraId="3481D65F" w14:textId="6F4E0AB0" w:rsidR="00D96C02" w:rsidRPr="00D96C02" w:rsidRDefault="00D96C02" w:rsidP="00D769EA">
            <w:pPr>
              <w:pStyle w:val="TableColumnHeading"/>
              <w:jc w:val="right"/>
              <w:rPr>
                <w:rFonts w:asciiTheme="minorHAnsi" w:hAnsiTheme="minorHAnsi" w:cstheme="minorHAnsi"/>
                <w:sz w:val="20"/>
                <w:szCs w:val="28"/>
              </w:rPr>
            </w:pPr>
            <w:r w:rsidRPr="00D96C02">
              <w:rPr>
                <w:rFonts w:asciiTheme="minorHAnsi" w:hAnsiTheme="minorHAnsi" w:cstheme="minorHAnsi"/>
                <w:sz w:val="20"/>
                <w:szCs w:val="28"/>
              </w:rPr>
              <w:t>Resources</w:t>
            </w:r>
            <w:r>
              <w:rPr>
                <w:rFonts w:asciiTheme="minorHAnsi" w:hAnsiTheme="minorHAnsi" w:cstheme="minorHAnsi"/>
                <w:sz w:val="20"/>
                <w:szCs w:val="28"/>
              </w:rPr>
              <w:t xml:space="preserve"> </w:t>
            </w:r>
            <w:r w:rsidRPr="00D96C02">
              <w:rPr>
                <w:rFonts w:asciiTheme="minorHAnsi" w:hAnsiTheme="minorHAnsi" w:cstheme="minorHAnsi"/>
                <w:sz w:val="20"/>
                <w:szCs w:val="28"/>
              </w:rPr>
              <w:t>2022</w:t>
            </w:r>
            <w:r w:rsidR="00D769EA">
              <w:rPr>
                <w:rFonts w:asciiTheme="minorHAnsi" w:hAnsiTheme="minorHAnsi" w:cstheme="minorHAnsi"/>
                <w:sz w:val="20"/>
                <w:szCs w:val="28"/>
              </w:rPr>
              <w:t xml:space="preserve"> </w:t>
            </w:r>
            <w:r w:rsidR="00D769EA" w:rsidRPr="00D96C02">
              <w:rPr>
                <w:rFonts w:asciiTheme="minorHAnsi" w:hAnsiTheme="minorHAnsi" w:cstheme="minorHAnsi"/>
                <w:sz w:val="20"/>
                <w:szCs w:val="28"/>
              </w:rPr>
              <w:t>($ thousand)</w:t>
            </w:r>
          </w:p>
        </w:tc>
      </w:tr>
      <w:tr w:rsidR="00D96C02" w:rsidRPr="00D96C02" w14:paraId="4764B862" w14:textId="77777777" w:rsidTr="00D769EA">
        <w:trPr>
          <w:trHeight w:val="113"/>
        </w:trPr>
        <w:tc>
          <w:tcPr>
            <w:tcW w:w="4248" w:type="dxa"/>
          </w:tcPr>
          <w:p w14:paraId="37FFE38C" w14:textId="786F1E9A" w:rsidR="00D96C02" w:rsidRPr="00D96C02" w:rsidRDefault="00D96C02" w:rsidP="00D96C02">
            <w:pPr>
              <w:pStyle w:val="TableHeading"/>
            </w:pPr>
            <w:r w:rsidRPr="00D96C02">
              <w:t>Administered financial assets</w:t>
            </w:r>
          </w:p>
        </w:tc>
        <w:tc>
          <w:tcPr>
            <w:tcW w:w="1690" w:type="dxa"/>
          </w:tcPr>
          <w:p w14:paraId="6EC94673" w14:textId="77777777" w:rsidR="00D96C02" w:rsidRPr="00D96C02" w:rsidRDefault="00D96C02" w:rsidP="00D769EA">
            <w:pPr>
              <w:pStyle w:val="TableHeading"/>
              <w:jc w:val="right"/>
            </w:pPr>
          </w:p>
        </w:tc>
        <w:tc>
          <w:tcPr>
            <w:tcW w:w="1690" w:type="dxa"/>
          </w:tcPr>
          <w:p w14:paraId="3AA0ACC1" w14:textId="77777777" w:rsidR="00D96C02" w:rsidRPr="00D96C02" w:rsidRDefault="00D96C02" w:rsidP="00D769EA">
            <w:pPr>
              <w:pStyle w:val="TableHeading"/>
              <w:jc w:val="right"/>
            </w:pPr>
          </w:p>
        </w:tc>
        <w:tc>
          <w:tcPr>
            <w:tcW w:w="1777" w:type="dxa"/>
          </w:tcPr>
          <w:p w14:paraId="41102F12" w14:textId="77777777" w:rsidR="00D96C02" w:rsidRPr="00D96C02" w:rsidRDefault="00D96C02" w:rsidP="00D769EA">
            <w:pPr>
              <w:pStyle w:val="TableHeading"/>
              <w:jc w:val="right"/>
            </w:pPr>
          </w:p>
        </w:tc>
        <w:tc>
          <w:tcPr>
            <w:tcW w:w="1777" w:type="dxa"/>
          </w:tcPr>
          <w:p w14:paraId="24EA9FE8" w14:textId="77777777" w:rsidR="00D96C02" w:rsidRPr="00D96C02" w:rsidRDefault="00D96C02" w:rsidP="00D769EA">
            <w:pPr>
              <w:pStyle w:val="TableHeading"/>
              <w:jc w:val="right"/>
            </w:pPr>
          </w:p>
        </w:tc>
        <w:tc>
          <w:tcPr>
            <w:tcW w:w="1777" w:type="dxa"/>
          </w:tcPr>
          <w:p w14:paraId="58053D01" w14:textId="77777777" w:rsidR="00D96C02" w:rsidRPr="00D96C02" w:rsidRDefault="00D96C02" w:rsidP="00D769EA">
            <w:pPr>
              <w:pStyle w:val="TableHeading"/>
              <w:jc w:val="right"/>
            </w:pPr>
          </w:p>
        </w:tc>
        <w:tc>
          <w:tcPr>
            <w:tcW w:w="1778" w:type="dxa"/>
          </w:tcPr>
          <w:p w14:paraId="5C023244" w14:textId="77777777" w:rsidR="00D96C02" w:rsidRPr="00D96C02" w:rsidRDefault="00D96C02" w:rsidP="00D769EA">
            <w:pPr>
              <w:pStyle w:val="TableHeading"/>
              <w:jc w:val="right"/>
            </w:pPr>
          </w:p>
        </w:tc>
      </w:tr>
      <w:tr w:rsidR="00D96C02" w14:paraId="4CD8F527" w14:textId="77777777" w:rsidTr="00D769EA">
        <w:trPr>
          <w:trHeight w:val="113"/>
        </w:trPr>
        <w:tc>
          <w:tcPr>
            <w:tcW w:w="4248" w:type="dxa"/>
          </w:tcPr>
          <w:p w14:paraId="7E025466" w14:textId="06061636" w:rsidR="00D96C02" w:rsidRDefault="00D96C02" w:rsidP="00D96C02">
            <w:pPr>
              <w:pStyle w:val="TableCopy"/>
            </w:pPr>
            <w:r>
              <w:t>Cash and receivables</w:t>
            </w:r>
          </w:p>
        </w:tc>
        <w:tc>
          <w:tcPr>
            <w:tcW w:w="1690" w:type="dxa"/>
          </w:tcPr>
          <w:p w14:paraId="3A6CD43A" w14:textId="07F3F595" w:rsidR="00D96C02" w:rsidRDefault="00D96C02" w:rsidP="00D769EA">
            <w:pPr>
              <w:pStyle w:val="TableCopy"/>
              <w:jc w:val="right"/>
            </w:pPr>
            <w:r>
              <w:t>–</w:t>
            </w:r>
          </w:p>
        </w:tc>
        <w:tc>
          <w:tcPr>
            <w:tcW w:w="1690" w:type="dxa"/>
          </w:tcPr>
          <w:p w14:paraId="7C16829E" w14:textId="35211B0A" w:rsidR="00D96C02" w:rsidRDefault="00D96C02" w:rsidP="00D769EA">
            <w:pPr>
              <w:pStyle w:val="TableCopy"/>
              <w:jc w:val="right"/>
            </w:pPr>
            <w:r>
              <w:t>32,863</w:t>
            </w:r>
          </w:p>
        </w:tc>
        <w:tc>
          <w:tcPr>
            <w:tcW w:w="1777" w:type="dxa"/>
          </w:tcPr>
          <w:p w14:paraId="069DE788" w14:textId="5A6D7EAD" w:rsidR="00D96C02" w:rsidRDefault="00D96C02" w:rsidP="00D769EA">
            <w:pPr>
              <w:pStyle w:val="TableCopy"/>
              <w:jc w:val="right"/>
            </w:pPr>
            <w:r>
              <w:t>–</w:t>
            </w:r>
          </w:p>
        </w:tc>
        <w:tc>
          <w:tcPr>
            <w:tcW w:w="1777" w:type="dxa"/>
          </w:tcPr>
          <w:p w14:paraId="72C7F0E5" w14:textId="28DDE235" w:rsidR="00D96C02" w:rsidRDefault="00D96C02" w:rsidP="00D769EA">
            <w:pPr>
              <w:pStyle w:val="TableCopy"/>
              <w:jc w:val="right"/>
            </w:pPr>
            <w:r>
              <w:t>86</w:t>
            </w:r>
          </w:p>
        </w:tc>
        <w:tc>
          <w:tcPr>
            <w:tcW w:w="1777" w:type="dxa"/>
          </w:tcPr>
          <w:p w14:paraId="7B716CA3" w14:textId="6CF85026" w:rsidR="00D96C02" w:rsidRDefault="00D96C02" w:rsidP="00D769EA">
            <w:pPr>
              <w:pStyle w:val="TableCopy"/>
              <w:jc w:val="right"/>
            </w:pPr>
            <w:r>
              <w:t>–</w:t>
            </w:r>
          </w:p>
        </w:tc>
        <w:tc>
          <w:tcPr>
            <w:tcW w:w="1778" w:type="dxa"/>
          </w:tcPr>
          <w:p w14:paraId="49619556" w14:textId="0D27AC48" w:rsidR="00D96C02" w:rsidRDefault="00D96C02" w:rsidP="00D769EA">
            <w:pPr>
              <w:pStyle w:val="TableCopy"/>
              <w:jc w:val="right"/>
            </w:pPr>
            <w:r>
              <w:t>100,875</w:t>
            </w:r>
          </w:p>
        </w:tc>
      </w:tr>
      <w:tr w:rsidR="00D96C02" w14:paraId="1F1F36D9" w14:textId="77777777" w:rsidTr="00D769EA">
        <w:trPr>
          <w:trHeight w:val="113"/>
        </w:trPr>
        <w:tc>
          <w:tcPr>
            <w:tcW w:w="4248" w:type="dxa"/>
          </w:tcPr>
          <w:p w14:paraId="3A41B81A" w14:textId="006D9A8B" w:rsidR="00D96C02" w:rsidRDefault="00D96C02" w:rsidP="00D96C02">
            <w:pPr>
              <w:pStyle w:val="TableCopy"/>
            </w:pPr>
            <w:r>
              <w:t>Trust funds</w:t>
            </w:r>
          </w:p>
        </w:tc>
        <w:tc>
          <w:tcPr>
            <w:tcW w:w="1690" w:type="dxa"/>
          </w:tcPr>
          <w:p w14:paraId="06409C9C" w14:textId="62044605" w:rsidR="00D96C02" w:rsidRDefault="00D96C02" w:rsidP="00D769EA">
            <w:pPr>
              <w:pStyle w:val="TableCopy"/>
              <w:jc w:val="right"/>
            </w:pPr>
            <w:r>
              <w:t>–</w:t>
            </w:r>
          </w:p>
        </w:tc>
        <w:tc>
          <w:tcPr>
            <w:tcW w:w="1690" w:type="dxa"/>
          </w:tcPr>
          <w:p w14:paraId="77C4B402" w14:textId="58FF24BA" w:rsidR="00D96C02" w:rsidRDefault="00D96C02" w:rsidP="00D769EA">
            <w:pPr>
              <w:pStyle w:val="TableCopy"/>
              <w:jc w:val="right"/>
            </w:pPr>
            <w:r>
              <w:t>299</w:t>
            </w:r>
          </w:p>
        </w:tc>
        <w:tc>
          <w:tcPr>
            <w:tcW w:w="1777" w:type="dxa"/>
          </w:tcPr>
          <w:p w14:paraId="503A986D" w14:textId="1FC9155C" w:rsidR="00D96C02" w:rsidRDefault="00D96C02" w:rsidP="00D769EA">
            <w:pPr>
              <w:pStyle w:val="TableCopy"/>
              <w:jc w:val="right"/>
            </w:pPr>
            <w:r>
              <w:t>–</w:t>
            </w:r>
          </w:p>
        </w:tc>
        <w:tc>
          <w:tcPr>
            <w:tcW w:w="1777" w:type="dxa"/>
          </w:tcPr>
          <w:p w14:paraId="72F6766B" w14:textId="79649205" w:rsidR="00D96C02" w:rsidRDefault="00D96C02" w:rsidP="00D769EA">
            <w:pPr>
              <w:pStyle w:val="TableCopy"/>
              <w:jc w:val="right"/>
            </w:pPr>
            <w:r>
              <w:t>–</w:t>
            </w:r>
          </w:p>
        </w:tc>
        <w:tc>
          <w:tcPr>
            <w:tcW w:w="1777" w:type="dxa"/>
          </w:tcPr>
          <w:p w14:paraId="7429EB7E" w14:textId="78AE91F7" w:rsidR="00D96C02" w:rsidRDefault="00D96C02" w:rsidP="00D769EA">
            <w:pPr>
              <w:pStyle w:val="TableCopy"/>
              <w:jc w:val="right"/>
            </w:pPr>
            <w:r>
              <w:t>–</w:t>
            </w:r>
          </w:p>
        </w:tc>
        <w:tc>
          <w:tcPr>
            <w:tcW w:w="1778" w:type="dxa"/>
          </w:tcPr>
          <w:p w14:paraId="073C2E19" w14:textId="5C22A385" w:rsidR="00D96C02" w:rsidRDefault="00D96C02" w:rsidP="00D769EA">
            <w:pPr>
              <w:pStyle w:val="TableCopy"/>
              <w:jc w:val="right"/>
            </w:pPr>
            <w:r>
              <w:t>7,326</w:t>
            </w:r>
          </w:p>
        </w:tc>
      </w:tr>
      <w:tr w:rsidR="00D96C02" w14:paraId="5CBAA8EF" w14:textId="77777777" w:rsidTr="00D769EA">
        <w:trPr>
          <w:trHeight w:val="113"/>
        </w:trPr>
        <w:tc>
          <w:tcPr>
            <w:tcW w:w="4248" w:type="dxa"/>
          </w:tcPr>
          <w:p w14:paraId="0B87EA64" w14:textId="77777777" w:rsidR="00D96C02" w:rsidRDefault="00D96C02" w:rsidP="00D96C02">
            <w:pPr>
              <w:pStyle w:val="TableCopy"/>
            </w:pPr>
            <w:r>
              <w:t>Loans</w:t>
            </w:r>
          </w:p>
        </w:tc>
        <w:tc>
          <w:tcPr>
            <w:tcW w:w="1690" w:type="dxa"/>
          </w:tcPr>
          <w:p w14:paraId="7837C3B5" w14:textId="5BC6E119" w:rsidR="00D96C02" w:rsidRDefault="00D96C02" w:rsidP="00D769EA">
            <w:pPr>
              <w:pStyle w:val="TableCopy"/>
              <w:jc w:val="right"/>
            </w:pPr>
            <w:r>
              <w:t>–</w:t>
            </w:r>
          </w:p>
        </w:tc>
        <w:tc>
          <w:tcPr>
            <w:tcW w:w="1690" w:type="dxa"/>
          </w:tcPr>
          <w:p w14:paraId="0E5BFE9A" w14:textId="28C053C5" w:rsidR="00D96C02" w:rsidRDefault="00D96C02" w:rsidP="00D769EA">
            <w:pPr>
              <w:pStyle w:val="TableCopy"/>
              <w:jc w:val="right"/>
            </w:pPr>
            <w:r>
              <w:t>–</w:t>
            </w:r>
          </w:p>
        </w:tc>
        <w:tc>
          <w:tcPr>
            <w:tcW w:w="1777" w:type="dxa"/>
          </w:tcPr>
          <w:p w14:paraId="7A43198E" w14:textId="2BA123F0" w:rsidR="00D96C02" w:rsidRDefault="00D96C02" w:rsidP="00D769EA">
            <w:pPr>
              <w:pStyle w:val="TableCopy"/>
              <w:jc w:val="right"/>
            </w:pPr>
            <w:r>
              <w:t>–</w:t>
            </w:r>
          </w:p>
        </w:tc>
        <w:tc>
          <w:tcPr>
            <w:tcW w:w="1777" w:type="dxa"/>
          </w:tcPr>
          <w:p w14:paraId="7B3864F4" w14:textId="104DC4AB" w:rsidR="00D96C02" w:rsidRDefault="00D96C02" w:rsidP="00D769EA">
            <w:pPr>
              <w:pStyle w:val="TableCopy"/>
              <w:jc w:val="right"/>
            </w:pPr>
            <w:r>
              <w:t>–</w:t>
            </w:r>
          </w:p>
        </w:tc>
        <w:tc>
          <w:tcPr>
            <w:tcW w:w="1777" w:type="dxa"/>
          </w:tcPr>
          <w:p w14:paraId="3D85D4F5" w14:textId="196A1E2C" w:rsidR="00D96C02" w:rsidRDefault="00D96C02" w:rsidP="00D769EA">
            <w:pPr>
              <w:pStyle w:val="TableCopy"/>
              <w:jc w:val="right"/>
            </w:pPr>
            <w:r>
              <w:t>–</w:t>
            </w:r>
          </w:p>
        </w:tc>
        <w:tc>
          <w:tcPr>
            <w:tcW w:w="1778" w:type="dxa"/>
          </w:tcPr>
          <w:p w14:paraId="52479FA2" w14:textId="7FC82A5C" w:rsidR="00D96C02" w:rsidRDefault="00D96C02" w:rsidP="00D769EA">
            <w:pPr>
              <w:pStyle w:val="TableCopy"/>
              <w:jc w:val="right"/>
            </w:pPr>
            <w:r>
              <w:t>–</w:t>
            </w:r>
          </w:p>
        </w:tc>
      </w:tr>
      <w:tr w:rsidR="00D96C02" w:rsidRPr="00D96C02" w14:paraId="0BD6CC36" w14:textId="77777777" w:rsidTr="00D769EA">
        <w:trPr>
          <w:trHeight w:val="113"/>
        </w:trPr>
        <w:tc>
          <w:tcPr>
            <w:tcW w:w="4248" w:type="dxa"/>
          </w:tcPr>
          <w:p w14:paraId="7FEFBD73" w14:textId="25ADB2BE" w:rsidR="00D96C02" w:rsidRPr="00D96C02" w:rsidRDefault="00D96C02" w:rsidP="00D96C02">
            <w:pPr>
              <w:pStyle w:val="TableCopy"/>
              <w:rPr>
                <w:b/>
                <w:bCs/>
              </w:rPr>
            </w:pPr>
            <w:r w:rsidRPr="00D96C02">
              <w:rPr>
                <w:b/>
                <w:bCs/>
              </w:rPr>
              <w:t>Total administered financial assets</w:t>
            </w:r>
          </w:p>
        </w:tc>
        <w:tc>
          <w:tcPr>
            <w:tcW w:w="1690" w:type="dxa"/>
          </w:tcPr>
          <w:p w14:paraId="2B43E2CF" w14:textId="5D8D9A21" w:rsidR="00D96C02" w:rsidRPr="00D96C02" w:rsidRDefault="00D96C02" w:rsidP="00D769EA">
            <w:pPr>
              <w:pStyle w:val="TableCopy"/>
              <w:jc w:val="right"/>
              <w:rPr>
                <w:b/>
                <w:bCs/>
              </w:rPr>
            </w:pPr>
            <w:r w:rsidRPr="00D96C02">
              <w:rPr>
                <w:b/>
                <w:bCs/>
              </w:rPr>
              <w:t>–</w:t>
            </w:r>
          </w:p>
        </w:tc>
        <w:tc>
          <w:tcPr>
            <w:tcW w:w="1690" w:type="dxa"/>
          </w:tcPr>
          <w:p w14:paraId="6660E6C1" w14:textId="1C5EDE46" w:rsidR="00D96C02" w:rsidRPr="00D96C02" w:rsidRDefault="00D96C02" w:rsidP="00D769EA">
            <w:pPr>
              <w:pStyle w:val="TableCopy"/>
              <w:jc w:val="right"/>
              <w:rPr>
                <w:b/>
                <w:bCs/>
              </w:rPr>
            </w:pPr>
            <w:r w:rsidRPr="00D96C02">
              <w:rPr>
                <w:b/>
                <w:bCs/>
              </w:rPr>
              <w:t>33,162</w:t>
            </w:r>
          </w:p>
        </w:tc>
        <w:tc>
          <w:tcPr>
            <w:tcW w:w="1777" w:type="dxa"/>
          </w:tcPr>
          <w:p w14:paraId="2E8165DD" w14:textId="58A236FC" w:rsidR="00D96C02" w:rsidRPr="00D96C02" w:rsidRDefault="00D96C02" w:rsidP="00D769EA">
            <w:pPr>
              <w:pStyle w:val="TableCopy"/>
              <w:jc w:val="right"/>
              <w:rPr>
                <w:b/>
                <w:bCs/>
              </w:rPr>
            </w:pPr>
            <w:r w:rsidRPr="00D96C02">
              <w:rPr>
                <w:b/>
                <w:bCs/>
              </w:rPr>
              <w:t>–</w:t>
            </w:r>
          </w:p>
        </w:tc>
        <w:tc>
          <w:tcPr>
            <w:tcW w:w="1777" w:type="dxa"/>
          </w:tcPr>
          <w:p w14:paraId="352D8A68" w14:textId="622438B0" w:rsidR="00D96C02" w:rsidRPr="00D96C02" w:rsidRDefault="00D96C02" w:rsidP="00D769EA">
            <w:pPr>
              <w:pStyle w:val="TableCopy"/>
              <w:jc w:val="right"/>
              <w:rPr>
                <w:b/>
                <w:bCs/>
              </w:rPr>
            </w:pPr>
            <w:r w:rsidRPr="00D96C02">
              <w:rPr>
                <w:b/>
                <w:bCs/>
              </w:rPr>
              <w:t>86</w:t>
            </w:r>
          </w:p>
        </w:tc>
        <w:tc>
          <w:tcPr>
            <w:tcW w:w="1777" w:type="dxa"/>
          </w:tcPr>
          <w:p w14:paraId="2F237752" w14:textId="6015608A" w:rsidR="00D96C02" w:rsidRPr="00D96C02" w:rsidRDefault="00D96C02" w:rsidP="00D769EA">
            <w:pPr>
              <w:pStyle w:val="TableCopy"/>
              <w:jc w:val="right"/>
              <w:rPr>
                <w:b/>
                <w:bCs/>
              </w:rPr>
            </w:pPr>
            <w:r w:rsidRPr="00D96C02">
              <w:rPr>
                <w:b/>
                <w:bCs/>
              </w:rPr>
              <w:t>–</w:t>
            </w:r>
          </w:p>
        </w:tc>
        <w:tc>
          <w:tcPr>
            <w:tcW w:w="1778" w:type="dxa"/>
          </w:tcPr>
          <w:p w14:paraId="7EA55FD3" w14:textId="2F25753C" w:rsidR="00D96C02" w:rsidRPr="00D96C02" w:rsidRDefault="00D96C02" w:rsidP="00D769EA">
            <w:pPr>
              <w:pStyle w:val="TableCopy"/>
              <w:jc w:val="right"/>
              <w:rPr>
                <w:b/>
                <w:bCs/>
              </w:rPr>
            </w:pPr>
            <w:r w:rsidRPr="00D96C02">
              <w:rPr>
                <w:b/>
                <w:bCs/>
              </w:rPr>
              <w:t>108,201</w:t>
            </w:r>
          </w:p>
        </w:tc>
      </w:tr>
      <w:tr w:rsidR="00D96C02" w:rsidRPr="00D96C02" w14:paraId="02B8E02C" w14:textId="77777777" w:rsidTr="00D769EA">
        <w:trPr>
          <w:trHeight w:val="113"/>
        </w:trPr>
        <w:tc>
          <w:tcPr>
            <w:tcW w:w="4248" w:type="dxa"/>
          </w:tcPr>
          <w:p w14:paraId="7F0547E4" w14:textId="3F000B20" w:rsidR="00D96C02" w:rsidRPr="00D96C02" w:rsidRDefault="00D96C02" w:rsidP="00D96C02">
            <w:pPr>
              <w:pStyle w:val="TableHeading"/>
            </w:pPr>
            <w:r w:rsidRPr="00D96C02">
              <w:t>Administered liabilities</w:t>
            </w:r>
          </w:p>
        </w:tc>
        <w:tc>
          <w:tcPr>
            <w:tcW w:w="1690" w:type="dxa"/>
          </w:tcPr>
          <w:p w14:paraId="08A4046C" w14:textId="77777777" w:rsidR="00D96C02" w:rsidRPr="00D96C02" w:rsidRDefault="00D96C02" w:rsidP="00D769EA">
            <w:pPr>
              <w:pStyle w:val="TableHeading"/>
              <w:jc w:val="right"/>
            </w:pPr>
          </w:p>
        </w:tc>
        <w:tc>
          <w:tcPr>
            <w:tcW w:w="1690" w:type="dxa"/>
          </w:tcPr>
          <w:p w14:paraId="174A49D3" w14:textId="77777777" w:rsidR="00D96C02" w:rsidRPr="00D96C02" w:rsidRDefault="00D96C02" w:rsidP="00D769EA">
            <w:pPr>
              <w:pStyle w:val="TableHeading"/>
              <w:jc w:val="right"/>
            </w:pPr>
          </w:p>
        </w:tc>
        <w:tc>
          <w:tcPr>
            <w:tcW w:w="1777" w:type="dxa"/>
          </w:tcPr>
          <w:p w14:paraId="17FEEC09" w14:textId="77777777" w:rsidR="00D96C02" w:rsidRPr="00D96C02" w:rsidRDefault="00D96C02" w:rsidP="00D769EA">
            <w:pPr>
              <w:pStyle w:val="TableHeading"/>
              <w:jc w:val="right"/>
            </w:pPr>
          </w:p>
        </w:tc>
        <w:tc>
          <w:tcPr>
            <w:tcW w:w="1777" w:type="dxa"/>
          </w:tcPr>
          <w:p w14:paraId="29B1DA94" w14:textId="77777777" w:rsidR="00D96C02" w:rsidRPr="00D96C02" w:rsidRDefault="00D96C02" w:rsidP="00D769EA">
            <w:pPr>
              <w:pStyle w:val="TableHeading"/>
              <w:jc w:val="right"/>
            </w:pPr>
          </w:p>
        </w:tc>
        <w:tc>
          <w:tcPr>
            <w:tcW w:w="1777" w:type="dxa"/>
          </w:tcPr>
          <w:p w14:paraId="271B3A48" w14:textId="77777777" w:rsidR="00D96C02" w:rsidRPr="00D96C02" w:rsidRDefault="00D96C02" w:rsidP="00D769EA">
            <w:pPr>
              <w:pStyle w:val="TableHeading"/>
              <w:jc w:val="right"/>
            </w:pPr>
          </w:p>
        </w:tc>
        <w:tc>
          <w:tcPr>
            <w:tcW w:w="1778" w:type="dxa"/>
          </w:tcPr>
          <w:p w14:paraId="5A979FD1" w14:textId="77777777" w:rsidR="00D96C02" w:rsidRPr="00D96C02" w:rsidRDefault="00D96C02" w:rsidP="00D769EA">
            <w:pPr>
              <w:pStyle w:val="TableHeading"/>
              <w:jc w:val="right"/>
            </w:pPr>
          </w:p>
        </w:tc>
      </w:tr>
      <w:tr w:rsidR="00D96C02" w14:paraId="51086616" w14:textId="77777777" w:rsidTr="00D769EA">
        <w:trPr>
          <w:trHeight w:val="113"/>
        </w:trPr>
        <w:tc>
          <w:tcPr>
            <w:tcW w:w="4248" w:type="dxa"/>
          </w:tcPr>
          <w:p w14:paraId="097CB32E" w14:textId="7FAAA224" w:rsidR="00D96C02" w:rsidRDefault="00D96C02" w:rsidP="00D96C02">
            <w:pPr>
              <w:pStyle w:val="TableCopy"/>
            </w:pPr>
            <w:r>
              <w:t>Creditors and accruals</w:t>
            </w:r>
          </w:p>
        </w:tc>
        <w:tc>
          <w:tcPr>
            <w:tcW w:w="1690" w:type="dxa"/>
          </w:tcPr>
          <w:p w14:paraId="0FF2B239" w14:textId="266C3B07" w:rsidR="00D96C02" w:rsidRDefault="00D96C02" w:rsidP="00D769EA">
            <w:pPr>
              <w:pStyle w:val="TableCopy"/>
              <w:jc w:val="right"/>
            </w:pPr>
            <w:r>
              <w:t>–</w:t>
            </w:r>
          </w:p>
        </w:tc>
        <w:tc>
          <w:tcPr>
            <w:tcW w:w="1690" w:type="dxa"/>
          </w:tcPr>
          <w:p w14:paraId="6CABFC40" w14:textId="21213F5B" w:rsidR="00D96C02" w:rsidRDefault="00D96C02" w:rsidP="00D769EA">
            <w:pPr>
              <w:pStyle w:val="TableCopy"/>
              <w:jc w:val="right"/>
            </w:pPr>
            <w:r>
              <w:t>135</w:t>
            </w:r>
          </w:p>
        </w:tc>
        <w:tc>
          <w:tcPr>
            <w:tcW w:w="1777" w:type="dxa"/>
          </w:tcPr>
          <w:p w14:paraId="1CF9261D" w14:textId="6E4A54F6" w:rsidR="00D96C02" w:rsidRDefault="00D96C02" w:rsidP="00D769EA">
            <w:pPr>
              <w:pStyle w:val="TableCopy"/>
              <w:jc w:val="right"/>
            </w:pPr>
            <w:r>
              <w:t>–</w:t>
            </w:r>
          </w:p>
        </w:tc>
        <w:tc>
          <w:tcPr>
            <w:tcW w:w="1777" w:type="dxa"/>
          </w:tcPr>
          <w:p w14:paraId="1D37F656" w14:textId="77777777" w:rsidR="00D96C02" w:rsidRDefault="00D96C02" w:rsidP="00D769EA">
            <w:pPr>
              <w:pStyle w:val="TableCopy"/>
              <w:jc w:val="right"/>
            </w:pPr>
            <w:r>
              <w:t>(1)</w:t>
            </w:r>
          </w:p>
        </w:tc>
        <w:tc>
          <w:tcPr>
            <w:tcW w:w="1777" w:type="dxa"/>
          </w:tcPr>
          <w:p w14:paraId="06F205E1" w14:textId="066E1B60" w:rsidR="00D96C02" w:rsidRDefault="00D96C02" w:rsidP="00D769EA">
            <w:pPr>
              <w:pStyle w:val="TableCopy"/>
              <w:jc w:val="right"/>
            </w:pPr>
            <w:r>
              <w:t>–</w:t>
            </w:r>
          </w:p>
        </w:tc>
        <w:tc>
          <w:tcPr>
            <w:tcW w:w="1778" w:type="dxa"/>
          </w:tcPr>
          <w:p w14:paraId="0DD84AE7" w14:textId="77777777" w:rsidR="00D96C02" w:rsidRDefault="00D96C02" w:rsidP="00D769EA">
            <w:pPr>
              <w:pStyle w:val="TableCopy"/>
              <w:jc w:val="right"/>
            </w:pPr>
            <w:r>
              <w:t>(19)</w:t>
            </w:r>
          </w:p>
        </w:tc>
      </w:tr>
      <w:tr w:rsidR="00D96C02" w14:paraId="408008C6" w14:textId="77777777" w:rsidTr="00D769EA">
        <w:trPr>
          <w:trHeight w:val="333"/>
        </w:trPr>
        <w:tc>
          <w:tcPr>
            <w:tcW w:w="4248" w:type="dxa"/>
          </w:tcPr>
          <w:p w14:paraId="4A412811" w14:textId="19890787" w:rsidR="00D96C02" w:rsidRDefault="00D96C02" w:rsidP="00D96C02">
            <w:pPr>
              <w:pStyle w:val="TableCopy"/>
            </w:pPr>
            <w:r>
              <w:t>Unearned income</w:t>
            </w:r>
          </w:p>
        </w:tc>
        <w:tc>
          <w:tcPr>
            <w:tcW w:w="1690" w:type="dxa"/>
          </w:tcPr>
          <w:p w14:paraId="40AAF85B" w14:textId="7416252F" w:rsidR="00D96C02" w:rsidRDefault="00D96C02" w:rsidP="00D769EA">
            <w:pPr>
              <w:pStyle w:val="TableCopy"/>
              <w:jc w:val="right"/>
            </w:pPr>
            <w:r>
              <w:t>–</w:t>
            </w:r>
          </w:p>
        </w:tc>
        <w:tc>
          <w:tcPr>
            <w:tcW w:w="1690" w:type="dxa"/>
          </w:tcPr>
          <w:p w14:paraId="7A068F46" w14:textId="03AFED3D" w:rsidR="00D96C02" w:rsidRDefault="00D96C02" w:rsidP="00D769EA">
            <w:pPr>
              <w:pStyle w:val="TableCopy"/>
              <w:jc w:val="right"/>
            </w:pPr>
            <w:r>
              <w:t>–</w:t>
            </w:r>
          </w:p>
        </w:tc>
        <w:tc>
          <w:tcPr>
            <w:tcW w:w="1777" w:type="dxa"/>
          </w:tcPr>
          <w:p w14:paraId="68B376EC" w14:textId="48BC9E89" w:rsidR="00D96C02" w:rsidRDefault="00D96C02" w:rsidP="00D769EA">
            <w:pPr>
              <w:pStyle w:val="TableCopy"/>
              <w:jc w:val="right"/>
            </w:pPr>
            <w:r>
              <w:t>–</w:t>
            </w:r>
          </w:p>
        </w:tc>
        <w:tc>
          <w:tcPr>
            <w:tcW w:w="1777" w:type="dxa"/>
          </w:tcPr>
          <w:p w14:paraId="47E63DBC" w14:textId="29545E40" w:rsidR="00D96C02" w:rsidRDefault="00D96C02" w:rsidP="00D769EA">
            <w:pPr>
              <w:pStyle w:val="TableCopy"/>
              <w:jc w:val="right"/>
            </w:pPr>
            <w:r>
              <w:t>–</w:t>
            </w:r>
          </w:p>
        </w:tc>
        <w:tc>
          <w:tcPr>
            <w:tcW w:w="1777" w:type="dxa"/>
          </w:tcPr>
          <w:p w14:paraId="66DB34C1" w14:textId="2422D03B" w:rsidR="00D96C02" w:rsidRDefault="00D96C02" w:rsidP="00D769EA">
            <w:pPr>
              <w:pStyle w:val="TableCopy"/>
              <w:jc w:val="right"/>
            </w:pPr>
            <w:r>
              <w:t>–</w:t>
            </w:r>
          </w:p>
        </w:tc>
        <w:tc>
          <w:tcPr>
            <w:tcW w:w="1778" w:type="dxa"/>
          </w:tcPr>
          <w:p w14:paraId="0283B9B1" w14:textId="669B2579" w:rsidR="00D96C02" w:rsidRDefault="00D96C02" w:rsidP="00D769EA">
            <w:pPr>
              <w:pStyle w:val="TableCopy"/>
              <w:jc w:val="right"/>
            </w:pPr>
            <w:r>
              <w:t>960</w:t>
            </w:r>
          </w:p>
        </w:tc>
      </w:tr>
      <w:tr w:rsidR="00D96C02" w14:paraId="6C6599CC" w14:textId="77777777" w:rsidTr="00D769EA">
        <w:trPr>
          <w:trHeight w:val="113"/>
        </w:trPr>
        <w:tc>
          <w:tcPr>
            <w:tcW w:w="4248" w:type="dxa"/>
          </w:tcPr>
          <w:p w14:paraId="0ADD5EA3" w14:textId="2D0A8862" w:rsidR="00D96C02" w:rsidRDefault="00D96C02" w:rsidP="00D96C02">
            <w:pPr>
              <w:pStyle w:val="TableCopy"/>
            </w:pPr>
            <w:r>
              <w:t>Interest bearing liabilities</w:t>
            </w:r>
          </w:p>
        </w:tc>
        <w:tc>
          <w:tcPr>
            <w:tcW w:w="1690" w:type="dxa"/>
          </w:tcPr>
          <w:p w14:paraId="69844A5C" w14:textId="461A0566" w:rsidR="00D96C02" w:rsidRDefault="00D96C02" w:rsidP="00D769EA">
            <w:pPr>
              <w:pStyle w:val="TableCopy"/>
              <w:jc w:val="right"/>
            </w:pPr>
            <w:r>
              <w:t>–</w:t>
            </w:r>
          </w:p>
        </w:tc>
        <w:tc>
          <w:tcPr>
            <w:tcW w:w="1690" w:type="dxa"/>
          </w:tcPr>
          <w:p w14:paraId="13259FA4" w14:textId="1CFFA4F4" w:rsidR="00D96C02" w:rsidRDefault="00D96C02" w:rsidP="00D769EA">
            <w:pPr>
              <w:pStyle w:val="TableCopy"/>
              <w:jc w:val="right"/>
            </w:pPr>
            <w:r>
              <w:t>–</w:t>
            </w:r>
          </w:p>
        </w:tc>
        <w:tc>
          <w:tcPr>
            <w:tcW w:w="1777" w:type="dxa"/>
          </w:tcPr>
          <w:p w14:paraId="2569FF7E" w14:textId="2850CEC8" w:rsidR="00D96C02" w:rsidRDefault="00D96C02" w:rsidP="00D769EA">
            <w:pPr>
              <w:pStyle w:val="TableCopy"/>
              <w:jc w:val="right"/>
            </w:pPr>
            <w:r>
              <w:t>–</w:t>
            </w:r>
          </w:p>
        </w:tc>
        <w:tc>
          <w:tcPr>
            <w:tcW w:w="1777" w:type="dxa"/>
          </w:tcPr>
          <w:p w14:paraId="6E7B3EFD" w14:textId="5176DA74" w:rsidR="00D96C02" w:rsidRDefault="00D96C02" w:rsidP="00D769EA">
            <w:pPr>
              <w:pStyle w:val="TableCopy"/>
              <w:jc w:val="right"/>
            </w:pPr>
            <w:r>
              <w:t>–</w:t>
            </w:r>
          </w:p>
        </w:tc>
        <w:tc>
          <w:tcPr>
            <w:tcW w:w="1777" w:type="dxa"/>
          </w:tcPr>
          <w:p w14:paraId="092C7549" w14:textId="4D6C8545" w:rsidR="00D96C02" w:rsidRDefault="00D96C02" w:rsidP="00D769EA">
            <w:pPr>
              <w:pStyle w:val="TableCopy"/>
              <w:jc w:val="right"/>
            </w:pPr>
            <w:r>
              <w:t>–</w:t>
            </w:r>
          </w:p>
        </w:tc>
        <w:tc>
          <w:tcPr>
            <w:tcW w:w="1778" w:type="dxa"/>
          </w:tcPr>
          <w:p w14:paraId="099C314A" w14:textId="57417BC3" w:rsidR="00D96C02" w:rsidRDefault="00D96C02" w:rsidP="00D769EA">
            <w:pPr>
              <w:pStyle w:val="TableCopy"/>
              <w:jc w:val="right"/>
            </w:pPr>
            <w:r>
              <w:t>95</w:t>
            </w:r>
          </w:p>
        </w:tc>
      </w:tr>
      <w:tr w:rsidR="00D96C02" w:rsidRPr="00D96C02" w14:paraId="1DA01437" w14:textId="77777777" w:rsidTr="00D769EA">
        <w:trPr>
          <w:trHeight w:val="113"/>
        </w:trPr>
        <w:tc>
          <w:tcPr>
            <w:tcW w:w="4248" w:type="dxa"/>
          </w:tcPr>
          <w:p w14:paraId="10CA22BF" w14:textId="6BF46C7C" w:rsidR="00D96C02" w:rsidRPr="00D96C02" w:rsidRDefault="00D96C02" w:rsidP="00D96C02">
            <w:pPr>
              <w:pStyle w:val="TableCopy"/>
              <w:rPr>
                <w:b/>
                <w:bCs/>
              </w:rPr>
            </w:pPr>
            <w:r w:rsidRPr="00D96C02">
              <w:rPr>
                <w:b/>
                <w:bCs/>
              </w:rPr>
              <w:t>Total administered liabilities</w:t>
            </w:r>
          </w:p>
        </w:tc>
        <w:tc>
          <w:tcPr>
            <w:tcW w:w="1690" w:type="dxa"/>
          </w:tcPr>
          <w:p w14:paraId="35A3A1C6" w14:textId="56B5E8FF" w:rsidR="00D96C02" w:rsidRPr="00D96C02" w:rsidRDefault="00D96C02" w:rsidP="00D769EA">
            <w:pPr>
              <w:pStyle w:val="TableCopy"/>
              <w:jc w:val="right"/>
              <w:rPr>
                <w:b/>
                <w:bCs/>
              </w:rPr>
            </w:pPr>
            <w:r w:rsidRPr="00D96C02">
              <w:rPr>
                <w:b/>
                <w:bCs/>
              </w:rPr>
              <w:t>–</w:t>
            </w:r>
          </w:p>
        </w:tc>
        <w:tc>
          <w:tcPr>
            <w:tcW w:w="1690" w:type="dxa"/>
          </w:tcPr>
          <w:p w14:paraId="6181FF18" w14:textId="1BB85482" w:rsidR="00D96C02" w:rsidRPr="00D96C02" w:rsidRDefault="00D96C02" w:rsidP="00D769EA">
            <w:pPr>
              <w:pStyle w:val="TableCopy"/>
              <w:jc w:val="right"/>
              <w:rPr>
                <w:b/>
                <w:bCs/>
              </w:rPr>
            </w:pPr>
            <w:r w:rsidRPr="00D96C02">
              <w:rPr>
                <w:b/>
                <w:bCs/>
              </w:rPr>
              <w:t>135</w:t>
            </w:r>
          </w:p>
        </w:tc>
        <w:tc>
          <w:tcPr>
            <w:tcW w:w="1777" w:type="dxa"/>
          </w:tcPr>
          <w:p w14:paraId="53243793" w14:textId="43562A75" w:rsidR="00D96C02" w:rsidRPr="00D96C02" w:rsidRDefault="00D96C02" w:rsidP="00D769EA">
            <w:pPr>
              <w:pStyle w:val="TableCopy"/>
              <w:jc w:val="right"/>
              <w:rPr>
                <w:b/>
                <w:bCs/>
              </w:rPr>
            </w:pPr>
            <w:r w:rsidRPr="00D96C02">
              <w:rPr>
                <w:b/>
                <w:bCs/>
              </w:rPr>
              <w:t>–</w:t>
            </w:r>
          </w:p>
        </w:tc>
        <w:tc>
          <w:tcPr>
            <w:tcW w:w="1777" w:type="dxa"/>
          </w:tcPr>
          <w:p w14:paraId="2F74E5E9" w14:textId="77777777" w:rsidR="00D96C02" w:rsidRPr="00D96C02" w:rsidRDefault="00D96C02" w:rsidP="00D769EA">
            <w:pPr>
              <w:pStyle w:val="TableCopy"/>
              <w:jc w:val="right"/>
              <w:rPr>
                <w:b/>
                <w:bCs/>
              </w:rPr>
            </w:pPr>
            <w:r w:rsidRPr="00D96C02">
              <w:rPr>
                <w:b/>
                <w:bCs/>
              </w:rPr>
              <w:t>(1)</w:t>
            </w:r>
          </w:p>
        </w:tc>
        <w:tc>
          <w:tcPr>
            <w:tcW w:w="1777" w:type="dxa"/>
          </w:tcPr>
          <w:p w14:paraId="32A4D783" w14:textId="4A6109BE" w:rsidR="00D96C02" w:rsidRPr="00D96C02" w:rsidRDefault="00D96C02" w:rsidP="00D769EA">
            <w:pPr>
              <w:pStyle w:val="TableCopy"/>
              <w:jc w:val="right"/>
              <w:rPr>
                <w:b/>
                <w:bCs/>
              </w:rPr>
            </w:pPr>
            <w:r w:rsidRPr="00D96C02">
              <w:rPr>
                <w:b/>
                <w:bCs/>
              </w:rPr>
              <w:t>–</w:t>
            </w:r>
          </w:p>
        </w:tc>
        <w:tc>
          <w:tcPr>
            <w:tcW w:w="1778" w:type="dxa"/>
          </w:tcPr>
          <w:p w14:paraId="78EC9B72" w14:textId="07BF9BEA" w:rsidR="00D96C02" w:rsidRPr="00D96C02" w:rsidRDefault="00D96C02" w:rsidP="00D769EA">
            <w:pPr>
              <w:pStyle w:val="TableCopy"/>
              <w:jc w:val="right"/>
              <w:rPr>
                <w:b/>
                <w:bCs/>
              </w:rPr>
            </w:pPr>
            <w:r w:rsidRPr="00D96C02">
              <w:rPr>
                <w:b/>
                <w:bCs/>
              </w:rPr>
              <w:t>1,036</w:t>
            </w:r>
          </w:p>
        </w:tc>
      </w:tr>
      <w:tr w:rsidR="00D96C02" w:rsidRPr="00D96C02" w14:paraId="134E5CEB" w14:textId="77777777" w:rsidTr="00D769EA">
        <w:trPr>
          <w:trHeight w:val="113"/>
        </w:trPr>
        <w:tc>
          <w:tcPr>
            <w:tcW w:w="4248" w:type="dxa"/>
          </w:tcPr>
          <w:p w14:paraId="7B9D342E" w14:textId="60FC6C2E" w:rsidR="00D96C02" w:rsidRPr="00D96C02" w:rsidRDefault="00D96C02" w:rsidP="00D96C02">
            <w:pPr>
              <w:pStyle w:val="TableCopy"/>
              <w:rPr>
                <w:b/>
                <w:bCs/>
              </w:rPr>
            </w:pPr>
            <w:r w:rsidRPr="00D96C02">
              <w:rPr>
                <w:b/>
                <w:bCs/>
              </w:rPr>
              <w:t>Total administered net assets</w:t>
            </w:r>
          </w:p>
        </w:tc>
        <w:tc>
          <w:tcPr>
            <w:tcW w:w="1690" w:type="dxa"/>
          </w:tcPr>
          <w:p w14:paraId="58E7C5D7" w14:textId="401E487D" w:rsidR="00D96C02" w:rsidRPr="00D96C02" w:rsidRDefault="00D96C02" w:rsidP="00D769EA">
            <w:pPr>
              <w:pStyle w:val="TableCopy"/>
              <w:jc w:val="right"/>
              <w:rPr>
                <w:b/>
                <w:bCs/>
              </w:rPr>
            </w:pPr>
            <w:r w:rsidRPr="00D96C02">
              <w:rPr>
                <w:b/>
                <w:bCs/>
              </w:rPr>
              <w:t>–</w:t>
            </w:r>
          </w:p>
        </w:tc>
        <w:tc>
          <w:tcPr>
            <w:tcW w:w="1690" w:type="dxa"/>
          </w:tcPr>
          <w:p w14:paraId="4E9DB022" w14:textId="64CFC5DD" w:rsidR="00D96C02" w:rsidRPr="00D96C02" w:rsidRDefault="00D96C02" w:rsidP="00D769EA">
            <w:pPr>
              <w:pStyle w:val="TableCopy"/>
              <w:jc w:val="right"/>
              <w:rPr>
                <w:b/>
                <w:bCs/>
              </w:rPr>
            </w:pPr>
            <w:r w:rsidRPr="00D96C02">
              <w:rPr>
                <w:b/>
                <w:bCs/>
              </w:rPr>
              <w:t>33,027</w:t>
            </w:r>
          </w:p>
        </w:tc>
        <w:tc>
          <w:tcPr>
            <w:tcW w:w="1777" w:type="dxa"/>
          </w:tcPr>
          <w:p w14:paraId="127AD8D4" w14:textId="5809F58D" w:rsidR="00D96C02" w:rsidRPr="00D96C02" w:rsidRDefault="00D96C02" w:rsidP="00D769EA">
            <w:pPr>
              <w:pStyle w:val="TableCopy"/>
              <w:jc w:val="right"/>
              <w:rPr>
                <w:b/>
                <w:bCs/>
              </w:rPr>
            </w:pPr>
            <w:r w:rsidRPr="00D96C02">
              <w:rPr>
                <w:b/>
                <w:bCs/>
              </w:rPr>
              <w:t>–</w:t>
            </w:r>
          </w:p>
        </w:tc>
        <w:tc>
          <w:tcPr>
            <w:tcW w:w="1777" w:type="dxa"/>
          </w:tcPr>
          <w:p w14:paraId="0DDCF3A4" w14:textId="111DF52C" w:rsidR="00D96C02" w:rsidRPr="00D96C02" w:rsidRDefault="00D96C02" w:rsidP="00D769EA">
            <w:pPr>
              <w:pStyle w:val="TableCopy"/>
              <w:jc w:val="right"/>
              <w:rPr>
                <w:b/>
                <w:bCs/>
              </w:rPr>
            </w:pPr>
            <w:r w:rsidRPr="00D96C02">
              <w:rPr>
                <w:b/>
                <w:bCs/>
              </w:rPr>
              <w:t>87</w:t>
            </w:r>
          </w:p>
        </w:tc>
        <w:tc>
          <w:tcPr>
            <w:tcW w:w="1777" w:type="dxa"/>
          </w:tcPr>
          <w:p w14:paraId="707B9E03" w14:textId="2819377F" w:rsidR="00D96C02" w:rsidRPr="00D96C02" w:rsidRDefault="00D96C02" w:rsidP="00D769EA">
            <w:pPr>
              <w:pStyle w:val="TableCopy"/>
              <w:jc w:val="right"/>
              <w:rPr>
                <w:b/>
                <w:bCs/>
              </w:rPr>
            </w:pPr>
            <w:r w:rsidRPr="00D96C02">
              <w:rPr>
                <w:b/>
                <w:bCs/>
              </w:rPr>
              <w:t>–</w:t>
            </w:r>
          </w:p>
        </w:tc>
        <w:tc>
          <w:tcPr>
            <w:tcW w:w="1778" w:type="dxa"/>
          </w:tcPr>
          <w:p w14:paraId="5169C536" w14:textId="6A72D542" w:rsidR="00D96C02" w:rsidRPr="00D96C02" w:rsidRDefault="00D96C02" w:rsidP="00D769EA">
            <w:pPr>
              <w:pStyle w:val="TableCopy"/>
              <w:jc w:val="right"/>
              <w:rPr>
                <w:b/>
                <w:bCs/>
              </w:rPr>
            </w:pPr>
            <w:r w:rsidRPr="00D96C02">
              <w:rPr>
                <w:b/>
                <w:bCs/>
              </w:rPr>
              <w:t>107,165</w:t>
            </w:r>
          </w:p>
        </w:tc>
      </w:tr>
    </w:tbl>
    <w:p w14:paraId="404F66BB" w14:textId="0FA644D9" w:rsidR="000756EB" w:rsidRDefault="000756EB" w:rsidP="00D96C02"/>
    <w:p w14:paraId="070EE94C" w14:textId="7C972059" w:rsidR="00D769EA" w:rsidRDefault="00D769EA" w:rsidP="00D769EA">
      <w:pPr>
        <w:pStyle w:val="Heading3"/>
      </w:pPr>
      <w:r>
        <w:lastRenderedPageBreak/>
        <w:t>4.2.3</w:t>
      </w:r>
      <w:r w:rsidR="00DE38B5">
        <w:t xml:space="preserve"> </w:t>
      </w:r>
      <w:r>
        <w:t xml:space="preserve">Administered assets and liabilities </w:t>
      </w:r>
      <w:proofErr w:type="gramStart"/>
      <w:r>
        <w:t>at</w:t>
      </w:r>
      <w:proofErr w:type="gramEnd"/>
      <w:r>
        <w:t xml:space="preserve"> 30 June 2023 (continued) Outputs transferred out as part of Machinery-of-Governments Change (continued)</w:t>
      </w:r>
    </w:p>
    <w:tbl>
      <w:tblPr>
        <w:tblStyle w:val="TableGrid"/>
        <w:tblW w:w="15021" w:type="dxa"/>
        <w:tblLayout w:type="fixed"/>
        <w:tblLook w:val="0020" w:firstRow="1" w:lastRow="0" w:firstColumn="0" w:lastColumn="0" w:noHBand="0" w:noVBand="0"/>
      </w:tblPr>
      <w:tblGrid>
        <w:gridCol w:w="3114"/>
        <w:gridCol w:w="1228"/>
        <w:gridCol w:w="1189"/>
        <w:gridCol w:w="1092"/>
        <w:gridCol w:w="1090"/>
        <w:gridCol w:w="1206"/>
        <w:gridCol w:w="1190"/>
        <w:gridCol w:w="1226"/>
        <w:gridCol w:w="1237"/>
        <w:gridCol w:w="1173"/>
        <w:gridCol w:w="1276"/>
      </w:tblGrid>
      <w:tr w:rsidR="00D769EA" w:rsidRPr="00D96C02" w14:paraId="554CEB3D" w14:textId="77777777" w:rsidTr="00652DE3">
        <w:trPr>
          <w:trHeight w:val="113"/>
          <w:tblHeader/>
        </w:trPr>
        <w:tc>
          <w:tcPr>
            <w:tcW w:w="3114" w:type="dxa"/>
          </w:tcPr>
          <w:p w14:paraId="037BDDD4" w14:textId="77777777" w:rsidR="00D769EA" w:rsidRPr="00D96C02" w:rsidRDefault="00D769EA" w:rsidP="00F8467A">
            <w:pPr>
              <w:pStyle w:val="TableColumnHeading"/>
              <w:rPr>
                <w:rFonts w:asciiTheme="minorHAnsi" w:hAnsiTheme="minorHAnsi" w:cstheme="minorHAnsi"/>
                <w:sz w:val="20"/>
                <w:szCs w:val="28"/>
              </w:rPr>
            </w:pPr>
            <w:bookmarkStart w:id="58" w:name="ColumnTitles_34"/>
            <w:bookmarkEnd w:id="58"/>
          </w:p>
        </w:tc>
        <w:tc>
          <w:tcPr>
            <w:tcW w:w="1228" w:type="dxa"/>
          </w:tcPr>
          <w:p w14:paraId="74661DD7" w14:textId="0CF2929B" w:rsidR="00D769EA" w:rsidRPr="00D96C02" w:rsidRDefault="00D769EA" w:rsidP="00B919A5">
            <w:pPr>
              <w:pStyle w:val="TableColumnHeading"/>
              <w:jc w:val="right"/>
              <w:rPr>
                <w:rFonts w:asciiTheme="minorHAnsi" w:hAnsiTheme="minorHAnsi" w:cstheme="minorHAnsi"/>
                <w:sz w:val="20"/>
                <w:szCs w:val="28"/>
              </w:rPr>
            </w:pPr>
            <w:r w:rsidRPr="00D96C02">
              <w:rPr>
                <w:rFonts w:asciiTheme="minorHAnsi" w:hAnsiTheme="minorHAnsi" w:cstheme="minorHAnsi"/>
                <w:sz w:val="20"/>
                <w:szCs w:val="28"/>
              </w:rPr>
              <w:t>Sport, Recreation and Racing (Racing function)</w:t>
            </w:r>
            <w:r w:rsidRPr="00614829">
              <w:rPr>
                <w:rStyle w:val="FootnotereferencessuperscriptMisc"/>
                <w:sz w:val="20"/>
                <w:szCs w:val="28"/>
              </w:rPr>
              <w:t xml:space="preserve"> (ii)</w:t>
            </w:r>
            <w:r>
              <w:rPr>
                <w:rFonts w:asciiTheme="minorHAnsi" w:hAnsiTheme="minorHAnsi" w:cstheme="minorHAnsi"/>
                <w:sz w:val="20"/>
                <w:szCs w:val="28"/>
              </w:rPr>
              <w:t xml:space="preserve"> </w:t>
            </w:r>
            <w:r w:rsidRPr="00D96C02">
              <w:rPr>
                <w:rFonts w:asciiTheme="minorHAnsi" w:hAnsiTheme="minorHAnsi" w:cstheme="minorHAnsi"/>
                <w:sz w:val="20"/>
                <w:szCs w:val="28"/>
              </w:rPr>
              <w:t>2023 ($ thousand)</w:t>
            </w:r>
          </w:p>
        </w:tc>
        <w:tc>
          <w:tcPr>
            <w:tcW w:w="1189" w:type="dxa"/>
          </w:tcPr>
          <w:p w14:paraId="0C93BB8B" w14:textId="270B9091" w:rsidR="00D769EA" w:rsidRPr="00D96C02" w:rsidRDefault="00D769EA" w:rsidP="00B919A5">
            <w:pPr>
              <w:pStyle w:val="TableColumnHeading"/>
              <w:jc w:val="right"/>
              <w:rPr>
                <w:rFonts w:asciiTheme="minorHAnsi" w:hAnsiTheme="minorHAnsi" w:cstheme="minorHAnsi"/>
                <w:sz w:val="20"/>
                <w:szCs w:val="28"/>
              </w:rPr>
            </w:pPr>
            <w:r w:rsidRPr="00D96C02">
              <w:rPr>
                <w:rFonts w:asciiTheme="minorHAnsi" w:hAnsiTheme="minorHAnsi" w:cstheme="minorHAnsi"/>
                <w:sz w:val="20"/>
                <w:szCs w:val="28"/>
              </w:rPr>
              <w:t>Sport, Recreation and Racing (Racing function)</w:t>
            </w:r>
            <w:r w:rsidRPr="00614829">
              <w:rPr>
                <w:rStyle w:val="FootnotereferencessuperscriptMisc"/>
                <w:sz w:val="20"/>
                <w:szCs w:val="28"/>
              </w:rPr>
              <w:t xml:space="preserve"> (ii)</w:t>
            </w:r>
            <w:r>
              <w:rPr>
                <w:rFonts w:asciiTheme="minorHAnsi" w:hAnsiTheme="minorHAnsi" w:cstheme="minorHAnsi"/>
                <w:sz w:val="20"/>
                <w:szCs w:val="28"/>
              </w:rPr>
              <w:t xml:space="preserve"> </w:t>
            </w:r>
            <w:r w:rsidRPr="00D96C02">
              <w:rPr>
                <w:rFonts w:asciiTheme="minorHAnsi" w:hAnsiTheme="minorHAnsi" w:cstheme="minorHAnsi"/>
                <w:sz w:val="20"/>
                <w:szCs w:val="28"/>
              </w:rPr>
              <w:t>2022</w:t>
            </w:r>
            <w:r>
              <w:rPr>
                <w:rFonts w:asciiTheme="minorHAnsi" w:hAnsiTheme="minorHAnsi" w:cstheme="minorHAnsi"/>
                <w:sz w:val="20"/>
                <w:szCs w:val="28"/>
              </w:rPr>
              <w:t xml:space="preserve"> </w:t>
            </w:r>
            <w:r w:rsidRPr="00D96C02">
              <w:rPr>
                <w:rFonts w:asciiTheme="minorHAnsi" w:hAnsiTheme="minorHAnsi" w:cstheme="minorHAnsi"/>
                <w:sz w:val="20"/>
                <w:szCs w:val="28"/>
              </w:rPr>
              <w:t>($ thousand)</w:t>
            </w:r>
          </w:p>
        </w:tc>
        <w:tc>
          <w:tcPr>
            <w:tcW w:w="1092" w:type="dxa"/>
          </w:tcPr>
          <w:p w14:paraId="1A8E6F7B" w14:textId="5B569CA6" w:rsidR="00D769EA" w:rsidRPr="00D96C02" w:rsidRDefault="00D769EA" w:rsidP="00B919A5">
            <w:pPr>
              <w:pStyle w:val="TableColumnHeading"/>
              <w:jc w:val="right"/>
              <w:rPr>
                <w:rFonts w:asciiTheme="minorHAnsi" w:hAnsiTheme="minorHAnsi" w:cstheme="minorHAnsi"/>
                <w:sz w:val="20"/>
                <w:szCs w:val="28"/>
              </w:rPr>
            </w:pPr>
            <w:r w:rsidRPr="00D96C02">
              <w:rPr>
                <w:rFonts w:asciiTheme="minorHAnsi" w:hAnsiTheme="minorHAnsi" w:cstheme="minorHAnsi"/>
                <w:sz w:val="20"/>
                <w:szCs w:val="28"/>
              </w:rPr>
              <w:t>Local Govern</w:t>
            </w:r>
            <w:r>
              <w:rPr>
                <w:rFonts w:asciiTheme="minorHAnsi" w:hAnsiTheme="minorHAnsi" w:cstheme="minorHAnsi"/>
                <w:sz w:val="20"/>
                <w:szCs w:val="28"/>
              </w:rPr>
              <w:t>-</w:t>
            </w:r>
            <w:proofErr w:type="spellStart"/>
            <w:r w:rsidRPr="00D96C02">
              <w:rPr>
                <w:rFonts w:asciiTheme="minorHAnsi" w:hAnsiTheme="minorHAnsi" w:cstheme="minorHAnsi"/>
                <w:sz w:val="20"/>
                <w:szCs w:val="28"/>
              </w:rPr>
              <w:t>ment</w:t>
            </w:r>
            <w:proofErr w:type="spellEnd"/>
            <w:r w:rsidRPr="00D96C02">
              <w:rPr>
                <w:rFonts w:asciiTheme="minorHAnsi" w:hAnsiTheme="minorHAnsi" w:cstheme="minorHAnsi"/>
                <w:sz w:val="20"/>
                <w:szCs w:val="28"/>
              </w:rPr>
              <w:t xml:space="preserve"> and Suburban Develop</w:t>
            </w:r>
            <w:r>
              <w:rPr>
                <w:rFonts w:asciiTheme="minorHAnsi" w:hAnsiTheme="minorHAnsi" w:cstheme="minorHAnsi"/>
                <w:sz w:val="20"/>
                <w:szCs w:val="28"/>
              </w:rPr>
              <w:t>-</w:t>
            </w:r>
            <w:proofErr w:type="spellStart"/>
            <w:r w:rsidRPr="00D96C02">
              <w:rPr>
                <w:rFonts w:asciiTheme="minorHAnsi" w:hAnsiTheme="minorHAnsi" w:cstheme="minorHAnsi"/>
                <w:sz w:val="20"/>
                <w:szCs w:val="28"/>
              </w:rPr>
              <w:t>ment</w:t>
            </w:r>
            <w:proofErr w:type="spellEnd"/>
            <w:r w:rsidRPr="00D96C02">
              <w:rPr>
                <w:rFonts w:asciiTheme="minorHAnsi" w:hAnsiTheme="minorHAnsi" w:cstheme="minorHAnsi"/>
                <w:sz w:val="20"/>
                <w:szCs w:val="28"/>
              </w:rPr>
              <w:t xml:space="preserve"> </w:t>
            </w:r>
            <w:r w:rsidRPr="00D96C02">
              <w:rPr>
                <w:rFonts w:asciiTheme="minorHAnsi" w:hAnsiTheme="minorHAnsi" w:cstheme="minorHAnsi"/>
                <w:spacing w:val="-4"/>
                <w:sz w:val="20"/>
                <w:szCs w:val="28"/>
              </w:rPr>
              <w:t>(Local Govern</w:t>
            </w:r>
            <w:r>
              <w:rPr>
                <w:rFonts w:asciiTheme="minorHAnsi" w:hAnsiTheme="minorHAnsi" w:cstheme="minorHAnsi"/>
                <w:spacing w:val="-4"/>
                <w:sz w:val="20"/>
                <w:szCs w:val="28"/>
              </w:rPr>
              <w:t>-</w:t>
            </w:r>
            <w:proofErr w:type="spellStart"/>
            <w:r w:rsidRPr="00D96C02">
              <w:rPr>
                <w:rFonts w:asciiTheme="minorHAnsi" w:hAnsiTheme="minorHAnsi" w:cstheme="minorHAnsi"/>
                <w:spacing w:val="-4"/>
                <w:sz w:val="20"/>
                <w:szCs w:val="28"/>
              </w:rPr>
              <w:t>ment</w:t>
            </w:r>
            <w:proofErr w:type="spellEnd"/>
            <w:r w:rsidRPr="00D96C02">
              <w:rPr>
                <w:rFonts w:asciiTheme="minorHAnsi" w:hAnsiTheme="minorHAnsi" w:cstheme="minorHAnsi"/>
                <w:spacing w:val="-4"/>
                <w:sz w:val="20"/>
                <w:szCs w:val="28"/>
              </w:rPr>
              <w:t xml:space="preserve"> function)</w:t>
            </w:r>
            <w:r w:rsidRPr="00614829">
              <w:rPr>
                <w:rStyle w:val="FootnotereferencessuperscriptMisc"/>
                <w:spacing w:val="-4"/>
                <w:sz w:val="20"/>
                <w:szCs w:val="28"/>
              </w:rPr>
              <w:t xml:space="preserve"> (ii)</w:t>
            </w:r>
            <w:r>
              <w:rPr>
                <w:rFonts w:asciiTheme="minorHAnsi" w:hAnsiTheme="minorHAnsi" w:cstheme="minorHAnsi"/>
                <w:sz w:val="20"/>
                <w:szCs w:val="28"/>
              </w:rPr>
              <w:t xml:space="preserve"> </w:t>
            </w:r>
            <w:r w:rsidRPr="00D96C02">
              <w:rPr>
                <w:rFonts w:asciiTheme="minorHAnsi" w:hAnsiTheme="minorHAnsi" w:cstheme="minorHAnsi"/>
                <w:sz w:val="20"/>
                <w:szCs w:val="28"/>
              </w:rPr>
              <w:t>2023 ($ thousand)</w:t>
            </w:r>
          </w:p>
        </w:tc>
        <w:tc>
          <w:tcPr>
            <w:tcW w:w="1090" w:type="dxa"/>
          </w:tcPr>
          <w:p w14:paraId="65578D0F" w14:textId="4F68FFD6" w:rsidR="00D769EA" w:rsidRPr="00D96C02" w:rsidRDefault="00D769EA" w:rsidP="00B919A5">
            <w:pPr>
              <w:pStyle w:val="TableColumnHeading"/>
              <w:jc w:val="right"/>
              <w:rPr>
                <w:rFonts w:asciiTheme="minorHAnsi" w:hAnsiTheme="minorHAnsi" w:cstheme="minorHAnsi"/>
                <w:sz w:val="20"/>
                <w:szCs w:val="28"/>
              </w:rPr>
            </w:pPr>
            <w:r w:rsidRPr="00D96C02">
              <w:rPr>
                <w:rFonts w:asciiTheme="minorHAnsi" w:hAnsiTheme="minorHAnsi" w:cstheme="minorHAnsi"/>
                <w:sz w:val="20"/>
                <w:szCs w:val="28"/>
              </w:rPr>
              <w:t>Local Govern</w:t>
            </w:r>
            <w:r w:rsidR="00B919A5">
              <w:rPr>
                <w:rFonts w:asciiTheme="minorHAnsi" w:hAnsiTheme="minorHAnsi" w:cstheme="minorHAnsi"/>
                <w:sz w:val="20"/>
                <w:szCs w:val="28"/>
              </w:rPr>
              <w:t>-</w:t>
            </w:r>
            <w:proofErr w:type="spellStart"/>
            <w:r w:rsidRPr="00D96C02">
              <w:rPr>
                <w:rFonts w:asciiTheme="minorHAnsi" w:hAnsiTheme="minorHAnsi" w:cstheme="minorHAnsi"/>
                <w:sz w:val="20"/>
                <w:szCs w:val="28"/>
              </w:rPr>
              <w:t>ment</w:t>
            </w:r>
            <w:proofErr w:type="spellEnd"/>
            <w:r w:rsidRPr="00D96C02">
              <w:rPr>
                <w:rFonts w:asciiTheme="minorHAnsi" w:hAnsiTheme="minorHAnsi" w:cstheme="minorHAnsi"/>
                <w:sz w:val="20"/>
                <w:szCs w:val="28"/>
              </w:rPr>
              <w:t xml:space="preserve"> and Suburban Develop</w:t>
            </w:r>
            <w:r w:rsidR="00B919A5">
              <w:rPr>
                <w:rFonts w:asciiTheme="minorHAnsi" w:hAnsiTheme="minorHAnsi" w:cstheme="minorHAnsi"/>
                <w:sz w:val="20"/>
                <w:szCs w:val="28"/>
              </w:rPr>
              <w:t>-</w:t>
            </w:r>
            <w:proofErr w:type="spellStart"/>
            <w:r w:rsidRPr="00D96C02">
              <w:rPr>
                <w:rFonts w:asciiTheme="minorHAnsi" w:hAnsiTheme="minorHAnsi" w:cstheme="minorHAnsi"/>
                <w:sz w:val="20"/>
                <w:szCs w:val="28"/>
              </w:rPr>
              <w:t>ment</w:t>
            </w:r>
            <w:proofErr w:type="spellEnd"/>
            <w:r w:rsidRPr="00D96C02">
              <w:rPr>
                <w:rFonts w:asciiTheme="minorHAnsi" w:hAnsiTheme="minorHAnsi" w:cstheme="minorHAnsi"/>
                <w:sz w:val="20"/>
                <w:szCs w:val="28"/>
              </w:rPr>
              <w:t xml:space="preserve"> </w:t>
            </w:r>
            <w:r w:rsidRPr="00D96C02">
              <w:rPr>
                <w:rFonts w:asciiTheme="minorHAnsi" w:hAnsiTheme="minorHAnsi" w:cstheme="minorHAnsi"/>
                <w:spacing w:val="-4"/>
                <w:sz w:val="20"/>
                <w:szCs w:val="28"/>
              </w:rPr>
              <w:t>(Local Govern</w:t>
            </w:r>
            <w:r w:rsidR="00B919A5">
              <w:rPr>
                <w:rFonts w:asciiTheme="minorHAnsi" w:hAnsiTheme="minorHAnsi" w:cstheme="minorHAnsi"/>
                <w:spacing w:val="-4"/>
                <w:sz w:val="20"/>
                <w:szCs w:val="28"/>
              </w:rPr>
              <w:t>-</w:t>
            </w:r>
            <w:proofErr w:type="spellStart"/>
            <w:r w:rsidRPr="00D96C02">
              <w:rPr>
                <w:rFonts w:asciiTheme="minorHAnsi" w:hAnsiTheme="minorHAnsi" w:cstheme="minorHAnsi"/>
                <w:spacing w:val="-4"/>
                <w:sz w:val="20"/>
                <w:szCs w:val="28"/>
              </w:rPr>
              <w:t>ment</w:t>
            </w:r>
            <w:proofErr w:type="spellEnd"/>
            <w:r w:rsidRPr="00D96C02">
              <w:rPr>
                <w:rFonts w:asciiTheme="minorHAnsi" w:hAnsiTheme="minorHAnsi" w:cstheme="minorHAnsi"/>
                <w:spacing w:val="-4"/>
                <w:sz w:val="20"/>
                <w:szCs w:val="28"/>
              </w:rPr>
              <w:t xml:space="preserve"> function)</w:t>
            </w:r>
            <w:r w:rsidRPr="00614829">
              <w:rPr>
                <w:rStyle w:val="FootnotereferencessuperscriptMisc"/>
                <w:spacing w:val="-4"/>
                <w:sz w:val="20"/>
                <w:szCs w:val="28"/>
              </w:rPr>
              <w:t xml:space="preserve"> (ii)</w:t>
            </w:r>
            <w:r>
              <w:rPr>
                <w:rFonts w:asciiTheme="minorHAnsi" w:hAnsiTheme="minorHAnsi" w:cstheme="minorHAnsi"/>
                <w:sz w:val="20"/>
                <w:szCs w:val="28"/>
              </w:rPr>
              <w:t xml:space="preserve"> </w:t>
            </w:r>
            <w:r w:rsidRPr="00D96C02">
              <w:rPr>
                <w:rFonts w:asciiTheme="minorHAnsi" w:hAnsiTheme="minorHAnsi" w:cstheme="minorHAnsi"/>
                <w:sz w:val="20"/>
                <w:szCs w:val="28"/>
              </w:rPr>
              <w:t>2022</w:t>
            </w:r>
            <w:r>
              <w:rPr>
                <w:rFonts w:asciiTheme="minorHAnsi" w:hAnsiTheme="minorHAnsi" w:cstheme="minorHAnsi"/>
                <w:sz w:val="20"/>
                <w:szCs w:val="28"/>
              </w:rPr>
              <w:t xml:space="preserve"> </w:t>
            </w:r>
            <w:r w:rsidRPr="00D96C02">
              <w:rPr>
                <w:rFonts w:asciiTheme="minorHAnsi" w:hAnsiTheme="minorHAnsi" w:cstheme="minorHAnsi"/>
                <w:sz w:val="20"/>
                <w:szCs w:val="28"/>
              </w:rPr>
              <w:t>($ thousand)</w:t>
            </w:r>
          </w:p>
        </w:tc>
        <w:tc>
          <w:tcPr>
            <w:tcW w:w="1206" w:type="dxa"/>
          </w:tcPr>
          <w:p w14:paraId="6ACB6E4F" w14:textId="0892EFC5" w:rsidR="00D769EA" w:rsidRPr="00D96C02" w:rsidRDefault="00D769EA" w:rsidP="00B919A5">
            <w:pPr>
              <w:pStyle w:val="TableColumnHeading"/>
              <w:jc w:val="right"/>
              <w:rPr>
                <w:rFonts w:asciiTheme="minorHAnsi" w:hAnsiTheme="minorHAnsi" w:cstheme="minorHAnsi"/>
                <w:sz w:val="20"/>
                <w:szCs w:val="28"/>
              </w:rPr>
            </w:pPr>
            <w:r w:rsidRPr="00D96C02">
              <w:rPr>
                <w:rFonts w:asciiTheme="minorHAnsi" w:hAnsiTheme="minorHAnsi" w:cstheme="minorHAnsi"/>
                <w:sz w:val="20"/>
                <w:szCs w:val="28"/>
              </w:rPr>
              <w:t xml:space="preserve">Industry, Innovation, Medical Research and Small Business </w:t>
            </w:r>
            <w:r w:rsidRPr="00D96C02">
              <w:rPr>
                <w:rFonts w:asciiTheme="minorHAnsi" w:hAnsiTheme="minorHAnsi" w:cstheme="minorHAnsi"/>
                <w:spacing w:val="-4"/>
                <w:sz w:val="20"/>
                <w:szCs w:val="28"/>
              </w:rPr>
              <w:t>(Medical Research function)</w:t>
            </w:r>
            <w:r w:rsidRPr="00614829">
              <w:rPr>
                <w:rStyle w:val="FootnotereferencessuperscriptMisc"/>
                <w:spacing w:val="-4"/>
                <w:sz w:val="20"/>
                <w:szCs w:val="28"/>
              </w:rPr>
              <w:t xml:space="preserve"> (ii)</w:t>
            </w:r>
            <w:r>
              <w:rPr>
                <w:rFonts w:asciiTheme="minorHAnsi" w:hAnsiTheme="minorHAnsi" w:cstheme="minorHAnsi"/>
                <w:sz w:val="20"/>
                <w:szCs w:val="28"/>
              </w:rPr>
              <w:t xml:space="preserve"> </w:t>
            </w:r>
            <w:r w:rsidRPr="00D96C02">
              <w:rPr>
                <w:rFonts w:asciiTheme="minorHAnsi" w:hAnsiTheme="minorHAnsi" w:cstheme="minorHAnsi"/>
                <w:sz w:val="20"/>
                <w:szCs w:val="28"/>
              </w:rPr>
              <w:t>2023 ($ thousand)</w:t>
            </w:r>
          </w:p>
        </w:tc>
        <w:tc>
          <w:tcPr>
            <w:tcW w:w="1190" w:type="dxa"/>
          </w:tcPr>
          <w:p w14:paraId="1953C231" w14:textId="517C34C9" w:rsidR="00D769EA" w:rsidRPr="00D96C02" w:rsidRDefault="00D769EA" w:rsidP="00B919A5">
            <w:pPr>
              <w:pStyle w:val="TableColumnHeading"/>
              <w:jc w:val="right"/>
              <w:rPr>
                <w:rFonts w:asciiTheme="minorHAnsi" w:hAnsiTheme="minorHAnsi" w:cstheme="minorHAnsi"/>
                <w:sz w:val="20"/>
                <w:szCs w:val="28"/>
              </w:rPr>
            </w:pPr>
            <w:r w:rsidRPr="00D96C02">
              <w:rPr>
                <w:rFonts w:asciiTheme="minorHAnsi" w:hAnsiTheme="minorHAnsi" w:cstheme="minorHAnsi"/>
                <w:sz w:val="20"/>
                <w:szCs w:val="28"/>
              </w:rPr>
              <w:t xml:space="preserve">Industry, Innovation, Medical Research and Small Business </w:t>
            </w:r>
            <w:r w:rsidRPr="00D96C02">
              <w:rPr>
                <w:rFonts w:asciiTheme="minorHAnsi" w:hAnsiTheme="minorHAnsi" w:cstheme="minorHAnsi"/>
                <w:spacing w:val="-4"/>
                <w:sz w:val="20"/>
                <w:szCs w:val="28"/>
              </w:rPr>
              <w:t>(Medical Research function)</w:t>
            </w:r>
            <w:r w:rsidRPr="00614829">
              <w:rPr>
                <w:rStyle w:val="FootnotereferencessuperscriptMisc"/>
                <w:spacing w:val="-4"/>
                <w:sz w:val="20"/>
                <w:szCs w:val="28"/>
              </w:rPr>
              <w:t xml:space="preserve"> (ii)</w:t>
            </w:r>
            <w:r>
              <w:rPr>
                <w:rFonts w:asciiTheme="minorHAnsi" w:hAnsiTheme="minorHAnsi" w:cstheme="minorHAnsi"/>
                <w:sz w:val="20"/>
                <w:szCs w:val="28"/>
              </w:rPr>
              <w:t xml:space="preserve"> </w:t>
            </w:r>
            <w:r w:rsidRPr="00D96C02">
              <w:rPr>
                <w:rFonts w:asciiTheme="minorHAnsi" w:hAnsiTheme="minorHAnsi" w:cstheme="minorHAnsi"/>
                <w:sz w:val="20"/>
                <w:szCs w:val="28"/>
              </w:rPr>
              <w:t>2022</w:t>
            </w:r>
            <w:r>
              <w:rPr>
                <w:rFonts w:asciiTheme="minorHAnsi" w:hAnsiTheme="minorHAnsi" w:cstheme="minorHAnsi"/>
                <w:sz w:val="20"/>
                <w:szCs w:val="28"/>
              </w:rPr>
              <w:t xml:space="preserve"> </w:t>
            </w:r>
            <w:r w:rsidRPr="00D96C02">
              <w:rPr>
                <w:rFonts w:asciiTheme="minorHAnsi" w:hAnsiTheme="minorHAnsi" w:cstheme="minorHAnsi"/>
                <w:sz w:val="20"/>
                <w:szCs w:val="28"/>
              </w:rPr>
              <w:t>($ thousand)</w:t>
            </w:r>
          </w:p>
        </w:tc>
        <w:tc>
          <w:tcPr>
            <w:tcW w:w="1226" w:type="dxa"/>
          </w:tcPr>
          <w:p w14:paraId="3D4D7E15" w14:textId="6A683562" w:rsidR="00D769EA" w:rsidRPr="00D96C02" w:rsidRDefault="00D769EA" w:rsidP="00B919A5">
            <w:pPr>
              <w:pStyle w:val="TableColumnHeading"/>
              <w:jc w:val="right"/>
              <w:rPr>
                <w:rFonts w:asciiTheme="minorHAnsi" w:hAnsiTheme="minorHAnsi" w:cstheme="minorHAnsi"/>
                <w:sz w:val="20"/>
                <w:szCs w:val="28"/>
              </w:rPr>
            </w:pPr>
            <w:r w:rsidRPr="00D96C02">
              <w:rPr>
                <w:rFonts w:asciiTheme="minorHAnsi" w:hAnsiTheme="minorHAnsi" w:cstheme="minorHAnsi"/>
                <w:sz w:val="20"/>
                <w:szCs w:val="28"/>
              </w:rPr>
              <w:t>Transferred Out Outputs Subtotals</w:t>
            </w:r>
            <w:r>
              <w:rPr>
                <w:rFonts w:asciiTheme="minorHAnsi" w:hAnsiTheme="minorHAnsi" w:cstheme="minorHAnsi"/>
                <w:sz w:val="20"/>
                <w:szCs w:val="28"/>
              </w:rPr>
              <w:t xml:space="preserve"> </w:t>
            </w:r>
            <w:r w:rsidRPr="00D96C02">
              <w:rPr>
                <w:rFonts w:asciiTheme="minorHAnsi" w:hAnsiTheme="minorHAnsi" w:cstheme="minorHAnsi"/>
                <w:sz w:val="20"/>
                <w:szCs w:val="28"/>
              </w:rPr>
              <w:t>2023 ($ thousand)</w:t>
            </w:r>
          </w:p>
        </w:tc>
        <w:tc>
          <w:tcPr>
            <w:tcW w:w="1237" w:type="dxa"/>
          </w:tcPr>
          <w:p w14:paraId="60EAD2E1" w14:textId="68A1C565" w:rsidR="00D769EA" w:rsidRPr="00D96C02" w:rsidRDefault="00D769EA" w:rsidP="00B919A5">
            <w:pPr>
              <w:pStyle w:val="TableColumnHeading"/>
              <w:jc w:val="right"/>
              <w:rPr>
                <w:rFonts w:asciiTheme="minorHAnsi" w:hAnsiTheme="minorHAnsi" w:cstheme="minorHAnsi"/>
                <w:sz w:val="20"/>
                <w:szCs w:val="28"/>
              </w:rPr>
            </w:pPr>
            <w:r w:rsidRPr="00D96C02">
              <w:rPr>
                <w:rFonts w:asciiTheme="minorHAnsi" w:hAnsiTheme="minorHAnsi" w:cstheme="minorHAnsi"/>
                <w:sz w:val="20"/>
                <w:szCs w:val="28"/>
              </w:rPr>
              <w:t>Transferred Out Outputs Subtotals</w:t>
            </w:r>
            <w:r>
              <w:rPr>
                <w:rFonts w:asciiTheme="minorHAnsi" w:hAnsiTheme="minorHAnsi" w:cstheme="minorHAnsi"/>
                <w:sz w:val="20"/>
                <w:szCs w:val="28"/>
              </w:rPr>
              <w:t xml:space="preserve"> </w:t>
            </w:r>
            <w:r w:rsidRPr="00D96C02">
              <w:rPr>
                <w:rFonts w:asciiTheme="minorHAnsi" w:hAnsiTheme="minorHAnsi" w:cstheme="minorHAnsi"/>
                <w:sz w:val="20"/>
                <w:szCs w:val="28"/>
              </w:rPr>
              <w:t>2022</w:t>
            </w:r>
            <w:r>
              <w:rPr>
                <w:rFonts w:asciiTheme="minorHAnsi" w:hAnsiTheme="minorHAnsi" w:cstheme="minorHAnsi"/>
                <w:sz w:val="20"/>
                <w:szCs w:val="28"/>
              </w:rPr>
              <w:t xml:space="preserve"> </w:t>
            </w:r>
            <w:r w:rsidRPr="00D96C02">
              <w:rPr>
                <w:rFonts w:asciiTheme="minorHAnsi" w:hAnsiTheme="minorHAnsi" w:cstheme="minorHAnsi"/>
                <w:sz w:val="20"/>
                <w:szCs w:val="28"/>
              </w:rPr>
              <w:t>($ thousand)</w:t>
            </w:r>
          </w:p>
        </w:tc>
        <w:tc>
          <w:tcPr>
            <w:tcW w:w="1173" w:type="dxa"/>
          </w:tcPr>
          <w:p w14:paraId="2BA8E71E" w14:textId="4E4DA464" w:rsidR="00D769EA" w:rsidRPr="00D96C02" w:rsidRDefault="00D769EA" w:rsidP="00B919A5">
            <w:pPr>
              <w:pStyle w:val="TableColumnHeading"/>
              <w:jc w:val="right"/>
              <w:rPr>
                <w:rFonts w:asciiTheme="minorHAnsi" w:hAnsiTheme="minorHAnsi" w:cstheme="minorHAnsi"/>
                <w:sz w:val="20"/>
                <w:szCs w:val="28"/>
              </w:rPr>
            </w:pPr>
            <w:r w:rsidRPr="00D96C02">
              <w:rPr>
                <w:rFonts w:asciiTheme="minorHAnsi" w:hAnsiTheme="minorHAnsi" w:cstheme="minorHAnsi"/>
                <w:sz w:val="20"/>
                <w:szCs w:val="28"/>
              </w:rPr>
              <w:t>Depart</w:t>
            </w:r>
            <w:r w:rsidR="00B919A5">
              <w:rPr>
                <w:rFonts w:asciiTheme="minorHAnsi" w:hAnsiTheme="minorHAnsi" w:cstheme="minorHAnsi"/>
                <w:sz w:val="20"/>
                <w:szCs w:val="28"/>
              </w:rPr>
              <w:t>-</w:t>
            </w:r>
            <w:proofErr w:type="spellStart"/>
            <w:r w:rsidRPr="00D96C02">
              <w:rPr>
                <w:rFonts w:asciiTheme="minorHAnsi" w:hAnsiTheme="minorHAnsi" w:cstheme="minorHAnsi"/>
                <w:sz w:val="20"/>
                <w:szCs w:val="28"/>
              </w:rPr>
              <w:t>ment</w:t>
            </w:r>
            <w:proofErr w:type="spellEnd"/>
            <w:r w:rsidRPr="00D96C02">
              <w:rPr>
                <w:rFonts w:asciiTheme="minorHAnsi" w:hAnsiTheme="minorHAnsi" w:cstheme="minorHAnsi"/>
                <w:sz w:val="20"/>
                <w:szCs w:val="28"/>
              </w:rPr>
              <w:t xml:space="preserve"> Consoli</w:t>
            </w:r>
            <w:r w:rsidR="00B919A5">
              <w:rPr>
                <w:rFonts w:asciiTheme="minorHAnsi" w:hAnsiTheme="minorHAnsi" w:cstheme="minorHAnsi"/>
                <w:sz w:val="20"/>
                <w:szCs w:val="28"/>
              </w:rPr>
              <w:t>-</w:t>
            </w:r>
            <w:r w:rsidRPr="00D96C02">
              <w:rPr>
                <w:rFonts w:asciiTheme="minorHAnsi" w:hAnsiTheme="minorHAnsi" w:cstheme="minorHAnsi"/>
                <w:sz w:val="20"/>
                <w:szCs w:val="28"/>
              </w:rPr>
              <w:t>dated Total</w:t>
            </w:r>
            <w:r>
              <w:rPr>
                <w:rFonts w:asciiTheme="minorHAnsi" w:hAnsiTheme="minorHAnsi" w:cstheme="minorHAnsi"/>
                <w:sz w:val="20"/>
                <w:szCs w:val="28"/>
              </w:rPr>
              <w:t xml:space="preserve"> </w:t>
            </w:r>
            <w:r w:rsidRPr="00D96C02">
              <w:rPr>
                <w:rFonts w:asciiTheme="minorHAnsi" w:hAnsiTheme="minorHAnsi" w:cstheme="minorHAnsi"/>
                <w:sz w:val="20"/>
                <w:szCs w:val="28"/>
              </w:rPr>
              <w:t>2023 ($ thousand)</w:t>
            </w:r>
          </w:p>
        </w:tc>
        <w:tc>
          <w:tcPr>
            <w:tcW w:w="1276" w:type="dxa"/>
          </w:tcPr>
          <w:p w14:paraId="09B73A86" w14:textId="13A8605B" w:rsidR="00D769EA" w:rsidRPr="00D96C02" w:rsidRDefault="00D769EA" w:rsidP="00B919A5">
            <w:pPr>
              <w:pStyle w:val="TableColumnHeading"/>
              <w:jc w:val="right"/>
              <w:rPr>
                <w:rFonts w:asciiTheme="minorHAnsi" w:hAnsiTheme="minorHAnsi" w:cstheme="minorHAnsi"/>
                <w:sz w:val="20"/>
                <w:szCs w:val="28"/>
              </w:rPr>
            </w:pPr>
            <w:r w:rsidRPr="00D96C02">
              <w:rPr>
                <w:rFonts w:asciiTheme="minorHAnsi" w:hAnsiTheme="minorHAnsi" w:cstheme="minorHAnsi"/>
                <w:sz w:val="20"/>
                <w:szCs w:val="28"/>
              </w:rPr>
              <w:t>Depart</w:t>
            </w:r>
            <w:r w:rsidR="00B919A5">
              <w:rPr>
                <w:rFonts w:asciiTheme="minorHAnsi" w:hAnsiTheme="minorHAnsi" w:cstheme="minorHAnsi"/>
                <w:sz w:val="20"/>
                <w:szCs w:val="28"/>
              </w:rPr>
              <w:t>-</w:t>
            </w:r>
            <w:proofErr w:type="spellStart"/>
            <w:r w:rsidRPr="00D96C02">
              <w:rPr>
                <w:rFonts w:asciiTheme="minorHAnsi" w:hAnsiTheme="minorHAnsi" w:cstheme="minorHAnsi"/>
                <w:sz w:val="20"/>
                <w:szCs w:val="28"/>
              </w:rPr>
              <w:t>ment</w:t>
            </w:r>
            <w:proofErr w:type="spellEnd"/>
            <w:r w:rsidRPr="00D96C02">
              <w:rPr>
                <w:rFonts w:asciiTheme="minorHAnsi" w:hAnsiTheme="minorHAnsi" w:cstheme="minorHAnsi"/>
                <w:sz w:val="20"/>
                <w:szCs w:val="28"/>
              </w:rPr>
              <w:t xml:space="preserve"> Consoli</w:t>
            </w:r>
            <w:r w:rsidR="00B919A5">
              <w:rPr>
                <w:rFonts w:asciiTheme="minorHAnsi" w:hAnsiTheme="minorHAnsi" w:cstheme="minorHAnsi"/>
                <w:sz w:val="20"/>
                <w:szCs w:val="28"/>
              </w:rPr>
              <w:t>-</w:t>
            </w:r>
            <w:r w:rsidRPr="00D96C02">
              <w:rPr>
                <w:rFonts w:asciiTheme="minorHAnsi" w:hAnsiTheme="minorHAnsi" w:cstheme="minorHAnsi"/>
                <w:sz w:val="20"/>
                <w:szCs w:val="28"/>
              </w:rPr>
              <w:t>dated Total</w:t>
            </w:r>
            <w:r>
              <w:rPr>
                <w:rFonts w:asciiTheme="minorHAnsi" w:hAnsiTheme="minorHAnsi" w:cstheme="minorHAnsi"/>
                <w:sz w:val="20"/>
                <w:szCs w:val="28"/>
              </w:rPr>
              <w:t xml:space="preserve"> </w:t>
            </w:r>
            <w:r w:rsidRPr="00D96C02">
              <w:rPr>
                <w:rFonts w:asciiTheme="minorHAnsi" w:hAnsiTheme="minorHAnsi" w:cstheme="minorHAnsi"/>
                <w:sz w:val="20"/>
                <w:szCs w:val="28"/>
              </w:rPr>
              <w:t>2022</w:t>
            </w:r>
            <w:r>
              <w:rPr>
                <w:rFonts w:asciiTheme="minorHAnsi" w:hAnsiTheme="minorHAnsi" w:cstheme="minorHAnsi"/>
                <w:sz w:val="20"/>
                <w:szCs w:val="28"/>
              </w:rPr>
              <w:t xml:space="preserve"> </w:t>
            </w:r>
            <w:r w:rsidRPr="00D96C02">
              <w:rPr>
                <w:rFonts w:asciiTheme="minorHAnsi" w:hAnsiTheme="minorHAnsi" w:cstheme="minorHAnsi"/>
                <w:sz w:val="20"/>
                <w:szCs w:val="28"/>
              </w:rPr>
              <w:t>($ thousand)</w:t>
            </w:r>
          </w:p>
        </w:tc>
      </w:tr>
      <w:tr w:rsidR="00D769EA" w:rsidRPr="00D96C02" w14:paraId="3DEA1C55" w14:textId="77777777" w:rsidTr="00652DE3">
        <w:trPr>
          <w:trHeight w:val="113"/>
        </w:trPr>
        <w:tc>
          <w:tcPr>
            <w:tcW w:w="3114" w:type="dxa"/>
          </w:tcPr>
          <w:p w14:paraId="02E964B9" w14:textId="77777777" w:rsidR="00D769EA" w:rsidRPr="00D96C02" w:rsidRDefault="00D769EA" w:rsidP="00F8467A">
            <w:pPr>
              <w:pStyle w:val="TableHeading"/>
            </w:pPr>
            <w:r w:rsidRPr="00D96C02">
              <w:t>Administered financial assets</w:t>
            </w:r>
          </w:p>
        </w:tc>
        <w:tc>
          <w:tcPr>
            <w:tcW w:w="1228" w:type="dxa"/>
          </w:tcPr>
          <w:p w14:paraId="40F8A7C4" w14:textId="77777777" w:rsidR="00D769EA" w:rsidRPr="00D96C02" w:rsidRDefault="00D769EA" w:rsidP="00B919A5">
            <w:pPr>
              <w:pStyle w:val="TableHeading"/>
              <w:jc w:val="right"/>
            </w:pPr>
          </w:p>
        </w:tc>
        <w:tc>
          <w:tcPr>
            <w:tcW w:w="1189" w:type="dxa"/>
          </w:tcPr>
          <w:p w14:paraId="1E48F2E1" w14:textId="77777777" w:rsidR="00D769EA" w:rsidRPr="00D96C02" w:rsidRDefault="00D769EA" w:rsidP="00B919A5">
            <w:pPr>
              <w:pStyle w:val="TableHeading"/>
              <w:jc w:val="right"/>
            </w:pPr>
          </w:p>
        </w:tc>
        <w:tc>
          <w:tcPr>
            <w:tcW w:w="1092" w:type="dxa"/>
          </w:tcPr>
          <w:p w14:paraId="6F9A720F" w14:textId="77777777" w:rsidR="00D769EA" w:rsidRPr="00D96C02" w:rsidRDefault="00D769EA" w:rsidP="00B919A5">
            <w:pPr>
              <w:pStyle w:val="TableHeading"/>
              <w:jc w:val="right"/>
            </w:pPr>
          </w:p>
        </w:tc>
        <w:tc>
          <w:tcPr>
            <w:tcW w:w="1090" w:type="dxa"/>
          </w:tcPr>
          <w:p w14:paraId="13169EDD" w14:textId="77777777" w:rsidR="00D769EA" w:rsidRPr="00D96C02" w:rsidRDefault="00D769EA" w:rsidP="00B919A5">
            <w:pPr>
              <w:pStyle w:val="TableHeading"/>
              <w:jc w:val="right"/>
            </w:pPr>
          </w:p>
        </w:tc>
        <w:tc>
          <w:tcPr>
            <w:tcW w:w="1206" w:type="dxa"/>
          </w:tcPr>
          <w:p w14:paraId="65D95009" w14:textId="77777777" w:rsidR="00D769EA" w:rsidRPr="00D96C02" w:rsidRDefault="00D769EA" w:rsidP="00B919A5">
            <w:pPr>
              <w:pStyle w:val="TableHeading"/>
              <w:jc w:val="right"/>
            </w:pPr>
          </w:p>
        </w:tc>
        <w:tc>
          <w:tcPr>
            <w:tcW w:w="1190" w:type="dxa"/>
          </w:tcPr>
          <w:p w14:paraId="5CE05B9C" w14:textId="77777777" w:rsidR="00D769EA" w:rsidRPr="00D96C02" w:rsidRDefault="00D769EA" w:rsidP="00B919A5">
            <w:pPr>
              <w:pStyle w:val="TableHeading"/>
              <w:jc w:val="right"/>
            </w:pPr>
          </w:p>
        </w:tc>
        <w:tc>
          <w:tcPr>
            <w:tcW w:w="1226" w:type="dxa"/>
          </w:tcPr>
          <w:p w14:paraId="2627508E" w14:textId="77777777" w:rsidR="00D769EA" w:rsidRPr="00D96C02" w:rsidRDefault="00D769EA" w:rsidP="00B919A5">
            <w:pPr>
              <w:pStyle w:val="TableHeading"/>
              <w:jc w:val="right"/>
            </w:pPr>
          </w:p>
        </w:tc>
        <w:tc>
          <w:tcPr>
            <w:tcW w:w="1237" w:type="dxa"/>
          </w:tcPr>
          <w:p w14:paraId="4D4A2C1B" w14:textId="77777777" w:rsidR="00D769EA" w:rsidRPr="00D96C02" w:rsidRDefault="00D769EA" w:rsidP="00B919A5">
            <w:pPr>
              <w:pStyle w:val="TableHeading"/>
              <w:jc w:val="right"/>
            </w:pPr>
          </w:p>
        </w:tc>
        <w:tc>
          <w:tcPr>
            <w:tcW w:w="1173" w:type="dxa"/>
          </w:tcPr>
          <w:p w14:paraId="318ADD74" w14:textId="77777777" w:rsidR="00D769EA" w:rsidRPr="00D96C02" w:rsidRDefault="00D769EA" w:rsidP="00B919A5">
            <w:pPr>
              <w:pStyle w:val="TableHeading"/>
              <w:jc w:val="right"/>
            </w:pPr>
          </w:p>
        </w:tc>
        <w:tc>
          <w:tcPr>
            <w:tcW w:w="1276" w:type="dxa"/>
          </w:tcPr>
          <w:p w14:paraId="375E7638" w14:textId="77777777" w:rsidR="00D769EA" w:rsidRPr="00D96C02" w:rsidRDefault="00D769EA" w:rsidP="00B919A5">
            <w:pPr>
              <w:pStyle w:val="TableHeading"/>
              <w:jc w:val="right"/>
            </w:pPr>
          </w:p>
        </w:tc>
      </w:tr>
      <w:tr w:rsidR="00D769EA" w14:paraId="4595122A" w14:textId="77777777" w:rsidTr="00652DE3">
        <w:trPr>
          <w:trHeight w:val="113"/>
        </w:trPr>
        <w:tc>
          <w:tcPr>
            <w:tcW w:w="3114" w:type="dxa"/>
          </w:tcPr>
          <w:p w14:paraId="594DC87C" w14:textId="77777777" w:rsidR="00D769EA" w:rsidRDefault="00D769EA" w:rsidP="00F8467A">
            <w:pPr>
              <w:pStyle w:val="TableCopy"/>
            </w:pPr>
            <w:r>
              <w:t>Cash and receivables</w:t>
            </w:r>
          </w:p>
        </w:tc>
        <w:tc>
          <w:tcPr>
            <w:tcW w:w="1228" w:type="dxa"/>
          </w:tcPr>
          <w:p w14:paraId="141EF1BB" w14:textId="195A046D" w:rsidR="00D769EA" w:rsidRDefault="00D769EA" w:rsidP="00B919A5">
            <w:pPr>
              <w:pStyle w:val="TableCopy"/>
              <w:jc w:val="right"/>
            </w:pPr>
            <w:r>
              <w:t>–</w:t>
            </w:r>
          </w:p>
        </w:tc>
        <w:tc>
          <w:tcPr>
            <w:tcW w:w="1189" w:type="dxa"/>
          </w:tcPr>
          <w:p w14:paraId="022C5852" w14:textId="208CA5CC" w:rsidR="00D769EA" w:rsidRDefault="00D769EA" w:rsidP="00B919A5">
            <w:pPr>
              <w:pStyle w:val="TableCopy"/>
              <w:jc w:val="right"/>
            </w:pPr>
            <w:r>
              <w:t>–</w:t>
            </w:r>
          </w:p>
        </w:tc>
        <w:tc>
          <w:tcPr>
            <w:tcW w:w="1092" w:type="dxa"/>
          </w:tcPr>
          <w:p w14:paraId="7A44FCE7" w14:textId="651E6CC0" w:rsidR="00D769EA" w:rsidRDefault="00D769EA" w:rsidP="00B919A5">
            <w:pPr>
              <w:pStyle w:val="TableCopy"/>
              <w:jc w:val="right"/>
            </w:pPr>
            <w:r>
              <w:t>–</w:t>
            </w:r>
          </w:p>
        </w:tc>
        <w:tc>
          <w:tcPr>
            <w:tcW w:w="1090" w:type="dxa"/>
          </w:tcPr>
          <w:p w14:paraId="43A73630" w14:textId="1644387A" w:rsidR="00D769EA" w:rsidRDefault="00D769EA" w:rsidP="00B919A5">
            <w:pPr>
              <w:pStyle w:val="TableCopy"/>
              <w:jc w:val="right"/>
            </w:pPr>
            <w:r>
              <w:t>–</w:t>
            </w:r>
          </w:p>
        </w:tc>
        <w:tc>
          <w:tcPr>
            <w:tcW w:w="1206" w:type="dxa"/>
          </w:tcPr>
          <w:p w14:paraId="00D69B32" w14:textId="32486BBF" w:rsidR="00D769EA" w:rsidRDefault="00D769EA" w:rsidP="00B919A5">
            <w:pPr>
              <w:pStyle w:val="TableCopy"/>
              <w:jc w:val="right"/>
            </w:pPr>
            <w:r>
              <w:t>–</w:t>
            </w:r>
          </w:p>
        </w:tc>
        <w:tc>
          <w:tcPr>
            <w:tcW w:w="1190" w:type="dxa"/>
          </w:tcPr>
          <w:p w14:paraId="440C72C7" w14:textId="63686F3F" w:rsidR="00D769EA" w:rsidRDefault="00D769EA" w:rsidP="00B919A5">
            <w:pPr>
              <w:pStyle w:val="TableCopy"/>
              <w:jc w:val="right"/>
            </w:pPr>
            <w:r>
              <w:t>–</w:t>
            </w:r>
          </w:p>
        </w:tc>
        <w:tc>
          <w:tcPr>
            <w:tcW w:w="1226" w:type="dxa"/>
          </w:tcPr>
          <w:p w14:paraId="2C9C1D2E" w14:textId="3CA51269" w:rsidR="00D769EA" w:rsidRDefault="00D769EA" w:rsidP="00B919A5">
            <w:pPr>
              <w:pStyle w:val="TableCopy"/>
              <w:jc w:val="right"/>
            </w:pPr>
            <w:r>
              <w:t>–</w:t>
            </w:r>
          </w:p>
        </w:tc>
        <w:tc>
          <w:tcPr>
            <w:tcW w:w="1237" w:type="dxa"/>
          </w:tcPr>
          <w:p w14:paraId="7C182754" w14:textId="23C01C3D" w:rsidR="00D769EA" w:rsidRDefault="00D769EA" w:rsidP="00B919A5">
            <w:pPr>
              <w:pStyle w:val="TableCopy"/>
              <w:jc w:val="right"/>
            </w:pPr>
            <w:r>
              <w:t>133,824</w:t>
            </w:r>
          </w:p>
        </w:tc>
        <w:tc>
          <w:tcPr>
            <w:tcW w:w="1173" w:type="dxa"/>
          </w:tcPr>
          <w:p w14:paraId="45A9B581" w14:textId="1C081EB0" w:rsidR="00D769EA" w:rsidRDefault="00D769EA" w:rsidP="00B919A5">
            <w:pPr>
              <w:pStyle w:val="TableCopy"/>
              <w:jc w:val="right"/>
            </w:pPr>
            <w:r>
              <w:t>1,359</w:t>
            </w:r>
          </w:p>
        </w:tc>
        <w:tc>
          <w:tcPr>
            <w:tcW w:w="1276" w:type="dxa"/>
          </w:tcPr>
          <w:p w14:paraId="1AA4F699" w14:textId="7E8E0732" w:rsidR="00D769EA" w:rsidRDefault="00D769EA" w:rsidP="00B919A5">
            <w:pPr>
              <w:pStyle w:val="TableCopy"/>
              <w:jc w:val="right"/>
            </w:pPr>
            <w:r>
              <w:t>143,435</w:t>
            </w:r>
          </w:p>
        </w:tc>
      </w:tr>
      <w:tr w:rsidR="00D769EA" w14:paraId="48AEAB55" w14:textId="77777777" w:rsidTr="00652DE3">
        <w:trPr>
          <w:trHeight w:val="113"/>
        </w:trPr>
        <w:tc>
          <w:tcPr>
            <w:tcW w:w="3114" w:type="dxa"/>
          </w:tcPr>
          <w:p w14:paraId="02E6B326" w14:textId="77777777" w:rsidR="00D769EA" w:rsidRDefault="00D769EA" w:rsidP="00F8467A">
            <w:pPr>
              <w:pStyle w:val="TableCopy"/>
            </w:pPr>
            <w:r>
              <w:t>Trust funds</w:t>
            </w:r>
          </w:p>
        </w:tc>
        <w:tc>
          <w:tcPr>
            <w:tcW w:w="1228" w:type="dxa"/>
          </w:tcPr>
          <w:p w14:paraId="1C960FF9" w14:textId="6F22BF21" w:rsidR="00D769EA" w:rsidRDefault="00D769EA" w:rsidP="00B919A5">
            <w:pPr>
              <w:pStyle w:val="TableCopy"/>
              <w:jc w:val="right"/>
            </w:pPr>
            <w:r>
              <w:t>–</w:t>
            </w:r>
          </w:p>
        </w:tc>
        <w:tc>
          <w:tcPr>
            <w:tcW w:w="1189" w:type="dxa"/>
          </w:tcPr>
          <w:p w14:paraId="43EF97AD" w14:textId="03FE3411" w:rsidR="00D769EA" w:rsidRDefault="00D769EA" w:rsidP="00B919A5">
            <w:pPr>
              <w:pStyle w:val="TableCopy"/>
              <w:jc w:val="right"/>
            </w:pPr>
            <w:r>
              <w:t>–</w:t>
            </w:r>
          </w:p>
        </w:tc>
        <w:tc>
          <w:tcPr>
            <w:tcW w:w="1092" w:type="dxa"/>
          </w:tcPr>
          <w:p w14:paraId="599AA7FB" w14:textId="4F212289" w:rsidR="00D769EA" w:rsidRDefault="00D769EA" w:rsidP="00B919A5">
            <w:pPr>
              <w:pStyle w:val="TableCopy"/>
              <w:jc w:val="right"/>
            </w:pPr>
            <w:r>
              <w:t>–</w:t>
            </w:r>
          </w:p>
        </w:tc>
        <w:tc>
          <w:tcPr>
            <w:tcW w:w="1090" w:type="dxa"/>
          </w:tcPr>
          <w:p w14:paraId="1D2B23C0" w14:textId="61D069EF" w:rsidR="00D769EA" w:rsidRDefault="00D769EA" w:rsidP="00B919A5">
            <w:pPr>
              <w:pStyle w:val="TableCopy"/>
              <w:jc w:val="right"/>
            </w:pPr>
            <w:r>
              <w:t>–</w:t>
            </w:r>
          </w:p>
        </w:tc>
        <w:tc>
          <w:tcPr>
            <w:tcW w:w="1206" w:type="dxa"/>
          </w:tcPr>
          <w:p w14:paraId="1B072EE1" w14:textId="39597A59" w:rsidR="00D769EA" w:rsidRDefault="00D769EA" w:rsidP="00B919A5">
            <w:pPr>
              <w:pStyle w:val="TableCopy"/>
              <w:jc w:val="right"/>
            </w:pPr>
            <w:r>
              <w:t>–</w:t>
            </w:r>
          </w:p>
        </w:tc>
        <w:tc>
          <w:tcPr>
            <w:tcW w:w="1190" w:type="dxa"/>
          </w:tcPr>
          <w:p w14:paraId="7D9E3511" w14:textId="7323827D" w:rsidR="00D769EA" w:rsidRDefault="00D769EA" w:rsidP="00B919A5">
            <w:pPr>
              <w:pStyle w:val="TableCopy"/>
              <w:jc w:val="right"/>
            </w:pPr>
            <w:r>
              <w:t>–</w:t>
            </w:r>
          </w:p>
        </w:tc>
        <w:tc>
          <w:tcPr>
            <w:tcW w:w="1226" w:type="dxa"/>
          </w:tcPr>
          <w:p w14:paraId="3966CA62" w14:textId="4767F86F" w:rsidR="00D769EA" w:rsidRDefault="00D769EA" w:rsidP="00B919A5">
            <w:pPr>
              <w:pStyle w:val="TableCopy"/>
              <w:jc w:val="right"/>
            </w:pPr>
            <w:r>
              <w:t>–</w:t>
            </w:r>
          </w:p>
        </w:tc>
        <w:tc>
          <w:tcPr>
            <w:tcW w:w="1237" w:type="dxa"/>
          </w:tcPr>
          <w:p w14:paraId="376ED929" w14:textId="7AB29AAE" w:rsidR="00D769EA" w:rsidRDefault="00D769EA" w:rsidP="00B919A5">
            <w:pPr>
              <w:pStyle w:val="TableCopy"/>
              <w:jc w:val="right"/>
            </w:pPr>
            <w:r>
              <w:t>7,625</w:t>
            </w:r>
          </w:p>
        </w:tc>
        <w:tc>
          <w:tcPr>
            <w:tcW w:w="1173" w:type="dxa"/>
          </w:tcPr>
          <w:p w14:paraId="328DBF47" w14:textId="77777777" w:rsidR="00D769EA" w:rsidRDefault="00D769EA" w:rsidP="00B919A5">
            <w:pPr>
              <w:pStyle w:val="TableCopy"/>
              <w:jc w:val="right"/>
            </w:pPr>
            <w:r>
              <w:t>(319)</w:t>
            </w:r>
          </w:p>
        </w:tc>
        <w:tc>
          <w:tcPr>
            <w:tcW w:w="1276" w:type="dxa"/>
          </w:tcPr>
          <w:p w14:paraId="02EFE847" w14:textId="30E4F5AE" w:rsidR="00D769EA" w:rsidRDefault="00D769EA" w:rsidP="00B919A5">
            <w:pPr>
              <w:pStyle w:val="TableCopy"/>
              <w:jc w:val="right"/>
            </w:pPr>
            <w:r>
              <w:t>7,739</w:t>
            </w:r>
          </w:p>
        </w:tc>
      </w:tr>
      <w:tr w:rsidR="00D769EA" w14:paraId="11D1BE5F" w14:textId="77777777" w:rsidTr="00652DE3">
        <w:trPr>
          <w:trHeight w:val="113"/>
        </w:trPr>
        <w:tc>
          <w:tcPr>
            <w:tcW w:w="3114" w:type="dxa"/>
          </w:tcPr>
          <w:p w14:paraId="6FEFB6EB" w14:textId="77777777" w:rsidR="00D769EA" w:rsidRDefault="00D769EA" w:rsidP="00F8467A">
            <w:pPr>
              <w:pStyle w:val="TableCopy"/>
            </w:pPr>
            <w:r>
              <w:t>Loans</w:t>
            </w:r>
          </w:p>
        </w:tc>
        <w:tc>
          <w:tcPr>
            <w:tcW w:w="1228" w:type="dxa"/>
          </w:tcPr>
          <w:p w14:paraId="68F15E98" w14:textId="74FB11EE" w:rsidR="00D769EA" w:rsidRDefault="00D769EA" w:rsidP="00B919A5">
            <w:pPr>
              <w:pStyle w:val="TableCopy"/>
              <w:jc w:val="right"/>
            </w:pPr>
            <w:r>
              <w:t>–</w:t>
            </w:r>
          </w:p>
        </w:tc>
        <w:tc>
          <w:tcPr>
            <w:tcW w:w="1189" w:type="dxa"/>
          </w:tcPr>
          <w:p w14:paraId="0EC6C975" w14:textId="16170507" w:rsidR="00D769EA" w:rsidRDefault="00D769EA" w:rsidP="00B919A5">
            <w:pPr>
              <w:pStyle w:val="TableCopy"/>
              <w:jc w:val="right"/>
            </w:pPr>
            <w:r>
              <w:t>–</w:t>
            </w:r>
          </w:p>
        </w:tc>
        <w:tc>
          <w:tcPr>
            <w:tcW w:w="1092" w:type="dxa"/>
          </w:tcPr>
          <w:p w14:paraId="7B2B57FB" w14:textId="0E4FBBF6" w:rsidR="00D769EA" w:rsidRDefault="00D769EA" w:rsidP="00B919A5">
            <w:pPr>
              <w:pStyle w:val="TableCopy"/>
              <w:jc w:val="right"/>
            </w:pPr>
            <w:r>
              <w:t>–</w:t>
            </w:r>
          </w:p>
        </w:tc>
        <w:tc>
          <w:tcPr>
            <w:tcW w:w="1090" w:type="dxa"/>
          </w:tcPr>
          <w:p w14:paraId="48DB2727" w14:textId="77FA9ED5" w:rsidR="00D769EA" w:rsidRDefault="00D769EA" w:rsidP="00B919A5">
            <w:pPr>
              <w:pStyle w:val="TableCopy"/>
              <w:jc w:val="right"/>
            </w:pPr>
            <w:r>
              <w:t>–</w:t>
            </w:r>
          </w:p>
        </w:tc>
        <w:tc>
          <w:tcPr>
            <w:tcW w:w="1206" w:type="dxa"/>
          </w:tcPr>
          <w:p w14:paraId="1A79DD76" w14:textId="4277AACE" w:rsidR="00D769EA" w:rsidRDefault="00D769EA" w:rsidP="00B919A5">
            <w:pPr>
              <w:pStyle w:val="TableCopy"/>
              <w:jc w:val="right"/>
            </w:pPr>
            <w:r>
              <w:t>–</w:t>
            </w:r>
          </w:p>
        </w:tc>
        <w:tc>
          <w:tcPr>
            <w:tcW w:w="1190" w:type="dxa"/>
          </w:tcPr>
          <w:p w14:paraId="5031A69F" w14:textId="536ACC11" w:rsidR="00D769EA" w:rsidRDefault="00D769EA" w:rsidP="00B919A5">
            <w:pPr>
              <w:pStyle w:val="TableCopy"/>
              <w:jc w:val="right"/>
            </w:pPr>
            <w:r>
              <w:t>–</w:t>
            </w:r>
          </w:p>
        </w:tc>
        <w:tc>
          <w:tcPr>
            <w:tcW w:w="1226" w:type="dxa"/>
          </w:tcPr>
          <w:p w14:paraId="1BD208CA" w14:textId="437F0DCA" w:rsidR="00D769EA" w:rsidRDefault="00D769EA" w:rsidP="00B919A5">
            <w:pPr>
              <w:pStyle w:val="TableCopy"/>
              <w:jc w:val="right"/>
            </w:pPr>
            <w:r>
              <w:t>–</w:t>
            </w:r>
          </w:p>
        </w:tc>
        <w:tc>
          <w:tcPr>
            <w:tcW w:w="1237" w:type="dxa"/>
          </w:tcPr>
          <w:p w14:paraId="63A7FDDB" w14:textId="5FC4E817" w:rsidR="00D769EA" w:rsidRDefault="00D769EA" w:rsidP="00B919A5">
            <w:pPr>
              <w:pStyle w:val="TableCopy"/>
              <w:jc w:val="right"/>
            </w:pPr>
            <w:r>
              <w:t>–</w:t>
            </w:r>
          </w:p>
        </w:tc>
        <w:tc>
          <w:tcPr>
            <w:tcW w:w="1173" w:type="dxa"/>
          </w:tcPr>
          <w:p w14:paraId="3EC2978C" w14:textId="2008B251" w:rsidR="00D769EA" w:rsidRDefault="00D769EA" w:rsidP="00B919A5">
            <w:pPr>
              <w:pStyle w:val="TableCopy"/>
              <w:jc w:val="right"/>
            </w:pPr>
            <w:r>
              <w:t>207,849</w:t>
            </w:r>
          </w:p>
        </w:tc>
        <w:tc>
          <w:tcPr>
            <w:tcW w:w="1276" w:type="dxa"/>
          </w:tcPr>
          <w:p w14:paraId="4A3C994B" w14:textId="08AD9FDA" w:rsidR="00D769EA" w:rsidRDefault="00D769EA" w:rsidP="00B919A5">
            <w:pPr>
              <w:pStyle w:val="TableCopy"/>
              <w:jc w:val="right"/>
            </w:pPr>
            <w:r>
              <w:t>206,077</w:t>
            </w:r>
          </w:p>
        </w:tc>
      </w:tr>
      <w:tr w:rsidR="00D769EA" w:rsidRPr="00D96C02" w14:paraId="2E2A355F" w14:textId="77777777" w:rsidTr="00652DE3">
        <w:trPr>
          <w:trHeight w:val="113"/>
        </w:trPr>
        <w:tc>
          <w:tcPr>
            <w:tcW w:w="3114" w:type="dxa"/>
          </w:tcPr>
          <w:p w14:paraId="3680FA1C" w14:textId="77777777" w:rsidR="00D769EA" w:rsidRPr="00D96C02" w:rsidRDefault="00D769EA" w:rsidP="00F8467A">
            <w:pPr>
              <w:pStyle w:val="TableCopy"/>
              <w:rPr>
                <w:b/>
                <w:bCs/>
              </w:rPr>
            </w:pPr>
            <w:r w:rsidRPr="00D96C02">
              <w:rPr>
                <w:b/>
                <w:bCs/>
              </w:rPr>
              <w:t>Total administered financial assets</w:t>
            </w:r>
          </w:p>
        </w:tc>
        <w:tc>
          <w:tcPr>
            <w:tcW w:w="1228" w:type="dxa"/>
          </w:tcPr>
          <w:p w14:paraId="18A74818" w14:textId="552B2216" w:rsidR="00D769EA" w:rsidRPr="00D96C02" w:rsidRDefault="00D769EA" w:rsidP="00B919A5">
            <w:pPr>
              <w:pStyle w:val="TableCopy"/>
              <w:jc w:val="right"/>
              <w:rPr>
                <w:b/>
                <w:bCs/>
              </w:rPr>
            </w:pPr>
            <w:r w:rsidRPr="00D96C02">
              <w:rPr>
                <w:b/>
                <w:bCs/>
              </w:rPr>
              <w:t>–</w:t>
            </w:r>
          </w:p>
        </w:tc>
        <w:tc>
          <w:tcPr>
            <w:tcW w:w="1189" w:type="dxa"/>
          </w:tcPr>
          <w:p w14:paraId="64858EA4" w14:textId="6EB2EFAE" w:rsidR="00D769EA" w:rsidRPr="00D96C02" w:rsidRDefault="00D769EA" w:rsidP="00B919A5">
            <w:pPr>
              <w:pStyle w:val="TableCopy"/>
              <w:jc w:val="right"/>
              <w:rPr>
                <w:b/>
                <w:bCs/>
              </w:rPr>
            </w:pPr>
            <w:r w:rsidRPr="00D96C02">
              <w:rPr>
                <w:b/>
                <w:bCs/>
              </w:rPr>
              <w:t>–</w:t>
            </w:r>
          </w:p>
        </w:tc>
        <w:tc>
          <w:tcPr>
            <w:tcW w:w="1092" w:type="dxa"/>
          </w:tcPr>
          <w:p w14:paraId="72BE262E" w14:textId="19FD4EAC" w:rsidR="00D769EA" w:rsidRPr="00D96C02" w:rsidRDefault="00D769EA" w:rsidP="00B919A5">
            <w:pPr>
              <w:pStyle w:val="TableCopy"/>
              <w:jc w:val="right"/>
              <w:rPr>
                <w:b/>
                <w:bCs/>
              </w:rPr>
            </w:pPr>
            <w:r w:rsidRPr="00D96C02">
              <w:rPr>
                <w:b/>
                <w:bCs/>
              </w:rPr>
              <w:t>–</w:t>
            </w:r>
          </w:p>
        </w:tc>
        <w:tc>
          <w:tcPr>
            <w:tcW w:w="1090" w:type="dxa"/>
          </w:tcPr>
          <w:p w14:paraId="03CBB58A" w14:textId="4D5FE218" w:rsidR="00D769EA" w:rsidRPr="00D96C02" w:rsidRDefault="00D769EA" w:rsidP="00B919A5">
            <w:pPr>
              <w:pStyle w:val="TableCopy"/>
              <w:jc w:val="right"/>
              <w:rPr>
                <w:b/>
                <w:bCs/>
              </w:rPr>
            </w:pPr>
            <w:r w:rsidRPr="00D96C02">
              <w:rPr>
                <w:b/>
                <w:bCs/>
              </w:rPr>
              <w:t>–</w:t>
            </w:r>
          </w:p>
        </w:tc>
        <w:tc>
          <w:tcPr>
            <w:tcW w:w="1206" w:type="dxa"/>
          </w:tcPr>
          <w:p w14:paraId="3900284E" w14:textId="0BC7DD7E" w:rsidR="00D769EA" w:rsidRPr="00D96C02" w:rsidRDefault="00D769EA" w:rsidP="00B919A5">
            <w:pPr>
              <w:pStyle w:val="TableCopy"/>
              <w:jc w:val="right"/>
              <w:rPr>
                <w:b/>
                <w:bCs/>
              </w:rPr>
            </w:pPr>
            <w:r w:rsidRPr="00D96C02">
              <w:rPr>
                <w:b/>
                <w:bCs/>
              </w:rPr>
              <w:t>–</w:t>
            </w:r>
          </w:p>
        </w:tc>
        <w:tc>
          <w:tcPr>
            <w:tcW w:w="1190" w:type="dxa"/>
          </w:tcPr>
          <w:p w14:paraId="56170284" w14:textId="56899182" w:rsidR="00D769EA" w:rsidRPr="00D96C02" w:rsidRDefault="00D769EA" w:rsidP="00B919A5">
            <w:pPr>
              <w:pStyle w:val="TableCopy"/>
              <w:jc w:val="right"/>
              <w:rPr>
                <w:b/>
                <w:bCs/>
              </w:rPr>
            </w:pPr>
            <w:r w:rsidRPr="00D96C02">
              <w:rPr>
                <w:b/>
                <w:bCs/>
              </w:rPr>
              <w:t>–</w:t>
            </w:r>
          </w:p>
        </w:tc>
        <w:tc>
          <w:tcPr>
            <w:tcW w:w="1226" w:type="dxa"/>
          </w:tcPr>
          <w:p w14:paraId="4BC8550C" w14:textId="74454ECB" w:rsidR="00D769EA" w:rsidRPr="00D96C02" w:rsidRDefault="00D769EA" w:rsidP="00B919A5">
            <w:pPr>
              <w:pStyle w:val="TableCopy"/>
              <w:jc w:val="right"/>
              <w:rPr>
                <w:b/>
                <w:bCs/>
              </w:rPr>
            </w:pPr>
            <w:r w:rsidRPr="00D96C02">
              <w:rPr>
                <w:b/>
                <w:bCs/>
              </w:rPr>
              <w:t>–</w:t>
            </w:r>
          </w:p>
        </w:tc>
        <w:tc>
          <w:tcPr>
            <w:tcW w:w="1237" w:type="dxa"/>
          </w:tcPr>
          <w:p w14:paraId="5F73980E" w14:textId="21ECAD92" w:rsidR="00D769EA" w:rsidRPr="00D96C02" w:rsidRDefault="00D769EA" w:rsidP="00B919A5">
            <w:pPr>
              <w:pStyle w:val="TableCopy"/>
              <w:jc w:val="right"/>
              <w:rPr>
                <w:b/>
                <w:bCs/>
              </w:rPr>
            </w:pPr>
            <w:r w:rsidRPr="00D96C02">
              <w:rPr>
                <w:b/>
                <w:bCs/>
              </w:rPr>
              <w:t>141,449</w:t>
            </w:r>
          </w:p>
        </w:tc>
        <w:tc>
          <w:tcPr>
            <w:tcW w:w="1173" w:type="dxa"/>
          </w:tcPr>
          <w:p w14:paraId="709D4419" w14:textId="0FCB7C34" w:rsidR="00D769EA" w:rsidRPr="00D96C02" w:rsidRDefault="00D769EA" w:rsidP="00B919A5">
            <w:pPr>
              <w:pStyle w:val="TableCopy"/>
              <w:jc w:val="right"/>
              <w:rPr>
                <w:b/>
                <w:bCs/>
              </w:rPr>
            </w:pPr>
            <w:r w:rsidRPr="00D96C02">
              <w:rPr>
                <w:b/>
                <w:bCs/>
              </w:rPr>
              <w:t>208,890</w:t>
            </w:r>
          </w:p>
        </w:tc>
        <w:tc>
          <w:tcPr>
            <w:tcW w:w="1276" w:type="dxa"/>
          </w:tcPr>
          <w:p w14:paraId="5C4A6C51" w14:textId="0C689948" w:rsidR="00D769EA" w:rsidRPr="00D96C02" w:rsidRDefault="00D769EA" w:rsidP="00B919A5">
            <w:pPr>
              <w:pStyle w:val="TableCopy"/>
              <w:jc w:val="right"/>
              <w:rPr>
                <w:b/>
                <w:bCs/>
              </w:rPr>
            </w:pPr>
            <w:r w:rsidRPr="00D96C02">
              <w:rPr>
                <w:b/>
                <w:bCs/>
              </w:rPr>
              <w:t>357,251</w:t>
            </w:r>
          </w:p>
        </w:tc>
      </w:tr>
      <w:tr w:rsidR="00D769EA" w:rsidRPr="00D96C02" w14:paraId="727EDAFB" w14:textId="77777777" w:rsidTr="00652DE3">
        <w:trPr>
          <w:trHeight w:val="113"/>
        </w:trPr>
        <w:tc>
          <w:tcPr>
            <w:tcW w:w="3114" w:type="dxa"/>
          </w:tcPr>
          <w:p w14:paraId="244E3E1A" w14:textId="77777777" w:rsidR="00D769EA" w:rsidRPr="00D96C02" w:rsidRDefault="00D769EA" w:rsidP="00F8467A">
            <w:pPr>
              <w:pStyle w:val="TableHeading"/>
            </w:pPr>
            <w:r w:rsidRPr="00D96C02">
              <w:t>Administered liabilities</w:t>
            </w:r>
          </w:p>
        </w:tc>
        <w:tc>
          <w:tcPr>
            <w:tcW w:w="1228" w:type="dxa"/>
          </w:tcPr>
          <w:p w14:paraId="4BFBCAFB" w14:textId="77777777" w:rsidR="00D769EA" w:rsidRPr="00D96C02" w:rsidRDefault="00D769EA" w:rsidP="00B919A5">
            <w:pPr>
              <w:pStyle w:val="TableHeading"/>
              <w:jc w:val="right"/>
            </w:pPr>
          </w:p>
        </w:tc>
        <w:tc>
          <w:tcPr>
            <w:tcW w:w="1189" w:type="dxa"/>
          </w:tcPr>
          <w:p w14:paraId="15A6D966" w14:textId="77777777" w:rsidR="00D769EA" w:rsidRPr="00D96C02" w:rsidRDefault="00D769EA" w:rsidP="00B919A5">
            <w:pPr>
              <w:pStyle w:val="TableHeading"/>
              <w:jc w:val="right"/>
            </w:pPr>
          </w:p>
        </w:tc>
        <w:tc>
          <w:tcPr>
            <w:tcW w:w="1092" w:type="dxa"/>
          </w:tcPr>
          <w:p w14:paraId="3CEEEC35" w14:textId="77777777" w:rsidR="00D769EA" w:rsidRPr="00D96C02" w:rsidRDefault="00D769EA" w:rsidP="00B919A5">
            <w:pPr>
              <w:pStyle w:val="TableHeading"/>
              <w:jc w:val="right"/>
            </w:pPr>
          </w:p>
        </w:tc>
        <w:tc>
          <w:tcPr>
            <w:tcW w:w="1090" w:type="dxa"/>
          </w:tcPr>
          <w:p w14:paraId="34E8720A" w14:textId="77777777" w:rsidR="00D769EA" w:rsidRPr="00D96C02" w:rsidRDefault="00D769EA" w:rsidP="00B919A5">
            <w:pPr>
              <w:pStyle w:val="TableHeading"/>
              <w:jc w:val="right"/>
            </w:pPr>
          </w:p>
        </w:tc>
        <w:tc>
          <w:tcPr>
            <w:tcW w:w="1206" w:type="dxa"/>
          </w:tcPr>
          <w:p w14:paraId="546BB9BB" w14:textId="77777777" w:rsidR="00D769EA" w:rsidRPr="00D96C02" w:rsidRDefault="00D769EA" w:rsidP="00B919A5">
            <w:pPr>
              <w:pStyle w:val="TableHeading"/>
              <w:jc w:val="right"/>
            </w:pPr>
          </w:p>
        </w:tc>
        <w:tc>
          <w:tcPr>
            <w:tcW w:w="1190" w:type="dxa"/>
          </w:tcPr>
          <w:p w14:paraId="43C11B71" w14:textId="77777777" w:rsidR="00D769EA" w:rsidRPr="00D96C02" w:rsidRDefault="00D769EA" w:rsidP="00B919A5">
            <w:pPr>
              <w:pStyle w:val="TableHeading"/>
              <w:jc w:val="right"/>
            </w:pPr>
          </w:p>
        </w:tc>
        <w:tc>
          <w:tcPr>
            <w:tcW w:w="1226" w:type="dxa"/>
          </w:tcPr>
          <w:p w14:paraId="62469617" w14:textId="77777777" w:rsidR="00D769EA" w:rsidRPr="00D96C02" w:rsidRDefault="00D769EA" w:rsidP="00B919A5">
            <w:pPr>
              <w:pStyle w:val="TableHeading"/>
              <w:jc w:val="right"/>
            </w:pPr>
          </w:p>
        </w:tc>
        <w:tc>
          <w:tcPr>
            <w:tcW w:w="1237" w:type="dxa"/>
          </w:tcPr>
          <w:p w14:paraId="48F8DA9B" w14:textId="77777777" w:rsidR="00D769EA" w:rsidRPr="00D96C02" w:rsidRDefault="00D769EA" w:rsidP="00B919A5">
            <w:pPr>
              <w:pStyle w:val="TableHeading"/>
              <w:jc w:val="right"/>
            </w:pPr>
          </w:p>
        </w:tc>
        <w:tc>
          <w:tcPr>
            <w:tcW w:w="1173" w:type="dxa"/>
          </w:tcPr>
          <w:p w14:paraId="0DE73584" w14:textId="77777777" w:rsidR="00D769EA" w:rsidRPr="00D96C02" w:rsidRDefault="00D769EA" w:rsidP="00B919A5">
            <w:pPr>
              <w:pStyle w:val="TableHeading"/>
              <w:jc w:val="right"/>
            </w:pPr>
          </w:p>
        </w:tc>
        <w:tc>
          <w:tcPr>
            <w:tcW w:w="1276" w:type="dxa"/>
          </w:tcPr>
          <w:p w14:paraId="79FCCE2F" w14:textId="77777777" w:rsidR="00D769EA" w:rsidRPr="00D96C02" w:rsidRDefault="00D769EA" w:rsidP="00B919A5">
            <w:pPr>
              <w:pStyle w:val="TableHeading"/>
              <w:jc w:val="right"/>
            </w:pPr>
          </w:p>
        </w:tc>
      </w:tr>
      <w:tr w:rsidR="00D769EA" w14:paraId="2D4C6C3A" w14:textId="77777777" w:rsidTr="00652DE3">
        <w:trPr>
          <w:trHeight w:val="113"/>
        </w:trPr>
        <w:tc>
          <w:tcPr>
            <w:tcW w:w="3114" w:type="dxa"/>
          </w:tcPr>
          <w:p w14:paraId="07A3BD68" w14:textId="77777777" w:rsidR="00D769EA" w:rsidRDefault="00D769EA" w:rsidP="00F8467A">
            <w:pPr>
              <w:pStyle w:val="TableCopy"/>
            </w:pPr>
            <w:r>
              <w:t>Creditors and accruals</w:t>
            </w:r>
          </w:p>
        </w:tc>
        <w:tc>
          <w:tcPr>
            <w:tcW w:w="1228" w:type="dxa"/>
          </w:tcPr>
          <w:p w14:paraId="30454015" w14:textId="0CEEE6ED" w:rsidR="00D769EA" w:rsidRDefault="00D769EA" w:rsidP="00B919A5">
            <w:pPr>
              <w:pStyle w:val="TableCopy"/>
              <w:jc w:val="right"/>
            </w:pPr>
            <w:r>
              <w:t>–</w:t>
            </w:r>
          </w:p>
        </w:tc>
        <w:tc>
          <w:tcPr>
            <w:tcW w:w="1189" w:type="dxa"/>
          </w:tcPr>
          <w:p w14:paraId="6BB840E4" w14:textId="432081DF" w:rsidR="00D769EA" w:rsidRDefault="00D769EA" w:rsidP="00B919A5">
            <w:pPr>
              <w:pStyle w:val="TableCopy"/>
              <w:jc w:val="right"/>
            </w:pPr>
            <w:r>
              <w:t>–</w:t>
            </w:r>
          </w:p>
        </w:tc>
        <w:tc>
          <w:tcPr>
            <w:tcW w:w="1092" w:type="dxa"/>
          </w:tcPr>
          <w:p w14:paraId="169E4DD0" w14:textId="4A6C4A29" w:rsidR="00D769EA" w:rsidRDefault="00D769EA" w:rsidP="00B919A5">
            <w:pPr>
              <w:pStyle w:val="TableCopy"/>
              <w:jc w:val="right"/>
            </w:pPr>
            <w:r>
              <w:t>–</w:t>
            </w:r>
          </w:p>
        </w:tc>
        <w:tc>
          <w:tcPr>
            <w:tcW w:w="1090" w:type="dxa"/>
          </w:tcPr>
          <w:p w14:paraId="521BD617" w14:textId="5D6DBB4F" w:rsidR="00D769EA" w:rsidRDefault="00D769EA" w:rsidP="00B919A5">
            <w:pPr>
              <w:pStyle w:val="TableCopy"/>
              <w:jc w:val="right"/>
            </w:pPr>
            <w:r>
              <w:t>–</w:t>
            </w:r>
          </w:p>
        </w:tc>
        <w:tc>
          <w:tcPr>
            <w:tcW w:w="1206" w:type="dxa"/>
          </w:tcPr>
          <w:p w14:paraId="10F10CAC" w14:textId="0195759E" w:rsidR="00D769EA" w:rsidRDefault="00D769EA" w:rsidP="00B919A5">
            <w:pPr>
              <w:pStyle w:val="TableCopy"/>
              <w:jc w:val="right"/>
            </w:pPr>
            <w:r>
              <w:t>–</w:t>
            </w:r>
          </w:p>
        </w:tc>
        <w:tc>
          <w:tcPr>
            <w:tcW w:w="1190" w:type="dxa"/>
          </w:tcPr>
          <w:p w14:paraId="0A7FCD92" w14:textId="3E8D1DFB" w:rsidR="00D769EA" w:rsidRDefault="00D769EA" w:rsidP="00B919A5">
            <w:pPr>
              <w:pStyle w:val="TableCopy"/>
              <w:jc w:val="right"/>
            </w:pPr>
            <w:r>
              <w:t>–</w:t>
            </w:r>
          </w:p>
        </w:tc>
        <w:tc>
          <w:tcPr>
            <w:tcW w:w="1226" w:type="dxa"/>
          </w:tcPr>
          <w:p w14:paraId="63FE1E86" w14:textId="65C6746E" w:rsidR="00D769EA" w:rsidRDefault="00D769EA" w:rsidP="00B919A5">
            <w:pPr>
              <w:pStyle w:val="TableCopy"/>
              <w:jc w:val="right"/>
            </w:pPr>
            <w:r>
              <w:t>–</w:t>
            </w:r>
          </w:p>
        </w:tc>
        <w:tc>
          <w:tcPr>
            <w:tcW w:w="1237" w:type="dxa"/>
          </w:tcPr>
          <w:p w14:paraId="26E5D545" w14:textId="096D95C0" w:rsidR="00D769EA" w:rsidRDefault="00D769EA" w:rsidP="00B919A5">
            <w:pPr>
              <w:pStyle w:val="TableCopy"/>
              <w:jc w:val="right"/>
            </w:pPr>
            <w:r>
              <w:t>115</w:t>
            </w:r>
          </w:p>
        </w:tc>
        <w:tc>
          <w:tcPr>
            <w:tcW w:w="1173" w:type="dxa"/>
          </w:tcPr>
          <w:p w14:paraId="5A3382B2" w14:textId="4C16AEE8" w:rsidR="00D769EA" w:rsidRDefault="00D769EA" w:rsidP="00B919A5">
            <w:pPr>
              <w:pStyle w:val="TableCopy"/>
              <w:jc w:val="right"/>
            </w:pPr>
            <w:r>
              <w:t>25,231</w:t>
            </w:r>
          </w:p>
        </w:tc>
        <w:tc>
          <w:tcPr>
            <w:tcW w:w="1276" w:type="dxa"/>
          </w:tcPr>
          <w:p w14:paraId="0529BD36" w14:textId="1D40D10D" w:rsidR="00D769EA" w:rsidRDefault="00D769EA" w:rsidP="00B919A5">
            <w:pPr>
              <w:pStyle w:val="TableCopy"/>
              <w:jc w:val="right"/>
            </w:pPr>
            <w:r>
              <w:t>23,347</w:t>
            </w:r>
          </w:p>
        </w:tc>
      </w:tr>
      <w:tr w:rsidR="00D769EA" w14:paraId="59B34B0A" w14:textId="77777777" w:rsidTr="00652DE3">
        <w:trPr>
          <w:trHeight w:val="333"/>
        </w:trPr>
        <w:tc>
          <w:tcPr>
            <w:tcW w:w="3114" w:type="dxa"/>
          </w:tcPr>
          <w:p w14:paraId="67E0BBF8" w14:textId="77777777" w:rsidR="00D769EA" w:rsidRDefault="00D769EA" w:rsidP="00F8467A">
            <w:pPr>
              <w:pStyle w:val="TableCopy"/>
            </w:pPr>
            <w:r>
              <w:t>Unearned income</w:t>
            </w:r>
          </w:p>
        </w:tc>
        <w:tc>
          <w:tcPr>
            <w:tcW w:w="1228" w:type="dxa"/>
          </w:tcPr>
          <w:p w14:paraId="219830A4" w14:textId="5F3006B2" w:rsidR="00D769EA" w:rsidRDefault="00D769EA" w:rsidP="00B919A5">
            <w:pPr>
              <w:pStyle w:val="TableCopy"/>
              <w:jc w:val="right"/>
            </w:pPr>
            <w:r>
              <w:t>–</w:t>
            </w:r>
          </w:p>
        </w:tc>
        <w:tc>
          <w:tcPr>
            <w:tcW w:w="1189" w:type="dxa"/>
          </w:tcPr>
          <w:p w14:paraId="668EB6AD" w14:textId="033776E2" w:rsidR="00D769EA" w:rsidRDefault="00D769EA" w:rsidP="00B919A5">
            <w:pPr>
              <w:pStyle w:val="TableCopy"/>
              <w:jc w:val="right"/>
            </w:pPr>
            <w:r>
              <w:t>–</w:t>
            </w:r>
          </w:p>
        </w:tc>
        <w:tc>
          <w:tcPr>
            <w:tcW w:w="1092" w:type="dxa"/>
          </w:tcPr>
          <w:p w14:paraId="0C030668" w14:textId="654928F1" w:rsidR="00D769EA" w:rsidRDefault="00D769EA" w:rsidP="00B919A5">
            <w:pPr>
              <w:pStyle w:val="TableCopy"/>
              <w:jc w:val="right"/>
            </w:pPr>
            <w:r>
              <w:t>–</w:t>
            </w:r>
          </w:p>
        </w:tc>
        <w:tc>
          <w:tcPr>
            <w:tcW w:w="1090" w:type="dxa"/>
          </w:tcPr>
          <w:p w14:paraId="6B198B69" w14:textId="2322D081" w:rsidR="00D769EA" w:rsidRDefault="00D769EA" w:rsidP="00B919A5">
            <w:pPr>
              <w:pStyle w:val="TableCopy"/>
              <w:jc w:val="right"/>
            </w:pPr>
            <w:r>
              <w:t>–</w:t>
            </w:r>
          </w:p>
        </w:tc>
        <w:tc>
          <w:tcPr>
            <w:tcW w:w="1206" w:type="dxa"/>
          </w:tcPr>
          <w:p w14:paraId="4E062DDC" w14:textId="3164ACAF" w:rsidR="00D769EA" w:rsidRDefault="00D769EA" w:rsidP="00B919A5">
            <w:pPr>
              <w:pStyle w:val="TableCopy"/>
              <w:jc w:val="right"/>
            </w:pPr>
            <w:r>
              <w:t>–</w:t>
            </w:r>
          </w:p>
        </w:tc>
        <w:tc>
          <w:tcPr>
            <w:tcW w:w="1190" w:type="dxa"/>
          </w:tcPr>
          <w:p w14:paraId="5E1A2E5B" w14:textId="315627A4" w:rsidR="00D769EA" w:rsidRDefault="00D769EA" w:rsidP="00B919A5">
            <w:pPr>
              <w:pStyle w:val="TableCopy"/>
              <w:jc w:val="right"/>
            </w:pPr>
            <w:r>
              <w:t>–</w:t>
            </w:r>
          </w:p>
        </w:tc>
        <w:tc>
          <w:tcPr>
            <w:tcW w:w="1226" w:type="dxa"/>
          </w:tcPr>
          <w:p w14:paraId="2D71464E" w14:textId="760E15A5" w:rsidR="00D769EA" w:rsidRDefault="00D769EA" w:rsidP="00B919A5">
            <w:pPr>
              <w:pStyle w:val="TableCopy"/>
              <w:jc w:val="right"/>
            </w:pPr>
            <w:r>
              <w:t>–</w:t>
            </w:r>
          </w:p>
        </w:tc>
        <w:tc>
          <w:tcPr>
            <w:tcW w:w="1237" w:type="dxa"/>
          </w:tcPr>
          <w:p w14:paraId="6DA2F1BB" w14:textId="15614A83" w:rsidR="00D769EA" w:rsidRDefault="00D769EA" w:rsidP="00B919A5">
            <w:pPr>
              <w:pStyle w:val="TableCopy"/>
              <w:jc w:val="right"/>
            </w:pPr>
            <w:r>
              <w:t>960</w:t>
            </w:r>
          </w:p>
        </w:tc>
        <w:tc>
          <w:tcPr>
            <w:tcW w:w="1173" w:type="dxa"/>
          </w:tcPr>
          <w:p w14:paraId="1F207325" w14:textId="507448E6" w:rsidR="00D769EA" w:rsidRDefault="00D769EA" w:rsidP="00B919A5">
            <w:pPr>
              <w:pStyle w:val="TableCopy"/>
              <w:jc w:val="right"/>
            </w:pPr>
            <w:r>
              <w:t>51,039</w:t>
            </w:r>
          </w:p>
        </w:tc>
        <w:tc>
          <w:tcPr>
            <w:tcW w:w="1276" w:type="dxa"/>
          </w:tcPr>
          <w:p w14:paraId="3AEE0E9C" w14:textId="181D7A12" w:rsidR="00D769EA" w:rsidRDefault="00D769EA" w:rsidP="00B919A5">
            <w:pPr>
              <w:pStyle w:val="TableCopy"/>
              <w:jc w:val="right"/>
            </w:pPr>
            <w:r>
              <w:t>56,186</w:t>
            </w:r>
          </w:p>
        </w:tc>
      </w:tr>
      <w:tr w:rsidR="00D769EA" w14:paraId="0BF9FFB9" w14:textId="77777777" w:rsidTr="00652DE3">
        <w:trPr>
          <w:trHeight w:val="113"/>
        </w:trPr>
        <w:tc>
          <w:tcPr>
            <w:tcW w:w="3114" w:type="dxa"/>
          </w:tcPr>
          <w:p w14:paraId="4E52ACB4" w14:textId="77777777" w:rsidR="00D769EA" w:rsidRDefault="00D769EA" w:rsidP="00F8467A">
            <w:pPr>
              <w:pStyle w:val="TableCopy"/>
            </w:pPr>
            <w:r>
              <w:t>Interest bearing liabilities</w:t>
            </w:r>
          </w:p>
        </w:tc>
        <w:tc>
          <w:tcPr>
            <w:tcW w:w="1228" w:type="dxa"/>
          </w:tcPr>
          <w:p w14:paraId="0BCC6793" w14:textId="736D2730" w:rsidR="00D769EA" w:rsidRDefault="00D769EA" w:rsidP="00B919A5">
            <w:pPr>
              <w:pStyle w:val="TableCopy"/>
              <w:jc w:val="right"/>
            </w:pPr>
            <w:r>
              <w:t>–</w:t>
            </w:r>
          </w:p>
        </w:tc>
        <w:tc>
          <w:tcPr>
            <w:tcW w:w="1189" w:type="dxa"/>
          </w:tcPr>
          <w:p w14:paraId="3BAE1DF0" w14:textId="3F039F8D" w:rsidR="00D769EA" w:rsidRDefault="00D769EA" w:rsidP="00B919A5">
            <w:pPr>
              <w:pStyle w:val="TableCopy"/>
              <w:jc w:val="right"/>
            </w:pPr>
            <w:r>
              <w:t>–</w:t>
            </w:r>
          </w:p>
        </w:tc>
        <w:tc>
          <w:tcPr>
            <w:tcW w:w="1092" w:type="dxa"/>
          </w:tcPr>
          <w:p w14:paraId="21BF481F" w14:textId="48D01E64" w:rsidR="00D769EA" w:rsidRDefault="00D769EA" w:rsidP="00B919A5">
            <w:pPr>
              <w:pStyle w:val="TableCopy"/>
              <w:jc w:val="right"/>
            </w:pPr>
            <w:r>
              <w:t>–</w:t>
            </w:r>
          </w:p>
        </w:tc>
        <w:tc>
          <w:tcPr>
            <w:tcW w:w="1090" w:type="dxa"/>
          </w:tcPr>
          <w:p w14:paraId="423E8F20" w14:textId="4803407E" w:rsidR="00D769EA" w:rsidRDefault="00D769EA" w:rsidP="00B919A5">
            <w:pPr>
              <w:pStyle w:val="TableCopy"/>
              <w:jc w:val="right"/>
            </w:pPr>
            <w:r>
              <w:t>–</w:t>
            </w:r>
          </w:p>
        </w:tc>
        <w:tc>
          <w:tcPr>
            <w:tcW w:w="1206" w:type="dxa"/>
          </w:tcPr>
          <w:p w14:paraId="75058B80" w14:textId="5DD2B557" w:rsidR="00D769EA" w:rsidRDefault="00D769EA" w:rsidP="00B919A5">
            <w:pPr>
              <w:pStyle w:val="TableCopy"/>
              <w:jc w:val="right"/>
            </w:pPr>
            <w:r>
              <w:t>–</w:t>
            </w:r>
          </w:p>
        </w:tc>
        <w:tc>
          <w:tcPr>
            <w:tcW w:w="1190" w:type="dxa"/>
          </w:tcPr>
          <w:p w14:paraId="70C59546" w14:textId="14814A76" w:rsidR="00D769EA" w:rsidRDefault="00D769EA" w:rsidP="00B919A5">
            <w:pPr>
              <w:pStyle w:val="TableCopy"/>
              <w:jc w:val="right"/>
            </w:pPr>
            <w:r>
              <w:t>–</w:t>
            </w:r>
          </w:p>
        </w:tc>
        <w:tc>
          <w:tcPr>
            <w:tcW w:w="1226" w:type="dxa"/>
          </w:tcPr>
          <w:p w14:paraId="66FC8E4C" w14:textId="3E4A0DCF" w:rsidR="00D769EA" w:rsidRDefault="00D769EA" w:rsidP="00B919A5">
            <w:pPr>
              <w:pStyle w:val="TableCopy"/>
              <w:jc w:val="right"/>
            </w:pPr>
            <w:r>
              <w:t>–</w:t>
            </w:r>
          </w:p>
        </w:tc>
        <w:tc>
          <w:tcPr>
            <w:tcW w:w="1237" w:type="dxa"/>
          </w:tcPr>
          <w:p w14:paraId="01EBDACC" w14:textId="3A00944B" w:rsidR="00D769EA" w:rsidRDefault="00D769EA" w:rsidP="00B919A5">
            <w:pPr>
              <w:pStyle w:val="TableCopy"/>
              <w:jc w:val="right"/>
            </w:pPr>
            <w:r>
              <w:t>95</w:t>
            </w:r>
          </w:p>
        </w:tc>
        <w:tc>
          <w:tcPr>
            <w:tcW w:w="1173" w:type="dxa"/>
          </w:tcPr>
          <w:p w14:paraId="503567C6" w14:textId="4345CFC5" w:rsidR="00D769EA" w:rsidRDefault="00D769EA" w:rsidP="00B919A5">
            <w:pPr>
              <w:pStyle w:val="TableCopy"/>
              <w:jc w:val="right"/>
            </w:pPr>
            <w:r>
              <w:t>415,628</w:t>
            </w:r>
          </w:p>
        </w:tc>
        <w:tc>
          <w:tcPr>
            <w:tcW w:w="1276" w:type="dxa"/>
          </w:tcPr>
          <w:p w14:paraId="2BDB0275" w14:textId="6840A031" w:rsidR="00D769EA" w:rsidRDefault="00D769EA" w:rsidP="00B919A5">
            <w:pPr>
              <w:pStyle w:val="TableCopy"/>
              <w:jc w:val="right"/>
            </w:pPr>
            <w:r>
              <w:t>433,476</w:t>
            </w:r>
          </w:p>
        </w:tc>
      </w:tr>
      <w:tr w:rsidR="00D769EA" w:rsidRPr="00D96C02" w14:paraId="7FB8529A" w14:textId="77777777" w:rsidTr="00652DE3">
        <w:trPr>
          <w:trHeight w:val="113"/>
        </w:trPr>
        <w:tc>
          <w:tcPr>
            <w:tcW w:w="3114" w:type="dxa"/>
          </w:tcPr>
          <w:p w14:paraId="10D41F0C" w14:textId="77777777" w:rsidR="00D769EA" w:rsidRPr="00D96C02" w:rsidRDefault="00D769EA" w:rsidP="00F8467A">
            <w:pPr>
              <w:pStyle w:val="TableCopy"/>
              <w:rPr>
                <w:b/>
                <w:bCs/>
              </w:rPr>
            </w:pPr>
            <w:r w:rsidRPr="00D96C02">
              <w:rPr>
                <w:b/>
                <w:bCs/>
              </w:rPr>
              <w:lastRenderedPageBreak/>
              <w:t>Total administered liabilities</w:t>
            </w:r>
          </w:p>
        </w:tc>
        <w:tc>
          <w:tcPr>
            <w:tcW w:w="1228" w:type="dxa"/>
          </w:tcPr>
          <w:p w14:paraId="2639F100" w14:textId="62D26469" w:rsidR="00D769EA" w:rsidRPr="00D96C02" w:rsidRDefault="00D769EA" w:rsidP="00B919A5">
            <w:pPr>
              <w:pStyle w:val="TableCopy"/>
              <w:jc w:val="right"/>
              <w:rPr>
                <w:b/>
                <w:bCs/>
              </w:rPr>
            </w:pPr>
            <w:r w:rsidRPr="00D96C02">
              <w:rPr>
                <w:b/>
                <w:bCs/>
              </w:rPr>
              <w:t>–</w:t>
            </w:r>
          </w:p>
        </w:tc>
        <w:tc>
          <w:tcPr>
            <w:tcW w:w="1189" w:type="dxa"/>
          </w:tcPr>
          <w:p w14:paraId="17DF4E0A" w14:textId="3C8E7980" w:rsidR="00D769EA" w:rsidRPr="00D96C02" w:rsidRDefault="00D769EA" w:rsidP="00B919A5">
            <w:pPr>
              <w:pStyle w:val="TableCopy"/>
              <w:jc w:val="right"/>
              <w:rPr>
                <w:b/>
                <w:bCs/>
              </w:rPr>
            </w:pPr>
            <w:r w:rsidRPr="00D96C02">
              <w:rPr>
                <w:b/>
                <w:bCs/>
              </w:rPr>
              <w:t>–</w:t>
            </w:r>
          </w:p>
        </w:tc>
        <w:tc>
          <w:tcPr>
            <w:tcW w:w="1092" w:type="dxa"/>
          </w:tcPr>
          <w:p w14:paraId="6CC1A295" w14:textId="3807F0D3" w:rsidR="00D769EA" w:rsidRPr="00D96C02" w:rsidRDefault="00D769EA" w:rsidP="00B919A5">
            <w:pPr>
              <w:pStyle w:val="TableCopy"/>
              <w:jc w:val="right"/>
              <w:rPr>
                <w:b/>
                <w:bCs/>
              </w:rPr>
            </w:pPr>
            <w:r w:rsidRPr="00D96C02">
              <w:rPr>
                <w:b/>
                <w:bCs/>
              </w:rPr>
              <w:t>–</w:t>
            </w:r>
          </w:p>
        </w:tc>
        <w:tc>
          <w:tcPr>
            <w:tcW w:w="1090" w:type="dxa"/>
          </w:tcPr>
          <w:p w14:paraId="5B871CDF" w14:textId="7B1BC2A1" w:rsidR="00D769EA" w:rsidRPr="00D96C02" w:rsidRDefault="00D769EA" w:rsidP="00B919A5">
            <w:pPr>
              <w:pStyle w:val="TableCopy"/>
              <w:jc w:val="right"/>
              <w:rPr>
                <w:b/>
                <w:bCs/>
              </w:rPr>
            </w:pPr>
            <w:r w:rsidRPr="00D96C02">
              <w:rPr>
                <w:b/>
                <w:bCs/>
              </w:rPr>
              <w:t>–</w:t>
            </w:r>
          </w:p>
        </w:tc>
        <w:tc>
          <w:tcPr>
            <w:tcW w:w="1206" w:type="dxa"/>
          </w:tcPr>
          <w:p w14:paraId="696B82D5" w14:textId="5CC008C5" w:rsidR="00D769EA" w:rsidRPr="00D96C02" w:rsidRDefault="00D769EA" w:rsidP="00B919A5">
            <w:pPr>
              <w:pStyle w:val="TableCopy"/>
              <w:jc w:val="right"/>
              <w:rPr>
                <w:b/>
                <w:bCs/>
              </w:rPr>
            </w:pPr>
            <w:r w:rsidRPr="00D96C02">
              <w:rPr>
                <w:b/>
                <w:bCs/>
              </w:rPr>
              <w:t>–</w:t>
            </w:r>
          </w:p>
        </w:tc>
        <w:tc>
          <w:tcPr>
            <w:tcW w:w="1190" w:type="dxa"/>
          </w:tcPr>
          <w:p w14:paraId="5C870DD4" w14:textId="58F4FCA7" w:rsidR="00D769EA" w:rsidRPr="00D96C02" w:rsidRDefault="00D769EA" w:rsidP="00B919A5">
            <w:pPr>
              <w:pStyle w:val="TableCopy"/>
              <w:jc w:val="right"/>
              <w:rPr>
                <w:b/>
                <w:bCs/>
              </w:rPr>
            </w:pPr>
            <w:r w:rsidRPr="00D96C02">
              <w:rPr>
                <w:b/>
                <w:bCs/>
              </w:rPr>
              <w:t>–</w:t>
            </w:r>
          </w:p>
        </w:tc>
        <w:tc>
          <w:tcPr>
            <w:tcW w:w="1226" w:type="dxa"/>
          </w:tcPr>
          <w:p w14:paraId="442A5FCC" w14:textId="534334FB" w:rsidR="00D769EA" w:rsidRPr="00D96C02" w:rsidRDefault="00D769EA" w:rsidP="00B919A5">
            <w:pPr>
              <w:pStyle w:val="TableCopy"/>
              <w:jc w:val="right"/>
              <w:rPr>
                <w:b/>
                <w:bCs/>
              </w:rPr>
            </w:pPr>
            <w:r w:rsidRPr="00D96C02">
              <w:rPr>
                <w:b/>
                <w:bCs/>
              </w:rPr>
              <w:t>–</w:t>
            </w:r>
          </w:p>
        </w:tc>
        <w:tc>
          <w:tcPr>
            <w:tcW w:w="1237" w:type="dxa"/>
          </w:tcPr>
          <w:p w14:paraId="28A9F086" w14:textId="54546C1B" w:rsidR="00D769EA" w:rsidRPr="00D96C02" w:rsidRDefault="00D769EA" w:rsidP="00B919A5">
            <w:pPr>
              <w:pStyle w:val="TableCopy"/>
              <w:jc w:val="right"/>
              <w:rPr>
                <w:b/>
                <w:bCs/>
              </w:rPr>
            </w:pPr>
            <w:r w:rsidRPr="00D96C02">
              <w:rPr>
                <w:b/>
                <w:bCs/>
              </w:rPr>
              <w:t>1,170</w:t>
            </w:r>
          </w:p>
        </w:tc>
        <w:tc>
          <w:tcPr>
            <w:tcW w:w="1173" w:type="dxa"/>
          </w:tcPr>
          <w:p w14:paraId="1A7D0F3C" w14:textId="45C4295D" w:rsidR="00D769EA" w:rsidRPr="00D96C02" w:rsidRDefault="00D769EA" w:rsidP="00B919A5">
            <w:pPr>
              <w:pStyle w:val="TableCopy"/>
              <w:jc w:val="right"/>
              <w:rPr>
                <w:b/>
                <w:bCs/>
              </w:rPr>
            </w:pPr>
            <w:r w:rsidRPr="00D96C02">
              <w:rPr>
                <w:b/>
                <w:bCs/>
              </w:rPr>
              <w:t>491,898</w:t>
            </w:r>
          </w:p>
        </w:tc>
        <w:tc>
          <w:tcPr>
            <w:tcW w:w="1276" w:type="dxa"/>
          </w:tcPr>
          <w:p w14:paraId="4ABE405F" w14:textId="1173C1A9" w:rsidR="00D769EA" w:rsidRPr="00D96C02" w:rsidRDefault="00D769EA" w:rsidP="00B919A5">
            <w:pPr>
              <w:pStyle w:val="TableCopy"/>
              <w:jc w:val="right"/>
              <w:rPr>
                <w:b/>
                <w:bCs/>
              </w:rPr>
            </w:pPr>
            <w:r w:rsidRPr="00D96C02">
              <w:rPr>
                <w:b/>
                <w:bCs/>
              </w:rPr>
              <w:t>513,009</w:t>
            </w:r>
          </w:p>
        </w:tc>
      </w:tr>
      <w:tr w:rsidR="00D769EA" w:rsidRPr="00D96C02" w14:paraId="6D31FA04" w14:textId="77777777" w:rsidTr="00652DE3">
        <w:trPr>
          <w:trHeight w:val="113"/>
        </w:trPr>
        <w:tc>
          <w:tcPr>
            <w:tcW w:w="3114" w:type="dxa"/>
          </w:tcPr>
          <w:p w14:paraId="5D45D2D5" w14:textId="77777777" w:rsidR="00D769EA" w:rsidRPr="00D96C02" w:rsidRDefault="00D769EA" w:rsidP="00F8467A">
            <w:pPr>
              <w:pStyle w:val="TableCopy"/>
              <w:rPr>
                <w:b/>
                <w:bCs/>
              </w:rPr>
            </w:pPr>
            <w:r w:rsidRPr="00D96C02">
              <w:rPr>
                <w:b/>
                <w:bCs/>
              </w:rPr>
              <w:t>Total administered net assets</w:t>
            </w:r>
          </w:p>
        </w:tc>
        <w:tc>
          <w:tcPr>
            <w:tcW w:w="1228" w:type="dxa"/>
          </w:tcPr>
          <w:p w14:paraId="72FA2148" w14:textId="44D1D8BA" w:rsidR="00D769EA" w:rsidRPr="00D96C02" w:rsidRDefault="00D769EA" w:rsidP="00B919A5">
            <w:pPr>
              <w:pStyle w:val="TableCopy"/>
              <w:jc w:val="right"/>
              <w:rPr>
                <w:b/>
                <w:bCs/>
              </w:rPr>
            </w:pPr>
            <w:r w:rsidRPr="00D96C02">
              <w:rPr>
                <w:b/>
                <w:bCs/>
              </w:rPr>
              <w:t>–</w:t>
            </w:r>
          </w:p>
        </w:tc>
        <w:tc>
          <w:tcPr>
            <w:tcW w:w="1189" w:type="dxa"/>
          </w:tcPr>
          <w:p w14:paraId="00DBBE99" w14:textId="229DEF0D" w:rsidR="00D769EA" w:rsidRPr="00D96C02" w:rsidRDefault="00D769EA" w:rsidP="00B919A5">
            <w:pPr>
              <w:pStyle w:val="TableCopy"/>
              <w:jc w:val="right"/>
              <w:rPr>
                <w:b/>
                <w:bCs/>
              </w:rPr>
            </w:pPr>
            <w:r w:rsidRPr="00D96C02">
              <w:rPr>
                <w:b/>
                <w:bCs/>
              </w:rPr>
              <w:t>–</w:t>
            </w:r>
          </w:p>
        </w:tc>
        <w:tc>
          <w:tcPr>
            <w:tcW w:w="1092" w:type="dxa"/>
          </w:tcPr>
          <w:p w14:paraId="092B9561" w14:textId="35B7BD1B" w:rsidR="00D769EA" w:rsidRPr="00D96C02" w:rsidRDefault="00D769EA" w:rsidP="00B919A5">
            <w:pPr>
              <w:pStyle w:val="TableCopy"/>
              <w:jc w:val="right"/>
              <w:rPr>
                <w:b/>
                <w:bCs/>
              </w:rPr>
            </w:pPr>
            <w:r w:rsidRPr="00D96C02">
              <w:rPr>
                <w:b/>
                <w:bCs/>
              </w:rPr>
              <w:t>–</w:t>
            </w:r>
          </w:p>
        </w:tc>
        <w:tc>
          <w:tcPr>
            <w:tcW w:w="1090" w:type="dxa"/>
          </w:tcPr>
          <w:p w14:paraId="680E5AA4" w14:textId="44EE97B3" w:rsidR="00D769EA" w:rsidRPr="00D96C02" w:rsidRDefault="00D769EA" w:rsidP="00B919A5">
            <w:pPr>
              <w:pStyle w:val="TableCopy"/>
              <w:jc w:val="right"/>
              <w:rPr>
                <w:b/>
                <w:bCs/>
              </w:rPr>
            </w:pPr>
            <w:r w:rsidRPr="00D96C02">
              <w:rPr>
                <w:b/>
                <w:bCs/>
              </w:rPr>
              <w:t>–</w:t>
            </w:r>
          </w:p>
        </w:tc>
        <w:tc>
          <w:tcPr>
            <w:tcW w:w="1206" w:type="dxa"/>
          </w:tcPr>
          <w:p w14:paraId="09B837F6" w14:textId="47CA1A05" w:rsidR="00D769EA" w:rsidRPr="00D96C02" w:rsidRDefault="00D769EA" w:rsidP="00B919A5">
            <w:pPr>
              <w:pStyle w:val="TableCopy"/>
              <w:jc w:val="right"/>
              <w:rPr>
                <w:b/>
                <w:bCs/>
              </w:rPr>
            </w:pPr>
            <w:r w:rsidRPr="00D96C02">
              <w:rPr>
                <w:b/>
                <w:bCs/>
              </w:rPr>
              <w:t>–</w:t>
            </w:r>
          </w:p>
        </w:tc>
        <w:tc>
          <w:tcPr>
            <w:tcW w:w="1190" w:type="dxa"/>
          </w:tcPr>
          <w:p w14:paraId="7B478339" w14:textId="6F957C35" w:rsidR="00D769EA" w:rsidRPr="00D96C02" w:rsidRDefault="00D769EA" w:rsidP="00B919A5">
            <w:pPr>
              <w:pStyle w:val="TableCopy"/>
              <w:jc w:val="right"/>
              <w:rPr>
                <w:b/>
                <w:bCs/>
              </w:rPr>
            </w:pPr>
            <w:r w:rsidRPr="00D96C02">
              <w:rPr>
                <w:b/>
                <w:bCs/>
              </w:rPr>
              <w:t>–</w:t>
            </w:r>
          </w:p>
        </w:tc>
        <w:tc>
          <w:tcPr>
            <w:tcW w:w="1226" w:type="dxa"/>
          </w:tcPr>
          <w:p w14:paraId="01821E04" w14:textId="059EDA67" w:rsidR="00D769EA" w:rsidRPr="00D96C02" w:rsidRDefault="00D769EA" w:rsidP="00B919A5">
            <w:pPr>
              <w:pStyle w:val="TableCopy"/>
              <w:jc w:val="right"/>
              <w:rPr>
                <w:b/>
                <w:bCs/>
              </w:rPr>
            </w:pPr>
            <w:r w:rsidRPr="00D96C02">
              <w:rPr>
                <w:b/>
                <w:bCs/>
              </w:rPr>
              <w:t>–</w:t>
            </w:r>
          </w:p>
        </w:tc>
        <w:tc>
          <w:tcPr>
            <w:tcW w:w="1237" w:type="dxa"/>
          </w:tcPr>
          <w:p w14:paraId="77C6401D" w14:textId="3A2D4F6D" w:rsidR="00D769EA" w:rsidRPr="00D96C02" w:rsidRDefault="00D769EA" w:rsidP="00B919A5">
            <w:pPr>
              <w:pStyle w:val="TableCopy"/>
              <w:jc w:val="right"/>
              <w:rPr>
                <w:b/>
                <w:bCs/>
              </w:rPr>
            </w:pPr>
            <w:r w:rsidRPr="00D96C02">
              <w:rPr>
                <w:b/>
                <w:bCs/>
              </w:rPr>
              <w:t>140,279</w:t>
            </w:r>
          </w:p>
        </w:tc>
        <w:tc>
          <w:tcPr>
            <w:tcW w:w="1173" w:type="dxa"/>
          </w:tcPr>
          <w:p w14:paraId="0B968F60" w14:textId="77777777" w:rsidR="00D769EA" w:rsidRPr="00D96C02" w:rsidRDefault="00D769EA" w:rsidP="00B919A5">
            <w:pPr>
              <w:pStyle w:val="TableCopy"/>
              <w:jc w:val="right"/>
              <w:rPr>
                <w:b/>
                <w:bCs/>
              </w:rPr>
            </w:pPr>
            <w:r w:rsidRPr="00D96C02">
              <w:rPr>
                <w:b/>
                <w:bCs/>
              </w:rPr>
              <w:t>(283,008)</w:t>
            </w:r>
          </w:p>
        </w:tc>
        <w:tc>
          <w:tcPr>
            <w:tcW w:w="1276" w:type="dxa"/>
          </w:tcPr>
          <w:p w14:paraId="2A07180A" w14:textId="77777777" w:rsidR="00D769EA" w:rsidRPr="00D96C02" w:rsidRDefault="00D769EA" w:rsidP="00B919A5">
            <w:pPr>
              <w:pStyle w:val="TableCopy"/>
              <w:jc w:val="right"/>
              <w:rPr>
                <w:b/>
                <w:bCs/>
              </w:rPr>
            </w:pPr>
            <w:r w:rsidRPr="00D96C02">
              <w:rPr>
                <w:b/>
                <w:bCs/>
              </w:rPr>
              <w:t>(155,758)</w:t>
            </w:r>
          </w:p>
        </w:tc>
      </w:tr>
    </w:tbl>
    <w:p w14:paraId="4124F916" w14:textId="08D5AF81" w:rsidR="000756EB" w:rsidRDefault="004A4D88" w:rsidP="00B919A5">
      <w:pPr>
        <w:pStyle w:val="FootnoteText"/>
        <w:rPr>
          <w:i/>
          <w:iCs/>
        </w:rPr>
      </w:pPr>
      <w:r>
        <w:t>(ii)</w:t>
      </w:r>
      <w:r w:rsidR="00B919A5">
        <w:t xml:space="preserve"> </w:t>
      </w:r>
      <w:r>
        <w:t>For</w:t>
      </w:r>
      <w:r w:rsidR="00A03629">
        <w:t xml:space="preserve"> </w:t>
      </w:r>
      <w:r>
        <w:t>the</w:t>
      </w:r>
      <w:r w:rsidR="00A03629">
        <w:t xml:space="preserve"> </w:t>
      </w:r>
      <w:r>
        <w:t>functions</w:t>
      </w:r>
      <w:r w:rsidR="00A03629">
        <w:t xml:space="preserve"> </w:t>
      </w:r>
      <w:r>
        <w:t>relinquished</w:t>
      </w:r>
      <w:r w:rsidR="00A03629">
        <w:t xml:space="preserve"> </w:t>
      </w:r>
      <w:proofErr w:type="gramStart"/>
      <w:r>
        <w:t>as</w:t>
      </w:r>
      <w:r w:rsidR="00A03629">
        <w:t xml:space="preserve"> </w:t>
      </w:r>
      <w:r>
        <w:t>a</w:t>
      </w:r>
      <w:r w:rsidR="00A03629">
        <w:t xml:space="preserve"> </w:t>
      </w:r>
      <w:r>
        <w:t>result</w:t>
      </w:r>
      <w:r w:rsidR="00A03629">
        <w:t xml:space="preserve"> </w:t>
      </w:r>
      <w:r>
        <w:t>of</w:t>
      </w:r>
      <w:proofErr w:type="gramEnd"/>
      <w:r w:rsidR="00A03629">
        <w:t xml:space="preserve"> </w:t>
      </w:r>
      <w:r>
        <w:t>the</w:t>
      </w:r>
      <w:r w:rsidR="00A03629">
        <w:t xml:space="preserve"> </w:t>
      </w:r>
      <w:r>
        <w:t>machinery</w:t>
      </w:r>
      <w:r w:rsidR="00A03629">
        <w:t xml:space="preserve"> </w:t>
      </w:r>
      <w:r>
        <w:t>of</w:t>
      </w:r>
      <w:r w:rsidR="00A03629">
        <w:t xml:space="preserve"> </w:t>
      </w:r>
      <w:r>
        <w:t>government</w:t>
      </w:r>
      <w:r w:rsidR="00A03629">
        <w:t xml:space="preserve"> </w:t>
      </w:r>
      <w:r>
        <w:t>changes:</w:t>
      </w:r>
      <w:r w:rsidR="00A03629">
        <w:t xml:space="preserve"> </w:t>
      </w:r>
      <w:r>
        <w:t>Racing</w:t>
      </w:r>
      <w:r w:rsidR="00A03629">
        <w:t xml:space="preserve"> </w:t>
      </w:r>
      <w:r>
        <w:t>of</w:t>
      </w:r>
      <w:r w:rsidR="00A03629">
        <w:t xml:space="preserve"> </w:t>
      </w:r>
      <w:r>
        <w:t>the</w:t>
      </w:r>
      <w:r w:rsidR="00A03629">
        <w:t xml:space="preserve"> </w:t>
      </w:r>
      <w:r>
        <w:t>Sport,</w:t>
      </w:r>
      <w:r w:rsidR="00A03629">
        <w:t xml:space="preserve"> </w:t>
      </w:r>
      <w:r>
        <w:t>Recreation</w:t>
      </w:r>
      <w:r w:rsidR="00A03629">
        <w:t xml:space="preserve"> </w:t>
      </w:r>
      <w:r>
        <w:t>and</w:t>
      </w:r>
      <w:r w:rsidR="00A03629">
        <w:t xml:space="preserve"> </w:t>
      </w:r>
      <w:r>
        <w:t>Racing</w:t>
      </w:r>
      <w:r w:rsidR="00A03629">
        <w:t xml:space="preserve"> </w:t>
      </w:r>
      <w:r>
        <w:t>output;</w:t>
      </w:r>
      <w:r w:rsidR="00A03629">
        <w:t xml:space="preserve"> </w:t>
      </w:r>
      <w:r>
        <w:t>Local</w:t>
      </w:r>
      <w:r w:rsidR="00A03629">
        <w:t xml:space="preserve"> </w:t>
      </w:r>
      <w:r>
        <w:t>Government</w:t>
      </w:r>
      <w:r w:rsidR="00A03629">
        <w:t xml:space="preserve"> </w:t>
      </w:r>
      <w:r>
        <w:t>of</w:t>
      </w:r>
      <w:r w:rsidR="00A03629">
        <w:t xml:space="preserve"> </w:t>
      </w:r>
      <w:r>
        <w:t>the</w:t>
      </w:r>
      <w:r w:rsidR="00A03629">
        <w:t xml:space="preserve"> </w:t>
      </w:r>
      <w:r>
        <w:t>Local</w:t>
      </w:r>
      <w:r w:rsidR="00A03629">
        <w:t xml:space="preserve"> </w:t>
      </w:r>
      <w:r>
        <w:t>Government</w:t>
      </w:r>
      <w:r w:rsidR="00A03629">
        <w:t xml:space="preserve"> </w:t>
      </w:r>
      <w:r>
        <w:t>and</w:t>
      </w:r>
      <w:r w:rsidR="00A03629">
        <w:t xml:space="preserve"> </w:t>
      </w:r>
      <w:r>
        <w:t>Suburban</w:t>
      </w:r>
      <w:r w:rsidR="00A03629">
        <w:t xml:space="preserve"> </w:t>
      </w:r>
      <w:r>
        <w:t>Development</w:t>
      </w:r>
      <w:r w:rsidR="00A03629">
        <w:t xml:space="preserve"> </w:t>
      </w:r>
      <w:r>
        <w:t>output;</w:t>
      </w:r>
      <w:r w:rsidR="00A03629">
        <w:t xml:space="preserve"> </w:t>
      </w:r>
      <w:r>
        <w:t>Medical</w:t>
      </w:r>
      <w:r w:rsidR="00A03629">
        <w:t xml:space="preserve"> </w:t>
      </w:r>
      <w:r>
        <w:t>Research</w:t>
      </w:r>
      <w:r w:rsidR="00A03629">
        <w:t xml:space="preserve"> </w:t>
      </w:r>
      <w:r>
        <w:t>and</w:t>
      </w:r>
      <w:r w:rsidR="00A03629">
        <w:t xml:space="preserve"> </w:t>
      </w:r>
      <w:r>
        <w:t>Telecommunication</w:t>
      </w:r>
      <w:r w:rsidR="00A03629">
        <w:t xml:space="preserve"> </w:t>
      </w:r>
      <w:r>
        <w:t>of</w:t>
      </w:r>
      <w:r w:rsidR="00A03629">
        <w:t xml:space="preserve"> </w:t>
      </w:r>
      <w:r>
        <w:t>the</w:t>
      </w:r>
      <w:r w:rsidR="00A03629">
        <w:t xml:space="preserve"> </w:t>
      </w:r>
      <w:r>
        <w:t>Industry,</w:t>
      </w:r>
      <w:r w:rsidR="00A03629">
        <w:t xml:space="preserve"> </w:t>
      </w:r>
      <w:r>
        <w:t>Innovation,</w:t>
      </w:r>
      <w:r w:rsidR="00A03629">
        <w:t xml:space="preserve"> </w:t>
      </w:r>
      <w:r>
        <w:t>Medical</w:t>
      </w:r>
      <w:r w:rsidR="00A03629">
        <w:t xml:space="preserve"> </w:t>
      </w:r>
      <w:r>
        <w:t>Research</w:t>
      </w:r>
      <w:r w:rsidR="00A03629">
        <w:t xml:space="preserve"> </w:t>
      </w:r>
      <w:r>
        <w:t>and</w:t>
      </w:r>
      <w:r w:rsidR="00A03629">
        <w:t xml:space="preserve"> </w:t>
      </w:r>
      <w:r>
        <w:t>Small</w:t>
      </w:r>
      <w:r w:rsidR="00A03629">
        <w:t xml:space="preserve"> </w:t>
      </w:r>
      <w:r>
        <w:t>Business</w:t>
      </w:r>
      <w:r w:rsidR="00A03629">
        <w:t xml:space="preserve"> </w:t>
      </w:r>
      <w:r>
        <w:t>output.</w:t>
      </w:r>
    </w:p>
    <w:p w14:paraId="2B971C6F" w14:textId="77777777" w:rsidR="00FE7999" w:rsidRPr="00614829" w:rsidRDefault="00FE7999" w:rsidP="00614829">
      <w:pPr>
        <w:sectPr w:rsidR="00FE7999" w:rsidRPr="00614829" w:rsidSect="00FE7999">
          <w:pgSz w:w="16838" w:h="11906" w:orient="landscape" w:code="9"/>
          <w:pgMar w:top="851" w:right="1134" w:bottom="851" w:left="1134" w:header="397" w:footer="397" w:gutter="0"/>
          <w:cols w:space="720"/>
          <w:noEndnote/>
          <w:docGrid w:linePitch="326"/>
        </w:sectPr>
      </w:pPr>
    </w:p>
    <w:p w14:paraId="4274A313" w14:textId="1FDEAD0B" w:rsidR="000756EB" w:rsidRDefault="004A4D88" w:rsidP="00B919A5">
      <w:pPr>
        <w:pStyle w:val="Heading2"/>
      </w:pPr>
      <w:bookmarkStart w:id="59" w:name="_Toc149911812"/>
      <w:r>
        <w:lastRenderedPageBreak/>
        <w:t>4.3</w:t>
      </w:r>
      <w:r w:rsidR="00DE38B5">
        <w:t xml:space="preserve"> </w:t>
      </w:r>
      <w:r>
        <w:t>Restructuring</w:t>
      </w:r>
      <w:r w:rsidR="00A03629">
        <w:t xml:space="preserve"> </w:t>
      </w:r>
      <w:r>
        <w:t>of</w:t>
      </w:r>
      <w:r w:rsidR="00A03629">
        <w:t xml:space="preserve"> </w:t>
      </w:r>
      <w:r>
        <w:t>administrative</w:t>
      </w:r>
      <w:r w:rsidR="00A03629">
        <w:t xml:space="preserve"> </w:t>
      </w:r>
      <w:r>
        <w:t>arrangements</w:t>
      </w:r>
      <w:bookmarkEnd w:id="59"/>
      <w:r w:rsidR="00A03629">
        <w:t xml:space="preserve"> </w:t>
      </w:r>
    </w:p>
    <w:p w14:paraId="0FA0E0D4" w14:textId="6394C6E4" w:rsidR="000756EB" w:rsidRDefault="004A4D88" w:rsidP="00B919A5">
      <w:pPr>
        <w:rPr>
          <w:rFonts w:ascii="VIC Light" w:hAnsi="VIC Light" w:cs="VIC Light"/>
        </w:rPr>
      </w:pPr>
      <w:r>
        <w:t>On</w:t>
      </w:r>
      <w:r w:rsidR="00A03629">
        <w:t xml:space="preserve"> </w:t>
      </w:r>
      <w:r>
        <w:t>1</w:t>
      </w:r>
      <w:r w:rsidR="00A03629">
        <w:t xml:space="preserve"> </w:t>
      </w:r>
      <w:r>
        <w:t>July</w:t>
      </w:r>
      <w:r w:rsidR="00A03629">
        <w:t xml:space="preserve"> </w:t>
      </w:r>
      <w:r>
        <w:t>2022,</w:t>
      </w:r>
      <w:r w:rsidR="00A03629">
        <w:t xml:space="preserve"> </w:t>
      </w:r>
      <w:r>
        <w:t>the</w:t>
      </w:r>
      <w:r w:rsidR="00A03629">
        <w:t xml:space="preserve"> </w:t>
      </w:r>
      <w:r>
        <w:t>Melbourne</w:t>
      </w:r>
      <w:r w:rsidR="00A03629">
        <w:t xml:space="preserve"> </w:t>
      </w:r>
      <w:r>
        <w:t>Arts</w:t>
      </w:r>
      <w:r w:rsidR="00A03629">
        <w:t xml:space="preserve"> </w:t>
      </w:r>
      <w:r>
        <w:t>Precinct</w:t>
      </w:r>
      <w:r w:rsidR="00A03629">
        <w:t xml:space="preserve"> </w:t>
      </w:r>
      <w:r>
        <w:t>function</w:t>
      </w:r>
      <w:r w:rsidR="00A03629">
        <w:t xml:space="preserve"> </w:t>
      </w:r>
      <w:r>
        <w:t>was</w:t>
      </w:r>
      <w:r w:rsidR="00A03629">
        <w:t xml:space="preserve"> </w:t>
      </w:r>
      <w:r>
        <w:t>transferred</w:t>
      </w:r>
      <w:r w:rsidR="00A03629">
        <w:t xml:space="preserve"> </w:t>
      </w:r>
      <w:r>
        <w:t>from</w:t>
      </w:r>
      <w:r w:rsidR="00A03629">
        <w:t xml:space="preserve"> </w:t>
      </w:r>
      <w:r>
        <w:t>DJSIR</w:t>
      </w:r>
      <w:r w:rsidR="00A03629">
        <w:t xml:space="preserve"> </w:t>
      </w:r>
      <w:r>
        <w:t>to</w:t>
      </w:r>
      <w:r w:rsidR="00A03629">
        <w:t xml:space="preserve"> </w:t>
      </w:r>
      <w:r>
        <w:t>Melbourne</w:t>
      </w:r>
      <w:r w:rsidR="00A03629">
        <w:t xml:space="preserve"> </w:t>
      </w:r>
      <w:r>
        <w:t>Arts</w:t>
      </w:r>
      <w:r w:rsidR="00A03629">
        <w:t xml:space="preserve"> </w:t>
      </w:r>
      <w:r>
        <w:t>Precinct</w:t>
      </w:r>
      <w:r w:rsidR="00A03629">
        <w:t xml:space="preserve"> </w:t>
      </w:r>
      <w:r>
        <w:t>Corporation</w:t>
      </w:r>
      <w:r w:rsidR="00A03629">
        <w:t xml:space="preserve"> </w:t>
      </w:r>
      <w:r>
        <w:t>(</w:t>
      </w:r>
      <w:proofErr w:type="spellStart"/>
      <w:r>
        <w:t>MAPCo</w:t>
      </w:r>
      <w:proofErr w:type="spellEnd"/>
      <w:r>
        <w:t>).</w:t>
      </w:r>
      <w:r w:rsidR="00A03629">
        <w:t xml:space="preserve"> </w:t>
      </w:r>
      <w:r>
        <w:t>Subsequently,</w:t>
      </w:r>
      <w:r w:rsidR="00A03629">
        <w:t xml:space="preserve"> </w:t>
      </w:r>
      <w:r>
        <w:t>on</w:t>
      </w:r>
      <w:r w:rsidR="00A03629">
        <w:t xml:space="preserve"> </w:t>
      </w:r>
      <w:r>
        <w:t>5</w:t>
      </w:r>
      <w:r w:rsidR="00A03629">
        <w:rPr>
          <w:rFonts w:ascii="Cambria" w:hAnsi="Cambria" w:cs="Cambria"/>
        </w:rPr>
        <w:t xml:space="preserve"> </w:t>
      </w:r>
      <w:r>
        <w:t>December</w:t>
      </w:r>
      <w:r w:rsidR="00A03629">
        <w:t xml:space="preserve"> </w:t>
      </w:r>
      <w:r>
        <w:t>2022,</w:t>
      </w:r>
      <w:r w:rsidR="00A03629">
        <w:t xml:space="preserve"> </w:t>
      </w:r>
      <w:r>
        <w:t>the</w:t>
      </w:r>
      <w:r w:rsidR="00A03629">
        <w:t xml:space="preserve"> </w:t>
      </w:r>
      <w:r>
        <w:t>Organising</w:t>
      </w:r>
      <w:r w:rsidR="00A03629">
        <w:t xml:space="preserve"> </w:t>
      </w:r>
      <w:r>
        <w:t>Committee</w:t>
      </w:r>
      <w:r w:rsidR="00A03629">
        <w:t xml:space="preserve"> </w:t>
      </w:r>
      <w:r>
        <w:t>of</w:t>
      </w:r>
      <w:r w:rsidR="00A03629">
        <w:t xml:space="preserve"> </w:t>
      </w:r>
      <w:r>
        <w:t>the</w:t>
      </w:r>
      <w:r w:rsidR="00A03629">
        <w:t xml:space="preserve"> </w:t>
      </w:r>
      <w:r>
        <w:t>Commonwealth</w:t>
      </w:r>
      <w:r w:rsidR="00A03629">
        <w:t xml:space="preserve"> </w:t>
      </w:r>
      <w:r>
        <w:t>Games</w:t>
      </w:r>
      <w:r w:rsidR="00A03629">
        <w:t xml:space="preserve"> </w:t>
      </w:r>
      <w:r>
        <w:t>was</w:t>
      </w:r>
      <w:r w:rsidR="00A03629">
        <w:t xml:space="preserve"> </w:t>
      </w:r>
      <w:r>
        <w:t>transferred</w:t>
      </w:r>
      <w:r w:rsidR="00A03629">
        <w:t xml:space="preserve"> </w:t>
      </w:r>
      <w:r>
        <w:t>to</w:t>
      </w:r>
      <w:r w:rsidR="00A03629">
        <w:t xml:space="preserve"> </w:t>
      </w:r>
      <w:r>
        <w:t>Victoria</w:t>
      </w:r>
      <w:r w:rsidR="00A03629">
        <w:t xml:space="preserve"> </w:t>
      </w:r>
      <w:r>
        <w:t>2026</w:t>
      </w:r>
      <w:r w:rsidR="00A03629">
        <w:t xml:space="preserve"> </w:t>
      </w:r>
      <w:r>
        <w:t>Pty</w:t>
      </w:r>
      <w:r w:rsidR="00A03629">
        <w:t xml:space="preserve"> </w:t>
      </w:r>
      <w:r>
        <w:t>Ltd</w:t>
      </w:r>
      <w:r w:rsidR="00A03629">
        <w:t xml:space="preserve"> </w:t>
      </w:r>
      <w:r>
        <w:t>(Vic2026)</w:t>
      </w:r>
      <w:r w:rsidR="00A03629">
        <w:t xml:space="preserve"> </w:t>
      </w:r>
      <w:r>
        <w:t>which</w:t>
      </w:r>
      <w:r w:rsidR="00A03629">
        <w:t xml:space="preserve"> </w:t>
      </w:r>
      <w:r>
        <w:t>was</w:t>
      </w:r>
      <w:r w:rsidR="00A03629">
        <w:t xml:space="preserve"> </w:t>
      </w:r>
      <w:r>
        <w:t>registered</w:t>
      </w:r>
      <w:r w:rsidR="00A03629">
        <w:t xml:space="preserve"> </w:t>
      </w:r>
      <w:r>
        <w:t>as</w:t>
      </w:r>
      <w:r w:rsidR="00A03629">
        <w:t xml:space="preserve"> </w:t>
      </w:r>
      <w:r>
        <w:t>a</w:t>
      </w:r>
      <w:r w:rsidR="00A03629">
        <w:t xml:space="preserve"> </w:t>
      </w:r>
      <w:r>
        <w:t>proprietary</w:t>
      </w:r>
      <w:r w:rsidR="00A03629">
        <w:t xml:space="preserve"> </w:t>
      </w:r>
      <w:r>
        <w:t>company</w:t>
      </w:r>
      <w:r w:rsidR="00A03629">
        <w:t xml:space="preserve"> </w:t>
      </w:r>
      <w:r>
        <w:t>under</w:t>
      </w:r>
      <w:r w:rsidR="00A03629">
        <w:t xml:space="preserve"> </w:t>
      </w:r>
      <w:r>
        <w:t>the</w:t>
      </w:r>
      <w:r w:rsidR="00A03629">
        <w:t xml:space="preserve"> </w:t>
      </w:r>
      <w:r w:rsidRPr="00B919A5">
        <w:rPr>
          <w:i/>
          <w:iCs/>
        </w:rPr>
        <w:t>Corporations</w:t>
      </w:r>
      <w:r w:rsidR="00A03629" w:rsidRPr="00B919A5">
        <w:rPr>
          <w:i/>
          <w:iCs/>
        </w:rPr>
        <w:t xml:space="preserve"> </w:t>
      </w:r>
      <w:r w:rsidRPr="00B919A5">
        <w:rPr>
          <w:i/>
          <w:iCs/>
        </w:rPr>
        <w:t>Act</w:t>
      </w:r>
      <w:r w:rsidR="00A03629" w:rsidRPr="00B919A5">
        <w:rPr>
          <w:i/>
          <w:iCs/>
        </w:rPr>
        <w:t xml:space="preserve"> </w:t>
      </w:r>
      <w:r w:rsidRPr="00B919A5">
        <w:rPr>
          <w:i/>
          <w:iCs/>
        </w:rPr>
        <w:t>2001</w:t>
      </w:r>
      <w:r w:rsidR="00A03629">
        <w:rPr>
          <w:rFonts w:ascii="VIC Light" w:hAnsi="VIC Light" w:cs="VIC Light"/>
        </w:rPr>
        <w:t xml:space="preserve"> </w:t>
      </w:r>
      <w:r w:rsidRPr="00B919A5">
        <w:t>on</w:t>
      </w:r>
      <w:r w:rsidR="00A03629" w:rsidRPr="00B919A5">
        <w:t xml:space="preserve"> </w:t>
      </w:r>
      <w:r w:rsidRPr="00B919A5">
        <w:t>7</w:t>
      </w:r>
      <w:r w:rsidR="00A03629" w:rsidRPr="00B919A5">
        <w:t xml:space="preserve"> </w:t>
      </w:r>
      <w:r w:rsidRPr="00B919A5">
        <w:t>September</w:t>
      </w:r>
      <w:r w:rsidR="00A03629" w:rsidRPr="00B919A5">
        <w:t xml:space="preserve"> </w:t>
      </w:r>
      <w:r w:rsidRPr="00B919A5">
        <w:t>2022</w:t>
      </w:r>
      <w:r w:rsidR="00A03629" w:rsidRPr="00B919A5">
        <w:t xml:space="preserve"> </w:t>
      </w:r>
      <w:r w:rsidRPr="00B919A5">
        <w:t>and</w:t>
      </w:r>
      <w:r w:rsidR="00A03629" w:rsidRPr="00B919A5">
        <w:t xml:space="preserve"> </w:t>
      </w:r>
      <w:r w:rsidRPr="00B919A5">
        <w:t>is</w:t>
      </w:r>
      <w:r w:rsidR="00A03629" w:rsidRPr="00B919A5">
        <w:t xml:space="preserve"> </w:t>
      </w:r>
      <w:r w:rsidRPr="00B919A5">
        <w:t>a</w:t>
      </w:r>
      <w:r w:rsidR="00A03629" w:rsidRPr="00B919A5">
        <w:t xml:space="preserve"> </w:t>
      </w:r>
      <w:r w:rsidRPr="00B919A5">
        <w:t>public</w:t>
      </w:r>
      <w:r w:rsidR="00A03629" w:rsidRPr="00B919A5">
        <w:t xml:space="preserve"> </w:t>
      </w:r>
      <w:r w:rsidRPr="00B919A5">
        <w:t>entity</w:t>
      </w:r>
      <w:r w:rsidR="00A03629" w:rsidRPr="00B919A5">
        <w:t xml:space="preserve"> </w:t>
      </w:r>
      <w:r w:rsidRPr="00B919A5">
        <w:t>under</w:t>
      </w:r>
      <w:r w:rsidR="00A03629" w:rsidRPr="00B919A5">
        <w:t xml:space="preserve"> </w:t>
      </w:r>
      <w:r w:rsidRPr="00B919A5">
        <w:t>the</w:t>
      </w:r>
      <w:r w:rsidR="00A03629" w:rsidRPr="00B919A5">
        <w:t xml:space="preserve"> </w:t>
      </w:r>
      <w:r w:rsidRPr="00B919A5">
        <w:rPr>
          <w:i/>
          <w:iCs/>
        </w:rPr>
        <w:t>Public</w:t>
      </w:r>
      <w:r w:rsidR="00A03629" w:rsidRPr="00B919A5">
        <w:rPr>
          <w:i/>
          <w:iCs/>
        </w:rPr>
        <w:t xml:space="preserve"> </w:t>
      </w:r>
      <w:r w:rsidRPr="00B919A5">
        <w:rPr>
          <w:i/>
          <w:iCs/>
        </w:rPr>
        <w:t>Administration</w:t>
      </w:r>
      <w:r w:rsidR="00A03629" w:rsidRPr="00B919A5">
        <w:rPr>
          <w:i/>
          <w:iCs/>
        </w:rPr>
        <w:t xml:space="preserve"> </w:t>
      </w:r>
      <w:r w:rsidRPr="00B919A5">
        <w:rPr>
          <w:i/>
          <w:iCs/>
        </w:rPr>
        <w:t>Act</w:t>
      </w:r>
      <w:r w:rsidR="00A03629" w:rsidRPr="00B919A5">
        <w:rPr>
          <w:i/>
          <w:iCs/>
        </w:rPr>
        <w:t xml:space="preserve"> </w:t>
      </w:r>
      <w:r w:rsidRPr="00B919A5">
        <w:rPr>
          <w:i/>
          <w:iCs/>
        </w:rPr>
        <w:t>2004</w:t>
      </w:r>
      <w:r w:rsidRPr="00B919A5">
        <w:t>.</w:t>
      </w:r>
      <w:r w:rsidR="00A03629" w:rsidRPr="00B919A5">
        <w:t xml:space="preserve"> </w:t>
      </w:r>
      <w:r w:rsidRPr="00B919A5">
        <w:t>The</w:t>
      </w:r>
      <w:r w:rsidR="00A03629" w:rsidRPr="00B919A5">
        <w:t xml:space="preserve"> </w:t>
      </w:r>
      <w:r w:rsidRPr="00B919A5">
        <w:t>net</w:t>
      </w:r>
      <w:r w:rsidR="00A03629" w:rsidRPr="00B919A5">
        <w:t xml:space="preserve"> </w:t>
      </w:r>
      <w:r w:rsidRPr="00B919A5">
        <w:t>assets</w:t>
      </w:r>
      <w:r w:rsidR="00A03629" w:rsidRPr="00B919A5">
        <w:t xml:space="preserve"> </w:t>
      </w:r>
      <w:r w:rsidRPr="00B919A5">
        <w:t>of</w:t>
      </w:r>
      <w:r w:rsidR="00A03629" w:rsidRPr="00B919A5">
        <w:t xml:space="preserve"> </w:t>
      </w:r>
      <w:r w:rsidRPr="00B919A5">
        <w:t>both</w:t>
      </w:r>
      <w:r w:rsidR="00A03629" w:rsidRPr="00B919A5">
        <w:t xml:space="preserve"> </w:t>
      </w:r>
      <w:r w:rsidRPr="00B919A5">
        <w:t>these</w:t>
      </w:r>
      <w:r w:rsidR="00A03629" w:rsidRPr="00B919A5">
        <w:t xml:space="preserve"> </w:t>
      </w:r>
      <w:r w:rsidRPr="00B919A5">
        <w:t>transfers</w:t>
      </w:r>
      <w:r w:rsidR="00A03629" w:rsidRPr="00B919A5">
        <w:t xml:space="preserve"> </w:t>
      </w:r>
      <w:r w:rsidRPr="00B919A5">
        <w:t>were</w:t>
      </w:r>
      <w:r w:rsidR="00A03629" w:rsidRPr="00B919A5">
        <w:t xml:space="preserve"> </w:t>
      </w:r>
      <w:r w:rsidRPr="00B919A5">
        <w:t>treated</w:t>
      </w:r>
      <w:r w:rsidR="00A03629" w:rsidRPr="00B919A5">
        <w:t xml:space="preserve"> </w:t>
      </w:r>
      <w:r w:rsidRPr="00B919A5">
        <w:t>as</w:t>
      </w:r>
      <w:r w:rsidR="00A03629" w:rsidRPr="00B919A5">
        <w:t xml:space="preserve"> </w:t>
      </w:r>
      <w:r w:rsidRPr="00B919A5">
        <w:t>a</w:t>
      </w:r>
      <w:r w:rsidR="00A03629" w:rsidRPr="00B919A5">
        <w:t xml:space="preserve"> </w:t>
      </w:r>
      <w:r w:rsidRPr="00B919A5">
        <w:t>contribution</w:t>
      </w:r>
      <w:r w:rsidR="00A03629" w:rsidRPr="00B919A5">
        <w:t xml:space="preserve"> </w:t>
      </w:r>
      <w:r w:rsidRPr="00B919A5">
        <w:t>of</w:t>
      </w:r>
      <w:r w:rsidR="00A03629" w:rsidRPr="00B919A5">
        <w:t xml:space="preserve"> </w:t>
      </w:r>
      <w:r w:rsidRPr="00B919A5">
        <w:t>capital</w:t>
      </w:r>
      <w:r w:rsidR="00A03629" w:rsidRPr="00B919A5">
        <w:t xml:space="preserve"> </w:t>
      </w:r>
      <w:r w:rsidRPr="00B919A5">
        <w:t>by</w:t>
      </w:r>
      <w:r w:rsidR="00A03629" w:rsidRPr="00B919A5">
        <w:t xml:space="preserve"> </w:t>
      </w:r>
      <w:r w:rsidRPr="00B919A5">
        <w:t>owners</w:t>
      </w:r>
      <w:r w:rsidR="00A03629" w:rsidRPr="00B919A5">
        <w:t xml:space="preserve"> </w:t>
      </w:r>
      <w:r w:rsidRPr="00B919A5">
        <w:t>pursuant</w:t>
      </w:r>
      <w:r w:rsidR="00A03629" w:rsidRPr="00B919A5">
        <w:t xml:space="preserve"> </w:t>
      </w:r>
      <w:r w:rsidRPr="00B919A5">
        <w:t>to</w:t>
      </w:r>
      <w:r w:rsidR="00A03629" w:rsidRPr="00B919A5">
        <w:t xml:space="preserve"> </w:t>
      </w:r>
      <w:r w:rsidRPr="00B919A5">
        <w:t>FRD</w:t>
      </w:r>
      <w:r w:rsidR="00A03629" w:rsidRPr="00B919A5">
        <w:t xml:space="preserve"> </w:t>
      </w:r>
      <w:r w:rsidRPr="00B919A5">
        <w:t>119</w:t>
      </w:r>
      <w:r w:rsidR="00A03629" w:rsidRPr="00B919A5">
        <w:t xml:space="preserve"> </w:t>
      </w:r>
      <w:r w:rsidRPr="00B919A5">
        <w:rPr>
          <w:i/>
          <w:iCs/>
        </w:rPr>
        <w:t>Transfers</w:t>
      </w:r>
      <w:r w:rsidR="00A03629" w:rsidRPr="00B919A5">
        <w:rPr>
          <w:i/>
          <w:iCs/>
        </w:rPr>
        <w:t xml:space="preserve"> </w:t>
      </w:r>
      <w:r w:rsidRPr="00B919A5">
        <w:rPr>
          <w:i/>
          <w:iCs/>
        </w:rPr>
        <w:t>through</w:t>
      </w:r>
      <w:r w:rsidR="00A03629" w:rsidRPr="00B919A5">
        <w:rPr>
          <w:i/>
          <w:iCs/>
        </w:rPr>
        <w:t xml:space="preserve"> </w:t>
      </w:r>
      <w:r w:rsidRPr="00B919A5">
        <w:rPr>
          <w:i/>
          <w:iCs/>
        </w:rPr>
        <w:t>contributed</w:t>
      </w:r>
      <w:r w:rsidR="00A03629" w:rsidRPr="00B919A5">
        <w:rPr>
          <w:i/>
          <w:iCs/>
        </w:rPr>
        <w:t xml:space="preserve"> </w:t>
      </w:r>
      <w:r w:rsidRPr="00B919A5">
        <w:rPr>
          <w:i/>
          <w:iCs/>
        </w:rPr>
        <w:t>capital</w:t>
      </w:r>
      <w:r w:rsidRPr="00B919A5">
        <w:t>.</w:t>
      </w:r>
    </w:p>
    <w:p w14:paraId="29DDDF16" w14:textId="645E4A22" w:rsidR="000756EB" w:rsidRDefault="004A4D88" w:rsidP="00B919A5">
      <w:r>
        <w:t>On</w:t>
      </w:r>
      <w:r w:rsidR="00A03629">
        <w:t xml:space="preserve"> </w:t>
      </w:r>
      <w:r>
        <w:t>5</w:t>
      </w:r>
      <w:r w:rsidR="00A03629">
        <w:t xml:space="preserve"> </w:t>
      </w:r>
      <w:r>
        <w:t>December</w:t>
      </w:r>
      <w:r w:rsidR="00A03629">
        <w:t xml:space="preserve"> </w:t>
      </w:r>
      <w:r>
        <w:t>2022,</w:t>
      </w:r>
      <w:r w:rsidR="00A03629">
        <w:t xml:space="preserve"> </w:t>
      </w:r>
      <w:r>
        <w:t>the</w:t>
      </w:r>
      <w:r w:rsidR="00A03629">
        <w:t xml:space="preserve"> </w:t>
      </w:r>
      <w:r>
        <w:t>Victorian</w:t>
      </w:r>
      <w:r w:rsidR="00A03629">
        <w:t xml:space="preserve"> </w:t>
      </w:r>
      <w:r>
        <w:t>Government</w:t>
      </w:r>
      <w:r w:rsidR="00A03629">
        <w:t xml:space="preserve"> </w:t>
      </w:r>
      <w:r>
        <w:t>issued</w:t>
      </w:r>
      <w:r w:rsidR="00A03629">
        <w:t xml:space="preserve"> </w:t>
      </w:r>
      <w:r>
        <w:t>an</w:t>
      </w:r>
      <w:r w:rsidR="00A03629">
        <w:t xml:space="preserve"> </w:t>
      </w:r>
      <w:r>
        <w:t>administrative</w:t>
      </w:r>
      <w:r w:rsidR="00A03629">
        <w:t xml:space="preserve"> </w:t>
      </w:r>
      <w:r>
        <w:t>order</w:t>
      </w:r>
      <w:r w:rsidR="00A03629">
        <w:t xml:space="preserve"> </w:t>
      </w:r>
      <w:r>
        <w:t>restructuring</w:t>
      </w:r>
      <w:r w:rsidR="00A03629">
        <w:t xml:space="preserve"> </w:t>
      </w:r>
      <w:r>
        <w:t>some</w:t>
      </w:r>
      <w:r w:rsidR="00A03629">
        <w:t xml:space="preserve"> </w:t>
      </w:r>
      <w:r>
        <w:t>of</w:t>
      </w:r>
      <w:r w:rsidR="00A03629">
        <w:t xml:space="preserve"> </w:t>
      </w:r>
      <w:r>
        <w:t>its</w:t>
      </w:r>
      <w:r w:rsidR="00A03629">
        <w:t xml:space="preserve"> </w:t>
      </w:r>
      <w:r>
        <w:t>activities</w:t>
      </w:r>
      <w:r w:rsidR="00A03629">
        <w:t xml:space="preserve"> </w:t>
      </w:r>
      <w:r>
        <w:t>via</w:t>
      </w:r>
      <w:r w:rsidR="00A03629">
        <w:t xml:space="preserve"> </w:t>
      </w:r>
      <w:r>
        <w:t>machinery</w:t>
      </w:r>
      <w:r w:rsidR="00A03629">
        <w:t xml:space="preserve"> </w:t>
      </w:r>
      <w:r>
        <w:t>of</w:t>
      </w:r>
      <w:r w:rsidR="00A03629">
        <w:t xml:space="preserve"> </w:t>
      </w:r>
      <w:r>
        <w:t>government</w:t>
      </w:r>
      <w:r w:rsidR="00A03629">
        <w:t xml:space="preserve"> </w:t>
      </w:r>
      <w:r>
        <w:t>changes,</w:t>
      </w:r>
      <w:r w:rsidR="00A03629">
        <w:t xml:space="preserve"> </w:t>
      </w:r>
      <w:r>
        <w:t>effective</w:t>
      </w:r>
      <w:r w:rsidR="00A03629">
        <w:t xml:space="preserve"> </w:t>
      </w:r>
      <w:r>
        <w:t>from</w:t>
      </w:r>
      <w:r w:rsidR="00A03629">
        <w:t xml:space="preserve"> </w:t>
      </w:r>
      <w:r>
        <w:t>1</w:t>
      </w:r>
      <w:r w:rsidR="00A03629">
        <w:t xml:space="preserve"> </w:t>
      </w:r>
      <w:r>
        <w:t>January</w:t>
      </w:r>
      <w:r w:rsidR="00A03629">
        <w:t xml:space="preserve"> </w:t>
      </w:r>
      <w:r>
        <w:t>2023.</w:t>
      </w:r>
      <w:r w:rsidR="00A03629">
        <w:t xml:space="preserve"> </w:t>
      </w:r>
      <w:r>
        <w:t>The</w:t>
      </w:r>
      <w:r w:rsidR="00A03629">
        <w:t xml:space="preserve"> </w:t>
      </w:r>
      <w:r>
        <w:t>former</w:t>
      </w:r>
      <w:r w:rsidR="00A03629">
        <w:t xml:space="preserve"> </w:t>
      </w:r>
      <w:r>
        <w:t>Department</w:t>
      </w:r>
      <w:r w:rsidR="00A03629">
        <w:t xml:space="preserve"> </w:t>
      </w:r>
      <w:r>
        <w:t>of</w:t>
      </w:r>
      <w:r w:rsidR="00A03629">
        <w:t xml:space="preserve"> </w:t>
      </w:r>
      <w:r>
        <w:t>Jobs,</w:t>
      </w:r>
      <w:r w:rsidR="00A03629">
        <w:t xml:space="preserve"> </w:t>
      </w:r>
      <w:r>
        <w:t>Precincts</w:t>
      </w:r>
      <w:r w:rsidR="00A03629">
        <w:t xml:space="preserve"> </w:t>
      </w:r>
      <w:r>
        <w:t>and</w:t>
      </w:r>
      <w:r w:rsidR="00A03629">
        <w:t xml:space="preserve"> </w:t>
      </w:r>
      <w:r>
        <w:t>Regions</w:t>
      </w:r>
      <w:r w:rsidR="00A03629">
        <w:t xml:space="preserve"> </w:t>
      </w:r>
      <w:r>
        <w:t>(DJPR)</w:t>
      </w:r>
      <w:r w:rsidR="00A03629">
        <w:t xml:space="preserve"> </w:t>
      </w:r>
      <w:r>
        <w:t>was</w:t>
      </w:r>
      <w:r w:rsidR="00A03629">
        <w:t xml:space="preserve"> </w:t>
      </w:r>
      <w:r>
        <w:t>renamed</w:t>
      </w:r>
      <w:r w:rsidR="00A03629">
        <w:t xml:space="preserve"> </w:t>
      </w:r>
      <w:r>
        <w:t>the</w:t>
      </w:r>
      <w:r w:rsidR="00A03629">
        <w:t xml:space="preserve"> </w:t>
      </w:r>
      <w:r>
        <w:t>Department</w:t>
      </w:r>
      <w:r w:rsidR="00A03629">
        <w:t xml:space="preserve"> </w:t>
      </w:r>
      <w:r>
        <w:t>of</w:t>
      </w:r>
      <w:r w:rsidR="00A03629">
        <w:t xml:space="preserve"> </w:t>
      </w:r>
      <w:r>
        <w:t>Jobs,</w:t>
      </w:r>
      <w:r w:rsidR="00A03629">
        <w:t xml:space="preserve"> </w:t>
      </w:r>
      <w:r>
        <w:t>Skills,</w:t>
      </w:r>
      <w:r w:rsidR="00A03629">
        <w:t xml:space="preserve"> </w:t>
      </w:r>
      <w:r>
        <w:t>Industry</w:t>
      </w:r>
      <w:r w:rsidR="00A03629">
        <w:t xml:space="preserve"> </w:t>
      </w:r>
      <w:r>
        <w:t>and</w:t>
      </w:r>
      <w:r w:rsidR="00A03629">
        <w:t xml:space="preserve"> </w:t>
      </w:r>
      <w:r>
        <w:t>Regions</w:t>
      </w:r>
      <w:r w:rsidR="00A03629">
        <w:t xml:space="preserve"> </w:t>
      </w:r>
      <w:r>
        <w:t>(DJSIR).</w:t>
      </w:r>
    </w:p>
    <w:p w14:paraId="3FC42011" w14:textId="16553891" w:rsidR="000756EB" w:rsidRDefault="004A4D88" w:rsidP="00B919A5">
      <w:pPr>
        <w:pStyle w:val="Normalbeforebullets"/>
      </w:pPr>
      <w:r>
        <w:t>The</w:t>
      </w:r>
      <w:r w:rsidR="00A03629">
        <w:t xml:space="preserve"> </w:t>
      </w:r>
      <w:r>
        <w:t>following</w:t>
      </w:r>
      <w:r w:rsidR="00A03629">
        <w:t xml:space="preserve"> </w:t>
      </w:r>
      <w:r>
        <w:t>functions</w:t>
      </w:r>
      <w:r w:rsidR="00A03629">
        <w:t xml:space="preserve"> </w:t>
      </w:r>
      <w:r>
        <w:t>were</w:t>
      </w:r>
      <w:r w:rsidR="00A03629">
        <w:t xml:space="preserve"> </w:t>
      </w:r>
      <w:r>
        <w:t>transferred</w:t>
      </w:r>
      <w:r w:rsidR="00A03629">
        <w:t xml:space="preserve"> </w:t>
      </w:r>
      <w:r>
        <w:t>out</w:t>
      </w:r>
      <w:r w:rsidR="00A03629">
        <w:t xml:space="preserve"> </w:t>
      </w:r>
      <w:r>
        <w:t>from</w:t>
      </w:r>
      <w:r w:rsidR="00A03629">
        <w:rPr>
          <w:rFonts w:ascii="Cambria" w:hAnsi="Cambria" w:cs="Cambria"/>
        </w:rPr>
        <w:t xml:space="preserve"> </w:t>
      </w:r>
      <w:r>
        <w:t>DJSIR:</w:t>
      </w:r>
    </w:p>
    <w:p w14:paraId="620EF42E" w14:textId="6FA5441A" w:rsidR="000756EB" w:rsidRDefault="004A4D88" w:rsidP="00681449">
      <w:pPr>
        <w:pStyle w:val="Bullet"/>
      </w:pPr>
      <w:r>
        <w:t>Agriculture,</w:t>
      </w:r>
      <w:r w:rsidR="00A03629">
        <w:t xml:space="preserve"> </w:t>
      </w:r>
      <w:r>
        <w:t>Forestry</w:t>
      </w:r>
      <w:r w:rsidR="00A03629">
        <w:t xml:space="preserve"> </w:t>
      </w:r>
      <w:r>
        <w:t>and</w:t>
      </w:r>
      <w:r w:rsidR="00A03629">
        <w:t xml:space="preserve"> </w:t>
      </w:r>
      <w:r>
        <w:t>Resources</w:t>
      </w:r>
      <w:r w:rsidR="00A03629">
        <w:t xml:space="preserve"> </w:t>
      </w:r>
      <w:r>
        <w:t>to</w:t>
      </w:r>
      <w:r w:rsidR="00A03629">
        <w:t xml:space="preserve"> </w:t>
      </w:r>
      <w:r>
        <w:t>the</w:t>
      </w:r>
      <w:r w:rsidR="00A03629">
        <w:t xml:space="preserve"> </w:t>
      </w:r>
      <w:r>
        <w:t>Department</w:t>
      </w:r>
      <w:r w:rsidR="00A03629">
        <w:t xml:space="preserve"> </w:t>
      </w:r>
      <w:r>
        <w:t>of</w:t>
      </w:r>
      <w:r w:rsidR="00A03629">
        <w:t xml:space="preserve"> </w:t>
      </w:r>
      <w:r>
        <w:t>Energy,</w:t>
      </w:r>
      <w:r w:rsidR="00A03629">
        <w:t xml:space="preserve"> </w:t>
      </w:r>
      <w:r>
        <w:t>Environment</w:t>
      </w:r>
      <w:r w:rsidR="00A03629">
        <w:t xml:space="preserve"> </w:t>
      </w:r>
      <w:r>
        <w:t>and</w:t>
      </w:r>
      <w:r w:rsidR="00A03629">
        <w:t xml:space="preserve"> </w:t>
      </w:r>
      <w:r>
        <w:t>Climate</w:t>
      </w:r>
      <w:r w:rsidR="00A03629">
        <w:rPr>
          <w:rFonts w:ascii="Cambria" w:hAnsi="Cambria" w:cs="Cambria"/>
        </w:rPr>
        <w:t xml:space="preserve"> </w:t>
      </w:r>
      <w:r>
        <w:t>Action</w:t>
      </w:r>
      <w:r w:rsidR="00A03629">
        <w:t xml:space="preserve"> </w:t>
      </w:r>
      <w:r>
        <w:t>(DEECA</w:t>
      </w:r>
      <w:proofErr w:type="gramStart"/>
      <w:r>
        <w:t>);</w:t>
      </w:r>
      <w:proofErr w:type="gramEnd"/>
      <w:r w:rsidR="00A03629">
        <w:t xml:space="preserve"> </w:t>
      </w:r>
    </w:p>
    <w:p w14:paraId="72BA77E7" w14:textId="1636E420" w:rsidR="000756EB" w:rsidRDefault="004A4D88" w:rsidP="00681449">
      <w:pPr>
        <w:pStyle w:val="Bullet"/>
      </w:pPr>
      <w:r>
        <w:t>Racing</w:t>
      </w:r>
      <w:r w:rsidR="00A03629">
        <w:t xml:space="preserve"> </w:t>
      </w:r>
      <w:r>
        <w:t>to</w:t>
      </w:r>
      <w:r w:rsidR="00A03629">
        <w:t xml:space="preserve"> </w:t>
      </w:r>
      <w:r>
        <w:t>the</w:t>
      </w:r>
      <w:r w:rsidR="00A03629">
        <w:t xml:space="preserve"> </w:t>
      </w:r>
      <w:r>
        <w:t>Department</w:t>
      </w:r>
      <w:r w:rsidR="00A03629">
        <w:t xml:space="preserve"> </w:t>
      </w:r>
      <w:r>
        <w:t>of</w:t>
      </w:r>
      <w:r w:rsidR="00A03629">
        <w:t xml:space="preserve"> </w:t>
      </w:r>
      <w:r>
        <w:t>Justice</w:t>
      </w:r>
      <w:r w:rsidR="00A03629">
        <w:t xml:space="preserve"> </w:t>
      </w:r>
      <w:r>
        <w:t>and</w:t>
      </w:r>
      <w:r w:rsidR="00A03629">
        <w:t xml:space="preserve"> </w:t>
      </w:r>
      <w:r>
        <w:t>Community</w:t>
      </w:r>
      <w:r w:rsidR="00A03629">
        <w:t xml:space="preserve"> </w:t>
      </w:r>
      <w:r>
        <w:t>Safety</w:t>
      </w:r>
      <w:r w:rsidR="00A03629">
        <w:t xml:space="preserve"> </w:t>
      </w:r>
      <w:r>
        <w:t>(DJCS</w:t>
      </w:r>
      <w:proofErr w:type="gramStart"/>
      <w:r>
        <w:t>);</w:t>
      </w:r>
      <w:proofErr w:type="gramEnd"/>
    </w:p>
    <w:p w14:paraId="7696C809" w14:textId="4B752BD9" w:rsidR="000756EB" w:rsidRDefault="004A4D88" w:rsidP="00681449">
      <w:pPr>
        <w:pStyle w:val="Bullet"/>
      </w:pPr>
      <w:r>
        <w:t>Business</w:t>
      </w:r>
      <w:r w:rsidR="00A03629">
        <w:t xml:space="preserve"> </w:t>
      </w:r>
      <w:r>
        <w:t>Precincts</w:t>
      </w:r>
      <w:r w:rsidR="00A03629">
        <w:t xml:space="preserve"> </w:t>
      </w:r>
      <w:r>
        <w:t>(delivery)</w:t>
      </w:r>
      <w:r w:rsidR="00A03629">
        <w:t xml:space="preserve"> </w:t>
      </w:r>
      <w:r>
        <w:t>to</w:t>
      </w:r>
      <w:r w:rsidR="00A03629">
        <w:t xml:space="preserve"> </w:t>
      </w:r>
      <w:r>
        <w:t>the</w:t>
      </w:r>
      <w:r w:rsidR="00A03629">
        <w:t xml:space="preserve"> </w:t>
      </w:r>
      <w:r>
        <w:t>Department</w:t>
      </w:r>
      <w:r w:rsidR="00A03629">
        <w:rPr>
          <w:rFonts w:ascii="Cambria" w:hAnsi="Cambria" w:cs="Cambria"/>
        </w:rPr>
        <w:t xml:space="preserve"> </w:t>
      </w:r>
      <w:r>
        <w:t>of</w:t>
      </w:r>
      <w:r w:rsidR="00A03629">
        <w:rPr>
          <w:rFonts w:ascii="Cambria" w:hAnsi="Cambria" w:cs="Cambria"/>
        </w:rPr>
        <w:t xml:space="preserve"> </w:t>
      </w:r>
      <w:r>
        <w:t>Transport</w:t>
      </w:r>
      <w:r w:rsidR="00A03629">
        <w:t xml:space="preserve"> </w:t>
      </w:r>
      <w:r>
        <w:t>and</w:t>
      </w:r>
      <w:r w:rsidR="00A03629">
        <w:t xml:space="preserve"> </w:t>
      </w:r>
      <w:r>
        <w:t>Planning</w:t>
      </w:r>
      <w:r w:rsidR="00A03629">
        <w:t xml:space="preserve"> </w:t>
      </w:r>
      <w:r>
        <w:t>(DTP</w:t>
      </w:r>
      <w:proofErr w:type="gramStart"/>
      <w:r>
        <w:t>);</w:t>
      </w:r>
      <w:proofErr w:type="gramEnd"/>
    </w:p>
    <w:p w14:paraId="1184E97F" w14:textId="42EFB07F" w:rsidR="000756EB" w:rsidRDefault="004A4D88" w:rsidP="00681449">
      <w:pPr>
        <w:pStyle w:val="Bullet"/>
      </w:pPr>
      <w:r>
        <w:t>Business</w:t>
      </w:r>
      <w:r w:rsidR="00A03629">
        <w:t xml:space="preserve"> </w:t>
      </w:r>
      <w:r>
        <w:t>Precincts</w:t>
      </w:r>
      <w:r w:rsidR="00A03629">
        <w:t xml:space="preserve"> </w:t>
      </w:r>
      <w:r>
        <w:t>(policy)</w:t>
      </w:r>
      <w:r w:rsidR="00A03629">
        <w:t xml:space="preserve"> </w:t>
      </w:r>
      <w:r>
        <w:t>to</w:t>
      </w:r>
      <w:r w:rsidR="00A03629">
        <w:t xml:space="preserve"> </w:t>
      </w:r>
      <w:r>
        <w:t>the</w:t>
      </w:r>
      <w:r w:rsidR="00A03629">
        <w:t xml:space="preserve"> </w:t>
      </w:r>
      <w:r>
        <w:t>Department</w:t>
      </w:r>
      <w:r w:rsidR="00A03629">
        <w:rPr>
          <w:rFonts w:ascii="Cambria" w:hAnsi="Cambria" w:cs="Cambria"/>
        </w:rPr>
        <w:t xml:space="preserve"> </w:t>
      </w:r>
      <w:r>
        <w:t>of</w:t>
      </w:r>
      <w:r w:rsidR="00A03629">
        <w:rPr>
          <w:rFonts w:ascii="Cambria" w:hAnsi="Cambria" w:cs="Cambria"/>
        </w:rPr>
        <w:t xml:space="preserve"> </w:t>
      </w:r>
      <w:r>
        <w:t>Premier</w:t>
      </w:r>
      <w:r w:rsidR="00A03629">
        <w:t xml:space="preserve"> </w:t>
      </w:r>
      <w:r>
        <w:t>and</w:t>
      </w:r>
      <w:r w:rsidR="00A03629">
        <w:t xml:space="preserve"> </w:t>
      </w:r>
      <w:r>
        <w:t>Cabinet</w:t>
      </w:r>
      <w:r w:rsidR="00A03629">
        <w:t xml:space="preserve"> </w:t>
      </w:r>
      <w:r>
        <w:t>(DPC</w:t>
      </w:r>
      <w:proofErr w:type="gramStart"/>
      <w:r>
        <w:t>);</w:t>
      </w:r>
      <w:proofErr w:type="gramEnd"/>
    </w:p>
    <w:p w14:paraId="32FE7A17" w14:textId="3C51884A" w:rsidR="000756EB" w:rsidRDefault="004A4D88" w:rsidP="00681449">
      <w:pPr>
        <w:pStyle w:val="Bullet"/>
      </w:pPr>
      <w:r>
        <w:t>Medical</w:t>
      </w:r>
      <w:r w:rsidR="00A03629">
        <w:t xml:space="preserve"> </w:t>
      </w:r>
      <w:r>
        <w:t>Research</w:t>
      </w:r>
      <w:r w:rsidR="00A03629">
        <w:t xml:space="preserve"> </w:t>
      </w:r>
      <w:r>
        <w:t>to</w:t>
      </w:r>
      <w:r w:rsidR="00A03629">
        <w:t xml:space="preserve"> </w:t>
      </w:r>
      <w:r>
        <w:t>the</w:t>
      </w:r>
      <w:r w:rsidR="00A03629">
        <w:t xml:space="preserve"> </w:t>
      </w:r>
      <w:r>
        <w:t>Department</w:t>
      </w:r>
      <w:r w:rsidR="00A03629">
        <w:t xml:space="preserve"> </w:t>
      </w:r>
      <w:r>
        <w:t>of</w:t>
      </w:r>
      <w:r w:rsidR="00A03629">
        <w:t xml:space="preserve"> </w:t>
      </w:r>
      <w:r>
        <w:t>Health</w:t>
      </w:r>
      <w:r w:rsidR="00A03629">
        <w:rPr>
          <w:rFonts w:ascii="Cambria" w:hAnsi="Cambria" w:cs="Cambria"/>
        </w:rPr>
        <w:t xml:space="preserve"> </w:t>
      </w:r>
      <w:r>
        <w:t>(DH);</w:t>
      </w:r>
      <w:r w:rsidR="00A03629">
        <w:t xml:space="preserve"> </w:t>
      </w:r>
      <w:r>
        <w:t>and</w:t>
      </w:r>
    </w:p>
    <w:p w14:paraId="679E8CBC" w14:textId="1D878630" w:rsidR="000756EB" w:rsidRDefault="004A4D88" w:rsidP="00681449">
      <w:pPr>
        <w:pStyle w:val="Bulletlast"/>
      </w:pPr>
      <w:r>
        <w:t>Local</w:t>
      </w:r>
      <w:r w:rsidR="00A03629">
        <w:t xml:space="preserve"> </w:t>
      </w:r>
      <w:r>
        <w:t>Government</w:t>
      </w:r>
      <w:r w:rsidR="00A03629">
        <w:t xml:space="preserve"> </w:t>
      </w:r>
      <w:r>
        <w:t>Victoria,</w:t>
      </w:r>
      <w:r w:rsidR="00A03629">
        <w:t xml:space="preserve"> </w:t>
      </w:r>
      <w:r>
        <w:t>Social</w:t>
      </w:r>
      <w:r w:rsidR="00A03629">
        <w:t xml:space="preserve"> </w:t>
      </w:r>
      <w:r>
        <w:t>Procurement,</w:t>
      </w:r>
      <w:r w:rsidR="00A03629">
        <w:t xml:space="preserve"> </w:t>
      </w:r>
      <w:r>
        <w:t>Telecommunications</w:t>
      </w:r>
      <w:r w:rsidR="00A03629">
        <w:t xml:space="preserve"> </w:t>
      </w:r>
      <w:r>
        <w:t>Policy</w:t>
      </w:r>
      <w:r w:rsidR="00A03629">
        <w:t xml:space="preserve"> </w:t>
      </w:r>
      <w:r>
        <w:t>and</w:t>
      </w:r>
      <w:r w:rsidR="00A03629">
        <w:t xml:space="preserve"> </w:t>
      </w:r>
      <w:r>
        <w:t>Connecting</w:t>
      </w:r>
      <w:r w:rsidR="00A03629">
        <w:t xml:space="preserve"> </w:t>
      </w:r>
      <w:r>
        <w:t>Victoria</w:t>
      </w:r>
      <w:r w:rsidR="00A03629">
        <w:t xml:space="preserve"> </w:t>
      </w:r>
      <w:r>
        <w:t>and</w:t>
      </w:r>
      <w:r w:rsidR="00A03629">
        <w:t xml:space="preserve"> </w:t>
      </w:r>
      <w:r>
        <w:t>Grant</w:t>
      </w:r>
      <w:r w:rsidR="00A03629">
        <w:t xml:space="preserve"> </w:t>
      </w:r>
      <w:r>
        <w:t>Program</w:t>
      </w:r>
      <w:r w:rsidR="00A03629">
        <w:t xml:space="preserve"> </w:t>
      </w:r>
      <w:r>
        <w:t>Centre</w:t>
      </w:r>
      <w:r w:rsidR="00A03629">
        <w:t xml:space="preserve"> </w:t>
      </w:r>
      <w:r>
        <w:t>to</w:t>
      </w:r>
      <w:r w:rsidR="00A03629">
        <w:t xml:space="preserve"> </w:t>
      </w:r>
      <w:r>
        <w:t>the</w:t>
      </w:r>
      <w:r w:rsidR="00A03629">
        <w:t xml:space="preserve"> </w:t>
      </w:r>
      <w:r>
        <w:t>newly</w:t>
      </w:r>
      <w:r w:rsidR="00A03629">
        <w:t xml:space="preserve"> </w:t>
      </w:r>
      <w:r>
        <w:t>formed</w:t>
      </w:r>
      <w:r w:rsidR="00A03629">
        <w:t xml:space="preserve"> </w:t>
      </w:r>
      <w:r>
        <w:t>Department</w:t>
      </w:r>
      <w:r w:rsidR="00A03629">
        <w:t xml:space="preserve"> </w:t>
      </w:r>
      <w:r>
        <w:t>of</w:t>
      </w:r>
      <w:r w:rsidR="00A03629">
        <w:t xml:space="preserve"> </w:t>
      </w:r>
      <w:r>
        <w:t>Government</w:t>
      </w:r>
      <w:r w:rsidR="00A03629">
        <w:t xml:space="preserve"> </w:t>
      </w:r>
      <w:r>
        <w:t>Services</w:t>
      </w:r>
      <w:r w:rsidR="00A03629">
        <w:t xml:space="preserve"> </w:t>
      </w:r>
      <w:r>
        <w:t>(DGS).</w:t>
      </w:r>
    </w:p>
    <w:p w14:paraId="4889F3F8" w14:textId="01D05C4D" w:rsidR="000756EB" w:rsidRDefault="004A4D88" w:rsidP="00681449">
      <w:pPr>
        <w:pStyle w:val="Normalbeforebullets"/>
      </w:pPr>
      <w:r>
        <w:t>The</w:t>
      </w:r>
      <w:r w:rsidR="00A03629">
        <w:t xml:space="preserve"> </w:t>
      </w:r>
      <w:r>
        <w:t>following</w:t>
      </w:r>
      <w:r w:rsidR="00A03629">
        <w:t xml:space="preserve"> </w:t>
      </w:r>
      <w:r>
        <w:t>functions</w:t>
      </w:r>
      <w:r w:rsidR="00A03629">
        <w:t xml:space="preserve"> </w:t>
      </w:r>
      <w:r>
        <w:t>were</w:t>
      </w:r>
      <w:r w:rsidR="00A03629">
        <w:t xml:space="preserve"> </w:t>
      </w:r>
      <w:r>
        <w:t>transferred</w:t>
      </w:r>
      <w:r w:rsidR="00A03629">
        <w:t xml:space="preserve"> </w:t>
      </w:r>
      <w:r>
        <w:t>into</w:t>
      </w:r>
      <w:r w:rsidR="00A03629">
        <w:t xml:space="preserve"> </w:t>
      </w:r>
      <w:r>
        <w:t>DJSIR:</w:t>
      </w:r>
    </w:p>
    <w:p w14:paraId="6F614B9B" w14:textId="65CE3EE4" w:rsidR="000756EB" w:rsidRDefault="004A4D88" w:rsidP="00681449">
      <w:pPr>
        <w:pStyle w:val="Bullet"/>
      </w:pPr>
      <w:r>
        <w:t>Training,</w:t>
      </w:r>
      <w:r w:rsidR="00A03629">
        <w:t xml:space="preserve"> </w:t>
      </w:r>
      <w:r>
        <w:t>Skills</w:t>
      </w:r>
      <w:r w:rsidR="00A03629">
        <w:t xml:space="preserve"> </w:t>
      </w:r>
      <w:r>
        <w:t>and</w:t>
      </w:r>
      <w:r w:rsidR="00A03629">
        <w:t xml:space="preserve"> </w:t>
      </w:r>
      <w:r>
        <w:t>Higher</w:t>
      </w:r>
      <w:r w:rsidR="00A03629">
        <w:t xml:space="preserve"> </w:t>
      </w:r>
      <w:r>
        <w:t>Education</w:t>
      </w:r>
      <w:r w:rsidR="00A03629">
        <w:t xml:space="preserve"> </w:t>
      </w:r>
      <w:r>
        <w:t>portfolios,</w:t>
      </w:r>
      <w:r w:rsidR="00A03629">
        <w:t xml:space="preserve"> </w:t>
      </w:r>
      <w:r>
        <w:t>including</w:t>
      </w:r>
      <w:r w:rsidR="00A03629">
        <w:t xml:space="preserve"> </w:t>
      </w:r>
      <w:r>
        <w:t>related</w:t>
      </w:r>
      <w:r w:rsidR="00A03629">
        <w:t xml:space="preserve"> </w:t>
      </w:r>
      <w:r>
        <w:t>functions</w:t>
      </w:r>
      <w:r w:rsidR="00A03629">
        <w:t xml:space="preserve"> </w:t>
      </w:r>
      <w:r>
        <w:t>from</w:t>
      </w:r>
      <w:r w:rsidR="00A03629">
        <w:t xml:space="preserve"> </w:t>
      </w:r>
      <w:r>
        <w:t>the</w:t>
      </w:r>
      <w:r w:rsidR="00A03629">
        <w:t xml:space="preserve"> </w:t>
      </w:r>
      <w:r>
        <w:t>Department</w:t>
      </w:r>
      <w:r w:rsidR="00A03629">
        <w:t xml:space="preserve"> </w:t>
      </w:r>
      <w:r>
        <w:t>of</w:t>
      </w:r>
      <w:r w:rsidR="00A03629">
        <w:t xml:space="preserve"> </w:t>
      </w:r>
      <w:r>
        <w:t>Education</w:t>
      </w:r>
      <w:r w:rsidR="00A03629">
        <w:t xml:space="preserve"> </w:t>
      </w:r>
      <w:r>
        <w:t>(DE</w:t>
      </w:r>
      <w:proofErr w:type="gramStart"/>
      <w:r>
        <w:t>);</w:t>
      </w:r>
      <w:proofErr w:type="gramEnd"/>
      <w:r w:rsidR="00A03629">
        <w:t xml:space="preserve"> </w:t>
      </w:r>
    </w:p>
    <w:p w14:paraId="029E6356" w14:textId="69578229" w:rsidR="000756EB" w:rsidRDefault="004A4D88" w:rsidP="00681449">
      <w:pPr>
        <w:pStyle w:val="Bullet"/>
      </w:pPr>
      <w:r>
        <w:t>Invest</w:t>
      </w:r>
      <w:r w:rsidR="00A03629">
        <w:t xml:space="preserve"> </w:t>
      </w:r>
      <w:r>
        <w:t>Victoria</w:t>
      </w:r>
      <w:r w:rsidR="00A03629">
        <w:t xml:space="preserve"> </w:t>
      </w:r>
      <w:r>
        <w:t>from</w:t>
      </w:r>
      <w:r w:rsidR="00A03629">
        <w:t xml:space="preserve"> </w:t>
      </w:r>
      <w:r>
        <w:t>the</w:t>
      </w:r>
      <w:r w:rsidR="00A03629">
        <w:t xml:space="preserve"> </w:t>
      </w:r>
      <w:r>
        <w:t>Department</w:t>
      </w:r>
      <w:r w:rsidR="00A03629">
        <w:t xml:space="preserve"> </w:t>
      </w:r>
      <w:r>
        <w:t>of</w:t>
      </w:r>
      <w:r w:rsidR="00A03629">
        <w:t xml:space="preserve"> </w:t>
      </w:r>
      <w:r>
        <w:t>Treasury</w:t>
      </w:r>
      <w:r w:rsidR="00A03629">
        <w:t xml:space="preserve"> </w:t>
      </w:r>
      <w:r>
        <w:t>and</w:t>
      </w:r>
      <w:r w:rsidR="00A03629">
        <w:t xml:space="preserve"> </w:t>
      </w:r>
      <w:r>
        <w:t>Finance</w:t>
      </w:r>
      <w:r w:rsidR="00A03629">
        <w:t xml:space="preserve"> </w:t>
      </w:r>
      <w:r>
        <w:t>(DTF</w:t>
      </w:r>
      <w:proofErr w:type="gramStart"/>
      <w:r>
        <w:t>);</w:t>
      </w:r>
      <w:proofErr w:type="gramEnd"/>
    </w:p>
    <w:p w14:paraId="11558E9F" w14:textId="7EE989E2" w:rsidR="000756EB" w:rsidRDefault="004A4D88" w:rsidP="00681449">
      <w:pPr>
        <w:pStyle w:val="Bullet"/>
      </w:pPr>
      <w:r>
        <w:t>Social</w:t>
      </w:r>
      <w:r w:rsidR="00A03629">
        <w:t xml:space="preserve"> </w:t>
      </w:r>
      <w:r>
        <w:t>Services</w:t>
      </w:r>
      <w:r w:rsidR="00A03629">
        <w:t xml:space="preserve"> </w:t>
      </w:r>
      <w:r>
        <w:t>Workforce</w:t>
      </w:r>
      <w:r w:rsidR="00A03629">
        <w:t xml:space="preserve"> </w:t>
      </w:r>
      <w:r>
        <w:t>Reform</w:t>
      </w:r>
      <w:r w:rsidR="00A03629">
        <w:t xml:space="preserve"> </w:t>
      </w:r>
      <w:r>
        <w:t>from</w:t>
      </w:r>
      <w:r w:rsidR="00A03629">
        <w:t xml:space="preserve"> </w:t>
      </w:r>
      <w:r>
        <w:t>the</w:t>
      </w:r>
      <w:r w:rsidR="00A03629">
        <w:t xml:space="preserve"> </w:t>
      </w:r>
      <w:r>
        <w:t>Department</w:t>
      </w:r>
      <w:r w:rsidR="00A03629">
        <w:t xml:space="preserve"> </w:t>
      </w:r>
      <w:r>
        <w:t>of</w:t>
      </w:r>
      <w:r w:rsidR="00A03629">
        <w:t xml:space="preserve"> </w:t>
      </w:r>
      <w:r>
        <w:t>Premier</w:t>
      </w:r>
      <w:r w:rsidR="00A03629">
        <w:t xml:space="preserve"> </w:t>
      </w:r>
      <w:r>
        <w:t>and</w:t>
      </w:r>
      <w:r w:rsidR="00A03629">
        <w:t xml:space="preserve"> </w:t>
      </w:r>
      <w:r>
        <w:t>Cabinet</w:t>
      </w:r>
      <w:r w:rsidR="00A03629">
        <w:t xml:space="preserve"> </w:t>
      </w:r>
      <w:r>
        <w:t>(DPC);</w:t>
      </w:r>
      <w:r w:rsidR="00A03629">
        <w:t xml:space="preserve"> </w:t>
      </w:r>
      <w:r>
        <w:t>and</w:t>
      </w:r>
    </w:p>
    <w:p w14:paraId="1A4D1BF8" w14:textId="464A6533" w:rsidR="000756EB" w:rsidRDefault="004A4D88" w:rsidP="00681449">
      <w:pPr>
        <w:pStyle w:val="Bulletlast"/>
      </w:pPr>
      <w:r>
        <w:t>Victorian</w:t>
      </w:r>
      <w:r w:rsidR="00A03629">
        <w:t xml:space="preserve"> </w:t>
      </w:r>
      <w:r>
        <w:t>Fisheries</w:t>
      </w:r>
      <w:r w:rsidR="00A03629">
        <w:t xml:space="preserve"> </w:t>
      </w:r>
      <w:r>
        <w:t>Authority</w:t>
      </w:r>
      <w:r w:rsidR="00A03629">
        <w:t xml:space="preserve"> </w:t>
      </w:r>
      <w:r>
        <w:t>from</w:t>
      </w:r>
      <w:r w:rsidR="00A03629">
        <w:t xml:space="preserve"> </w:t>
      </w:r>
      <w:r>
        <w:t>the</w:t>
      </w:r>
      <w:r w:rsidR="00A03629">
        <w:t xml:space="preserve"> </w:t>
      </w:r>
      <w:r>
        <w:t>Department</w:t>
      </w:r>
      <w:r w:rsidR="00A03629">
        <w:t xml:space="preserve"> </w:t>
      </w:r>
      <w:r>
        <w:t>of</w:t>
      </w:r>
      <w:r w:rsidR="00A03629">
        <w:t xml:space="preserve"> </w:t>
      </w:r>
      <w:r>
        <w:t>Transport</w:t>
      </w:r>
      <w:r w:rsidR="00A03629">
        <w:t xml:space="preserve"> </w:t>
      </w:r>
      <w:r>
        <w:t>and</w:t>
      </w:r>
      <w:r w:rsidR="00A03629">
        <w:t xml:space="preserve"> </w:t>
      </w:r>
      <w:r>
        <w:t>Planning</w:t>
      </w:r>
      <w:r w:rsidR="00A03629">
        <w:t xml:space="preserve"> </w:t>
      </w:r>
      <w:r>
        <w:t>(DTP).</w:t>
      </w:r>
    </w:p>
    <w:p w14:paraId="1B36B809" w14:textId="1212E4F3" w:rsidR="000756EB" w:rsidRPr="00681449" w:rsidRDefault="004A4D88" w:rsidP="00681449">
      <w:r>
        <w:t>The</w:t>
      </w:r>
      <w:r w:rsidR="00A03629">
        <w:t xml:space="preserve"> </w:t>
      </w:r>
      <w:r>
        <w:t>net</w:t>
      </w:r>
      <w:r w:rsidR="00A03629">
        <w:t xml:space="preserve"> </w:t>
      </w:r>
      <w:r>
        <w:t>asset</w:t>
      </w:r>
      <w:r w:rsidR="00A03629">
        <w:t xml:space="preserve"> </w:t>
      </w:r>
      <w:r>
        <w:t>transfers</w:t>
      </w:r>
      <w:r w:rsidR="00A03629">
        <w:t xml:space="preserve"> </w:t>
      </w:r>
      <w:r>
        <w:t>were</w:t>
      </w:r>
      <w:r w:rsidR="00A03629">
        <w:t xml:space="preserve"> </w:t>
      </w:r>
      <w:r>
        <w:t>treated</w:t>
      </w:r>
      <w:r w:rsidR="00A03629">
        <w:t xml:space="preserve"> </w:t>
      </w:r>
      <w:r>
        <w:t>as</w:t>
      </w:r>
      <w:r w:rsidR="00A03629">
        <w:t xml:space="preserve"> </w:t>
      </w:r>
      <w:r>
        <w:t>a</w:t>
      </w:r>
      <w:r w:rsidR="00A03629">
        <w:t xml:space="preserve"> </w:t>
      </w:r>
      <w:r>
        <w:t>contribution</w:t>
      </w:r>
      <w:r w:rsidR="00A03629">
        <w:t xml:space="preserve"> </w:t>
      </w:r>
      <w:r>
        <w:t>of</w:t>
      </w:r>
      <w:r w:rsidR="00A03629">
        <w:t xml:space="preserve"> </w:t>
      </w:r>
      <w:r>
        <w:t>capital</w:t>
      </w:r>
      <w:r w:rsidR="00A03629">
        <w:t xml:space="preserve"> </w:t>
      </w:r>
      <w:r>
        <w:t>by</w:t>
      </w:r>
      <w:r w:rsidR="00A03629">
        <w:t xml:space="preserve"> </w:t>
      </w:r>
      <w:r>
        <w:t>owners</w:t>
      </w:r>
      <w:r w:rsidR="00A03629">
        <w:t xml:space="preserve"> </w:t>
      </w:r>
      <w:r>
        <w:t>pursuant</w:t>
      </w:r>
      <w:r w:rsidR="00A03629">
        <w:t xml:space="preserve"> </w:t>
      </w:r>
      <w:r>
        <w:t>to</w:t>
      </w:r>
      <w:r w:rsidR="00A03629">
        <w:t xml:space="preserve"> </w:t>
      </w:r>
      <w:r>
        <w:t>FRD</w:t>
      </w:r>
      <w:r w:rsidR="00A03629">
        <w:rPr>
          <w:rFonts w:ascii="Cambria" w:hAnsi="Cambria" w:cs="Cambria"/>
        </w:rPr>
        <w:t xml:space="preserve"> </w:t>
      </w:r>
      <w:r>
        <w:t>119</w:t>
      </w:r>
      <w:r w:rsidR="00A03629">
        <w:t xml:space="preserve"> </w:t>
      </w:r>
      <w:r w:rsidRPr="00681449">
        <w:rPr>
          <w:i/>
          <w:iCs/>
        </w:rPr>
        <w:t>Transfers</w:t>
      </w:r>
      <w:r w:rsidR="00A03629" w:rsidRPr="00681449">
        <w:rPr>
          <w:i/>
          <w:iCs/>
        </w:rPr>
        <w:t xml:space="preserve"> </w:t>
      </w:r>
      <w:r w:rsidRPr="00681449">
        <w:rPr>
          <w:i/>
          <w:iCs/>
        </w:rPr>
        <w:t>through</w:t>
      </w:r>
      <w:r w:rsidR="00A03629" w:rsidRPr="00681449">
        <w:rPr>
          <w:i/>
          <w:iCs/>
        </w:rPr>
        <w:t xml:space="preserve"> </w:t>
      </w:r>
      <w:r w:rsidRPr="00681449">
        <w:rPr>
          <w:i/>
          <w:iCs/>
        </w:rPr>
        <w:t>contributed</w:t>
      </w:r>
      <w:r w:rsidR="00A03629" w:rsidRPr="00681449">
        <w:rPr>
          <w:i/>
          <w:iCs/>
        </w:rPr>
        <w:t xml:space="preserve"> </w:t>
      </w:r>
      <w:r w:rsidRPr="00681449">
        <w:rPr>
          <w:i/>
          <w:iCs/>
        </w:rPr>
        <w:t>capital</w:t>
      </w:r>
      <w:r w:rsidRPr="00681449">
        <w:t>.</w:t>
      </w:r>
    </w:p>
    <w:p w14:paraId="0A83F842" w14:textId="77777777" w:rsidR="00681449" w:rsidRDefault="00681449" w:rsidP="00681449">
      <w:pPr>
        <w:pStyle w:val="Normalbeforebullets"/>
        <w:rPr>
          <w:b/>
          <w:bCs/>
        </w:rPr>
        <w:sectPr w:rsidR="00681449" w:rsidSect="00D76126">
          <w:pgSz w:w="11906" w:h="16838" w:code="9"/>
          <w:pgMar w:top="1134" w:right="851" w:bottom="1134" w:left="851" w:header="397" w:footer="397" w:gutter="0"/>
          <w:cols w:space="720"/>
          <w:noEndnote/>
        </w:sectPr>
      </w:pPr>
    </w:p>
    <w:p w14:paraId="142D1EC8" w14:textId="4B54AD2A" w:rsidR="000756EB" w:rsidRPr="00681449" w:rsidRDefault="004A4D88" w:rsidP="00681449">
      <w:pPr>
        <w:pStyle w:val="Normalbeforebullets"/>
        <w:rPr>
          <w:b/>
          <w:bCs/>
        </w:rPr>
      </w:pPr>
      <w:r w:rsidRPr="00681449">
        <w:rPr>
          <w:b/>
          <w:bCs/>
        </w:rPr>
        <w:lastRenderedPageBreak/>
        <w:t>Net</w:t>
      </w:r>
      <w:r w:rsidR="00A03629" w:rsidRPr="00681449">
        <w:rPr>
          <w:b/>
          <w:bCs/>
        </w:rPr>
        <w:t xml:space="preserve"> </w:t>
      </w:r>
      <w:r w:rsidRPr="00681449">
        <w:rPr>
          <w:b/>
          <w:bCs/>
        </w:rPr>
        <w:t>assets</w:t>
      </w:r>
      <w:r w:rsidR="00A03629" w:rsidRPr="00681449">
        <w:rPr>
          <w:b/>
          <w:bCs/>
        </w:rPr>
        <w:t xml:space="preserve"> </w:t>
      </w:r>
      <w:r w:rsidRPr="00681449">
        <w:rPr>
          <w:b/>
          <w:bCs/>
        </w:rPr>
        <w:t>recognised</w:t>
      </w:r>
    </w:p>
    <w:tbl>
      <w:tblPr>
        <w:tblStyle w:val="TableGrid"/>
        <w:tblW w:w="14737" w:type="dxa"/>
        <w:tblLayout w:type="fixed"/>
        <w:tblLook w:val="0020" w:firstRow="1" w:lastRow="0" w:firstColumn="0" w:lastColumn="0" w:noHBand="0" w:noVBand="0"/>
      </w:tblPr>
      <w:tblGrid>
        <w:gridCol w:w="4531"/>
        <w:gridCol w:w="2041"/>
        <w:gridCol w:w="2041"/>
        <w:gridCol w:w="2041"/>
        <w:gridCol w:w="2041"/>
        <w:gridCol w:w="2042"/>
      </w:tblGrid>
      <w:tr w:rsidR="00D83289" w:rsidRPr="00681449" w14:paraId="7B770DF9" w14:textId="77777777" w:rsidTr="00D83289">
        <w:trPr>
          <w:trHeight w:val="113"/>
        </w:trPr>
        <w:tc>
          <w:tcPr>
            <w:tcW w:w="4531" w:type="dxa"/>
          </w:tcPr>
          <w:p w14:paraId="543F9362" w14:textId="77777777" w:rsidR="00D83289" w:rsidRPr="00681449" w:rsidRDefault="00D83289" w:rsidP="00681449">
            <w:pPr>
              <w:pStyle w:val="TableColumnHeading"/>
              <w:rPr>
                <w:rFonts w:asciiTheme="minorHAnsi" w:hAnsiTheme="minorHAnsi" w:cstheme="minorHAnsi"/>
                <w:sz w:val="20"/>
                <w:szCs w:val="28"/>
              </w:rPr>
            </w:pPr>
            <w:bookmarkStart w:id="60" w:name="ColumnTitles_35"/>
            <w:bookmarkEnd w:id="60"/>
          </w:p>
        </w:tc>
        <w:tc>
          <w:tcPr>
            <w:tcW w:w="2041" w:type="dxa"/>
          </w:tcPr>
          <w:p w14:paraId="2605F96F" w14:textId="0DCB7CA4" w:rsidR="00D83289" w:rsidRPr="00681449" w:rsidRDefault="00D83289" w:rsidP="00D83289">
            <w:pPr>
              <w:pStyle w:val="TableColumnHeading"/>
              <w:jc w:val="right"/>
              <w:rPr>
                <w:rFonts w:asciiTheme="minorHAnsi" w:hAnsiTheme="minorHAnsi" w:cstheme="minorHAnsi"/>
                <w:sz w:val="20"/>
                <w:szCs w:val="28"/>
              </w:rPr>
            </w:pPr>
            <w:r w:rsidRPr="00681449">
              <w:rPr>
                <w:rFonts w:asciiTheme="minorHAnsi" w:hAnsiTheme="minorHAnsi" w:cstheme="minorHAnsi"/>
                <w:sz w:val="20"/>
                <w:szCs w:val="28"/>
              </w:rPr>
              <w:t>Transfer in</w:t>
            </w:r>
            <w:r>
              <w:rPr>
                <w:rFonts w:asciiTheme="minorHAnsi" w:hAnsiTheme="minorHAnsi" w:cstheme="minorHAnsi"/>
                <w:sz w:val="20"/>
                <w:szCs w:val="28"/>
              </w:rPr>
              <w:t xml:space="preserve"> </w:t>
            </w:r>
            <w:r w:rsidRPr="00681449">
              <w:rPr>
                <w:rFonts w:asciiTheme="minorHAnsi" w:hAnsiTheme="minorHAnsi" w:cstheme="minorHAnsi"/>
                <w:sz w:val="20"/>
                <w:szCs w:val="28"/>
              </w:rPr>
              <w:t>DE</w:t>
            </w:r>
            <w:r>
              <w:rPr>
                <w:rFonts w:asciiTheme="minorHAnsi" w:hAnsiTheme="minorHAnsi" w:cstheme="minorHAnsi"/>
                <w:sz w:val="20"/>
                <w:szCs w:val="28"/>
              </w:rPr>
              <w:t xml:space="preserve"> </w:t>
            </w:r>
            <w:r w:rsidRPr="00681449">
              <w:rPr>
                <w:rFonts w:asciiTheme="minorHAnsi" w:hAnsiTheme="minorHAnsi" w:cstheme="minorHAnsi"/>
                <w:sz w:val="20"/>
                <w:szCs w:val="28"/>
              </w:rPr>
              <w:t>($</w:t>
            </w:r>
            <w:r>
              <w:rPr>
                <w:rFonts w:asciiTheme="minorHAnsi" w:hAnsiTheme="minorHAnsi" w:cstheme="minorHAnsi"/>
                <w:sz w:val="20"/>
                <w:szCs w:val="28"/>
              </w:rPr>
              <w:t> </w:t>
            </w:r>
            <w:r w:rsidRPr="00681449">
              <w:rPr>
                <w:rFonts w:asciiTheme="minorHAnsi" w:hAnsiTheme="minorHAnsi" w:cstheme="minorHAnsi"/>
                <w:sz w:val="20"/>
                <w:szCs w:val="28"/>
              </w:rPr>
              <w:t>thousand)</w:t>
            </w:r>
          </w:p>
        </w:tc>
        <w:tc>
          <w:tcPr>
            <w:tcW w:w="2041" w:type="dxa"/>
          </w:tcPr>
          <w:p w14:paraId="4E3EE134" w14:textId="78624F92" w:rsidR="00D83289" w:rsidRPr="00681449" w:rsidRDefault="00D83289" w:rsidP="00D83289">
            <w:pPr>
              <w:pStyle w:val="TableColumnHeading"/>
              <w:jc w:val="right"/>
              <w:rPr>
                <w:rFonts w:asciiTheme="minorHAnsi" w:hAnsiTheme="minorHAnsi" w:cstheme="minorHAnsi"/>
                <w:sz w:val="20"/>
                <w:szCs w:val="28"/>
              </w:rPr>
            </w:pPr>
            <w:r w:rsidRPr="00681449">
              <w:rPr>
                <w:rFonts w:asciiTheme="minorHAnsi" w:hAnsiTheme="minorHAnsi" w:cstheme="minorHAnsi"/>
                <w:sz w:val="20"/>
                <w:szCs w:val="28"/>
              </w:rPr>
              <w:t>Transfer in</w:t>
            </w:r>
            <w:r>
              <w:rPr>
                <w:rFonts w:asciiTheme="minorHAnsi" w:hAnsiTheme="minorHAnsi" w:cstheme="minorHAnsi"/>
                <w:sz w:val="20"/>
                <w:szCs w:val="28"/>
              </w:rPr>
              <w:t xml:space="preserve"> </w:t>
            </w:r>
            <w:r w:rsidRPr="00681449">
              <w:rPr>
                <w:rFonts w:asciiTheme="minorHAnsi" w:hAnsiTheme="minorHAnsi" w:cstheme="minorHAnsi"/>
                <w:sz w:val="20"/>
                <w:szCs w:val="28"/>
              </w:rPr>
              <w:t>DTF</w:t>
            </w:r>
            <w:r>
              <w:rPr>
                <w:rFonts w:asciiTheme="minorHAnsi" w:hAnsiTheme="minorHAnsi" w:cstheme="minorHAnsi"/>
                <w:sz w:val="20"/>
                <w:szCs w:val="28"/>
              </w:rPr>
              <w:t xml:space="preserve"> </w:t>
            </w:r>
            <w:r w:rsidRPr="00681449">
              <w:rPr>
                <w:rFonts w:asciiTheme="minorHAnsi" w:hAnsiTheme="minorHAnsi" w:cstheme="minorHAnsi"/>
                <w:sz w:val="20"/>
                <w:szCs w:val="28"/>
              </w:rPr>
              <w:t>($</w:t>
            </w:r>
            <w:r>
              <w:rPr>
                <w:rFonts w:asciiTheme="minorHAnsi" w:hAnsiTheme="minorHAnsi" w:cstheme="minorHAnsi"/>
                <w:sz w:val="20"/>
                <w:szCs w:val="28"/>
              </w:rPr>
              <w:t> </w:t>
            </w:r>
            <w:r w:rsidRPr="00681449">
              <w:rPr>
                <w:rFonts w:asciiTheme="minorHAnsi" w:hAnsiTheme="minorHAnsi" w:cstheme="minorHAnsi"/>
                <w:sz w:val="20"/>
                <w:szCs w:val="28"/>
              </w:rPr>
              <w:t>thousand)</w:t>
            </w:r>
          </w:p>
        </w:tc>
        <w:tc>
          <w:tcPr>
            <w:tcW w:w="2041" w:type="dxa"/>
          </w:tcPr>
          <w:p w14:paraId="5D526579" w14:textId="305A0CDF" w:rsidR="00D83289" w:rsidRPr="00681449" w:rsidRDefault="00D83289" w:rsidP="00D83289">
            <w:pPr>
              <w:pStyle w:val="TableColumnHeading"/>
              <w:jc w:val="right"/>
              <w:rPr>
                <w:rFonts w:asciiTheme="minorHAnsi" w:hAnsiTheme="minorHAnsi" w:cstheme="minorHAnsi"/>
                <w:sz w:val="20"/>
                <w:szCs w:val="28"/>
              </w:rPr>
            </w:pPr>
            <w:r w:rsidRPr="00681449">
              <w:rPr>
                <w:rFonts w:asciiTheme="minorHAnsi" w:hAnsiTheme="minorHAnsi" w:cstheme="minorHAnsi"/>
                <w:sz w:val="20"/>
                <w:szCs w:val="28"/>
              </w:rPr>
              <w:t>Transfer in</w:t>
            </w:r>
            <w:r>
              <w:rPr>
                <w:rFonts w:asciiTheme="minorHAnsi" w:hAnsiTheme="minorHAnsi" w:cstheme="minorHAnsi"/>
                <w:sz w:val="20"/>
                <w:szCs w:val="28"/>
              </w:rPr>
              <w:t xml:space="preserve"> </w:t>
            </w:r>
            <w:r w:rsidRPr="00681449">
              <w:rPr>
                <w:rFonts w:asciiTheme="minorHAnsi" w:hAnsiTheme="minorHAnsi" w:cstheme="minorHAnsi"/>
                <w:sz w:val="20"/>
                <w:szCs w:val="28"/>
              </w:rPr>
              <w:t>DPC</w:t>
            </w:r>
            <w:r>
              <w:rPr>
                <w:rFonts w:asciiTheme="minorHAnsi" w:hAnsiTheme="minorHAnsi" w:cstheme="minorHAnsi"/>
                <w:sz w:val="20"/>
                <w:szCs w:val="28"/>
              </w:rPr>
              <w:t xml:space="preserve"> </w:t>
            </w:r>
            <w:r w:rsidRPr="00681449">
              <w:rPr>
                <w:rFonts w:asciiTheme="minorHAnsi" w:hAnsiTheme="minorHAnsi" w:cstheme="minorHAnsi"/>
                <w:sz w:val="20"/>
                <w:szCs w:val="28"/>
              </w:rPr>
              <w:t>($</w:t>
            </w:r>
            <w:r>
              <w:rPr>
                <w:rFonts w:asciiTheme="minorHAnsi" w:hAnsiTheme="minorHAnsi" w:cstheme="minorHAnsi"/>
                <w:sz w:val="20"/>
                <w:szCs w:val="28"/>
              </w:rPr>
              <w:t> </w:t>
            </w:r>
            <w:r w:rsidRPr="00681449">
              <w:rPr>
                <w:rFonts w:asciiTheme="minorHAnsi" w:hAnsiTheme="minorHAnsi" w:cstheme="minorHAnsi"/>
                <w:sz w:val="20"/>
                <w:szCs w:val="28"/>
              </w:rPr>
              <w:t>thousand)</w:t>
            </w:r>
          </w:p>
        </w:tc>
        <w:tc>
          <w:tcPr>
            <w:tcW w:w="2041" w:type="dxa"/>
          </w:tcPr>
          <w:p w14:paraId="3D0BCE24" w14:textId="3EF9D8FD" w:rsidR="00D83289" w:rsidRPr="00681449" w:rsidRDefault="00D83289" w:rsidP="00D83289">
            <w:pPr>
              <w:pStyle w:val="TableColumnHeading"/>
              <w:jc w:val="right"/>
              <w:rPr>
                <w:rFonts w:asciiTheme="minorHAnsi" w:hAnsiTheme="minorHAnsi" w:cstheme="minorHAnsi"/>
                <w:sz w:val="20"/>
                <w:szCs w:val="28"/>
              </w:rPr>
            </w:pPr>
            <w:r w:rsidRPr="00681449">
              <w:rPr>
                <w:rFonts w:asciiTheme="minorHAnsi" w:hAnsiTheme="minorHAnsi" w:cstheme="minorHAnsi"/>
                <w:sz w:val="20"/>
                <w:szCs w:val="28"/>
              </w:rPr>
              <w:t>Transfer in</w:t>
            </w:r>
            <w:r>
              <w:rPr>
                <w:rFonts w:asciiTheme="minorHAnsi" w:hAnsiTheme="minorHAnsi" w:cstheme="minorHAnsi"/>
                <w:sz w:val="20"/>
                <w:szCs w:val="28"/>
              </w:rPr>
              <w:t xml:space="preserve"> </w:t>
            </w:r>
            <w:r w:rsidRPr="00681449">
              <w:rPr>
                <w:rFonts w:asciiTheme="minorHAnsi" w:hAnsiTheme="minorHAnsi" w:cstheme="minorHAnsi"/>
                <w:sz w:val="20"/>
                <w:szCs w:val="28"/>
              </w:rPr>
              <w:t>DTP</w:t>
            </w:r>
            <w:r>
              <w:rPr>
                <w:rFonts w:asciiTheme="minorHAnsi" w:hAnsiTheme="minorHAnsi" w:cstheme="minorHAnsi"/>
                <w:sz w:val="20"/>
                <w:szCs w:val="28"/>
              </w:rPr>
              <w:t xml:space="preserve"> </w:t>
            </w:r>
            <w:r w:rsidRPr="00681449">
              <w:rPr>
                <w:rFonts w:asciiTheme="minorHAnsi" w:hAnsiTheme="minorHAnsi" w:cstheme="minorHAnsi"/>
                <w:sz w:val="20"/>
                <w:szCs w:val="28"/>
              </w:rPr>
              <w:t>($</w:t>
            </w:r>
            <w:r>
              <w:rPr>
                <w:rFonts w:asciiTheme="minorHAnsi" w:hAnsiTheme="minorHAnsi" w:cstheme="minorHAnsi"/>
                <w:sz w:val="20"/>
                <w:szCs w:val="28"/>
              </w:rPr>
              <w:t> </w:t>
            </w:r>
            <w:r w:rsidRPr="00681449">
              <w:rPr>
                <w:rFonts w:asciiTheme="minorHAnsi" w:hAnsiTheme="minorHAnsi" w:cstheme="minorHAnsi"/>
                <w:sz w:val="20"/>
                <w:szCs w:val="28"/>
              </w:rPr>
              <w:t>thousand)</w:t>
            </w:r>
          </w:p>
        </w:tc>
        <w:tc>
          <w:tcPr>
            <w:tcW w:w="2042" w:type="dxa"/>
          </w:tcPr>
          <w:p w14:paraId="08F0063C" w14:textId="12D615F2" w:rsidR="00D83289" w:rsidRPr="00681449" w:rsidRDefault="00D83289" w:rsidP="00D83289">
            <w:pPr>
              <w:pStyle w:val="TableColumnHeading"/>
              <w:jc w:val="right"/>
              <w:rPr>
                <w:rFonts w:asciiTheme="minorHAnsi" w:hAnsiTheme="minorHAnsi" w:cstheme="minorHAnsi"/>
                <w:sz w:val="20"/>
                <w:szCs w:val="28"/>
              </w:rPr>
            </w:pPr>
            <w:r w:rsidRPr="00681449">
              <w:rPr>
                <w:rFonts w:asciiTheme="minorHAnsi" w:hAnsiTheme="minorHAnsi" w:cstheme="minorHAnsi"/>
                <w:sz w:val="20"/>
                <w:szCs w:val="28"/>
              </w:rPr>
              <w:t>Transfer in</w:t>
            </w:r>
            <w:r>
              <w:rPr>
                <w:rFonts w:asciiTheme="minorHAnsi" w:hAnsiTheme="minorHAnsi" w:cstheme="minorHAnsi"/>
                <w:sz w:val="20"/>
                <w:szCs w:val="28"/>
              </w:rPr>
              <w:t xml:space="preserve"> </w:t>
            </w:r>
            <w:r w:rsidRPr="00681449">
              <w:rPr>
                <w:rFonts w:asciiTheme="minorHAnsi" w:hAnsiTheme="minorHAnsi" w:cstheme="minorHAnsi"/>
                <w:sz w:val="20"/>
                <w:szCs w:val="28"/>
              </w:rPr>
              <w:t>Total</w:t>
            </w:r>
            <w:r>
              <w:rPr>
                <w:rFonts w:asciiTheme="minorHAnsi" w:hAnsiTheme="minorHAnsi" w:cstheme="minorHAnsi"/>
                <w:sz w:val="20"/>
                <w:szCs w:val="28"/>
              </w:rPr>
              <w:t xml:space="preserve"> </w:t>
            </w:r>
            <w:r w:rsidRPr="00681449">
              <w:rPr>
                <w:rFonts w:asciiTheme="minorHAnsi" w:hAnsiTheme="minorHAnsi" w:cstheme="minorHAnsi"/>
                <w:sz w:val="20"/>
                <w:szCs w:val="28"/>
              </w:rPr>
              <w:t>($</w:t>
            </w:r>
            <w:r>
              <w:rPr>
                <w:rFonts w:asciiTheme="minorHAnsi" w:hAnsiTheme="minorHAnsi" w:cstheme="minorHAnsi"/>
                <w:sz w:val="20"/>
                <w:szCs w:val="28"/>
              </w:rPr>
              <w:t> </w:t>
            </w:r>
            <w:r w:rsidRPr="00681449">
              <w:rPr>
                <w:rFonts w:asciiTheme="minorHAnsi" w:hAnsiTheme="minorHAnsi" w:cstheme="minorHAnsi"/>
                <w:sz w:val="20"/>
                <w:szCs w:val="28"/>
              </w:rPr>
              <w:t>thousand)</w:t>
            </w:r>
          </w:p>
        </w:tc>
      </w:tr>
      <w:tr w:rsidR="00D83289" w:rsidRPr="00D83289" w14:paraId="0FCD8C1C" w14:textId="77777777" w:rsidTr="00D83289">
        <w:trPr>
          <w:trHeight w:val="113"/>
        </w:trPr>
        <w:tc>
          <w:tcPr>
            <w:tcW w:w="4531" w:type="dxa"/>
          </w:tcPr>
          <w:p w14:paraId="215FF4C2" w14:textId="77777777" w:rsidR="00D83289" w:rsidRPr="00D83289" w:rsidRDefault="00D83289" w:rsidP="00D83289">
            <w:pPr>
              <w:pStyle w:val="TableHeading"/>
            </w:pPr>
            <w:r w:rsidRPr="00D83289">
              <w:t>Assets</w:t>
            </w:r>
          </w:p>
        </w:tc>
        <w:tc>
          <w:tcPr>
            <w:tcW w:w="2041" w:type="dxa"/>
          </w:tcPr>
          <w:p w14:paraId="793D6E25" w14:textId="77777777" w:rsidR="00D83289" w:rsidRPr="00D83289" w:rsidRDefault="00D83289" w:rsidP="00D83289">
            <w:pPr>
              <w:pStyle w:val="TableHeading"/>
              <w:jc w:val="right"/>
            </w:pPr>
          </w:p>
        </w:tc>
        <w:tc>
          <w:tcPr>
            <w:tcW w:w="2041" w:type="dxa"/>
          </w:tcPr>
          <w:p w14:paraId="44B78012" w14:textId="77777777" w:rsidR="00D83289" w:rsidRPr="00D83289" w:rsidRDefault="00D83289" w:rsidP="00D83289">
            <w:pPr>
              <w:pStyle w:val="TableHeading"/>
              <w:jc w:val="right"/>
            </w:pPr>
          </w:p>
        </w:tc>
        <w:tc>
          <w:tcPr>
            <w:tcW w:w="2041" w:type="dxa"/>
          </w:tcPr>
          <w:p w14:paraId="4EB90B7A" w14:textId="77777777" w:rsidR="00D83289" w:rsidRPr="00D83289" w:rsidRDefault="00D83289" w:rsidP="00D83289">
            <w:pPr>
              <w:pStyle w:val="TableHeading"/>
              <w:jc w:val="right"/>
            </w:pPr>
          </w:p>
        </w:tc>
        <w:tc>
          <w:tcPr>
            <w:tcW w:w="2041" w:type="dxa"/>
          </w:tcPr>
          <w:p w14:paraId="2BFA3877" w14:textId="77777777" w:rsidR="00D83289" w:rsidRPr="00D83289" w:rsidRDefault="00D83289" w:rsidP="00D83289">
            <w:pPr>
              <w:pStyle w:val="TableHeading"/>
              <w:jc w:val="right"/>
            </w:pPr>
          </w:p>
        </w:tc>
        <w:tc>
          <w:tcPr>
            <w:tcW w:w="2042" w:type="dxa"/>
          </w:tcPr>
          <w:p w14:paraId="3954EB59" w14:textId="77777777" w:rsidR="00D83289" w:rsidRPr="00D83289" w:rsidRDefault="00D83289" w:rsidP="00D83289">
            <w:pPr>
              <w:pStyle w:val="TableHeading"/>
              <w:jc w:val="right"/>
            </w:pPr>
          </w:p>
        </w:tc>
      </w:tr>
      <w:tr w:rsidR="00D83289" w14:paraId="436B4EE7" w14:textId="77777777" w:rsidTr="00D83289">
        <w:trPr>
          <w:trHeight w:val="113"/>
        </w:trPr>
        <w:tc>
          <w:tcPr>
            <w:tcW w:w="4531" w:type="dxa"/>
          </w:tcPr>
          <w:p w14:paraId="5B84C70B" w14:textId="741784AB" w:rsidR="00D83289" w:rsidRDefault="00D83289" w:rsidP="00D83289">
            <w:pPr>
              <w:pStyle w:val="TableCopy"/>
            </w:pPr>
            <w:r>
              <w:t>Cash and cash equivalents</w:t>
            </w:r>
          </w:p>
        </w:tc>
        <w:tc>
          <w:tcPr>
            <w:tcW w:w="2041" w:type="dxa"/>
          </w:tcPr>
          <w:p w14:paraId="0FD4C5AB" w14:textId="027E59F1" w:rsidR="00D83289" w:rsidRDefault="00D83289" w:rsidP="00D83289">
            <w:pPr>
              <w:pStyle w:val="TableCopy"/>
              <w:jc w:val="right"/>
            </w:pPr>
            <w:r>
              <w:t>14,712</w:t>
            </w:r>
          </w:p>
        </w:tc>
        <w:tc>
          <w:tcPr>
            <w:tcW w:w="2041" w:type="dxa"/>
          </w:tcPr>
          <w:p w14:paraId="70AFEE56" w14:textId="444D12B2" w:rsidR="00D83289" w:rsidRDefault="00D83289" w:rsidP="00D83289">
            <w:pPr>
              <w:pStyle w:val="TableCopy"/>
              <w:jc w:val="right"/>
            </w:pPr>
            <w:r>
              <w:t>13,840</w:t>
            </w:r>
          </w:p>
        </w:tc>
        <w:tc>
          <w:tcPr>
            <w:tcW w:w="2041" w:type="dxa"/>
          </w:tcPr>
          <w:p w14:paraId="28574271" w14:textId="4ABCF295" w:rsidR="00D83289" w:rsidRDefault="00D83289" w:rsidP="00D83289">
            <w:pPr>
              <w:pStyle w:val="TableCopy"/>
              <w:jc w:val="right"/>
            </w:pPr>
            <w:r>
              <w:t>–</w:t>
            </w:r>
          </w:p>
        </w:tc>
        <w:tc>
          <w:tcPr>
            <w:tcW w:w="2041" w:type="dxa"/>
          </w:tcPr>
          <w:p w14:paraId="369CC3CA" w14:textId="4DB315B8" w:rsidR="00D83289" w:rsidRDefault="00D83289" w:rsidP="00D83289">
            <w:pPr>
              <w:pStyle w:val="TableCopy"/>
              <w:jc w:val="right"/>
            </w:pPr>
            <w:r>
              <w:t>34,748</w:t>
            </w:r>
          </w:p>
        </w:tc>
        <w:tc>
          <w:tcPr>
            <w:tcW w:w="2042" w:type="dxa"/>
          </w:tcPr>
          <w:p w14:paraId="370FF4F3" w14:textId="6A551AA5" w:rsidR="00D83289" w:rsidRDefault="00D83289" w:rsidP="00D83289">
            <w:pPr>
              <w:pStyle w:val="TableCopy"/>
              <w:jc w:val="right"/>
            </w:pPr>
            <w:r>
              <w:t>63,300</w:t>
            </w:r>
          </w:p>
        </w:tc>
      </w:tr>
      <w:tr w:rsidR="00D83289" w14:paraId="3561D4CC" w14:textId="77777777" w:rsidTr="00D83289">
        <w:trPr>
          <w:trHeight w:val="113"/>
        </w:trPr>
        <w:tc>
          <w:tcPr>
            <w:tcW w:w="4531" w:type="dxa"/>
          </w:tcPr>
          <w:p w14:paraId="06BECC7D" w14:textId="77777777" w:rsidR="00D83289" w:rsidRDefault="00D83289" w:rsidP="00D83289">
            <w:pPr>
              <w:pStyle w:val="TableCopy"/>
            </w:pPr>
            <w:r>
              <w:t>Receivables</w:t>
            </w:r>
          </w:p>
        </w:tc>
        <w:tc>
          <w:tcPr>
            <w:tcW w:w="2041" w:type="dxa"/>
          </w:tcPr>
          <w:p w14:paraId="60B77F58" w14:textId="5DEC0DDF" w:rsidR="00D83289" w:rsidRDefault="00D83289" w:rsidP="00D83289">
            <w:pPr>
              <w:pStyle w:val="TableCopy"/>
              <w:jc w:val="right"/>
            </w:pPr>
            <w:r>
              <w:t>178,174</w:t>
            </w:r>
          </w:p>
        </w:tc>
        <w:tc>
          <w:tcPr>
            <w:tcW w:w="2041" w:type="dxa"/>
          </w:tcPr>
          <w:p w14:paraId="7A9D4C0D" w14:textId="43DD0D5C" w:rsidR="00D83289" w:rsidRDefault="00D83289" w:rsidP="00D83289">
            <w:pPr>
              <w:pStyle w:val="TableCopy"/>
              <w:jc w:val="right"/>
            </w:pPr>
            <w:r>
              <w:t>18,912</w:t>
            </w:r>
          </w:p>
        </w:tc>
        <w:tc>
          <w:tcPr>
            <w:tcW w:w="2041" w:type="dxa"/>
          </w:tcPr>
          <w:p w14:paraId="7F7B7CF0" w14:textId="12566B1A" w:rsidR="00D83289" w:rsidRDefault="00D83289" w:rsidP="00D83289">
            <w:pPr>
              <w:pStyle w:val="TableCopy"/>
              <w:jc w:val="right"/>
            </w:pPr>
            <w:r>
              <w:t>201</w:t>
            </w:r>
          </w:p>
        </w:tc>
        <w:tc>
          <w:tcPr>
            <w:tcW w:w="2041" w:type="dxa"/>
          </w:tcPr>
          <w:p w14:paraId="3F750AE2" w14:textId="18576E68" w:rsidR="00D83289" w:rsidRDefault="00D83289" w:rsidP="00D83289">
            <w:pPr>
              <w:pStyle w:val="TableCopy"/>
              <w:jc w:val="right"/>
            </w:pPr>
            <w:r>
              <w:t>5,741</w:t>
            </w:r>
          </w:p>
        </w:tc>
        <w:tc>
          <w:tcPr>
            <w:tcW w:w="2042" w:type="dxa"/>
          </w:tcPr>
          <w:p w14:paraId="082F5825" w14:textId="6D335AD4" w:rsidR="00D83289" w:rsidRDefault="00D83289" w:rsidP="00D83289">
            <w:pPr>
              <w:pStyle w:val="TableCopy"/>
              <w:jc w:val="right"/>
            </w:pPr>
            <w:r>
              <w:t>203,028</w:t>
            </w:r>
          </w:p>
        </w:tc>
      </w:tr>
      <w:tr w:rsidR="00D83289" w14:paraId="3EB9AB95" w14:textId="77777777" w:rsidTr="00D83289">
        <w:trPr>
          <w:trHeight w:val="113"/>
        </w:trPr>
        <w:tc>
          <w:tcPr>
            <w:tcW w:w="4531" w:type="dxa"/>
          </w:tcPr>
          <w:p w14:paraId="052D7413" w14:textId="77777777" w:rsidR="00D83289" w:rsidRDefault="00D83289" w:rsidP="00D83289">
            <w:pPr>
              <w:pStyle w:val="TableCopy"/>
            </w:pPr>
            <w:r>
              <w:t>Investments</w:t>
            </w:r>
          </w:p>
        </w:tc>
        <w:tc>
          <w:tcPr>
            <w:tcW w:w="2041" w:type="dxa"/>
          </w:tcPr>
          <w:p w14:paraId="3BCAA7D6" w14:textId="6A3B299B" w:rsidR="00D83289" w:rsidRDefault="00D83289" w:rsidP="00D83289">
            <w:pPr>
              <w:pStyle w:val="TableCopy"/>
              <w:jc w:val="right"/>
            </w:pPr>
            <w:r>
              <w:t>–</w:t>
            </w:r>
          </w:p>
        </w:tc>
        <w:tc>
          <w:tcPr>
            <w:tcW w:w="2041" w:type="dxa"/>
          </w:tcPr>
          <w:p w14:paraId="689599A7" w14:textId="7AB8123F" w:rsidR="00D83289" w:rsidRDefault="00D83289" w:rsidP="00D83289">
            <w:pPr>
              <w:pStyle w:val="TableCopy"/>
              <w:jc w:val="right"/>
            </w:pPr>
            <w:r>
              <w:t>1,000</w:t>
            </w:r>
          </w:p>
        </w:tc>
        <w:tc>
          <w:tcPr>
            <w:tcW w:w="2041" w:type="dxa"/>
          </w:tcPr>
          <w:p w14:paraId="4E347E7F" w14:textId="72B6CB27" w:rsidR="00D83289" w:rsidRDefault="00D83289" w:rsidP="00D83289">
            <w:pPr>
              <w:pStyle w:val="TableCopy"/>
              <w:jc w:val="right"/>
            </w:pPr>
            <w:r>
              <w:t>–</w:t>
            </w:r>
          </w:p>
        </w:tc>
        <w:tc>
          <w:tcPr>
            <w:tcW w:w="2041" w:type="dxa"/>
          </w:tcPr>
          <w:p w14:paraId="4EE5BE61" w14:textId="3845564E" w:rsidR="00D83289" w:rsidRDefault="00D83289" w:rsidP="00D83289">
            <w:pPr>
              <w:pStyle w:val="TableCopy"/>
              <w:jc w:val="right"/>
            </w:pPr>
            <w:r>
              <w:t>–</w:t>
            </w:r>
          </w:p>
        </w:tc>
        <w:tc>
          <w:tcPr>
            <w:tcW w:w="2042" w:type="dxa"/>
          </w:tcPr>
          <w:p w14:paraId="5EC56CD2" w14:textId="570CBB36" w:rsidR="00D83289" w:rsidRDefault="00D83289" w:rsidP="00D83289">
            <w:pPr>
              <w:pStyle w:val="TableCopy"/>
              <w:jc w:val="right"/>
            </w:pPr>
            <w:r>
              <w:t>1,000</w:t>
            </w:r>
          </w:p>
        </w:tc>
      </w:tr>
      <w:tr w:rsidR="00D83289" w14:paraId="3D4DFAF2" w14:textId="77777777" w:rsidTr="00D83289">
        <w:trPr>
          <w:trHeight w:val="113"/>
        </w:trPr>
        <w:tc>
          <w:tcPr>
            <w:tcW w:w="4531" w:type="dxa"/>
          </w:tcPr>
          <w:p w14:paraId="73F84FE3" w14:textId="366D9753" w:rsidR="00D83289" w:rsidRDefault="00D83289" w:rsidP="00D83289">
            <w:pPr>
              <w:pStyle w:val="TableCopy"/>
            </w:pPr>
            <w:r>
              <w:t xml:space="preserve">Property, </w:t>
            </w:r>
            <w:proofErr w:type="gramStart"/>
            <w:r>
              <w:t>plant</w:t>
            </w:r>
            <w:proofErr w:type="gramEnd"/>
            <w:r>
              <w:t xml:space="preserve"> and equipment</w:t>
            </w:r>
          </w:p>
        </w:tc>
        <w:tc>
          <w:tcPr>
            <w:tcW w:w="2041" w:type="dxa"/>
          </w:tcPr>
          <w:p w14:paraId="181DB2BA" w14:textId="1E76EE65" w:rsidR="00D83289" w:rsidRDefault="00D83289" w:rsidP="00D83289">
            <w:pPr>
              <w:pStyle w:val="TableCopy"/>
              <w:jc w:val="right"/>
            </w:pPr>
            <w:r>
              <w:t>191,657</w:t>
            </w:r>
          </w:p>
        </w:tc>
        <w:tc>
          <w:tcPr>
            <w:tcW w:w="2041" w:type="dxa"/>
          </w:tcPr>
          <w:p w14:paraId="465E3567" w14:textId="53A4621F" w:rsidR="00D83289" w:rsidRDefault="00D83289" w:rsidP="00D83289">
            <w:pPr>
              <w:pStyle w:val="TableCopy"/>
              <w:jc w:val="right"/>
            </w:pPr>
            <w:r>
              <w:t>6</w:t>
            </w:r>
          </w:p>
        </w:tc>
        <w:tc>
          <w:tcPr>
            <w:tcW w:w="2041" w:type="dxa"/>
          </w:tcPr>
          <w:p w14:paraId="27339439" w14:textId="2FBC4B9A" w:rsidR="00D83289" w:rsidRDefault="00D83289" w:rsidP="00D83289">
            <w:pPr>
              <w:pStyle w:val="TableCopy"/>
              <w:jc w:val="right"/>
            </w:pPr>
            <w:r>
              <w:t>–</w:t>
            </w:r>
          </w:p>
        </w:tc>
        <w:tc>
          <w:tcPr>
            <w:tcW w:w="2041" w:type="dxa"/>
          </w:tcPr>
          <w:p w14:paraId="00CA2674" w14:textId="3D1249EB" w:rsidR="00D83289" w:rsidRDefault="00D83289" w:rsidP="00D83289">
            <w:pPr>
              <w:pStyle w:val="TableCopy"/>
              <w:jc w:val="right"/>
            </w:pPr>
            <w:r>
              <w:t>–</w:t>
            </w:r>
          </w:p>
        </w:tc>
        <w:tc>
          <w:tcPr>
            <w:tcW w:w="2042" w:type="dxa"/>
          </w:tcPr>
          <w:p w14:paraId="6631D826" w14:textId="01AAA068" w:rsidR="00D83289" w:rsidRDefault="00D83289" w:rsidP="00D83289">
            <w:pPr>
              <w:pStyle w:val="TableCopy"/>
              <w:jc w:val="right"/>
            </w:pPr>
            <w:r>
              <w:t>191,663</w:t>
            </w:r>
          </w:p>
        </w:tc>
      </w:tr>
      <w:tr w:rsidR="00D83289" w14:paraId="315BF87C" w14:textId="77777777" w:rsidTr="00D83289">
        <w:trPr>
          <w:trHeight w:val="113"/>
        </w:trPr>
        <w:tc>
          <w:tcPr>
            <w:tcW w:w="4531" w:type="dxa"/>
          </w:tcPr>
          <w:p w14:paraId="73A0EB7B" w14:textId="408F793B" w:rsidR="00D83289" w:rsidRDefault="00D83289" w:rsidP="00D83289">
            <w:pPr>
              <w:pStyle w:val="TableCopy"/>
            </w:pPr>
            <w:r>
              <w:t>Other non</w:t>
            </w:r>
            <w:r>
              <w:noBreakHyphen/>
              <w:t>financial assets</w:t>
            </w:r>
          </w:p>
        </w:tc>
        <w:tc>
          <w:tcPr>
            <w:tcW w:w="2041" w:type="dxa"/>
          </w:tcPr>
          <w:p w14:paraId="7F76C68A" w14:textId="09D855B4" w:rsidR="00D83289" w:rsidRDefault="00D83289" w:rsidP="00D83289">
            <w:pPr>
              <w:pStyle w:val="TableCopy"/>
              <w:jc w:val="right"/>
            </w:pPr>
            <w:r>
              <w:t>65</w:t>
            </w:r>
          </w:p>
        </w:tc>
        <w:tc>
          <w:tcPr>
            <w:tcW w:w="2041" w:type="dxa"/>
          </w:tcPr>
          <w:p w14:paraId="0AAB9BE4" w14:textId="3AE90D3A" w:rsidR="00D83289" w:rsidRDefault="00D83289" w:rsidP="00D83289">
            <w:pPr>
              <w:pStyle w:val="TableCopy"/>
              <w:jc w:val="right"/>
            </w:pPr>
            <w:r>
              <w:t>–</w:t>
            </w:r>
          </w:p>
        </w:tc>
        <w:tc>
          <w:tcPr>
            <w:tcW w:w="2041" w:type="dxa"/>
          </w:tcPr>
          <w:p w14:paraId="748821C3" w14:textId="24475385" w:rsidR="00D83289" w:rsidRDefault="00D83289" w:rsidP="00D83289">
            <w:pPr>
              <w:pStyle w:val="TableCopy"/>
              <w:jc w:val="right"/>
            </w:pPr>
            <w:r>
              <w:t>–</w:t>
            </w:r>
          </w:p>
        </w:tc>
        <w:tc>
          <w:tcPr>
            <w:tcW w:w="2041" w:type="dxa"/>
          </w:tcPr>
          <w:p w14:paraId="25842EED" w14:textId="636E94A9" w:rsidR="00D83289" w:rsidRDefault="00D83289" w:rsidP="00D83289">
            <w:pPr>
              <w:pStyle w:val="TableCopy"/>
              <w:jc w:val="right"/>
            </w:pPr>
            <w:r>
              <w:t>–</w:t>
            </w:r>
          </w:p>
        </w:tc>
        <w:tc>
          <w:tcPr>
            <w:tcW w:w="2042" w:type="dxa"/>
          </w:tcPr>
          <w:p w14:paraId="5B0901F4" w14:textId="244A040B" w:rsidR="00D83289" w:rsidRDefault="00D83289" w:rsidP="00D83289">
            <w:pPr>
              <w:pStyle w:val="TableCopy"/>
              <w:jc w:val="right"/>
            </w:pPr>
            <w:r>
              <w:t>65</w:t>
            </w:r>
          </w:p>
        </w:tc>
      </w:tr>
      <w:tr w:rsidR="00D83289" w:rsidRPr="00D83289" w14:paraId="75D85F37" w14:textId="77777777" w:rsidTr="00D83289">
        <w:trPr>
          <w:trHeight w:val="333"/>
        </w:trPr>
        <w:tc>
          <w:tcPr>
            <w:tcW w:w="4531" w:type="dxa"/>
          </w:tcPr>
          <w:p w14:paraId="75C77DD5" w14:textId="77777777" w:rsidR="00D83289" w:rsidRPr="00D83289" w:rsidRDefault="00D83289" w:rsidP="00D83289">
            <w:pPr>
              <w:pStyle w:val="TableHeading"/>
            </w:pPr>
            <w:r w:rsidRPr="00D83289">
              <w:t>Liabilities</w:t>
            </w:r>
          </w:p>
        </w:tc>
        <w:tc>
          <w:tcPr>
            <w:tcW w:w="2041" w:type="dxa"/>
          </w:tcPr>
          <w:p w14:paraId="01335CC1" w14:textId="77777777" w:rsidR="00D83289" w:rsidRPr="00D83289" w:rsidRDefault="00D83289" w:rsidP="00D83289">
            <w:pPr>
              <w:pStyle w:val="TableHeading"/>
              <w:jc w:val="right"/>
            </w:pPr>
          </w:p>
        </w:tc>
        <w:tc>
          <w:tcPr>
            <w:tcW w:w="2041" w:type="dxa"/>
          </w:tcPr>
          <w:p w14:paraId="2A79FBB5" w14:textId="77777777" w:rsidR="00D83289" w:rsidRPr="00D83289" w:rsidRDefault="00D83289" w:rsidP="00D83289">
            <w:pPr>
              <w:pStyle w:val="TableHeading"/>
              <w:jc w:val="right"/>
            </w:pPr>
          </w:p>
        </w:tc>
        <w:tc>
          <w:tcPr>
            <w:tcW w:w="2041" w:type="dxa"/>
          </w:tcPr>
          <w:p w14:paraId="24BA0CF3" w14:textId="77777777" w:rsidR="00D83289" w:rsidRPr="00D83289" w:rsidRDefault="00D83289" w:rsidP="00D83289">
            <w:pPr>
              <w:pStyle w:val="TableHeading"/>
              <w:jc w:val="right"/>
            </w:pPr>
          </w:p>
        </w:tc>
        <w:tc>
          <w:tcPr>
            <w:tcW w:w="2041" w:type="dxa"/>
          </w:tcPr>
          <w:p w14:paraId="108F7C1E" w14:textId="77777777" w:rsidR="00D83289" w:rsidRPr="00D83289" w:rsidRDefault="00D83289" w:rsidP="00D83289">
            <w:pPr>
              <w:pStyle w:val="TableHeading"/>
              <w:jc w:val="right"/>
            </w:pPr>
          </w:p>
        </w:tc>
        <w:tc>
          <w:tcPr>
            <w:tcW w:w="2042" w:type="dxa"/>
          </w:tcPr>
          <w:p w14:paraId="6B993EB6" w14:textId="77777777" w:rsidR="00D83289" w:rsidRPr="00D83289" w:rsidRDefault="00D83289" w:rsidP="00D83289">
            <w:pPr>
              <w:pStyle w:val="TableHeading"/>
              <w:jc w:val="right"/>
            </w:pPr>
          </w:p>
        </w:tc>
      </w:tr>
      <w:tr w:rsidR="00D83289" w14:paraId="2A8C8D40" w14:textId="77777777" w:rsidTr="00D83289">
        <w:trPr>
          <w:trHeight w:val="113"/>
        </w:trPr>
        <w:tc>
          <w:tcPr>
            <w:tcW w:w="4531" w:type="dxa"/>
          </w:tcPr>
          <w:p w14:paraId="08C9C6BB" w14:textId="77777777" w:rsidR="00D83289" w:rsidRDefault="00D83289" w:rsidP="00D83289">
            <w:pPr>
              <w:pStyle w:val="TableCopy"/>
            </w:pPr>
            <w:r>
              <w:t>Payables</w:t>
            </w:r>
          </w:p>
        </w:tc>
        <w:tc>
          <w:tcPr>
            <w:tcW w:w="2041" w:type="dxa"/>
          </w:tcPr>
          <w:p w14:paraId="3FD9B040" w14:textId="77777777" w:rsidR="00D83289" w:rsidRDefault="00D83289" w:rsidP="00D83289">
            <w:pPr>
              <w:pStyle w:val="TableCopy"/>
              <w:jc w:val="right"/>
            </w:pPr>
            <w:r>
              <w:t>(137,318)</w:t>
            </w:r>
          </w:p>
        </w:tc>
        <w:tc>
          <w:tcPr>
            <w:tcW w:w="2041" w:type="dxa"/>
          </w:tcPr>
          <w:p w14:paraId="1D4B698F" w14:textId="77777777" w:rsidR="00D83289" w:rsidRDefault="00D83289" w:rsidP="00D83289">
            <w:pPr>
              <w:pStyle w:val="TableCopy"/>
              <w:jc w:val="right"/>
            </w:pPr>
            <w:r>
              <w:t>(601)</w:t>
            </w:r>
          </w:p>
        </w:tc>
        <w:tc>
          <w:tcPr>
            <w:tcW w:w="2041" w:type="dxa"/>
          </w:tcPr>
          <w:p w14:paraId="711D5269" w14:textId="31CA138A" w:rsidR="00D83289" w:rsidRDefault="00D83289" w:rsidP="00D83289">
            <w:pPr>
              <w:pStyle w:val="TableCopy"/>
              <w:jc w:val="right"/>
            </w:pPr>
            <w:r>
              <w:t>–</w:t>
            </w:r>
          </w:p>
        </w:tc>
        <w:tc>
          <w:tcPr>
            <w:tcW w:w="2041" w:type="dxa"/>
          </w:tcPr>
          <w:p w14:paraId="0CEF8095" w14:textId="77777777" w:rsidR="00D83289" w:rsidRDefault="00D83289" w:rsidP="00D83289">
            <w:pPr>
              <w:pStyle w:val="TableCopy"/>
              <w:jc w:val="right"/>
            </w:pPr>
            <w:r>
              <w:t>(10,717)</w:t>
            </w:r>
          </w:p>
        </w:tc>
        <w:tc>
          <w:tcPr>
            <w:tcW w:w="2042" w:type="dxa"/>
          </w:tcPr>
          <w:p w14:paraId="5B24801C" w14:textId="77777777" w:rsidR="00D83289" w:rsidRDefault="00D83289" w:rsidP="00D83289">
            <w:pPr>
              <w:pStyle w:val="TableCopy"/>
              <w:jc w:val="right"/>
            </w:pPr>
            <w:r>
              <w:t>(148,636)</w:t>
            </w:r>
          </w:p>
        </w:tc>
      </w:tr>
      <w:tr w:rsidR="00D83289" w14:paraId="44EB7AC5" w14:textId="77777777" w:rsidTr="00D83289">
        <w:trPr>
          <w:trHeight w:val="113"/>
        </w:trPr>
        <w:tc>
          <w:tcPr>
            <w:tcW w:w="4531" w:type="dxa"/>
          </w:tcPr>
          <w:p w14:paraId="6D13909C" w14:textId="77777777" w:rsidR="00D83289" w:rsidRDefault="00D83289" w:rsidP="00D83289">
            <w:pPr>
              <w:pStyle w:val="TableCopy"/>
            </w:pPr>
            <w:r>
              <w:t>Borrowings</w:t>
            </w:r>
          </w:p>
        </w:tc>
        <w:tc>
          <w:tcPr>
            <w:tcW w:w="2041" w:type="dxa"/>
          </w:tcPr>
          <w:p w14:paraId="229FB200" w14:textId="77777777" w:rsidR="00D83289" w:rsidRDefault="00D83289" w:rsidP="00D83289">
            <w:pPr>
              <w:pStyle w:val="TableCopy"/>
              <w:jc w:val="right"/>
            </w:pPr>
            <w:r>
              <w:t>(24,754)</w:t>
            </w:r>
          </w:p>
        </w:tc>
        <w:tc>
          <w:tcPr>
            <w:tcW w:w="2041" w:type="dxa"/>
          </w:tcPr>
          <w:p w14:paraId="637C7141" w14:textId="77777777" w:rsidR="00D83289" w:rsidRDefault="00D83289" w:rsidP="00D83289">
            <w:pPr>
              <w:pStyle w:val="TableCopy"/>
              <w:jc w:val="right"/>
            </w:pPr>
            <w:r>
              <w:t>(6)</w:t>
            </w:r>
          </w:p>
        </w:tc>
        <w:tc>
          <w:tcPr>
            <w:tcW w:w="2041" w:type="dxa"/>
          </w:tcPr>
          <w:p w14:paraId="3811C0DA" w14:textId="65F48E4C" w:rsidR="00D83289" w:rsidRDefault="00D83289" w:rsidP="00D83289">
            <w:pPr>
              <w:pStyle w:val="TableCopy"/>
              <w:jc w:val="right"/>
            </w:pPr>
            <w:r>
              <w:t>–</w:t>
            </w:r>
          </w:p>
        </w:tc>
        <w:tc>
          <w:tcPr>
            <w:tcW w:w="2041" w:type="dxa"/>
          </w:tcPr>
          <w:p w14:paraId="1C2036CD" w14:textId="1C90BDE0" w:rsidR="00D83289" w:rsidRDefault="00D83289" w:rsidP="00D83289">
            <w:pPr>
              <w:pStyle w:val="TableCopy"/>
              <w:jc w:val="right"/>
            </w:pPr>
            <w:r>
              <w:t>–</w:t>
            </w:r>
          </w:p>
        </w:tc>
        <w:tc>
          <w:tcPr>
            <w:tcW w:w="2042" w:type="dxa"/>
          </w:tcPr>
          <w:p w14:paraId="1AE31484" w14:textId="77777777" w:rsidR="00D83289" w:rsidRDefault="00D83289" w:rsidP="00D83289">
            <w:pPr>
              <w:pStyle w:val="TableCopy"/>
              <w:jc w:val="right"/>
            </w:pPr>
            <w:r>
              <w:t>(24,760)</w:t>
            </w:r>
          </w:p>
        </w:tc>
      </w:tr>
      <w:tr w:rsidR="00D83289" w14:paraId="589CFD08" w14:textId="77777777" w:rsidTr="00D83289">
        <w:trPr>
          <w:trHeight w:val="113"/>
        </w:trPr>
        <w:tc>
          <w:tcPr>
            <w:tcW w:w="4531" w:type="dxa"/>
          </w:tcPr>
          <w:p w14:paraId="18D1B2FB" w14:textId="3C907C9D" w:rsidR="00D83289" w:rsidRDefault="00D83289" w:rsidP="00D83289">
            <w:pPr>
              <w:pStyle w:val="TableCopy"/>
            </w:pPr>
            <w:r>
              <w:t>Employee provisions</w:t>
            </w:r>
          </w:p>
        </w:tc>
        <w:tc>
          <w:tcPr>
            <w:tcW w:w="2041" w:type="dxa"/>
          </w:tcPr>
          <w:p w14:paraId="3FCC11BD" w14:textId="77777777" w:rsidR="00D83289" w:rsidRDefault="00D83289" w:rsidP="00D83289">
            <w:pPr>
              <w:pStyle w:val="TableCopy"/>
              <w:jc w:val="right"/>
            </w:pPr>
            <w:r>
              <w:t>(14,131)</w:t>
            </w:r>
          </w:p>
        </w:tc>
        <w:tc>
          <w:tcPr>
            <w:tcW w:w="2041" w:type="dxa"/>
          </w:tcPr>
          <w:p w14:paraId="12D14F3D" w14:textId="77777777" w:rsidR="00D83289" w:rsidRDefault="00D83289" w:rsidP="00D83289">
            <w:pPr>
              <w:pStyle w:val="TableCopy"/>
              <w:jc w:val="right"/>
            </w:pPr>
            <w:r>
              <w:t>(3,982)</w:t>
            </w:r>
          </w:p>
        </w:tc>
        <w:tc>
          <w:tcPr>
            <w:tcW w:w="2041" w:type="dxa"/>
          </w:tcPr>
          <w:p w14:paraId="02D986E5" w14:textId="77777777" w:rsidR="00D83289" w:rsidRDefault="00D83289" w:rsidP="00D83289">
            <w:pPr>
              <w:pStyle w:val="TableCopy"/>
              <w:jc w:val="right"/>
            </w:pPr>
            <w:r>
              <w:t>(201)</w:t>
            </w:r>
          </w:p>
        </w:tc>
        <w:tc>
          <w:tcPr>
            <w:tcW w:w="2041" w:type="dxa"/>
          </w:tcPr>
          <w:p w14:paraId="6E18A75A" w14:textId="29076A6A" w:rsidR="00D83289" w:rsidRDefault="00D83289" w:rsidP="00D83289">
            <w:pPr>
              <w:pStyle w:val="TableCopy"/>
              <w:jc w:val="right"/>
            </w:pPr>
            <w:r>
              <w:t>–</w:t>
            </w:r>
          </w:p>
        </w:tc>
        <w:tc>
          <w:tcPr>
            <w:tcW w:w="2042" w:type="dxa"/>
          </w:tcPr>
          <w:p w14:paraId="42D90F53" w14:textId="77777777" w:rsidR="00D83289" w:rsidRDefault="00D83289" w:rsidP="00D83289">
            <w:pPr>
              <w:pStyle w:val="TableCopy"/>
              <w:jc w:val="right"/>
            </w:pPr>
            <w:r>
              <w:t>(18,314)</w:t>
            </w:r>
          </w:p>
        </w:tc>
      </w:tr>
      <w:tr w:rsidR="00D83289" w:rsidRPr="00D83289" w14:paraId="6684CA3F" w14:textId="77777777" w:rsidTr="00D83289">
        <w:trPr>
          <w:trHeight w:val="113"/>
        </w:trPr>
        <w:tc>
          <w:tcPr>
            <w:tcW w:w="4531" w:type="dxa"/>
          </w:tcPr>
          <w:p w14:paraId="20286092" w14:textId="020A4C90" w:rsidR="00D83289" w:rsidRPr="00D83289" w:rsidRDefault="00D83289" w:rsidP="00D83289">
            <w:pPr>
              <w:pStyle w:val="TableCopy"/>
              <w:rPr>
                <w:b/>
                <w:bCs/>
              </w:rPr>
            </w:pPr>
            <w:r w:rsidRPr="00D83289">
              <w:rPr>
                <w:b/>
                <w:bCs/>
              </w:rPr>
              <w:t>Net assets recognised/(transferred)</w:t>
            </w:r>
          </w:p>
        </w:tc>
        <w:tc>
          <w:tcPr>
            <w:tcW w:w="2041" w:type="dxa"/>
          </w:tcPr>
          <w:p w14:paraId="480D964F" w14:textId="1C8A3A74" w:rsidR="00D83289" w:rsidRPr="00D83289" w:rsidRDefault="00D83289" w:rsidP="00D83289">
            <w:pPr>
              <w:pStyle w:val="TableCopy"/>
              <w:jc w:val="right"/>
              <w:rPr>
                <w:b/>
                <w:bCs/>
              </w:rPr>
            </w:pPr>
            <w:r w:rsidRPr="00D83289">
              <w:rPr>
                <w:b/>
                <w:bCs/>
              </w:rPr>
              <w:t>208,405</w:t>
            </w:r>
          </w:p>
        </w:tc>
        <w:tc>
          <w:tcPr>
            <w:tcW w:w="2041" w:type="dxa"/>
          </w:tcPr>
          <w:p w14:paraId="4C4C234C" w14:textId="7DF134BA" w:rsidR="00D83289" w:rsidRPr="00D83289" w:rsidRDefault="00D83289" w:rsidP="00D83289">
            <w:pPr>
              <w:pStyle w:val="TableCopy"/>
              <w:jc w:val="right"/>
              <w:rPr>
                <w:b/>
                <w:bCs/>
              </w:rPr>
            </w:pPr>
            <w:r w:rsidRPr="00D83289">
              <w:rPr>
                <w:b/>
                <w:bCs/>
              </w:rPr>
              <w:t>29,170</w:t>
            </w:r>
          </w:p>
        </w:tc>
        <w:tc>
          <w:tcPr>
            <w:tcW w:w="2041" w:type="dxa"/>
          </w:tcPr>
          <w:p w14:paraId="1FF30935" w14:textId="4970B0DF" w:rsidR="00D83289" w:rsidRPr="00D83289" w:rsidRDefault="00D83289" w:rsidP="00D83289">
            <w:pPr>
              <w:pStyle w:val="TableCopy"/>
              <w:jc w:val="right"/>
              <w:rPr>
                <w:b/>
                <w:bCs/>
              </w:rPr>
            </w:pPr>
            <w:r w:rsidRPr="00D83289">
              <w:rPr>
                <w:b/>
                <w:bCs/>
              </w:rPr>
              <w:t>–</w:t>
            </w:r>
          </w:p>
        </w:tc>
        <w:tc>
          <w:tcPr>
            <w:tcW w:w="2041" w:type="dxa"/>
          </w:tcPr>
          <w:p w14:paraId="49B4EDA0" w14:textId="033E250B" w:rsidR="00D83289" w:rsidRPr="00D83289" w:rsidRDefault="00D83289" w:rsidP="00D83289">
            <w:pPr>
              <w:pStyle w:val="TableCopy"/>
              <w:jc w:val="right"/>
              <w:rPr>
                <w:b/>
                <w:bCs/>
              </w:rPr>
            </w:pPr>
            <w:r w:rsidRPr="00D83289">
              <w:rPr>
                <w:b/>
                <w:bCs/>
              </w:rPr>
              <w:t>29,772</w:t>
            </w:r>
          </w:p>
        </w:tc>
        <w:tc>
          <w:tcPr>
            <w:tcW w:w="2042" w:type="dxa"/>
          </w:tcPr>
          <w:p w14:paraId="3D0CF5E2" w14:textId="021FDC29" w:rsidR="00D83289" w:rsidRPr="00D83289" w:rsidRDefault="00D83289" w:rsidP="00D83289">
            <w:pPr>
              <w:pStyle w:val="TableCopy"/>
              <w:jc w:val="right"/>
              <w:rPr>
                <w:b/>
                <w:bCs/>
              </w:rPr>
            </w:pPr>
            <w:r w:rsidRPr="00D83289">
              <w:rPr>
                <w:b/>
                <w:bCs/>
              </w:rPr>
              <w:t>267,346</w:t>
            </w:r>
          </w:p>
        </w:tc>
      </w:tr>
    </w:tbl>
    <w:p w14:paraId="79E815EB" w14:textId="77777777" w:rsidR="00D83289" w:rsidRDefault="00D83289" w:rsidP="00D83289"/>
    <w:p w14:paraId="5EA06FB0" w14:textId="1FD24131" w:rsidR="00D83289" w:rsidRPr="00681449" w:rsidRDefault="00D83289" w:rsidP="00D83289">
      <w:pPr>
        <w:pStyle w:val="Normalbeforebullets"/>
        <w:rPr>
          <w:b/>
          <w:bCs/>
        </w:rPr>
      </w:pPr>
      <w:r w:rsidRPr="00681449">
        <w:rPr>
          <w:b/>
          <w:bCs/>
        </w:rPr>
        <w:lastRenderedPageBreak/>
        <w:t>Net assets recognised</w:t>
      </w:r>
      <w:r>
        <w:rPr>
          <w:b/>
          <w:bCs/>
        </w:rPr>
        <w:t xml:space="preserve"> (continued)</w:t>
      </w:r>
    </w:p>
    <w:tbl>
      <w:tblPr>
        <w:tblStyle w:val="TableGrid"/>
        <w:tblW w:w="14845" w:type="dxa"/>
        <w:tblLayout w:type="fixed"/>
        <w:tblLook w:val="0020" w:firstRow="1" w:lastRow="0" w:firstColumn="0" w:lastColumn="0" w:noHBand="0" w:noVBand="0"/>
      </w:tblPr>
      <w:tblGrid>
        <w:gridCol w:w="3467"/>
        <w:gridCol w:w="1211"/>
        <w:gridCol w:w="1139"/>
        <w:gridCol w:w="1098"/>
        <w:gridCol w:w="1113"/>
        <w:gridCol w:w="1114"/>
        <w:gridCol w:w="1143"/>
        <w:gridCol w:w="1129"/>
        <w:gridCol w:w="1116"/>
        <w:gridCol w:w="1155"/>
        <w:gridCol w:w="1160"/>
      </w:tblGrid>
      <w:tr w:rsidR="00D83289" w:rsidRPr="00681449" w14:paraId="42F9118A" w14:textId="77777777" w:rsidTr="005811E7">
        <w:trPr>
          <w:trHeight w:val="113"/>
        </w:trPr>
        <w:tc>
          <w:tcPr>
            <w:tcW w:w="3467" w:type="dxa"/>
          </w:tcPr>
          <w:p w14:paraId="53C56D7F" w14:textId="77777777" w:rsidR="00D83289" w:rsidRPr="00681449" w:rsidRDefault="00D83289" w:rsidP="00DD11EB">
            <w:pPr>
              <w:pStyle w:val="TableColumnHeading"/>
              <w:rPr>
                <w:rFonts w:asciiTheme="minorHAnsi" w:hAnsiTheme="minorHAnsi" w:cstheme="minorHAnsi"/>
                <w:sz w:val="20"/>
                <w:szCs w:val="28"/>
              </w:rPr>
            </w:pPr>
            <w:bookmarkStart w:id="61" w:name="ColumnTitles_36"/>
            <w:bookmarkEnd w:id="61"/>
          </w:p>
        </w:tc>
        <w:tc>
          <w:tcPr>
            <w:tcW w:w="1211" w:type="dxa"/>
          </w:tcPr>
          <w:p w14:paraId="7834310E" w14:textId="46FCA5A4" w:rsidR="00D83289" w:rsidRPr="00681449" w:rsidRDefault="005811E7" w:rsidP="005811E7">
            <w:pPr>
              <w:pStyle w:val="TableColumnHeading"/>
              <w:jc w:val="right"/>
              <w:rPr>
                <w:rFonts w:asciiTheme="minorHAnsi" w:hAnsiTheme="minorHAnsi" w:cstheme="minorHAnsi"/>
                <w:sz w:val="20"/>
                <w:szCs w:val="28"/>
              </w:rPr>
            </w:pPr>
            <w:r w:rsidRPr="00681449">
              <w:rPr>
                <w:rFonts w:asciiTheme="minorHAnsi" w:hAnsiTheme="minorHAnsi" w:cstheme="minorHAnsi"/>
                <w:sz w:val="20"/>
                <w:szCs w:val="28"/>
              </w:rPr>
              <w:t>Transfer out</w:t>
            </w:r>
            <w:r>
              <w:rPr>
                <w:rFonts w:asciiTheme="minorHAnsi" w:hAnsiTheme="minorHAnsi" w:cstheme="minorHAnsi"/>
                <w:sz w:val="20"/>
                <w:szCs w:val="28"/>
              </w:rPr>
              <w:t xml:space="preserve"> </w:t>
            </w:r>
            <w:r w:rsidR="00D83289" w:rsidRPr="00681449">
              <w:rPr>
                <w:rFonts w:asciiTheme="minorHAnsi" w:hAnsiTheme="minorHAnsi" w:cstheme="minorHAnsi"/>
                <w:sz w:val="20"/>
                <w:szCs w:val="28"/>
              </w:rPr>
              <w:t>DEECA</w:t>
            </w:r>
            <w:r>
              <w:rPr>
                <w:rFonts w:asciiTheme="minorHAnsi" w:hAnsiTheme="minorHAnsi" w:cstheme="minorHAnsi"/>
                <w:sz w:val="20"/>
                <w:szCs w:val="28"/>
              </w:rPr>
              <w:t xml:space="preserve"> </w:t>
            </w:r>
            <w:r w:rsidRPr="00681449">
              <w:rPr>
                <w:rFonts w:asciiTheme="minorHAnsi" w:hAnsiTheme="minorHAnsi" w:cstheme="minorHAnsi"/>
                <w:sz w:val="20"/>
                <w:szCs w:val="28"/>
              </w:rPr>
              <w:t>($ thousand)</w:t>
            </w:r>
          </w:p>
        </w:tc>
        <w:tc>
          <w:tcPr>
            <w:tcW w:w="1139" w:type="dxa"/>
          </w:tcPr>
          <w:p w14:paraId="054AED1C" w14:textId="372A5B24" w:rsidR="00D83289" w:rsidRPr="00681449" w:rsidRDefault="005811E7" w:rsidP="005811E7">
            <w:pPr>
              <w:pStyle w:val="TableColumnHeading"/>
              <w:jc w:val="right"/>
              <w:rPr>
                <w:rFonts w:asciiTheme="minorHAnsi" w:hAnsiTheme="minorHAnsi" w:cstheme="minorHAnsi"/>
                <w:sz w:val="20"/>
                <w:szCs w:val="28"/>
              </w:rPr>
            </w:pPr>
            <w:r w:rsidRPr="00681449">
              <w:rPr>
                <w:rFonts w:asciiTheme="minorHAnsi" w:hAnsiTheme="minorHAnsi" w:cstheme="minorHAnsi"/>
                <w:sz w:val="20"/>
                <w:szCs w:val="28"/>
              </w:rPr>
              <w:t>Transfer out</w:t>
            </w:r>
            <w:r>
              <w:rPr>
                <w:rFonts w:asciiTheme="minorHAnsi" w:hAnsiTheme="minorHAnsi" w:cstheme="minorHAnsi"/>
                <w:sz w:val="20"/>
                <w:szCs w:val="28"/>
              </w:rPr>
              <w:t xml:space="preserve"> </w:t>
            </w:r>
            <w:r w:rsidR="00D83289" w:rsidRPr="00681449">
              <w:rPr>
                <w:rFonts w:asciiTheme="minorHAnsi" w:hAnsiTheme="minorHAnsi" w:cstheme="minorHAnsi"/>
                <w:sz w:val="20"/>
                <w:szCs w:val="28"/>
              </w:rPr>
              <w:t>DJCS</w:t>
            </w:r>
            <w:r>
              <w:rPr>
                <w:rFonts w:asciiTheme="minorHAnsi" w:hAnsiTheme="minorHAnsi" w:cstheme="minorHAnsi"/>
                <w:sz w:val="20"/>
                <w:szCs w:val="28"/>
              </w:rPr>
              <w:t xml:space="preserve"> </w:t>
            </w:r>
            <w:r w:rsidRPr="00681449">
              <w:rPr>
                <w:rFonts w:asciiTheme="minorHAnsi" w:hAnsiTheme="minorHAnsi" w:cstheme="minorHAnsi"/>
                <w:sz w:val="20"/>
                <w:szCs w:val="28"/>
              </w:rPr>
              <w:t>($ thousand)</w:t>
            </w:r>
          </w:p>
        </w:tc>
        <w:tc>
          <w:tcPr>
            <w:tcW w:w="1098" w:type="dxa"/>
          </w:tcPr>
          <w:p w14:paraId="26770AF0" w14:textId="158EA459" w:rsidR="00D83289" w:rsidRPr="00681449" w:rsidRDefault="005811E7" w:rsidP="005811E7">
            <w:pPr>
              <w:pStyle w:val="TableColumnHeading"/>
              <w:jc w:val="right"/>
              <w:rPr>
                <w:rFonts w:asciiTheme="minorHAnsi" w:hAnsiTheme="minorHAnsi" w:cstheme="minorHAnsi"/>
                <w:sz w:val="20"/>
                <w:szCs w:val="28"/>
              </w:rPr>
            </w:pPr>
            <w:r w:rsidRPr="00681449">
              <w:rPr>
                <w:rFonts w:asciiTheme="minorHAnsi" w:hAnsiTheme="minorHAnsi" w:cstheme="minorHAnsi"/>
                <w:sz w:val="20"/>
                <w:szCs w:val="28"/>
              </w:rPr>
              <w:t>Transfer out</w:t>
            </w:r>
            <w:r>
              <w:rPr>
                <w:rFonts w:asciiTheme="minorHAnsi" w:hAnsiTheme="minorHAnsi" w:cstheme="minorHAnsi"/>
                <w:sz w:val="20"/>
                <w:szCs w:val="28"/>
              </w:rPr>
              <w:t xml:space="preserve"> </w:t>
            </w:r>
            <w:r w:rsidR="00D83289" w:rsidRPr="00681449">
              <w:rPr>
                <w:rFonts w:asciiTheme="minorHAnsi" w:hAnsiTheme="minorHAnsi" w:cstheme="minorHAnsi"/>
                <w:sz w:val="20"/>
                <w:szCs w:val="28"/>
              </w:rPr>
              <w:t>DTP</w:t>
            </w:r>
            <w:r>
              <w:rPr>
                <w:rFonts w:asciiTheme="minorHAnsi" w:hAnsiTheme="minorHAnsi" w:cstheme="minorHAnsi"/>
                <w:sz w:val="20"/>
                <w:szCs w:val="28"/>
              </w:rPr>
              <w:t xml:space="preserve"> </w:t>
            </w:r>
            <w:r w:rsidRPr="00681449">
              <w:rPr>
                <w:rFonts w:asciiTheme="minorHAnsi" w:hAnsiTheme="minorHAnsi" w:cstheme="minorHAnsi"/>
                <w:sz w:val="20"/>
                <w:szCs w:val="28"/>
              </w:rPr>
              <w:t>($ thousand)</w:t>
            </w:r>
          </w:p>
        </w:tc>
        <w:tc>
          <w:tcPr>
            <w:tcW w:w="1113" w:type="dxa"/>
          </w:tcPr>
          <w:p w14:paraId="3FEB62C4" w14:textId="1E7C7F18" w:rsidR="00D83289" w:rsidRPr="00681449" w:rsidRDefault="005811E7" w:rsidP="005811E7">
            <w:pPr>
              <w:pStyle w:val="TableColumnHeading"/>
              <w:jc w:val="right"/>
              <w:rPr>
                <w:rFonts w:asciiTheme="minorHAnsi" w:hAnsiTheme="minorHAnsi" w:cstheme="minorHAnsi"/>
                <w:sz w:val="20"/>
                <w:szCs w:val="28"/>
              </w:rPr>
            </w:pPr>
            <w:r w:rsidRPr="00681449">
              <w:rPr>
                <w:rFonts w:asciiTheme="minorHAnsi" w:hAnsiTheme="minorHAnsi" w:cstheme="minorHAnsi"/>
                <w:sz w:val="20"/>
                <w:szCs w:val="28"/>
              </w:rPr>
              <w:t>Transfer out</w:t>
            </w:r>
            <w:r>
              <w:rPr>
                <w:rFonts w:asciiTheme="minorHAnsi" w:hAnsiTheme="minorHAnsi" w:cstheme="minorHAnsi"/>
                <w:sz w:val="20"/>
                <w:szCs w:val="28"/>
              </w:rPr>
              <w:t xml:space="preserve"> </w:t>
            </w:r>
            <w:r w:rsidR="00D83289" w:rsidRPr="00681449">
              <w:rPr>
                <w:rFonts w:asciiTheme="minorHAnsi" w:hAnsiTheme="minorHAnsi" w:cstheme="minorHAnsi"/>
                <w:sz w:val="20"/>
                <w:szCs w:val="28"/>
              </w:rPr>
              <w:t>DPC</w:t>
            </w:r>
            <w:r>
              <w:rPr>
                <w:rFonts w:asciiTheme="minorHAnsi" w:hAnsiTheme="minorHAnsi" w:cstheme="minorHAnsi"/>
                <w:sz w:val="20"/>
                <w:szCs w:val="28"/>
              </w:rPr>
              <w:t xml:space="preserve"> </w:t>
            </w:r>
            <w:r w:rsidRPr="00681449">
              <w:rPr>
                <w:rFonts w:asciiTheme="minorHAnsi" w:hAnsiTheme="minorHAnsi" w:cstheme="minorHAnsi"/>
                <w:sz w:val="20"/>
                <w:szCs w:val="28"/>
              </w:rPr>
              <w:t>($ thousand)</w:t>
            </w:r>
          </w:p>
        </w:tc>
        <w:tc>
          <w:tcPr>
            <w:tcW w:w="1114" w:type="dxa"/>
          </w:tcPr>
          <w:p w14:paraId="4438E147" w14:textId="0CEE1937" w:rsidR="00D83289" w:rsidRPr="00681449" w:rsidRDefault="005811E7" w:rsidP="005811E7">
            <w:pPr>
              <w:pStyle w:val="TableColumnHeading"/>
              <w:jc w:val="right"/>
              <w:rPr>
                <w:rFonts w:asciiTheme="minorHAnsi" w:hAnsiTheme="minorHAnsi" w:cstheme="minorHAnsi"/>
                <w:sz w:val="20"/>
                <w:szCs w:val="28"/>
              </w:rPr>
            </w:pPr>
            <w:r w:rsidRPr="00681449">
              <w:rPr>
                <w:rFonts w:asciiTheme="minorHAnsi" w:hAnsiTheme="minorHAnsi" w:cstheme="minorHAnsi"/>
                <w:sz w:val="20"/>
                <w:szCs w:val="28"/>
              </w:rPr>
              <w:t>Transfer out</w:t>
            </w:r>
            <w:r>
              <w:rPr>
                <w:rFonts w:asciiTheme="minorHAnsi" w:hAnsiTheme="minorHAnsi" w:cstheme="minorHAnsi"/>
                <w:sz w:val="20"/>
                <w:szCs w:val="28"/>
              </w:rPr>
              <w:t xml:space="preserve"> </w:t>
            </w:r>
            <w:r w:rsidR="00D83289" w:rsidRPr="00681449">
              <w:rPr>
                <w:rFonts w:asciiTheme="minorHAnsi" w:hAnsiTheme="minorHAnsi" w:cstheme="minorHAnsi"/>
                <w:sz w:val="20"/>
                <w:szCs w:val="28"/>
              </w:rPr>
              <w:t>DH</w:t>
            </w:r>
            <w:r>
              <w:rPr>
                <w:rFonts w:asciiTheme="minorHAnsi" w:hAnsiTheme="minorHAnsi" w:cstheme="minorHAnsi"/>
                <w:sz w:val="20"/>
                <w:szCs w:val="28"/>
              </w:rPr>
              <w:t xml:space="preserve"> </w:t>
            </w:r>
            <w:r w:rsidRPr="00681449">
              <w:rPr>
                <w:rFonts w:asciiTheme="minorHAnsi" w:hAnsiTheme="minorHAnsi" w:cstheme="minorHAnsi"/>
                <w:sz w:val="20"/>
                <w:szCs w:val="28"/>
              </w:rPr>
              <w:t>($ thousand)</w:t>
            </w:r>
          </w:p>
        </w:tc>
        <w:tc>
          <w:tcPr>
            <w:tcW w:w="1143" w:type="dxa"/>
          </w:tcPr>
          <w:p w14:paraId="55274618" w14:textId="31A9345F" w:rsidR="00D83289" w:rsidRPr="00681449" w:rsidRDefault="005811E7" w:rsidP="005811E7">
            <w:pPr>
              <w:pStyle w:val="TableColumnHeading"/>
              <w:jc w:val="right"/>
              <w:rPr>
                <w:rFonts w:asciiTheme="minorHAnsi" w:hAnsiTheme="minorHAnsi" w:cstheme="minorHAnsi"/>
                <w:sz w:val="20"/>
                <w:szCs w:val="28"/>
              </w:rPr>
            </w:pPr>
            <w:r w:rsidRPr="00681449">
              <w:rPr>
                <w:rFonts w:asciiTheme="minorHAnsi" w:hAnsiTheme="minorHAnsi" w:cstheme="minorHAnsi"/>
                <w:sz w:val="20"/>
                <w:szCs w:val="28"/>
              </w:rPr>
              <w:t>Transfer out</w:t>
            </w:r>
            <w:r>
              <w:rPr>
                <w:rFonts w:asciiTheme="minorHAnsi" w:hAnsiTheme="minorHAnsi" w:cstheme="minorHAnsi"/>
                <w:sz w:val="20"/>
                <w:szCs w:val="28"/>
              </w:rPr>
              <w:t xml:space="preserve"> </w:t>
            </w:r>
            <w:r w:rsidR="00D83289" w:rsidRPr="00681449">
              <w:rPr>
                <w:rFonts w:asciiTheme="minorHAnsi" w:hAnsiTheme="minorHAnsi" w:cstheme="minorHAnsi"/>
                <w:sz w:val="20"/>
                <w:szCs w:val="28"/>
              </w:rPr>
              <w:t>DGS</w:t>
            </w:r>
            <w:r>
              <w:rPr>
                <w:rFonts w:asciiTheme="minorHAnsi" w:hAnsiTheme="minorHAnsi" w:cstheme="minorHAnsi"/>
                <w:sz w:val="20"/>
                <w:szCs w:val="28"/>
              </w:rPr>
              <w:t xml:space="preserve"> </w:t>
            </w:r>
            <w:r w:rsidRPr="00681449">
              <w:rPr>
                <w:rFonts w:asciiTheme="minorHAnsi" w:hAnsiTheme="minorHAnsi" w:cstheme="minorHAnsi"/>
                <w:sz w:val="20"/>
                <w:szCs w:val="28"/>
              </w:rPr>
              <w:t>($ thousand)</w:t>
            </w:r>
          </w:p>
        </w:tc>
        <w:tc>
          <w:tcPr>
            <w:tcW w:w="1129" w:type="dxa"/>
          </w:tcPr>
          <w:p w14:paraId="5EB8F6BC" w14:textId="6BAED7CC" w:rsidR="00D83289" w:rsidRPr="00681449" w:rsidRDefault="005811E7" w:rsidP="005811E7">
            <w:pPr>
              <w:pStyle w:val="TableColumnHeading"/>
              <w:jc w:val="right"/>
              <w:rPr>
                <w:rFonts w:asciiTheme="minorHAnsi" w:hAnsiTheme="minorHAnsi" w:cstheme="minorHAnsi"/>
                <w:sz w:val="20"/>
                <w:szCs w:val="28"/>
              </w:rPr>
            </w:pPr>
            <w:r w:rsidRPr="00681449">
              <w:rPr>
                <w:rFonts w:asciiTheme="minorHAnsi" w:hAnsiTheme="minorHAnsi" w:cstheme="minorHAnsi"/>
                <w:sz w:val="20"/>
                <w:szCs w:val="28"/>
              </w:rPr>
              <w:t>Transfer out</w:t>
            </w:r>
            <w:r>
              <w:rPr>
                <w:rFonts w:asciiTheme="minorHAnsi" w:hAnsiTheme="minorHAnsi" w:cstheme="minorHAnsi"/>
                <w:sz w:val="20"/>
                <w:szCs w:val="28"/>
              </w:rPr>
              <w:t xml:space="preserve"> </w:t>
            </w:r>
            <w:r w:rsidR="00D83289" w:rsidRPr="00681449">
              <w:rPr>
                <w:rFonts w:asciiTheme="minorHAnsi" w:hAnsiTheme="minorHAnsi" w:cstheme="minorHAnsi"/>
                <w:sz w:val="20"/>
                <w:szCs w:val="28"/>
              </w:rPr>
              <w:t>Vic2026</w:t>
            </w:r>
            <w:r>
              <w:rPr>
                <w:rFonts w:asciiTheme="minorHAnsi" w:hAnsiTheme="minorHAnsi" w:cstheme="minorHAnsi"/>
                <w:sz w:val="20"/>
                <w:szCs w:val="28"/>
              </w:rPr>
              <w:t xml:space="preserve"> </w:t>
            </w:r>
            <w:r w:rsidRPr="00681449">
              <w:rPr>
                <w:rFonts w:asciiTheme="minorHAnsi" w:hAnsiTheme="minorHAnsi" w:cstheme="minorHAnsi"/>
                <w:sz w:val="20"/>
                <w:szCs w:val="28"/>
              </w:rPr>
              <w:t>($ thousand)</w:t>
            </w:r>
          </w:p>
        </w:tc>
        <w:tc>
          <w:tcPr>
            <w:tcW w:w="1116" w:type="dxa"/>
          </w:tcPr>
          <w:p w14:paraId="78DE7956" w14:textId="51467FE9" w:rsidR="00D83289" w:rsidRPr="00681449" w:rsidRDefault="005811E7" w:rsidP="005811E7">
            <w:pPr>
              <w:pStyle w:val="TableColumnHeading"/>
              <w:jc w:val="right"/>
              <w:rPr>
                <w:rFonts w:asciiTheme="minorHAnsi" w:hAnsiTheme="minorHAnsi" w:cstheme="minorHAnsi"/>
                <w:sz w:val="20"/>
                <w:szCs w:val="28"/>
              </w:rPr>
            </w:pPr>
            <w:r w:rsidRPr="00681449">
              <w:rPr>
                <w:rFonts w:asciiTheme="minorHAnsi" w:hAnsiTheme="minorHAnsi" w:cstheme="minorHAnsi"/>
                <w:sz w:val="20"/>
                <w:szCs w:val="28"/>
              </w:rPr>
              <w:t>Transfer out</w:t>
            </w:r>
            <w:r>
              <w:rPr>
                <w:rFonts w:asciiTheme="minorHAnsi" w:hAnsiTheme="minorHAnsi" w:cstheme="minorHAnsi"/>
                <w:sz w:val="20"/>
                <w:szCs w:val="28"/>
              </w:rPr>
              <w:t xml:space="preserve"> </w:t>
            </w:r>
            <w:proofErr w:type="spellStart"/>
            <w:r w:rsidR="00D83289" w:rsidRPr="00681449">
              <w:rPr>
                <w:rFonts w:asciiTheme="minorHAnsi" w:hAnsiTheme="minorHAnsi" w:cstheme="minorHAnsi"/>
                <w:sz w:val="20"/>
                <w:szCs w:val="28"/>
              </w:rPr>
              <w:t>MAPCo</w:t>
            </w:r>
            <w:proofErr w:type="spellEnd"/>
            <w:r>
              <w:rPr>
                <w:rFonts w:asciiTheme="minorHAnsi" w:hAnsiTheme="minorHAnsi" w:cstheme="minorHAnsi"/>
                <w:sz w:val="20"/>
                <w:szCs w:val="28"/>
              </w:rPr>
              <w:t xml:space="preserve"> </w:t>
            </w:r>
            <w:r w:rsidRPr="00681449">
              <w:rPr>
                <w:rFonts w:asciiTheme="minorHAnsi" w:hAnsiTheme="minorHAnsi" w:cstheme="minorHAnsi"/>
                <w:sz w:val="20"/>
                <w:szCs w:val="28"/>
              </w:rPr>
              <w:t>($ thousand)</w:t>
            </w:r>
          </w:p>
        </w:tc>
        <w:tc>
          <w:tcPr>
            <w:tcW w:w="1155" w:type="dxa"/>
          </w:tcPr>
          <w:p w14:paraId="09E1DFCB" w14:textId="70491A31" w:rsidR="00D83289" w:rsidRPr="00681449" w:rsidRDefault="005811E7" w:rsidP="005811E7">
            <w:pPr>
              <w:pStyle w:val="TableColumnHeading"/>
              <w:jc w:val="right"/>
              <w:rPr>
                <w:rFonts w:asciiTheme="minorHAnsi" w:hAnsiTheme="minorHAnsi" w:cstheme="minorHAnsi"/>
                <w:sz w:val="20"/>
                <w:szCs w:val="28"/>
              </w:rPr>
            </w:pPr>
            <w:r w:rsidRPr="00681449">
              <w:rPr>
                <w:rFonts w:asciiTheme="minorHAnsi" w:hAnsiTheme="minorHAnsi" w:cstheme="minorHAnsi"/>
                <w:sz w:val="20"/>
                <w:szCs w:val="28"/>
              </w:rPr>
              <w:t>Transfer out</w:t>
            </w:r>
            <w:r>
              <w:rPr>
                <w:rFonts w:asciiTheme="minorHAnsi" w:hAnsiTheme="minorHAnsi" w:cstheme="minorHAnsi"/>
                <w:sz w:val="20"/>
                <w:szCs w:val="28"/>
              </w:rPr>
              <w:t xml:space="preserve"> </w:t>
            </w:r>
            <w:r w:rsidR="00D83289" w:rsidRPr="00681449">
              <w:rPr>
                <w:rFonts w:asciiTheme="minorHAnsi" w:hAnsiTheme="minorHAnsi" w:cstheme="minorHAnsi"/>
                <w:sz w:val="20"/>
                <w:szCs w:val="28"/>
              </w:rPr>
              <w:t>Total</w:t>
            </w:r>
            <w:r>
              <w:rPr>
                <w:rFonts w:asciiTheme="minorHAnsi" w:hAnsiTheme="minorHAnsi" w:cstheme="minorHAnsi"/>
                <w:sz w:val="20"/>
                <w:szCs w:val="28"/>
              </w:rPr>
              <w:t xml:space="preserve"> </w:t>
            </w:r>
            <w:r w:rsidRPr="00681449">
              <w:rPr>
                <w:rFonts w:asciiTheme="minorHAnsi" w:hAnsiTheme="minorHAnsi" w:cstheme="minorHAnsi"/>
                <w:sz w:val="20"/>
                <w:szCs w:val="28"/>
              </w:rPr>
              <w:t>($ thousand)</w:t>
            </w:r>
          </w:p>
        </w:tc>
        <w:tc>
          <w:tcPr>
            <w:tcW w:w="1160" w:type="dxa"/>
          </w:tcPr>
          <w:p w14:paraId="3953127D" w14:textId="0FF9DE70" w:rsidR="00D83289" w:rsidRPr="00681449" w:rsidRDefault="005811E7" w:rsidP="005811E7">
            <w:pPr>
              <w:pStyle w:val="TableColumnHeading"/>
              <w:jc w:val="right"/>
              <w:rPr>
                <w:rFonts w:asciiTheme="minorHAnsi" w:hAnsiTheme="minorHAnsi" w:cstheme="minorHAnsi"/>
                <w:sz w:val="20"/>
                <w:szCs w:val="28"/>
              </w:rPr>
            </w:pPr>
            <w:r w:rsidRPr="00681449">
              <w:rPr>
                <w:rFonts w:asciiTheme="minorHAnsi" w:hAnsiTheme="minorHAnsi" w:cstheme="minorHAnsi"/>
                <w:sz w:val="20"/>
                <w:szCs w:val="28"/>
              </w:rPr>
              <w:t>Transfer out</w:t>
            </w:r>
            <w:r>
              <w:rPr>
                <w:rFonts w:asciiTheme="minorHAnsi" w:hAnsiTheme="minorHAnsi" w:cstheme="minorHAnsi"/>
                <w:sz w:val="20"/>
                <w:szCs w:val="28"/>
              </w:rPr>
              <w:t xml:space="preserve"> </w:t>
            </w:r>
            <w:r w:rsidR="00D83289" w:rsidRPr="00681449">
              <w:rPr>
                <w:rFonts w:asciiTheme="minorHAnsi" w:hAnsiTheme="minorHAnsi" w:cstheme="minorHAnsi"/>
                <w:sz w:val="20"/>
                <w:szCs w:val="28"/>
              </w:rPr>
              <w:t>Net Total</w:t>
            </w:r>
            <w:r>
              <w:rPr>
                <w:rFonts w:asciiTheme="minorHAnsi" w:hAnsiTheme="minorHAnsi" w:cstheme="minorHAnsi"/>
                <w:sz w:val="20"/>
                <w:szCs w:val="28"/>
              </w:rPr>
              <w:t xml:space="preserve"> </w:t>
            </w:r>
            <w:r w:rsidRPr="00681449">
              <w:rPr>
                <w:rFonts w:asciiTheme="minorHAnsi" w:hAnsiTheme="minorHAnsi" w:cstheme="minorHAnsi"/>
                <w:sz w:val="20"/>
                <w:szCs w:val="28"/>
              </w:rPr>
              <w:t>($ thousand)</w:t>
            </w:r>
          </w:p>
        </w:tc>
      </w:tr>
      <w:tr w:rsidR="00D83289" w:rsidRPr="00D83289" w14:paraId="39E8D955" w14:textId="77777777" w:rsidTr="005811E7">
        <w:trPr>
          <w:trHeight w:val="113"/>
        </w:trPr>
        <w:tc>
          <w:tcPr>
            <w:tcW w:w="3467" w:type="dxa"/>
          </w:tcPr>
          <w:p w14:paraId="6822A396" w14:textId="77777777" w:rsidR="00D83289" w:rsidRPr="00D83289" w:rsidRDefault="00D83289" w:rsidP="00DD11EB">
            <w:pPr>
              <w:pStyle w:val="TableHeading"/>
            </w:pPr>
            <w:r w:rsidRPr="00D83289">
              <w:t>Assets</w:t>
            </w:r>
          </w:p>
        </w:tc>
        <w:tc>
          <w:tcPr>
            <w:tcW w:w="1211" w:type="dxa"/>
          </w:tcPr>
          <w:p w14:paraId="70CFE0BA" w14:textId="77777777" w:rsidR="00D83289" w:rsidRPr="00D83289" w:rsidRDefault="00D83289" w:rsidP="005811E7">
            <w:pPr>
              <w:pStyle w:val="TableHeading"/>
              <w:jc w:val="right"/>
            </w:pPr>
          </w:p>
        </w:tc>
        <w:tc>
          <w:tcPr>
            <w:tcW w:w="1139" w:type="dxa"/>
          </w:tcPr>
          <w:p w14:paraId="71ED26AB" w14:textId="77777777" w:rsidR="00D83289" w:rsidRPr="00D83289" w:rsidRDefault="00D83289" w:rsidP="005811E7">
            <w:pPr>
              <w:pStyle w:val="TableHeading"/>
              <w:jc w:val="right"/>
            </w:pPr>
          </w:p>
        </w:tc>
        <w:tc>
          <w:tcPr>
            <w:tcW w:w="1098" w:type="dxa"/>
          </w:tcPr>
          <w:p w14:paraId="31F16BED" w14:textId="77777777" w:rsidR="00D83289" w:rsidRPr="00D83289" w:rsidRDefault="00D83289" w:rsidP="005811E7">
            <w:pPr>
              <w:pStyle w:val="TableHeading"/>
              <w:jc w:val="right"/>
            </w:pPr>
          </w:p>
        </w:tc>
        <w:tc>
          <w:tcPr>
            <w:tcW w:w="1113" w:type="dxa"/>
          </w:tcPr>
          <w:p w14:paraId="15C63C0A" w14:textId="77777777" w:rsidR="00D83289" w:rsidRPr="00D83289" w:rsidRDefault="00D83289" w:rsidP="005811E7">
            <w:pPr>
              <w:pStyle w:val="TableHeading"/>
              <w:jc w:val="right"/>
            </w:pPr>
          </w:p>
        </w:tc>
        <w:tc>
          <w:tcPr>
            <w:tcW w:w="1114" w:type="dxa"/>
          </w:tcPr>
          <w:p w14:paraId="70FA1669" w14:textId="77777777" w:rsidR="00D83289" w:rsidRPr="00D83289" w:rsidRDefault="00D83289" w:rsidP="005811E7">
            <w:pPr>
              <w:pStyle w:val="TableHeading"/>
              <w:jc w:val="right"/>
            </w:pPr>
          </w:p>
        </w:tc>
        <w:tc>
          <w:tcPr>
            <w:tcW w:w="1143" w:type="dxa"/>
          </w:tcPr>
          <w:p w14:paraId="453A9EA0" w14:textId="77777777" w:rsidR="00D83289" w:rsidRPr="00D83289" w:rsidRDefault="00D83289" w:rsidP="005811E7">
            <w:pPr>
              <w:pStyle w:val="TableHeading"/>
              <w:jc w:val="right"/>
            </w:pPr>
          </w:p>
        </w:tc>
        <w:tc>
          <w:tcPr>
            <w:tcW w:w="1129" w:type="dxa"/>
          </w:tcPr>
          <w:p w14:paraId="74E429ED" w14:textId="77777777" w:rsidR="00D83289" w:rsidRPr="00D83289" w:rsidRDefault="00D83289" w:rsidP="005811E7">
            <w:pPr>
              <w:pStyle w:val="TableHeading"/>
              <w:jc w:val="right"/>
            </w:pPr>
          </w:p>
        </w:tc>
        <w:tc>
          <w:tcPr>
            <w:tcW w:w="1116" w:type="dxa"/>
          </w:tcPr>
          <w:p w14:paraId="70296613" w14:textId="77777777" w:rsidR="00D83289" w:rsidRPr="00D83289" w:rsidRDefault="00D83289" w:rsidP="005811E7">
            <w:pPr>
              <w:pStyle w:val="TableHeading"/>
              <w:jc w:val="right"/>
            </w:pPr>
          </w:p>
        </w:tc>
        <w:tc>
          <w:tcPr>
            <w:tcW w:w="1155" w:type="dxa"/>
          </w:tcPr>
          <w:p w14:paraId="7F3DE634" w14:textId="77777777" w:rsidR="00D83289" w:rsidRPr="00D83289" w:rsidRDefault="00D83289" w:rsidP="005811E7">
            <w:pPr>
              <w:pStyle w:val="TableHeading"/>
              <w:jc w:val="right"/>
            </w:pPr>
          </w:p>
        </w:tc>
        <w:tc>
          <w:tcPr>
            <w:tcW w:w="1160" w:type="dxa"/>
          </w:tcPr>
          <w:p w14:paraId="04B54A1C" w14:textId="77777777" w:rsidR="00D83289" w:rsidRPr="00D83289" w:rsidRDefault="00D83289" w:rsidP="005811E7">
            <w:pPr>
              <w:pStyle w:val="TableHeading"/>
              <w:jc w:val="right"/>
            </w:pPr>
          </w:p>
        </w:tc>
      </w:tr>
      <w:tr w:rsidR="00D83289" w14:paraId="7040F4EF" w14:textId="77777777" w:rsidTr="005811E7">
        <w:trPr>
          <w:trHeight w:val="113"/>
        </w:trPr>
        <w:tc>
          <w:tcPr>
            <w:tcW w:w="3467" w:type="dxa"/>
          </w:tcPr>
          <w:p w14:paraId="34E65E75" w14:textId="77777777" w:rsidR="00D83289" w:rsidRDefault="00D83289" w:rsidP="00DD11EB">
            <w:pPr>
              <w:pStyle w:val="TableCopy"/>
            </w:pPr>
            <w:r>
              <w:t>Cash and cash equivalents</w:t>
            </w:r>
          </w:p>
        </w:tc>
        <w:tc>
          <w:tcPr>
            <w:tcW w:w="1211" w:type="dxa"/>
          </w:tcPr>
          <w:p w14:paraId="0B1831E1" w14:textId="1B4DB71D" w:rsidR="00D83289" w:rsidRDefault="00D83289" w:rsidP="005811E7">
            <w:pPr>
              <w:pStyle w:val="TableCopy"/>
              <w:jc w:val="right"/>
            </w:pPr>
            <w:r>
              <w:t>171,730</w:t>
            </w:r>
          </w:p>
        </w:tc>
        <w:tc>
          <w:tcPr>
            <w:tcW w:w="1139" w:type="dxa"/>
          </w:tcPr>
          <w:p w14:paraId="3A3E3C1C" w14:textId="5281F21B" w:rsidR="00D83289" w:rsidRDefault="00D83289" w:rsidP="005811E7">
            <w:pPr>
              <w:pStyle w:val="TableCopy"/>
              <w:jc w:val="right"/>
            </w:pPr>
            <w:r>
              <w:t>–</w:t>
            </w:r>
          </w:p>
        </w:tc>
        <w:tc>
          <w:tcPr>
            <w:tcW w:w="1098" w:type="dxa"/>
          </w:tcPr>
          <w:p w14:paraId="0094E0EE" w14:textId="5E31E167" w:rsidR="00D83289" w:rsidRDefault="00D83289" w:rsidP="005811E7">
            <w:pPr>
              <w:pStyle w:val="TableCopy"/>
              <w:jc w:val="right"/>
            </w:pPr>
            <w:r>
              <w:t>274</w:t>
            </w:r>
          </w:p>
        </w:tc>
        <w:tc>
          <w:tcPr>
            <w:tcW w:w="1113" w:type="dxa"/>
          </w:tcPr>
          <w:p w14:paraId="6A85CD5F" w14:textId="53482C4C" w:rsidR="00D83289" w:rsidRDefault="00D83289" w:rsidP="005811E7">
            <w:pPr>
              <w:pStyle w:val="TableCopy"/>
              <w:jc w:val="right"/>
            </w:pPr>
            <w:r>
              <w:t>–</w:t>
            </w:r>
          </w:p>
        </w:tc>
        <w:tc>
          <w:tcPr>
            <w:tcW w:w="1114" w:type="dxa"/>
          </w:tcPr>
          <w:p w14:paraId="2A249739" w14:textId="12D839E7" w:rsidR="00D83289" w:rsidRDefault="00D83289" w:rsidP="005811E7">
            <w:pPr>
              <w:pStyle w:val="TableCopy"/>
              <w:jc w:val="right"/>
            </w:pPr>
            <w:r>
              <w:t>1,271</w:t>
            </w:r>
          </w:p>
        </w:tc>
        <w:tc>
          <w:tcPr>
            <w:tcW w:w="1143" w:type="dxa"/>
          </w:tcPr>
          <w:p w14:paraId="58CA1F40" w14:textId="0C3201AD" w:rsidR="00D83289" w:rsidRDefault="00D83289" w:rsidP="005811E7">
            <w:pPr>
              <w:pStyle w:val="TableCopy"/>
              <w:jc w:val="right"/>
            </w:pPr>
            <w:r>
              <w:t>25,024</w:t>
            </w:r>
          </w:p>
        </w:tc>
        <w:tc>
          <w:tcPr>
            <w:tcW w:w="1129" w:type="dxa"/>
          </w:tcPr>
          <w:p w14:paraId="5D1DC745" w14:textId="72DB140F" w:rsidR="00D83289" w:rsidRDefault="00D83289" w:rsidP="005811E7">
            <w:pPr>
              <w:pStyle w:val="TableCopy"/>
              <w:jc w:val="right"/>
            </w:pPr>
            <w:r>
              <w:t>–</w:t>
            </w:r>
          </w:p>
        </w:tc>
        <w:tc>
          <w:tcPr>
            <w:tcW w:w="1116" w:type="dxa"/>
          </w:tcPr>
          <w:p w14:paraId="5A7286EB" w14:textId="0B4EE9BA" w:rsidR="00D83289" w:rsidRDefault="00D83289" w:rsidP="005811E7">
            <w:pPr>
              <w:pStyle w:val="TableCopy"/>
              <w:jc w:val="right"/>
            </w:pPr>
            <w:r>
              <w:t>–</w:t>
            </w:r>
          </w:p>
        </w:tc>
        <w:tc>
          <w:tcPr>
            <w:tcW w:w="1155" w:type="dxa"/>
          </w:tcPr>
          <w:p w14:paraId="76AED1F0" w14:textId="6D69490D" w:rsidR="00D83289" w:rsidRDefault="00D83289" w:rsidP="005811E7">
            <w:pPr>
              <w:pStyle w:val="TableCopy"/>
              <w:jc w:val="right"/>
            </w:pPr>
            <w:r>
              <w:t>198,299</w:t>
            </w:r>
          </w:p>
        </w:tc>
        <w:tc>
          <w:tcPr>
            <w:tcW w:w="1160" w:type="dxa"/>
          </w:tcPr>
          <w:p w14:paraId="2BB8EBF6" w14:textId="77777777" w:rsidR="00D83289" w:rsidRDefault="00D83289" w:rsidP="005811E7">
            <w:pPr>
              <w:pStyle w:val="TableCopy"/>
              <w:jc w:val="right"/>
            </w:pPr>
            <w:r>
              <w:t>(134,999)</w:t>
            </w:r>
          </w:p>
        </w:tc>
      </w:tr>
      <w:tr w:rsidR="00D83289" w14:paraId="757AF51D" w14:textId="77777777" w:rsidTr="005811E7">
        <w:trPr>
          <w:trHeight w:val="113"/>
        </w:trPr>
        <w:tc>
          <w:tcPr>
            <w:tcW w:w="3467" w:type="dxa"/>
          </w:tcPr>
          <w:p w14:paraId="07017A5A" w14:textId="77777777" w:rsidR="00D83289" w:rsidRDefault="00D83289" w:rsidP="00DD11EB">
            <w:pPr>
              <w:pStyle w:val="TableCopy"/>
            </w:pPr>
            <w:r>
              <w:t>Receivables</w:t>
            </w:r>
          </w:p>
        </w:tc>
        <w:tc>
          <w:tcPr>
            <w:tcW w:w="1211" w:type="dxa"/>
          </w:tcPr>
          <w:p w14:paraId="0C84609A" w14:textId="7B2478AC" w:rsidR="00D83289" w:rsidRDefault="00D83289" w:rsidP="005811E7">
            <w:pPr>
              <w:pStyle w:val="TableCopy"/>
              <w:jc w:val="right"/>
            </w:pPr>
            <w:r>
              <w:t>309,410</w:t>
            </w:r>
          </w:p>
        </w:tc>
        <w:tc>
          <w:tcPr>
            <w:tcW w:w="1139" w:type="dxa"/>
          </w:tcPr>
          <w:p w14:paraId="4D7AB608" w14:textId="41364F8D" w:rsidR="00D83289" w:rsidRDefault="00D83289" w:rsidP="005811E7">
            <w:pPr>
              <w:pStyle w:val="TableCopy"/>
              <w:jc w:val="right"/>
            </w:pPr>
            <w:r>
              <w:t>831</w:t>
            </w:r>
          </w:p>
        </w:tc>
        <w:tc>
          <w:tcPr>
            <w:tcW w:w="1098" w:type="dxa"/>
          </w:tcPr>
          <w:p w14:paraId="77A632AF" w14:textId="5B96B1CF" w:rsidR="00D83289" w:rsidRDefault="00D83289" w:rsidP="005811E7">
            <w:pPr>
              <w:pStyle w:val="TableCopy"/>
              <w:jc w:val="right"/>
            </w:pPr>
            <w:r>
              <w:t>1,543</w:t>
            </w:r>
          </w:p>
        </w:tc>
        <w:tc>
          <w:tcPr>
            <w:tcW w:w="1113" w:type="dxa"/>
          </w:tcPr>
          <w:p w14:paraId="3DF3655A" w14:textId="3F302705" w:rsidR="00D83289" w:rsidRDefault="00D83289" w:rsidP="005811E7">
            <w:pPr>
              <w:pStyle w:val="TableCopy"/>
              <w:jc w:val="right"/>
            </w:pPr>
            <w:r>
              <w:t>198</w:t>
            </w:r>
          </w:p>
        </w:tc>
        <w:tc>
          <w:tcPr>
            <w:tcW w:w="1114" w:type="dxa"/>
          </w:tcPr>
          <w:p w14:paraId="3D83F840" w14:textId="3555B5F8" w:rsidR="00D83289" w:rsidRDefault="00D83289" w:rsidP="005811E7">
            <w:pPr>
              <w:pStyle w:val="TableCopy"/>
              <w:jc w:val="right"/>
            </w:pPr>
            <w:r>
              <w:t>763</w:t>
            </w:r>
          </w:p>
        </w:tc>
        <w:tc>
          <w:tcPr>
            <w:tcW w:w="1143" w:type="dxa"/>
          </w:tcPr>
          <w:p w14:paraId="0AD77ED4" w14:textId="3432CC0D" w:rsidR="00D83289" w:rsidRDefault="00D83289" w:rsidP="005811E7">
            <w:pPr>
              <w:pStyle w:val="TableCopy"/>
              <w:jc w:val="right"/>
            </w:pPr>
            <w:r>
              <w:t>20,694</w:t>
            </w:r>
          </w:p>
        </w:tc>
        <w:tc>
          <w:tcPr>
            <w:tcW w:w="1129" w:type="dxa"/>
          </w:tcPr>
          <w:p w14:paraId="08293AC0" w14:textId="1BCAEA36" w:rsidR="00D83289" w:rsidRDefault="00D83289" w:rsidP="005811E7">
            <w:pPr>
              <w:pStyle w:val="TableCopy"/>
              <w:jc w:val="right"/>
            </w:pPr>
            <w:r>
              <w:t>1,420</w:t>
            </w:r>
          </w:p>
        </w:tc>
        <w:tc>
          <w:tcPr>
            <w:tcW w:w="1116" w:type="dxa"/>
          </w:tcPr>
          <w:p w14:paraId="30BF7FEA" w14:textId="5287EB23" w:rsidR="00D83289" w:rsidRDefault="00D83289" w:rsidP="005811E7">
            <w:pPr>
              <w:pStyle w:val="TableCopy"/>
              <w:jc w:val="right"/>
            </w:pPr>
            <w:r>
              <w:t>365</w:t>
            </w:r>
          </w:p>
        </w:tc>
        <w:tc>
          <w:tcPr>
            <w:tcW w:w="1155" w:type="dxa"/>
          </w:tcPr>
          <w:p w14:paraId="3D9AF545" w14:textId="43548F88" w:rsidR="00D83289" w:rsidRDefault="00D83289" w:rsidP="005811E7">
            <w:pPr>
              <w:pStyle w:val="TableCopy"/>
              <w:jc w:val="right"/>
            </w:pPr>
            <w:r>
              <w:t>335,224</w:t>
            </w:r>
          </w:p>
        </w:tc>
        <w:tc>
          <w:tcPr>
            <w:tcW w:w="1160" w:type="dxa"/>
          </w:tcPr>
          <w:p w14:paraId="7CC039EB" w14:textId="77777777" w:rsidR="00D83289" w:rsidRDefault="00D83289" w:rsidP="005811E7">
            <w:pPr>
              <w:pStyle w:val="TableCopy"/>
              <w:jc w:val="right"/>
            </w:pPr>
            <w:r>
              <w:t>(132,196)</w:t>
            </w:r>
          </w:p>
        </w:tc>
      </w:tr>
      <w:tr w:rsidR="00D83289" w14:paraId="4D4272A4" w14:textId="77777777" w:rsidTr="005811E7">
        <w:trPr>
          <w:trHeight w:val="113"/>
        </w:trPr>
        <w:tc>
          <w:tcPr>
            <w:tcW w:w="3467" w:type="dxa"/>
          </w:tcPr>
          <w:p w14:paraId="091A4669" w14:textId="77777777" w:rsidR="00D83289" w:rsidRDefault="00D83289" w:rsidP="00DD11EB">
            <w:pPr>
              <w:pStyle w:val="TableCopy"/>
            </w:pPr>
            <w:r>
              <w:t>Investments</w:t>
            </w:r>
          </w:p>
        </w:tc>
        <w:tc>
          <w:tcPr>
            <w:tcW w:w="1211" w:type="dxa"/>
          </w:tcPr>
          <w:p w14:paraId="5F4360A6" w14:textId="1E132AE0" w:rsidR="00D83289" w:rsidRDefault="00D83289" w:rsidP="005811E7">
            <w:pPr>
              <w:pStyle w:val="TableCopy"/>
              <w:jc w:val="right"/>
            </w:pPr>
            <w:r>
              <w:t>71</w:t>
            </w:r>
          </w:p>
        </w:tc>
        <w:tc>
          <w:tcPr>
            <w:tcW w:w="1139" w:type="dxa"/>
          </w:tcPr>
          <w:p w14:paraId="36DFA71B" w14:textId="75A8C242" w:rsidR="00D83289" w:rsidRDefault="00D83289" w:rsidP="005811E7">
            <w:pPr>
              <w:pStyle w:val="TableCopy"/>
              <w:jc w:val="right"/>
            </w:pPr>
            <w:r>
              <w:t>–</w:t>
            </w:r>
          </w:p>
        </w:tc>
        <w:tc>
          <w:tcPr>
            <w:tcW w:w="1098" w:type="dxa"/>
          </w:tcPr>
          <w:p w14:paraId="3D1A98BE" w14:textId="0AB28D9B" w:rsidR="00D83289" w:rsidRDefault="00D83289" w:rsidP="005811E7">
            <w:pPr>
              <w:pStyle w:val="TableCopy"/>
              <w:jc w:val="right"/>
            </w:pPr>
            <w:r>
              <w:t>–</w:t>
            </w:r>
          </w:p>
        </w:tc>
        <w:tc>
          <w:tcPr>
            <w:tcW w:w="1113" w:type="dxa"/>
          </w:tcPr>
          <w:p w14:paraId="40627402" w14:textId="37A15F57" w:rsidR="00D83289" w:rsidRDefault="00D83289" w:rsidP="005811E7">
            <w:pPr>
              <w:pStyle w:val="TableCopy"/>
              <w:jc w:val="right"/>
            </w:pPr>
            <w:r>
              <w:t>–</w:t>
            </w:r>
          </w:p>
        </w:tc>
        <w:tc>
          <w:tcPr>
            <w:tcW w:w="1114" w:type="dxa"/>
          </w:tcPr>
          <w:p w14:paraId="1C095967" w14:textId="7A565461" w:rsidR="00D83289" w:rsidRDefault="00D83289" w:rsidP="005811E7">
            <w:pPr>
              <w:pStyle w:val="TableCopy"/>
              <w:jc w:val="right"/>
            </w:pPr>
            <w:r>
              <w:t>–</w:t>
            </w:r>
          </w:p>
        </w:tc>
        <w:tc>
          <w:tcPr>
            <w:tcW w:w="1143" w:type="dxa"/>
          </w:tcPr>
          <w:p w14:paraId="2DB794BE" w14:textId="00297AD6" w:rsidR="00D83289" w:rsidRDefault="00D83289" w:rsidP="005811E7">
            <w:pPr>
              <w:pStyle w:val="TableCopy"/>
              <w:jc w:val="right"/>
            </w:pPr>
            <w:r>
              <w:t>–</w:t>
            </w:r>
          </w:p>
        </w:tc>
        <w:tc>
          <w:tcPr>
            <w:tcW w:w="1129" w:type="dxa"/>
          </w:tcPr>
          <w:p w14:paraId="76D20C12" w14:textId="6564AF13" w:rsidR="00D83289" w:rsidRDefault="00D83289" w:rsidP="005811E7">
            <w:pPr>
              <w:pStyle w:val="TableCopy"/>
              <w:jc w:val="right"/>
            </w:pPr>
            <w:r>
              <w:t>–</w:t>
            </w:r>
          </w:p>
        </w:tc>
        <w:tc>
          <w:tcPr>
            <w:tcW w:w="1116" w:type="dxa"/>
          </w:tcPr>
          <w:p w14:paraId="73260094" w14:textId="4ADC09E8" w:rsidR="00D83289" w:rsidRDefault="00D83289" w:rsidP="005811E7">
            <w:pPr>
              <w:pStyle w:val="TableCopy"/>
              <w:jc w:val="right"/>
            </w:pPr>
            <w:r>
              <w:t>–</w:t>
            </w:r>
          </w:p>
        </w:tc>
        <w:tc>
          <w:tcPr>
            <w:tcW w:w="1155" w:type="dxa"/>
          </w:tcPr>
          <w:p w14:paraId="13F1194A" w14:textId="7674D4F5" w:rsidR="00D83289" w:rsidRDefault="00D83289" w:rsidP="005811E7">
            <w:pPr>
              <w:pStyle w:val="TableCopy"/>
              <w:jc w:val="right"/>
            </w:pPr>
            <w:r>
              <w:t>71</w:t>
            </w:r>
          </w:p>
        </w:tc>
        <w:tc>
          <w:tcPr>
            <w:tcW w:w="1160" w:type="dxa"/>
          </w:tcPr>
          <w:p w14:paraId="2363F889" w14:textId="7B1AA65F" w:rsidR="00D83289" w:rsidRDefault="00D83289" w:rsidP="005811E7">
            <w:pPr>
              <w:pStyle w:val="TableCopy"/>
              <w:jc w:val="right"/>
            </w:pPr>
            <w:r>
              <w:t>929</w:t>
            </w:r>
          </w:p>
        </w:tc>
      </w:tr>
      <w:tr w:rsidR="00D83289" w14:paraId="0E42A0D9" w14:textId="77777777" w:rsidTr="005811E7">
        <w:trPr>
          <w:trHeight w:val="113"/>
        </w:trPr>
        <w:tc>
          <w:tcPr>
            <w:tcW w:w="3467" w:type="dxa"/>
          </w:tcPr>
          <w:p w14:paraId="0934D360" w14:textId="77777777" w:rsidR="00D83289" w:rsidRDefault="00D83289" w:rsidP="00DD11EB">
            <w:pPr>
              <w:pStyle w:val="TableCopy"/>
            </w:pPr>
            <w:r>
              <w:t xml:space="preserve">Property, </w:t>
            </w:r>
            <w:proofErr w:type="gramStart"/>
            <w:r>
              <w:t>plant</w:t>
            </w:r>
            <w:proofErr w:type="gramEnd"/>
            <w:r>
              <w:t xml:space="preserve"> and equipment</w:t>
            </w:r>
          </w:p>
        </w:tc>
        <w:tc>
          <w:tcPr>
            <w:tcW w:w="1211" w:type="dxa"/>
          </w:tcPr>
          <w:p w14:paraId="3939795B" w14:textId="486D95F4" w:rsidR="00D83289" w:rsidRDefault="00D83289" w:rsidP="005811E7">
            <w:pPr>
              <w:pStyle w:val="TableCopy"/>
              <w:jc w:val="right"/>
            </w:pPr>
            <w:r>
              <w:t>811,468</w:t>
            </w:r>
          </w:p>
        </w:tc>
        <w:tc>
          <w:tcPr>
            <w:tcW w:w="1139" w:type="dxa"/>
          </w:tcPr>
          <w:p w14:paraId="6CF16456" w14:textId="2F1E8CD4" w:rsidR="00D83289" w:rsidRDefault="00D83289" w:rsidP="005811E7">
            <w:pPr>
              <w:pStyle w:val="TableCopy"/>
              <w:jc w:val="right"/>
            </w:pPr>
            <w:r>
              <w:t>31</w:t>
            </w:r>
          </w:p>
        </w:tc>
        <w:tc>
          <w:tcPr>
            <w:tcW w:w="1098" w:type="dxa"/>
          </w:tcPr>
          <w:p w14:paraId="03A3191A" w14:textId="420D7D07" w:rsidR="00D83289" w:rsidRDefault="00D83289" w:rsidP="005811E7">
            <w:pPr>
              <w:pStyle w:val="TableCopy"/>
              <w:jc w:val="right"/>
            </w:pPr>
            <w:r>
              <w:t>32</w:t>
            </w:r>
          </w:p>
        </w:tc>
        <w:tc>
          <w:tcPr>
            <w:tcW w:w="1113" w:type="dxa"/>
          </w:tcPr>
          <w:p w14:paraId="2306B69D" w14:textId="147CB0A8" w:rsidR="00D83289" w:rsidRDefault="00D83289" w:rsidP="005811E7">
            <w:pPr>
              <w:pStyle w:val="TableCopy"/>
              <w:jc w:val="right"/>
            </w:pPr>
            <w:r>
              <w:t>–</w:t>
            </w:r>
          </w:p>
        </w:tc>
        <w:tc>
          <w:tcPr>
            <w:tcW w:w="1114" w:type="dxa"/>
          </w:tcPr>
          <w:p w14:paraId="53987967" w14:textId="0E91CFC3" w:rsidR="00D83289" w:rsidRDefault="00D83289" w:rsidP="005811E7">
            <w:pPr>
              <w:pStyle w:val="TableCopy"/>
              <w:jc w:val="right"/>
            </w:pPr>
            <w:r>
              <w:t>24</w:t>
            </w:r>
          </w:p>
        </w:tc>
        <w:tc>
          <w:tcPr>
            <w:tcW w:w="1143" w:type="dxa"/>
          </w:tcPr>
          <w:p w14:paraId="1B76527D" w14:textId="0ADC1E32" w:rsidR="00D83289" w:rsidRDefault="00D83289" w:rsidP="005811E7">
            <w:pPr>
              <w:pStyle w:val="TableCopy"/>
              <w:jc w:val="right"/>
            </w:pPr>
            <w:r>
              <w:t>60</w:t>
            </w:r>
          </w:p>
        </w:tc>
        <w:tc>
          <w:tcPr>
            <w:tcW w:w="1129" w:type="dxa"/>
          </w:tcPr>
          <w:p w14:paraId="254758BB" w14:textId="397F1A0A" w:rsidR="00D83289" w:rsidRDefault="00D83289" w:rsidP="005811E7">
            <w:pPr>
              <w:pStyle w:val="TableCopy"/>
              <w:jc w:val="right"/>
            </w:pPr>
            <w:r>
              <w:t>1,753</w:t>
            </w:r>
          </w:p>
        </w:tc>
        <w:tc>
          <w:tcPr>
            <w:tcW w:w="1116" w:type="dxa"/>
          </w:tcPr>
          <w:p w14:paraId="3D23D72C" w14:textId="5C16BC1C" w:rsidR="00D83289" w:rsidRDefault="00D83289" w:rsidP="005811E7">
            <w:pPr>
              <w:pStyle w:val="TableCopy"/>
              <w:jc w:val="right"/>
            </w:pPr>
            <w:r>
              <w:t>23,015</w:t>
            </w:r>
          </w:p>
        </w:tc>
        <w:tc>
          <w:tcPr>
            <w:tcW w:w="1155" w:type="dxa"/>
          </w:tcPr>
          <w:p w14:paraId="230299A3" w14:textId="6F3B6D23" w:rsidR="00D83289" w:rsidRDefault="00D83289" w:rsidP="005811E7">
            <w:pPr>
              <w:pStyle w:val="TableCopy"/>
              <w:jc w:val="right"/>
            </w:pPr>
            <w:r>
              <w:t>836,383</w:t>
            </w:r>
          </w:p>
        </w:tc>
        <w:tc>
          <w:tcPr>
            <w:tcW w:w="1160" w:type="dxa"/>
          </w:tcPr>
          <w:p w14:paraId="35CCD636" w14:textId="77777777" w:rsidR="00D83289" w:rsidRDefault="00D83289" w:rsidP="005811E7">
            <w:pPr>
              <w:pStyle w:val="TableCopy"/>
              <w:jc w:val="right"/>
            </w:pPr>
            <w:r>
              <w:t>(644,720)</w:t>
            </w:r>
          </w:p>
        </w:tc>
      </w:tr>
      <w:tr w:rsidR="00D83289" w14:paraId="7DE55695" w14:textId="77777777" w:rsidTr="005811E7">
        <w:trPr>
          <w:trHeight w:val="113"/>
        </w:trPr>
        <w:tc>
          <w:tcPr>
            <w:tcW w:w="3467" w:type="dxa"/>
          </w:tcPr>
          <w:p w14:paraId="2D216665" w14:textId="77777777" w:rsidR="00D83289" w:rsidRDefault="00D83289" w:rsidP="00DD11EB">
            <w:pPr>
              <w:pStyle w:val="TableCopy"/>
            </w:pPr>
            <w:r>
              <w:t>Other non</w:t>
            </w:r>
            <w:r>
              <w:noBreakHyphen/>
              <w:t>financial assets</w:t>
            </w:r>
          </w:p>
        </w:tc>
        <w:tc>
          <w:tcPr>
            <w:tcW w:w="1211" w:type="dxa"/>
          </w:tcPr>
          <w:p w14:paraId="67694533" w14:textId="55D6D84A" w:rsidR="00D83289" w:rsidRDefault="00D83289" w:rsidP="005811E7">
            <w:pPr>
              <w:pStyle w:val="TableCopy"/>
              <w:jc w:val="right"/>
            </w:pPr>
            <w:r>
              <w:t>5,445</w:t>
            </w:r>
          </w:p>
        </w:tc>
        <w:tc>
          <w:tcPr>
            <w:tcW w:w="1139" w:type="dxa"/>
          </w:tcPr>
          <w:p w14:paraId="4C90A1CC" w14:textId="2FA1A4D7" w:rsidR="00D83289" w:rsidRDefault="00D83289" w:rsidP="005811E7">
            <w:pPr>
              <w:pStyle w:val="TableCopy"/>
              <w:jc w:val="right"/>
            </w:pPr>
            <w:r>
              <w:t>–</w:t>
            </w:r>
          </w:p>
        </w:tc>
        <w:tc>
          <w:tcPr>
            <w:tcW w:w="1098" w:type="dxa"/>
          </w:tcPr>
          <w:p w14:paraId="639BFB01" w14:textId="419E5766" w:rsidR="00D83289" w:rsidRDefault="00D83289" w:rsidP="005811E7">
            <w:pPr>
              <w:pStyle w:val="TableCopy"/>
              <w:jc w:val="right"/>
            </w:pPr>
            <w:r>
              <w:t>–</w:t>
            </w:r>
          </w:p>
        </w:tc>
        <w:tc>
          <w:tcPr>
            <w:tcW w:w="1113" w:type="dxa"/>
          </w:tcPr>
          <w:p w14:paraId="71F944C7" w14:textId="75BBCEF7" w:rsidR="00D83289" w:rsidRDefault="00D83289" w:rsidP="005811E7">
            <w:pPr>
              <w:pStyle w:val="TableCopy"/>
              <w:jc w:val="right"/>
            </w:pPr>
            <w:r>
              <w:t>–</w:t>
            </w:r>
          </w:p>
        </w:tc>
        <w:tc>
          <w:tcPr>
            <w:tcW w:w="1114" w:type="dxa"/>
          </w:tcPr>
          <w:p w14:paraId="02D08A52" w14:textId="2FE01406" w:rsidR="00D83289" w:rsidRDefault="00D83289" w:rsidP="005811E7">
            <w:pPr>
              <w:pStyle w:val="TableCopy"/>
              <w:jc w:val="right"/>
            </w:pPr>
            <w:r>
              <w:t>–</w:t>
            </w:r>
          </w:p>
        </w:tc>
        <w:tc>
          <w:tcPr>
            <w:tcW w:w="1143" w:type="dxa"/>
          </w:tcPr>
          <w:p w14:paraId="1557215E" w14:textId="6A1DB28C" w:rsidR="00D83289" w:rsidRDefault="00D83289" w:rsidP="005811E7">
            <w:pPr>
              <w:pStyle w:val="TableCopy"/>
              <w:jc w:val="right"/>
            </w:pPr>
            <w:r>
              <w:t>–</w:t>
            </w:r>
          </w:p>
        </w:tc>
        <w:tc>
          <w:tcPr>
            <w:tcW w:w="1129" w:type="dxa"/>
          </w:tcPr>
          <w:p w14:paraId="4AA7C1C1" w14:textId="0C759339" w:rsidR="00D83289" w:rsidRDefault="00D83289" w:rsidP="005811E7">
            <w:pPr>
              <w:pStyle w:val="TableCopy"/>
              <w:jc w:val="right"/>
            </w:pPr>
            <w:r>
              <w:t>–</w:t>
            </w:r>
          </w:p>
        </w:tc>
        <w:tc>
          <w:tcPr>
            <w:tcW w:w="1116" w:type="dxa"/>
          </w:tcPr>
          <w:p w14:paraId="20C0F935" w14:textId="5B49F415" w:rsidR="00D83289" w:rsidRDefault="00D83289" w:rsidP="005811E7">
            <w:pPr>
              <w:pStyle w:val="TableCopy"/>
              <w:jc w:val="right"/>
            </w:pPr>
            <w:r>
              <w:t>–</w:t>
            </w:r>
          </w:p>
        </w:tc>
        <w:tc>
          <w:tcPr>
            <w:tcW w:w="1155" w:type="dxa"/>
          </w:tcPr>
          <w:p w14:paraId="262535E8" w14:textId="3F25AD22" w:rsidR="00D83289" w:rsidRDefault="00D83289" w:rsidP="005811E7">
            <w:pPr>
              <w:pStyle w:val="TableCopy"/>
              <w:jc w:val="right"/>
            </w:pPr>
            <w:r>
              <w:t>5,445</w:t>
            </w:r>
          </w:p>
        </w:tc>
        <w:tc>
          <w:tcPr>
            <w:tcW w:w="1160" w:type="dxa"/>
          </w:tcPr>
          <w:p w14:paraId="7C91BBFA" w14:textId="77777777" w:rsidR="00D83289" w:rsidRDefault="00D83289" w:rsidP="005811E7">
            <w:pPr>
              <w:pStyle w:val="TableCopy"/>
              <w:jc w:val="right"/>
            </w:pPr>
            <w:r>
              <w:t>(5,380)</w:t>
            </w:r>
          </w:p>
        </w:tc>
      </w:tr>
      <w:tr w:rsidR="00D83289" w:rsidRPr="00D83289" w14:paraId="7506EF8C" w14:textId="77777777" w:rsidTr="005811E7">
        <w:trPr>
          <w:trHeight w:val="333"/>
        </w:trPr>
        <w:tc>
          <w:tcPr>
            <w:tcW w:w="3467" w:type="dxa"/>
          </w:tcPr>
          <w:p w14:paraId="6237A091" w14:textId="77777777" w:rsidR="00D83289" w:rsidRPr="00D83289" w:rsidRDefault="00D83289" w:rsidP="00DD11EB">
            <w:pPr>
              <w:pStyle w:val="TableHeading"/>
            </w:pPr>
            <w:r w:rsidRPr="00D83289">
              <w:t>Liabilities</w:t>
            </w:r>
          </w:p>
        </w:tc>
        <w:tc>
          <w:tcPr>
            <w:tcW w:w="1211" w:type="dxa"/>
          </w:tcPr>
          <w:p w14:paraId="4E1B42CD" w14:textId="77777777" w:rsidR="00D83289" w:rsidRPr="00D83289" w:rsidRDefault="00D83289" w:rsidP="005811E7">
            <w:pPr>
              <w:pStyle w:val="TableHeading"/>
              <w:jc w:val="right"/>
            </w:pPr>
          </w:p>
        </w:tc>
        <w:tc>
          <w:tcPr>
            <w:tcW w:w="1139" w:type="dxa"/>
          </w:tcPr>
          <w:p w14:paraId="06DE80ED" w14:textId="77777777" w:rsidR="00D83289" w:rsidRPr="00D83289" w:rsidRDefault="00D83289" w:rsidP="005811E7">
            <w:pPr>
              <w:pStyle w:val="TableHeading"/>
              <w:jc w:val="right"/>
            </w:pPr>
          </w:p>
        </w:tc>
        <w:tc>
          <w:tcPr>
            <w:tcW w:w="1098" w:type="dxa"/>
          </w:tcPr>
          <w:p w14:paraId="2104BE65" w14:textId="77777777" w:rsidR="00D83289" w:rsidRPr="00D83289" w:rsidRDefault="00D83289" w:rsidP="005811E7">
            <w:pPr>
              <w:pStyle w:val="TableHeading"/>
              <w:jc w:val="right"/>
            </w:pPr>
          </w:p>
        </w:tc>
        <w:tc>
          <w:tcPr>
            <w:tcW w:w="1113" w:type="dxa"/>
          </w:tcPr>
          <w:p w14:paraId="4E08E84E" w14:textId="77777777" w:rsidR="00D83289" w:rsidRPr="00D83289" w:rsidRDefault="00D83289" w:rsidP="005811E7">
            <w:pPr>
              <w:pStyle w:val="TableHeading"/>
              <w:jc w:val="right"/>
            </w:pPr>
          </w:p>
        </w:tc>
        <w:tc>
          <w:tcPr>
            <w:tcW w:w="1114" w:type="dxa"/>
          </w:tcPr>
          <w:p w14:paraId="46C4DA58" w14:textId="77777777" w:rsidR="00D83289" w:rsidRPr="00D83289" w:rsidRDefault="00D83289" w:rsidP="005811E7">
            <w:pPr>
              <w:pStyle w:val="TableHeading"/>
              <w:jc w:val="right"/>
            </w:pPr>
          </w:p>
        </w:tc>
        <w:tc>
          <w:tcPr>
            <w:tcW w:w="1143" w:type="dxa"/>
          </w:tcPr>
          <w:p w14:paraId="08F92BED" w14:textId="77777777" w:rsidR="00D83289" w:rsidRPr="00D83289" w:rsidRDefault="00D83289" w:rsidP="005811E7">
            <w:pPr>
              <w:pStyle w:val="TableHeading"/>
              <w:jc w:val="right"/>
            </w:pPr>
          </w:p>
        </w:tc>
        <w:tc>
          <w:tcPr>
            <w:tcW w:w="1129" w:type="dxa"/>
          </w:tcPr>
          <w:p w14:paraId="5A16E149" w14:textId="77777777" w:rsidR="00D83289" w:rsidRPr="00D83289" w:rsidRDefault="00D83289" w:rsidP="005811E7">
            <w:pPr>
              <w:pStyle w:val="TableHeading"/>
              <w:jc w:val="right"/>
            </w:pPr>
          </w:p>
        </w:tc>
        <w:tc>
          <w:tcPr>
            <w:tcW w:w="1116" w:type="dxa"/>
          </w:tcPr>
          <w:p w14:paraId="3ACDA495" w14:textId="77777777" w:rsidR="00D83289" w:rsidRPr="00D83289" w:rsidRDefault="00D83289" w:rsidP="005811E7">
            <w:pPr>
              <w:pStyle w:val="TableHeading"/>
              <w:jc w:val="right"/>
            </w:pPr>
          </w:p>
        </w:tc>
        <w:tc>
          <w:tcPr>
            <w:tcW w:w="1155" w:type="dxa"/>
          </w:tcPr>
          <w:p w14:paraId="7E2FB3A7" w14:textId="77777777" w:rsidR="00D83289" w:rsidRPr="00D83289" w:rsidRDefault="00D83289" w:rsidP="005811E7">
            <w:pPr>
              <w:pStyle w:val="TableHeading"/>
              <w:jc w:val="right"/>
            </w:pPr>
          </w:p>
        </w:tc>
        <w:tc>
          <w:tcPr>
            <w:tcW w:w="1160" w:type="dxa"/>
          </w:tcPr>
          <w:p w14:paraId="070C1178" w14:textId="77777777" w:rsidR="00D83289" w:rsidRPr="00D83289" w:rsidRDefault="00D83289" w:rsidP="005811E7">
            <w:pPr>
              <w:pStyle w:val="TableHeading"/>
              <w:jc w:val="right"/>
            </w:pPr>
          </w:p>
        </w:tc>
      </w:tr>
      <w:tr w:rsidR="00D83289" w14:paraId="7694E497" w14:textId="77777777" w:rsidTr="005811E7">
        <w:trPr>
          <w:trHeight w:val="113"/>
        </w:trPr>
        <w:tc>
          <w:tcPr>
            <w:tcW w:w="3467" w:type="dxa"/>
          </w:tcPr>
          <w:p w14:paraId="2620CE97" w14:textId="77777777" w:rsidR="00D83289" w:rsidRDefault="00D83289" w:rsidP="00DD11EB">
            <w:pPr>
              <w:pStyle w:val="TableCopy"/>
            </w:pPr>
            <w:r>
              <w:t>Payables</w:t>
            </w:r>
          </w:p>
        </w:tc>
        <w:tc>
          <w:tcPr>
            <w:tcW w:w="1211" w:type="dxa"/>
          </w:tcPr>
          <w:p w14:paraId="4921EEC7" w14:textId="77777777" w:rsidR="00D83289" w:rsidRDefault="00D83289" w:rsidP="005811E7">
            <w:pPr>
              <w:pStyle w:val="TableCopy"/>
              <w:jc w:val="right"/>
            </w:pPr>
            <w:r>
              <w:t>(90,888)</w:t>
            </w:r>
          </w:p>
        </w:tc>
        <w:tc>
          <w:tcPr>
            <w:tcW w:w="1139" w:type="dxa"/>
          </w:tcPr>
          <w:p w14:paraId="35D21F5C" w14:textId="77777777" w:rsidR="00D83289" w:rsidRDefault="00D83289" w:rsidP="005811E7">
            <w:pPr>
              <w:pStyle w:val="TableCopy"/>
              <w:jc w:val="right"/>
            </w:pPr>
            <w:r>
              <w:t>(40)</w:t>
            </w:r>
          </w:p>
        </w:tc>
        <w:tc>
          <w:tcPr>
            <w:tcW w:w="1098" w:type="dxa"/>
          </w:tcPr>
          <w:p w14:paraId="5909E8CF" w14:textId="77777777" w:rsidR="00D83289" w:rsidRDefault="00D83289" w:rsidP="005811E7">
            <w:pPr>
              <w:pStyle w:val="TableCopy"/>
              <w:jc w:val="right"/>
            </w:pPr>
            <w:r>
              <w:t>(169)</w:t>
            </w:r>
          </w:p>
        </w:tc>
        <w:tc>
          <w:tcPr>
            <w:tcW w:w="1113" w:type="dxa"/>
          </w:tcPr>
          <w:p w14:paraId="6C35259D" w14:textId="1414D9FE" w:rsidR="00D83289" w:rsidRDefault="00D83289" w:rsidP="005811E7">
            <w:pPr>
              <w:pStyle w:val="TableCopy"/>
              <w:jc w:val="right"/>
            </w:pPr>
            <w:r>
              <w:t>–</w:t>
            </w:r>
          </w:p>
        </w:tc>
        <w:tc>
          <w:tcPr>
            <w:tcW w:w="1114" w:type="dxa"/>
          </w:tcPr>
          <w:p w14:paraId="4DF0DEC3" w14:textId="14E09245" w:rsidR="00D83289" w:rsidRDefault="00D83289" w:rsidP="005811E7">
            <w:pPr>
              <w:pStyle w:val="TableCopy"/>
              <w:jc w:val="right"/>
            </w:pPr>
            <w:r>
              <w:t>–</w:t>
            </w:r>
          </w:p>
        </w:tc>
        <w:tc>
          <w:tcPr>
            <w:tcW w:w="1143" w:type="dxa"/>
          </w:tcPr>
          <w:p w14:paraId="2C9EB9E1" w14:textId="77777777" w:rsidR="00D83289" w:rsidRDefault="00D83289" w:rsidP="005811E7">
            <w:pPr>
              <w:pStyle w:val="TableCopy"/>
              <w:jc w:val="right"/>
            </w:pPr>
            <w:r>
              <w:t>(25)</w:t>
            </w:r>
          </w:p>
        </w:tc>
        <w:tc>
          <w:tcPr>
            <w:tcW w:w="1129" w:type="dxa"/>
          </w:tcPr>
          <w:p w14:paraId="604DBAD0" w14:textId="7E1E52E3" w:rsidR="00D83289" w:rsidRDefault="00D83289" w:rsidP="005811E7">
            <w:pPr>
              <w:pStyle w:val="TableCopy"/>
              <w:jc w:val="right"/>
            </w:pPr>
            <w:r>
              <w:t>–</w:t>
            </w:r>
          </w:p>
        </w:tc>
        <w:tc>
          <w:tcPr>
            <w:tcW w:w="1116" w:type="dxa"/>
          </w:tcPr>
          <w:p w14:paraId="2104A1BE" w14:textId="0A2B9EE4" w:rsidR="00D83289" w:rsidRDefault="00D83289" w:rsidP="005811E7">
            <w:pPr>
              <w:pStyle w:val="TableCopy"/>
              <w:jc w:val="right"/>
            </w:pPr>
            <w:r>
              <w:t>–</w:t>
            </w:r>
          </w:p>
        </w:tc>
        <w:tc>
          <w:tcPr>
            <w:tcW w:w="1155" w:type="dxa"/>
          </w:tcPr>
          <w:p w14:paraId="49BDCA3E" w14:textId="77777777" w:rsidR="00D83289" w:rsidRDefault="00D83289" w:rsidP="005811E7">
            <w:pPr>
              <w:pStyle w:val="TableCopy"/>
              <w:jc w:val="right"/>
            </w:pPr>
            <w:r>
              <w:t>(91,122)</w:t>
            </w:r>
          </w:p>
        </w:tc>
        <w:tc>
          <w:tcPr>
            <w:tcW w:w="1160" w:type="dxa"/>
          </w:tcPr>
          <w:p w14:paraId="11048CA9" w14:textId="77777777" w:rsidR="00D83289" w:rsidRDefault="00D83289" w:rsidP="005811E7">
            <w:pPr>
              <w:pStyle w:val="TableCopy"/>
              <w:jc w:val="right"/>
            </w:pPr>
            <w:r>
              <w:t>(57,515)</w:t>
            </w:r>
          </w:p>
        </w:tc>
      </w:tr>
      <w:tr w:rsidR="00D83289" w14:paraId="6A77CBA2" w14:textId="77777777" w:rsidTr="005811E7">
        <w:trPr>
          <w:trHeight w:val="113"/>
        </w:trPr>
        <w:tc>
          <w:tcPr>
            <w:tcW w:w="3467" w:type="dxa"/>
          </w:tcPr>
          <w:p w14:paraId="491273B5" w14:textId="77777777" w:rsidR="00D83289" w:rsidRDefault="00D83289" w:rsidP="00DD11EB">
            <w:pPr>
              <w:pStyle w:val="TableCopy"/>
            </w:pPr>
            <w:r>
              <w:t>Borrowings</w:t>
            </w:r>
          </w:p>
        </w:tc>
        <w:tc>
          <w:tcPr>
            <w:tcW w:w="1211" w:type="dxa"/>
          </w:tcPr>
          <w:p w14:paraId="337866D6" w14:textId="77777777" w:rsidR="00D83289" w:rsidRDefault="00D83289" w:rsidP="005811E7">
            <w:pPr>
              <w:pStyle w:val="TableCopy"/>
              <w:jc w:val="right"/>
            </w:pPr>
            <w:r>
              <w:t>(409,117)</w:t>
            </w:r>
          </w:p>
        </w:tc>
        <w:tc>
          <w:tcPr>
            <w:tcW w:w="1139" w:type="dxa"/>
          </w:tcPr>
          <w:p w14:paraId="2D0E002D" w14:textId="77777777" w:rsidR="00D83289" w:rsidRDefault="00D83289" w:rsidP="005811E7">
            <w:pPr>
              <w:pStyle w:val="TableCopy"/>
              <w:jc w:val="right"/>
            </w:pPr>
            <w:r>
              <w:t>(31)</w:t>
            </w:r>
          </w:p>
        </w:tc>
        <w:tc>
          <w:tcPr>
            <w:tcW w:w="1098" w:type="dxa"/>
          </w:tcPr>
          <w:p w14:paraId="0D298F6C" w14:textId="77777777" w:rsidR="00D83289" w:rsidRDefault="00D83289" w:rsidP="005811E7">
            <w:pPr>
              <w:pStyle w:val="TableCopy"/>
              <w:jc w:val="right"/>
            </w:pPr>
            <w:r>
              <w:t>(32)</w:t>
            </w:r>
          </w:p>
        </w:tc>
        <w:tc>
          <w:tcPr>
            <w:tcW w:w="1113" w:type="dxa"/>
          </w:tcPr>
          <w:p w14:paraId="0E6FEA3E" w14:textId="03A7629D" w:rsidR="00D83289" w:rsidRDefault="00D83289" w:rsidP="005811E7">
            <w:pPr>
              <w:pStyle w:val="TableCopy"/>
              <w:jc w:val="right"/>
            </w:pPr>
            <w:r>
              <w:t>–</w:t>
            </w:r>
          </w:p>
        </w:tc>
        <w:tc>
          <w:tcPr>
            <w:tcW w:w="1114" w:type="dxa"/>
          </w:tcPr>
          <w:p w14:paraId="767A155A" w14:textId="77777777" w:rsidR="00D83289" w:rsidRDefault="00D83289" w:rsidP="005811E7">
            <w:pPr>
              <w:pStyle w:val="TableCopy"/>
              <w:jc w:val="right"/>
            </w:pPr>
            <w:r>
              <w:t>(24)</w:t>
            </w:r>
          </w:p>
        </w:tc>
        <w:tc>
          <w:tcPr>
            <w:tcW w:w="1143" w:type="dxa"/>
          </w:tcPr>
          <w:p w14:paraId="44920CD0" w14:textId="77777777" w:rsidR="00D83289" w:rsidRDefault="00D83289" w:rsidP="005811E7">
            <w:pPr>
              <w:pStyle w:val="TableCopy"/>
              <w:jc w:val="right"/>
            </w:pPr>
            <w:r>
              <w:t>(60)</w:t>
            </w:r>
          </w:p>
        </w:tc>
        <w:tc>
          <w:tcPr>
            <w:tcW w:w="1129" w:type="dxa"/>
          </w:tcPr>
          <w:p w14:paraId="32026FCA" w14:textId="77777777" w:rsidR="00D83289" w:rsidRDefault="00D83289" w:rsidP="005811E7">
            <w:pPr>
              <w:pStyle w:val="TableCopy"/>
              <w:jc w:val="right"/>
            </w:pPr>
            <w:r>
              <w:t>(1,641)</w:t>
            </w:r>
          </w:p>
        </w:tc>
        <w:tc>
          <w:tcPr>
            <w:tcW w:w="1116" w:type="dxa"/>
          </w:tcPr>
          <w:p w14:paraId="22876543" w14:textId="66F37F89" w:rsidR="00D83289" w:rsidRDefault="00D83289" w:rsidP="005811E7">
            <w:pPr>
              <w:pStyle w:val="TableCopy"/>
              <w:jc w:val="right"/>
            </w:pPr>
            <w:r>
              <w:t>–</w:t>
            </w:r>
          </w:p>
        </w:tc>
        <w:tc>
          <w:tcPr>
            <w:tcW w:w="1155" w:type="dxa"/>
          </w:tcPr>
          <w:p w14:paraId="3F447CC1" w14:textId="77777777" w:rsidR="00D83289" w:rsidRDefault="00D83289" w:rsidP="005811E7">
            <w:pPr>
              <w:pStyle w:val="TableCopy"/>
              <w:jc w:val="right"/>
            </w:pPr>
            <w:r>
              <w:t>(410,905)</w:t>
            </w:r>
          </w:p>
        </w:tc>
        <w:tc>
          <w:tcPr>
            <w:tcW w:w="1160" w:type="dxa"/>
          </w:tcPr>
          <w:p w14:paraId="4172C18B" w14:textId="2670A5BB" w:rsidR="00D83289" w:rsidRDefault="00D83289" w:rsidP="005811E7">
            <w:pPr>
              <w:pStyle w:val="TableCopy"/>
              <w:jc w:val="right"/>
            </w:pPr>
            <w:r>
              <w:t>386,145</w:t>
            </w:r>
          </w:p>
        </w:tc>
      </w:tr>
      <w:tr w:rsidR="00D83289" w14:paraId="6631F7BC" w14:textId="77777777" w:rsidTr="005811E7">
        <w:trPr>
          <w:trHeight w:val="113"/>
        </w:trPr>
        <w:tc>
          <w:tcPr>
            <w:tcW w:w="3467" w:type="dxa"/>
          </w:tcPr>
          <w:p w14:paraId="10CBF366" w14:textId="77777777" w:rsidR="00D83289" w:rsidRDefault="00D83289" w:rsidP="00DD11EB">
            <w:pPr>
              <w:pStyle w:val="TableCopy"/>
            </w:pPr>
            <w:r>
              <w:t>Employee provisions</w:t>
            </w:r>
          </w:p>
        </w:tc>
        <w:tc>
          <w:tcPr>
            <w:tcW w:w="1211" w:type="dxa"/>
          </w:tcPr>
          <w:p w14:paraId="2AC7D8E5" w14:textId="77777777" w:rsidR="00D83289" w:rsidRDefault="00D83289" w:rsidP="005811E7">
            <w:pPr>
              <w:pStyle w:val="TableCopy"/>
              <w:jc w:val="right"/>
            </w:pPr>
            <w:r>
              <w:t>(54,155)</w:t>
            </w:r>
          </w:p>
        </w:tc>
        <w:tc>
          <w:tcPr>
            <w:tcW w:w="1139" w:type="dxa"/>
          </w:tcPr>
          <w:p w14:paraId="4FD8A0A2" w14:textId="77777777" w:rsidR="00D83289" w:rsidRDefault="00D83289" w:rsidP="005811E7">
            <w:pPr>
              <w:pStyle w:val="TableCopy"/>
              <w:jc w:val="right"/>
            </w:pPr>
            <w:r>
              <w:t>(779)</w:t>
            </w:r>
          </w:p>
        </w:tc>
        <w:tc>
          <w:tcPr>
            <w:tcW w:w="1098" w:type="dxa"/>
          </w:tcPr>
          <w:p w14:paraId="44973FB7" w14:textId="77777777" w:rsidR="00D83289" w:rsidRDefault="00D83289" w:rsidP="005811E7">
            <w:pPr>
              <w:pStyle w:val="TableCopy"/>
              <w:jc w:val="right"/>
            </w:pPr>
            <w:r>
              <w:t>(1,649)</w:t>
            </w:r>
          </w:p>
        </w:tc>
        <w:tc>
          <w:tcPr>
            <w:tcW w:w="1113" w:type="dxa"/>
          </w:tcPr>
          <w:p w14:paraId="797439A7" w14:textId="77777777" w:rsidR="00D83289" w:rsidRDefault="00D83289" w:rsidP="005811E7">
            <w:pPr>
              <w:pStyle w:val="TableCopy"/>
              <w:jc w:val="right"/>
            </w:pPr>
            <w:r>
              <w:t>(198)</w:t>
            </w:r>
          </w:p>
        </w:tc>
        <w:tc>
          <w:tcPr>
            <w:tcW w:w="1114" w:type="dxa"/>
          </w:tcPr>
          <w:p w14:paraId="7AD4A444" w14:textId="77777777" w:rsidR="00D83289" w:rsidRDefault="00D83289" w:rsidP="005811E7">
            <w:pPr>
              <w:pStyle w:val="TableCopy"/>
              <w:jc w:val="right"/>
            </w:pPr>
            <w:r>
              <w:t>(763)</w:t>
            </w:r>
          </w:p>
        </w:tc>
        <w:tc>
          <w:tcPr>
            <w:tcW w:w="1143" w:type="dxa"/>
          </w:tcPr>
          <w:p w14:paraId="4AAEB46C" w14:textId="77777777" w:rsidR="00D83289" w:rsidRDefault="00D83289" w:rsidP="005811E7">
            <w:pPr>
              <w:pStyle w:val="TableCopy"/>
              <w:jc w:val="right"/>
            </w:pPr>
            <w:r>
              <w:t>(7,359)</w:t>
            </w:r>
          </w:p>
        </w:tc>
        <w:tc>
          <w:tcPr>
            <w:tcW w:w="1129" w:type="dxa"/>
          </w:tcPr>
          <w:p w14:paraId="2B4C667B" w14:textId="77777777" w:rsidR="00D83289" w:rsidRDefault="00D83289" w:rsidP="005811E7">
            <w:pPr>
              <w:pStyle w:val="TableCopy"/>
              <w:jc w:val="right"/>
            </w:pPr>
            <w:r>
              <w:t>(1,420)</w:t>
            </w:r>
          </w:p>
        </w:tc>
        <w:tc>
          <w:tcPr>
            <w:tcW w:w="1116" w:type="dxa"/>
          </w:tcPr>
          <w:p w14:paraId="2D044EF5" w14:textId="77777777" w:rsidR="00D83289" w:rsidRDefault="00D83289" w:rsidP="005811E7">
            <w:pPr>
              <w:pStyle w:val="TableCopy"/>
              <w:jc w:val="right"/>
            </w:pPr>
            <w:r>
              <w:t>(365)</w:t>
            </w:r>
          </w:p>
        </w:tc>
        <w:tc>
          <w:tcPr>
            <w:tcW w:w="1155" w:type="dxa"/>
          </w:tcPr>
          <w:p w14:paraId="1955D16B" w14:textId="77777777" w:rsidR="00D83289" w:rsidRDefault="00D83289" w:rsidP="005811E7">
            <w:pPr>
              <w:pStyle w:val="TableCopy"/>
              <w:jc w:val="right"/>
            </w:pPr>
            <w:r>
              <w:t>(66,688)</w:t>
            </w:r>
          </w:p>
        </w:tc>
        <w:tc>
          <w:tcPr>
            <w:tcW w:w="1160" w:type="dxa"/>
          </w:tcPr>
          <w:p w14:paraId="0C4FA322" w14:textId="4A92AD2E" w:rsidR="00D83289" w:rsidRDefault="00D83289" w:rsidP="005811E7">
            <w:pPr>
              <w:pStyle w:val="TableCopy"/>
              <w:jc w:val="right"/>
            </w:pPr>
            <w:r>
              <w:t>48,373</w:t>
            </w:r>
          </w:p>
        </w:tc>
      </w:tr>
      <w:tr w:rsidR="00D83289" w:rsidRPr="00D83289" w14:paraId="7798080F" w14:textId="77777777" w:rsidTr="005811E7">
        <w:trPr>
          <w:trHeight w:val="113"/>
        </w:trPr>
        <w:tc>
          <w:tcPr>
            <w:tcW w:w="3467" w:type="dxa"/>
          </w:tcPr>
          <w:p w14:paraId="25F9E3D4" w14:textId="77777777" w:rsidR="00D83289" w:rsidRPr="00D83289" w:rsidRDefault="00D83289" w:rsidP="00DD11EB">
            <w:pPr>
              <w:pStyle w:val="TableCopy"/>
              <w:rPr>
                <w:b/>
                <w:bCs/>
              </w:rPr>
            </w:pPr>
            <w:r w:rsidRPr="00D83289">
              <w:rPr>
                <w:b/>
                <w:bCs/>
              </w:rPr>
              <w:t>Net assets recognised/(transferred)</w:t>
            </w:r>
          </w:p>
        </w:tc>
        <w:tc>
          <w:tcPr>
            <w:tcW w:w="1211" w:type="dxa"/>
          </w:tcPr>
          <w:p w14:paraId="23DF9BEC" w14:textId="780AAB07" w:rsidR="00D83289" w:rsidRPr="00D83289" w:rsidRDefault="00D83289" w:rsidP="005811E7">
            <w:pPr>
              <w:pStyle w:val="TableCopy"/>
              <w:jc w:val="right"/>
              <w:rPr>
                <w:b/>
                <w:bCs/>
              </w:rPr>
            </w:pPr>
            <w:r w:rsidRPr="00D83289">
              <w:rPr>
                <w:b/>
                <w:bCs/>
              </w:rPr>
              <w:t>743,964</w:t>
            </w:r>
          </w:p>
        </w:tc>
        <w:tc>
          <w:tcPr>
            <w:tcW w:w="1139" w:type="dxa"/>
          </w:tcPr>
          <w:p w14:paraId="546D6574" w14:textId="4C502C45" w:rsidR="00D83289" w:rsidRPr="00D83289" w:rsidRDefault="00D83289" w:rsidP="005811E7">
            <w:pPr>
              <w:pStyle w:val="TableCopy"/>
              <w:jc w:val="right"/>
              <w:rPr>
                <w:b/>
                <w:bCs/>
              </w:rPr>
            </w:pPr>
            <w:r w:rsidRPr="00D83289">
              <w:rPr>
                <w:b/>
                <w:bCs/>
              </w:rPr>
              <w:t>12</w:t>
            </w:r>
          </w:p>
        </w:tc>
        <w:tc>
          <w:tcPr>
            <w:tcW w:w="1098" w:type="dxa"/>
          </w:tcPr>
          <w:p w14:paraId="03DA003D" w14:textId="53868DD0" w:rsidR="00D83289" w:rsidRPr="00D83289" w:rsidRDefault="00D83289" w:rsidP="005811E7">
            <w:pPr>
              <w:pStyle w:val="TableCopy"/>
              <w:jc w:val="right"/>
              <w:rPr>
                <w:b/>
                <w:bCs/>
              </w:rPr>
            </w:pPr>
            <w:r w:rsidRPr="00D83289">
              <w:rPr>
                <w:b/>
                <w:bCs/>
              </w:rPr>
              <w:t>–</w:t>
            </w:r>
          </w:p>
        </w:tc>
        <w:tc>
          <w:tcPr>
            <w:tcW w:w="1113" w:type="dxa"/>
          </w:tcPr>
          <w:p w14:paraId="5D47E99E" w14:textId="541AEFD8" w:rsidR="00D83289" w:rsidRPr="00D83289" w:rsidRDefault="00D83289" w:rsidP="005811E7">
            <w:pPr>
              <w:pStyle w:val="TableCopy"/>
              <w:jc w:val="right"/>
              <w:rPr>
                <w:b/>
                <w:bCs/>
              </w:rPr>
            </w:pPr>
            <w:r w:rsidRPr="00D83289">
              <w:rPr>
                <w:b/>
                <w:bCs/>
              </w:rPr>
              <w:t>–</w:t>
            </w:r>
          </w:p>
        </w:tc>
        <w:tc>
          <w:tcPr>
            <w:tcW w:w="1114" w:type="dxa"/>
          </w:tcPr>
          <w:p w14:paraId="2ADA3ADA" w14:textId="7FAAF2C6" w:rsidR="00D83289" w:rsidRPr="00D83289" w:rsidRDefault="00D83289" w:rsidP="005811E7">
            <w:pPr>
              <w:pStyle w:val="TableCopy"/>
              <w:jc w:val="right"/>
              <w:rPr>
                <w:b/>
                <w:bCs/>
              </w:rPr>
            </w:pPr>
            <w:r w:rsidRPr="00D83289">
              <w:rPr>
                <w:b/>
                <w:bCs/>
              </w:rPr>
              <w:t>1,271</w:t>
            </w:r>
          </w:p>
        </w:tc>
        <w:tc>
          <w:tcPr>
            <w:tcW w:w="1143" w:type="dxa"/>
          </w:tcPr>
          <w:p w14:paraId="1110789E" w14:textId="5C308798" w:rsidR="00D83289" w:rsidRPr="00D83289" w:rsidRDefault="00D83289" w:rsidP="005811E7">
            <w:pPr>
              <w:pStyle w:val="TableCopy"/>
              <w:jc w:val="right"/>
              <w:rPr>
                <w:b/>
                <w:bCs/>
              </w:rPr>
            </w:pPr>
            <w:r w:rsidRPr="00D83289">
              <w:rPr>
                <w:b/>
                <w:bCs/>
              </w:rPr>
              <w:t>38,334</w:t>
            </w:r>
          </w:p>
        </w:tc>
        <w:tc>
          <w:tcPr>
            <w:tcW w:w="1129" w:type="dxa"/>
          </w:tcPr>
          <w:p w14:paraId="3FEFFA73" w14:textId="4CCEC130" w:rsidR="00D83289" w:rsidRPr="00D83289" w:rsidRDefault="00D83289" w:rsidP="005811E7">
            <w:pPr>
              <w:pStyle w:val="TableCopy"/>
              <w:jc w:val="right"/>
              <w:rPr>
                <w:b/>
                <w:bCs/>
              </w:rPr>
            </w:pPr>
            <w:r w:rsidRPr="00D83289">
              <w:rPr>
                <w:b/>
                <w:bCs/>
              </w:rPr>
              <w:t>112</w:t>
            </w:r>
          </w:p>
        </w:tc>
        <w:tc>
          <w:tcPr>
            <w:tcW w:w="1116" w:type="dxa"/>
          </w:tcPr>
          <w:p w14:paraId="7467D854" w14:textId="32D628A7" w:rsidR="00D83289" w:rsidRPr="00D83289" w:rsidRDefault="00D83289" w:rsidP="005811E7">
            <w:pPr>
              <w:pStyle w:val="TableCopy"/>
              <w:jc w:val="right"/>
              <w:rPr>
                <w:b/>
                <w:bCs/>
              </w:rPr>
            </w:pPr>
            <w:r w:rsidRPr="00D83289">
              <w:rPr>
                <w:b/>
                <w:bCs/>
              </w:rPr>
              <w:t>23,015</w:t>
            </w:r>
          </w:p>
        </w:tc>
        <w:tc>
          <w:tcPr>
            <w:tcW w:w="1155" w:type="dxa"/>
          </w:tcPr>
          <w:p w14:paraId="4EE30474" w14:textId="5CE25CD1" w:rsidR="00D83289" w:rsidRPr="00D83289" w:rsidRDefault="00D83289" w:rsidP="005811E7">
            <w:pPr>
              <w:pStyle w:val="TableCopy"/>
              <w:jc w:val="right"/>
              <w:rPr>
                <w:b/>
                <w:bCs/>
              </w:rPr>
            </w:pPr>
            <w:r w:rsidRPr="00D83289">
              <w:rPr>
                <w:b/>
                <w:bCs/>
              </w:rPr>
              <w:t>806,708</w:t>
            </w:r>
          </w:p>
        </w:tc>
        <w:tc>
          <w:tcPr>
            <w:tcW w:w="1160" w:type="dxa"/>
          </w:tcPr>
          <w:p w14:paraId="762EAC61" w14:textId="77777777" w:rsidR="00D83289" w:rsidRPr="00D83289" w:rsidRDefault="00D83289" w:rsidP="005811E7">
            <w:pPr>
              <w:pStyle w:val="TableCopy"/>
              <w:jc w:val="right"/>
              <w:rPr>
                <w:b/>
                <w:bCs/>
              </w:rPr>
            </w:pPr>
            <w:r w:rsidRPr="00D83289">
              <w:rPr>
                <w:b/>
                <w:bCs/>
              </w:rPr>
              <w:t>(539,362)</w:t>
            </w:r>
          </w:p>
        </w:tc>
      </w:tr>
    </w:tbl>
    <w:p w14:paraId="072C5CCE" w14:textId="77777777" w:rsidR="00D83289" w:rsidRPr="00D05F44" w:rsidRDefault="00D83289" w:rsidP="00D05F44"/>
    <w:p w14:paraId="02424009" w14:textId="77777777" w:rsidR="00681449" w:rsidRPr="00D05F44" w:rsidRDefault="00681449" w:rsidP="00D05F44">
      <w:pPr>
        <w:sectPr w:rsidR="00681449" w:rsidRPr="00D05F44" w:rsidSect="00681449">
          <w:pgSz w:w="16838" w:h="11906" w:orient="landscape" w:code="9"/>
          <w:pgMar w:top="851" w:right="1134" w:bottom="851" w:left="1134" w:header="397" w:footer="397" w:gutter="0"/>
          <w:cols w:space="720"/>
          <w:noEndnote/>
          <w:docGrid w:linePitch="326"/>
        </w:sectPr>
      </w:pPr>
    </w:p>
    <w:p w14:paraId="63BC2222" w14:textId="55F8AA2D" w:rsidR="000756EB" w:rsidRDefault="004A4D88" w:rsidP="005811E7">
      <w:pPr>
        <w:pStyle w:val="Heading1"/>
      </w:pPr>
      <w:bookmarkStart w:id="62" w:name="_Toc149911813"/>
      <w:r>
        <w:lastRenderedPageBreak/>
        <w:t>5.</w:t>
      </w:r>
      <w:r w:rsidR="00DE38B5">
        <w:t xml:space="preserve"> </w:t>
      </w:r>
      <w:r>
        <w:t>Key</w:t>
      </w:r>
      <w:r w:rsidR="00A03629">
        <w:t xml:space="preserve"> </w:t>
      </w:r>
      <w:r>
        <w:t>Assets</w:t>
      </w:r>
      <w:r w:rsidR="00A03629">
        <w:t xml:space="preserve"> </w:t>
      </w:r>
      <w:r>
        <w:t>Available</w:t>
      </w:r>
      <w:r w:rsidR="00A03629">
        <w:t xml:space="preserve"> </w:t>
      </w:r>
      <w:r>
        <w:t>to</w:t>
      </w:r>
      <w:r w:rsidR="00A03629">
        <w:t xml:space="preserve"> </w:t>
      </w:r>
      <w:r>
        <w:t>Support</w:t>
      </w:r>
      <w:r w:rsidR="00A03629">
        <w:t xml:space="preserve"> </w:t>
      </w:r>
      <w:r>
        <w:t>Output</w:t>
      </w:r>
      <w:r w:rsidR="00A03629">
        <w:rPr>
          <w:rFonts w:ascii="Cambria" w:hAnsi="Cambria" w:cs="Cambria"/>
        </w:rPr>
        <w:t xml:space="preserve"> </w:t>
      </w:r>
      <w:r>
        <w:t>Delivery</w:t>
      </w:r>
      <w:bookmarkEnd w:id="62"/>
    </w:p>
    <w:p w14:paraId="437657E1" w14:textId="77777777" w:rsidR="000756EB" w:rsidRDefault="004A4D88" w:rsidP="005811E7">
      <w:pPr>
        <w:pStyle w:val="Heading2"/>
      </w:pPr>
      <w:bookmarkStart w:id="63" w:name="_Toc149911814"/>
      <w:r>
        <w:t>Introduction</w:t>
      </w:r>
      <w:bookmarkEnd w:id="63"/>
    </w:p>
    <w:p w14:paraId="2E16314D" w14:textId="6C63BDB7" w:rsidR="000756EB" w:rsidRDefault="004A4D88" w:rsidP="005811E7">
      <w:r>
        <w:t>DJSIR</w:t>
      </w:r>
      <w:r w:rsidR="00A03629">
        <w:t xml:space="preserve"> </w:t>
      </w:r>
      <w:r>
        <w:t>controls</w:t>
      </w:r>
      <w:r w:rsidR="00A03629">
        <w:t xml:space="preserve"> </w:t>
      </w:r>
      <w:r>
        <w:t>infrastructure</w:t>
      </w:r>
      <w:r w:rsidR="00A03629">
        <w:t xml:space="preserve"> </w:t>
      </w:r>
      <w:r>
        <w:t>and</w:t>
      </w:r>
      <w:r w:rsidR="00A03629">
        <w:t xml:space="preserve"> </w:t>
      </w:r>
      <w:r>
        <w:t>other</w:t>
      </w:r>
      <w:r w:rsidR="00A03629">
        <w:t xml:space="preserve"> </w:t>
      </w:r>
      <w:r>
        <w:t>investments</w:t>
      </w:r>
      <w:r w:rsidR="00A03629">
        <w:rPr>
          <w:rFonts w:ascii="Cambria" w:hAnsi="Cambria" w:cs="Cambria"/>
        </w:rPr>
        <w:t xml:space="preserve"> </w:t>
      </w:r>
      <w:r>
        <w:t>that</w:t>
      </w:r>
      <w:r w:rsidR="00A03629">
        <w:t xml:space="preserve"> </w:t>
      </w:r>
      <w:r>
        <w:t>are</w:t>
      </w:r>
      <w:r w:rsidR="00A03629">
        <w:t xml:space="preserve"> </w:t>
      </w:r>
      <w:r>
        <w:t>utilised</w:t>
      </w:r>
      <w:r w:rsidR="00A03629">
        <w:t xml:space="preserve"> </w:t>
      </w:r>
      <w:r>
        <w:t>in</w:t>
      </w:r>
      <w:r w:rsidR="00A03629">
        <w:t xml:space="preserve"> </w:t>
      </w:r>
      <w:r>
        <w:t>fulfilling</w:t>
      </w:r>
      <w:r w:rsidR="00A03629">
        <w:t xml:space="preserve"> </w:t>
      </w:r>
      <w:r>
        <w:t>its</w:t>
      </w:r>
      <w:r w:rsidR="00A03629">
        <w:t xml:space="preserve"> </w:t>
      </w:r>
      <w:r>
        <w:t>objectives</w:t>
      </w:r>
      <w:r w:rsidR="00A03629">
        <w:rPr>
          <w:rFonts w:ascii="Cambria" w:hAnsi="Cambria" w:cs="Cambria"/>
        </w:rPr>
        <w:t xml:space="preserve"> </w:t>
      </w:r>
      <w:r>
        <w:t>and</w:t>
      </w:r>
      <w:r w:rsidR="00A03629">
        <w:t xml:space="preserve"> </w:t>
      </w:r>
      <w:r>
        <w:t>conducting</w:t>
      </w:r>
      <w:r w:rsidR="00A03629">
        <w:t xml:space="preserve"> </w:t>
      </w:r>
      <w:r>
        <w:t>its</w:t>
      </w:r>
      <w:r w:rsidR="00A03629">
        <w:t xml:space="preserve"> </w:t>
      </w:r>
      <w:r>
        <w:t>activities.</w:t>
      </w:r>
      <w:r w:rsidR="00A03629">
        <w:t xml:space="preserve"> </w:t>
      </w:r>
      <w:r>
        <w:t>They</w:t>
      </w:r>
      <w:r w:rsidR="00A03629">
        <w:rPr>
          <w:rFonts w:ascii="Cambria" w:hAnsi="Cambria" w:cs="Cambria"/>
        </w:rPr>
        <w:t xml:space="preserve"> </w:t>
      </w:r>
      <w:r>
        <w:t>represent</w:t>
      </w:r>
      <w:r w:rsidR="00A03629">
        <w:t xml:space="preserve"> </w:t>
      </w:r>
      <w:r>
        <w:t>the</w:t>
      </w:r>
      <w:r w:rsidR="00A03629">
        <w:t xml:space="preserve"> </w:t>
      </w:r>
      <w:r>
        <w:t>resources</w:t>
      </w:r>
      <w:r w:rsidR="00A03629">
        <w:t xml:space="preserve"> </w:t>
      </w:r>
      <w:r>
        <w:t>that</w:t>
      </w:r>
      <w:r w:rsidR="00A03629">
        <w:t xml:space="preserve"> </w:t>
      </w:r>
      <w:r>
        <w:t>have</w:t>
      </w:r>
      <w:r w:rsidR="00A03629">
        <w:t xml:space="preserve"> </w:t>
      </w:r>
      <w:r>
        <w:t>been</w:t>
      </w:r>
      <w:r w:rsidR="00A03629">
        <w:t xml:space="preserve"> </w:t>
      </w:r>
      <w:r>
        <w:t>entrusted</w:t>
      </w:r>
      <w:r w:rsidR="00A03629">
        <w:t xml:space="preserve"> </w:t>
      </w:r>
      <w:r>
        <w:t>to</w:t>
      </w:r>
      <w:r w:rsidR="00A03629">
        <w:rPr>
          <w:rFonts w:ascii="Cambria" w:hAnsi="Cambria" w:cs="Cambria"/>
        </w:rPr>
        <w:t xml:space="preserve"> </w:t>
      </w:r>
      <w:r>
        <w:t>DJSIR</w:t>
      </w:r>
      <w:r w:rsidR="00A03629">
        <w:t xml:space="preserve"> </w:t>
      </w:r>
      <w:r>
        <w:t>for</w:t>
      </w:r>
      <w:r w:rsidR="00A03629">
        <w:t xml:space="preserve"> </w:t>
      </w:r>
      <w:r>
        <w:t>delivery</w:t>
      </w:r>
      <w:r w:rsidR="00A03629">
        <w:t xml:space="preserve"> </w:t>
      </w:r>
      <w:r>
        <w:t>of</w:t>
      </w:r>
      <w:r w:rsidR="00A03629">
        <w:t xml:space="preserve"> </w:t>
      </w:r>
      <w:r>
        <w:t>those</w:t>
      </w:r>
      <w:r w:rsidR="00A03629">
        <w:t xml:space="preserve"> </w:t>
      </w:r>
      <w:r>
        <w:t>outputs.</w:t>
      </w:r>
    </w:p>
    <w:p w14:paraId="246E134B" w14:textId="77777777" w:rsidR="000756EB" w:rsidRDefault="004A4D88" w:rsidP="005811E7">
      <w:pPr>
        <w:pStyle w:val="Heading3"/>
        <w:rPr>
          <w:sz w:val="22"/>
          <w:szCs w:val="22"/>
        </w:rPr>
      </w:pPr>
      <w:r>
        <w:t>Structure</w:t>
      </w:r>
    </w:p>
    <w:p w14:paraId="2DE6E031" w14:textId="08EBA9BF" w:rsidR="000756EB" w:rsidRDefault="004A4D88" w:rsidP="001E29DD">
      <w:r>
        <w:t>5.1</w:t>
      </w:r>
      <w:r>
        <w:tab/>
        <w:t>Property,</w:t>
      </w:r>
      <w:r w:rsidR="00A03629">
        <w:t xml:space="preserve"> </w:t>
      </w:r>
      <w:proofErr w:type="gramStart"/>
      <w:r>
        <w:t>plant</w:t>
      </w:r>
      <w:proofErr w:type="gramEnd"/>
      <w:r w:rsidR="00A03629">
        <w:t xml:space="preserve"> </w:t>
      </w:r>
      <w:r>
        <w:t>and</w:t>
      </w:r>
      <w:r w:rsidR="00A03629">
        <w:t xml:space="preserve"> </w:t>
      </w:r>
      <w:r>
        <w:t>equipment</w:t>
      </w:r>
    </w:p>
    <w:p w14:paraId="0D337745" w14:textId="2D68FF22" w:rsidR="000756EB" w:rsidRDefault="004A4D88" w:rsidP="001E29DD">
      <w:r>
        <w:t>5.2</w:t>
      </w:r>
      <w:r>
        <w:tab/>
        <w:t>Joint</w:t>
      </w:r>
      <w:r w:rsidR="00A03629">
        <w:t xml:space="preserve"> </w:t>
      </w:r>
      <w:r>
        <w:t>operations</w:t>
      </w:r>
    </w:p>
    <w:p w14:paraId="02626121" w14:textId="156A8D32" w:rsidR="000756EB" w:rsidRDefault="004A4D88" w:rsidP="001E29DD">
      <w:pPr>
        <w:pStyle w:val="Heading2"/>
      </w:pPr>
      <w:bookmarkStart w:id="64" w:name="_Toc149911815"/>
      <w:r>
        <w:t>5.1</w:t>
      </w:r>
      <w:r w:rsidR="00DE38B5">
        <w:t xml:space="preserve"> </w:t>
      </w:r>
      <w:r>
        <w:t>Total</w:t>
      </w:r>
      <w:r w:rsidR="00A03629">
        <w:t xml:space="preserve"> </w:t>
      </w:r>
      <w:r>
        <w:t>property,</w:t>
      </w:r>
      <w:r w:rsidR="00A03629">
        <w:t xml:space="preserve"> </w:t>
      </w:r>
      <w:proofErr w:type="gramStart"/>
      <w:r>
        <w:t>plant</w:t>
      </w:r>
      <w:proofErr w:type="gramEnd"/>
      <w:r w:rsidR="00A03629">
        <w:t xml:space="preserve"> </w:t>
      </w:r>
      <w:r>
        <w:t>and</w:t>
      </w:r>
      <w:r w:rsidR="00A03629">
        <w:t xml:space="preserve"> </w:t>
      </w:r>
      <w:r>
        <w:t>equipment</w:t>
      </w:r>
      <w:bookmarkEnd w:id="64"/>
    </w:p>
    <w:tbl>
      <w:tblPr>
        <w:tblStyle w:val="TableGrid"/>
        <w:tblW w:w="10365" w:type="dxa"/>
        <w:tblLayout w:type="fixed"/>
        <w:tblLook w:val="0020" w:firstRow="1" w:lastRow="0" w:firstColumn="0" w:lastColumn="0" w:noHBand="0" w:noVBand="0"/>
      </w:tblPr>
      <w:tblGrid>
        <w:gridCol w:w="3256"/>
        <w:gridCol w:w="1244"/>
        <w:gridCol w:w="1204"/>
        <w:gridCol w:w="1108"/>
        <w:gridCol w:w="1107"/>
        <w:gridCol w:w="1214"/>
        <w:gridCol w:w="1232"/>
      </w:tblGrid>
      <w:tr w:rsidR="000756EB" w:rsidRPr="001E29DD" w14:paraId="6FBC6E51" w14:textId="77777777" w:rsidTr="00452B64">
        <w:trPr>
          <w:trHeight w:val="60"/>
        </w:trPr>
        <w:tc>
          <w:tcPr>
            <w:tcW w:w="3256" w:type="dxa"/>
          </w:tcPr>
          <w:p w14:paraId="3E931897" w14:textId="77777777" w:rsidR="000756EB" w:rsidRPr="001E29DD" w:rsidRDefault="000756EB" w:rsidP="001E29DD">
            <w:pPr>
              <w:pStyle w:val="TableColumnHeading"/>
              <w:rPr>
                <w:rFonts w:asciiTheme="minorHAnsi" w:hAnsiTheme="minorHAnsi" w:cstheme="minorHAnsi"/>
                <w:sz w:val="20"/>
                <w:szCs w:val="28"/>
              </w:rPr>
            </w:pPr>
            <w:bookmarkStart w:id="65" w:name="ColumnTitles_37"/>
            <w:bookmarkEnd w:id="65"/>
          </w:p>
        </w:tc>
        <w:tc>
          <w:tcPr>
            <w:tcW w:w="1244" w:type="dxa"/>
          </w:tcPr>
          <w:p w14:paraId="2C233BC3" w14:textId="69FF836D" w:rsidR="000756EB" w:rsidRPr="001E29DD" w:rsidRDefault="001E29DD" w:rsidP="00452B64">
            <w:pPr>
              <w:pStyle w:val="TableColumnHeading"/>
              <w:jc w:val="right"/>
              <w:rPr>
                <w:rFonts w:asciiTheme="minorHAnsi" w:hAnsiTheme="minorHAnsi" w:cstheme="minorHAnsi"/>
                <w:sz w:val="20"/>
                <w:szCs w:val="28"/>
              </w:rPr>
            </w:pPr>
            <w:r w:rsidRPr="001E29DD">
              <w:rPr>
                <w:rFonts w:asciiTheme="minorHAnsi" w:hAnsiTheme="minorHAnsi" w:cstheme="minorHAnsi"/>
                <w:sz w:val="20"/>
                <w:szCs w:val="28"/>
              </w:rPr>
              <w:t xml:space="preserve">Gross carrying amount </w:t>
            </w:r>
            <w:r w:rsidR="004A4D88" w:rsidRPr="001E29DD">
              <w:rPr>
                <w:rFonts w:asciiTheme="minorHAnsi" w:hAnsiTheme="minorHAnsi" w:cstheme="minorHAnsi"/>
                <w:sz w:val="20"/>
                <w:szCs w:val="28"/>
              </w:rPr>
              <w:t>2023</w:t>
            </w:r>
            <w:r w:rsidR="00A03629" w:rsidRPr="001E29DD">
              <w:rPr>
                <w:rFonts w:asciiTheme="minorHAnsi" w:hAnsiTheme="minorHAnsi" w:cstheme="minorHAnsi"/>
                <w:sz w:val="20"/>
                <w:szCs w:val="28"/>
              </w:rPr>
              <w:t xml:space="preserve"> </w:t>
            </w:r>
            <w:r w:rsidRPr="001E29DD">
              <w:rPr>
                <w:rFonts w:asciiTheme="minorHAnsi" w:hAnsiTheme="minorHAnsi" w:cstheme="minorHAnsi"/>
                <w:sz w:val="20"/>
                <w:szCs w:val="28"/>
              </w:rPr>
              <w:t>($ thousand)</w:t>
            </w:r>
          </w:p>
        </w:tc>
        <w:tc>
          <w:tcPr>
            <w:tcW w:w="1204" w:type="dxa"/>
          </w:tcPr>
          <w:p w14:paraId="5EB878B0" w14:textId="232A9F09" w:rsidR="000756EB" w:rsidRPr="001E29DD" w:rsidRDefault="001E29DD" w:rsidP="00452B64">
            <w:pPr>
              <w:pStyle w:val="TableColumnHeading"/>
              <w:jc w:val="right"/>
              <w:rPr>
                <w:rFonts w:asciiTheme="minorHAnsi" w:hAnsiTheme="minorHAnsi" w:cstheme="minorHAnsi"/>
                <w:sz w:val="20"/>
                <w:szCs w:val="28"/>
              </w:rPr>
            </w:pPr>
            <w:r w:rsidRPr="001E29DD">
              <w:rPr>
                <w:rFonts w:asciiTheme="minorHAnsi" w:hAnsiTheme="minorHAnsi" w:cstheme="minorHAnsi"/>
                <w:sz w:val="20"/>
                <w:szCs w:val="28"/>
              </w:rPr>
              <w:t xml:space="preserve">Gross carrying amount </w:t>
            </w:r>
            <w:r w:rsidR="004A4D88" w:rsidRPr="001E29DD">
              <w:rPr>
                <w:rFonts w:asciiTheme="minorHAnsi" w:hAnsiTheme="minorHAnsi" w:cstheme="minorHAnsi"/>
                <w:sz w:val="20"/>
                <w:szCs w:val="28"/>
              </w:rPr>
              <w:t>2022</w:t>
            </w:r>
            <w:r w:rsidRPr="001E29DD">
              <w:rPr>
                <w:rFonts w:asciiTheme="minorHAnsi" w:hAnsiTheme="minorHAnsi" w:cstheme="minorHAnsi"/>
                <w:sz w:val="20"/>
                <w:szCs w:val="28"/>
              </w:rPr>
              <w:t xml:space="preserve"> ($ thousand)</w:t>
            </w:r>
          </w:p>
        </w:tc>
        <w:tc>
          <w:tcPr>
            <w:tcW w:w="1108" w:type="dxa"/>
          </w:tcPr>
          <w:p w14:paraId="65FAD166" w14:textId="64369012" w:rsidR="000756EB" w:rsidRPr="001E29DD" w:rsidRDefault="001E29DD" w:rsidP="00452B64">
            <w:pPr>
              <w:pStyle w:val="TableColumnHeading"/>
              <w:jc w:val="right"/>
              <w:rPr>
                <w:rFonts w:asciiTheme="minorHAnsi" w:hAnsiTheme="minorHAnsi" w:cstheme="minorHAnsi"/>
                <w:sz w:val="20"/>
                <w:szCs w:val="28"/>
              </w:rPr>
            </w:pPr>
            <w:r w:rsidRPr="001E29DD">
              <w:rPr>
                <w:rFonts w:asciiTheme="minorHAnsi" w:hAnsiTheme="minorHAnsi" w:cstheme="minorHAnsi"/>
                <w:sz w:val="20"/>
                <w:szCs w:val="28"/>
              </w:rPr>
              <w:t xml:space="preserve">Accumulated depreciation </w:t>
            </w:r>
            <w:r w:rsidR="004A4D88" w:rsidRPr="001E29DD">
              <w:rPr>
                <w:rFonts w:asciiTheme="minorHAnsi" w:hAnsiTheme="minorHAnsi" w:cstheme="minorHAnsi"/>
                <w:sz w:val="20"/>
                <w:szCs w:val="28"/>
              </w:rPr>
              <w:t>2023</w:t>
            </w:r>
            <w:r w:rsidR="00A03629" w:rsidRPr="001E29DD">
              <w:rPr>
                <w:rFonts w:asciiTheme="minorHAnsi" w:hAnsiTheme="minorHAnsi" w:cstheme="minorHAnsi"/>
                <w:sz w:val="20"/>
                <w:szCs w:val="28"/>
              </w:rPr>
              <w:t xml:space="preserve"> </w:t>
            </w:r>
            <w:r w:rsidRPr="001E29DD">
              <w:rPr>
                <w:rFonts w:asciiTheme="minorHAnsi" w:hAnsiTheme="minorHAnsi" w:cstheme="minorHAnsi"/>
                <w:sz w:val="20"/>
                <w:szCs w:val="28"/>
              </w:rPr>
              <w:t>($ thousand)</w:t>
            </w:r>
          </w:p>
        </w:tc>
        <w:tc>
          <w:tcPr>
            <w:tcW w:w="1107" w:type="dxa"/>
          </w:tcPr>
          <w:p w14:paraId="6240319C" w14:textId="21765292" w:rsidR="000756EB" w:rsidRPr="001E29DD" w:rsidRDefault="001E29DD" w:rsidP="00452B64">
            <w:pPr>
              <w:pStyle w:val="TableColumnHeading"/>
              <w:jc w:val="right"/>
              <w:rPr>
                <w:rFonts w:asciiTheme="minorHAnsi" w:hAnsiTheme="minorHAnsi" w:cstheme="minorHAnsi"/>
                <w:sz w:val="20"/>
                <w:szCs w:val="28"/>
              </w:rPr>
            </w:pPr>
            <w:r w:rsidRPr="001E29DD">
              <w:rPr>
                <w:rFonts w:asciiTheme="minorHAnsi" w:hAnsiTheme="minorHAnsi" w:cstheme="minorHAnsi"/>
                <w:sz w:val="20"/>
                <w:szCs w:val="28"/>
              </w:rPr>
              <w:t xml:space="preserve">Accumulated depreciation </w:t>
            </w:r>
            <w:r w:rsidR="004A4D88" w:rsidRPr="001E29DD">
              <w:rPr>
                <w:rFonts w:asciiTheme="minorHAnsi" w:hAnsiTheme="minorHAnsi" w:cstheme="minorHAnsi"/>
                <w:sz w:val="20"/>
                <w:szCs w:val="28"/>
              </w:rPr>
              <w:t>2022</w:t>
            </w:r>
            <w:r w:rsidRPr="001E29DD">
              <w:rPr>
                <w:rFonts w:asciiTheme="minorHAnsi" w:hAnsiTheme="minorHAnsi" w:cstheme="minorHAnsi"/>
                <w:sz w:val="20"/>
                <w:szCs w:val="28"/>
              </w:rPr>
              <w:t xml:space="preserve"> ($ thousand)</w:t>
            </w:r>
          </w:p>
        </w:tc>
        <w:tc>
          <w:tcPr>
            <w:tcW w:w="1214" w:type="dxa"/>
          </w:tcPr>
          <w:p w14:paraId="53BC1BAA" w14:textId="4D24CE2B" w:rsidR="000756EB" w:rsidRPr="001E29DD" w:rsidRDefault="001E29DD" w:rsidP="00452B64">
            <w:pPr>
              <w:pStyle w:val="TableColumnHeading"/>
              <w:jc w:val="right"/>
              <w:rPr>
                <w:rFonts w:asciiTheme="minorHAnsi" w:hAnsiTheme="minorHAnsi" w:cstheme="minorHAnsi"/>
                <w:sz w:val="20"/>
                <w:szCs w:val="28"/>
              </w:rPr>
            </w:pPr>
            <w:r w:rsidRPr="001E29DD">
              <w:rPr>
                <w:rFonts w:asciiTheme="minorHAnsi" w:hAnsiTheme="minorHAnsi" w:cstheme="minorHAnsi"/>
                <w:sz w:val="20"/>
                <w:szCs w:val="28"/>
              </w:rPr>
              <w:t xml:space="preserve">Net carrying amount </w:t>
            </w:r>
            <w:r w:rsidR="004A4D88" w:rsidRPr="001E29DD">
              <w:rPr>
                <w:rFonts w:asciiTheme="minorHAnsi" w:hAnsiTheme="minorHAnsi" w:cstheme="minorHAnsi"/>
                <w:sz w:val="20"/>
                <w:szCs w:val="28"/>
              </w:rPr>
              <w:t>2023</w:t>
            </w:r>
            <w:r w:rsidR="00A03629" w:rsidRPr="001E29DD">
              <w:rPr>
                <w:rFonts w:asciiTheme="minorHAnsi" w:hAnsiTheme="minorHAnsi" w:cstheme="minorHAnsi"/>
                <w:sz w:val="20"/>
                <w:szCs w:val="28"/>
              </w:rPr>
              <w:t xml:space="preserve"> </w:t>
            </w:r>
            <w:r w:rsidRPr="001E29DD">
              <w:rPr>
                <w:rFonts w:asciiTheme="minorHAnsi" w:hAnsiTheme="minorHAnsi" w:cstheme="minorHAnsi"/>
                <w:sz w:val="20"/>
                <w:szCs w:val="28"/>
              </w:rPr>
              <w:t>($ thousand)</w:t>
            </w:r>
          </w:p>
        </w:tc>
        <w:tc>
          <w:tcPr>
            <w:tcW w:w="1232" w:type="dxa"/>
          </w:tcPr>
          <w:p w14:paraId="727E3B78" w14:textId="1BC3B4AA" w:rsidR="000756EB" w:rsidRPr="001E29DD" w:rsidRDefault="001E29DD" w:rsidP="00452B64">
            <w:pPr>
              <w:pStyle w:val="TableColumnHeading"/>
              <w:jc w:val="right"/>
              <w:rPr>
                <w:rFonts w:asciiTheme="minorHAnsi" w:hAnsiTheme="minorHAnsi" w:cstheme="minorHAnsi"/>
                <w:sz w:val="20"/>
                <w:szCs w:val="28"/>
              </w:rPr>
            </w:pPr>
            <w:r w:rsidRPr="001E29DD">
              <w:rPr>
                <w:rFonts w:asciiTheme="minorHAnsi" w:hAnsiTheme="minorHAnsi" w:cstheme="minorHAnsi"/>
                <w:sz w:val="20"/>
                <w:szCs w:val="28"/>
              </w:rPr>
              <w:t xml:space="preserve">Net carrying amount </w:t>
            </w:r>
            <w:r w:rsidR="004A4D88" w:rsidRPr="001E29DD">
              <w:rPr>
                <w:rFonts w:asciiTheme="minorHAnsi" w:hAnsiTheme="minorHAnsi" w:cstheme="minorHAnsi"/>
                <w:sz w:val="20"/>
                <w:szCs w:val="28"/>
              </w:rPr>
              <w:t>2022</w:t>
            </w:r>
            <w:r w:rsidRPr="001E29DD">
              <w:rPr>
                <w:rFonts w:asciiTheme="minorHAnsi" w:hAnsiTheme="minorHAnsi" w:cstheme="minorHAnsi"/>
                <w:sz w:val="20"/>
                <w:szCs w:val="28"/>
              </w:rPr>
              <w:t xml:space="preserve"> ($ thousand)</w:t>
            </w:r>
          </w:p>
        </w:tc>
      </w:tr>
      <w:tr w:rsidR="000756EB" w14:paraId="0CD73918" w14:textId="77777777" w:rsidTr="00452B64">
        <w:trPr>
          <w:trHeight w:val="60"/>
        </w:trPr>
        <w:tc>
          <w:tcPr>
            <w:tcW w:w="3256" w:type="dxa"/>
          </w:tcPr>
          <w:p w14:paraId="2AE0FFDB" w14:textId="46D21AD4" w:rsidR="000756EB" w:rsidRDefault="004A4D88" w:rsidP="001E29DD">
            <w:pPr>
              <w:pStyle w:val="TableCopy"/>
            </w:pPr>
            <w:r>
              <w:t>Land</w:t>
            </w:r>
            <w:r w:rsidR="00A03629">
              <w:t xml:space="preserve"> </w:t>
            </w:r>
            <w:r>
              <w:t>at</w:t>
            </w:r>
            <w:r w:rsidR="00A03629">
              <w:t xml:space="preserve"> </w:t>
            </w:r>
            <w:r>
              <w:t>fair</w:t>
            </w:r>
            <w:r w:rsidR="00A03629">
              <w:t xml:space="preserve"> </w:t>
            </w:r>
            <w:r>
              <w:t>value</w:t>
            </w:r>
          </w:p>
        </w:tc>
        <w:tc>
          <w:tcPr>
            <w:tcW w:w="1244" w:type="dxa"/>
          </w:tcPr>
          <w:p w14:paraId="14C433BA" w14:textId="730FA912" w:rsidR="000756EB" w:rsidRDefault="004A4D88" w:rsidP="00452B64">
            <w:pPr>
              <w:pStyle w:val="TableCopy"/>
              <w:jc w:val="right"/>
            </w:pPr>
            <w:r>
              <w:t>849,566</w:t>
            </w:r>
          </w:p>
        </w:tc>
        <w:tc>
          <w:tcPr>
            <w:tcW w:w="1204" w:type="dxa"/>
          </w:tcPr>
          <w:p w14:paraId="46011EC4" w14:textId="3AD60E00" w:rsidR="000756EB" w:rsidRDefault="004A4D88" w:rsidP="00452B64">
            <w:pPr>
              <w:pStyle w:val="TableCopy"/>
              <w:jc w:val="right"/>
            </w:pPr>
            <w:r>
              <w:t>1,009,540</w:t>
            </w:r>
          </w:p>
        </w:tc>
        <w:tc>
          <w:tcPr>
            <w:tcW w:w="1108" w:type="dxa"/>
          </w:tcPr>
          <w:p w14:paraId="340627E2" w14:textId="77777777" w:rsidR="000756EB" w:rsidRDefault="004A4D88" w:rsidP="00452B64">
            <w:pPr>
              <w:pStyle w:val="TableCopy"/>
              <w:jc w:val="right"/>
            </w:pPr>
            <w:r>
              <w:t>–</w:t>
            </w:r>
          </w:p>
        </w:tc>
        <w:tc>
          <w:tcPr>
            <w:tcW w:w="1107" w:type="dxa"/>
          </w:tcPr>
          <w:p w14:paraId="6B34EB68" w14:textId="77777777" w:rsidR="000756EB" w:rsidRDefault="004A4D88" w:rsidP="00452B64">
            <w:pPr>
              <w:pStyle w:val="TableCopy"/>
              <w:jc w:val="right"/>
            </w:pPr>
            <w:r>
              <w:t>–</w:t>
            </w:r>
          </w:p>
        </w:tc>
        <w:tc>
          <w:tcPr>
            <w:tcW w:w="1214" w:type="dxa"/>
          </w:tcPr>
          <w:p w14:paraId="6837DA9B" w14:textId="40E3F695" w:rsidR="000756EB" w:rsidRDefault="004A4D88" w:rsidP="00452B64">
            <w:pPr>
              <w:pStyle w:val="TableCopy"/>
              <w:jc w:val="right"/>
            </w:pPr>
            <w:r>
              <w:t>849,566</w:t>
            </w:r>
          </w:p>
        </w:tc>
        <w:tc>
          <w:tcPr>
            <w:tcW w:w="1232" w:type="dxa"/>
          </w:tcPr>
          <w:p w14:paraId="41CA66D1" w14:textId="04779124" w:rsidR="000756EB" w:rsidRDefault="004A4D88" w:rsidP="00452B64">
            <w:pPr>
              <w:pStyle w:val="TableCopy"/>
              <w:jc w:val="right"/>
            </w:pPr>
            <w:r>
              <w:t>1,009,540</w:t>
            </w:r>
          </w:p>
        </w:tc>
      </w:tr>
      <w:tr w:rsidR="000756EB" w14:paraId="7E49CE66" w14:textId="77777777" w:rsidTr="00452B64">
        <w:trPr>
          <w:trHeight w:val="60"/>
        </w:trPr>
        <w:tc>
          <w:tcPr>
            <w:tcW w:w="3256" w:type="dxa"/>
          </w:tcPr>
          <w:p w14:paraId="37B6070A" w14:textId="64A37F09" w:rsidR="000756EB" w:rsidRDefault="004A4D88" w:rsidP="001E29DD">
            <w:pPr>
              <w:pStyle w:val="TableCopy"/>
            </w:pPr>
            <w:r>
              <w:t>Buildings</w:t>
            </w:r>
            <w:r w:rsidR="00A03629">
              <w:t xml:space="preserve"> </w:t>
            </w:r>
            <w:r>
              <w:t>and</w:t>
            </w:r>
            <w:r w:rsidR="00A03629">
              <w:t xml:space="preserve"> </w:t>
            </w:r>
            <w:r>
              <w:t>structures</w:t>
            </w:r>
            <w:r w:rsidR="00A03629">
              <w:t xml:space="preserve"> </w:t>
            </w:r>
            <w:r>
              <w:t>at</w:t>
            </w:r>
            <w:r w:rsidR="00A03629">
              <w:t xml:space="preserve"> </w:t>
            </w:r>
            <w:r>
              <w:t>fair</w:t>
            </w:r>
            <w:r w:rsidR="00A03629">
              <w:t xml:space="preserve"> </w:t>
            </w:r>
            <w:r>
              <w:t>value</w:t>
            </w:r>
          </w:p>
        </w:tc>
        <w:tc>
          <w:tcPr>
            <w:tcW w:w="1244" w:type="dxa"/>
          </w:tcPr>
          <w:p w14:paraId="5D38E2BF" w14:textId="7A07D1D7" w:rsidR="000756EB" w:rsidRDefault="004A4D88" w:rsidP="00452B64">
            <w:pPr>
              <w:pStyle w:val="TableCopy"/>
              <w:jc w:val="right"/>
            </w:pPr>
            <w:r>
              <w:t>297,252</w:t>
            </w:r>
          </w:p>
        </w:tc>
        <w:tc>
          <w:tcPr>
            <w:tcW w:w="1204" w:type="dxa"/>
          </w:tcPr>
          <w:p w14:paraId="6A5FAA9A" w14:textId="190A150D" w:rsidR="000756EB" w:rsidRDefault="004A4D88" w:rsidP="00452B64">
            <w:pPr>
              <w:pStyle w:val="TableCopy"/>
              <w:jc w:val="right"/>
            </w:pPr>
            <w:r>
              <w:t>535,080</w:t>
            </w:r>
          </w:p>
        </w:tc>
        <w:tc>
          <w:tcPr>
            <w:tcW w:w="1108" w:type="dxa"/>
          </w:tcPr>
          <w:p w14:paraId="7320C164" w14:textId="77777777" w:rsidR="000756EB" w:rsidRDefault="004A4D88" w:rsidP="00452B64">
            <w:pPr>
              <w:pStyle w:val="TableCopy"/>
              <w:jc w:val="right"/>
            </w:pPr>
            <w:r>
              <w:t>(22,253)</w:t>
            </w:r>
          </w:p>
        </w:tc>
        <w:tc>
          <w:tcPr>
            <w:tcW w:w="1107" w:type="dxa"/>
          </w:tcPr>
          <w:p w14:paraId="4AA8054D" w14:textId="77777777" w:rsidR="000756EB" w:rsidRDefault="004A4D88" w:rsidP="00452B64">
            <w:pPr>
              <w:pStyle w:val="TableCopy"/>
              <w:jc w:val="right"/>
            </w:pPr>
            <w:r>
              <w:t>(46,730)</w:t>
            </w:r>
          </w:p>
        </w:tc>
        <w:tc>
          <w:tcPr>
            <w:tcW w:w="1214" w:type="dxa"/>
          </w:tcPr>
          <w:p w14:paraId="2AE02B13" w14:textId="32D65596" w:rsidR="000756EB" w:rsidRDefault="004A4D88" w:rsidP="00452B64">
            <w:pPr>
              <w:pStyle w:val="TableCopy"/>
              <w:jc w:val="right"/>
            </w:pPr>
            <w:r>
              <w:t>274,999</w:t>
            </w:r>
          </w:p>
        </w:tc>
        <w:tc>
          <w:tcPr>
            <w:tcW w:w="1232" w:type="dxa"/>
          </w:tcPr>
          <w:p w14:paraId="74E1320B" w14:textId="639E285E" w:rsidR="000756EB" w:rsidRDefault="004A4D88" w:rsidP="00452B64">
            <w:pPr>
              <w:pStyle w:val="TableCopy"/>
              <w:jc w:val="right"/>
            </w:pPr>
            <w:r>
              <w:t>488,350</w:t>
            </w:r>
          </w:p>
        </w:tc>
      </w:tr>
      <w:tr w:rsidR="000756EB" w14:paraId="7D52B8B3" w14:textId="77777777" w:rsidTr="00452B64">
        <w:trPr>
          <w:trHeight w:val="60"/>
        </w:trPr>
        <w:tc>
          <w:tcPr>
            <w:tcW w:w="3256" w:type="dxa"/>
          </w:tcPr>
          <w:p w14:paraId="70800960" w14:textId="487CF525" w:rsidR="000756EB" w:rsidRDefault="004A4D88" w:rsidP="001E29DD">
            <w:pPr>
              <w:pStyle w:val="TableCopy"/>
            </w:pPr>
            <w:r>
              <w:rPr>
                <w:spacing w:val="-2"/>
              </w:rPr>
              <w:t>Leasehold</w:t>
            </w:r>
            <w:r w:rsidR="00A03629">
              <w:rPr>
                <w:spacing w:val="-2"/>
              </w:rPr>
              <w:t xml:space="preserve"> </w:t>
            </w:r>
            <w:r>
              <w:rPr>
                <w:spacing w:val="-2"/>
              </w:rPr>
              <w:t>Improvements</w:t>
            </w:r>
            <w:r w:rsidR="00A03629">
              <w:rPr>
                <w:spacing w:val="-2"/>
              </w:rPr>
              <w:t xml:space="preserve"> </w:t>
            </w:r>
            <w:r>
              <w:rPr>
                <w:spacing w:val="-2"/>
              </w:rPr>
              <w:t>at</w:t>
            </w:r>
            <w:r w:rsidR="00A03629">
              <w:rPr>
                <w:spacing w:val="-2"/>
              </w:rPr>
              <w:t xml:space="preserve"> </w:t>
            </w:r>
            <w:r>
              <w:rPr>
                <w:spacing w:val="-2"/>
              </w:rPr>
              <w:t>fair</w:t>
            </w:r>
            <w:r w:rsidR="00A03629">
              <w:rPr>
                <w:spacing w:val="-2"/>
              </w:rPr>
              <w:t xml:space="preserve"> </w:t>
            </w:r>
            <w:r>
              <w:rPr>
                <w:spacing w:val="-2"/>
              </w:rPr>
              <w:t>value</w:t>
            </w:r>
          </w:p>
        </w:tc>
        <w:tc>
          <w:tcPr>
            <w:tcW w:w="1244" w:type="dxa"/>
          </w:tcPr>
          <w:p w14:paraId="7AF49E7C" w14:textId="457F85ED" w:rsidR="000756EB" w:rsidRDefault="004A4D88" w:rsidP="00452B64">
            <w:pPr>
              <w:pStyle w:val="TableCopy"/>
              <w:jc w:val="right"/>
            </w:pPr>
            <w:r>
              <w:t>26,615</w:t>
            </w:r>
          </w:p>
        </w:tc>
        <w:tc>
          <w:tcPr>
            <w:tcW w:w="1204" w:type="dxa"/>
          </w:tcPr>
          <w:p w14:paraId="1570E992" w14:textId="48419E87" w:rsidR="000756EB" w:rsidRDefault="004A4D88" w:rsidP="00452B64">
            <w:pPr>
              <w:pStyle w:val="TableCopy"/>
              <w:jc w:val="right"/>
            </w:pPr>
            <w:r>
              <w:t>39,899</w:t>
            </w:r>
          </w:p>
        </w:tc>
        <w:tc>
          <w:tcPr>
            <w:tcW w:w="1108" w:type="dxa"/>
          </w:tcPr>
          <w:p w14:paraId="27BD3685" w14:textId="77777777" w:rsidR="000756EB" w:rsidRDefault="004A4D88" w:rsidP="00452B64">
            <w:pPr>
              <w:pStyle w:val="TableCopy"/>
              <w:jc w:val="right"/>
            </w:pPr>
            <w:r>
              <w:t>(19,070)</w:t>
            </w:r>
          </w:p>
        </w:tc>
        <w:tc>
          <w:tcPr>
            <w:tcW w:w="1107" w:type="dxa"/>
          </w:tcPr>
          <w:p w14:paraId="20E153CD" w14:textId="77777777" w:rsidR="000756EB" w:rsidRDefault="004A4D88" w:rsidP="00452B64">
            <w:pPr>
              <w:pStyle w:val="TableCopy"/>
              <w:jc w:val="right"/>
            </w:pPr>
            <w:r>
              <w:t>(19,806)</w:t>
            </w:r>
          </w:p>
        </w:tc>
        <w:tc>
          <w:tcPr>
            <w:tcW w:w="1214" w:type="dxa"/>
          </w:tcPr>
          <w:p w14:paraId="7F589DE2" w14:textId="186B7B2F" w:rsidR="000756EB" w:rsidRDefault="004A4D88" w:rsidP="00452B64">
            <w:pPr>
              <w:pStyle w:val="TableCopy"/>
              <w:jc w:val="right"/>
            </w:pPr>
            <w:r>
              <w:t>7,546</w:t>
            </w:r>
          </w:p>
        </w:tc>
        <w:tc>
          <w:tcPr>
            <w:tcW w:w="1232" w:type="dxa"/>
          </w:tcPr>
          <w:p w14:paraId="05ADF312" w14:textId="6E618141" w:rsidR="000756EB" w:rsidRDefault="004A4D88" w:rsidP="00452B64">
            <w:pPr>
              <w:pStyle w:val="TableCopy"/>
              <w:jc w:val="right"/>
            </w:pPr>
            <w:r>
              <w:t>20,093</w:t>
            </w:r>
          </w:p>
        </w:tc>
      </w:tr>
      <w:tr w:rsidR="000756EB" w14:paraId="722E7CB5" w14:textId="77777777" w:rsidTr="00452B64">
        <w:trPr>
          <w:trHeight w:val="60"/>
        </w:trPr>
        <w:tc>
          <w:tcPr>
            <w:tcW w:w="3256" w:type="dxa"/>
          </w:tcPr>
          <w:p w14:paraId="6984AFF3" w14:textId="30EB98D6" w:rsidR="000756EB" w:rsidRDefault="004A4D88" w:rsidP="001E29DD">
            <w:pPr>
              <w:pStyle w:val="TableCopy"/>
            </w:pPr>
            <w:r>
              <w:t>Plant</w:t>
            </w:r>
            <w:r w:rsidR="00A03629">
              <w:t xml:space="preserve"> </w:t>
            </w:r>
            <w:r>
              <w:t>and</w:t>
            </w:r>
            <w:r w:rsidR="00A03629">
              <w:t xml:space="preserve"> </w:t>
            </w:r>
            <w:r>
              <w:t>equipment</w:t>
            </w:r>
            <w:r w:rsidR="00A03629">
              <w:t xml:space="preserve"> </w:t>
            </w:r>
            <w:r>
              <w:t>at</w:t>
            </w:r>
            <w:r w:rsidR="00A03629">
              <w:t xml:space="preserve"> </w:t>
            </w:r>
            <w:r>
              <w:t>fair</w:t>
            </w:r>
            <w:r w:rsidR="00A03629">
              <w:t xml:space="preserve"> </w:t>
            </w:r>
            <w:r>
              <w:t>value</w:t>
            </w:r>
          </w:p>
        </w:tc>
        <w:tc>
          <w:tcPr>
            <w:tcW w:w="1244" w:type="dxa"/>
          </w:tcPr>
          <w:p w14:paraId="225EE01C" w14:textId="2DA889E2" w:rsidR="000756EB" w:rsidRDefault="004A4D88" w:rsidP="00452B64">
            <w:pPr>
              <w:pStyle w:val="TableCopy"/>
              <w:jc w:val="right"/>
            </w:pPr>
            <w:r>
              <w:t>1,708</w:t>
            </w:r>
          </w:p>
        </w:tc>
        <w:tc>
          <w:tcPr>
            <w:tcW w:w="1204" w:type="dxa"/>
          </w:tcPr>
          <w:p w14:paraId="2CC85C0D" w14:textId="35BE72E7" w:rsidR="000756EB" w:rsidRDefault="004A4D88" w:rsidP="00452B64">
            <w:pPr>
              <w:pStyle w:val="TableCopy"/>
              <w:jc w:val="right"/>
            </w:pPr>
            <w:r>
              <w:t>40,504</w:t>
            </w:r>
          </w:p>
        </w:tc>
        <w:tc>
          <w:tcPr>
            <w:tcW w:w="1108" w:type="dxa"/>
          </w:tcPr>
          <w:p w14:paraId="1D803C4F" w14:textId="77777777" w:rsidR="000756EB" w:rsidRDefault="004A4D88" w:rsidP="00452B64">
            <w:pPr>
              <w:pStyle w:val="TableCopy"/>
              <w:jc w:val="right"/>
            </w:pPr>
            <w:r>
              <w:t>(715)</w:t>
            </w:r>
          </w:p>
        </w:tc>
        <w:tc>
          <w:tcPr>
            <w:tcW w:w="1107" w:type="dxa"/>
          </w:tcPr>
          <w:p w14:paraId="5B967784" w14:textId="77777777" w:rsidR="000756EB" w:rsidRDefault="004A4D88" w:rsidP="00452B64">
            <w:pPr>
              <w:pStyle w:val="TableCopy"/>
              <w:jc w:val="right"/>
            </w:pPr>
            <w:r>
              <w:t>(16,623)</w:t>
            </w:r>
          </w:p>
        </w:tc>
        <w:tc>
          <w:tcPr>
            <w:tcW w:w="1214" w:type="dxa"/>
          </w:tcPr>
          <w:p w14:paraId="3673F478" w14:textId="664ACC8D" w:rsidR="000756EB" w:rsidRDefault="004A4D88" w:rsidP="00452B64">
            <w:pPr>
              <w:pStyle w:val="TableCopy"/>
              <w:jc w:val="right"/>
            </w:pPr>
            <w:r>
              <w:t>993</w:t>
            </w:r>
          </w:p>
        </w:tc>
        <w:tc>
          <w:tcPr>
            <w:tcW w:w="1232" w:type="dxa"/>
          </w:tcPr>
          <w:p w14:paraId="1976808E" w14:textId="5E9625BF" w:rsidR="000756EB" w:rsidRDefault="004A4D88" w:rsidP="00452B64">
            <w:pPr>
              <w:pStyle w:val="TableCopy"/>
              <w:jc w:val="right"/>
            </w:pPr>
            <w:r>
              <w:t>23,881</w:t>
            </w:r>
          </w:p>
        </w:tc>
      </w:tr>
      <w:tr w:rsidR="000756EB" w14:paraId="0E0DABF3" w14:textId="77777777" w:rsidTr="00452B64">
        <w:trPr>
          <w:trHeight w:val="60"/>
        </w:trPr>
        <w:tc>
          <w:tcPr>
            <w:tcW w:w="3256" w:type="dxa"/>
          </w:tcPr>
          <w:p w14:paraId="7C7323A3" w14:textId="5484E770" w:rsidR="000756EB" w:rsidRDefault="004A4D88" w:rsidP="001E29DD">
            <w:pPr>
              <w:pStyle w:val="TableCopy"/>
            </w:pPr>
            <w:r>
              <w:t>Motor</w:t>
            </w:r>
            <w:r w:rsidR="00A03629">
              <w:t xml:space="preserve"> </w:t>
            </w:r>
            <w:r>
              <w:t>vehicles</w:t>
            </w:r>
            <w:r w:rsidR="00A03629">
              <w:t xml:space="preserve"> </w:t>
            </w:r>
            <w:r>
              <w:t>at</w:t>
            </w:r>
            <w:r w:rsidR="00A03629">
              <w:t xml:space="preserve"> </w:t>
            </w:r>
            <w:r>
              <w:t>fair</w:t>
            </w:r>
            <w:r w:rsidR="00A03629">
              <w:t xml:space="preserve"> </w:t>
            </w:r>
            <w:r>
              <w:t>value</w:t>
            </w:r>
          </w:p>
        </w:tc>
        <w:tc>
          <w:tcPr>
            <w:tcW w:w="1244" w:type="dxa"/>
          </w:tcPr>
          <w:p w14:paraId="682B1607" w14:textId="4132F923" w:rsidR="000756EB" w:rsidRDefault="004A4D88" w:rsidP="00452B64">
            <w:pPr>
              <w:pStyle w:val="TableCopy"/>
              <w:jc w:val="right"/>
            </w:pPr>
            <w:r>
              <w:t>4,799</w:t>
            </w:r>
          </w:p>
        </w:tc>
        <w:tc>
          <w:tcPr>
            <w:tcW w:w="1204" w:type="dxa"/>
          </w:tcPr>
          <w:p w14:paraId="57F90773" w14:textId="5B8C8B01" w:rsidR="000756EB" w:rsidRDefault="004A4D88" w:rsidP="00452B64">
            <w:pPr>
              <w:pStyle w:val="TableCopy"/>
              <w:jc w:val="right"/>
            </w:pPr>
            <w:r>
              <w:t>18,540</w:t>
            </w:r>
          </w:p>
        </w:tc>
        <w:tc>
          <w:tcPr>
            <w:tcW w:w="1108" w:type="dxa"/>
          </w:tcPr>
          <w:p w14:paraId="079F98C1" w14:textId="77777777" w:rsidR="000756EB" w:rsidRDefault="004A4D88" w:rsidP="00452B64">
            <w:pPr>
              <w:pStyle w:val="TableCopy"/>
              <w:jc w:val="right"/>
            </w:pPr>
            <w:r>
              <w:t>(1,211)</w:t>
            </w:r>
          </w:p>
        </w:tc>
        <w:tc>
          <w:tcPr>
            <w:tcW w:w="1107" w:type="dxa"/>
          </w:tcPr>
          <w:p w14:paraId="10B3CCA7" w14:textId="77777777" w:rsidR="000756EB" w:rsidRDefault="004A4D88" w:rsidP="00452B64">
            <w:pPr>
              <w:pStyle w:val="TableCopy"/>
              <w:jc w:val="right"/>
            </w:pPr>
            <w:r>
              <w:t>(7,480)</w:t>
            </w:r>
          </w:p>
        </w:tc>
        <w:tc>
          <w:tcPr>
            <w:tcW w:w="1214" w:type="dxa"/>
          </w:tcPr>
          <w:p w14:paraId="5CBEE068" w14:textId="39BD96A8" w:rsidR="000756EB" w:rsidRDefault="004A4D88" w:rsidP="00452B64">
            <w:pPr>
              <w:pStyle w:val="TableCopy"/>
              <w:jc w:val="right"/>
            </w:pPr>
            <w:r>
              <w:t>3,588</w:t>
            </w:r>
          </w:p>
        </w:tc>
        <w:tc>
          <w:tcPr>
            <w:tcW w:w="1232" w:type="dxa"/>
          </w:tcPr>
          <w:p w14:paraId="21B3E966" w14:textId="39497716" w:rsidR="000756EB" w:rsidRDefault="004A4D88" w:rsidP="00452B64">
            <w:pPr>
              <w:pStyle w:val="TableCopy"/>
              <w:jc w:val="right"/>
            </w:pPr>
            <w:r>
              <w:t>11,060</w:t>
            </w:r>
          </w:p>
        </w:tc>
      </w:tr>
      <w:tr w:rsidR="000756EB" w14:paraId="2641B83A" w14:textId="77777777" w:rsidTr="00452B64">
        <w:trPr>
          <w:trHeight w:val="60"/>
        </w:trPr>
        <w:tc>
          <w:tcPr>
            <w:tcW w:w="3256" w:type="dxa"/>
          </w:tcPr>
          <w:p w14:paraId="3D8A3E1A" w14:textId="13AECA73" w:rsidR="000756EB" w:rsidRDefault="004A4D88" w:rsidP="001E29DD">
            <w:pPr>
              <w:pStyle w:val="TableCopy"/>
            </w:pPr>
            <w:r>
              <w:t>Assets</w:t>
            </w:r>
            <w:r w:rsidR="00A03629">
              <w:t xml:space="preserve"> </w:t>
            </w:r>
            <w:r>
              <w:t>under</w:t>
            </w:r>
            <w:r w:rsidR="00A03629">
              <w:t xml:space="preserve"> </w:t>
            </w:r>
            <w:r>
              <w:t>construction</w:t>
            </w:r>
            <w:r w:rsidR="00A03629">
              <w:t xml:space="preserve"> </w:t>
            </w:r>
            <w:r>
              <w:t>at</w:t>
            </w:r>
            <w:r w:rsidR="00A03629">
              <w:t xml:space="preserve"> </w:t>
            </w:r>
            <w:r>
              <w:t>cost</w:t>
            </w:r>
          </w:p>
        </w:tc>
        <w:tc>
          <w:tcPr>
            <w:tcW w:w="1244" w:type="dxa"/>
          </w:tcPr>
          <w:p w14:paraId="7B7D4774" w14:textId="526A487B" w:rsidR="000756EB" w:rsidRDefault="004A4D88" w:rsidP="00452B64">
            <w:pPr>
              <w:pStyle w:val="TableCopy"/>
              <w:jc w:val="right"/>
            </w:pPr>
            <w:r>
              <w:t>13,377</w:t>
            </w:r>
          </w:p>
        </w:tc>
        <w:tc>
          <w:tcPr>
            <w:tcW w:w="1204" w:type="dxa"/>
          </w:tcPr>
          <w:p w14:paraId="102B2F72" w14:textId="526B6715" w:rsidR="000756EB" w:rsidRDefault="004A4D88" w:rsidP="00452B64">
            <w:pPr>
              <w:pStyle w:val="TableCopy"/>
              <w:jc w:val="right"/>
            </w:pPr>
            <w:r>
              <w:t>42,587</w:t>
            </w:r>
          </w:p>
        </w:tc>
        <w:tc>
          <w:tcPr>
            <w:tcW w:w="1108" w:type="dxa"/>
          </w:tcPr>
          <w:p w14:paraId="63C7D718" w14:textId="77777777" w:rsidR="000756EB" w:rsidRDefault="004A4D88" w:rsidP="00452B64">
            <w:pPr>
              <w:pStyle w:val="TableCopy"/>
              <w:jc w:val="right"/>
            </w:pPr>
            <w:r>
              <w:t>–</w:t>
            </w:r>
          </w:p>
        </w:tc>
        <w:tc>
          <w:tcPr>
            <w:tcW w:w="1107" w:type="dxa"/>
          </w:tcPr>
          <w:p w14:paraId="049393C8" w14:textId="77777777" w:rsidR="000756EB" w:rsidRDefault="004A4D88" w:rsidP="00452B64">
            <w:pPr>
              <w:pStyle w:val="TableCopy"/>
              <w:jc w:val="right"/>
            </w:pPr>
            <w:r>
              <w:t>–</w:t>
            </w:r>
          </w:p>
        </w:tc>
        <w:tc>
          <w:tcPr>
            <w:tcW w:w="1214" w:type="dxa"/>
          </w:tcPr>
          <w:p w14:paraId="2C990DE3" w14:textId="7D5E66A5" w:rsidR="000756EB" w:rsidRDefault="004A4D88" w:rsidP="00452B64">
            <w:pPr>
              <w:pStyle w:val="TableCopy"/>
              <w:jc w:val="right"/>
            </w:pPr>
            <w:r>
              <w:t>13,377</w:t>
            </w:r>
          </w:p>
        </w:tc>
        <w:tc>
          <w:tcPr>
            <w:tcW w:w="1232" w:type="dxa"/>
          </w:tcPr>
          <w:p w14:paraId="06B69A14" w14:textId="2994B5DD" w:rsidR="000756EB" w:rsidRDefault="004A4D88" w:rsidP="00452B64">
            <w:pPr>
              <w:pStyle w:val="TableCopy"/>
              <w:jc w:val="right"/>
            </w:pPr>
            <w:r>
              <w:t>42,587</w:t>
            </w:r>
          </w:p>
        </w:tc>
      </w:tr>
      <w:tr w:rsidR="000756EB" w14:paraId="66BB135A" w14:textId="77777777" w:rsidTr="00452B64">
        <w:trPr>
          <w:trHeight w:val="60"/>
        </w:trPr>
        <w:tc>
          <w:tcPr>
            <w:tcW w:w="3256" w:type="dxa"/>
          </w:tcPr>
          <w:p w14:paraId="42453D12" w14:textId="4D5D89D3" w:rsidR="000756EB" w:rsidRDefault="004A4D88" w:rsidP="001E29DD">
            <w:pPr>
              <w:pStyle w:val="TableCopy"/>
            </w:pPr>
            <w:r>
              <w:t>Cultural</w:t>
            </w:r>
            <w:r w:rsidR="00A03629">
              <w:t xml:space="preserve"> </w:t>
            </w:r>
            <w:r>
              <w:t>assets</w:t>
            </w:r>
            <w:r w:rsidR="00A03629">
              <w:t xml:space="preserve"> </w:t>
            </w:r>
            <w:r>
              <w:t>at</w:t>
            </w:r>
            <w:r w:rsidR="00A03629">
              <w:t xml:space="preserve"> </w:t>
            </w:r>
            <w:r>
              <w:t>fair</w:t>
            </w:r>
            <w:r w:rsidR="00A03629">
              <w:t xml:space="preserve"> </w:t>
            </w:r>
            <w:r>
              <w:t>value</w:t>
            </w:r>
          </w:p>
        </w:tc>
        <w:tc>
          <w:tcPr>
            <w:tcW w:w="1244" w:type="dxa"/>
          </w:tcPr>
          <w:p w14:paraId="7544B79F" w14:textId="4911A4BE" w:rsidR="000756EB" w:rsidRDefault="004A4D88" w:rsidP="00452B64">
            <w:pPr>
              <w:pStyle w:val="TableCopy"/>
              <w:jc w:val="right"/>
            </w:pPr>
            <w:r>
              <w:t>2,842</w:t>
            </w:r>
          </w:p>
        </w:tc>
        <w:tc>
          <w:tcPr>
            <w:tcW w:w="1204" w:type="dxa"/>
          </w:tcPr>
          <w:p w14:paraId="68455807" w14:textId="44E9F579" w:rsidR="000756EB" w:rsidRDefault="004A4D88" w:rsidP="00452B64">
            <w:pPr>
              <w:pStyle w:val="TableCopy"/>
              <w:jc w:val="right"/>
            </w:pPr>
            <w:r>
              <w:t>2,866</w:t>
            </w:r>
          </w:p>
        </w:tc>
        <w:tc>
          <w:tcPr>
            <w:tcW w:w="1108" w:type="dxa"/>
          </w:tcPr>
          <w:p w14:paraId="474EFBC1" w14:textId="77777777" w:rsidR="000756EB" w:rsidRDefault="004A4D88" w:rsidP="00452B64">
            <w:pPr>
              <w:pStyle w:val="TableCopy"/>
              <w:jc w:val="right"/>
            </w:pPr>
            <w:r>
              <w:t>(116)</w:t>
            </w:r>
          </w:p>
        </w:tc>
        <w:tc>
          <w:tcPr>
            <w:tcW w:w="1107" w:type="dxa"/>
          </w:tcPr>
          <w:p w14:paraId="3C1CF494" w14:textId="77777777" w:rsidR="000756EB" w:rsidRDefault="004A4D88" w:rsidP="00452B64">
            <w:pPr>
              <w:pStyle w:val="TableCopy"/>
              <w:jc w:val="right"/>
            </w:pPr>
            <w:r>
              <w:t>(81)</w:t>
            </w:r>
          </w:p>
        </w:tc>
        <w:tc>
          <w:tcPr>
            <w:tcW w:w="1214" w:type="dxa"/>
          </w:tcPr>
          <w:p w14:paraId="3DDFA6F6" w14:textId="5E7B04BD" w:rsidR="000756EB" w:rsidRDefault="004A4D88" w:rsidP="00452B64">
            <w:pPr>
              <w:pStyle w:val="TableCopy"/>
              <w:jc w:val="right"/>
            </w:pPr>
            <w:r>
              <w:t>2,726</w:t>
            </w:r>
          </w:p>
        </w:tc>
        <w:tc>
          <w:tcPr>
            <w:tcW w:w="1232" w:type="dxa"/>
          </w:tcPr>
          <w:p w14:paraId="4814F300" w14:textId="3071A213" w:rsidR="000756EB" w:rsidRDefault="004A4D88" w:rsidP="00452B64">
            <w:pPr>
              <w:pStyle w:val="TableCopy"/>
              <w:jc w:val="right"/>
            </w:pPr>
            <w:r>
              <w:t>2,785</w:t>
            </w:r>
          </w:p>
        </w:tc>
      </w:tr>
      <w:tr w:rsidR="000756EB" w:rsidRPr="00452B64" w14:paraId="3FDD4008" w14:textId="77777777" w:rsidTr="00452B64">
        <w:trPr>
          <w:trHeight w:val="60"/>
        </w:trPr>
        <w:tc>
          <w:tcPr>
            <w:tcW w:w="3256" w:type="dxa"/>
          </w:tcPr>
          <w:p w14:paraId="31E2410F" w14:textId="295ECF92" w:rsidR="000756EB" w:rsidRPr="00452B64" w:rsidRDefault="004A4D88" w:rsidP="00452B64">
            <w:pPr>
              <w:pStyle w:val="TableCopy"/>
              <w:rPr>
                <w:b/>
                <w:bCs/>
              </w:rPr>
            </w:pPr>
            <w:r w:rsidRPr="00452B64">
              <w:rPr>
                <w:b/>
                <w:bCs/>
              </w:rPr>
              <w:t>Net</w:t>
            </w:r>
            <w:r w:rsidR="00A03629" w:rsidRPr="00452B64">
              <w:rPr>
                <w:b/>
                <w:bCs/>
              </w:rPr>
              <w:t xml:space="preserve"> </w:t>
            </w:r>
            <w:r w:rsidRPr="00452B64">
              <w:rPr>
                <w:b/>
                <w:bCs/>
              </w:rPr>
              <w:t>carrying</w:t>
            </w:r>
            <w:r w:rsidR="00A03629" w:rsidRPr="00452B64">
              <w:rPr>
                <w:b/>
                <w:bCs/>
              </w:rPr>
              <w:t xml:space="preserve"> </w:t>
            </w:r>
            <w:r w:rsidRPr="00452B64">
              <w:rPr>
                <w:b/>
                <w:bCs/>
              </w:rPr>
              <w:t>amount</w:t>
            </w:r>
          </w:p>
        </w:tc>
        <w:tc>
          <w:tcPr>
            <w:tcW w:w="1244" w:type="dxa"/>
          </w:tcPr>
          <w:p w14:paraId="4FE69C5D" w14:textId="12637D76" w:rsidR="000756EB" w:rsidRPr="00452B64" w:rsidRDefault="004A4D88" w:rsidP="00452B64">
            <w:pPr>
              <w:pStyle w:val="TableCopy"/>
              <w:jc w:val="right"/>
              <w:rPr>
                <w:b/>
                <w:bCs/>
              </w:rPr>
            </w:pPr>
            <w:r w:rsidRPr="00452B64">
              <w:rPr>
                <w:b/>
                <w:bCs/>
              </w:rPr>
              <w:t>1,196,159</w:t>
            </w:r>
          </w:p>
        </w:tc>
        <w:tc>
          <w:tcPr>
            <w:tcW w:w="1204" w:type="dxa"/>
          </w:tcPr>
          <w:p w14:paraId="5D09734D" w14:textId="0DD0C115" w:rsidR="000756EB" w:rsidRPr="00452B64" w:rsidRDefault="004A4D88" w:rsidP="00452B64">
            <w:pPr>
              <w:pStyle w:val="TableCopy"/>
              <w:jc w:val="right"/>
              <w:rPr>
                <w:b/>
                <w:bCs/>
              </w:rPr>
            </w:pPr>
            <w:r w:rsidRPr="00452B64">
              <w:rPr>
                <w:b/>
                <w:bCs/>
              </w:rPr>
              <w:t>1,689,015</w:t>
            </w:r>
          </w:p>
        </w:tc>
        <w:tc>
          <w:tcPr>
            <w:tcW w:w="1108" w:type="dxa"/>
          </w:tcPr>
          <w:p w14:paraId="4E9930CE" w14:textId="77777777" w:rsidR="000756EB" w:rsidRPr="00452B64" w:rsidRDefault="004A4D88" w:rsidP="00452B64">
            <w:pPr>
              <w:pStyle w:val="TableCopy"/>
              <w:jc w:val="right"/>
              <w:rPr>
                <w:b/>
                <w:bCs/>
              </w:rPr>
            </w:pPr>
            <w:r w:rsidRPr="00452B64">
              <w:rPr>
                <w:b/>
                <w:bCs/>
              </w:rPr>
              <w:t>(43,364)</w:t>
            </w:r>
          </w:p>
        </w:tc>
        <w:tc>
          <w:tcPr>
            <w:tcW w:w="1107" w:type="dxa"/>
          </w:tcPr>
          <w:p w14:paraId="65F234E3" w14:textId="77777777" w:rsidR="000756EB" w:rsidRPr="00452B64" w:rsidRDefault="004A4D88" w:rsidP="00452B64">
            <w:pPr>
              <w:pStyle w:val="TableCopy"/>
              <w:jc w:val="right"/>
              <w:rPr>
                <w:b/>
                <w:bCs/>
              </w:rPr>
            </w:pPr>
            <w:r w:rsidRPr="00452B64">
              <w:rPr>
                <w:b/>
                <w:bCs/>
              </w:rPr>
              <w:t>(90,720)</w:t>
            </w:r>
          </w:p>
        </w:tc>
        <w:tc>
          <w:tcPr>
            <w:tcW w:w="1214" w:type="dxa"/>
          </w:tcPr>
          <w:p w14:paraId="17E3D171" w14:textId="1C8BF25C" w:rsidR="000756EB" w:rsidRPr="00452B64" w:rsidRDefault="004A4D88" w:rsidP="00452B64">
            <w:pPr>
              <w:pStyle w:val="TableCopy"/>
              <w:jc w:val="right"/>
              <w:rPr>
                <w:b/>
                <w:bCs/>
              </w:rPr>
            </w:pPr>
            <w:r w:rsidRPr="00452B64">
              <w:rPr>
                <w:b/>
                <w:bCs/>
              </w:rPr>
              <w:t>1,152,794</w:t>
            </w:r>
          </w:p>
        </w:tc>
        <w:tc>
          <w:tcPr>
            <w:tcW w:w="1232" w:type="dxa"/>
          </w:tcPr>
          <w:p w14:paraId="19E6A1E3" w14:textId="3FDD81F2" w:rsidR="000756EB" w:rsidRPr="00452B64" w:rsidRDefault="004A4D88" w:rsidP="00452B64">
            <w:pPr>
              <w:pStyle w:val="TableCopy"/>
              <w:jc w:val="right"/>
              <w:rPr>
                <w:b/>
                <w:bCs/>
              </w:rPr>
            </w:pPr>
            <w:r w:rsidRPr="00452B64">
              <w:rPr>
                <w:b/>
                <w:bCs/>
              </w:rPr>
              <w:t>1,598,294</w:t>
            </w:r>
          </w:p>
        </w:tc>
      </w:tr>
    </w:tbl>
    <w:p w14:paraId="3D9CEA51" w14:textId="77777777" w:rsidR="000756EB" w:rsidRDefault="000756EB" w:rsidP="00452B64"/>
    <w:p w14:paraId="77F3A245" w14:textId="1DDA5681" w:rsidR="000756EB" w:rsidRPr="00452B64" w:rsidRDefault="004A4D88" w:rsidP="00452B64">
      <w:pPr>
        <w:pStyle w:val="Normalbeforebullets"/>
        <w:rPr>
          <w:b/>
          <w:bCs/>
        </w:rPr>
      </w:pPr>
      <w:r w:rsidRPr="00452B64">
        <w:rPr>
          <w:b/>
          <w:bCs/>
        </w:rPr>
        <w:lastRenderedPageBreak/>
        <w:t>The</w:t>
      </w:r>
      <w:r w:rsidR="00A03629" w:rsidRPr="00452B64">
        <w:rPr>
          <w:b/>
          <w:bCs/>
        </w:rPr>
        <w:t xml:space="preserve"> </w:t>
      </w:r>
      <w:r w:rsidRPr="00452B64">
        <w:rPr>
          <w:b/>
          <w:bCs/>
        </w:rPr>
        <w:t>following</w:t>
      </w:r>
      <w:r w:rsidR="00A03629" w:rsidRPr="00452B64">
        <w:rPr>
          <w:b/>
          <w:bCs/>
        </w:rPr>
        <w:t xml:space="preserve"> </w:t>
      </w:r>
      <w:r w:rsidRPr="00452B64">
        <w:rPr>
          <w:b/>
          <w:bCs/>
        </w:rPr>
        <w:t>tables</w:t>
      </w:r>
      <w:r w:rsidR="00A03629" w:rsidRPr="00452B64">
        <w:rPr>
          <w:b/>
          <w:bCs/>
        </w:rPr>
        <w:t xml:space="preserve"> </w:t>
      </w:r>
      <w:r w:rsidRPr="00452B64">
        <w:rPr>
          <w:b/>
          <w:bCs/>
        </w:rPr>
        <w:t>are</w:t>
      </w:r>
      <w:r w:rsidR="00A03629" w:rsidRPr="00452B64">
        <w:rPr>
          <w:b/>
          <w:bCs/>
        </w:rPr>
        <w:t xml:space="preserve"> </w:t>
      </w:r>
      <w:r w:rsidRPr="00452B64">
        <w:rPr>
          <w:b/>
          <w:bCs/>
        </w:rPr>
        <w:t>subsets</w:t>
      </w:r>
      <w:r w:rsidR="00A03629" w:rsidRPr="00452B64">
        <w:rPr>
          <w:b/>
          <w:bCs/>
        </w:rPr>
        <w:t xml:space="preserve"> </w:t>
      </w:r>
      <w:r w:rsidRPr="00452B64">
        <w:rPr>
          <w:b/>
          <w:bCs/>
        </w:rPr>
        <w:t>of</w:t>
      </w:r>
      <w:r w:rsidR="00A03629" w:rsidRPr="00452B64">
        <w:rPr>
          <w:b/>
          <w:bCs/>
        </w:rPr>
        <w:t xml:space="preserve"> </w:t>
      </w:r>
      <w:r w:rsidRPr="00452B64">
        <w:rPr>
          <w:b/>
          <w:bCs/>
        </w:rPr>
        <w:t>buildings,</w:t>
      </w:r>
      <w:r w:rsidR="00A03629" w:rsidRPr="00452B64">
        <w:rPr>
          <w:b/>
          <w:bCs/>
        </w:rPr>
        <w:t xml:space="preserve"> </w:t>
      </w:r>
      <w:r w:rsidRPr="00452B64">
        <w:rPr>
          <w:b/>
          <w:bCs/>
        </w:rPr>
        <w:t>and</w:t>
      </w:r>
      <w:r w:rsidR="00A03629" w:rsidRPr="00452B64">
        <w:rPr>
          <w:b/>
          <w:bCs/>
        </w:rPr>
        <w:t xml:space="preserve"> </w:t>
      </w:r>
      <w:r w:rsidRPr="00452B64">
        <w:rPr>
          <w:b/>
          <w:bCs/>
        </w:rPr>
        <w:t>motor</w:t>
      </w:r>
      <w:r w:rsidR="00A03629" w:rsidRPr="00452B64">
        <w:rPr>
          <w:b/>
          <w:bCs/>
        </w:rPr>
        <w:t xml:space="preserve"> </w:t>
      </w:r>
      <w:r w:rsidRPr="00452B64">
        <w:rPr>
          <w:b/>
          <w:bCs/>
        </w:rPr>
        <w:t>vehicle</w:t>
      </w:r>
      <w:r w:rsidR="00A03629" w:rsidRPr="00452B64">
        <w:rPr>
          <w:b/>
          <w:bCs/>
        </w:rPr>
        <w:t xml:space="preserve"> </w:t>
      </w:r>
      <w:r w:rsidRPr="00452B64">
        <w:rPr>
          <w:b/>
          <w:bCs/>
        </w:rPr>
        <w:t>by</w:t>
      </w:r>
      <w:r w:rsidR="00A03629" w:rsidRPr="00452B64">
        <w:rPr>
          <w:b/>
          <w:bCs/>
        </w:rPr>
        <w:t xml:space="preserve"> </w:t>
      </w:r>
      <w:r w:rsidRPr="00452B64">
        <w:rPr>
          <w:b/>
          <w:bCs/>
        </w:rPr>
        <w:t>right-of-use</w:t>
      </w:r>
      <w:r w:rsidR="00A03629" w:rsidRPr="00452B64">
        <w:rPr>
          <w:b/>
          <w:bCs/>
        </w:rPr>
        <w:t xml:space="preserve"> </w:t>
      </w:r>
      <w:r w:rsidRPr="00452B64">
        <w:rPr>
          <w:b/>
          <w:bCs/>
        </w:rPr>
        <w:t>assets</w:t>
      </w:r>
    </w:p>
    <w:p w14:paraId="58A51AA4" w14:textId="186814EB" w:rsidR="000756EB" w:rsidRDefault="004A4D88" w:rsidP="00452B64">
      <w:pPr>
        <w:pStyle w:val="Heading3"/>
      </w:pPr>
      <w:r>
        <w:t>5.1.1</w:t>
      </w:r>
      <w:r w:rsidR="00DE38B5">
        <w:t xml:space="preserve"> </w:t>
      </w:r>
      <w:r>
        <w:t>Total</w:t>
      </w:r>
      <w:r w:rsidR="00A03629">
        <w:t xml:space="preserve"> </w:t>
      </w:r>
      <w:r>
        <w:t>right-of-use</w:t>
      </w:r>
      <w:r w:rsidR="00A03629">
        <w:t xml:space="preserve"> </w:t>
      </w:r>
      <w:r>
        <w:t>assets:</w:t>
      </w:r>
      <w:r w:rsidR="00A03629">
        <w:t xml:space="preserve"> </w:t>
      </w:r>
      <w:r>
        <w:t>buildings</w:t>
      </w:r>
      <w:r w:rsidR="00A03629">
        <w:t xml:space="preserve"> </w:t>
      </w:r>
      <w:r>
        <w:t>and</w:t>
      </w:r>
      <w:r w:rsidR="00A03629">
        <w:t xml:space="preserve"> </w:t>
      </w:r>
      <w:r>
        <w:t>motor</w:t>
      </w:r>
      <w:r w:rsidR="00A03629">
        <w:t xml:space="preserve"> </w:t>
      </w:r>
      <w:r>
        <w:t>vehicles</w:t>
      </w:r>
    </w:p>
    <w:tbl>
      <w:tblPr>
        <w:tblStyle w:val="TableGrid"/>
        <w:tblW w:w="10201" w:type="dxa"/>
        <w:tblLayout w:type="fixed"/>
        <w:tblLook w:val="0020" w:firstRow="1" w:lastRow="0" w:firstColumn="0" w:lastColumn="0" w:noHBand="0" w:noVBand="0"/>
      </w:tblPr>
      <w:tblGrid>
        <w:gridCol w:w="4989"/>
        <w:gridCol w:w="1737"/>
        <w:gridCol w:w="1737"/>
        <w:gridCol w:w="1738"/>
      </w:tblGrid>
      <w:tr w:rsidR="000756EB" w:rsidRPr="00063023" w14:paraId="5F8799EE" w14:textId="77777777" w:rsidTr="00063023">
        <w:trPr>
          <w:trHeight w:val="60"/>
        </w:trPr>
        <w:tc>
          <w:tcPr>
            <w:tcW w:w="4989" w:type="dxa"/>
          </w:tcPr>
          <w:p w14:paraId="3A5537D7" w14:textId="77777777" w:rsidR="000756EB" w:rsidRPr="00063023" w:rsidRDefault="000756EB" w:rsidP="00063023">
            <w:pPr>
              <w:pStyle w:val="TableColumnHeading"/>
              <w:rPr>
                <w:rFonts w:asciiTheme="minorHAnsi" w:hAnsiTheme="minorHAnsi" w:cstheme="minorHAnsi"/>
                <w:sz w:val="20"/>
                <w:szCs w:val="28"/>
              </w:rPr>
            </w:pPr>
            <w:bookmarkStart w:id="66" w:name="ColumnTitles_38"/>
            <w:bookmarkEnd w:id="66"/>
          </w:p>
        </w:tc>
        <w:tc>
          <w:tcPr>
            <w:tcW w:w="1737" w:type="dxa"/>
          </w:tcPr>
          <w:p w14:paraId="724C1209" w14:textId="1F1D8FC7" w:rsidR="000756EB" w:rsidRPr="00063023" w:rsidRDefault="00063023" w:rsidP="00EF6DEC">
            <w:pPr>
              <w:pStyle w:val="TableColumnHeading"/>
              <w:jc w:val="right"/>
              <w:rPr>
                <w:rFonts w:asciiTheme="minorHAnsi" w:hAnsiTheme="minorHAnsi" w:cstheme="minorHAnsi"/>
                <w:sz w:val="20"/>
                <w:szCs w:val="28"/>
              </w:rPr>
            </w:pPr>
            <w:r w:rsidRPr="00063023">
              <w:rPr>
                <w:rFonts w:asciiTheme="minorHAnsi" w:hAnsiTheme="minorHAnsi" w:cstheme="minorHAnsi"/>
                <w:sz w:val="20"/>
                <w:szCs w:val="28"/>
              </w:rPr>
              <w:t>Gross carrying amount</w:t>
            </w:r>
            <w:r>
              <w:rPr>
                <w:rFonts w:asciiTheme="minorHAnsi" w:hAnsiTheme="minorHAnsi" w:cstheme="minorHAnsi"/>
                <w:sz w:val="20"/>
                <w:szCs w:val="28"/>
              </w:rPr>
              <w:t xml:space="preserve"> </w:t>
            </w:r>
            <w:r w:rsidR="004A4D88" w:rsidRPr="00063023">
              <w:rPr>
                <w:rFonts w:asciiTheme="minorHAnsi" w:hAnsiTheme="minorHAnsi" w:cstheme="minorHAnsi"/>
                <w:sz w:val="20"/>
                <w:szCs w:val="28"/>
              </w:rPr>
              <w:t>2023</w:t>
            </w:r>
            <w:r w:rsidR="00A03629" w:rsidRPr="00063023">
              <w:rPr>
                <w:rFonts w:asciiTheme="minorHAnsi" w:hAnsiTheme="minorHAnsi" w:cstheme="minorHAnsi"/>
                <w:sz w:val="20"/>
                <w:szCs w:val="28"/>
              </w:rPr>
              <w:t xml:space="preserve"> </w:t>
            </w:r>
            <w:r w:rsidRPr="00063023">
              <w:rPr>
                <w:rFonts w:asciiTheme="minorHAnsi" w:hAnsiTheme="minorHAnsi" w:cstheme="minorHAnsi"/>
                <w:sz w:val="20"/>
                <w:szCs w:val="28"/>
              </w:rPr>
              <w:t>($</w:t>
            </w:r>
            <w:r w:rsidR="00EF6DEC">
              <w:rPr>
                <w:rFonts w:asciiTheme="minorHAnsi" w:hAnsiTheme="minorHAnsi" w:cstheme="minorHAnsi"/>
                <w:sz w:val="20"/>
                <w:szCs w:val="28"/>
              </w:rPr>
              <w:t> </w:t>
            </w:r>
            <w:r w:rsidRPr="00063023">
              <w:rPr>
                <w:rFonts w:asciiTheme="minorHAnsi" w:hAnsiTheme="minorHAnsi" w:cstheme="minorHAnsi"/>
                <w:sz w:val="20"/>
                <w:szCs w:val="28"/>
              </w:rPr>
              <w:t>thousand)</w:t>
            </w:r>
          </w:p>
        </w:tc>
        <w:tc>
          <w:tcPr>
            <w:tcW w:w="1737" w:type="dxa"/>
          </w:tcPr>
          <w:p w14:paraId="6B5CE8CA" w14:textId="10B9A5CA" w:rsidR="000756EB" w:rsidRPr="00063023" w:rsidRDefault="00063023" w:rsidP="00EF6DEC">
            <w:pPr>
              <w:pStyle w:val="TableColumnHeading"/>
              <w:jc w:val="right"/>
              <w:rPr>
                <w:rFonts w:asciiTheme="minorHAnsi" w:hAnsiTheme="minorHAnsi" w:cstheme="minorHAnsi"/>
                <w:sz w:val="20"/>
                <w:szCs w:val="28"/>
              </w:rPr>
            </w:pPr>
            <w:r w:rsidRPr="00063023">
              <w:rPr>
                <w:rFonts w:asciiTheme="minorHAnsi" w:hAnsiTheme="minorHAnsi" w:cstheme="minorHAnsi"/>
                <w:sz w:val="20"/>
                <w:szCs w:val="28"/>
              </w:rPr>
              <w:t>Accumulated depreciation</w:t>
            </w:r>
            <w:r>
              <w:rPr>
                <w:rFonts w:asciiTheme="minorHAnsi" w:hAnsiTheme="minorHAnsi" w:cstheme="minorHAnsi"/>
                <w:sz w:val="20"/>
                <w:szCs w:val="28"/>
              </w:rPr>
              <w:t xml:space="preserve"> </w:t>
            </w:r>
            <w:r w:rsidR="004A4D88" w:rsidRPr="00063023">
              <w:rPr>
                <w:rFonts w:asciiTheme="minorHAnsi" w:hAnsiTheme="minorHAnsi" w:cstheme="minorHAnsi"/>
                <w:sz w:val="20"/>
                <w:szCs w:val="28"/>
              </w:rPr>
              <w:t>2023</w:t>
            </w:r>
            <w:r w:rsidR="00A03629" w:rsidRPr="00063023">
              <w:rPr>
                <w:rFonts w:asciiTheme="minorHAnsi" w:hAnsiTheme="minorHAnsi" w:cstheme="minorHAnsi"/>
                <w:sz w:val="20"/>
                <w:szCs w:val="28"/>
              </w:rPr>
              <w:t xml:space="preserve"> </w:t>
            </w:r>
            <w:r w:rsidRPr="00063023">
              <w:rPr>
                <w:rFonts w:asciiTheme="minorHAnsi" w:hAnsiTheme="minorHAnsi" w:cstheme="minorHAnsi"/>
                <w:sz w:val="20"/>
                <w:szCs w:val="28"/>
              </w:rPr>
              <w:t>($</w:t>
            </w:r>
            <w:r w:rsidR="00EF6DEC">
              <w:rPr>
                <w:rFonts w:asciiTheme="minorHAnsi" w:hAnsiTheme="minorHAnsi" w:cstheme="minorHAnsi"/>
                <w:sz w:val="20"/>
                <w:szCs w:val="28"/>
              </w:rPr>
              <w:t> </w:t>
            </w:r>
            <w:r w:rsidRPr="00063023">
              <w:rPr>
                <w:rFonts w:asciiTheme="minorHAnsi" w:hAnsiTheme="minorHAnsi" w:cstheme="minorHAnsi"/>
                <w:sz w:val="20"/>
                <w:szCs w:val="28"/>
              </w:rPr>
              <w:t>thousand)</w:t>
            </w:r>
          </w:p>
        </w:tc>
        <w:tc>
          <w:tcPr>
            <w:tcW w:w="1738" w:type="dxa"/>
          </w:tcPr>
          <w:p w14:paraId="665B8198" w14:textId="26C5C7BE" w:rsidR="000756EB" w:rsidRPr="00063023" w:rsidRDefault="00063023" w:rsidP="00EF6DEC">
            <w:pPr>
              <w:pStyle w:val="TableColumnHeading"/>
              <w:jc w:val="right"/>
              <w:rPr>
                <w:rFonts w:asciiTheme="minorHAnsi" w:hAnsiTheme="minorHAnsi" w:cstheme="minorHAnsi"/>
                <w:sz w:val="20"/>
                <w:szCs w:val="28"/>
              </w:rPr>
            </w:pPr>
            <w:r w:rsidRPr="00063023">
              <w:rPr>
                <w:rFonts w:asciiTheme="minorHAnsi" w:hAnsiTheme="minorHAnsi" w:cstheme="minorHAnsi"/>
                <w:sz w:val="20"/>
                <w:szCs w:val="28"/>
              </w:rPr>
              <w:t>Net carrying amount</w:t>
            </w:r>
            <w:r>
              <w:rPr>
                <w:rFonts w:asciiTheme="minorHAnsi" w:hAnsiTheme="minorHAnsi" w:cstheme="minorHAnsi"/>
                <w:sz w:val="20"/>
                <w:szCs w:val="28"/>
              </w:rPr>
              <w:t xml:space="preserve"> </w:t>
            </w:r>
            <w:r w:rsidR="004A4D88" w:rsidRPr="00063023">
              <w:rPr>
                <w:rFonts w:asciiTheme="minorHAnsi" w:hAnsiTheme="minorHAnsi" w:cstheme="minorHAnsi"/>
                <w:sz w:val="20"/>
                <w:szCs w:val="28"/>
              </w:rPr>
              <w:t>2023</w:t>
            </w:r>
            <w:r w:rsidR="00A03629" w:rsidRPr="00063023">
              <w:rPr>
                <w:rFonts w:asciiTheme="minorHAnsi" w:hAnsiTheme="minorHAnsi" w:cstheme="minorHAnsi"/>
                <w:sz w:val="20"/>
                <w:szCs w:val="28"/>
              </w:rPr>
              <w:t xml:space="preserve"> </w:t>
            </w:r>
            <w:r w:rsidRPr="00063023">
              <w:rPr>
                <w:rFonts w:asciiTheme="minorHAnsi" w:hAnsiTheme="minorHAnsi" w:cstheme="minorHAnsi"/>
                <w:sz w:val="20"/>
                <w:szCs w:val="28"/>
              </w:rPr>
              <w:t>($</w:t>
            </w:r>
            <w:r w:rsidR="00EF6DEC">
              <w:rPr>
                <w:rFonts w:asciiTheme="minorHAnsi" w:hAnsiTheme="minorHAnsi" w:cstheme="minorHAnsi"/>
                <w:sz w:val="20"/>
                <w:szCs w:val="28"/>
              </w:rPr>
              <w:t> </w:t>
            </w:r>
            <w:r w:rsidRPr="00063023">
              <w:rPr>
                <w:rFonts w:asciiTheme="minorHAnsi" w:hAnsiTheme="minorHAnsi" w:cstheme="minorHAnsi"/>
                <w:sz w:val="20"/>
                <w:szCs w:val="28"/>
              </w:rPr>
              <w:t>thousand)</w:t>
            </w:r>
          </w:p>
        </w:tc>
      </w:tr>
      <w:tr w:rsidR="000756EB" w14:paraId="6E732FEC" w14:textId="77777777" w:rsidTr="00063023">
        <w:trPr>
          <w:trHeight w:val="60"/>
        </w:trPr>
        <w:tc>
          <w:tcPr>
            <w:tcW w:w="4989" w:type="dxa"/>
          </w:tcPr>
          <w:p w14:paraId="70292702" w14:textId="5EC13657" w:rsidR="000756EB" w:rsidRDefault="004A4D88" w:rsidP="00063023">
            <w:pPr>
              <w:pStyle w:val="TableCopy"/>
            </w:pPr>
            <w:r>
              <w:t>Buildings</w:t>
            </w:r>
            <w:r w:rsidR="00A03629">
              <w:t xml:space="preserve"> </w:t>
            </w:r>
            <w:r>
              <w:t>and</w:t>
            </w:r>
            <w:r w:rsidR="00A03629">
              <w:t xml:space="preserve"> </w:t>
            </w:r>
            <w:r>
              <w:t>structures</w:t>
            </w:r>
            <w:r w:rsidR="00A03629">
              <w:t xml:space="preserve"> </w:t>
            </w:r>
            <w:r>
              <w:t>at</w:t>
            </w:r>
            <w:r w:rsidR="00A03629">
              <w:t xml:space="preserve"> </w:t>
            </w:r>
            <w:r>
              <w:t>fair</w:t>
            </w:r>
            <w:r w:rsidR="00A03629">
              <w:t xml:space="preserve"> </w:t>
            </w:r>
            <w:r>
              <w:t>value</w:t>
            </w:r>
          </w:p>
        </w:tc>
        <w:tc>
          <w:tcPr>
            <w:tcW w:w="1737" w:type="dxa"/>
          </w:tcPr>
          <w:p w14:paraId="75CA78FA" w14:textId="2FCF088B" w:rsidR="000756EB" w:rsidRDefault="004A4D88" w:rsidP="00EF6DEC">
            <w:pPr>
              <w:pStyle w:val="TableCopy"/>
              <w:jc w:val="right"/>
            </w:pPr>
            <w:r>
              <w:t>17,449</w:t>
            </w:r>
          </w:p>
        </w:tc>
        <w:tc>
          <w:tcPr>
            <w:tcW w:w="1737" w:type="dxa"/>
          </w:tcPr>
          <w:p w14:paraId="738FF565" w14:textId="77777777" w:rsidR="000756EB" w:rsidRDefault="004A4D88" w:rsidP="00EF6DEC">
            <w:pPr>
              <w:pStyle w:val="TableCopy"/>
              <w:jc w:val="right"/>
            </w:pPr>
            <w:r>
              <w:t>(7,468)</w:t>
            </w:r>
          </w:p>
        </w:tc>
        <w:tc>
          <w:tcPr>
            <w:tcW w:w="1738" w:type="dxa"/>
          </w:tcPr>
          <w:p w14:paraId="74C61727" w14:textId="348777FD" w:rsidR="000756EB" w:rsidRDefault="004A4D88" w:rsidP="00EF6DEC">
            <w:pPr>
              <w:pStyle w:val="TableCopy"/>
              <w:jc w:val="right"/>
            </w:pPr>
            <w:r>
              <w:t>9,981</w:t>
            </w:r>
          </w:p>
        </w:tc>
      </w:tr>
      <w:tr w:rsidR="000756EB" w14:paraId="48DB69D4" w14:textId="77777777" w:rsidTr="00063023">
        <w:trPr>
          <w:trHeight w:val="60"/>
        </w:trPr>
        <w:tc>
          <w:tcPr>
            <w:tcW w:w="4989" w:type="dxa"/>
          </w:tcPr>
          <w:p w14:paraId="54025B35" w14:textId="16235140" w:rsidR="000756EB" w:rsidRDefault="004A4D88" w:rsidP="00063023">
            <w:pPr>
              <w:pStyle w:val="TableCopy"/>
            </w:pPr>
            <w:r>
              <w:t>Motor</w:t>
            </w:r>
            <w:r w:rsidR="00A03629">
              <w:t xml:space="preserve"> </w:t>
            </w:r>
            <w:r>
              <w:t>vehicles</w:t>
            </w:r>
            <w:r w:rsidR="00A03629">
              <w:t xml:space="preserve"> </w:t>
            </w:r>
            <w:r>
              <w:t>at</w:t>
            </w:r>
            <w:r w:rsidR="00A03629">
              <w:t xml:space="preserve"> </w:t>
            </w:r>
            <w:r>
              <w:t>fair</w:t>
            </w:r>
            <w:r w:rsidR="00A03629">
              <w:t xml:space="preserve"> </w:t>
            </w:r>
            <w:r>
              <w:t>value</w:t>
            </w:r>
          </w:p>
        </w:tc>
        <w:tc>
          <w:tcPr>
            <w:tcW w:w="1737" w:type="dxa"/>
          </w:tcPr>
          <w:p w14:paraId="7971DE70" w14:textId="4C13074A" w:rsidR="000756EB" w:rsidRDefault="004A4D88" w:rsidP="00EF6DEC">
            <w:pPr>
              <w:pStyle w:val="TableCopy"/>
              <w:jc w:val="right"/>
            </w:pPr>
            <w:r>
              <w:t>4,799</w:t>
            </w:r>
          </w:p>
        </w:tc>
        <w:tc>
          <w:tcPr>
            <w:tcW w:w="1737" w:type="dxa"/>
          </w:tcPr>
          <w:p w14:paraId="206F54E4" w14:textId="77777777" w:rsidR="000756EB" w:rsidRDefault="004A4D88" w:rsidP="00EF6DEC">
            <w:pPr>
              <w:pStyle w:val="TableCopy"/>
              <w:jc w:val="right"/>
            </w:pPr>
            <w:r>
              <w:t>(1,211)</w:t>
            </w:r>
          </w:p>
        </w:tc>
        <w:tc>
          <w:tcPr>
            <w:tcW w:w="1738" w:type="dxa"/>
          </w:tcPr>
          <w:p w14:paraId="6A187F60" w14:textId="110B8EAF" w:rsidR="000756EB" w:rsidRDefault="004A4D88" w:rsidP="00EF6DEC">
            <w:pPr>
              <w:pStyle w:val="TableCopy"/>
              <w:jc w:val="right"/>
            </w:pPr>
            <w:r>
              <w:t>3,588</w:t>
            </w:r>
          </w:p>
        </w:tc>
      </w:tr>
      <w:tr w:rsidR="000756EB" w:rsidRPr="00063023" w14:paraId="1E0D3DCB" w14:textId="77777777" w:rsidTr="00063023">
        <w:trPr>
          <w:trHeight w:val="60"/>
        </w:trPr>
        <w:tc>
          <w:tcPr>
            <w:tcW w:w="4989" w:type="dxa"/>
          </w:tcPr>
          <w:p w14:paraId="2477CFB2" w14:textId="7B74C9D9" w:rsidR="000756EB" w:rsidRPr="00063023" w:rsidRDefault="004A4D88" w:rsidP="00063023">
            <w:pPr>
              <w:pStyle w:val="TableCopy"/>
              <w:rPr>
                <w:b/>
                <w:bCs/>
              </w:rPr>
            </w:pPr>
            <w:r w:rsidRPr="00063023">
              <w:rPr>
                <w:b/>
                <w:bCs/>
              </w:rPr>
              <w:t>Net</w:t>
            </w:r>
            <w:r w:rsidR="00A03629" w:rsidRPr="00063023">
              <w:rPr>
                <w:b/>
                <w:bCs/>
              </w:rPr>
              <w:t xml:space="preserve"> </w:t>
            </w:r>
            <w:r w:rsidRPr="00063023">
              <w:rPr>
                <w:b/>
                <w:bCs/>
              </w:rPr>
              <w:t>carrying</w:t>
            </w:r>
            <w:r w:rsidR="00A03629" w:rsidRPr="00063023">
              <w:rPr>
                <w:b/>
                <w:bCs/>
              </w:rPr>
              <w:t xml:space="preserve"> </w:t>
            </w:r>
            <w:r w:rsidRPr="00063023">
              <w:rPr>
                <w:b/>
                <w:bCs/>
              </w:rPr>
              <w:t>amount</w:t>
            </w:r>
          </w:p>
        </w:tc>
        <w:tc>
          <w:tcPr>
            <w:tcW w:w="1737" w:type="dxa"/>
          </w:tcPr>
          <w:p w14:paraId="2367A5CD" w14:textId="036D792A" w:rsidR="000756EB" w:rsidRPr="00063023" w:rsidRDefault="004A4D88" w:rsidP="00EF6DEC">
            <w:pPr>
              <w:pStyle w:val="TableCopy"/>
              <w:jc w:val="right"/>
              <w:rPr>
                <w:b/>
                <w:bCs/>
              </w:rPr>
            </w:pPr>
            <w:r w:rsidRPr="00063023">
              <w:rPr>
                <w:b/>
                <w:bCs/>
              </w:rPr>
              <w:t>22,248</w:t>
            </w:r>
          </w:p>
        </w:tc>
        <w:tc>
          <w:tcPr>
            <w:tcW w:w="1737" w:type="dxa"/>
          </w:tcPr>
          <w:p w14:paraId="5A505D8C" w14:textId="77777777" w:rsidR="000756EB" w:rsidRPr="00063023" w:rsidRDefault="004A4D88" w:rsidP="00EF6DEC">
            <w:pPr>
              <w:pStyle w:val="TableCopy"/>
              <w:jc w:val="right"/>
              <w:rPr>
                <w:b/>
                <w:bCs/>
              </w:rPr>
            </w:pPr>
            <w:r w:rsidRPr="00063023">
              <w:rPr>
                <w:b/>
                <w:bCs/>
              </w:rPr>
              <w:t>(8,679)</w:t>
            </w:r>
          </w:p>
        </w:tc>
        <w:tc>
          <w:tcPr>
            <w:tcW w:w="1738" w:type="dxa"/>
          </w:tcPr>
          <w:p w14:paraId="5821A6EA" w14:textId="19CDEC78" w:rsidR="000756EB" w:rsidRPr="00063023" w:rsidRDefault="004A4D88" w:rsidP="00EF6DEC">
            <w:pPr>
              <w:pStyle w:val="TableCopy"/>
              <w:jc w:val="right"/>
              <w:rPr>
                <w:b/>
                <w:bCs/>
              </w:rPr>
            </w:pPr>
            <w:r w:rsidRPr="00063023">
              <w:rPr>
                <w:b/>
                <w:bCs/>
              </w:rPr>
              <w:t>13,569</w:t>
            </w:r>
          </w:p>
        </w:tc>
      </w:tr>
    </w:tbl>
    <w:p w14:paraId="7D0865F7" w14:textId="77777777" w:rsidR="000756EB" w:rsidRDefault="000756EB" w:rsidP="00EF6DEC"/>
    <w:tbl>
      <w:tblPr>
        <w:tblStyle w:val="TableGrid"/>
        <w:tblW w:w="10201" w:type="dxa"/>
        <w:tblLayout w:type="fixed"/>
        <w:tblLook w:val="0020" w:firstRow="1" w:lastRow="0" w:firstColumn="0" w:lastColumn="0" w:noHBand="0" w:noVBand="0"/>
      </w:tblPr>
      <w:tblGrid>
        <w:gridCol w:w="4989"/>
        <w:gridCol w:w="1737"/>
        <w:gridCol w:w="1737"/>
        <w:gridCol w:w="1738"/>
      </w:tblGrid>
      <w:tr w:rsidR="00EF6DEC" w:rsidRPr="00063023" w14:paraId="0E82D275" w14:textId="77777777" w:rsidTr="00EF6DEC">
        <w:trPr>
          <w:cantSplit/>
        </w:trPr>
        <w:tc>
          <w:tcPr>
            <w:tcW w:w="4989" w:type="dxa"/>
          </w:tcPr>
          <w:p w14:paraId="211E4AD0" w14:textId="77777777" w:rsidR="00EF6DEC" w:rsidRPr="00063023" w:rsidRDefault="00EF6DEC" w:rsidP="00F9101B">
            <w:pPr>
              <w:pStyle w:val="TableColumnHeading"/>
              <w:rPr>
                <w:rFonts w:asciiTheme="minorHAnsi" w:hAnsiTheme="minorHAnsi" w:cstheme="minorHAnsi"/>
                <w:sz w:val="20"/>
                <w:szCs w:val="28"/>
              </w:rPr>
            </w:pPr>
            <w:bookmarkStart w:id="67" w:name="ColumnTitles_39"/>
            <w:bookmarkEnd w:id="67"/>
          </w:p>
        </w:tc>
        <w:tc>
          <w:tcPr>
            <w:tcW w:w="1737" w:type="dxa"/>
          </w:tcPr>
          <w:p w14:paraId="2228CD7A" w14:textId="1BFB257A" w:rsidR="00EF6DEC" w:rsidRPr="00063023" w:rsidRDefault="00EF6DEC" w:rsidP="00EF6DEC">
            <w:pPr>
              <w:pStyle w:val="TableColumnHeading"/>
              <w:jc w:val="right"/>
              <w:rPr>
                <w:rFonts w:asciiTheme="minorHAnsi" w:hAnsiTheme="minorHAnsi" w:cstheme="minorHAnsi"/>
                <w:sz w:val="20"/>
                <w:szCs w:val="28"/>
              </w:rPr>
            </w:pPr>
            <w:r w:rsidRPr="00063023">
              <w:rPr>
                <w:rFonts w:asciiTheme="minorHAnsi" w:hAnsiTheme="minorHAnsi" w:cstheme="minorHAnsi"/>
                <w:sz w:val="20"/>
                <w:szCs w:val="28"/>
              </w:rPr>
              <w:t>Gross carrying amount</w:t>
            </w:r>
            <w:r>
              <w:rPr>
                <w:rFonts w:asciiTheme="minorHAnsi" w:hAnsiTheme="minorHAnsi" w:cstheme="minorHAnsi"/>
                <w:sz w:val="20"/>
                <w:szCs w:val="28"/>
              </w:rPr>
              <w:t xml:space="preserve"> </w:t>
            </w:r>
            <w:r w:rsidRPr="00063023">
              <w:rPr>
                <w:rFonts w:asciiTheme="minorHAnsi" w:hAnsiTheme="minorHAnsi" w:cstheme="minorHAnsi"/>
                <w:sz w:val="20"/>
                <w:szCs w:val="28"/>
              </w:rPr>
              <w:t>202</w:t>
            </w:r>
            <w:r>
              <w:rPr>
                <w:rFonts w:asciiTheme="minorHAnsi" w:hAnsiTheme="minorHAnsi" w:cstheme="minorHAnsi"/>
                <w:sz w:val="20"/>
                <w:szCs w:val="28"/>
              </w:rPr>
              <w:t>2</w:t>
            </w:r>
            <w:r w:rsidRPr="00063023">
              <w:rPr>
                <w:rFonts w:asciiTheme="minorHAnsi" w:hAnsiTheme="minorHAnsi" w:cstheme="minorHAnsi"/>
                <w:sz w:val="20"/>
                <w:szCs w:val="28"/>
              </w:rPr>
              <w:t xml:space="preserve"> ($</w:t>
            </w:r>
            <w:r>
              <w:rPr>
                <w:rFonts w:asciiTheme="minorHAnsi" w:hAnsiTheme="minorHAnsi" w:cstheme="minorHAnsi"/>
                <w:sz w:val="20"/>
                <w:szCs w:val="28"/>
              </w:rPr>
              <w:t> </w:t>
            </w:r>
            <w:r w:rsidRPr="00063023">
              <w:rPr>
                <w:rFonts w:asciiTheme="minorHAnsi" w:hAnsiTheme="minorHAnsi" w:cstheme="minorHAnsi"/>
                <w:sz w:val="20"/>
                <w:szCs w:val="28"/>
              </w:rPr>
              <w:t>thousand)</w:t>
            </w:r>
          </w:p>
        </w:tc>
        <w:tc>
          <w:tcPr>
            <w:tcW w:w="1737" w:type="dxa"/>
          </w:tcPr>
          <w:p w14:paraId="125F98D7" w14:textId="0C9CDADF" w:rsidR="00EF6DEC" w:rsidRPr="00063023" w:rsidRDefault="00EF6DEC" w:rsidP="00EF6DEC">
            <w:pPr>
              <w:pStyle w:val="TableColumnHeading"/>
              <w:jc w:val="right"/>
              <w:rPr>
                <w:rFonts w:asciiTheme="minorHAnsi" w:hAnsiTheme="minorHAnsi" w:cstheme="minorHAnsi"/>
                <w:sz w:val="20"/>
                <w:szCs w:val="28"/>
              </w:rPr>
            </w:pPr>
            <w:r w:rsidRPr="00063023">
              <w:rPr>
                <w:rFonts w:asciiTheme="minorHAnsi" w:hAnsiTheme="minorHAnsi" w:cstheme="minorHAnsi"/>
                <w:sz w:val="20"/>
                <w:szCs w:val="28"/>
              </w:rPr>
              <w:t>Accumulated depreciation</w:t>
            </w:r>
            <w:r>
              <w:rPr>
                <w:rFonts w:asciiTheme="minorHAnsi" w:hAnsiTheme="minorHAnsi" w:cstheme="minorHAnsi"/>
                <w:sz w:val="20"/>
                <w:szCs w:val="28"/>
              </w:rPr>
              <w:t xml:space="preserve"> </w:t>
            </w:r>
            <w:r w:rsidRPr="00063023">
              <w:rPr>
                <w:rFonts w:asciiTheme="minorHAnsi" w:hAnsiTheme="minorHAnsi" w:cstheme="minorHAnsi"/>
                <w:sz w:val="20"/>
                <w:szCs w:val="28"/>
              </w:rPr>
              <w:t>202</w:t>
            </w:r>
            <w:r>
              <w:rPr>
                <w:rFonts w:asciiTheme="minorHAnsi" w:hAnsiTheme="minorHAnsi" w:cstheme="minorHAnsi"/>
                <w:sz w:val="20"/>
                <w:szCs w:val="28"/>
              </w:rPr>
              <w:t>2</w:t>
            </w:r>
            <w:r w:rsidRPr="00063023">
              <w:rPr>
                <w:rFonts w:asciiTheme="minorHAnsi" w:hAnsiTheme="minorHAnsi" w:cstheme="minorHAnsi"/>
                <w:sz w:val="20"/>
                <w:szCs w:val="28"/>
              </w:rPr>
              <w:t xml:space="preserve"> ($</w:t>
            </w:r>
            <w:r>
              <w:rPr>
                <w:rFonts w:asciiTheme="minorHAnsi" w:hAnsiTheme="minorHAnsi" w:cstheme="minorHAnsi"/>
                <w:sz w:val="20"/>
                <w:szCs w:val="28"/>
              </w:rPr>
              <w:t> </w:t>
            </w:r>
            <w:r w:rsidRPr="00063023">
              <w:rPr>
                <w:rFonts w:asciiTheme="minorHAnsi" w:hAnsiTheme="minorHAnsi" w:cstheme="minorHAnsi"/>
                <w:sz w:val="20"/>
                <w:szCs w:val="28"/>
              </w:rPr>
              <w:t>thousand)</w:t>
            </w:r>
          </w:p>
        </w:tc>
        <w:tc>
          <w:tcPr>
            <w:tcW w:w="1738" w:type="dxa"/>
          </w:tcPr>
          <w:p w14:paraId="78772993" w14:textId="2CE3A34B" w:rsidR="00EF6DEC" w:rsidRPr="00063023" w:rsidRDefault="00EF6DEC" w:rsidP="00EF6DEC">
            <w:pPr>
              <w:pStyle w:val="TableColumnHeading"/>
              <w:jc w:val="right"/>
              <w:rPr>
                <w:rFonts w:asciiTheme="minorHAnsi" w:hAnsiTheme="minorHAnsi" w:cstheme="minorHAnsi"/>
                <w:sz w:val="20"/>
                <w:szCs w:val="28"/>
              </w:rPr>
            </w:pPr>
            <w:r w:rsidRPr="00063023">
              <w:rPr>
                <w:rFonts w:asciiTheme="minorHAnsi" w:hAnsiTheme="minorHAnsi" w:cstheme="minorHAnsi"/>
                <w:sz w:val="20"/>
                <w:szCs w:val="28"/>
              </w:rPr>
              <w:t>Net carrying amount</w:t>
            </w:r>
            <w:r>
              <w:rPr>
                <w:rFonts w:asciiTheme="minorHAnsi" w:hAnsiTheme="minorHAnsi" w:cstheme="minorHAnsi"/>
                <w:sz w:val="20"/>
                <w:szCs w:val="28"/>
              </w:rPr>
              <w:t xml:space="preserve"> </w:t>
            </w:r>
            <w:r w:rsidRPr="00063023">
              <w:rPr>
                <w:rFonts w:asciiTheme="minorHAnsi" w:hAnsiTheme="minorHAnsi" w:cstheme="minorHAnsi"/>
                <w:sz w:val="20"/>
                <w:szCs w:val="28"/>
              </w:rPr>
              <w:t>202</w:t>
            </w:r>
            <w:r>
              <w:rPr>
                <w:rFonts w:asciiTheme="minorHAnsi" w:hAnsiTheme="minorHAnsi" w:cstheme="minorHAnsi"/>
                <w:sz w:val="20"/>
                <w:szCs w:val="28"/>
              </w:rPr>
              <w:t>2</w:t>
            </w:r>
            <w:r w:rsidRPr="00063023">
              <w:rPr>
                <w:rFonts w:asciiTheme="minorHAnsi" w:hAnsiTheme="minorHAnsi" w:cstheme="minorHAnsi"/>
                <w:sz w:val="20"/>
                <w:szCs w:val="28"/>
              </w:rPr>
              <w:t xml:space="preserve"> ($</w:t>
            </w:r>
            <w:r>
              <w:rPr>
                <w:rFonts w:asciiTheme="minorHAnsi" w:hAnsiTheme="minorHAnsi" w:cstheme="minorHAnsi"/>
                <w:sz w:val="20"/>
                <w:szCs w:val="28"/>
              </w:rPr>
              <w:t> </w:t>
            </w:r>
            <w:r w:rsidRPr="00063023">
              <w:rPr>
                <w:rFonts w:asciiTheme="minorHAnsi" w:hAnsiTheme="minorHAnsi" w:cstheme="minorHAnsi"/>
                <w:sz w:val="20"/>
                <w:szCs w:val="28"/>
              </w:rPr>
              <w:t>thousand)</w:t>
            </w:r>
          </w:p>
        </w:tc>
      </w:tr>
      <w:tr w:rsidR="000756EB" w14:paraId="7D69A41D" w14:textId="77777777" w:rsidTr="00EF6DEC">
        <w:trPr>
          <w:cantSplit/>
        </w:trPr>
        <w:tc>
          <w:tcPr>
            <w:tcW w:w="4989" w:type="dxa"/>
          </w:tcPr>
          <w:p w14:paraId="4636B66E" w14:textId="597C9D87" w:rsidR="000756EB" w:rsidRDefault="004A4D88" w:rsidP="00EF6DEC">
            <w:pPr>
              <w:pStyle w:val="TableCopy"/>
            </w:pPr>
            <w:r>
              <w:t>Buildings</w:t>
            </w:r>
            <w:r w:rsidR="00A03629">
              <w:t xml:space="preserve"> </w:t>
            </w:r>
            <w:r>
              <w:t>and</w:t>
            </w:r>
            <w:r w:rsidR="00A03629">
              <w:t xml:space="preserve"> </w:t>
            </w:r>
            <w:r>
              <w:t>structures</w:t>
            </w:r>
            <w:r w:rsidR="00A03629">
              <w:t xml:space="preserve"> </w:t>
            </w:r>
            <w:r>
              <w:t>at</w:t>
            </w:r>
            <w:r w:rsidR="00A03629">
              <w:t xml:space="preserve"> </w:t>
            </w:r>
            <w:r>
              <w:t>fair</w:t>
            </w:r>
            <w:r w:rsidR="00A03629">
              <w:t xml:space="preserve"> </w:t>
            </w:r>
            <w:r>
              <w:t>value</w:t>
            </w:r>
          </w:p>
        </w:tc>
        <w:tc>
          <w:tcPr>
            <w:tcW w:w="1737" w:type="dxa"/>
          </w:tcPr>
          <w:p w14:paraId="3C016125" w14:textId="0BF57184" w:rsidR="000756EB" w:rsidRDefault="004A4D88" w:rsidP="00EF6DEC">
            <w:pPr>
              <w:pStyle w:val="TableCopy"/>
              <w:jc w:val="right"/>
            </w:pPr>
            <w:r>
              <w:t>160,361</w:t>
            </w:r>
          </w:p>
        </w:tc>
        <w:tc>
          <w:tcPr>
            <w:tcW w:w="1737" w:type="dxa"/>
          </w:tcPr>
          <w:p w14:paraId="1BF89159" w14:textId="77777777" w:rsidR="000756EB" w:rsidRDefault="004A4D88" w:rsidP="00EF6DEC">
            <w:pPr>
              <w:pStyle w:val="TableCopy"/>
              <w:jc w:val="right"/>
            </w:pPr>
            <w:r>
              <w:t>(28,748)</w:t>
            </w:r>
          </w:p>
        </w:tc>
        <w:tc>
          <w:tcPr>
            <w:tcW w:w="1738" w:type="dxa"/>
          </w:tcPr>
          <w:p w14:paraId="29ECD30F" w14:textId="62109816" w:rsidR="000756EB" w:rsidRDefault="004A4D88" w:rsidP="00EF6DEC">
            <w:pPr>
              <w:pStyle w:val="TableCopy"/>
              <w:jc w:val="right"/>
            </w:pPr>
            <w:r>
              <w:t>131,613</w:t>
            </w:r>
          </w:p>
        </w:tc>
      </w:tr>
      <w:tr w:rsidR="000756EB" w14:paraId="4E2BAD19" w14:textId="77777777" w:rsidTr="00EF6DEC">
        <w:trPr>
          <w:cantSplit/>
        </w:trPr>
        <w:tc>
          <w:tcPr>
            <w:tcW w:w="4989" w:type="dxa"/>
          </w:tcPr>
          <w:p w14:paraId="58C9D92E" w14:textId="7405819D" w:rsidR="000756EB" w:rsidRDefault="004A4D88" w:rsidP="00EF6DEC">
            <w:pPr>
              <w:pStyle w:val="TableCopy"/>
            </w:pPr>
            <w:r>
              <w:t>Motor</w:t>
            </w:r>
            <w:r w:rsidR="00A03629">
              <w:t xml:space="preserve"> </w:t>
            </w:r>
            <w:r>
              <w:t>vehicles</w:t>
            </w:r>
            <w:r w:rsidR="00A03629">
              <w:t xml:space="preserve"> </w:t>
            </w:r>
            <w:r>
              <w:t>at</w:t>
            </w:r>
            <w:r w:rsidR="00A03629">
              <w:t xml:space="preserve"> </w:t>
            </w:r>
            <w:r>
              <w:t>fair</w:t>
            </w:r>
            <w:r w:rsidR="00A03629">
              <w:t xml:space="preserve"> </w:t>
            </w:r>
            <w:r>
              <w:t>value</w:t>
            </w:r>
          </w:p>
        </w:tc>
        <w:tc>
          <w:tcPr>
            <w:tcW w:w="1737" w:type="dxa"/>
          </w:tcPr>
          <w:p w14:paraId="529DA23C" w14:textId="31A77A9B" w:rsidR="000756EB" w:rsidRDefault="004A4D88" w:rsidP="00EF6DEC">
            <w:pPr>
              <w:pStyle w:val="TableCopy"/>
              <w:jc w:val="right"/>
            </w:pPr>
            <w:r>
              <w:t>18,540</w:t>
            </w:r>
          </w:p>
        </w:tc>
        <w:tc>
          <w:tcPr>
            <w:tcW w:w="1737" w:type="dxa"/>
          </w:tcPr>
          <w:p w14:paraId="0465C08D" w14:textId="77777777" w:rsidR="000756EB" w:rsidRDefault="004A4D88" w:rsidP="00EF6DEC">
            <w:pPr>
              <w:pStyle w:val="TableCopy"/>
              <w:jc w:val="right"/>
            </w:pPr>
            <w:r>
              <w:t>(7,480)</w:t>
            </w:r>
          </w:p>
        </w:tc>
        <w:tc>
          <w:tcPr>
            <w:tcW w:w="1738" w:type="dxa"/>
          </w:tcPr>
          <w:p w14:paraId="4E989226" w14:textId="01175465" w:rsidR="000756EB" w:rsidRDefault="004A4D88" w:rsidP="00EF6DEC">
            <w:pPr>
              <w:pStyle w:val="TableCopy"/>
              <w:jc w:val="right"/>
            </w:pPr>
            <w:r>
              <w:t>11,059</w:t>
            </w:r>
          </w:p>
        </w:tc>
      </w:tr>
      <w:tr w:rsidR="000756EB" w:rsidRPr="00EF6DEC" w14:paraId="3A554C42" w14:textId="77777777" w:rsidTr="00EF6DEC">
        <w:trPr>
          <w:cantSplit/>
        </w:trPr>
        <w:tc>
          <w:tcPr>
            <w:tcW w:w="4989" w:type="dxa"/>
          </w:tcPr>
          <w:p w14:paraId="7C9C6422" w14:textId="07F3A888" w:rsidR="000756EB" w:rsidRPr="00EF6DEC" w:rsidRDefault="004A4D88" w:rsidP="00EF6DEC">
            <w:pPr>
              <w:pStyle w:val="TableCopy"/>
              <w:rPr>
                <w:b/>
                <w:bCs/>
              </w:rPr>
            </w:pPr>
            <w:r w:rsidRPr="00EF6DEC">
              <w:rPr>
                <w:b/>
                <w:bCs/>
              </w:rPr>
              <w:t>Net</w:t>
            </w:r>
            <w:r w:rsidR="00A03629" w:rsidRPr="00EF6DEC">
              <w:rPr>
                <w:b/>
                <w:bCs/>
              </w:rPr>
              <w:t xml:space="preserve"> </w:t>
            </w:r>
            <w:r w:rsidRPr="00EF6DEC">
              <w:rPr>
                <w:b/>
                <w:bCs/>
              </w:rPr>
              <w:t>carrying</w:t>
            </w:r>
            <w:r w:rsidR="00A03629" w:rsidRPr="00EF6DEC">
              <w:rPr>
                <w:b/>
                <w:bCs/>
              </w:rPr>
              <w:t xml:space="preserve"> </w:t>
            </w:r>
            <w:r w:rsidRPr="00EF6DEC">
              <w:rPr>
                <w:b/>
                <w:bCs/>
              </w:rPr>
              <w:t>amount</w:t>
            </w:r>
          </w:p>
        </w:tc>
        <w:tc>
          <w:tcPr>
            <w:tcW w:w="1737" w:type="dxa"/>
          </w:tcPr>
          <w:p w14:paraId="16BA5434" w14:textId="770D5020" w:rsidR="000756EB" w:rsidRPr="00EF6DEC" w:rsidRDefault="004A4D88" w:rsidP="00EF6DEC">
            <w:pPr>
              <w:pStyle w:val="TableCopy"/>
              <w:jc w:val="right"/>
              <w:rPr>
                <w:b/>
                <w:bCs/>
              </w:rPr>
            </w:pPr>
            <w:r w:rsidRPr="00EF6DEC">
              <w:rPr>
                <w:b/>
                <w:bCs/>
              </w:rPr>
              <w:t>178,901</w:t>
            </w:r>
          </w:p>
        </w:tc>
        <w:tc>
          <w:tcPr>
            <w:tcW w:w="1737" w:type="dxa"/>
          </w:tcPr>
          <w:p w14:paraId="053D1F71" w14:textId="77777777" w:rsidR="000756EB" w:rsidRPr="00EF6DEC" w:rsidRDefault="004A4D88" w:rsidP="00EF6DEC">
            <w:pPr>
              <w:pStyle w:val="TableCopy"/>
              <w:jc w:val="right"/>
              <w:rPr>
                <w:b/>
                <w:bCs/>
              </w:rPr>
            </w:pPr>
            <w:r w:rsidRPr="00EF6DEC">
              <w:rPr>
                <w:b/>
                <w:bCs/>
              </w:rPr>
              <w:t>(36,228)</w:t>
            </w:r>
          </w:p>
        </w:tc>
        <w:tc>
          <w:tcPr>
            <w:tcW w:w="1738" w:type="dxa"/>
          </w:tcPr>
          <w:p w14:paraId="14EBEFA5" w14:textId="54C7C69F" w:rsidR="000756EB" w:rsidRPr="00EF6DEC" w:rsidRDefault="004A4D88" w:rsidP="00EF6DEC">
            <w:pPr>
              <w:pStyle w:val="TableCopy"/>
              <w:jc w:val="right"/>
              <w:rPr>
                <w:b/>
                <w:bCs/>
              </w:rPr>
            </w:pPr>
            <w:r w:rsidRPr="00EF6DEC">
              <w:rPr>
                <w:b/>
                <w:bCs/>
              </w:rPr>
              <w:t>142,672</w:t>
            </w:r>
          </w:p>
        </w:tc>
      </w:tr>
    </w:tbl>
    <w:p w14:paraId="755B461B" w14:textId="77777777" w:rsidR="000756EB" w:rsidRDefault="000756EB" w:rsidP="00EF6DEC"/>
    <w:tbl>
      <w:tblPr>
        <w:tblStyle w:val="TableGrid"/>
        <w:tblW w:w="10201" w:type="dxa"/>
        <w:tblLayout w:type="fixed"/>
        <w:tblLook w:val="0020" w:firstRow="1" w:lastRow="0" w:firstColumn="0" w:lastColumn="0" w:noHBand="0" w:noVBand="0"/>
      </w:tblPr>
      <w:tblGrid>
        <w:gridCol w:w="5524"/>
        <w:gridCol w:w="2338"/>
        <w:gridCol w:w="2339"/>
      </w:tblGrid>
      <w:tr w:rsidR="000756EB" w:rsidRPr="00EF6DEC" w14:paraId="26381093" w14:textId="77777777" w:rsidTr="00015F07">
        <w:trPr>
          <w:cantSplit/>
          <w:tblHeader/>
        </w:trPr>
        <w:tc>
          <w:tcPr>
            <w:tcW w:w="5524" w:type="dxa"/>
          </w:tcPr>
          <w:p w14:paraId="0AB4E12D" w14:textId="77777777" w:rsidR="000756EB" w:rsidRPr="00EF6DEC" w:rsidRDefault="000756EB" w:rsidP="00EF6DEC">
            <w:pPr>
              <w:pStyle w:val="TableColumnHeading"/>
              <w:rPr>
                <w:rFonts w:asciiTheme="minorHAnsi" w:hAnsiTheme="minorHAnsi" w:cstheme="minorHAnsi"/>
                <w:sz w:val="20"/>
                <w:szCs w:val="28"/>
              </w:rPr>
            </w:pPr>
            <w:bookmarkStart w:id="68" w:name="ColumnTitles_40"/>
            <w:bookmarkEnd w:id="68"/>
          </w:p>
        </w:tc>
        <w:tc>
          <w:tcPr>
            <w:tcW w:w="2338" w:type="dxa"/>
          </w:tcPr>
          <w:p w14:paraId="582F2B60" w14:textId="1C68F09A" w:rsidR="000756EB" w:rsidRPr="00EF6DEC" w:rsidRDefault="004A4D88" w:rsidP="00015F07">
            <w:pPr>
              <w:pStyle w:val="TableColumnHeading"/>
              <w:jc w:val="right"/>
              <w:rPr>
                <w:rFonts w:asciiTheme="minorHAnsi" w:hAnsiTheme="minorHAnsi" w:cstheme="minorHAnsi"/>
                <w:sz w:val="20"/>
                <w:szCs w:val="28"/>
              </w:rPr>
            </w:pPr>
            <w:r w:rsidRPr="00EF6DEC">
              <w:rPr>
                <w:rFonts w:asciiTheme="minorHAnsi" w:hAnsiTheme="minorHAnsi" w:cstheme="minorHAnsi"/>
                <w:sz w:val="20"/>
                <w:szCs w:val="28"/>
              </w:rPr>
              <w:t>Buildings</w:t>
            </w:r>
            <w:r w:rsidR="00A03629" w:rsidRPr="00EF6DEC">
              <w:rPr>
                <w:rFonts w:asciiTheme="minorHAnsi" w:hAnsiTheme="minorHAnsi" w:cstheme="minorHAnsi"/>
                <w:sz w:val="20"/>
                <w:szCs w:val="28"/>
              </w:rPr>
              <w:t xml:space="preserve"> </w:t>
            </w:r>
            <w:r w:rsidRPr="00EF6DEC">
              <w:rPr>
                <w:rFonts w:asciiTheme="minorHAnsi" w:hAnsiTheme="minorHAnsi" w:cstheme="minorHAnsi"/>
                <w:sz w:val="20"/>
                <w:szCs w:val="28"/>
              </w:rPr>
              <w:t>and</w:t>
            </w:r>
            <w:r w:rsidR="00A03629" w:rsidRPr="00EF6DEC">
              <w:rPr>
                <w:rFonts w:asciiTheme="minorHAnsi" w:hAnsiTheme="minorHAnsi" w:cstheme="minorHAnsi"/>
                <w:sz w:val="20"/>
                <w:szCs w:val="28"/>
              </w:rPr>
              <w:t xml:space="preserve"> </w:t>
            </w:r>
            <w:r w:rsidRPr="00EF6DEC">
              <w:rPr>
                <w:rFonts w:asciiTheme="minorHAnsi" w:hAnsiTheme="minorHAnsi" w:cstheme="minorHAnsi"/>
                <w:sz w:val="20"/>
                <w:szCs w:val="28"/>
              </w:rPr>
              <w:t>structures</w:t>
            </w:r>
            <w:r w:rsidR="00A03629" w:rsidRPr="00EF6DEC">
              <w:rPr>
                <w:rFonts w:asciiTheme="minorHAnsi" w:hAnsiTheme="minorHAnsi" w:cstheme="minorHAnsi"/>
                <w:sz w:val="20"/>
                <w:szCs w:val="28"/>
              </w:rPr>
              <w:t xml:space="preserve"> </w:t>
            </w:r>
            <w:r w:rsidRPr="00EF6DEC">
              <w:rPr>
                <w:rFonts w:asciiTheme="minorHAnsi" w:hAnsiTheme="minorHAnsi" w:cstheme="minorHAnsi"/>
                <w:sz w:val="20"/>
                <w:szCs w:val="28"/>
              </w:rPr>
              <w:t>at</w:t>
            </w:r>
            <w:r w:rsidR="00A03629" w:rsidRPr="00EF6DEC">
              <w:rPr>
                <w:rFonts w:asciiTheme="minorHAnsi" w:hAnsiTheme="minorHAnsi" w:cstheme="minorHAnsi"/>
                <w:sz w:val="20"/>
                <w:szCs w:val="28"/>
              </w:rPr>
              <w:t xml:space="preserve"> </w:t>
            </w:r>
            <w:r w:rsidRPr="00EF6DEC">
              <w:rPr>
                <w:rFonts w:asciiTheme="minorHAnsi" w:hAnsiTheme="minorHAnsi" w:cstheme="minorHAnsi"/>
                <w:sz w:val="20"/>
                <w:szCs w:val="28"/>
              </w:rPr>
              <w:t>fair</w:t>
            </w:r>
            <w:r w:rsidR="00A03629" w:rsidRPr="00EF6DEC">
              <w:rPr>
                <w:rFonts w:asciiTheme="minorHAnsi" w:hAnsiTheme="minorHAnsi" w:cstheme="minorHAnsi"/>
                <w:sz w:val="20"/>
                <w:szCs w:val="28"/>
              </w:rPr>
              <w:t xml:space="preserve"> </w:t>
            </w:r>
            <w:r w:rsidRPr="00EF6DEC">
              <w:rPr>
                <w:rFonts w:asciiTheme="minorHAnsi" w:hAnsiTheme="minorHAnsi" w:cstheme="minorHAnsi"/>
                <w:sz w:val="20"/>
                <w:szCs w:val="28"/>
              </w:rPr>
              <w:t>value</w:t>
            </w:r>
            <w:r w:rsidR="00EF6DEC">
              <w:rPr>
                <w:rFonts w:asciiTheme="minorHAnsi" w:hAnsiTheme="minorHAnsi" w:cstheme="minorHAnsi"/>
                <w:sz w:val="20"/>
                <w:szCs w:val="28"/>
              </w:rPr>
              <w:t xml:space="preserve"> </w:t>
            </w:r>
            <w:r w:rsidR="00EF6DEC" w:rsidRPr="00EF6DEC">
              <w:rPr>
                <w:rFonts w:asciiTheme="minorHAnsi" w:hAnsiTheme="minorHAnsi" w:cstheme="minorHAnsi"/>
                <w:sz w:val="20"/>
                <w:szCs w:val="28"/>
              </w:rPr>
              <w:t>($ thousand)</w:t>
            </w:r>
          </w:p>
        </w:tc>
        <w:tc>
          <w:tcPr>
            <w:tcW w:w="2339" w:type="dxa"/>
          </w:tcPr>
          <w:p w14:paraId="249FEC46" w14:textId="4417ACA7" w:rsidR="000756EB" w:rsidRPr="00EF6DEC" w:rsidRDefault="004A4D88" w:rsidP="00015F07">
            <w:pPr>
              <w:pStyle w:val="TableColumnHeading"/>
              <w:jc w:val="right"/>
              <w:rPr>
                <w:rFonts w:asciiTheme="minorHAnsi" w:hAnsiTheme="minorHAnsi" w:cstheme="minorHAnsi"/>
                <w:sz w:val="20"/>
                <w:szCs w:val="28"/>
              </w:rPr>
            </w:pPr>
            <w:r w:rsidRPr="00EF6DEC">
              <w:rPr>
                <w:rFonts w:asciiTheme="minorHAnsi" w:hAnsiTheme="minorHAnsi" w:cstheme="minorHAnsi"/>
                <w:sz w:val="20"/>
                <w:szCs w:val="28"/>
              </w:rPr>
              <w:t>Motor</w:t>
            </w:r>
            <w:r w:rsidR="00A03629" w:rsidRPr="00EF6DEC">
              <w:rPr>
                <w:rFonts w:asciiTheme="minorHAnsi" w:hAnsiTheme="minorHAnsi" w:cstheme="minorHAnsi"/>
                <w:sz w:val="20"/>
                <w:szCs w:val="28"/>
              </w:rPr>
              <w:t xml:space="preserve"> </w:t>
            </w:r>
            <w:r w:rsidRPr="00EF6DEC">
              <w:rPr>
                <w:rFonts w:asciiTheme="minorHAnsi" w:hAnsiTheme="minorHAnsi" w:cstheme="minorHAnsi"/>
                <w:sz w:val="20"/>
                <w:szCs w:val="28"/>
              </w:rPr>
              <w:t>vehicles</w:t>
            </w:r>
            <w:r w:rsidR="00A03629" w:rsidRPr="00EF6DEC">
              <w:rPr>
                <w:rFonts w:asciiTheme="minorHAnsi" w:hAnsiTheme="minorHAnsi" w:cstheme="minorHAnsi"/>
                <w:sz w:val="20"/>
                <w:szCs w:val="28"/>
              </w:rPr>
              <w:t xml:space="preserve"> </w:t>
            </w:r>
            <w:r w:rsidRPr="00EF6DEC">
              <w:rPr>
                <w:rFonts w:asciiTheme="minorHAnsi" w:hAnsiTheme="minorHAnsi" w:cstheme="minorHAnsi"/>
                <w:sz w:val="20"/>
                <w:szCs w:val="28"/>
              </w:rPr>
              <w:t>at</w:t>
            </w:r>
            <w:r w:rsidR="00A03629" w:rsidRPr="00EF6DEC">
              <w:rPr>
                <w:rFonts w:asciiTheme="minorHAnsi" w:hAnsiTheme="minorHAnsi" w:cstheme="minorHAnsi"/>
                <w:sz w:val="20"/>
                <w:szCs w:val="28"/>
              </w:rPr>
              <w:t xml:space="preserve"> </w:t>
            </w:r>
            <w:r w:rsidRPr="00EF6DEC">
              <w:rPr>
                <w:rFonts w:asciiTheme="minorHAnsi" w:hAnsiTheme="minorHAnsi" w:cstheme="minorHAnsi"/>
                <w:sz w:val="20"/>
                <w:szCs w:val="28"/>
              </w:rPr>
              <w:t>fair</w:t>
            </w:r>
            <w:r w:rsidR="00A03629" w:rsidRPr="00EF6DEC">
              <w:rPr>
                <w:rFonts w:asciiTheme="minorHAnsi" w:hAnsiTheme="minorHAnsi" w:cstheme="minorHAnsi"/>
                <w:sz w:val="20"/>
                <w:szCs w:val="28"/>
              </w:rPr>
              <w:t xml:space="preserve"> </w:t>
            </w:r>
            <w:r w:rsidRPr="00EF6DEC">
              <w:rPr>
                <w:rFonts w:asciiTheme="minorHAnsi" w:hAnsiTheme="minorHAnsi" w:cstheme="minorHAnsi"/>
                <w:sz w:val="20"/>
                <w:szCs w:val="28"/>
              </w:rPr>
              <w:t>value</w:t>
            </w:r>
            <w:r w:rsidR="00EF6DEC">
              <w:rPr>
                <w:rFonts w:asciiTheme="minorHAnsi" w:hAnsiTheme="minorHAnsi" w:cstheme="minorHAnsi"/>
                <w:sz w:val="20"/>
                <w:szCs w:val="28"/>
              </w:rPr>
              <w:t xml:space="preserve"> </w:t>
            </w:r>
            <w:r w:rsidR="00EF6DEC" w:rsidRPr="00EF6DEC">
              <w:rPr>
                <w:rFonts w:asciiTheme="minorHAnsi" w:hAnsiTheme="minorHAnsi" w:cstheme="minorHAnsi"/>
                <w:sz w:val="20"/>
                <w:szCs w:val="28"/>
              </w:rPr>
              <w:t>($ thousand)</w:t>
            </w:r>
          </w:p>
        </w:tc>
      </w:tr>
      <w:tr w:rsidR="000756EB" w:rsidRPr="00EF6DEC" w14:paraId="785E83BE" w14:textId="77777777" w:rsidTr="00EF6DEC">
        <w:trPr>
          <w:cantSplit/>
        </w:trPr>
        <w:tc>
          <w:tcPr>
            <w:tcW w:w="5524" w:type="dxa"/>
          </w:tcPr>
          <w:p w14:paraId="4FE09465" w14:textId="3E7C2091" w:rsidR="000756EB" w:rsidRPr="00EF6DEC" w:rsidRDefault="004A4D88" w:rsidP="00EF6DEC">
            <w:pPr>
              <w:pStyle w:val="TableCopy"/>
              <w:rPr>
                <w:b/>
                <w:bCs/>
              </w:rPr>
            </w:pPr>
            <w:r w:rsidRPr="00EF6DEC">
              <w:rPr>
                <w:b/>
                <w:bCs/>
              </w:rPr>
              <w:t>Opening</w:t>
            </w:r>
            <w:r w:rsidR="00A03629" w:rsidRPr="00EF6DEC">
              <w:rPr>
                <w:b/>
                <w:bCs/>
              </w:rPr>
              <w:t xml:space="preserve"> </w:t>
            </w:r>
            <w:r w:rsidRPr="00EF6DEC">
              <w:rPr>
                <w:b/>
                <w:bCs/>
              </w:rPr>
              <w:t>balance</w:t>
            </w:r>
            <w:r w:rsidR="00A03629" w:rsidRPr="00EF6DEC">
              <w:rPr>
                <w:b/>
                <w:bCs/>
              </w:rPr>
              <w:t xml:space="preserve"> </w:t>
            </w:r>
            <w:r w:rsidRPr="00EF6DEC">
              <w:rPr>
                <w:b/>
                <w:bCs/>
              </w:rPr>
              <w:t>–</w:t>
            </w:r>
            <w:r w:rsidR="00A03629" w:rsidRPr="00EF6DEC">
              <w:rPr>
                <w:b/>
                <w:bCs/>
              </w:rPr>
              <w:t xml:space="preserve"> </w:t>
            </w:r>
            <w:r w:rsidRPr="00EF6DEC">
              <w:rPr>
                <w:b/>
                <w:bCs/>
              </w:rPr>
              <w:t>1</w:t>
            </w:r>
            <w:r w:rsidR="00A03629" w:rsidRPr="00EF6DEC">
              <w:rPr>
                <w:b/>
                <w:bCs/>
              </w:rPr>
              <w:t xml:space="preserve"> </w:t>
            </w:r>
            <w:r w:rsidRPr="00EF6DEC">
              <w:rPr>
                <w:b/>
                <w:bCs/>
              </w:rPr>
              <w:t>July</w:t>
            </w:r>
            <w:r w:rsidR="00A03629" w:rsidRPr="00EF6DEC">
              <w:rPr>
                <w:b/>
                <w:bCs/>
              </w:rPr>
              <w:t xml:space="preserve"> </w:t>
            </w:r>
            <w:r w:rsidRPr="00EF6DEC">
              <w:rPr>
                <w:b/>
                <w:bCs/>
              </w:rPr>
              <w:t>2022</w:t>
            </w:r>
          </w:p>
        </w:tc>
        <w:tc>
          <w:tcPr>
            <w:tcW w:w="2338" w:type="dxa"/>
          </w:tcPr>
          <w:p w14:paraId="75A9BAFC" w14:textId="351B475B" w:rsidR="000756EB" w:rsidRPr="00EF6DEC" w:rsidRDefault="004A4D88" w:rsidP="00015F07">
            <w:pPr>
              <w:pStyle w:val="TableCopy"/>
              <w:jc w:val="right"/>
              <w:rPr>
                <w:b/>
                <w:bCs/>
              </w:rPr>
            </w:pPr>
            <w:r w:rsidRPr="00EF6DEC">
              <w:rPr>
                <w:b/>
                <w:bCs/>
              </w:rPr>
              <w:t>131,613</w:t>
            </w:r>
          </w:p>
        </w:tc>
        <w:tc>
          <w:tcPr>
            <w:tcW w:w="2339" w:type="dxa"/>
          </w:tcPr>
          <w:p w14:paraId="0B773CA7" w14:textId="2D8B3C94" w:rsidR="000756EB" w:rsidRPr="00EF6DEC" w:rsidRDefault="004A4D88" w:rsidP="00015F07">
            <w:pPr>
              <w:pStyle w:val="TableCopy"/>
              <w:jc w:val="right"/>
              <w:rPr>
                <w:b/>
                <w:bCs/>
              </w:rPr>
            </w:pPr>
            <w:r w:rsidRPr="00EF6DEC">
              <w:rPr>
                <w:b/>
                <w:bCs/>
              </w:rPr>
              <w:t>11,059</w:t>
            </w:r>
          </w:p>
        </w:tc>
      </w:tr>
      <w:tr w:rsidR="000756EB" w14:paraId="450A9DE1" w14:textId="77777777" w:rsidTr="00EF6DEC">
        <w:trPr>
          <w:cantSplit/>
        </w:trPr>
        <w:tc>
          <w:tcPr>
            <w:tcW w:w="5524" w:type="dxa"/>
          </w:tcPr>
          <w:p w14:paraId="5CF10F40" w14:textId="77777777" w:rsidR="000756EB" w:rsidRDefault="004A4D88" w:rsidP="00EF6DEC">
            <w:pPr>
              <w:pStyle w:val="TableCopy"/>
            </w:pPr>
            <w:r>
              <w:t>Additions</w:t>
            </w:r>
          </w:p>
        </w:tc>
        <w:tc>
          <w:tcPr>
            <w:tcW w:w="2338" w:type="dxa"/>
          </w:tcPr>
          <w:p w14:paraId="26E2F493" w14:textId="78B15391" w:rsidR="000756EB" w:rsidRDefault="004A4D88" w:rsidP="00015F07">
            <w:pPr>
              <w:pStyle w:val="TableCopy"/>
              <w:jc w:val="right"/>
            </w:pPr>
            <w:r>
              <w:t>3,787</w:t>
            </w:r>
          </w:p>
        </w:tc>
        <w:tc>
          <w:tcPr>
            <w:tcW w:w="2339" w:type="dxa"/>
          </w:tcPr>
          <w:p w14:paraId="6BCD7B93" w14:textId="393F829B" w:rsidR="000756EB" w:rsidRDefault="004A4D88" w:rsidP="00015F07">
            <w:pPr>
              <w:pStyle w:val="TableCopy"/>
              <w:jc w:val="right"/>
            </w:pPr>
            <w:r>
              <w:t>6,767</w:t>
            </w:r>
          </w:p>
        </w:tc>
      </w:tr>
      <w:tr w:rsidR="000756EB" w14:paraId="6E6270AC" w14:textId="77777777" w:rsidTr="00EF6DEC">
        <w:trPr>
          <w:cantSplit/>
        </w:trPr>
        <w:tc>
          <w:tcPr>
            <w:tcW w:w="5524" w:type="dxa"/>
          </w:tcPr>
          <w:p w14:paraId="435794BC" w14:textId="47C85119" w:rsidR="000756EB" w:rsidRDefault="004A4D88" w:rsidP="00EF6DEC">
            <w:pPr>
              <w:pStyle w:val="TableCopy"/>
            </w:pPr>
            <w:r>
              <w:t>Machinery</w:t>
            </w:r>
            <w:r w:rsidR="00A03629">
              <w:t xml:space="preserve"> </w:t>
            </w:r>
            <w:r>
              <w:t>of</w:t>
            </w:r>
            <w:r w:rsidR="00A03629">
              <w:t xml:space="preserve"> </w:t>
            </w:r>
            <w:r>
              <w:t>government</w:t>
            </w:r>
            <w:r w:rsidR="00A03629">
              <w:t xml:space="preserve"> </w:t>
            </w:r>
            <w:r>
              <w:t>transferred</w:t>
            </w:r>
            <w:r w:rsidR="00A03629">
              <w:t xml:space="preserve"> </w:t>
            </w:r>
            <w:r>
              <w:t>in/(out)</w:t>
            </w:r>
            <w:r w:rsidR="00A03629">
              <w:t xml:space="preserve"> </w:t>
            </w:r>
            <w:r w:rsidRPr="00614829">
              <w:rPr>
                <w:rStyle w:val="FootnotereferencessuperscriptMisc"/>
              </w:rPr>
              <w:t>(</w:t>
            </w:r>
            <w:proofErr w:type="spellStart"/>
            <w:r w:rsidRPr="00614829">
              <w:rPr>
                <w:rStyle w:val="FootnotereferencessuperscriptMisc"/>
              </w:rPr>
              <w:t>i</w:t>
            </w:r>
            <w:proofErr w:type="spellEnd"/>
            <w:r w:rsidRPr="00614829">
              <w:rPr>
                <w:rStyle w:val="FootnotereferencessuperscriptMisc"/>
              </w:rPr>
              <w:t>)</w:t>
            </w:r>
          </w:p>
        </w:tc>
        <w:tc>
          <w:tcPr>
            <w:tcW w:w="2338" w:type="dxa"/>
          </w:tcPr>
          <w:p w14:paraId="11F1BB87" w14:textId="54824C20" w:rsidR="000756EB" w:rsidRDefault="004A4D88" w:rsidP="00015F07">
            <w:pPr>
              <w:pStyle w:val="TableCopy"/>
              <w:jc w:val="right"/>
            </w:pPr>
            <w:r>
              <w:t>(116,946)</w:t>
            </w:r>
          </w:p>
        </w:tc>
        <w:tc>
          <w:tcPr>
            <w:tcW w:w="2339" w:type="dxa"/>
          </w:tcPr>
          <w:p w14:paraId="01B3EB9C" w14:textId="25AF3CF8" w:rsidR="000756EB" w:rsidRDefault="004A4D88" w:rsidP="00015F07">
            <w:pPr>
              <w:pStyle w:val="TableCopy"/>
              <w:jc w:val="right"/>
            </w:pPr>
            <w:r>
              <w:t>(8,492)</w:t>
            </w:r>
          </w:p>
        </w:tc>
      </w:tr>
      <w:tr w:rsidR="000756EB" w14:paraId="467DD3FA" w14:textId="77777777" w:rsidTr="00EF6DEC">
        <w:trPr>
          <w:cantSplit/>
        </w:trPr>
        <w:tc>
          <w:tcPr>
            <w:tcW w:w="5524" w:type="dxa"/>
          </w:tcPr>
          <w:p w14:paraId="51896EBF" w14:textId="4262A572" w:rsidR="000756EB" w:rsidRDefault="004A4D88" w:rsidP="00EF6DEC">
            <w:pPr>
              <w:pStyle w:val="TableCopy"/>
            </w:pPr>
            <w:r>
              <w:t>Transfers</w:t>
            </w:r>
            <w:r w:rsidR="00A03629">
              <w:t xml:space="preserve"> </w:t>
            </w:r>
          </w:p>
        </w:tc>
        <w:tc>
          <w:tcPr>
            <w:tcW w:w="2338" w:type="dxa"/>
          </w:tcPr>
          <w:p w14:paraId="206A7453" w14:textId="77777777" w:rsidR="000756EB" w:rsidRDefault="004A4D88" w:rsidP="00015F07">
            <w:pPr>
              <w:pStyle w:val="TableCopy"/>
              <w:jc w:val="right"/>
            </w:pPr>
            <w:r>
              <w:t>–</w:t>
            </w:r>
          </w:p>
        </w:tc>
        <w:tc>
          <w:tcPr>
            <w:tcW w:w="2339" w:type="dxa"/>
          </w:tcPr>
          <w:p w14:paraId="2EFD4CF3" w14:textId="4EC2CBA9" w:rsidR="000756EB" w:rsidRDefault="004A4D88" w:rsidP="00015F07">
            <w:pPr>
              <w:pStyle w:val="TableCopy"/>
              <w:jc w:val="right"/>
            </w:pPr>
            <w:r>
              <w:t>(231)</w:t>
            </w:r>
          </w:p>
        </w:tc>
      </w:tr>
      <w:tr w:rsidR="000756EB" w14:paraId="033C0F6B" w14:textId="77777777" w:rsidTr="00EF6DEC">
        <w:trPr>
          <w:cantSplit/>
        </w:trPr>
        <w:tc>
          <w:tcPr>
            <w:tcW w:w="5524" w:type="dxa"/>
          </w:tcPr>
          <w:p w14:paraId="643A0585" w14:textId="77777777" w:rsidR="000756EB" w:rsidRDefault="004A4D88" w:rsidP="00EF6DEC">
            <w:pPr>
              <w:pStyle w:val="TableCopy"/>
            </w:pPr>
            <w:r>
              <w:t>Disposals</w:t>
            </w:r>
          </w:p>
        </w:tc>
        <w:tc>
          <w:tcPr>
            <w:tcW w:w="2338" w:type="dxa"/>
          </w:tcPr>
          <w:p w14:paraId="20F2A825" w14:textId="77777777" w:rsidR="000756EB" w:rsidRDefault="004A4D88" w:rsidP="00015F07">
            <w:pPr>
              <w:pStyle w:val="TableCopy"/>
              <w:jc w:val="right"/>
            </w:pPr>
            <w:r>
              <w:t>–</w:t>
            </w:r>
          </w:p>
        </w:tc>
        <w:tc>
          <w:tcPr>
            <w:tcW w:w="2339" w:type="dxa"/>
          </w:tcPr>
          <w:p w14:paraId="18294B57" w14:textId="220BFCDF" w:rsidR="000756EB" w:rsidRDefault="004A4D88" w:rsidP="00015F07">
            <w:pPr>
              <w:pStyle w:val="TableCopy"/>
              <w:jc w:val="right"/>
            </w:pPr>
            <w:r>
              <w:t>(3,695)</w:t>
            </w:r>
          </w:p>
        </w:tc>
      </w:tr>
      <w:tr w:rsidR="000756EB" w14:paraId="1D651458" w14:textId="77777777" w:rsidTr="00EF6DEC">
        <w:trPr>
          <w:cantSplit/>
        </w:trPr>
        <w:tc>
          <w:tcPr>
            <w:tcW w:w="5524" w:type="dxa"/>
          </w:tcPr>
          <w:p w14:paraId="322821F0" w14:textId="09BAE786" w:rsidR="000756EB" w:rsidRDefault="004A4D88" w:rsidP="00EF6DEC">
            <w:pPr>
              <w:pStyle w:val="TableCopy"/>
            </w:pPr>
            <w:r>
              <w:t>Transfers</w:t>
            </w:r>
            <w:r w:rsidR="00A03629">
              <w:t xml:space="preserve"> </w:t>
            </w:r>
            <w:r>
              <w:t>via</w:t>
            </w:r>
            <w:r w:rsidR="00A03629">
              <w:t xml:space="preserve"> </w:t>
            </w:r>
            <w:r>
              <w:t>contributed</w:t>
            </w:r>
            <w:r w:rsidR="00A03629">
              <w:t xml:space="preserve"> </w:t>
            </w:r>
            <w:r>
              <w:t>capital</w:t>
            </w:r>
          </w:p>
        </w:tc>
        <w:tc>
          <w:tcPr>
            <w:tcW w:w="2338" w:type="dxa"/>
          </w:tcPr>
          <w:p w14:paraId="48AAB228" w14:textId="40F0AEC2" w:rsidR="000756EB" w:rsidRDefault="004A4D88" w:rsidP="00015F07">
            <w:pPr>
              <w:pStyle w:val="TableCopy"/>
              <w:jc w:val="right"/>
            </w:pPr>
            <w:r>
              <w:t>(1,604)</w:t>
            </w:r>
          </w:p>
        </w:tc>
        <w:tc>
          <w:tcPr>
            <w:tcW w:w="2339" w:type="dxa"/>
          </w:tcPr>
          <w:p w14:paraId="57817B53" w14:textId="77777777" w:rsidR="000756EB" w:rsidRDefault="004A4D88" w:rsidP="00015F07">
            <w:pPr>
              <w:pStyle w:val="TableCopy"/>
              <w:jc w:val="right"/>
            </w:pPr>
            <w:r>
              <w:t>–</w:t>
            </w:r>
          </w:p>
        </w:tc>
      </w:tr>
      <w:tr w:rsidR="000756EB" w14:paraId="2204D9D3" w14:textId="77777777" w:rsidTr="00EF6DEC">
        <w:trPr>
          <w:cantSplit/>
        </w:trPr>
        <w:tc>
          <w:tcPr>
            <w:tcW w:w="5524" w:type="dxa"/>
          </w:tcPr>
          <w:p w14:paraId="49CA2ABE" w14:textId="77777777" w:rsidR="000756EB" w:rsidRDefault="004A4D88" w:rsidP="00EF6DEC">
            <w:pPr>
              <w:pStyle w:val="TableCopy"/>
            </w:pPr>
            <w:r>
              <w:t>Depreciation</w:t>
            </w:r>
          </w:p>
        </w:tc>
        <w:tc>
          <w:tcPr>
            <w:tcW w:w="2338" w:type="dxa"/>
          </w:tcPr>
          <w:p w14:paraId="6BD68C65" w14:textId="6C6D27B5" w:rsidR="000756EB" w:rsidRDefault="004A4D88" w:rsidP="00015F07">
            <w:pPr>
              <w:pStyle w:val="TableCopy"/>
              <w:jc w:val="right"/>
            </w:pPr>
            <w:r>
              <w:t>(6,870)</w:t>
            </w:r>
          </w:p>
        </w:tc>
        <w:tc>
          <w:tcPr>
            <w:tcW w:w="2339" w:type="dxa"/>
          </w:tcPr>
          <w:p w14:paraId="20D4E293" w14:textId="329945CA" w:rsidR="000756EB" w:rsidRDefault="004A4D88" w:rsidP="00015F07">
            <w:pPr>
              <w:pStyle w:val="TableCopy"/>
              <w:jc w:val="right"/>
            </w:pPr>
            <w:r>
              <w:t>(1,819)</w:t>
            </w:r>
          </w:p>
        </w:tc>
      </w:tr>
      <w:tr w:rsidR="000756EB" w:rsidRPr="00EF6DEC" w14:paraId="320427BE" w14:textId="77777777" w:rsidTr="00EF6DEC">
        <w:trPr>
          <w:cantSplit/>
        </w:trPr>
        <w:tc>
          <w:tcPr>
            <w:tcW w:w="5524" w:type="dxa"/>
          </w:tcPr>
          <w:p w14:paraId="2F2544E0" w14:textId="74D333FD" w:rsidR="000756EB" w:rsidRPr="00EF6DEC" w:rsidRDefault="004A4D88" w:rsidP="00EF6DEC">
            <w:pPr>
              <w:pStyle w:val="TableCopy"/>
              <w:rPr>
                <w:b/>
                <w:bCs/>
              </w:rPr>
            </w:pPr>
            <w:r w:rsidRPr="00EF6DEC">
              <w:rPr>
                <w:b/>
                <w:bCs/>
              </w:rPr>
              <w:t>Closing</w:t>
            </w:r>
            <w:r w:rsidR="00A03629" w:rsidRPr="00EF6DEC">
              <w:rPr>
                <w:b/>
                <w:bCs/>
              </w:rPr>
              <w:t xml:space="preserve"> </w:t>
            </w:r>
            <w:r w:rsidRPr="00EF6DEC">
              <w:rPr>
                <w:b/>
                <w:bCs/>
              </w:rPr>
              <w:t>balance</w:t>
            </w:r>
            <w:r w:rsidR="00A03629" w:rsidRPr="00EF6DEC">
              <w:rPr>
                <w:b/>
                <w:bCs/>
              </w:rPr>
              <w:t xml:space="preserve"> </w:t>
            </w:r>
            <w:r w:rsidRPr="00EF6DEC">
              <w:rPr>
                <w:b/>
                <w:bCs/>
              </w:rPr>
              <w:t>–</w:t>
            </w:r>
            <w:r w:rsidR="00A03629" w:rsidRPr="00EF6DEC">
              <w:rPr>
                <w:b/>
                <w:bCs/>
              </w:rPr>
              <w:t xml:space="preserve"> </w:t>
            </w:r>
            <w:r w:rsidRPr="00EF6DEC">
              <w:rPr>
                <w:b/>
                <w:bCs/>
              </w:rPr>
              <w:t>30</w:t>
            </w:r>
            <w:r w:rsidR="00A03629" w:rsidRPr="00EF6DEC">
              <w:rPr>
                <w:b/>
                <w:bCs/>
              </w:rPr>
              <w:t xml:space="preserve"> </w:t>
            </w:r>
            <w:r w:rsidRPr="00EF6DEC">
              <w:rPr>
                <w:b/>
                <w:bCs/>
              </w:rPr>
              <w:t>June</w:t>
            </w:r>
            <w:r w:rsidR="00A03629" w:rsidRPr="00EF6DEC">
              <w:rPr>
                <w:b/>
                <w:bCs/>
              </w:rPr>
              <w:t xml:space="preserve"> </w:t>
            </w:r>
            <w:r w:rsidRPr="00EF6DEC">
              <w:rPr>
                <w:b/>
                <w:bCs/>
              </w:rPr>
              <w:t>2023</w:t>
            </w:r>
          </w:p>
        </w:tc>
        <w:tc>
          <w:tcPr>
            <w:tcW w:w="2338" w:type="dxa"/>
          </w:tcPr>
          <w:p w14:paraId="43D01B51" w14:textId="3D1713C0" w:rsidR="000756EB" w:rsidRPr="00EF6DEC" w:rsidRDefault="004A4D88" w:rsidP="00015F07">
            <w:pPr>
              <w:pStyle w:val="TableCopy"/>
              <w:jc w:val="right"/>
              <w:rPr>
                <w:b/>
                <w:bCs/>
              </w:rPr>
            </w:pPr>
            <w:r w:rsidRPr="00EF6DEC">
              <w:rPr>
                <w:b/>
                <w:bCs/>
              </w:rPr>
              <w:t>9,981</w:t>
            </w:r>
          </w:p>
        </w:tc>
        <w:tc>
          <w:tcPr>
            <w:tcW w:w="2339" w:type="dxa"/>
          </w:tcPr>
          <w:p w14:paraId="21B4D961" w14:textId="395D7D86" w:rsidR="000756EB" w:rsidRPr="00EF6DEC" w:rsidRDefault="004A4D88" w:rsidP="00015F07">
            <w:pPr>
              <w:pStyle w:val="TableCopy"/>
              <w:jc w:val="right"/>
              <w:rPr>
                <w:b/>
                <w:bCs/>
              </w:rPr>
            </w:pPr>
            <w:r w:rsidRPr="00EF6DEC">
              <w:rPr>
                <w:b/>
                <w:bCs/>
              </w:rPr>
              <w:t>3,588</w:t>
            </w:r>
          </w:p>
        </w:tc>
      </w:tr>
      <w:tr w:rsidR="000756EB" w:rsidRPr="00015F07" w14:paraId="6FDEBC95" w14:textId="77777777" w:rsidTr="00EF6DEC">
        <w:trPr>
          <w:cantSplit/>
        </w:trPr>
        <w:tc>
          <w:tcPr>
            <w:tcW w:w="5524" w:type="dxa"/>
          </w:tcPr>
          <w:p w14:paraId="64758521" w14:textId="5A2665F9" w:rsidR="000756EB" w:rsidRPr="00015F07" w:rsidRDefault="004A4D88" w:rsidP="00015F07">
            <w:pPr>
              <w:pStyle w:val="TableCopy"/>
              <w:rPr>
                <w:b/>
                <w:bCs/>
              </w:rPr>
            </w:pPr>
            <w:r w:rsidRPr="00015F07">
              <w:rPr>
                <w:b/>
                <w:bCs/>
              </w:rPr>
              <w:lastRenderedPageBreak/>
              <w:t>Opening</w:t>
            </w:r>
            <w:r w:rsidR="00A03629" w:rsidRPr="00015F07">
              <w:rPr>
                <w:b/>
                <w:bCs/>
              </w:rPr>
              <w:t xml:space="preserve"> </w:t>
            </w:r>
            <w:r w:rsidRPr="00015F07">
              <w:rPr>
                <w:b/>
                <w:bCs/>
              </w:rPr>
              <w:t>balance</w:t>
            </w:r>
            <w:r w:rsidR="00A03629" w:rsidRPr="00015F07">
              <w:rPr>
                <w:b/>
                <w:bCs/>
              </w:rPr>
              <w:t xml:space="preserve"> </w:t>
            </w:r>
            <w:r w:rsidRPr="00015F07">
              <w:rPr>
                <w:b/>
                <w:bCs/>
              </w:rPr>
              <w:t>–</w:t>
            </w:r>
            <w:r w:rsidR="00A03629" w:rsidRPr="00015F07">
              <w:rPr>
                <w:b/>
                <w:bCs/>
              </w:rPr>
              <w:t xml:space="preserve"> </w:t>
            </w:r>
            <w:r w:rsidRPr="00015F07">
              <w:rPr>
                <w:b/>
                <w:bCs/>
              </w:rPr>
              <w:t>1</w:t>
            </w:r>
            <w:r w:rsidR="00A03629" w:rsidRPr="00015F07">
              <w:rPr>
                <w:b/>
                <w:bCs/>
              </w:rPr>
              <w:t xml:space="preserve"> </w:t>
            </w:r>
            <w:r w:rsidRPr="00015F07">
              <w:rPr>
                <w:b/>
                <w:bCs/>
              </w:rPr>
              <w:t>July</w:t>
            </w:r>
            <w:r w:rsidR="00A03629" w:rsidRPr="00015F07">
              <w:rPr>
                <w:b/>
                <w:bCs/>
              </w:rPr>
              <w:t xml:space="preserve"> </w:t>
            </w:r>
            <w:r w:rsidRPr="00015F07">
              <w:rPr>
                <w:b/>
                <w:bCs/>
              </w:rPr>
              <w:t>2021</w:t>
            </w:r>
          </w:p>
        </w:tc>
        <w:tc>
          <w:tcPr>
            <w:tcW w:w="2338" w:type="dxa"/>
          </w:tcPr>
          <w:p w14:paraId="0B812C6A" w14:textId="52A5502D" w:rsidR="000756EB" w:rsidRPr="00015F07" w:rsidRDefault="004A4D88" w:rsidP="00015F07">
            <w:pPr>
              <w:pStyle w:val="TableCopy"/>
              <w:jc w:val="right"/>
              <w:rPr>
                <w:b/>
                <w:bCs/>
              </w:rPr>
            </w:pPr>
            <w:r w:rsidRPr="00015F07">
              <w:rPr>
                <w:b/>
                <w:bCs/>
              </w:rPr>
              <w:t>138,919</w:t>
            </w:r>
          </w:p>
        </w:tc>
        <w:tc>
          <w:tcPr>
            <w:tcW w:w="2339" w:type="dxa"/>
          </w:tcPr>
          <w:p w14:paraId="7591A7C9" w14:textId="2B01A7AA" w:rsidR="000756EB" w:rsidRPr="00015F07" w:rsidRDefault="004A4D88" w:rsidP="00015F07">
            <w:pPr>
              <w:pStyle w:val="TableCopy"/>
              <w:jc w:val="right"/>
              <w:rPr>
                <w:b/>
                <w:bCs/>
              </w:rPr>
            </w:pPr>
            <w:r w:rsidRPr="00015F07">
              <w:rPr>
                <w:b/>
                <w:bCs/>
              </w:rPr>
              <w:t>12,014</w:t>
            </w:r>
          </w:p>
        </w:tc>
      </w:tr>
      <w:tr w:rsidR="000756EB" w14:paraId="0F6DF32C" w14:textId="77777777" w:rsidTr="00EF6DEC">
        <w:trPr>
          <w:cantSplit/>
        </w:trPr>
        <w:tc>
          <w:tcPr>
            <w:tcW w:w="5524" w:type="dxa"/>
          </w:tcPr>
          <w:p w14:paraId="4EF595FE" w14:textId="77777777" w:rsidR="000756EB" w:rsidRDefault="004A4D88" w:rsidP="00015F07">
            <w:pPr>
              <w:pStyle w:val="TableCopy"/>
            </w:pPr>
            <w:r>
              <w:t>Additions</w:t>
            </w:r>
          </w:p>
        </w:tc>
        <w:tc>
          <w:tcPr>
            <w:tcW w:w="2338" w:type="dxa"/>
          </w:tcPr>
          <w:p w14:paraId="3E880079" w14:textId="7989EC03" w:rsidR="000756EB" w:rsidRDefault="004A4D88" w:rsidP="00015F07">
            <w:pPr>
              <w:pStyle w:val="TableCopy"/>
              <w:jc w:val="right"/>
            </w:pPr>
            <w:r>
              <w:t>3,065</w:t>
            </w:r>
          </w:p>
        </w:tc>
        <w:tc>
          <w:tcPr>
            <w:tcW w:w="2339" w:type="dxa"/>
          </w:tcPr>
          <w:p w14:paraId="0286FB93" w14:textId="3B302554" w:rsidR="000756EB" w:rsidRDefault="004A4D88" w:rsidP="00015F07">
            <w:pPr>
              <w:pStyle w:val="TableCopy"/>
              <w:jc w:val="right"/>
            </w:pPr>
            <w:r>
              <w:t>3,770</w:t>
            </w:r>
          </w:p>
        </w:tc>
      </w:tr>
      <w:tr w:rsidR="000756EB" w14:paraId="2B231494" w14:textId="77777777" w:rsidTr="00EF6DEC">
        <w:trPr>
          <w:cantSplit/>
        </w:trPr>
        <w:tc>
          <w:tcPr>
            <w:tcW w:w="5524" w:type="dxa"/>
          </w:tcPr>
          <w:p w14:paraId="08169E61" w14:textId="7A78AC95" w:rsidR="000756EB" w:rsidRDefault="004A4D88" w:rsidP="00015F07">
            <w:pPr>
              <w:pStyle w:val="TableCopy"/>
            </w:pPr>
            <w:r>
              <w:t>Transfers</w:t>
            </w:r>
            <w:r w:rsidR="00A03629">
              <w:t xml:space="preserve"> </w:t>
            </w:r>
          </w:p>
        </w:tc>
        <w:tc>
          <w:tcPr>
            <w:tcW w:w="2338" w:type="dxa"/>
          </w:tcPr>
          <w:p w14:paraId="66C6ACFA" w14:textId="77777777" w:rsidR="000756EB" w:rsidRDefault="004A4D88" w:rsidP="00015F07">
            <w:pPr>
              <w:pStyle w:val="TableCopy"/>
              <w:jc w:val="right"/>
            </w:pPr>
            <w:r>
              <w:t>–</w:t>
            </w:r>
          </w:p>
        </w:tc>
        <w:tc>
          <w:tcPr>
            <w:tcW w:w="2339" w:type="dxa"/>
          </w:tcPr>
          <w:p w14:paraId="6EE6E66F" w14:textId="77777777" w:rsidR="000756EB" w:rsidRDefault="004A4D88" w:rsidP="00015F07">
            <w:pPr>
              <w:pStyle w:val="TableCopy"/>
              <w:jc w:val="right"/>
            </w:pPr>
            <w:r>
              <w:t>(68)</w:t>
            </w:r>
          </w:p>
        </w:tc>
      </w:tr>
      <w:tr w:rsidR="000756EB" w14:paraId="5B39D16C" w14:textId="77777777" w:rsidTr="00EF6DEC">
        <w:trPr>
          <w:cantSplit/>
        </w:trPr>
        <w:tc>
          <w:tcPr>
            <w:tcW w:w="5524" w:type="dxa"/>
          </w:tcPr>
          <w:p w14:paraId="7BD94D1A" w14:textId="77777777" w:rsidR="000756EB" w:rsidRDefault="004A4D88" w:rsidP="00015F07">
            <w:pPr>
              <w:pStyle w:val="TableCopy"/>
            </w:pPr>
            <w:r>
              <w:t>Disposals</w:t>
            </w:r>
          </w:p>
        </w:tc>
        <w:tc>
          <w:tcPr>
            <w:tcW w:w="2338" w:type="dxa"/>
          </w:tcPr>
          <w:p w14:paraId="5A6FC865" w14:textId="77777777" w:rsidR="000756EB" w:rsidRDefault="004A4D88" w:rsidP="00015F07">
            <w:pPr>
              <w:pStyle w:val="TableCopy"/>
              <w:jc w:val="right"/>
            </w:pPr>
            <w:r>
              <w:t>–</w:t>
            </w:r>
          </w:p>
        </w:tc>
        <w:tc>
          <w:tcPr>
            <w:tcW w:w="2339" w:type="dxa"/>
          </w:tcPr>
          <w:p w14:paraId="0D679E8A" w14:textId="77777777" w:rsidR="000756EB" w:rsidRDefault="004A4D88" w:rsidP="00015F07">
            <w:pPr>
              <w:pStyle w:val="TableCopy"/>
              <w:jc w:val="right"/>
            </w:pPr>
            <w:r>
              <w:t>(1,507)</w:t>
            </w:r>
          </w:p>
        </w:tc>
      </w:tr>
      <w:tr w:rsidR="000756EB" w14:paraId="1F9E3E66" w14:textId="77777777" w:rsidTr="00EF6DEC">
        <w:trPr>
          <w:cantSplit/>
        </w:trPr>
        <w:tc>
          <w:tcPr>
            <w:tcW w:w="5524" w:type="dxa"/>
          </w:tcPr>
          <w:p w14:paraId="54240C67" w14:textId="77777777" w:rsidR="000756EB" w:rsidRDefault="004A4D88" w:rsidP="00015F07">
            <w:pPr>
              <w:pStyle w:val="TableCopy"/>
            </w:pPr>
            <w:r>
              <w:t>Depreciation</w:t>
            </w:r>
          </w:p>
        </w:tc>
        <w:tc>
          <w:tcPr>
            <w:tcW w:w="2338" w:type="dxa"/>
          </w:tcPr>
          <w:p w14:paraId="05FCA20A" w14:textId="77777777" w:rsidR="000756EB" w:rsidRDefault="004A4D88" w:rsidP="00015F07">
            <w:pPr>
              <w:pStyle w:val="TableCopy"/>
              <w:jc w:val="right"/>
            </w:pPr>
            <w:r>
              <w:t>(10,371)</w:t>
            </w:r>
          </w:p>
        </w:tc>
        <w:tc>
          <w:tcPr>
            <w:tcW w:w="2339" w:type="dxa"/>
          </w:tcPr>
          <w:p w14:paraId="47E10C36" w14:textId="77777777" w:rsidR="000756EB" w:rsidRDefault="004A4D88" w:rsidP="00015F07">
            <w:pPr>
              <w:pStyle w:val="TableCopy"/>
              <w:jc w:val="right"/>
            </w:pPr>
            <w:r>
              <w:t>(3,150)</w:t>
            </w:r>
          </w:p>
        </w:tc>
      </w:tr>
      <w:tr w:rsidR="000756EB" w:rsidRPr="00015F07" w14:paraId="4E92850C" w14:textId="77777777" w:rsidTr="00EF6DEC">
        <w:trPr>
          <w:cantSplit/>
        </w:trPr>
        <w:tc>
          <w:tcPr>
            <w:tcW w:w="5524" w:type="dxa"/>
          </w:tcPr>
          <w:p w14:paraId="14CC8D2C" w14:textId="171589AF" w:rsidR="000756EB" w:rsidRPr="00015F07" w:rsidRDefault="004A4D88" w:rsidP="00015F07">
            <w:pPr>
              <w:pStyle w:val="TableCopy"/>
              <w:rPr>
                <w:b/>
                <w:bCs/>
              </w:rPr>
            </w:pPr>
            <w:r w:rsidRPr="00015F07">
              <w:rPr>
                <w:b/>
                <w:bCs/>
              </w:rPr>
              <w:t>Closing</w:t>
            </w:r>
            <w:r w:rsidR="00A03629" w:rsidRPr="00015F07">
              <w:rPr>
                <w:b/>
                <w:bCs/>
              </w:rPr>
              <w:t xml:space="preserve"> </w:t>
            </w:r>
            <w:r w:rsidRPr="00015F07">
              <w:rPr>
                <w:b/>
                <w:bCs/>
              </w:rPr>
              <w:t>balance</w:t>
            </w:r>
            <w:r w:rsidR="00A03629" w:rsidRPr="00015F07">
              <w:rPr>
                <w:b/>
                <w:bCs/>
              </w:rPr>
              <w:t xml:space="preserve"> </w:t>
            </w:r>
            <w:r w:rsidRPr="00015F07">
              <w:rPr>
                <w:b/>
                <w:bCs/>
              </w:rPr>
              <w:t>–</w:t>
            </w:r>
            <w:r w:rsidR="00A03629" w:rsidRPr="00015F07">
              <w:rPr>
                <w:b/>
                <w:bCs/>
              </w:rPr>
              <w:t xml:space="preserve"> </w:t>
            </w:r>
            <w:r w:rsidRPr="00015F07">
              <w:rPr>
                <w:b/>
                <w:bCs/>
              </w:rPr>
              <w:t>30</w:t>
            </w:r>
            <w:r w:rsidR="00A03629" w:rsidRPr="00015F07">
              <w:rPr>
                <w:b/>
                <w:bCs/>
              </w:rPr>
              <w:t xml:space="preserve"> </w:t>
            </w:r>
            <w:r w:rsidRPr="00015F07">
              <w:rPr>
                <w:b/>
                <w:bCs/>
              </w:rPr>
              <w:t>June</w:t>
            </w:r>
            <w:r w:rsidR="00A03629" w:rsidRPr="00015F07">
              <w:rPr>
                <w:b/>
                <w:bCs/>
              </w:rPr>
              <w:t xml:space="preserve"> </w:t>
            </w:r>
            <w:r w:rsidRPr="00015F07">
              <w:rPr>
                <w:b/>
                <w:bCs/>
              </w:rPr>
              <w:t>2022</w:t>
            </w:r>
          </w:p>
        </w:tc>
        <w:tc>
          <w:tcPr>
            <w:tcW w:w="2338" w:type="dxa"/>
          </w:tcPr>
          <w:p w14:paraId="06509AB8" w14:textId="4114D345" w:rsidR="000756EB" w:rsidRPr="00015F07" w:rsidRDefault="004A4D88" w:rsidP="00015F07">
            <w:pPr>
              <w:pStyle w:val="TableCopy"/>
              <w:jc w:val="right"/>
              <w:rPr>
                <w:b/>
                <w:bCs/>
              </w:rPr>
            </w:pPr>
            <w:r w:rsidRPr="00015F07">
              <w:rPr>
                <w:b/>
                <w:bCs/>
              </w:rPr>
              <w:t>131,613</w:t>
            </w:r>
          </w:p>
        </w:tc>
        <w:tc>
          <w:tcPr>
            <w:tcW w:w="2339" w:type="dxa"/>
          </w:tcPr>
          <w:p w14:paraId="5D4C2E21" w14:textId="56F9CA0B" w:rsidR="000756EB" w:rsidRPr="00015F07" w:rsidRDefault="004A4D88" w:rsidP="00015F07">
            <w:pPr>
              <w:pStyle w:val="TableCopy"/>
              <w:jc w:val="right"/>
              <w:rPr>
                <w:b/>
                <w:bCs/>
              </w:rPr>
            </w:pPr>
            <w:r w:rsidRPr="00015F07">
              <w:rPr>
                <w:b/>
                <w:bCs/>
              </w:rPr>
              <w:t>11,059</w:t>
            </w:r>
          </w:p>
        </w:tc>
      </w:tr>
    </w:tbl>
    <w:p w14:paraId="0EDE4AB3" w14:textId="0E17D1F5" w:rsidR="00015F07" w:rsidRDefault="00015F07" w:rsidP="00015F07">
      <w:pPr>
        <w:pStyle w:val="FootnoteText"/>
        <w:spacing w:before="120" w:after="280"/>
      </w:pPr>
      <w:r>
        <w:t>(</w:t>
      </w:r>
      <w:proofErr w:type="spellStart"/>
      <w:r>
        <w:t>i</w:t>
      </w:r>
      <w:proofErr w:type="spellEnd"/>
      <w:r>
        <w:t>) Transfer of net assets in and out of DJSIR were due to the machinery of government change. This transfer was made pursuant to</w:t>
      </w:r>
      <w:r>
        <w:rPr>
          <w:rFonts w:ascii="Cambria" w:hAnsi="Cambria" w:cs="Cambria"/>
        </w:rPr>
        <w:t xml:space="preserve"> </w:t>
      </w:r>
      <w:r>
        <w:t>FRD</w:t>
      </w:r>
      <w:r>
        <w:rPr>
          <w:rFonts w:ascii="Cambria" w:hAnsi="Cambria" w:cs="Cambria"/>
        </w:rPr>
        <w:t xml:space="preserve"> </w:t>
      </w:r>
      <w:r>
        <w:t>119</w:t>
      </w:r>
      <w:r>
        <w:rPr>
          <w:rFonts w:ascii="Cambria" w:hAnsi="Cambria" w:cs="Cambria"/>
        </w:rPr>
        <w:t xml:space="preserve"> </w:t>
      </w:r>
      <w:r>
        <w:t>Transfer through Contributed Capital under the Financial Management Act 1994</w:t>
      </w:r>
    </w:p>
    <w:p w14:paraId="59B0C5A4" w14:textId="589CB526" w:rsidR="000756EB" w:rsidRPr="00015F07" w:rsidRDefault="004A4D88" w:rsidP="00015F07">
      <w:pPr>
        <w:pStyle w:val="Normalbeforebullets"/>
        <w:rPr>
          <w:b/>
          <w:bCs/>
        </w:rPr>
      </w:pPr>
      <w:r w:rsidRPr="00015F07">
        <w:rPr>
          <w:b/>
          <w:bCs/>
        </w:rPr>
        <w:t>Initial</w:t>
      </w:r>
      <w:r w:rsidR="00A03629" w:rsidRPr="00015F07">
        <w:rPr>
          <w:b/>
          <w:bCs/>
        </w:rPr>
        <w:t xml:space="preserve"> </w:t>
      </w:r>
      <w:r w:rsidRPr="00015F07">
        <w:rPr>
          <w:b/>
          <w:bCs/>
        </w:rPr>
        <w:t>recognition</w:t>
      </w:r>
    </w:p>
    <w:p w14:paraId="6D9B133F" w14:textId="7C644664" w:rsidR="000756EB" w:rsidRDefault="004A4D88" w:rsidP="00015F07">
      <w:r>
        <w:t>Items</w:t>
      </w:r>
      <w:r w:rsidR="00A03629">
        <w:t xml:space="preserve"> </w:t>
      </w:r>
      <w:r>
        <w:t>of</w:t>
      </w:r>
      <w:r w:rsidR="00A03629">
        <w:t xml:space="preserve"> </w:t>
      </w:r>
      <w:r>
        <w:t>property,</w:t>
      </w:r>
      <w:r w:rsidR="00A03629">
        <w:t xml:space="preserve"> </w:t>
      </w:r>
      <w:proofErr w:type="gramStart"/>
      <w:r>
        <w:t>plant</w:t>
      </w:r>
      <w:proofErr w:type="gramEnd"/>
      <w:r w:rsidR="00A03629">
        <w:t xml:space="preserve"> </w:t>
      </w:r>
      <w:r>
        <w:t>and</w:t>
      </w:r>
      <w:r w:rsidR="00A03629">
        <w:t xml:space="preserve"> </w:t>
      </w:r>
      <w:r>
        <w:t>equipment,</w:t>
      </w:r>
      <w:r w:rsidR="00A03629">
        <w:t xml:space="preserve"> </w:t>
      </w:r>
      <w:r>
        <w:t>are</w:t>
      </w:r>
      <w:r w:rsidR="00A03629">
        <w:t xml:space="preserve"> </w:t>
      </w:r>
      <w:r>
        <w:t>measured</w:t>
      </w:r>
      <w:r w:rsidR="00A03629">
        <w:t xml:space="preserve"> </w:t>
      </w:r>
      <w:r>
        <w:t>initially</w:t>
      </w:r>
      <w:r w:rsidR="00A03629">
        <w:t xml:space="preserve"> </w:t>
      </w:r>
      <w:r>
        <w:t>at</w:t>
      </w:r>
      <w:r w:rsidR="00A03629">
        <w:t xml:space="preserve"> </w:t>
      </w:r>
      <w:r>
        <w:t>cost</w:t>
      </w:r>
      <w:r w:rsidR="00A03629">
        <w:t xml:space="preserve"> </w:t>
      </w:r>
      <w:r>
        <w:t>and</w:t>
      </w:r>
      <w:r w:rsidR="00A03629">
        <w:t xml:space="preserve"> </w:t>
      </w:r>
      <w:r>
        <w:t>subsequently</w:t>
      </w:r>
      <w:r w:rsidR="00A03629">
        <w:t xml:space="preserve"> </w:t>
      </w:r>
      <w:r>
        <w:t>revalued</w:t>
      </w:r>
      <w:r w:rsidR="00A03629">
        <w:t xml:space="preserve"> </w:t>
      </w:r>
      <w:r>
        <w:t>at</w:t>
      </w:r>
      <w:r w:rsidR="00A03629">
        <w:t xml:space="preserve"> </w:t>
      </w:r>
      <w:r>
        <w:t>fair</w:t>
      </w:r>
      <w:r w:rsidR="00A03629">
        <w:t xml:space="preserve"> </w:t>
      </w:r>
      <w:r>
        <w:t>value</w:t>
      </w:r>
      <w:r w:rsidR="00A03629">
        <w:t xml:space="preserve"> </w:t>
      </w:r>
      <w:r>
        <w:t>less</w:t>
      </w:r>
      <w:r w:rsidR="00A03629">
        <w:t xml:space="preserve"> </w:t>
      </w:r>
      <w:r>
        <w:t>accumulated</w:t>
      </w:r>
      <w:r w:rsidR="00A03629">
        <w:t xml:space="preserve"> </w:t>
      </w:r>
      <w:r>
        <w:t>depreciation</w:t>
      </w:r>
      <w:r w:rsidR="00A03629">
        <w:t xml:space="preserve"> </w:t>
      </w:r>
      <w:r>
        <w:t>and</w:t>
      </w:r>
      <w:r w:rsidR="00A03629">
        <w:t xml:space="preserve"> </w:t>
      </w:r>
      <w:r>
        <w:t>impairment.</w:t>
      </w:r>
      <w:r w:rsidR="00A03629">
        <w:t xml:space="preserve"> </w:t>
      </w:r>
      <w:r>
        <w:t>Where</w:t>
      </w:r>
      <w:r w:rsidR="00A03629">
        <w:t xml:space="preserve"> </w:t>
      </w:r>
      <w:r>
        <w:t>an</w:t>
      </w:r>
      <w:r w:rsidR="00A03629">
        <w:t xml:space="preserve"> </w:t>
      </w:r>
      <w:r>
        <w:t>asset</w:t>
      </w:r>
      <w:r w:rsidR="00A03629">
        <w:t xml:space="preserve"> </w:t>
      </w:r>
      <w:r>
        <w:t>is</w:t>
      </w:r>
      <w:r w:rsidR="00A03629">
        <w:t xml:space="preserve"> </w:t>
      </w:r>
      <w:r>
        <w:t>acquired</w:t>
      </w:r>
      <w:r w:rsidR="00A03629">
        <w:t xml:space="preserve"> </w:t>
      </w:r>
      <w:r>
        <w:t>for</w:t>
      </w:r>
      <w:r w:rsidR="00A03629">
        <w:t xml:space="preserve"> </w:t>
      </w:r>
      <w:r>
        <w:t>no</w:t>
      </w:r>
      <w:r w:rsidR="00A03629">
        <w:t xml:space="preserve"> </w:t>
      </w:r>
      <w:r>
        <w:t>or</w:t>
      </w:r>
      <w:r w:rsidR="00A03629">
        <w:t xml:space="preserve"> </w:t>
      </w:r>
      <w:r>
        <w:t>nominal</w:t>
      </w:r>
      <w:r w:rsidR="00A03629">
        <w:t xml:space="preserve"> </w:t>
      </w:r>
      <w:r>
        <w:t>cost,</w:t>
      </w:r>
      <w:r w:rsidR="00A03629">
        <w:t xml:space="preserve"> </w:t>
      </w:r>
      <w:r>
        <w:t>the</w:t>
      </w:r>
      <w:r w:rsidR="00A03629">
        <w:t xml:space="preserve"> </w:t>
      </w:r>
      <w:r>
        <w:t>cost</w:t>
      </w:r>
      <w:r w:rsidR="00A03629">
        <w:t xml:space="preserve"> </w:t>
      </w:r>
      <w:r>
        <w:t>is</w:t>
      </w:r>
      <w:r w:rsidR="00A03629">
        <w:t xml:space="preserve"> </w:t>
      </w:r>
      <w:r>
        <w:t>its</w:t>
      </w:r>
      <w:r w:rsidR="00A03629">
        <w:t xml:space="preserve"> </w:t>
      </w:r>
      <w:r>
        <w:t>fair</w:t>
      </w:r>
      <w:r w:rsidR="00A03629">
        <w:t xml:space="preserve"> </w:t>
      </w:r>
      <w:r>
        <w:t>value</w:t>
      </w:r>
      <w:r w:rsidR="00A03629">
        <w:t xml:space="preserve"> </w:t>
      </w:r>
      <w:r>
        <w:t>at</w:t>
      </w:r>
      <w:r w:rsidR="00A03629">
        <w:t xml:space="preserve"> </w:t>
      </w:r>
      <w:r>
        <w:t>the</w:t>
      </w:r>
      <w:r w:rsidR="00A03629">
        <w:t xml:space="preserve"> </w:t>
      </w:r>
      <w:r>
        <w:t>date</w:t>
      </w:r>
      <w:r w:rsidR="00A03629">
        <w:t xml:space="preserve"> </w:t>
      </w:r>
      <w:r>
        <w:t>of</w:t>
      </w:r>
      <w:r w:rsidR="00A03629">
        <w:t xml:space="preserve"> </w:t>
      </w:r>
      <w:r>
        <w:t>acquisition.</w:t>
      </w:r>
      <w:r w:rsidR="00A03629">
        <w:t xml:space="preserve"> </w:t>
      </w:r>
      <w:r>
        <w:t>Assets</w:t>
      </w:r>
      <w:r w:rsidR="00A03629">
        <w:t xml:space="preserve"> </w:t>
      </w:r>
      <w:r>
        <w:t>transferred</w:t>
      </w:r>
      <w:r w:rsidR="00A03629">
        <w:t xml:space="preserve"> </w:t>
      </w:r>
      <w:r>
        <w:t>as</w:t>
      </w:r>
      <w:r w:rsidR="00A03629">
        <w:t xml:space="preserve"> </w:t>
      </w:r>
      <w:r>
        <w:t>part</w:t>
      </w:r>
      <w:r w:rsidR="00A03629">
        <w:t xml:space="preserve"> </w:t>
      </w:r>
      <w:r>
        <w:t>of</w:t>
      </w:r>
      <w:r w:rsidR="00A03629">
        <w:t xml:space="preserve"> </w:t>
      </w:r>
      <w:r>
        <w:t>a</w:t>
      </w:r>
      <w:r w:rsidR="00A03629">
        <w:rPr>
          <w:rFonts w:ascii="Cambria" w:hAnsi="Cambria" w:cs="Cambria"/>
        </w:rPr>
        <w:t xml:space="preserve"> </w:t>
      </w:r>
      <w:r>
        <w:t>machinery</w:t>
      </w:r>
      <w:r w:rsidR="00A03629">
        <w:t xml:space="preserve"> </w:t>
      </w:r>
      <w:r>
        <w:t>of</w:t>
      </w:r>
      <w:r w:rsidR="00A03629">
        <w:t xml:space="preserve"> </w:t>
      </w:r>
      <w:r>
        <w:t>government</w:t>
      </w:r>
      <w:r w:rsidR="00A03629">
        <w:t xml:space="preserve"> </w:t>
      </w:r>
      <w:r>
        <w:t>change</w:t>
      </w:r>
      <w:r w:rsidR="00A03629">
        <w:t xml:space="preserve"> </w:t>
      </w:r>
      <w:r>
        <w:t>are</w:t>
      </w:r>
      <w:r w:rsidR="00A03629">
        <w:t xml:space="preserve"> </w:t>
      </w:r>
      <w:r>
        <w:t>transferred</w:t>
      </w:r>
      <w:r w:rsidR="00A03629">
        <w:t xml:space="preserve"> </w:t>
      </w:r>
      <w:r>
        <w:t>at</w:t>
      </w:r>
      <w:r w:rsidR="00A03629">
        <w:t xml:space="preserve"> </w:t>
      </w:r>
      <w:r>
        <w:t>their</w:t>
      </w:r>
      <w:r w:rsidR="00A03629">
        <w:t xml:space="preserve"> </w:t>
      </w:r>
      <w:r>
        <w:t>carrying</w:t>
      </w:r>
      <w:r w:rsidR="00A03629">
        <w:t xml:space="preserve"> </w:t>
      </w:r>
      <w:r>
        <w:t>amount.</w:t>
      </w:r>
    </w:p>
    <w:p w14:paraId="713E3C96" w14:textId="58CDDE07" w:rsidR="000756EB" w:rsidRDefault="004A4D88" w:rsidP="00015F07">
      <w:r>
        <w:t>The</w:t>
      </w:r>
      <w:r w:rsidR="00A03629">
        <w:t xml:space="preserve"> </w:t>
      </w:r>
      <w:r>
        <w:t>cost</w:t>
      </w:r>
      <w:r w:rsidR="00A03629">
        <w:t xml:space="preserve"> </w:t>
      </w:r>
      <w:r>
        <w:t>of</w:t>
      </w:r>
      <w:r w:rsidR="00A03629">
        <w:t xml:space="preserve"> </w:t>
      </w:r>
      <w:r>
        <w:t>constructed</w:t>
      </w:r>
      <w:r w:rsidR="00A03629">
        <w:t xml:space="preserve"> </w:t>
      </w:r>
      <w:r>
        <w:t>non-financial</w:t>
      </w:r>
      <w:r w:rsidR="00A03629">
        <w:t xml:space="preserve"> </w:t>
      </w:r>
      <w:r>
        <w:t>physical</w:t>
      </w:r>
      <w:r w:rsidR="00A03629">
        <w:t xml:space="preserve"> </w:t>
      </w:r>
      <w:r>
        <w:t>assets</w:t>
      </w:r>
      <w:r w:rsidR="00A03629">
        <w:t xml:space="preserve"> </w:t>
      </w:r>
      <w:r>
        <w:t>includes</w:t>
      </w:r>
      <w:r w:rsidR="00A03629">
        <w:t xml:space="preserve"> </w:t>
      </w:r>
      <w:r>
        <w:t>the</w:t>
      </w:r>
      <w:r w:rsidR="00A03629">
        <w:t xml:space="preserve"> </w:t>
      </w:r>
      <w:r>
        <w:t>cost</w:t>
      </w:r>
      <w:r w:rsidR="00A03629">
        <w:t xml:space="preserve"> </w:t>
      </w:r>
      <w:r>
        <w:t>of</w:t>
      </w:r>
      <w:r w:rsidR="00A03629">
        <w:t xml:space="preserve"> </w:t>
      </w:r>
      <w:r>
        <w:t>all</w:t>
      </w:r>
      <w:r w:rsidR="00A03629">
        <w:t xml:space="preserve"> </w:t>
      </w:r>
      <w:r>
        <w:t>materials</w:t>
      </w:r>
      <w:r w:rsidR="00A03629">
        <w:t xml:space="preserve"> </w:t>
      </w:r>
      <w:r>
        <w:t>used</w:t>
      </w:r>
      <w:r w:rsidR="00A03629">
        <w:t xml:space="preserve"> </w:t>
      </w:r>
      <w:r>
        <w:t>in</w:t>
      </w:r>
      <w:r w:rsidR="00A03629">
        <w:t xml:space="preserve"> </w:t>
      </w:r>
      <w:r>
        <w:t>construction,</w:t>
      </w:r>
      <w:r w:rsidR="00A03629">
        <w:t xml:space="preserve"> </w:t>
      </w:r>
      <w:r>
        <w:t>direct</w:t>
      </w:r>
      <w:r w:rsidR="00A03629">
        <w:t xml:space="preserve"> </w:t>
      </w:r>
      <w:r>
        <w:t>labour</w:t>
      </w:r>
      <w:r w:rsidR="00A03629">
        <w:t xml:space="preserve"> </w:t>
      </w:r>
      <w:r>
        <w:t>on</w:t>
      </w:r>
      <w:r w:rsidR="00A03629">
        <w:t xml:space="preserve"> </w:t>
      </w:r>
      <w:r>
        <w:t>the</w:t>
      </w:r>
      <w:r w:rsidR="00A03629">
        <w:t xml:space="preserve"> </w:t>
      </w:r>
      <w:r>
        <w:t>project,</w:t>
      </w:r>
      <w:r w:rsidR="00A03629">
        <w:t xml:space="preserve"> </w:t>
      </w:r>
      <w:r>
        <w:t>and</w:t>
      </w:r>
      <w:r w:rsidR="00A03629">
        <w:t xml:space="preserve"> </w:t>
      </w:r>
      <w:r>
        <w:t>an</w:t>
      </w:r>
      <w:r w:rsidR="00A03629">
        <w:t xml:space="preserve"> </w:t>
      </w:r>
      <w:r>
        <w:t>appropriate</w:t>
      </w:r>
      <w:r w:rsidR="00A03629">
        <w:t xml:space="preserve"> </w:t>
      </w:r>
      <w:r>
        <w:t>proportion</w:t>
      </w:r>
      <w:r w:rsidR="00A03629">
        <w:t xml:space="preserve"> </w:t>
      </w:r>
      <w:r>
        <w:t>of</w:t>
      </w:r>
      <w:r w:rsidR="00A03629">
        <w:t xml:space="preserve"> </w:t>
      </w:r>
      <w:r>
        <w:t>variable</w:t>
      </w:r>
      <w:r w:rsidR="00A03629">
        <w:t xml:space="preserve"> </w:t>
      </w:r>
      <w:r>
        <w:t>and</w:t>
      </w:r>
      <w:r w:rsidR="00A03629">
        <w:rPr>
          <w:rFonts w:ascii="Cambria" w:hAnsi="Cambria" w:cs="Cambria"/>
        </w:rPr>
        <w:t xml:space="preserve"> </w:t>
      </w:r>
      <w:r>
        <w:t>fixed</w:t>
      </w:r>
      <w:r w:rsidR="00A03629">
        <w:rPr>
          <w:rFonts w:ascii="Cambria" w:hAnsi="Cambria" w:cs="Cambria"/>
        </w:rPr>
        <w:t xml:space="preserve"> </w:t>
      </w:r>
      <w:r>
        <w:t>overheads.</w:t>
      </w:r>
    </w:p>
    <w:p w14:paraId="7BA74B7D" w14:textId="11FEB3F5" w:rsidR="000756EB" w:rsidRDefault="004A4D88" w:rsidP="00015F07">
      <w:r>
        <w:t>The</w:t>
      </w:r>
      <w:r w:rsidR="00A03629">
        <w:t xml:space="preserve"> </w:t>
      </w:r>
      <w:r>
        <w:t>costs</w:t>
      </w:r>
      <w:r w:rsidR="00A03629">
        <w:t xml:space="preserve"> </w:t>
      </w:r>
      <w:r>
        <w:t>of</w:t>
      </w:r>
      <w:r w:rsidR="00A03629">
        <w:t xml:space="preserve"> </w:t>
      </w:r>
      <w:r>
        <w:t>leasehold</w:t>
      </w:r>
      <w:r w:rsidR="00A03629">
        <w:t xml:space="preserve"> </w:t>
      </w:r>
      <w:r>
        <w:t>improvements</w:t>
      </w:r>
      <w:r w:rsidR="00A03629">
        <w:t xml:space="preserve"> </w:t>
      </w:r>
      <w:r>
        <w:t>are</w:t>
      </w:r>
      <w:r w:rsidR="00A03629">
        <w:t xml:space="preserve"> </w:t>
      </w:r>
      <w:r>
        <w:t>capitalised</w:t>
      </w:r>
      <w:r w:rsidR="00A03629">
        <w:t xml:space="preserve"> </w:t>
      </w:r>
      <w:r>
        <w:t>as</w:t>
      </w:r>
      <w:r w:rsidR="00A03629">
        <w:t xml:space="preserve"> </w:t>
      </w:r>
      <w:r>
        <w:t>assets</w:t>
      </w:r>
      <w:r w:rsidR="00A03629">
        <w:t xml:space="preserve"> </w:t>
      </w:r>
      <w:r>
        <w:t>and</w:t>
      </w:r>
      <w:r w:rsidR="00A03629">
        <w:t xml:space="preserve"> </w:t>
      </w:r>
      <w:r>
        <w:t>depreciated</w:t>
      </w:r>
      <w:r w:rsidR="00A03629">
        <w:t xml:space="preserve"> </w:t>
      </w:r>
      <w:r>
        <w:t>over</w:t>
      </w:r>
      <w:r w:rsidR="00A03629">
        <w:t xml:space="preserve"> </w:t>
      </w:r>
      <w:r>
        <w:t>the</w:t>
      </w:r>
      <w:r w:rsidR="00A03629">
        <w:t xml:space="preserve"> </w:t>
      </w:r>
      <w:r>
        <w:t>shorter</w:t>
      </w:r>
      <w:r w:rsidR="00A03629">
        <w:t xml:space="preserve"> </w:t>
      </w:r>
      <w:r>
        <w:t>of</w:t>
      </w:r>
      <w:r w:rsidR="00A03629">
        <w:t xml:space="preserve"> </w:t>
      </w:r>
      <w:r>
        <w:t>the</w:t>
      </w:r>
      <w:r w:rsidR="00A03629">
        <w:t xml:space="preserve"> </w:t>
      </w:r>
      <w:r>
        <w:t>remaining</w:t>
      </w:r>
      <w:r w:rsidR="00A03629">
        <w:t xml:space="preserve"> </w:t>
      </w:r>
      <w:r>
        <w:t>term</w:t>
      </w:r>
      <w:r w:rsidR="00A03629">
        <w:t xml:space="preserve"> </w:t>
      </w:r>
      <w:r>
        <w:t>of</w:t>
      </w:r>
      <w:r w:rsidR="00A03629">
        <w:t xml:space="preserve"> </w:t>
      </w:r>
      <w:r>
        <w:t>the</w:t>
      </w:r>
      <w:r w:rsidR="00A03629">
        <w:t xml:space="preserve"> </w:t>
      </w:r>
      <w:r>
        <w:t>leases</w:t>
      </w:r>
      <w:r w:rsidR="00A03629">
        <w:t xml:space="preserve"> </w:t>
      </w:r>
      <w:r>
        <w:t>or</w:t>
      </w:r>
      <w:r w:rsidR="00A03629">
        <w:t xml:space="preserve"> </w:t>
      </w:r>
      <w:r>
        <w:t>the</w:t>
      </w:r>
      <w:r w:rsidR="00A03629">
        <w:t xml:space="preserve"> </w:t>
      </w:r>
      <w:r>
        <w:t>estimated</w:t>
      </w:r>
      <w:r w:rsidR="00A03629">
        <w:t xml:space="preserve"> </w:t>
      </w:r>
      <w:r>
        <w:t>useful</w:t>
      </w:r>
      <w:r w:rsidR="00A03629">
        <w:rPr>
          <w:rFonts w:ascii="Cambria" w:hAnsi="Cambria" w:cs="Cambria"/>
        </w:rPr>
        <w:t xml:space="preserve"> </w:t>
      </w:r>
      <w:r>
        <w:t>life</w:t>
      </w:r>
      <w:r w:rsidR="00A03629">
        <w:t xml:space="preserve"> </w:t>
      </w:r>
      <w:r>
        <w:t>of</w:t>
      </w:r>
      <w:r w:rsidR="00A03629">
        <w:t xml:space="preserve"> </w:t>
      </w:r>
      <w:r>
        <w:t>the</w:t>
      </w:r>
      <w:r w:rsidR="00A03629">
        <w:t xml:space="preserve"> </w:t>
      </w:r>
      <w:r>
        <w:t>improvements.</w:t>
      </w:r>
    </w:p>
    <w:p w14:paraId="5C07E422" w14:textId="747187CF" w:rsidR="000756EB" w:rsidRPr="00015F07" w:rsidRDefault="004A4D88" w:rsidP="00015F07">
      <w:pPr>
        <w:pStyle w:val="Normalbeforebullets"/>
        <w:rPr>
          <w:b/>
          <w:bCs/>
        </w:rPr>
      </w:pPr>
      <w:r w:rsidRPr="00015F07">
        <w:rPr>
          <w:b/>
          <w:bCs/>
        </w:rPr>
        <w:t>Right-of-use</w:t>
      </w:r>
      <w:r w:rsidR="00A03629" w:rsidRPr="00015F07">
        <w:rPr>
          <w:b/>
          <w:bCs/>
        </w:rPr>
        <w:t xml:space="preserve"> </w:t>
      </w:r>
      <w:r w:rsidRPr="00015F07">
        <w:rPr>
          <w:b/>
          <w:bCs/>
        </w:rPr>
        <w:t>asset</w:t>
      </w:r>
      <w:r w:rsidR="00A03629" w:rsidRPr="00015F07">
        <w:rPr>
          <w:b/>
          <w:bCs/>
        </w:rPr>
        <w:t xml:space="preserve"> </w:t>
      </w:r>
      <w:r w:rsidRPr="00015F07">
        <w:rPr>
          <w:b/>
          <w:bCs/>
        </w:rPr>
        <w:t>acquired</w:t>
      </w:r>
      <w:r w:rsidR="00A03629" w:rsidRPr="00015F07">
        <w:rPr>
          <w:b/>
          <w:bCs/>
        </w:rPr>
        <w:t xml:space="preserve"> </w:t>
      </w:r>
      <w:r w:rsidRPr="00015F07">
        <w:rPr>
          <w:b/>
          <w:bCs/>
        </w:rPr>
        <w:t>by</w:t>
      </w:r>
      <w:r w:rsidR="00A03629" w:rsidRPr="00015F07">
        <w:rPr>
          <w:b/>
          <w:bCs/>
        </w:rPr>
        <w:t xml:space="preserve"> </w:t>
      </w:r>
      <w:r w:rsidRPr="00015F07">
        <w:rPr>
          <w:b/>
          <w:bCs/>
        </w:rPr>
        <w:t>leases</w:t>
      </w:r>
      <w:r w:rsidR="00A03629" w:rsidRPr="00015F07">
        <w:rPr>
          <w:b/>
          <w:bCs/>
        </w:rPr>
        <w:t xml:space="preserve"> </w:t>
      </w:r>
      <w:r w:rsidRPr="00015F07">
        <w:rPr>
          <w:b/>
          <w:bCs/>
        </w:rPr>
        <w:t>–</w:t>
      </w:r>
      <w:r w:rsidR="00A03629" w:rsidRPr="00015F07">
        <w:rPr>
          <w:b/>
          <w:bCs/>
        </w:rPr>
        <w:t xml:space="preserve"> </w:t>
      </w:r>
      <w:r w:rsidRPr="00015F07">
        <w:rPr>
          <w:b/>
          <w:bCs/>
        </w:rPr>
        <w:t>Initial</w:t>
      </w:r>
      <w:r w:rsidR="00A03629" w:rsidRPr="00015F07">
        <w:rPr>
          <w:b/>
          <w:bCs/>
        </w:rPr>
        <w:t xml:space="preserve"> </w:t>
      </w:r>
      <w:r w:rsidRPr="00015F07">
        <w:rPr>
          <w:b/>
          <w:bCs/>
        </w:rPr>
        <w:t>measurement</w:t>
      </w:r>
    </w:p>
    <w:p w14:paraId="35C7D195" w14:textId="3B52A9EF" w:rsidR="000756EB" w:rsidRDefault="004A4D88" w:rsidP="00015F07">
      <w:pPr>
        <w:pStyle w:val="Normalbeforebullets"/>
      </w:pPr>
      <w:r>
        <w:t>DJSIR</w:t>
      </w:r>
      <w:r w:rsidR="00A03629">
        <w:t xml:space="preserve"> </w:t>
      </w:r>
      <w:r>
        <w:t>recognises</w:t>
      </w:r>
      <w:r w:rsidR="00A03629">
        <w:t xml:space="preserve"> </w:t>
      </w:r>
      <w:r>
        <w:t>a</w:t>
      </w:r>
      <w:r w:rsidR="00A03629">
        <w:t xml:space="preserve"> </w:t>
      </w:r>
      <w:r>
        <w:t>right-of-use</w:t>
      </w:r>
      <w:r w:rsidR="00A03629">
        <w:t xml:space="preserve"> </w:t>
      </w:r>
      <w:r>
        <w:t>asset</w:t>
      </w:r>
      <w:r w:rsidR="00A03629">
        <w:t xml:space="preserve"> </w:t>
      </w:r>
      <w:r>
        <w:t>and</w:t>
      </w:r>
      <w:r w:rsidR="00A03629">
        <w:t xml:space="preserve"> </w:t>
      </w:r>
      <w:r>
        <w:t>a</w:t>
      </w:r>
      <w:r w:rsidR="00A03629">
        <w:t xml:space="preserve"> </w:t>
      </w:r>
      <w:r>
        <w:t>lease</w:t>
      </w:r>
      <w:r w:rsidR="00A03629">
        <w:rPr>
          <w:rFonts w:ascii="Cambria" w:hAnsi="Cambria" w:cs="Cambria"/>
        </w:rPr>
        <w:t xml:space="preserve"> </w:t>
      </w:r>
      <w:r>
        <w:t>liability</w:t>
      </w:r>
      <w:r w:rsidR="00A03629">
        <w:t xml:space="preserve"> </w:t>
      </w:r>
      <w:r>
        <w:t>at</w:t>
      </w:r>
      <w:r w:rsidR="00A03629">
        <w:t xml:space="preserve"> </w:t>
      </w:r>
      <w:r>
        <w:t>the</w:t>
      </w:r>
      <w:r w:rsidR="00A03629">
        <w:t xml:space="preserve"> </w:t>
      </w:r>
      <w:r>
        <w:t>lease</w:t>
      </w:r>
      <w:r w:rsidR="00A03629">
        <w:t xml:space="preserve"> </w:t>
      </w:r>
      <w:r>
        <w:t>commencement</w:t>
      </w:r>
      <w:r w:rsidR="00A03629">
        <w:t xml:space="preserve"> </w:t>
      </w:r>
      <w:r>
        <w:t>date.</w:t>
      </w:r>
      <w:r w:rsidR="00A03629">
        <w:t xml:space="preserve"> </w:t>
      </w:r>
      <w:r>
        <w:t>The</w:t>
      </w:r>
      <w:r w:rsidR="00A03629">
        <w:rPr>
          <w:rFonts w:ascii="Cambria" w:hAnsi="Cambria" w:cs="Cambria"/>
        </w:rPr>
        <w:t xml:space="preserve"> </w:t>
      </w:r>
      <w:r>
        <w:t>right-of-use</w:t>
      </w:r>
      <w:r w:rsidR="00A03629">
        <w:t xml:space="preserve"> </w:t>
      </w:r>
      <w:r>
        <w:t>asset</w:t>
      </w:r>
      <w:r w:rsidR="00A03629">
        <w:t xml:space="preserve"> </w:t>
      </w:r>
      <w:r>
        <w:t>is</w:t>
      </w:r>
      <w:r w:rsidR="00A03629">
        <w:t xml:space="preserve"> </w:t>
      </w:r>
      <w:r>
        <w:t>initially</w:t>
      </w:r>
      <w:r w:rsidR="00A03629">
        <w:t xml:space="preserve"> </w:t>
      </w:r>
      <w:r>
        <w:t>measured</w:t>
      </w:r>
      <w:r w:rsidR="00A03629">
        <w:t xml:space="preserve"> </w:t>
      </w:r>
      <w:r>
        <w:t>at</w:t>
      </w:r>
      <w:r w:rsidR="00A03629">
        <w:t xml:space="preserve"> </w:t>
      </w:r>
      <w:r>
        <w:t>cost</w:t>
      </w:r>
      <w:r w:rsidR="00A03629">
        <w:rPr>
          <w:rFonts w:ascii="Cambria" w:hAnsi="Cambria" w:cs="Cambria"/>
        </w:rPr>
        <w:t xml:space="preserve"> </w:t>
      </w:r>
      <w:r>
        <w:t>which</w:t>
      </w:r>
      <w:r w:rsidR="00A03629">
        <w:t xml:space="preserve"> </w:t>
      </w:r>
      <w:r>
        <w:t>comprises</w:t>
      </w:r>
      <w:r w:rsidR="00A03629">
        <w:t xml:space="preserve"> </w:t>
      </w:r>
      <w:r>
        <w:t>the</w:t>
      </w:r>
      <w:r w:rsidR="00A03629">
        <w:t xml:space="preserve"> </w:t>
      </w:r>
      <w:r>
        <w:t>initial</w:t>
      </w:r>
      <w:r w:rsidR="00A03629">
        <w:t xml:space="preserve"> </w:t>
      </w:r>
      <w:r>
        <w:t>amount</w:t>
      </w:r>
      <w:r w:rsidR="00A03629">
        <w:t xml:space="preserve"> </w:t>
      </w:r>
      <w:r>
        <w:t>of</w:t>
      </w:r>
      <w:r w:rsidR="00A03629">
        <w:t xml:space="preserve"> </w:t>
      </w:r>
      <w:r>
        <w:t>the</w:t>
      </w:r>
      <w:r w:rsidR="00A03629">
        <w:t xml:space="preserve"> </w:t>
      </w:r>
      <w:r>
        <w:t>lease</w:t>
      </w:r>
      <w:r w:rsidR="00A03629">
        <w:rPr>
          <w:rFonts w:ascii="Cambria" w:hAnsi="Cambria" w:cs="Cambria"/>
        </w:rPr>
        <w:t xml:space="preserve"> </w:t>
      </w:r>
      <w:r>
        <w:t>liability</w:t>
      </w:r>
      <w:r w:rsidR="00A03629">
        <w:t xml:space="preserve"> </w:t>
      </w:r>
      <w:r>
        <w:t>adjust</w:t>
      </w:r>
      <w:r w:rsidR="00A03629">
        <w:t xml:space="preserve"> </w:t>
      </w:r>
      <w:r>
        <w:t>for:</w:t>
      </w:r>
    </w:p>
    <w:p w14:paraId="4DC003D1" w14:textId="5E374C4B" w:rsidR="000756EB" w:rsidRDefault="004A4D88" w:rsidP="00015F07">
      <w:pPr>
        <w:pStyle w:val="Bullet"/>
      </w:pPr>
      <w:r>
        <w:t>any</w:t>
      </w:r>
      <w:r w:rsidR="00A03629">
        <w:t xml:space="preserve"> </w:t>
      </w:r>
      <w:r>
        <w:t>lease</w:t>
      </w:r>
      <w:r w:rsidR="00A03629">
        <w:t xml:space="preserve"> </w:t>
      </w:r>
      <w:r>
        <w:t>payments</w:t>
      </w:r>
      <w:r w:rsidR="00A03629">
        <w:t xml:space="preserve"> </w:t>
      </w:r>
      <w:r>
        <w:t>made</w:t>
      </w:r>
      <w:r w:rsidR="00A03629">
        <w:t xml:space="preserve"> </w:t>
      </w:r>
      <w:r>
        <w:t>at</w:t>
      </w:r>
      <w:r w:rsidR="00A03629">
        <w:t xml:space="preserve"> </w:t>
      </w:r>
      <w:r>
        <w:t>or</w:t>
      </w:r>
      <w:r w:rsidR="00A03629">
        <w:t xml:space="preserve"> </w:t>
      </w:r>
      <w:r>
        <w:t>before</w:t>
      </w:r>
      <w:r w:rsidR="00A03629">
        <w:t xml:space="preserve"> </w:t>
      </w:r>
      <w:r>
        <w:t>the</w:t>
      </w:r>
      <w:r w:rsidR="00A03629">
        <w:t xml:space="preserve"> </w:t>
      </w:r>
      <w:r>
        <w:t>commencement</w:t>
      </w:r>
      <w:r w:rsidR="00A03629">
        <w:t xml:space="preserve"> </w:t>
      </w:r>
      <w:r>
        <w:t>date</w:t>
      </w:r>
      <w:r w:rsidR="00A03629">
        <w:t xml:space="preserve"> </w:t>
      </w:r>
      <w:r>
        <w:t>less</w:t>
      </w:r>
      <w:r w:rsidR="00A03629">
        <w:t xml:space="preserve"> </w:t>
      </w:r>
      <w:r>
        <w:t>any</w:t>
      </w:r>
      <w:r w:rsidR="00A03629">
        <w:t xml:space="preserve"> </w:t>
      </w:r>
      <w:r>
        <w:t>lease</w:t>
      </w:r>
      <w:r w:rsidR="00A03629">
        <w:t xml:space="preserve"> </w:t>
      </w:r>
      <w:r>
        <w:t>incentive</w:t>
      </w:r>
      <w:r w:rsidR="00A03629">
        <w:t xml:space="preserve"> </w:t>
      </w:r>
      <w:r>
        <w:t>received;</w:t>
      </w:r>
      <w:r w:rsidR="00A03629">
        <w:t xml:space="preserve"> </w:t>
      </w:r>
      <w:r>
        <w:t>plus</w:t>
      </w:r>
    </w:p>
    <w:p w14:paraId="5A5F35BA" w14:textId="3462C896" w:rsidR="000756EB" w:rsidRDefault="004A4D88" w:rsidP="00015F07">
      <w:pPr>
        <w:pStyle w:val="Bullet"/>
      </w:pPr>
      <w:r>
        <w:t>any</w:t>
      </w:r>
      <w:r w:rsidR="00A03629">
        <w:t xml:space="preserve"> </w:t>
      </w:r>
      <w:r>
        <w:t>initial</w:t>
      </w:r>
      <w:r w:rsidR="00A03629">
        <w:t xml:space="preserve"> </w:t>
      </w:r>
      <w:r>
        <w:t>direct</w:t>
      </w:r>
      <w:r w:rsidR="00A03629">
        <w:t xml:space="preserve"> </w:t>
      </w:r>
      <w:r>
        <w:t>costs</w:t>
      </w:r>
      <w:r w:rsidR="00A03629">
        <w:t xml:space="preserve"> </w:t>
      </w:r>
      <w:r>
        <w:t>incurred;</w:t>
      </w:r>
      <w:r w:rsidR="00A03629">
        <w:t xml:space="preserve"> </w:t>
      </w:r>
      <w:r>
        <w:t>and</w:t>
      </w:r>
    </w:p>
    <w:p w14:paraId="119D0161" w14:textId="5D6F06B9" w:rsidR="000756EB" w:rsidRDefault="004A4D88" w:rsidP="00015F07">
      <w:pPr>
        <w:pStyle w:val="Bulletlast"/>
      </w:pPr>
      <w:r>
        <w:t>an</w:t>
      </w:r>
      <w:r w:rsidR="00A03629">
        <w:t xml:space="preserve"> </w:t>
      </w:r>
      <w:r>
        <w:t>estimate</w:t>
      </w:r>
      <w:r w:rsidR="00A03629">
        <w:t xml:space="preserve"> </w:t>
      </w:r>
      <w:r>
        <w:t>of</w:t>
      </w:r>
      <w:r w:rsidR="00A03629">
        <w:t xml:space="preserve"> </w:t>
      </w:r>
      <w:r>
        <w:t>costs</w:t>
      </w:r>
      <w:r w:rsidR="00A03629">
        <w:t xml:space="preserve"> </w:t>
      </w:r>
      <w:r>
        <w:t>to</w:t>
      </w:r>
      <w:r w:rsidR="00A03629">
        <w:t xml:space="preserve"> </w:t>
      </w:r>
      <w:r>
        <w:t>dismantle</w:t>
      </w:r>
      <w:r w:rsidR="00A03629">
        <w:t xml:space="preserve"> </w:t>
      </w:r>
      <w:r>
        <w:t>and</w:t>
      </w:r>
      <w:r w:rsidR="00A03629">
        <w:t xml:space="preserve"> </w:t>
      </w:r>
      <w:r>
        <w:t>remove</w:t>
      </w:r>
      <w:r w:rsidR="00A03629">
        <w:t xml:space="preserve"> </w:t>
      </w:r>
      <w:r>
        <w:t>the</w:t>
      </w:r>
      <w:r w:rsidR="00A03629">
        <w:t xml:space="preserve"> </w:t>
      </w:r>
      <w:r>
        <w:t>underlying</w:t>
      </w:r>
      <w:r w:rsidR="00A03629">
        <w:t xml:space="preserve"> </w:t>
      </w:r>
      <w:r>
        <w:t>asset</w:t>
      </w:r>
      <w:r w:rsidR="00A03629">
        <w:t xml:space="preserve"> </w:t>
      </w:r>
      <w:r>
        <w:t>or</w:t>
      </w:r>
      <w:r w:rsidR="00A03629">
        <w:t xml:space="preserve"> </w:t>
      </w:r>
      <w:r>
        <w:t>to</w:t>
      </w:r>
      <w:r w:rsidR="00A03629">
        <w:t xml:space="preserve"> </w:t>
      </w:r>
      <w:r>
        <w:t>restore</w:t>
      </w:r>
      <w:r w:rsidR="00A03629">
        <w:t xml:space="preserve"> </w:t>
      </w:r>
      <w:r>
        <w:t>the</w:t>
      </w:r>
      <w:r w:rsidR="00A03629">
        <w:t xml:space="preserve"> </w:t>
      </w:r>
      <w:r>
        <w:t>underlying</w:t>
      </w:r>
      <w:r w:rsidR="00A03629">
        <w:t xml:space="preserve"> </w:t>
      </w:r>
      <w:r>
        <w:t>asset</w:t>
      </w:r>
      <w:r w:rsidR="00A03629">
        <w:t xml:space="preserve"> </w:t>
      </w:r>
      <w:r>
        <w:t>or</w:t>
      </w:r>
      <w:r w:rsidR="00A03629">
        <w:t xml:space="preserve"> </w:t>
      </w:r>
      <w:r>
        <w:t>the</w:t>
      </w:r>
      <w:r w:rsidR="00A03629">
        <w:t xml:space="preserve"> </w:t>
      </w:r>
      <w:r>
        <w:t>site</w:t>
      </w:r>
      <w:r w:rsidR="00A03629">
        <w:t xml:space="preserve"> </w:t>
      </w:r>
      <w:r>
        <w:t>on</w:t>
      </w:r>
      <w:r w:rsidR="00A03629">
        <w:t xml:space="preserve"> </w:t>
      </w:r>
      <w:r>
        <w:t>which</w:t>
      </w:r>
      <w:r w:rsidR="00A03629">
        <w:t xml:space="preserve"> </w:t>
      </w:r>
      <w:r>
        <w:t>it</w:t>
      </w:r>
      <w:r w:rsidR="00A03629">
        <w:t xml:space="preserve"> </w:t>
      </w:r>
      <w:r>
        <w:t>is</w:t>
      </w:r>
      <w:r w:rsidR="00A03629">
        <w:t xml:space="preserve"> </w:t>
      </w:r>
      <w:r>
        <w:t>located.</w:t>
      </w:r>
    </w:p>
    <w:p w14:paraId="7FE02625" w14:textId="509AB51C" w:rsidR="000756EB" w:rsidRPr="00015F07" w:rsidRDefault="004A4D88" w:rsidP="00015F07">
      <w:pPr>
        <w:pStyle w:val="Normalbeforebullets"/>
        <w:rPr>
          <w:b/>
          <w:bCs/>
        </w:rPr>
      </w:pPr>
      <w:r w:rsidRPr="00015F07">
        <w:rPr>
          <w:b/>
          <w:bCs/>
        </w:rPr>
        <w:lastRenderedPageBreak/>
        <w:t>Subsequent</w:t>
      </w:r>
      <w:r w:rsidR="00A03629" w:rsidRPr="00015F07">
        <w:rPr>
          <w:b/>
          <w:bCs/>
        </w:rPr>
        <w:t xml:space="preserve"> </w:t>
      </w:r>
      <w:r w:rsidRPr="00015F07">
        <w:rPr>
          <w:b/>
          <w:bCs/>
        </w:rPr>
        <w:t>measurement</w:t>
      </w:r>
      <w:r w:rsidR="00A03629" w:rsidRPr="00015F07">
        <w:rPr>
          <w:b/>
          <w:bCs/>
        </w:rPr>
        <w:t xml:space="preserve"> </w:t>
      </w:r>
    </w:p>
    <w:p w14:paraId="55244A82" w14:textId="36754FB8" w:rsidR="000756EB" w:rsidRDefault="004A4D88" w:rsidP="00015F07">
      <w:r>
        <w:t>Property,</w:t>
      </w:r>
      <w:r w:rsidR="00A03629">
        <w:t xml:space="preserve"> </w:t>
      </w:r>
      <w:proofErr w:type="gramStart"/>
      <w:r>
        <w:t>plant</w:t>
      </w:r>
      <w:proofErr w:type="gramEnd"/>
      <w:r w:rsidR="00A03629">
        <w:t xml:space="preserve"> </w:t>
      </w:r>
      <w:r>
        <w:t>and</w:t>
      </w:r>
      <w:r w:rsidR="00A03629">
        <w:t xml:space="preserve"> </w:t>
      </w:r>
      <w:r>
        <w:t>equipment</w:t>
      </w:r>
      <w:r w:rsidR="00A03629">
        <w:t xml:space="preserve"> </w:t>
      </w:r>
      <w:r>
        <w:t>(PPE)</w:t>
      </w:r>
      <w:r w:rsidR="00A03629">
        <w:t xml:space="preserve"> </w:t>
      </w:r>
      <w:r>
        <w:t>as</w:t>
      </w:r>
      <w:r w:rsidR="00A03629">
        <w:t xml:space="preserve"> </w:t>
      </w:r>
      <w:r>
        <w:t>well</w:t>
      </w:r>
      <w:r w:rsidR="00A03629">
        <w:t xml:space="preserve"> </w:t>
      </w:r>
      <w:r>
        <w:t>as</w:t>
      </w:r>
      <w:r w:rsidR="00A03629">
        <w:t xml:space="preserve"> </w:t>
      </w:r>
      <w:r>
        <w:t>right-of-use</w:t>
      </w:r>
      <w:r w:rsidR="00A03629">
        <w:t xml:space="preserve"> </w:t>
      </w:r>
      <w:r>
        <w:t>assets</w:t>
      </w:r>
      <w:r w:rsidR="00A03629">
        <w:t xml:space="preserve"> </w:t>
      </w:r>
      <w:r>
        <w:t>under</w:t>
      </w:r>
      <w:r w:rsidR="00A03629">
        <w:t xml:space="preserve"> </w:t>
      </w:r>
      <w:r>
        <w:t>leases</w:t>
      </w:r>
      <w:r w:rsidR="00A03629">
        <w:t xml:space="preserve"> </w:t>
      </w:r>
      <w:r>
        <w:t>are</w:t>
      </w:r>
      <w:r w:rsidR="00A03629">
        <w:t xml:space="preserve"> </w:t>
      </w:r>
      <w:r>
        <w:t>subsequently</w:t>
      </w:r>
      <w:r w:rsidR="00A03629">
        <w:t xml:space="preserve"> </w:t>
      </w:r>
      <w:r>
        <w:t>measured</w:t>
      </w:r>
      <w:r w:rsidR="00A03629">
        <w:t xml:space="preserve"> </w:t>
      </w:r>
      <w:r>
        <w:t>at</w:t>
      </w:r>
      <w:r w:rsidR="00A03629">
        <w:t xml:space="preserve"> </w:t>
      </w:r>
      <w:r>
        <w:t>fair</w:t>
      </w:r>
      <w:r w:rsidR="00A03629">
        <w:t xml:space="preserve"> </w:t>
      </w:r>
      <w:r>
        <w:t>value</w:t>
      </w:r>
      <w:r w:rsidR="00A03629">
        <w:t xml:space="preserve"> </w:t>
      </w:r>
      <w:r>
        <w:t>less</w:t>
      </w:r>
      <w:r w:rsidR="00A03629">
        <w:t xml:space="preserve"> </w:t>
      </w:r>
      <w:r>
        <w:t>accumulated</w:t>
      </w:r>
      <w:r w:rsidR="00A03629">
        <w:t xml:space="preserve"> </w:t>
      </w:r>
      <w:r>
        <w:t>depreciation</w:t>
      </w:r>
      <w:r w:rsidR="00A03629">
        <w:t xml:space="preserve"> </w:t>
      </w:r>
      <w:r>
        <w:t>and</w:t>
      </w:r>
      <w:r w:rsidR="00A03629">
        <w:t xml:space="preserve"> </w:t>
      </w:r>
      <w:r>
        <w:t>impairment</w:t>
      </w:r>
      <w:r w:rsidR="00A03629">
        <w:t xml:space="preserve"> </w:t>
      </w:r>
      <w:r>
        <w:t>except</w:t>
      </w:r>
      <w:r w:rsidR="00A03629">
        <w:t xml:space="preserve"> </w:t>
      </w:r>
      <w:r>
        <w:t>for</w:t>
      </w:r>
      <w:r w:rsidR="00A03629">
        <w:t xml:space="preserve"> </w:t>
      </w:r>
      <w:r>
        <w:t>concessionary</w:t>
      </w:r>
      <w:r w:rsidR="00A03629">
        <w:t xml:space="preserve"> </w:t>
      </w:r>
      <w:r>
        <w:t>leases</w:t>
      </w:r>
      <w:r w:rsidR="00A03629">
        <w:t xml:space="preserve"> </w:t>
      </w:r>
      <w:r>
        <w:t>which</w:t>
      </w:r>
      <w:r w:rsidR="00A03629">
        <w:t xml:space="preserve"> </w:t>
      </w:r>
      <w:r>
        <w:t>are</w:t>
      </w:r>
      <w:r w:rsidR="00A03629">
        <w:t xml:space="preserve"> </w:t>
      </w:r>
      <w:r>
        <w:t>carried</w:t>
      </w:r>
      <w:r w:rsidR="00A03629">
        <w:t xml:space="preserve"> </w:t>
      </w:r>
      <w:r>
        <w:t>at</w:t>
      </w:r>
      <w:r w:rsidR="00A03629">
        <w:t xml:space="preserve"> </w:t>
      </w:r>
      <w:r>
        <w:t>cost.</w:t>
      </w:r>
      <w:r w:rsidR="00A03629">
        <w:t xml:space="preserve"> </w:t>
      </w:r>
      <w:r>
        <w:t>Fair</w:t>
      </w:r>
      <w:r w:rsidR="00A03629">
        <w:t xml:space="preserve"> </w:t>
      </w:r>
      <w:r>
        <w:t>value</w:t>
      </w:r>
      <w:r w:rsidR="00A03629">
        <w:t xml:space="preserve"> </w:t>
      </w:r>
      <w:r>
        <w:t>is</w:t>
      </w:r>
      <w:r w:rsidR="00A03629">
        <w:t xml:space="preserve"> </w:t>
      </w:r>
      <w:r>
        <w:t>determined</w:t>
      </w:r>
      <w:r w:rsidR="00A03629">
        <w:t xml:space="preserve"> </w:t>
      </w:r>
      <w:proofErr w:type="gramStart"/>
      <w:r>
        <w:t>with</w:t>
      </w:r>
      <w:r w:rsidR="00A03629">
        <w:t xml:space="preserve"> </w:t>
      </w:r>
      <w:r>
        <w:t>regard</w:t>
      </w:r>
      <w:r w:rsidR="00A03629">
        <w:t xml:space="preserve"> </w:t>
      </w:r>
      <w:r>
        <w:t>to</w:t>
      </w:r>
      <w:proofErr w:type="gramEnd"/>
      <w:r w:rsidR="00A03629">
        <w:t xml:space="preserve"> </w:t>
      </w:r>
      <w:r>
        <w:t>the</w:t>
      </w:r>
      <w:r w:rsidR="00A03629">
        <w:t xml:space="preserve"> </w:t>
      </w:r>
      <w:r>
        <w:t>asset’s</w:t>
      </w:r>
      <w:r w:rsidR="00A03629">
        <w:t xml:space="preserve"> </w:t>
      </w:r>
      <w:r>
        <w:t>highest</w:t>
      </w:r>
      <w:r w:rsidR="00A03629">
        <w:t xml:space="preserve"> </w:t>
      </w:r>
      <w:r>
        <w:t>and</w:t>
      </w:r>
      <w:r w:rsidR="00A03629">
        <w:t xml:space="preserve"> </w:t>
      </w:r>
      <w:r>
        <w:t>best</w:t>
      </w:r>
      <w:r w:rsidR="00A03629">
        <w:t xml:space="preserve"> </w:t>
      </w:r>
      <w:r>
        <w:t>use</w:t>
      </w:r>
      <w:r w:rsidR="00A03629">
        <w:t xml:space="preserve"> </w:t>
      </w:r>
      <w:r>
        <w:t>(considering</w:t>
      </w:r>
      <w:r w:rsidR="00A03629">
        <w:t xml:space="preserve"> </w:t>
      </w:r>
      <w:r>
        <w:t>legal</w:t>
      </w:r>
      <w:r w:rsidR="00A03629">
        <w:t xml:space="preserve"> </w:t>
      </w:r>
      <w:r>
        <w:t>or</w:t>
      </w:r>
      <w:r w:rsidR="00A03629">
        <w:t xml:space="preserve"> </w:t>
      </w:r>
      <w:r>
        <w:t>physical</w:t>
      </w:r>
      <w:r w:rsidR="00A03629">
        <w:t xml:space="preserve"> </w:t>
      </w:r>
      <w:r>
        <w:t>restrictions</w:t>
      </w:r>
      <w:r w:rsidR="00A03629">
        <w:t xml:space="preserve"> </w:t>
      </w:r>
      <w:r>
        <w:t>imposed</w:t>
      </w:r>
      <w:r w:rsidR="00A03629">
        <w:t xml:space="preserve"> </w:t>
      </w:r>
      <w:r>
        <w:t>on</w:t>
      </w:r>
      <w:r w:rsidR="00A03629">
        <w:t xml:space="preserve"> </w:t>
      </w:r>
      <w:r>
        <w:t>the</w:t>
      </w:r>
      <w:r w:rsidR="00A03629">
        <w:t xml:space="preserve"> </w:t>
      </w:r>
      <w:r>
        <w:t>asset,</w:t>
      </w:r>
      <w:r w:rsidR="00A03629">
        <w:t xml:space="preserve"> </w:t>
      </w:r>
      <w:r>
        <w:t>public</w:t>
      </w:r>
      <w:r w:rsidR="00A03629">
        <w:t xml:space="preserve"> </w:t>
      </w:r>
      <w:r>
        <w:t>announcements</w:t>
      </w:r>
      <w:r w:rsidR="00A03629">
        <w:t xml:space="preserve"> </w:t>
      </w:r>
      <w:r>
        <w:t>or</w:t>
      </w:r>
      <w:r w:rsidR="00A03629">
        <w:t xml:space="preserve"> </w:t>
      </w:r>
      <w:r>
        <w:t>commitments</w:t>
      </w:r>
      <w:r w:rsidR="00A03629">
        <w:t xml:space="preserve"> </w:t>
      </w:r>
      <w:r>
        <w:t>made</w:t>
      </w:r>
      <w:r w:rsidR="00A03629">
        <w:t xml:space="preserve"> </w:t>
      </w:r>
      <w:r>
        <w:t>in</w:t>
      </w:r>
      <w:r w:rsidR="00A03629">
        <w:t xml:space="preserve"> </w:t>
      </w:r>
      <w:r>
        <w:t>relation</w:t>
      </w:r>
      <w:r w:rsidR="00A03629">
        <w:t xml:space="preserve"> </w:t>
      </w:r>
      <w:r>
        <w:t>to</w:t>
      </w:r>
      <w:r w:rsidR="00A03629">
        <w:rPr>
          <w:rFonts w:ascii="Cambria" w:hAnsi="Cambria" w:cs="Cambria"/>
        </w:rPr>
        <w:t xml:space="preserve"> </w:t>
      </w:r>
      <w:r>
        <w:t>the</w:t>
      </w:r>
      <w:r w:rsidR="00A03629">
        <w:t xml:space="preserve"> </w:t>
      </w:r>
      <w:r>
        <w:t>intended</w:t>
      </w:r>
      <w:r w:rsidR="00A03629">
        <w:t xml:space="preserve"> </w:t>
      </w:r>
      <w:r>
        <w:t>use</w:t>
      </w:r>
      <w:r w:rsidR="00A03629">
        <w:t xml:space="preserve"> </w:t>
      </w:r>
      <w:r>
        <w:t>of</w:t>
      </w:r>
      <w:r w:rsidR="00A03629">
        <w:t xml:space="preserve"> </w:t>
      </w:r>
      <w:r>
        <w:t>the</w:t>
      </w:r>
      <w:r w:rsidR="00A03629">
        <w:t xml:space="preserve"> </w:t>
      </w:r>
      <w:r>
        <w:t>asset)</w:t>
      </w:r>
      <w:r w:rsidR="00A03629">
        <w:t xml:space="preserve"> </w:t>
      </w:r>
      <w:r>
        <w:t>and</w:t>
      </w:r>
      <w:r w:rsidR="00A03629">
        <w:t xml:space="preserve"> </w:t>
      </w:r>
      <w:r>
        <w:t>is</w:t>
      </w:r>
      <w:r w:rsidR="00A03629">
        <w:t xml:space="preserve"> </w:t>
      </w:r>
      <w:r>
        <w:t>summarised</w:t>
      </w:r>
      <w:r w:rsidR="00A03629">
        <w:t xml:space="preserve"> </w:t>
      </w:r>
      <w:r>
        <w:t>below</w:t>
      </w:r>
      <w:r w:rsidR="00A03629">
        <w:t xml:space="preserve"> </w:t>
      </w:r>
      <w:r>
        <w:t>by</w:t>
      </w:r>
      <w:r w:rsidR="00A03629">
        <w:t xml:space="preserve"> </w:t>
      </w:r>
      <w:r>
        <w:t>asset</w:t>
      </w:r>
      <w:r w:rsidR="00A03629">
        <w:t xml:space="preserve"> </w:t>
      </w:r>
      <w:r>
        <w:t>category.</w:t>
      </w:r>
      <w:r w:rsidR="00A03629">
        <w:t xml:space="preserve"> </w:t>
      </w:r>
    </w:p>
    <w:p w14:paraId="6C4B3ACF" w14:textId="51F81686" w:rsidR="000756EB" w:rsidRPr="00015F07" w:rsidRDefault="004A4D88" w:rsidP="00015F07">
      <w:pPr>
        <w:pStyle w:val="Normalbeforebullets"/>
        <w:rPr>
          <w:b/>
          <w:bCs/>
        </w:rPr>
      </w:pPr>
      <w:r w:rsidRPr="00015F07">
        <w:rPr>
          <w:b/>
          <w:bCs/>
        </w:rPr>
        <w:t>Right-of-use</w:t>
      </w:r>
      <w:r w:rsidR="00A03629" w:rsidRPr="00015F07">
        <w:rPr>
          <w:b/>
          <w:bCs/>
        </w:rPr>
        <w:t xml:space="preserve"> </w:t>
      </w:r>
      <w:r w:rsidRPr="00015F07">
        <w:rPr>
          <w:b/>
          <w:bCs/>
        </w:rPr>
        <w:t>asset</w:t>
      </w:r>
      <w:r w:rsidR="00A03629" w:rsidRPr="00015F07">
        <w:rPr>
          <w:b/>
          <w:bCs/>
        </w:rPr>
        <w:t xml:space="preserve"> </w:t>
      </w:r>
      <w:r w:rsidRPr="00015F07">
        <w:rPr>
          <w:b/>
          <w:bCs/>
        </w:rPr>
        <w:t>acquired</w:t>
      </w:r>
      <w:r w:rsidR="00A03629" w:rsidRPr="00015F07">
        <w:rPr>
          <w:b/>
          <w:bCs/>
        </w:rPr>
        <w:t xml:space="preserve"> </w:t>
      </w:r>
      <w:r w:rsidRPr="00015F07">
        <w:rPr>
          <w:b/>
          <w:bCs/>
        </w:rPr>
        <w:t>by</w:t>
      </w:r>
      <w:r w:rsidR="00A03629" w:rsidRPr="00015F07">
        <w:rPr>
          <w:b/>
          <w:bCs/>
        </w:rPr>
        <w:t xml:space="preserve"> </w:t>
      </w:r>
      <w:r w:rsidRPr="00015F07">
        <w:rPr>
          <w:b/>
          <w:bCs/>
        </w:rPr>
        <w:t>leases</w:t>
      </w:r>
    </w:p>
    <w:p w14:paraId="1D1C1262" w14:textId="530D0372" w:rsidR="000756EB" w:rsidRDefault="004A4D88" w:rsidP="00015F07">
      <w:r>
        <w:t>DJSIR</w:t>
      </w:r>
      <w:r w:rsidR="00A03629">
        <w:t xml:space="preserve"> </w:t>
      </w:r>
      <w:r>
        <w:t>depreciates</w:t>
      </w:r>
      <w:r w:rsidR="00A03629">
        <w:t xml:space="preserve"> </w:t>
      </w:r>
      <w:r>
        <w:t>the</w:t>
      </w:r>
      <w:r w:rsidR="00A03629">
        <w:t xml:space="preserve"> </w:t>
      </w:r>
      <w:r>
        <w:t>right-of-use</w:t>
      </w:r>
      <w:r w:rsidR="00A03629">
        <w:t xml:space="preserve"> </w:t>
      </w:r>
      <w:r>
        <w:t>assets</w:t>
      </w:r>
      <w:r w:rsidR="00A03629">
        <w:t xml:space="preserve"> </w:t>
      </w:r>
      <w:r>
        <w:t>on</w:t>
      </w:r>
      <w:r w:rsidR="00A03629">
        <w:t xml:space="preserve"> </w:t>
      </w:r>
      <w:r>
        <w:t>a</w:t>
      </w:r>
      <w:r w:rsidR="00A03629">
        <w:t xml:space="preserve"> </w:t>
      </w:r>
      <w:proofErr w:type="gramStart"/>
      <w:r>
        <w:t>straight</w:t>
      </w:r>
      <w:r w:rsidR="00A03629">
        <w:t xml:space="preserve"> </w:t>
      </w:r>
      <w:r>
        <w:t>line</w:t>
      </w:r>
      <w:proofErr w:type="gramEnd"/>
      <w:r w:rsidR="00A03629">
        <w:t xml:space="preserve"> </w:t>
      </w:r>
      <w:r>
        <w:t>basis</w:t>
      </w:r>
      <w:r w:rsidR="00A03629">
        <w:t xml:space="preserve"> </w:t>
      </w:r>
      <w:r>
        <w:t>from</w:t>
      </w:r>
      <w:r w:rsidR="00A03629">
        <w:t xml:space="preserve"> </w:t>
      </w:r>
      <w:r>
        <w:t>the</w:t>
      </w:r>
      <w:r w:rsidR="00A03629">
        <w:t xml:space="preserve"> </w:t>
      </w:r>
      <w:r>
        <w:t>lease</w:t>
      </w:r>
      <w:r w:rsidR="00A03629">
        <w:t xml:space="preserve"> </w:t>
      </w:r>
      <w:r>
        <w:t>commencement</w:t>
      </w:r>
      <w:r w:rsidR="00A03629">
        <w:t xml:space="preserve"> </w:t>
      </w:r>
      <w:r>
        <w:t>date</w:t>
      </w:r>
      <w:r w:rsidR="00A03629">
        <w:t xml:space="preserve"> </w:t>
      </w:r>
      <w:r>
        <w:t>to</w:t>
      </w:r>
      <w:r w:rsidR="00A03629">
        <w:t xml:space="preserve"> </w:t>
      </w:r>
      <w:r>
        <w:t>the</w:t>
      </w:r>
      <w:r w:rsidR="00A03629">
        <w:t xml:space="preserve"> </w:t>
      </w:r>
      <w:r>
        <w:t>earlier</w:t>
      </w:r>
      <w:r w:rsidR="00A03629">
        <w:t xml:space="preserve"> </w:t>
      </w:r>
      <w:r>
        <w:t>of</w:t>
      </w:r>
      <w:r w:rsidR="00A03629">
        <w:t xml:space="preserve"> </w:t>
      </w:r>
      <w:r>
        <w:t>the</w:t>
      </w:r>
      <w:r w:rsidR="00A03629">
        <w:t xml:space="preserve"> </w:t>
      </w:r>
      <w:r>
        <w:t>end</w:t>
      </w:r>
      <w:r w:rsidR="00A03629">
        <w:t xml:space="preserve"> </w:t>
      </w:r>
      <w:r>
        <w:t>of</w:t>
      </w:r>
      <w:r w:rsidR="00A03629">
        <w:t xml:space="preserve"> </w:t>
      </w:r>
      <w:r>
        <w:t>the</w:t>
      </w:r>
      <w:r w:rsidR="00A03629">
        <w:t xml:space="preserve"> </w:t>
      </w:r>
      <w:r>
        <w:t>useful</w:t>
      </w:r>
      <w:r w:rsidR="00A03629">
        <w:t xml:space="preserve"> </w:t>
      </w:r>
      <w:r>
        <w:t>life</w:t>
      </w:r>
      <w:r w:rsidR="00A03629">
        <w:t xml:space="preserve"> </w:t>
      </w:r>
      <w:r>
        <w:t>of</w:t>
      </w:r>
      <w:r w:rsidR="00A03629">
        <w:t xml:space="preserve"> </w:t>
      </w:r>
      <w:r>
        <w:t>the</w:t>
      </w:r>
      <w:r w:rsidR="00A03629">
        <w:t xml:space="preserve"> </w:t>
      </w:r>
      <w:r>
        <w:t>right-of-use</w:t>
      </w:r>
      <w:r w:rsidR="00A03629">
        <w:t xml:space="preserve"> </w:t>
      </w:r>
      <w:r>
        <w:t>asset</w:t>
      </w:r>
      <w:r w:rsidR="00A03629">
        <w:t xml:space="preserve"> </w:t>
      </w:r>
      <w:r>
        <w:t>or</w:t>
      </w:r>
      <w:r w:rsidR="00A03629">
        <w:t xml:space="preserve"> </w:t>
      </w:r>
      <w:r>
        <w:t>the</w:t>
      </w:r>
      <w:r w:rsidR="00A03629">
        <w:t xml:space="preserve"> </w:t>
      </w:r>
      <w:r>
        <w:t>end</w:t>
      </w:r>
      <w:r w:rsidR="00A03629">
        <w:t xml:space="preserve"> </w:t>
      </w:r>
      <w:r>
        <w:t>of</w:t>
      </w:r>
      <w:r w:rsidR="00A03629">
        <w:t xml:space="preserve"> </w:t>
      </w:r>
      <w:r>
        <w:t>the</w:t>
      </w:r>
      <w:r w:rsidR="00A03629">
        <w:t xml:space="preserve"> </w:t>
      </w:r>
      <w:r>
        <w:t>lease</w:t>
      </w:r>
      <w:r w:rsidR="00A03629">
        <w:t xml:space="preserve"> </w:t>
      </w:r>
      <w:r>
        <w:t>term.</w:t>
      </w:r>
      <w:r w:rsidR="00A03629">
        <w:t xml:space="preserve"> </w:t>
      </w:r>
      <w:r>
        <w:t>The</w:t>
      </w:r>
      <w:r w:rsidR="00A03629">
        <w:t xml:space="preserve"> </w:t>
      </w:r>
      <w:r>
        <w:t>right-of-use</w:t>
      </w:r>
      <w:r w:rsidR="00A03629">
        <w:t xml:space="preserve"> </w:t>
      </w:r>
      <w:r>
        <w:t>assets</w:t>
      </w:r>
      <w:r w:rsidR="00A03629">
        <w:t xml:space="preserve"> </w:t>
      </w:r>
      <w:r>
        <w:t>are</w:t>
      </w:r>
      <w:r w:rsidR="00A03629">
        <w:t xml:space="preserve"> </w:t>
      </w:r>
      <w:r>
        <w:t>also</w:t>
      </w:r>
      <w:r w:rsidR="00A03629">
        <w:t xml:space="preserve"> </w:t>
      </w:r>
      <w:r>
        <w:t>subject</w:t>
      </w:r>
      <w:r w:rsidR="00A03629">
        <w:t xml:space="preserve"> </w:t>
      </w:r>
      <w:r>
        <w:t>to</w:t>
      </w:r>
      <w:r w:rsidR="00A03629">
        <w:t xml:space="preserve"> </w:t>
      </w:r>
      <w:r>
        <w:t>revaluation.</w:t>
      </w:r>
    </w:p>
    <w:p w14:paraId="58FA04C1" w14:textId="25B15AA7" w:rsidR="000756EB" w:rsidRDefault="004A4D88" w:rsidP="00015F07">
      <w:r>
        <w:t>In</w:t>
      </w:r>
      <w:r w:rsidR="00A03629">
        <w:t xml:space="preserve"> </w:t>
      </w:r>
      <w:r>
        <w:t>addition,</w:t>
      </w:r>
      <w:r w:rsidR="00A03629">
        <w:t xml:space="preserve"> </w:t>
      </w:r>
      <w:r>
        <w:t>the</w:t>
      </w:r>
      <w:r w:rsidR="00A03629">
        <w:t xml:space="preserve"> </w:t>
      </w:r>
      <w:r>
        <w:t>right-of-use</w:t>
      </w:r>
      <w:r w:rsidR="00A03629">
        <w:t xml:space="preserve"> </w:t>
      </w:r>
      <w:r>
        <w:t>asset</w:t>
      </w:r>
      <w:r w:rsidR="00A03629">
        <w:t xml:space="preserve"> </w:t>
      </w:r>
      <w:r>
        <w:t>is</w:t>
      </w:r>
      <w:r w:rsidR="00A03629">
        <w:t xml:space="preserve"> </w:t>
      </w:r>
      <w:r>
        <w:t>periodically</w:t>
      </w:r>
      <w:r w:rsidR="00A03629">
        <w:t xml:space="preserve"> </w:t>
      </w:r>
      <w:r>
        <w:t>reduced</w:t>
      </w:r>
      <w:r w:rsidR="00A03629">
        <w:t xml:space="preserve"> </w:t>
      </w:r>
      <w:r>
        <w:t>by</w:t>
      </w:r>
      <w:r w:rsidR="00A03629">
        <w:t xml:space="preserve"> </w:t>
      </w:r>
      <w:r>
        <w:t>impairment</w:t>
      </w:r>
      <w:r w:rsidR="00A03629">
        <w:t xml:space="preserve"> </w:t>
      </w:r>
      <w:r>
        <w:t>losses,</w:t>
      </w:r>
      <w:r w:rsidR="00A03629">
        <w:t xml:space="preserve"> </w:t>
      </w:r>
      <w:r>
        <w:t>if</w:t>
      </w:r>
      <w:r w:rsidR="00A03629">
        <w:t xml:space="preserve"> </w:t>
      </w:r>
      <w:r>
        <w:t>any</w:t>
      </w:r>
      <w:r w:rsidR="00A03629">
        <w:t xml:space="preserve"> </w:t>
      </w:r>
      <w:r>
        <w:t>and</w:t>
      </w:r>
      <w:r w:rsidR="00A03629">
        <w:t xml:space="preserve"> </w:t>
      </w:r>
      <w:r>
        <w:t>adjusted</w:t>
      </w:r>
      <w:r w:rsidR="00A03629">
        <w:t xml:space="preserve"> </w:t>
      </w:r>
      <w:r>
        <w:t>for</w:t>
      </w:r>
      <w:r w:rsidR="00A03629">
        <w:t xml:space="preserve"> </w:t>
      </w:r>
      <w:r>
        <w:t>certain</w:t>
      </w:r>
      <w:r w:rsidR="00A03629">
        <w:t xml:space="preserve"> </w:t>
      </w:r>
      <w:r>
        <w:t>remeasurements</w:t>
      </w:r>
      <w:r w:rsidR="00A03629">
        <w:t xml:space="preserve"> </w:t>
      </w:r>
      <w:r>
        <w:t>of</w:t>
      </w:r>
      <w:r w:rsidR="00A03629">
        <w:t xml:space="preserve"> </w:t>
      </w:r>
      <w:r>
        <w:t>the</w:t>
      </w:r>
      <w:r w:rsidR="00A03629">
        <w:t xml:space="preserve"> </w:t>
      </w:r>
      <w:r>
        <w:t>lease</w:t>
      </w:r>
      <w:r w:rsidR="00A03629">
        <w:t xml:space="preserve"> </w:t>
      </w:r>
      <w:r>
        <w:t>liability.</w:t>
      </w:r>
    </w:p>
    <w:p w14:paraId="0A954113" w14:textId="1A27DF63" w:rsidR="000756EB" w:rsidRDefault="004A4D88" w:rsidP="00015F07">
      <w:r w:rsidRPr="00015F07">
        <w:rPr>
          <w:b/>
          <w:bCs/>
        </w:rPr>
        <w:t>Non-specialised</w:t>
      </w:r>
      <w:r w:rsidR="00A03629" w:rsidRPr="00015F07">
        <w:rPr>
          <w:b/>
          <w:bCs/>
        </w:rPr>
        <w:t xml:space="preserve"> </w:t>
      </w:r>
      <w:r w:rsidRPr="00015F07">
        <w:rPr>
          <w:b/>
          <w:bCs/>
        </w:rPr>
        <w:t>land</w:t>
      </w:r>
      <w:r w:rsidR="00A03629">
        <w:t xml:space="preserve"> </w:t>
      </w:r>
      <w:r>
        <w:t>is</w:t>
      </w:r>
      <w:r w:rsidR="00A03629">
        <w:t xml:space="preserve"> </w:t>
      </w:r>
      <w:r>
        <w:t>held</w:t>
      </w:r>
      <w:r w:rsidR="00A03629">
        <w:t xml:space="preserve"> </w:t>
      </w:r>
      <w:r>
        <w:t>at</w:t>
      </w:r>
      <w:r w:rsidR="00A03629">
        <w:t xml:space="preserve"> </w:t>
      </w:r>
      <w:r>
        <w:t>fair</w:t>
      </w:r>
      <w:r w:rsidR="00A03629">
        <w:t xml:space="preserve"> </w:t>
      </w:r>
      <w:r>
        <w:t>value</w:t>
      </w:r>
      <w:r w:rsidR="00A03629">
        <w:t xml:space="preserve"> </w:t>
      </w:r>
      <w:r>
        <w:t>and</w:t>
      </w:r>
      <w:r w:rsidR="00A03629">
        <w:t xml:space="preserve"> </w:t>
      </w:r>
      <w:r>
        <w:t>revalued</w:t>
      </w:r>
      <w:r w:rsidR="00A03629">
        <w:t xml:space="preserve"> </w:t>
      </w:r>
      <w:r>
        <w:t>based</w:t>
      </w:r>
      <w:r w:rsidR="00A03629">
        <w:t xml:space="preserve"> </w:t>
      </w:r>
      <w:r>
        <w:t>on</w:t>
      </w:r>
      <w:r w:rsidR="00A03629">
        <w:t xml:space="preserve"> </w:t>
      </w:r>
      <w:r>
        <w:t>market</w:t>
      </w:r>
      <w:r w:rsidR="00A03629">
        <w:t xml:space="preserve"> </w:t>
      </w:r>
      <w:r>
        <w:t>approach.</w:t>
      </w:r>
      <w:r w:rsidR="00A03629">
        <w:t xml:space="preserve"> </w:t>
      </w:r>
      <w:r>
        <w:t>Under</w:t>
      </w:r>
      <w:r w:rsidR="00A03629">
        <w:t xml:space="preserve"> </w:t>
      </w:r>
      <w:r>
        <w:t>this</w:t>
      </w:r>
      <w:r w:rsidR="00A03629">
        <w:t xml:space="preserve"> </w:t>
      </w:r>
      <w:r>
        <w:t>valuation</w:t>
      </w:r>
      <w:r w:rsidR="00A03629">
        <w:t xml:space="preserve"> </w:t>
      </w:r>
      <w:r>
        <w:t>method,</w:t>
      </w:r>
      <w:r w:rsidR="00A03629">
        <w:t xml:space="preserve"> </w:t>
      </w:r>
      <w:r>
        <w:t>the</w:t>
      </w:r>
      <w:r w:rsidR="00A03629">
        <w:t xml:space="preserve"> </w:t>
      </w:r>
      <w:r>
        <w:t>assets</w:t>
      </w:r>
      <w:r w:rsidR="00A03629">
        <w:t xml:space="preserve"> </w:t>
      </w:r>
      <w:r>
        <w:t>are</w:t>
      </w:r>
      <w:r w:rsidR="00A03629">
        <w:t xml:space="preserve"> </w:t>
      </w:r>
      <w:r>
        <w:t>compared</w:t>
      </w:r>
      <w:r w:rsidR="00A03629">
        <w:t xml:space="preserve"> </w:t>
      </w:r>
      <w:r>
        <w:t>to</w:t>
      </w:r>
      <w:r w:rsidR="00A03629">
        <w:t xml:space="preserve"> </w:t>
      </w:r>
      <w:r>
        <w:t>recent</w:t>
      </w:r>
      <w:r w:rsidR="00A03629">
        <w:t xml:space="preserve"> </w:t>
      </w:r>
      <w:r>
        <w:t>comparable</w:t>
      </w:r>
      <w:r w:rsidR="00A03629">
        <w:t xml:space="preserve"> </w:t>
      </w:r>
      <w:r>
        <w:t>sales</w:t>
      </w:r>
      <w:r w:rsidR="00A03629">
        <w:t xml:space="preserve"> </w:t>
      </w:r>
      <w:r>
        <w:t>or</w:t>
      </w:r>
      <w:r w:rsidR="00A03629">
        <w:t xml:space="preserve"> </w:t>
      </w:r>
      <w:r>
        <w:t>sales</w:t>
      </w:r>
      <w:r w:rsidR="00A03629">
        <w:t xml:space="preserve"> </w:t>
      </w:r>
      <w:r>
        <w:t>of</w:t>
      </w:r>
      <w:r w:rsidR="00A03629">
        <w:t xml:space="preserve"> </w:t>
      </w:r>
      <w:r>
        <w:t>comparable</w:t>
      </w:r>
      <w:r w:rsidR="00A03629">
        <w:t xml:space="preserve"> </w:t>
      </w:r>
      <w:r>
        <w:t>assets</w:t>
      </w:r>
      <w:r w:rsidR="00A03629">
        <w:t xml:space="preserve"> </w:t>
      </w:r>
      <w:r>
        <w:t>which</w:t>
      </w:r>
      <w:r w:rsidR="00A03629">
        <w:t xml:space="preserve"> </w:t>
      </w:r>
      <w:r>
        <w:t>are</w:t>
      </w:r>
      <w:r w:rsidR="00A03629">
        <w:t xml:space="preserve"> </w:t>
      </w:r>
      <w:r>
        <w:t>considered</w:t>
      </w:r>
      <w:r w:rsidR="00A03629">
        <w:t xml:space="preserve"> </w:t>
      </w:r>
      <w:r>
        <w:t>to</w:t>
      </w:r>
      <w:r w:rsidR="00A03629">
        <w:t xml:space="preserve"> </w:t>
      </w:r>
      <w:r>
        <w:t>have</w:t>
      </w:r>
      <w:r w:rsidR="00A03629">
        <w:t xml:space="preserve"> </w:t>
      </w:r>
      <w:r>
        <w:t>nominal</w:t>
      </w:r>
      <w:r w:rsidR="00A03629">
        <w:t xml:space="preserve"> </w:t>
      </w:r>
      <w:r>
        <w:t>or</w:t>
      </w:r>
      <w:r w:rsidR="00A03629">
        <w:t xml:space="preserve"> </w:t>
      </w:r>
      <w:r>
        <w:t>no</w:t>
      </w:r>
      <w:r w:rsidR="00A03629">
        <w:rPr>
          <w:rFonts w:ascii="Cambria" w:hAnsi="Cambria" w:cs="Cambria"/>
        </w:rPr>
        <w:t xml:space="preserve"> </w:t>
      </w:r>
      <w:r>
        <w:t>added</w:t>
      </w:r>
      <w:r w:rsidR="00A03629">
        <w:t xml:space="preserve"> </w:t>
      </w:r>
      <w:r>
        <w:t>improvement</w:t>
      </w:r>
      <w:r w:rsidR="00A03629">
        <w:t xml:space="preserve"> </w:t>
      </w:r>
      <w:r>
        <w:t>value.</w:t>
      </w:r>
    </w:p>
    <w:p w14:paraId="3DF57D11" w14:textId="4155185D" w:rsidR="000756EB" w:rsidRDefault="004A4D88" w:rsidP="00015F07">
      <w:r w:rsidRPr="00015F07">
        <w:rPr>
          <w:b/>
          <w:bCs/>
        </w:rPr>
        <w:t>Specialised</w:t>
      </w:r>
      <w:r w:rsidR="00A03629" w:rsidRPr="00015F07">
        <w:rPr>
          <w:b/>
          <w:bCs/>
        </w:rPr>
        <w:t xml:space="preserve"> </w:t>
      </w:r>
      <w:r w:rsidRPr="00015F07">
        <w:rPr>
          <w:b/>
          <w:bCs/>
        </w:rPr>
        <w:t>land</w:t>
      </w:r>
      <w:r w:rsidR="00A03629" w:rsidRPr="00015F07">
        <w:rPr>
          <w:b/>
          <w:bCs/>
        </w:rPr>
        <w:t xml:space="preserve"> </w:t>
      </w:r>
      <w:r w:rsidRPr="00015F07">
        <w:rPr>
          <w:b/>
          <w:bCs/>
        </w:rPr>
        <w:t>and</w:t>
      </w:r>
      <w:r w:rsidR="00A03629" w:rsidRPr="00015F07">
        <w:rPr>
          <w:b/>
          <w:bCs/>
        </w:rPr>
        <w:t xml:space="preserve"> </w:t>
      </w:r>
      <w:r w:rsidRPr="00015F07">
        <w:rPr>
          <w:b/>
          <w:bCs/>
        </w:rPr>
        <w:t>specialised</w:t>
      </w:r>
      <w:r w:rsidR="00A03629" w:rsidRPr="00015F07">
        <w:rPr>
          <w:b/>
          <w:bCs/>
        </w:rPr>
        <w:t xml:space="preserve"> </w:t>
      </w:r>
      <w:r w:rsidRPr="00015F07">
        <w:rPr>
          <w:b/>
          <w:bCs/>
        </w:rPr>
        <w:t>buildings:</w:t>
      </w:r>
      <w:r w:rsidR="00A03629" w:rsidRPr="00D05F44">
        <w:t xml:space="preserve"> </w:t>
      </w:r>
      <w:r>
        <w:t>The</w:t>
      </w:r>
      <w:r w:rsidR="00A03629">
        <w:rPr>
          <w:rFonts w:ascii="Cambria" w:hAnsi="Cambria" w:cs="Cambria"/>
        </w:rPr>
        <w:t xml:space="preserve"> </w:t>
      </w:r>
      <w:r>
        <w:t>market</w:t>
      </w:r>
      <w:r w:rsidR="00A03629">
        <w:t xml:space="preserve"> </w:t>
      </w:r>
      <w:r>
        <w:t>approach</w:t>
      </w:r>
      <w:r w:rsidR="00A03629">
        <w:t xml:space="preserve"> </w:t>
      </w:r>
      <w:r>
        <w:t>is</w:t>
      </w:r>
      <w:r w:rsidR="00A03629">
        <w:t xml:space="preserve"> </w:t>
      </w:r>
      <w:r>
        <w:t>also</w:t>
      </w:r>
      <w:r w:rsidR="00A03629">
        <w:t xml:space="preserve"> </w:t>
      </w:r>
      <w:r>
        <w:t>used</w:t>
      </w:r>
      <w:r w:rsidR="00A03629">
        <w:t xml:space="preserve"> </w:t>
      </w:r>
      <w:r>
        <w:t>for</w:t>
      </w:r>
      <w:r w:rsidR="00A03629">
        <w:t xml:space="preserve"> </w:t>
      </w:r>
      <w:r>
        <w:t>specialised</w:t>
      </w:r>
      <w:r w:rsidR="00A03629">
        <w:t xml:space="preserve"> </w:t>
      </w:r>
      <w:r>
        <w:t>land,</w:t>
      </w:r>
      <w:r w:rsidR="00A03629">
        <w:t xml:space="preserve"> </w:t>
      </w:r>
      <w:r>
        <w:t>although</w:t>
      </w:r>
      <w:r w:rsidR="00A03629">
        <w:t xml:space="preserve"> </w:t>
      </w:r>
      <w:r>
        <w:t>is</w:t>
      </w:r>
      <w:r w:rsidR="00A03629">
        <w:t xml:space="preserve"> </w:t>
      </w:r>
      <w:r>
        <w:t>adjusted</w:t>
      </w:r>
      <w:r w:rsidR="00A03629">
        <w:t xml:space="preserve"> </w:t>
      </w:r>
      <w:r>
        <w:t>for</w:t>
      </w:r>
      <w:r w:rsidR="00A03629">
        <w:t xml:space="preserve"> </w:t>
      </w:r>
      <w:r>
        <w:t>the</w:t>
      </w:r>
      <w:r w:rsidR="00A03629">
        <w:t xml:space="preserve"> </w:t>
      </w:r>
      <w:r>
        <w:t>community</w:t>
      </w:r>
      <w:r w:rsidR="00A03629">
        <w:t xml:space="preserve"> </w:t>
      </w:r>
      <w:r>
        <w:t>service</w:t>
      </w:r>
      <w:r w:rsidR="00A03629">
        <w:t xml:space="preserve"> </w:t>
      </w:r>
      <w:r>
        <w:t>obligation</w:t>
      </w:r>
      <w:r w:rsidR="00A03629">
        <w:t xml:space="preserve"> </w:t>
      </w:r>
      <w:r>
        <w:t>(CSO)</w:t>
      </w:r>
      <w:r w:rsidR="00A03629">
        <w:t xml:space="preserve"> </w:t>
      </w:r>
      <w:r>
        <w:t>to</w:t>
      </w:r>
      <w:r w:rsidR="00A03629">
        <w:t xml:space="preserve"> </w:t>
      </w:r>
      <w:r>
        <w:t>reflect</w:t>
      </w:r>
      <w:r w:rsidR="00A03629">
        <w:t xml:space="preserve"> </w:t>
      </w:r>
      <w:r>
        <w:t>the</w:t>
      </w:r>
      <w:r w:rsidR="00A03629">
        <w:t xml:space="preserve"> </w:t>
      </w:r>
      <w:r>
        <w:t>specialised</w:t>
      </w:r>
      <w:r w:rsidR="00A03629">
        <w:t xml:space="preserve"> </w:t>
      </w:r>
      <w:r>
        <w:t>nature</w:t>
      </w:r>
      <w:r w:rsidR="00A03629">
        <w:t xml:space="preserve"> </w:t>
      </w:r>
      <w:r>
        <w:t>of</w:t>
      </w:r>
      <w:r w:rsidR="00A03629">
        <w:rPr>
          <w:rFonts w:ascii="Cambria" w:hAnsi="Cambria" w:cs="Cambria"/>
        </w:rPr>
        <w:t xml:space="preserve"> </w:t>
      </w:r>
      <w:r>
        <w:t>the</w:t>
      </w:r>
      <w:r w:rsidR="00A03629">
        <w:t xml:space="preserve"> </w:t>
      </w:r>
      <w:r>
        <w:t>land</w:t>
      </w:r>
      <w:r w:rsidR="00A03629">
        <w:t xml:space="preserve"> </w:t>
      </w:r>
      <w:r>
        <w:t>being</w:t>
      </w:r>
      <w:r w:rsidR="00A03629">
        <w:t xml:space="preserve"> </w:t>
      </w:r>
      <w:r>
        <w:t>valued.</w:t>
      </w:r>
      <w:r w:rsidR="00A03629">
        <w:t xml:space="preserve"> </w:t>
      </w:r>
    </w:p>
    <w:p w14:paraId="0DCBC0A2" w14:textId="300A5984" w:rsidR="000756EB" w:rsidRDefault="004A4D88" w:rsidP="00015F07">
      <w:r>
        <w:t>The</w:t>
      </w:r>
      <w:r w:rsidR="00A03629">
        <w:t xml:space="preserve"> </w:t>
      </w:r>
      <w:r>
        <w:t>CSO</w:t>
      </w:r>
      <w:r w:rsidR="00A03629">
        <w:t xml:space="preserve"> </w:t>
      </w:r>
      <w:r>
        <w:t>adjustment</w:t>
      </w:r>
      <w:r w:rsidR="00A03629">
        <w:t xml:space="preserve"> </w:t>
      </w:r>
      <w:proofErr w:type="gramStart"/>
      <w:r>
        <w:t>is</w:t>
      </w:r>
      <w:r w:rsidR="00A03629">
        <w:t xml:space="preserve"> </w:t>
      </w:r>
      <w:r>
        <w:t>a</w:t>
      </w:r>
      <w:r w:rsidR="00A03629">
        <w:t xml:space="preserve"> </w:t>
      </w:r>
      <w:r>
        <w:t>reflection</w:t>
      </w:r>
      <w:r w:rsidR="00A03629">
        <w:t xml:space="preserve"> </w:t>
      </w:r>
      <w:r>
        <w:t>of</w:t>
      </w:r>
      <w:proofErr w:type="gramEnd"/>
      <w:r w:rsidR="00A03629">
        <w:t xml:space="preserve"> </w:t>
      </w:r>
      <w:r>
        <w:t>the</w:t>
      </w:r>
      <w:r w:rsidR="00A03629">
        <w:t xml:space="preserve"> </w:t>
      </w:r>
      <w:r>
        <w:t>valuer’s</w:t>
      </w:r>
      <w:r w:rsidR="00A03629">
        <w:t xml:space="preserve"> </w:t>
      </w:r>
      <w:r>
        <w:t>assessment</w:t>
      </w:r>
      <w:r w:rsidR="00A03629">
        <w:t xml:space="preserve"> </w:t>
      </w:r>
      <w:r>
        <w:t>of</w:t>
      </w:r>
      <w:r w:rsidR="00A03629">
        <w:t xml:space="preserve"> </w:t>
      </w:r>
      <w:r>
        <w:t>the</w:t>
      </w:r>
      <w:r w:rsidR="00A03629">
        <w:t xml:space="preserve"> </w:t>
      </w:r>
      <w:r>
        <w:t>impact</w:t>
      </w:r>
      <w:r w:rsidR="00A03629">
        <w:t xml:space="preserve"> </w:t>
      </w:r>
      <w:r>
        <w:t>of</w:t>
      </w:r>
      <w:r w:rsidR="00A03629">
        <w:t xml:space="preserve"> </w:t>
      </w:r>
      <w:r>
        <w:t>restrictions</w:t>
      </w:r>
      <w:r w:rsidR="00A03629">
        <w:t xml:space="preserve"> </w:t>
      </w:r>
      <w:r>
        <w:t>associated</w:t>
      </w:r>
      <w:r w:rsidR="00A03629">
        <w:t xml:space="preserve"> </w:t>
      </w:r>
      <w:r>
        <w:t>with</w:t>
      </w:r>
      <w:r w:rsidR="00A03629">
        <w:t xml:space="preserve"> </w:t>
      </w:r>
      <w:r>
        <w:t>an</w:t>
      </w:r>
      <w:r w:rsidR="00A03629">
        <w:t xml:space="preserve"> </w:t>
      </w:r>
      <w:r>
        <w:t>asset</w:t>
      </w:r>
      <w:r w:rsidR="00A03629">
        <w:t xml:space="preserve"> </w:t>
      </w:r>
      <w:r>
        <w:t>to</w:t>
      </w:r>
      <w:r w:rsidR="00A03629">
        <w:t xml:space="preserve"> </w:t>
      </w:r>
      <w:r>
        <w:t>the</w:t>
      </w:r>
      <w:r w:rsidR="00A03629">
        <w:t xml:space="preserve"> </w:t>
      </w:r>
      <w:r>
        <w:t>extent</w:t>
      </w:r>
      <w:r w:rsidR="00A03629">
        <w:t xml:space="preserve"> </w:t>
      </w:r>
      <w:r>
        <w:t>that</w:t>
      </w:r>
      <w:r w:rsidR="00A03629">
        <w:t xml:space="preserve"> </w:t>
      </w:r>
      <w:r>
        <w:t>is</w:t>
      </w:r>
      <w:r w:rsidR="00A03629">
        <w:t xml:space="preserve"> </w:t>
      </w:r>
      <w:r>
        <w:t>also</w:t>
      </w:r>
      <w:r w:rsidR="00A03629">
        <w:t xml:space="preserve"> </w:t>
      </w:r>
      <w:r>
        <w:t>equally</w:t>
      </w:r>
      <w:r w:rsidR="00A03629">
        <w:t xml:space="preserve"> </w:t>
      </w:r>
      <w:r>
        <w:t>applicable</w:t>
      </w:r>
      <w:r w:rsidR="00A03629">
        <w:t xml:space="preserve"> </w:t>
      </w:r>
      <w:r>
        <w:t>to</w:t>
      </w:r>
      <w:r w:rsidR="00A03629">
        <w:t xml:space="preserve"> </w:t>
      </w:r>
      <w:r>
        <w:t>market</w:t>
      </w:r>
      <w:r w:rsidR="00A03629">
        <w:t xml:space="preserve"> </w:t>
      </w:r>
      <w:r>
        <w:t>participants.</w:t>
      </w:r>
      <w:r w:rsidR="00A03629">
        <w:t xml:space="preserve"> </w:t>
      </w:r>
    </w:p>
    <w:p w14:paraId="5CA9B6F4" w14:textId="4899887E" w:rsidR="000756EB" w:rsidRDefault="004A4D88" w:rsidP="00015F07">
      <w:r>
        <w:t>For</w:t>
      </w:r>
      <w:r w:rsidR="00A03629">
        <w:t xml:space="preserve"> </w:t>
      </w:r>
      <w:r>
        <w:t>the</w:t>
      </w:r>
      <w:r w:rsidR="00A03629">
        <w:t xml:space="preserve"> </w:t>
      </w:r>
      <w:r>
        <w:t>majority</w:t>
      </w:r>
      <w:r w:rsidR="00A03629">
        <w:t xml:space="preserve"> </w:t>
      </w:r>
      <w:r>
        <w:t>of</w:t>
      </w:r>
      <w:r w:rsidR="00A03629">
        <w:t xml:space="preserve"> </w:t>
      </w:r>
      <w:r>
        <w:t>DJSIR’s</w:t>
      </w:r>
      <w:r w:rsidR="00A03629">
        <w:t xml:space="preserve"> </w:t>
      </w:r>
      <w:r>
        <w:t>specialised</w:t>
      </w:r>
      <w:r w:rsidR="00A03629">
        <w:t xml:space="preserve"> </w:t>
      </w:r>
      <w:r>
        <w:t>buildings,</w:t>
      </w:r>
      <w:r w:rsidR="00A03629">
        <w:t xml:space="preserve"> </w:t>
      </w:r>
      <w:r>
        <w:t>the</w:t>
      </w:r>
      <w:r w:rsidR="00A03629">
        <w:rPr>
          <w:rFonts w:ascii="Cambria" w:hAnsi="Cambria" w:cs="Cambria"/>
        </w:rPr>
        <w:t xml:space="preserve"> </w:t>
      </w:r>
      <w:r>
        <w:t>current</w:t>
      </w:r>
      <w:r w:rsidR="00A03629">
        <w:t xml:space="preserve"> </w:t>
      </w:r>
      <w:r>
        <w:t>replacement</w:t>
      </w:r>
      <w:r w:rsidR="00A03629">
        <w:t xml:space="preserve"> </w:t>
      </w:r>
      <w:r>
        <w:t>cost</w:t>
      </w:r>
      <w:r w:rsidR="00A03629">
        <w:t xml:space="preserve"> </w:t>
      </w:r>
      <w:r>
        <w:t>method</w:t>
      </w:r>
      <w:r w:rsidR="00A03629">
        <w:t xml:space="preserve"> </w:t>
      </w:r>
      <w:r>
        <w:t>is</w:t>
      </w:r>
      <w:r w:rsidR="00A03629">
        <w:t xml:space="preserve"> </w:t>
      </w:r>
      <w:r>
        <w:t>used,</w:t>
      </w:r>
      <w:r w:rsidR="00A03629">
        <w:t xml:space="preserve"> </w:t>
      </w:r>
      <w:r>
        <w:t>adjusting</w:t>
      </w:r>
      <w:r w:rsidR="00A03629">
        <w:t xml:space="preserve"> </w:t>
      </w:r>
      <w:r>
        <w:t>for</w:t>
      </w:r>
      <w:r w:rsidR="00A03629">
        <w:t xml:space="preserve"> </w:t>
      </w:r>
      <w:r>
        <w:t>the</w:t>
      </w:r>
      <w:r w:rsidR="00A03629">
        <w:t xml:space="preserve"> </w:t>
      </w:r>
      <w:r>
        <w:t>associated</w:t>
      </w:r>
      <w:r w:rsidR="00A03629">
        <w:t xml:space="preserve"> </w:t>
      </w:r>
      <w:r>
        <w:t>depreciation.</w:t>
      </w:r>
      <w:r w:rsidR="00A03629">
        <w:t xml:space="preserve"> </w:t>
      </w:r>
    </w:p>
    <w:p w14:paraId="75DCA001" w14:textId="6073BEAB" w:rsidR="000756EB" w:rsidRDefault="004A4D88" w:rsidP="00015F07">
      <w:r w:rsidRPr="00015F07">
        <w:rPr>
          <w:b/>
          <w:bCs/>
        </w:rPr>
        <w:t>Vehicles</w:t>
      </w:r>
      <w:r w:rsidR="00A03629">
        <w:t xml:space="preserve"> </w:t>
      </w:r>
      <w:r>
        <w:t>are</w:t>
      </w:r>
      <w:r w:rsidR="00A03629">
        <w:t xml:space="preserve"> </w:t>
      </w:r>
      <w:r>
        <w:t>valued</w:t>
      </w:r>
      <w:r w:rsidR="00A03629">
        <w:t xml:space="preserve"> </w:t>
      </w:r>
      <w:r>
        <w:t>using</w:t>
      </w:r>
      <w:r w:rsidR="00A03629">
        <w:t xml:space="preserve"> </w:t>
      </w:r>
      <w:r>
        <w:t>the</w:t>
      </w:r>
      <w:r w:rsidR="00A03629">
        <w:t xml:space="preserve"> </w:t>
      </w:r>
      <w:r>
        <w:t>current</w:t>
      </w:r>
      <w:r w:rsidR="00A03629">
        <w:t xml:space="preserve"> </w:t>
      </w:r>
      <w:r>
        <w:t>replacement</w:t>
      </w:r>
      <w:r w:rsidR="00A03629">
        <w:t xml:space="preserve"> </w:t>
      </w:r>
      <w:r>
        <w:t>cost</w:t>
      </w:r>
      <w:r w:rsidR="00A03629">
        <w:t xml:space="preserve"> </w:t>
      </w:r>
      <w:r>
        <w:t>method.</w:t>
      </w:r>
      <w:r w:rsidR="00A03629">
        <w:t xml:space="preserve"> </w:t>
      </w:r>
      <w:r>
        <w:t>DJSIR</w:t>
      </w:r>
      <w:r w:rsidR="00A03629">
        <w:t xml:space="preserve"> </w:t>
      </w:r>
      <w:r>
        <w:t>acquires</w:t>
      </w:r>
      <w:r w:rsidR="00A03629">
        <w:t xml:space="preserve"> </w:t>
      </w:r>
      <w:r>
        <w:t>new</w:t>
      </w:r>
      <w:r w:rsidR="00A03629">
        <w:t xml:space="preserve"> </w:t>
      </w:r>
      <w:r>
        <w:t>vehicles</w:t>
      </w:r>
      <w:r w:rsidR="00A03629">
        <w:t xml:space="preserve"> </w:t>
      </w:r>
      <w:r>
        <w:t>and</w:t>
      </w:r>
      <w:r w:rsidR="00A03629">
        <w:t xml:space="preserve"> </w:t>
      </w:r>
      <w:r>
        <w:t>at</w:t>
      </w:r>
      <w:r w:rsidR="00A03629">
        <w:t xml:space="preserve"> </w:t>
      </w:r>
      <w:r>
        <w:t>times</w:t>
      </w:r>
      <w:r w:rsidR="00A03629">
        <w:t xml:space="preserve"> </w:t>
      </w:r>
      <w:r>
        <w:t>disposes</w:t>
      </w:r>
      <w:r w:rsidR="00A03629">
        <w:t xml:space="preserve"> </w:t>
      </w:r>
      <w:r>
        <w:t>of</w:t>
      </w:r>
      <w:r w:rsidR="00A03629">
        <w:t xml:space="preserve"> </w:t>
      </w:r>
      <w:r>
        <w:t>them</w:t>
      </w:r>
      <w:r w:rsidR="00A03629">
        <w:t xml:space="preserve"> </w:t>
      </w:r>
      <w:r>
        <w:t>before</w:t>
      </w:r>
      <w:r w:rsidR="00A03629">
        <w:t xml:space="preserve"> </w:t>
      </w:r>
      <w:r>
        <w:t>the</w:t>
      </w:r>
      <w:r w:rsidR="00A03629">
        <w:t xml:space="preserve"> </w:t>
      </w:r>
      <w:r>
        <w:t>end</w:t>
      </w:r>
      <w:r w:rsidR="00A03629">
        <w:t xml:space="preserve"> </w:t>
      </w:r>
      <w:r>
        <w:t>of</w:t>
      </w:r>
      <w:r w:rsidR="00A03629">
        <w:t xml:space="preserve"> </w:t>
      </w:r>
      <w:r>
        <w:t>their</w:t>
      </w:r>
      <w:r w:rsidR="00A03629">
        <w:t xml:space="preserve"> </w:t>
      </w:r>
      <w:r>
        <w:t>economic</w:t>
      </w:r>
      <w:r w:rsidR="00A03629">
        <w:t xml:space="preserve"> </w:t>
      </w:r>
      <w:r>
        <w:t>life.</w:t>
      </w:r>
      <w:r w:rsidR="00A03629">
        <w:t xml:space="preserve"> </w:t>
      </w:r>
      <w:r>
        <w:t>The</w:t>
      </w:r>
      <w:r w:rsidR="00A03629">
        <w:t xml:space="preserve"> </w:t>
      </w:r>
      <w:r>
        <w:t>process</w:t>
      </w:r>
      <w:r w:rsidR="00A03629">
        <w:t xml:space="preserve"> </w:t>
      </w:r>
      <w:r>
        <w:t>of</w:t>
      </w:r>
      <w:r w:rsidR="00A03629">
        <w:t xml:space="preserve"> </w:t>
      </w:r>
      <w:r>
        <w:t>acquisition,</w:t>
      </w:r>
      <w:r w:rsidR="00A03629">
        <w:t xml:space="preserve"> </w:t>
      </w:r>
      <w:r>
        <w:t>use</w:t>
      </w:r>
      <w:r w:rsidR="00A03629">
        <w:t xml:space="preserve"> </w:t>
      </w:r>
      <w:r>
        <w:t>and</w:t>
      </w:r>
      <w:r w:rsidR="00A03629">
        <w:t xml:space="preserve"> </w:t>
      </w:r>
      <w:r>
        <w:t>disposal</w:t>
      </w:r>
      <w:r w:rsidR="00A03629">
        <w:t xml:space="preserve"> </w:t>
      </w:r>
      <w:r>
        <w:t>in</w:t>
      </w:r>
      <w:r w:rsidR="00A03629">
        <w:t xml:space="preserve"> </w:t>
      </w:r>
      <w:r>
        <w:t>the</w:t>
      </w:r>
      <w:r w:rsidR="00A03629">
        <w:t xml:space="preserve"> </w:t>
      </w:r>
      <w:r>
        <w:t>market</w:t>
      </w:r>
      <w:r w:rsidR="00A03629">
        <w:t xml:space="preserve"> </w:t>
      </w:r>
      <w:r>
        <w:t>is</w:t>
      </w:r>
      <w:r w:rsidR="00A03629">
        <w:t xml:space="preserve"> </w:t>
      </w:r>
      <w:r>
        <w:t>managed</w:t>
      </w:r>
      <w:r w:rsidR="00A03629">
        <w:t xml:space="preserve"> </w:t>
      </w:r>
      <w:r>
        <w:t>by</w:t>
      </w:r>
      <w:r w:rsidR="00A03629">
        <w:t xml:space="preserve"> </w:t>
      </w:r>
      <w:r>
        <w:t>experienced</w:t>
      </w:r>
      <w:r w:rsidR="00A03629">
        <w:t xml:space="preserve"> </w:t>
      </w:r>
      <w:r>
        <w:t>fleet</w:t>
      </w:r>
      <w:r w:rsidR="00A03629">
        <w:t xml:space="preserve"> </w:t>
      </w:r>
      <w:r>
        <w:t>managers</w:t>
      </w:r>
      <w:r w:rsidR="00A03629">
        <w:t xml:space="preserve"> </w:t>
      </w:r>
      <w:r>
        <w:t>in</w:t>
      </w:r>
      <w:r w:rsidR="00A03629">
        <w:t xml:space="preserve"> </w:t>
      </w:r>
      <w:r>
        <w:t>DJSIR</w:t>
      </w:r>
      <w:r w:rsidR="00A03629">
        <w:t xml:space="preserve"> </w:t>
      </w:r>
      <w:r>
        <w:t>who</w:t>
      </w:r>
      <w:r w:rsidR="00A03629">
        <w:t xml:space="preserve"> </w:t>
      </w:r>
      <w:r>
        <w:t>set</w:t>
      </w:r>
      <w:r w:rsidR="00A03629">
        <w:t xml:space="preserve"> </w:t>
      </w:r>
      <w:r>
        <w:t>relevant</w:t>
      </w:r>
      <w:r w:rsidR="00A03629">
        <w:t xml:space="preserve"> </w:t>
      </w:r>
      <w:r>
        <w:t>depreciation</w:t>
      </w:r>
      <w:r w:rsidR="00A03629">
        <w:t xml:space="preserve"> </w:t>
      </w:r>
      <w:r>
        <w:t>rates</w:t>
      </w:r>
      <w:r w:rsidR="00A03629">
        <w:t xml:space="preserve"> </w:t>
      </w:r>
      <w:r>
        <w:t>during</w:t>
      </w:r>
      <w:r w:rsidR="00A03629">
        <w:t xml:space="preserve"> </w:t>
      </w:r>
      <w:r>
        <w:t>use</w:t>
      </w:r>
      <w:r w:rsidR="00A03629">
        <w:t xml:space="preserve"> </w:t>
      </w:r>
      <w:r>
        <w:t>to</w:t>
      </w:r>
      <w:r w:rsidR="00A03629">
        <w:t xml:space="preserve"> </w:t>
      </w:r>
      <w:r>
        <w:t>reflect</w:t>
      </w:r>
      <w:r w:rsidR="00A03629">
        <w:t xml:space="preserve"> </w:t>
      </w:r>
      <w:r>
        <w:t>the</w:t>
      </w:r>
      <w:r w:rsidR="00A03629">
        <w:rPr>
          <w:rFonts w:ascii="Cambria" w:hAnsi="Cambria" w:cs="Cambria"/>
        </w:rPr>
        <w:t xml:space="preserve"> </w:t>
      </w:r>
      <w:r>
        <w:t>utilisation</w:t>
      </w:r>
      <w:r w:rsidR="00A03629">
        <w:t xml:space="preserve"> </w:t>
      </w:r>
      <w:r>
        <w:t>of</w:t>
      </w:r>
      <w:r w:rsidR="00A03629">
        <w:t xml:space="preserve"> </w:t>
      </w:r>
      <w:r>
        <w:t>the</w:t>
      </w:r>
      <w:r w:rsidR="00A03629">
        <w:t xml:space="preserve"> </w:t>
      </w:r>
      <w:r>
        <w:t>vehicles.</w:t>
      </w:r>
    </w:p>
    <w:p w14:paraId="2BF33FC0" w14:textId="512720A1" w:rsidR="000756EB" w:rsidRDefault="004A4D88" w:rsidP="00015F07">
      <w:r>
        <w:t>Fair</w:t>
      </w:r>
      <w:r w:rsidR="00A03629">
        <w:t xml:space="preserve"> </w:t>
      </w:r>
      <w:r>
        <w:t>value</w:t>
      </w:r>
      <w:r w:rsidR="00A03629">
        <w:t xml:space="preserve"> </w:t>
      </w:r>
      <w:r>
        <w:t>for</w:t>
      </w:r>
      <w:r w:rsidR="00A03629">
        <w:t xml:space="preserve"> </w:t>
      </w:r>
      <w:r w:rsidRPr="00015F07">
        <w:rPr>
          <w:b/>
          <w:bCs/>
        </w:rPr>
        <w:t>plant</w:t>
      </w:r>
      <w:r w:rsidR="00A03629" w:rsidRPr="00015F07">
        <w:rPr>
          <w:b/>
          <w:bCs/>
        </w:rPr>
        <w:t xml:space="preserve"> </w:t>
      </w:r>
      <w:r w:rsidRPr="00015F07">
        <w:rPr>
          <w:b/>
          <w:bCs/>
        </w:rPr>
        <w:t>and</w:t>
      </w:r>
      <w:r w:rsidR="00A03629" w:rsidRPr="00015F07">
        <w:rPr>
          <w:b/>
          <w:bCs/>
        </w:rPr>
        <w:t xml:space="preserve"> </w:t>
      </w:r>
      <w:r w:rsidRPr="00015F07">
        <w:rPr>
          <w:b/>
          <w:bCs/>
        </w:rPr>
        <w:t>equipment</w:t>
      </w:r>
      <w:r w:rsidR="00A03629">
        <w:t xml:space="preserve"> </w:t>
      </w:r>
      <w:r>
        <w:t>that</w:t>
      </w:r>
      <w:r w:rsidR="00A03629">
        <w:t xml:space="preserve"> </w:t>
      </w:r>
      <w:r>
        <w:t>are</w:t>
      </w:r>
      <w:r w:rsidR="00A03629">
        <w:t xml:space="preserve"> </w:t>
      </w:r>
      <w:r>
        <w:t>specialised</w:t>
      </w:r>
      <w:r w:rsidR="00A03629">
        <w:t xml:space="preserve"> </w:t>
      </w:r>
      <w:r>
        <w:t>in</w:t>
      </w:r>
      <w:r w:rsidR="00A03629">
        <w:t xml:space="preserve"> </w:t>
      </w:r>
      <w:r>
        <w:t>use</w:t>
      </w:r>
      <w:r w:rsidR="00A03629">
        <w:t xml:space="preserve"> </w:t>
      </w:r>
      <w:r>
        <w:t>(such</w:t>
      </w:r>
      <w:r w:rsidR="00A03629">
        <w:t xml:space="preserve"> </w:t>
      </w:r>
      <w:r>
        <w:t>that</w:t>
      </w:r>
      <w:r w:rsidR="00A03629">
        <w:t xml:space="preserve"> </w:t>
      </w:r>
      <w:r>
        <w:t>it</w:t>
      </w:r>
      <w:r w:rsidR="00A03629">
        <w:t xml:space="preserve"> </w:t>
      </w:r>
      <w:r>
        <w:t>is</w:t>
      </w:r>
      <w:r w:rsidR="00A03629">
        <w:t xml:space="preserve"> </w:t>
      </w:r>
      <w:r>
        <w:t>rarely</w:t>
      </w:r>
      <w:r w:rsidR="00A03629">
        <w:t xml:space="preserve"> </w:t>
      </w:r>
      <w:r>
        <w:t>sold</w:t>
      </w:r>
      <w:r w:rsidR="00A03629">
        <w:t xml:space="preserve"> </w:t>
      </w:r>
      <w:r>
        <w:t>other</w:t>
      </w:r>
      <w:r w:rsidR="00A03629">
        <w:t xml:space="preserve"> </w:t>
      </w:r>
      <w:r>
        <w:t>than</w:t>
      </w:r>
      <w:r w:rsidR="00A03629">
        <w:t xml:space="preserve"> </w:t>
      </w:r>
      <w:r>
        <w:t>as</w:t>
      </w:r>
      <w:r w:rsidR="00A03629">
        <w:t xml:space="preserve"> </w:t>
      </w:r>
      <w:r>
        <w:t>part</w:t>
      </w:r>
      <w:r w:rsidR="00A03629">
        <w:t xml:space="preserve"> </w:t>
      </w:r>
      <w:r>
        <w:t>of</w:t>
      </w:r>
      <w:r w:rsidR="00A03629">
        <w:t xml:space="preserve"> </w:t>
      </w:r>
      <w:r>
        <w:t>a</w:t>
      </w:r>
      <w:r w:rsidR="00A03629">
        <w:t xml:space="preserve"> </w:t>
      </w:r>
      <w:r>
        <w:t>going</w:t>
      </w:r>
      <w:r w:rsidR="00A03629">
        <w:t xml:space="preserve"> </w:t>
      </w:r>
      <w:r>
        <w:t>concern)</w:t>
      </w:r>
      <w:r w:rsidR="00A03629">
        <w:t xml:space="preserve"> </w:t>
      </w:r>
      <w:r>
        <w:t>is</w:t>
      </w:r>
      <w:r w:rsidR="00A03629">
        <w:t xml:space="preserve"> </w:t>
      </w:r>
      <w:r>
        <w:t>determined</w:t>
      </w:r>
      <w:r w:rsidR="00A03629">
        <w:t xml:space="preserve"> </w:t>
      </w:r>
      <w:r>
        <w:t>using</w:t>
      </w:r>
      <w:r w:rsidR="00A03629">
        <w:rPr>
          <w:rFonts w:ascii="Cambria" w:hAnsi="Cambria" w:cs="Cambria"/>
        </w:rPr>
        <w:t xml:space="preserve"> </w:t>
      </w:r>
      <w:r>
        <w:t>the</w:t>
      </w:r>
      <w:r w:rsidR="00A03629">
        <w:t xml:space="preserve"> </w:t>
      </w:r>
      <w:r>
        <w:t>current</w:t>
      </w:r>
      <w:r w:rsidR="00A03629">
        <w:t xml:space="preserve"> </w:t>
      </w:r>
      <w:r>
        <w:t>replacement</w:t>
      </w:r>
      <w:r w:rsidR="00A03629">
        <w:t xml:space="preserve"> </w:t>
      </w:r>
      <w:r>
        <w:t>cost</w:t>
      </w:r>
      <w:r w:rsidR="00A03629">
        <w:t xml:space="preserve"> </w:t>
      </w:r>
      <w:r>
        <w:t>method.</w:t>
      </w:r>
    </w:p>
    <w:p w14:paraId="2DE1661E" w14:textId="54695F00" w:rsidR="000756EB" w:rsidRDefault="004A4D88" w:rsidP="00015F07">
      <w:r>
        <w:t>Refer</w:t>
      </w:r>
      <w:r w:rsidR="00A03629">
        <w:t xml:space="preserve"> </w:t>
      </w:r>
      <w:r>
        <w:t>to</w:t>
      </w:r>
      <w:r w:rsidR="00A03629">
        <w:t xml:space="preserve"> </w:t>
      </w:r>
      <w:r>
        <w:t>Note</w:t>
      </w:r>
      <w:r w:rsidR="00A03629">
        <w:t xml:space="preserve"> </w:t>
      </w:r>
      <w:r>
        <w:t>8.3</w:t>
      </w:r>
      <w:r w:rsidR="00A03629">
        <w:t xml:space="preserve"> </w:t>
      </w:r>
      <w:r>
        <w:t>Fair</w:t>
      </w:r>
      <w:r w:rsidR="00A03629">
        <w:t xml:space="preserve"> </w:t>
      </w:r>
      <w:r>
        <w:t>value</w:t>
      </w:r>
      <w:r w:rsidR="00A03629">
        <w:t xml:space="preserve"> </w:t>
      </w:r>
      <w:r>
        <w:t>determination,</w:t>
      </w:r>
      <w:r w:rsidR="00A03629">
        <w:t xml:space="preserve"> </w:t>
      </w:r>
      <w:r>
        <w:t>for</w:t>
      </w:r>
      <w:r w:rsidR="00A03629">
        <w:t xml:space="preserve"> </w:t>
      </w:r>
      <w:r>
        <w:t>additional</w:t>
      </w:r>
      <w:r w:rsidR="00A03629">
        <w:t xml:space="preserve"> </w:t>
      </w:r>
      <w:r>
        <w:t>information</w:t>
      </w:r>
      <w:r w:rsidR="00A03629">
        <w:t xml:space="preserve"> </w:t>
      </w:r>
      <w:r>
        <w:t>on</w:t>
      </w:r>
      <w:r w:rsidR="00A03629">
        <w:t xml:space="preserve"> </w:t>
      </w:r>
      <w:r>
        <w:t>fair</w:t>
      </w:r>
      <w:r w:rsidR="00A03629">
        <w:t xml:space="preserve"> </w:t>
      </w:r>
      <w:r>
        <w:t>value</w:t>
      </w:r>
      <w:r w:rsidR="00A03629">
        <w:t xml:space="preserve"> </w:t>
      </w:r>
      <w:r>
        <w:t>determination</w:t>
      </w:r>
      <w:r w:rsidR="00A03629">
        <w:t xml:space="preserve"> </w:t>
      </w:r>
      <w:r>
        <w:t>of</w:t>
      </w:r>
      <w:r w:rsidR="00A03629">
        <w:rPr>
          <w:rFonts w:ascii="Cambria" w:hAnsi="Cambria" w:cs="Cambria"/>
        </w:rPr>
        <w:t xml:space="preserve"> </w:t>
      </w:r>
      <w:r>
        <w:t>property,</w:t>
      </w:r>
      <w:r w:rsidR="00A03629">
        <w:t xml:space="preserve"> </w:t>
      </w:r>
      <w:proofErr w:type="gramStart"/>
      <w:r>
        <w:t>plant</w:t>
      </w:r>
      <w:proofErr w:type="gramEnd"/>
      <w:r w:rsidR="00A03629">
        <w:t xml:space="preserve"> </w:t>
      </w:r>
      <w:r>
        <w:t>and</w:t>
      </w:r>
      <w:r w:rsidR="00A03629">
        <w:t xml:space="preserve"> </w:t>
      </w:r>
      <w:r>
        <w:t>equipment.</w:t>
      </w:r>
      <w:r w:rsidR="00A03629">
        <w:t xml:space="preserve"> </w:t>
      </w:r>
    </w:p>
    <w:p w14:paraId="3B175DAC" w14:textId="1DC90E4F" w:rsidR="000756EB" w:rsidRPr="00015F07" w:rsidRDefault="004A4D88" w:rsidP="00015F07">
      <w:pPr>
        <w:pStyle w:val="Normalbeforebullets"/>
        <w:rPr>
          <w:b/>
          <w:bCs/>
        </w:rPr>
      </w:pPr>
      <w:r w:rsidRPr="00015F07">
        <w:rPr>
          <w:b/>
          <w:bCs/>
        </w:rPr>
        <w:t>Revaluations</w:t>
      </w:r>
      <w:r w:rsidR="00A03629" w:rsidRPr="00015F07">
        <w:rPr>
          <w:b/>
          <w:bCs/>
        </w:rPr>
        <w:t xml:space="preserve"> </w:t>
      </w:r>
      <w:r w:rsidRPr="00015F07">
        <w:rPr>
          <w:b/>
          <w:bCs/>
        </w:rPr>
        <w:t>of</w:t>
      </w:r>
      <w:r w:rsidR="00A03629" w:rsidRPr="00015F07">
        <w:rPr>
          <w:b/>
          <w:bCs/>
        </w:rPr>
        <w:t xml:space="preserve"> </w:t>
      </w:r>
      <w:r w:rsidRPr="00015F07">
        <w:rPr>
          <w:b/>
          <w:bCs/>
        </w:rPr>
        <w:t>Property</w:t>
      </w:r>
      <w:r w:rsidR="00A03629" w:rsidRPr="00015F07">
        <w:rPr>
          <w:b/>
          <w:bCs/>
        </w:rPr>
        <w:t xml:space="preserve"> </w:t>
      </w:r>
      <w:r w:rsidRPr="00015F07">
        <w:rPr>
          <w:b/>
          <w:bCs/>
        </w:rPr>
        <w:t>Plant</w:t>
      </w:r>
      <w:r w:rsidR="00A03629" w:rsidRPr="00015F07">
        <w:rPr>
          <w:b/>
          <w:bCs/>
        </w:rPr>
        <w:t xml:space="preserve"> </w:t>
      </w:r>
      <w:r w:rsidRPr="00015F07">
        <w:rPr>
          <w:b/>
          <w:bCs/>
        </w:rPr>
        <w:t>and</w:t>
      </w:r>
      <w:r w:rsidR="00A03629" w:rsidRPr="00015F07">
        <w:rPr>
          <w:rFonts w:ascii="Cambria" w:hAnsi="Cambria" w:cs="Cambria"/>
          <w:b/>
          <w:bCs/>
        </w:rPr>
        <w:t xml:space="preserve"> </w:t>
      </w:r>
      <w:r w:rsidRPr="00015F07">
        <w:rPr>
          <w:b/>
          <w:bCs/>
        </w:rPr>
        <w:t>Equipment</w:t>
      </w:r>
    </w:p>
    <w:p w14:paraId="0A7161FC" w14:textId="6445FD66" w:rsidR="000756EB" w:rsidRDefault="004A4D88" w:rsidP="00015F07">
      <w:r>
        <w:t>Non-financial</w:t>
      </w:r>
      <w:r w:rsidR="00A03629">
        <w:t xml:space="preserve"> </w:t>
      </w:r>
      <w:r>
        <w:t>physical</w:t>
      </w:r>
      <w:r w:rsidR="00A03629">
        <w:t xml:space="preserve"> </w:t>
      </w:r>
      <w:r>
        <w:t>assets</w:t>
      </w:r>
      <w:r w:rsidR="00A03629">
        <w:t xml:space="preserve"> </w:t>
      </w:r>
      <w:r>
        <w:t>are</w:t>
      </w:r>
      <w:r w:rsidR="00A03629">
        <w:t xml:space="preserve"> </w:t>
      </w:r>
      <w:r>
        <w:t>revalued</w:t>
      </w:r>
      <w:r w:rsidR="00A03629">
        <w:t xml:space="preserve"> </w:t>
      </w:r>
      <w:r>
        <w:t>at</w:t>
      </w:r>
      <w:r w:rsidR="00A03629">
        <w:t xml:space="preserve"> </w:t>
      </w:r>
      <w:r>
        <w:t>fair</w:t>
      </w:r>
      <w:r w:rsidR="00A03629">
        <w:t xml:space="preserve"> </w:t>
      </w:r>
      <w:r>
        <w:t>value</w:t>
      </w:r>
      <w:r w:rsidR="00A03629">
        <w:t xml:space="preserve"> </w:t>
      </w:r>
      <w:r>
        <w:t>every</w:t>
      </w:r>
      <w:r w:rsidR="00A03629">
        <w:t xml:space="preserve"> </w:t>
      </w:r>
      <w:r>
        <w:t>five</w:t>
      </w:r>
      <w:r w:rsidR="00A03629">
        <w:t xml:space="preserve"> </w:t>
      </w:r>
      <w:r>
        <w:t>years</w:t>
      </w:r>
      <w:r w:rsidR="00A03629">
        <w:t xml:space="preserve"> </w:t>
      </w:r>
      <w:r>
        <w:t>in</w:t>
      </w:r>
      <w:r w:rsidR="00A03629">
        <w:t xml:space="preserve"> </w:t>
      </w:r>
      <w:r>
        <w:t>accordance</w:t>
      </w:r>
      <w:r w:rsidR="00A03629">
        <w:t xml:space="preserve"> </w:t>
      </w:r>
      <w:r>
        <w:t>with</w:t>
      </w:r>
      <w:r w:rsidR="00A03629">
        <w:t xml:space="preserve"> </w:t>
      </w:r>
      <w:r>
        <w:t>the</w:t>
      </w:r>
      <w:r w:rsidR="00A03629">
        <w:rPr>
          <w:rFonts w:ascii="Cambria" w:hAnsi="Cambria" w:cs="Cambria"/>
        </w:rPr>
        <w:t xml:space="preserve"> </w:t>
      </w:r>
      <w:r>
        <w:t>Government</w:t>
      </w:r>
      <w:r w:rsidR="00A03629">
        <w:t xml:space="preserve"> </w:t>
      </w:r>
      <w:r>
        <w:t>purpose</w:t>
      </w:r>
      <w:r w:rsidR="00A03629">
        <w:t xml:space="preserve"> </w:t>
      </w:r>
      <w:r>
        <w:t>classifications</w:t>
      </w:r>
      <w:r w:rsidR="00A03629">
        <w:t xml:space="preserve"> </w:t>
      </w:r>
      <w:r>
        <w:t>defined</w:t>
      </w:r>
      <w:r w:rsidR="00A03629">
        <w:t xml:space="preserve"> </w:t>
      </w:r>
      <w:r>
        <w:t>in</w:t>
      </w:r>
      <w:r w:rsidR="00A03629">
        <w:t xml:space="preserve"> </w:t>
      </w:r>
      <w:r>
        <w:t>Financial</w:t>
      </w:r>
      <w:r w:rsidR="00A03629">
        <w:t xml:space="preserve"> </w:t>
      </w:r>
      <w:r>
        <w:t>Reporting</w:t>
      </w:r>
      <w:r w:rsidR="00A03629">
        <w:t xml:space="preserve"> </w:t>
      </w:r>
      <w:r>
        <w:t>Direction</w:t>
      </w:r>
      <w:r w:rsidR="00A03629">
        <w:t xml:space="preserve"> </w:t>
      </w:r>
      <w:r>
        <w:t>103</w:t>
      </w:r>
      <w:r w:rsidR="00A03629">
        <w:t xml:space="preserve"> </w:t>
      </w:r>
      <w:r w:rsidRPr="00015F07">
        <w:rPr>
          <w:i/>
          <w:iCs/>
        </w:rPr>
        <w:t>Non-Financial</w:t>
      </w:r>
      <w:r w:rsidR="00A03629" w:rsidRPr="00015F07">
        <w:rPr>
          <w:i/>
          <w:iCs/>
        </w:rPr>
        <w:t xml:space="preserve"> </w:t>
      </w:r>
      <w:r w:rsidRPr="00015F07">
        <w:rPr>
          <w:i/>
          <w:iCs/>
        </w:rPr>
        <w:t>Physical</w:t>
      </w:r>
      <w:r w:rsidR="00A03629" w:rsidRPr="00015F07">
        <w:rPr>
          <w:i/>
          <w:iCs/>
        </w:rPr>
        <w:t xml:space="preserve"> </w:t>
      </w:r>
      <w:r w:rsidRPr="00015F07">
        <w:rPr>
          <w:i/>
          <w:iCs/>
        </w:rPr>
        <w:t>Assets</w:t>
      </w:r>
      <w:r w:rsidR="00A03629">
        <w:t xml:space="preserve"> </w:t>
      </w:r>
      <w:r>
        <w:t>(FRD</w:t>
      </w:r>
      <w:r w:rsidR="00A03629">
        <w:t xml:space="preserve"> </w:t>
      </w:r>
      <w:r>
        <w:t>103).</w:t>
      </w:r>
    </w:p>
    <w:p w14:paraId="3AC8B380" w14:textId="4257C26C" w:rsidR="000756EB" w:rsidRDefault="004A4D88" w:rsidP="00015F07">
      <w:r>
        <w:lastRenderedPageBreak/>
        <w:t>The</w:t>
      </w:r>
      <w:r w:rsidR="00A03629">
        <w:t xml:space="preserve"> </w:t>
      </w:r>
      <w:r>
        <w:t>Valuer-General</w:t>
      </w:r>
      <w:r w:rsidR="00A03629">
        <w:t xml:space="preserve"> </w:t>
      </w:r>
      <w:r>
        <w:t>Victoria</w:t>
      </w:r>
      <w:r w:rsidR="00A03629">
        <w:t xml:space="preserve"> </w:t>
      </w:r>
      <w:r>
        <w:t>(VGV)</w:t>
      </w:r>
      <w:r w:rsidR="00A03629">
        <w:t xml:space="preserve"> </w:t>
      </w:r>
      <w:r>
        <w:t>is</w:t>
      </w:r>
      <w:r w:rsidR="00A03629">
        <w:t xml:space="preserve"> </w:t>
      </w:r>
      <w:r>
        <w:t>the</w:t>
      </w:r>
      <w:r w:rsidR="00A03629">
        <w:t xml:space="preserve"> </w:t>
      </w:r>
      <w:r>
        <w:t>Government’s</w:t>
      </w:r>
      <w:r w:rsidR="00A03629">
        <w:t xml:space="preserve"> </w:t>
      </w:r>
      <w:r>
        <w:t>independent</w:t>
      </w:r>
      <w:r w:rsidR="00A03629">
        <w:t xml:space="preserve"> </w:t>
      </w:r>
      <w:r>
        <w:t>valuation</w:t>
      </w:r>
      <w:r w:rsidR="00A03629">
        <w:t xml:space="preserve"> </w:t>
      </w:r>
      <w:r>
        <w:t>agency</w:t>
      </w:r>
      <w:r w:rsidR="00A03629">
        <w:t xml:space="preserve"> </w:t>
      </w:r>
      <w:r>
        <w:t>and</w:t>
      </w:r>
      <w:r w:rsidR="00A03629">
        <w:t xml:space="preserve"> </w:t>
      </w:r>
      <w:r>
        <w:t>is</w:t>
      </w:r>
      <w:r w:rsidR="00A03629">
        <w:t xml:space="preserve"> </w:t>
      </w:r>
      <w:r>
        <w:t>used</w:t>
      </w:r>
      <w:r w:rsidR="00A03629">
        <w:t xml:space="preserve"> </w:t>
      </w:r>
      <w:r>
        <w:t>by</w:t>
      </w:r>
      <w:r w:rsidR="00A03629">
        <w:t xml:space="preserve"> </w:t>
      </w:r>
      <w:r>
        <w:t>DJSIR</w:t>
      </w:r>
      <w:r w:rsidR="00A03629">
        <w:t xml:space="preserve"> </w:t>
      </w:r>
      <w:r>
        <w:t>to</w:t>
      </w:r>
      <w:r w:rsidR="00A03629">
        <w:t xml:space="preserve"> </w:t>
      </w:r>
      <w:r>
        <w:t>conduct</w:t>
      </w:r>
      <w:r w:rsidR="00A03629">
        <w:t xml:space="preserve"> </w:t>
      </w:r>
      <w:r>
        <w:t>these</w:t>
      </w:r>
      <w:r w:rsidR="00A03629">
        <w:t xml:space="preserve"> </w:t>
      </w:r>
      <w:r>
        <w:t>scheduled</w:t>
      </w:r>
      <w:r w:rsidR="00A03629">
        <w:t xml:space="preserve"> </w:t>
      </w:r>
      <w:r>
        <w:t>revaluations.</w:t>
      </w:r>
    </w:p>
    <w:p w14:paraId="409AFCC2" w14:textId="343B4D2A" w:rsidR="000756EB" w:rsidRDefault="004A4D88" w:rsidP="00903C7A">
      <w:r>
        <w:t>Revaluations</w:t>
      </w:r>
      <w:r w:rsidR="00A03629">
        <w:t xml:space="preserve"> </w:t>
      </w:r>
      <w:r>
        <w:t>may</w:t>
      </w:r>
      <w:r w:rsidR="00A03629">
        <w:t xml:space="preserve"> </w:t>
      </w:r>
      <w:r>
        <w:t>occur</w:t>
      </w:r>
      <w:r w:rsidR="00A03629">
        <w:t xml:space="preserve"> </w:t>
      </w:r>
      <w:r>
        <w:t>more</w:t>
      </w:r>
      <w:r w:rsidR="00A03629">
        <w:t xml:space="preserve"> </w:t>
      </w:r>
      <w:r>
        <w:t>frequently</w:t>
      </w:r>
      <w:r w:rsidR="00A03629">
        <w:t xml:space="preserve"> </w:t>
      </w:r>
      <w:r>
        <w:t>if</w:t>
      </w:r>
      <w:r w:rsidR="00A03629">
        <w:t xml:space="preserve"> </w:t>
      </w:r>
      <w:r>
        <w:t>fair</w:t>
      </w:r>
      <w:r w:rsidR="00A03629">
        <w:t xml:space="preserve"> </w:t>
      </w:r>
      <w:r>
        <w:t>value</w:t>
      </w:r>
      <w:r w:rsidR="00A03629">
        <w:rPr>
          <w:rFonts w:ascii="Cambria" w:hAnsi="Cambria" w:cs="Cambria"/>
        </w:rPr>
        <w:t xml:space="preserve"> </w:t>
      </w:r>
      <w:r>
        <w:t>assessments</w:t>
      </w:r>
      <w:r w:rsidR="00A03629">
        <w:t xml:space="preserve"> </w:t>
      </w:r>
      <w:r>
        <w:t>indicate</w:t>
      </w:r>
      <w:r w:rsidR="00A03629">
        <w:t xml:space="preserve"> </w:t>
      </w:r>
      <w:r>
        <w:t>material</w:t>
      </w:r>
      <w:r w:rsidR="00A03629">
        <w:t xml:space="preserve"> </w:t>
      </w:r>
      <w:r>
        <w:t>changes</w:t>
      </w:r>
      <w:r w:rsidR="00A03629">
        <w:t xml:space="preserve"> </w:t>
      </w:r>
      <w:r>
        <w:t>in</w:t>
      </w:r>
      <w:r w:rsidR="00A03629">
        <w:t xml:space="preserve"> </w:t>
      </w:r>
      <w:r>
        <w:t>values.</w:t>
      </w:r>
      <w:r w:rsidR="00A03629">
        <w:t xml:space="preserve"> </w:t>
      </w:r>
      <w:r>
        <w:t>In</w:t>
      </w:r>
      <w:r w:rsidR="00A03629">
        <w:rPr>
          <w:rFonts w:ascii="Cambria" w:hAnsi="Cambria" w:cs="Cambria"/>
        </w:rPr>
        <w:t xml:space="preserve"> </w:t>
      </w:r>
      <w:r>
        <w:t>such</w:t>
      </w:r>
      <w:r w:rsidR="00A03629">
        <w:t xml:space="preserve"> </w:t>
      </w:r>
      <w:r>
        <w:t>instances,</w:t>
      </w:r>
      <w:r w:rsidR="00A03629">
        <w:t xml:space="preserve"> </w:t>
      </w:r>
      <w:r>
        <w:t>interim</w:t>
      </w:r>
      <w:r w:rsidR="00A03629">
        <w:t xml:space="preserve"> </w:t>
      </w:r>
      <w:r>
        <w:t>managerial</w:t>
      </w:r>
      <w:r w:rsidR="00A03629">
        <w:t xml:space="preserve"> </w:t>
      </w:r>
      <w:r>
        <w:t>revaluations</w:t>
      </w:r>
      <w:r w:rsidR="00A03629">
        <w:t xml:space="preserve"> </w:t>
      </w:r>
      <w:r>
        <w:t>are</w:t>
      </w:r>
      <w:r w:rsidR="00A03629">
        <w:t xml:space="preserve"> </w:t>
      </w:r>
      <w:r>
        <w:t>undertaken</w:t>
      </w:r>
      <w:r w:rsidR="00A03629">
        <w:t xml:space="preserve"> </w:t>
      </w:r>
      <w:r>
        <w:t>in</w:t>
      </w:r>
      <w:r w:rsidR="00A03629">
        <w:t xml:space="preserve"> </w:t>
      </w:r>
      <w:r>
        <w:t>accordance</w:t>
      </w:r>
      <w:r w:rsidR="00A03629">
        <w:t xml:space="preserve"> </w:t>
      </w:r>
      <w:r>
        <w:t>with</w:t>
      </w:r>
      <w:r w:rsidR="00A03629">
        <w:t xml:space="preserve"> </w:t>
      </w:r>
      <w:r>
        <w:t>the</w:t>
      </w:r>
      <w:r w:rsidR="00A03629">
        <w:rPr>
          <w:rFonts w:ascii="Cambria" w:hAnsi="Cambria" w:cs="Cambria"/>
        </w:rPr>
        <w:t xml:space="preserve"> </w:t>
      </w:r>
      <w:r>
        <w:t>requirements</w:t>
      </w:r>
      <w:r w:rsidR="00A03629">
        <w:t xml:space="preserve"> </w:t>
      </w:r>
      <w:r>
        <w:t>of</w:t>
      </w:r>
      <w:r w:rsidR="00A03629">
        <w:t xml:space="preserve"> </w:t>
      </w:r>
      <w:r>
        <w:t>FRD</w:t>
      </w:r>
      <w:r w:rsidR="00A03629">
        <w:t xml:space="preserve"> </w:t>
      </w:r>
      <w:r>
        <w:t>103.</w:t>
      </w:r>
    </w:p>
    <w:p w14:paraId="14DF6E5A" w14:textId="1C8C9641" w:rsidR="000756EB" w:rsidRDefault="004A4D88" w:rsidP="00903C7A">
      <w:r>
        <w:t>DJSIR</w:t>
      </w:r>
      <w:r w:rsidR="00A03629">
        <w:t xml:space="preserve"> </w:t>
      </w:r>
      <w:r>
        <w:t>in</w:t>
      </w:r>
      <w:r w:rsidR="00A03629">
        <w:t xml:space="preserve"> </w:t>
      </w:r>
      <w:r>
        <w:t>conjunction</w:t>
      </w:r>
      <w:r w:rsidR="00A03629">
        <w:t xml:space="preserve"> </w:t>
      </w:r>
      <w:r>
        <w:t>with</w:t>
      </w:r>
      <w:r w:rsidR="00A03629">
        <w:t xml:space="preserve"> </w:t>
      </w:r>
      <w:r>
        <w:t>VGV,</w:t>
      </w:r>
      <w:r w:rsidR="00A03629">
        <w:t xml:space="preserve"> </w:t>
      </w:r>
      <w:r>
        <w:t>monitors</w:t>
      </w:r>
      <w:r w:rsidR="00A03629">
        <w:t xml:space="preserve"> </w:t>
      </w:r>
      <w:r>
        <w:t>changes</w:t>
      </w:r>
      <w:r w:rsidR="00A03629">
        <w:t xml:space="preserve"> </w:t>
      </w:r>
      <w:r>
        <w:t>in</w:t>
      </w:r>
      <w:r w:rsidR="00A03629">
        <w:rPr>
          <w:rFonts w:ascii="Cambria" w:hAnsi="Cambria" w:cs="Cambria"/>
        </w:rPr>
        <w:t xml:space="preserve"> </w:t>
      </w:r>
      <w:r>
        <w:t>the</w:t>
      </w:r>
      <w:r w:rsidR="00A03629">
        <w:t xml:space="preserve"> </w:t>
      </w:r>
      <w:r>
        <w:t>fair</w:t>
      </w:r>
      <w:r w:rsidR="00A03629">
        <w:t xml:space="preserve"> </w:t>
      </w:r>
      <w:r>
        <w:t>value</w:t>
      </w:r>
      <w:r w:rsidR="00A03629">
        <w:t xml:space="preserve"> </w:t>
      </w:r>
      <w:r>
        <w:t>of</w:t>
      </w:r>
      <w:r w:rsidR="00A03629">
        <w:t xml:space="preserve"> </w:t>
      </w:r>
      <w:r>
        <w:t>each</w:t>
      </w:r>
      <w:r w:rsidR="00A03629">
        <w:t xml:space="preserve"> </w:t>
      </w:r>
      <w:r>
        <w:t>asset</w:t>
      </w:r>
      <w:r w:rsidR="00A03629">
        <w:t xml:space="preserve"> </w:t>
      </w:r>
      <w:r>
        <w:t>class</w:t>
      </w:r>
      <w:r w:rsidR="00A03629">
        <w:t xml:space="preserve"> </w:t>
      </w:r>
      <w:r>
        <w:t>through</w:t>
      </w:r>
      <w:r w:rsidR="00A03629">
        <w:t xml:space="preserve"> </w:t>
      </w:r>
      <w:r>
        <w:t>relevant</w:t>
      </w:r>
      <w:r w:rsidR="00A03629">
        <w:t xml:space="preserve"> </w:t>
      </w:r>
      <w:r>
        <w:t>data</w:t>
      </w:r>
      <w:r w:rsidR="00A03629">
        <w:t xml:space="preserve"> </w:t>
      </w:r>
      <w:r>
        <w:t>sources,</w:t>
      </w:r>
      <w:r w:rsidR="00A03629">
        <w:t xml:space="preserve"> </w:t>
      </w:r>
      <w:proofErr w:type="gramStart"/>
      <w:r>
        <w:t>in</w:t>
      </w:r>
      <w:r w:rsidR="00A03629">
        <w:t xml:space="preserve"> </w:t>
      </w:r>
      <w:r>
        <w:t>order</w:t>
      </w:r>
      <w:r w:rsidR="00A03629">
        <w:t xml:space="preserve"> </w:t>
      </w:r>
      <w:r>
        <w:t>to</w:t>
      </w:r>
      <w:proofErr w:type="gramEnd"/>
      <w:r w:rsidR="00A03629">
        <w:t xml:space="preserve"> </w:t>
      </w:r>
      <w:r>
        <w:t>determine</w:t>
      </w:r>
      <w:r w:rsidR="00A03629">
        <w:t xml:space="preserve"> </w:t>
      </w:r>
      <w:r>
        <w:t>whether</w:t>
      </w:r>
      <w:r w:rsidR="00A03629">
        <w:t xml:space="preserve"> </w:t>
      </w:r>
      <w:r>
        <w:t>a</w:t>
      </w:r>
      <w:r w:rsidR="00A03629">
        <w:t xml:space="preserve"> </w:t>
      </w:r>
      <w:r>
        <w:t>revaluation</w:t>
      </w:r>
      <w:r w:rsidR="00A03629">
        <w:t xml:space="preserve"> </w:t>
      </w:r>
      <w:r>
        <w:t>is</w:t>
      </w:r>
      <w:r w:rsidR="00A03629">
        <w:t xml:space="preserve"> </w:t>
      </w:r>
      <w:r>
        <w:t>required.</w:t>
      </w:r>
    </w:p>
    <w:p w14:paraId="5A993E4C" w14:textId="7BA48CD6" w:rsidR="000756EB" w:rsidRDefault="004A4D88" w:rsidP="00903C7A">
      <w:r>
        <w:t>DJSIR</w:t>
      </w:r>
      <w:r w:rsidR="00A03629">
        <w:t xml:space="preserve"> </w:t>
      </w:r>
      <w:r>
        <w:t>assets</w:t>
      </w:r>
      <w:r w:rsidR="00A03629">
        <w:t xml:space="preserve"> </w:t>
      </w:r>
      <w:r>
        <w:t>relating</w:t>
      </w:r>
      <w:r w:rsidR="00A03629">
        <w:t xml:space="preserve"> </w:t>
      </w:r>
      <w:r>
        <w:t>to</w:t>
      </w:r>
      <w:r w:rsidR="00A03629">
        <w:t xml:space="preserve"> </w:t>
      </w:r>
      <w:r>
        <w:t>land,</w:t>
      </w:r>
      <w:r w:rsidR="00A03629">
        <w:t xml:space="preserve"> </w:t>
      </w:r>
      <w:r>
        <w:t>buildings</w:t>
      </w:r>
      <w:r w:rsidR="00A03629">
        <w:t xml:space="preserve"> </w:t>
      </w:r>
      <w:r>
        <w:t>and</w:t>
      </w:r>
      <w:r w:rsidR="00A03629">
        <w:t xml:space="preserve"> </w:t>
      </w:r>
      <w:r>
        <w:t>cultural</w:t>
      </w:r>
      <w:r w:rsidR="00A03629">
        <w:t xml:space="preserve"> </w:t>
      </w:r>
      <w:r>
        <w:t>assets</w:t>
      </w:r>
      <w:r w:rsidR="00A03629">
        <w:t xml:space="preserve"> </w:t>
      </w:r>
      <w:r>
        <w:t>were</w:t>
      </w:r>
      <w:r w:rsidR="00A03629">
        <w:t xml:space="preserve"> </w:t>
      </w:r>
      <w:r>
        <w:t>last</w:t>
      </w:r>
      <w:r w:rsidR="00A03629">
        <w:t xml:space="preserve"> </w:t>
      </w:r>
      <w:r>
        <w:t>independently</w:t>
      </w:r>
      <w:r w:rsidR="00A03629">
        <w:t xml:space="preserve"> </w:t>
      </w:r>
      <w:r>
        <w:t>valued</w:t>
      </w:r>
      <w:r w:rsidR="00A03629">
        <w:t xml:space="preserve"> </w:t>
      </w:r>
      <w:r>
        <w:t>by</w:t>
      </w:r>
      <w:r w:rsidR="00A03629">
        <w:t xml:space="preserve"> </w:t>
      </w:r>
      <w:r>
        <w:t>the</w:t>
      </w:r>
      <w:r w:rsidR="00A03629">
        <w:t xml:space="preserve"> </w:t>
      </w:r>
      <w:r>
        <w:t>VGV</w:t>
      </w:r>
      <w:r w:rsidR="00A03629">
        <w:t xml:space="preserve"> </w:t>
      </w:r>
      <w:r>
        <w:t>in</w:t>
      </w:r>
      <w:r w:rsidR="00A03629">
        <w:t xml:space="preserve"> </w:t>
      </w:r>
      <w:r>
        <w:t>the</w:t>
      </w:r>
      <w:r w:rsidR="00A03629">
        <w:t xml:space="preserve"> </w:t>
      </w:r>
      <w:r>
        <w:t>2020–21.</w:t>
      </w:r>
      <w:r w:rsidR="00A03629">
        <w:t xml:space="preserve"> </w:t>
      </w:r>
      <w:r>
        <w:t>The</w:t>
      </w:r>
      <w:r w:rsidR="00A03629">
        <w:t xml:space="preserve"> </w:t>
      </w:r>
      <w:r>
        <w:t>fair</w:t>
      </w:r>
      <w:r w:rsidR="00A03629">
        <w:t xml:space="preserve"> </w:t>
      </w:r>
      <w:r>
        <w:t>value</w:t>
      </w:r>
      <w:r w:rsidR="00A03629">
        <w:t xml:space="preserve"> </w:t>
      </w:r>
      <w:r>
        <w:t>assessment</w:t>
      </w:r>
      <w:r w:rsidR="00A03629">
        <w:t xml:space="preserve"> </w:t>
      </w:r>
      <w:r>
        <w:t>undertaken</w:t>
      </w:r>
      <w:r w:rsidR="00A03629">
        <w:t xml:space="preserve"> </w:t>
      </w:r>
      <w:r>
        <w:t>by</w:t>
      </w:r>
      <w:r w:rsidR="00A03629">
        <w:t xml:space="preserve"> </w:t>
      </w:r>
      <w:r>
        <w:t>DJSIR,</w:t>
      </w:r>
      <w:r w:rsidR="00A03629">
        <w:t xml:space="preserve"> </w:t>
      </w:r>
      <w:r>
        <w:t>indicate</w:t>
      </w:r>
      <w:r w:rsidR="00A03629">
        <w:t xml:space="preserve"> </w:t>
      </w:r>
      <w:r>
        <w:t>no</w:t>
      </w:r>
      <w:r w:rsidR="00A03629">
        <w:t xml:space="preserve"> </w:t>
      </w:r>
      <w:r>
        <w:t>material</w:t>
      </w:r>
      <w:r w:rsidR="00A03629">
        <w:t xml:space="preserve"> </w:t>
      </w:r>
      <w:r>
        <w:t>change</w:t>
      </w:r>
      <w:r w:rsidR="00A03629">
        <w:t xml:space="preserve"> </w:t>
      </w:r>
      <w:r>
        <w:t>in</w:t>
      </w:r>
      <w:r w:rsidR="00A03629">
        <w:t xml:space="preserve"> </w:t>
      </w:r>
      <w:r>
        <w:t>values</w:t>
      </w:r>
      <w:r w:rsidR="00A03629">
        <w:t xml:space="preserve"> </w:t>
      </w:r>
      <w:r>
        <w:t>as</w:t>
      </w:r>
      <w:r w:rsidR="00A03629">
        <w:t xml:space="preserve"> </w:t>
      </w:r>
      <w:proofErr w:type="gramStart"/>
      <w:r>
        <w:t>at</w:t>
      </w:r>
      <w:proofErr w:type="gramEnd"/>
      <w:r w:rsidR="00A03629">
        <w:t xml:space="preserve"> </w:t>
      </w:r>
      <w:r>
        <w:t>30</w:t>
      </w:r>
      <w:r w:rsidR="00A03629">
        <w:t xml:space="preserve"> </w:t>
      </w:r>
      <w:r>
        <w:t>June</w:t>
      </w:r>
      <w:r w:rsidR="00A03629">
        <w:t xml:space="preserve"> </w:t>
      </w:r>
      <w:r>
        <w:t>2023.</w:t>
      </w:r>
      <w:r w:rsidR="00A03629">
        <w:t xml:space="preserve"> </w:t>
      </w:r>
      <w:r>
        <w:t>As</w:t>
      </w:r>
      <w:r w:rsidR="00A03629">
        <w:t xml:space="preserve"> </w:t>
      </w:r>
      <w:proofErr w:type="gramStart"/>
      <w:r>
        <w:t>at</w:t>
      </w:r>
      <w:proofErr w:type="gramEnd"/>
      <w:r w:rsidR="00A03629">
        <w:t xml:space="preserve"> </w:t>
      </w:r>
      <w:r>
        <w:t>30</w:t>
      </w:r>
      <w:r w:rsidR="00A03629">
        <w:t xml:space="preserve"> </w:t>
      </w:r>
      <w:r>
        <w:t>June</w:t>
      </w:r>
      <w:r w:rsidR="00A03629">
        <w:t xml:space="preserve"> </w:t>
      </w:r>
      <w:r>
        <w:t>2023,</w:t>
      </w:r>
      <w:r w:rsidR="00A03629">
        <w:t xml:space="preserve"> </w:t>
      </w:r>
      <w:r>
        <w:t>the</w:t>
      </w:r>
      <w:r w:rsidR="00A03629">
        <w:t xml:space="preserve"> </w:t>
      </w:r>
      <w:r>
        <w:t>assets</w:t>
      </w:r>
      <w:r w:rsidR="00A03629">
        <w:t xml:space="preserve"> </w:t>
      </w:r>
      <w:r>
        <w:t>transferred</w:t>
      </w:r>
      <w:r w:rsidR="00A03629">
        <w:t xml:space="preserve"> </w:t>
      </w:r>
      <w:r>
        <w:t>from</w:t>
      </w:r>
      <w:r w:rsidR="00A03629">
        <w:t xml:space="preserve"> </w:t>
      </w:r>
      <w:r>
        <w:t>the</w:t>
      </w:r>
      <w:r w:rsidR="00A03629">
        <w:t xml:space="preserve"> </w:t>
      </w:r>
      <w:r>
        <w:t>Department</w:t>
      </w:r>
      <w:r w:rsidR="00A03629">
        <w:t xml:space="preserve"> </w:t>
      </w:r>
      <w:r>
        <w:t>of</w:t>
      </w:r>
      <w:r w:rsidR="00A03629">
        <w:t xml:space="preserve"> </w:t>
      </w:r>
      <w:r>
        <w:t>Education</w:t>
      </w:r>
      <w:r w:rsidR="00A03629">
        <w:t xml:space="preserve"> </w:t>
      </w:r>
      <w:r>
        <w:t>were</w:t>
      </w:r>
      <w:r w:rsidR="00A03629">
        <w:t xml:space="preserve"> </w:t>
      </w:r>
      <w:r>
        <w:t>independently</w:t>
      </w:r>
      <w:r w:rsidR="00A03629">
        <w:t xml:space="preserve"> </w:t>
      </w:r>
      <w:r>
        <w:t>revalued</w:t>
      </w:r>
      <w:r w:rsidR="00A03629">
        <w:t xml:space="preserve"> </w:t>
      </w:r>
      <w:r>
        <w:t>by</w:t>
      </w:r>
      <w:r w:rsidR="00A03629">
        <w:t xml:space="preserve"> </w:t>
      </w:r>
      <w:r>
        <w:t>the</w:t>
      </w:r>
      <w:r w:rsidR="00A03629">
        <w:t xml:space="preserve"> </w:t>
      </w:r>
      <w:r>
        <w:t>VGV</w:t>
      </w:r>
      <w:r w:rsidR="00A03629">
        <w:t xml:space="preserve"> </w:t>
      </w:r>
      <w:r>
        <w:t>in</w:t>
      </w:r>
      <w:r w:rsidR="00A03629">
        <w:t xml:space="preserve"> </w:t>
      </w:r>
      <w:r>
        <w:t>accordance</w:t>
      </w:r>
      <w:r w:rsidR="00A03629">
        <w:t xml:space="preserve"> </w:t>
      </w:r>
      <w:r>
        <w:t>with</w:t>
      </w:r>
      <w:r w:rsidR="00A03629">
        <w:t xml:space="preserve"> </w:t>
      </w:r>
      <w:r>
        <w:t>the</w:t>
      </w:r>
      <w:r w:rsidR="00A03629">
        <w:t xml:space="preserve"> </w:t>
      </w:r>
      <w:r>
        <w:t>5</w:t>
      </w:r>
      <w:r w:rsidR="00903C7A">
        <w:noBreakHyphen/>
      </w:r>
      <w:r>
        <w:t>year</w:t>
      </w:r>
      <w:r w:rsidR="00A03629">
        <w:t xml:space="preserve"> </w:t>
      </w:r>
      <w:r>
        <w:t>scheduled</w:t>
      </w:r>
      <w:r w:rsidR="00A03629">
        <w:t xml:space="preserve"> </w:t>
      </w:r>
      <w:r>
        <w:t>revaluation.</w:t>
      </w:r>
    </w:p>
    <w:p w14:paraId="43F7CE03" w14:textId="3BB848D5" w:rsidR="000756EB" w:rsidRPr="00903C7A" w:rsidRDefault="004A4D88" w:rsidP="00903C7A">
      <w:pPr>
        <w:pStyle w:val="Normalbeforebullets"/>
        <w:rPr>
          <w:b/>
          <w:bCs/>
        </w:rPr>
      </w:pPr>
      <w:r w:rsidRPr="00903C7A">
        <w:rPr>
          <w:b/>
          <w:bCs/>
        </w:rPr>
        <w:t>Accounting</w:t>
      </w:r>
      <w:r w:rsidR="00A03629" w:rsidRPr="00903C7A">
        <w:rPr>
          <w:b/>
          <w:bCs/>
        </w:rPr>
        <w:t xml:space="preserve"> </w:t>
      </w:r>
      <w:r w:rsidRPr="00903C7A">
        <w:rPr>
          <w:b/>
          <w:bCs/>
        </w:rPr>
        <w:t>for</w:t>
      </w:r>
      <w:r w:rsidR="00A03629" w:rsidRPr="00903C7A">
        <w:rPr>
          <w:b/>
          <w:bCs/>
        </w:rPr>
        <w:t xml:space="preserve"> </w:t>
      </w:r>
      <w:r w:rsidRPr="00903C7A">
        <w:rPr>
          <w:b/>
          <w:bCs/>
        </w:rPr>
        <w:t>revaluation</w:t>
      </w:r>
      <w:r w:rsidR="00A03629" w:rsidRPr="00903C7A">
        <w:rPr>
          <w:b/>
          <w:bCs/>
        </w:rPr>
        <w:t xml:space="preserve"> </w:t>
      </w:r>
      <w:r w:rsidRPr="00903C7A">
        <w:rPr>
          <w:b/>
          <w:bCs/>
        </w:rPr>
        <w:t>movements</w:t>
      </w:r>
    </w:p>
    <w:p w14:paraId="14A73238" w14:textId="5EF98B3C" w:rsidR="000756EB" w:rsidRDefault="004A4D88" w:rsidP="00903C7A">
      <w:r>
        <w:t>Revaluation</w:t>
      </w:r>
      <w:r w:rsidR="00A03629">
        <w:t xml:space="preserve"> </w:t>
      </w:r>
      <w:r>
        <w:t>increases</w:t>
      </w:r>
      <w:r w:rsidR="00A03629">
        <w:t xml:space="preserve"> </w:t>
      </w:r>
      <w:r>
        <w:t>or</w:t>
      </w:r>
      <w:r w:rsidR="00A03629">
        <w:t xml:space="preserve"> </w:t>
      </w:r>
      <w:r>
        <w:t>decreases</w:t>
      </w:r>
      <w:r w:rsidR="00A03629">
        <w:t xml:space="preserve"> </w:t>
      </w:r>
      <w:r>
        <w:t>arise</w:t>
      </w:r>
      <w:r w:rsidR="00A03629">
        <w:t xml:space="preserve"> </w:t>
      </w:r>
      <w:r>
        <w:t>from</w:t>
      </w:r>
      <w:r w:rsidR="00A03629">
        <w:t xml:space="preserve"> </w:t>
      </w:r>
      <w:r>
        <w:t>differences</w:t>
      </w:r>
      <w:r w:rsidR="00A03629">
        <w:t xml:space="preserve"> </w:t>
      </w:r>
      <w:r>
        <w:t>between</w:t>
      </w:r>
      <w:r w:rsidR="00A03629">
        <w:t xml:space="preserve"> </w:t>
      </w:r>
      <w:r>
        <w:t>an</w:t>
      </w:r>
      <w:r w:rsidR="00A03629">
        <w:t xml:space="preserve"> </w:t>
      </w:r>
      <w:r>
        <w:t>asset’s</w:t>
      </w:r>
      <w:r w:rsidR="00A03629">
        <w:t xml:space="preserve"> </w:t>
      </w:r>
      <w:r>
        <w:t>carrying</w:t>
      </w:r>
      <w:r w:rsidR="00A03629">
        <w:t xml:space="preserve"> </w:t>
      </w:r>
      <w:r>
        <w:t>value</w:t>
      </w:r>
      <w:r w:rsidR="00A03629">
        <w:t xml:space="preserve"> </w:t>
      </w:r>
      <w:r>
        <w:t>and</w:t>
      </w:r>
      <w:r w:rsidR="00A03629">
        <w:rPr>
          <w:rFonts w:ascii="Cambria" w:hAnsi="Cambria" w:cs="Cambria"/>
        </w:rPr>
        <w:t xml:space="preserve"> </w:t>
      </w:r>
      <w:r>
        <w:t>its</w:t>
      </w:r>
      <w:r w:rsidR="00A03629">
        <w:t xml:space="preserve"> </w:t>
      </w:r>
      <w:r>
        <w:t>fair</w:t>
      </w:r>
      <w:r w:rsidR="00A03629">
        <w:t xml:space="preserve"> </w:t>
      </w:r>
      <w:r>
        <w:t>value.</w:t>
      </w:r>
    </w:p>
    <w:p w14:paraId="6D3E3BBF" w14:textId="5647C28B" w:rsidR="000756EB" w:rsidRDefault="004A4D88" w:rsidP="00903C7A">
      <w:r>
        <w:t>Revaluation</w:t>
      </w:r>
      <w:r w:rsidR="00A03629">
        <w:t xml:space="preserve"> </w:t>
      </w:r>
      <w:r>
        <w:t>increases</w:t>
      </w:r>
      <w:r w:rsidR="00A03629">
        <w:t xml:space="preserve"> </w:t>
      </w:r>
      <w:r>
        <w:t>and</w:t>
      </w:r>
      <w:r w:rsidR="00A03629">
        <w:t xml:space="preserve"> </w:t>
      </w:r>
      <w:r>
        <w:t>decreases</w:t>
      </w:r>
      <w:r w:rsidR="00A03629">
        <w:t xml:space="preserve"> </w:t>
      </w:r>
      <w:r>
        <w:t>relating</w:t>
      </w:r>
      <w:r w:rsidR="00A03629">
        <w:t xml:space="preserve"> </w:t>
      </w:r>
      <w:r>
        <w:t>to</w:t>
      </w:r>
      <w:r w:rsidR="00A03629">
        <w:t xml:space="preserve"> </w:t>
      </w:r>
      <w:r>
        <w:t>individual</w:t>
      </w:r>
      <w:r w:rsidR="00A03629">
        <w:t xml:space="preserve"> </w:t>
      </w:r>
      <w:r>
        <w:t>assets</w:t>
      </w:r>
      <w:r w:rsidR="00A03629">
        <w:t xml:space="preserve"> </w:t>
      </w:r>
      <w:r>
        <w:t>in</w:t>
      </w:r>
      <w:r w:rsidR="00A03629">
        <w:t xml:space="preserve"> </w:t>
      </w:r>
      <w:r>
        <w:t>a</w:t>
      </w:r>
      <w:r w:rsidR="00A03629">
        <w:t xml:space="preserve"> </w:t>
      </w:r>
      <w:r>
        <w:t>class</w:t>
      </w:r>
      <w:r w:rsidR="00A03629">
        <w:t xml:space="preserve"> </w:t>
      </w:r>
      <w:r>
        <w:t>of</w:t>
      </w:r>
      <w:r w:rsidR="00A03629">
        <w:t xml:space="preserve"> </w:t>
      </w:r>
      <w:r>
        <w:t>PPE,</w:t>
      </w:r>
      <w:r w:rsidR="00A03629">
        <w:t xml:space="preserve"> </w:t>
      </w:r>
      <w:r>
        <w:t>are</w:t>
      </w:r>
      <w:r w:rsidR="00A03629">
        <w:t xml:space="preserve"> </w:t>
      </w:r>
      <w:r>
        <w:t>offset</w:t>
      </w:r>
      <w:r w:rsidR="00A03629">
        <w:t xml:space="preserve"> </w:t>
      </w:r>
      <w:r>
        <w:t>against</w:t>
      </w:r>
      <w:r w:rsidR="00A03629">
        <w:t xml:space="preserve"> </w:t>
      </w:r>
      <w:r>
        <w:t>other</w:t>
      </w:r>
      <w:r w:rsidR="00A03629">
        <w:t xml:space="preserve"> </w:t>
      </w:r>
      <w:r>
        <w:t>assets</w:t>
      </w:r>
      <w:r w:rsidR="00A03629">
        <w:t xml:space="preserve"> </w:t>
      </w:r>
      <w:r>
        <w:t>in</w:t>
      </w:r>
      <w:r w:rsidR="00A03629">
        <w:t xml:space="preserve"> </w:t>
      </w:r>
      <w:r>
        <w:t>that</w:t>
      </w:r>
      <w:r w:rsidR="00A03629">
        <w:t xml:space="preserve"> </w:t>
      </w:r>
      <w:r>
        <w:t>class</w:t>
      </w:r>
      <w:r w:rsidR="00A03629">
        <w:t xml:space="preserve"> </w:t>
      </w:r>
      <w:r>
        <w:t>but</w:t>
      </w:r>
      <w:r w:rsidR="00A03629">
        <w:t xml:space="preserve"> </w:t>
      </w:r>
      <w:r>
        <w:t>are</w:t>
      </w:r>
      <w:r w:rsidR="00A03629">
        <w:t xml:space="preserve"> </w:t>
      </w:r>
      <w:r>
        <w:t>not</w:t>
      </w:r>
      <w:r w:rsidR="00A03629">
        <w:t xml:space="preserve"> </w:t>
      </w:r>
      <w:r>
        <w:t>offset</w:t>
      </w:r>
      <w:r w:rsidR="00A03629">
        <w:t xml:space="preserve"> </w:t>
      </w:r>
      <w:r>
        <w:t>against</w:t>
      </w:r>
      <w:r w:rsidR="00A03629">
        <w:t xml:space="preserve"> </w:t>
      </w:r>
      <w:r>
        <w:t>assets</w:t>
      </w:r>
      <w:r w:rsidR="00A03629">
        <w:t xml:space="preserve"> </w:t>
      </w:r>
      <w:r>
        <w:t>in</w:t>
      </w:r>
      <w:r w:rsidR="00A03629">
        <w:t xml:space="preserve"> </w:t>
      </w:r>
      <w:r>
        <w:t>different</w:t>
      </w:r>
      <w:r w:rsidR="00A03629">
        <w:t xml:space="preserve"> </w:t>
      </w:r>
      <w:r>
        <w:t>classes.</w:t>
      </w:r>
      <w:r w:rsidR="00A03629">
        <w:t xml:space="preserve"> </w:t>
      </w:r>
      <w:r>
        <w:t>An</w:t>
      </w:r>
      <w:r w:rsidR="00A03629">
        <w:t xml:space="preserve"> </w:t>
      </w:r>
      <w:r>
        <w:t>asset</w:t>
      </w:r>
      <w:r w:rsidR="00A03629">
        <w:t xml:space="preserve"> </w:t>
      </w:r>
      <w:r>
        <w:t>revaluation</w:t>
      </w:r>
      <w:r w:rsidR="00A03629">
        <w:t xml:space="preserve"> </w:t>
      </w:r>
      <w:r>
        <w:t>surplus</w:t>
      </w:r>
      <w:r w:rsidR="00A03629">
        <w:t xml:space="preserve"> </w:t>
      </w:r>
      <w:r>
        <w:t>is</w:t>
      </w:r>
      <w:r w:rsidR="00A03629">
        <w:t xml:space="preserve"> </w:t>
      </w:r>
      <w:r>
        <w:t>not</w:t>
      </w:r>
      <w:r w:rsidR="00A03629">
        <w:t xml:space="preserve"> </w:t>
      </w:r>
      <w:r>
        <w:t>transferred</w:t>
      </w:r>
      <w:r w:rsidR="00A03629">
        <w:t xml:space="preserve"> </w:t>
      </w:r>
      <w:r>
        <w:t>to</w:t>
      </w:r>
      <w:r w:rsidR="00A03629">
        <w:t xml:space="preserve"> </w:t>
      </w:r>
      <w:r>
        <w:t>accumulated</w:t>
      </w:r>
      <w:r w:rsidR="00A03629">
        <w:t xml:space="preserve"> </w:t>
      </w:r>
      <w:r>
        <w:t>funds</w:t>
      </w:r>
      <w:r w:rsidR="00A03629">
        <w:t xml:space="preserve"> </w:t>
      </w:r>
      <w:r>
        <w:t>on</w:t>
      </w:r>
      <w:r w:rsidR="00A03629">
        <w:rPr>
          <w:rFonts w:ascii="Cambria" w:hAnsi="Cambria" w:cs="Cambria"/>
        </w:rPr>
        <w:t xml:space="preserve"> </w:t>
      </w:r>
      <w:r>
        <w:t>the</w:t>
      </w:r>
      <w:r w:rsidR="00A03629">
        <w:t xml:space="preserve"> </w:t>
      </w:r>
      <w:r>
        <w:t>de-recognition</w:t>
      </w:r>
      <w:r w:rsidR="00A03629">
        <w:t xml:space="preserve"> </w:t>
      </w:r>
      <w:r>
        <w:t>of</w:t>
      </w:r>
      <w:r w:rsidR="00A03629">
        <w:t xml:space="preserve"> </w:t>
      </w:r>
      <w:r>
        <w:t>the</w:t>
      </w:r>
      <w:r w:rsidR="00A03629">
        <w:t xml:space="preserve"> </w:t>
      </w:r>
      <w:r>
        <w:t>related</w:t>
      </w:r>
      <w:r w:rsidR="00A03629">
        <w:t xml:space="preserve"> </w:t>
      </w:r>
      <w:r>
        <w:t>asset.</w:t>
      </w:r>
    </w:p>
    <w:p w14:paraId="07871171" w14:textId="45597B9F" w:rsidR="000756EB" w:rsidRDefault="004A4D88" w:rsidP="00903C7A">
      <w:r>
        <w:t>Revaluation</w:t>
      </w:r>
      <w:r w:rsidR="00A03629">
        <w:t xml:space="preserve"> </w:t>
      </w:r>
      <w:r>
        <w:t>increments</w:t>
      </w:r>
      <w:r w:rsidR="00A03629">
        <w:t xml:space="preserve"> </w:t>
      </w:r>
      <w:r>
        <w:t>are</w:t>
      </w:r>
      <w:r w:rsidR="00A03629">
        <w:t xml:space="preserve"> </w:t>
      </w:r>
      <w:r>
        <w:t>credited</w:t>
      </w:r>
      <w:r w:rsidR="00A03629">
        <w:t xml:space="preserve"> </w:t>
      </w:r>
      <w:r>
        <w:t>directly</w:t>
      </w:r>
      <w:r w:rsidR="00A03629">
        <w:t xml:space="preserve"> </w:t>
      </w:r>
      <w:r>
        <w:t>to</w:t>
      </w:r>
      <w:r w:rsidR="00A03629">
        <w:t xml:space="preserve"> </w:t>
      </w:r>
      <w:r>
        <w:t>the</w:t>
      </w:r>
      <w:r w:rsidR="00A03629">
        <w:t xml:space="preserve"> </w:t>
      </w:r>
      <w:r>
        <w:t>asset</w:t>
      </w:r>
      <w:r w:rsidR="00A03629">
        <w:t xml:space="preserve"> </w:t>
      </w:r>
      <w:r>
        <w:t>revaluation</w:t>
      </w:r>
      <w:r w:rsidR="00A03629">
        <w:t xml:space="preserve"> </w:t>
      </w:r>
      <w:r>
        <w:t>reserve,</w:t>
      </w:r>
      <w:r w:rsidR="00A03629">
        <w:t xml:space="preserve"> </w:t>
      </w:r>
      <w:r>
        <w:t>except</w:t>
      </w:r>
      <w:r w:rsidR="00A03629">
        <w:t xml:space="preserve"> </w:t>
      </w:r>
      <w:r>
        <w:t>to</w:t>
      </w:r>
      <w:r w:rsidR="00A03629">
        <w:t xml:space="preserve"> </w:t>
      </w:r>
      <w:r>
        <w:t>the</w:t>
      </w:r>
      <w:r w:rsidR="00A03629">
        <w:t xml:space="preserve"> </w:t>
      </w:r>
      <w:r>
        <w:t>extent</w:t>
      </w:r>
      <w:r w:rsidR="00A03629">
        <w:t xml:space="preserve"> </w:t>
      </w:r>
      <w:r>
        <w:t>that</w:t>
      </w:r>
      <w:r w:rsidR="00A03629">
        <w:t xml:space="preserve"> </w:t>
      </w:r>
      <w:r>
        <w:t>an</w:t>
      </w:r>
      <w:r w:rsidR="00A03629">
        <w:t xml:space="preserve"> </w:t>
      </w:r>
      <w:r>
        <w:t>increment</w:t>
      </w:r>
      <w:r w:rsidR="00A03629">
        <w:t xml:space="preserve"> </w:t>
      </w:r>
      <w:r>
        <w:t>reverses</w:t>
      </w:r>
      <w:r w:rsidR="00A03629">
        <w:t xml:space="preserve"> </w:t>
      </w:r>
      <w:r>
        <w:t>a</w:t>
      </w:r>
      <w:r w:rsidR="00A03629">
        <w:t xml:space="preserve"> </w:t>
      </w:r>
      <w:r>
        <w:t>revaluation</w:t>
      </w:r>
      <w:r w:rsidR="00A03629">
        <w:t xml:space="preserve"> </w:t>
      </w:r>
      <w:r>
        <w:t>decrement</w:t>
      </w:r>
      <w:r w:rsidR="00A03629">
        <w:t xml:space="preserve"> </w:t>
      </w:r>
      <w:r>
        <w:t>in</w:t>
      </w:r>
      <w:r w:rsidR="00A03629">
        <w:t xml:space="preserve"> </w:t>
      </w:r>
      <w:r>
        <w:t>respect</w:t>
      </w:r>
      <w:r w:rsidR="00A03629">
        <w:t xml:space="preserve"> </w:t>
      </w:r>
      <w:r>
        <w:t>of</w:t>
      </w:r>
      <w:r w:rsidR="00A03629">
        <w:t xml:space="preserve"> </w:t>
      </w:r>
      <w:r>
        <w:t>that</w:t>
      </w:r>
      <w:r w:rsidR="00A03629">
        <w:t xml:space="preserve"> </w:t>
      </w:r>
      <w:r>
        <w:t>class</w:t>
      </w:r>
      <w:r w:rsidR="00A03629">
        <w:t xml:space="preserve"> </w:t>
      </w:r>
      <w:r>
        <w:t>of</w:t>
      </w:r>
      <w:r w:rsidR="00A03629">
        <w:t xml:space="preserve"> </w:t>
      </w:r>
      <w:r>
        <w:t>asset</w:t>
      </w:r>
      <w:r w:rsidR="00A03629">
        <w:t xml:space="preserve"> </w:t>
      </w:r>
      <w:r>
        <w:t>previously</w:t>
      </w:r>
      <w:r w:rsidR="00A03629">
        <w:t xml:space="preserve"> </w:t>
      </w:r>
      <w:r>
        <w:t>recognised</w:t>
      </w:r>
      <w:r w:rsidR="00A03629">
        <w:t xml:space="preserve"> </w:t>
      </w:r>
      <w:r>
        <w:t>as</w:t>
      </w:r>
      <w:r w:rsidR="00A03629">
        <w:t xml:space="preserve"> </w:t>
      </w:r>
      <w:r>
        <w:t>an</w:t>
      </w:r>
      <w:r w:rsidR="00A03629">
        <w:t xml:space="preserve"> </w:t>
      </w:r>
      <w:r>
        <w:t>expense,</w:t>
      </w:r>
      <w:r w:rsidR="00A03629">
        <w:t xml:space="preserve"> </w:t>
      </w:r>
      <w:r>
        <w:t>in</w:t>
      </w:r>
      <w:r w:rsidR="00A03629">
        <w:t xml:space="preserve"> </w:t>
      </w:r>
      <w:r>
        <w:t>which</w:t>
      </w:r>
      <w:r w:rsidR="00A03629">
        <w:t xml:space="preserve"> </w:t>
      </w:r>
      <w:r>
        <w:t>case</w:t>
      </w:r>
      <w:r w:rsidR="00A03629">
        <w:t xml:space="preserve"> </w:t>
      </w:r>
      <w:r>
        <w:t>the</w:t>
      </w:r>
      <w:r w:rsidR="00A03629">
        <w:t xml:space="preserve"> </w:t>
      </w:r>
      <w:r>
        <w:t>increment</w:t>
      </w:r>
      <w:r w:rsidR="00A03629">
        <w:t xml:space="preserve"> </w:t>
      </w:r>
      <w:r>
        <w:t>is</w:t>
      </w:r>
      <w:r w:rsidR="00A03629">
        <w:t xml:space="preserve"> </w:t>
      </w:r>
      <w:r>
        <w:t>recognised</w:t>
      </w:r>
      <w:r w:rsidR="00A03629">
        <w:t xml:space="preserve"> </w:t>
      </w:r>
      <w:r>
        <w:t>immediately</w:t>
      </w:r>
      <w:r w:rsidR="00A03629">
        <w:t xml:space="preserve"> </w:t>
      </w:r>
      <w:r>
        <w:t>as</w:t>
      </w:r>
      <w:r w:rsidR="00A03629">
        <w:t xml:space="preserve"> </w:t>
      </w:r>
      <w:r>
        <w:t>revenue.</w:t>
      </w:r>
    </w:p>
    <w:p w14:paraId="63B4C3B0" w14:textId="20D58B83" w:rsidR="000756EB" w:rsidRDefault="004A4D88" w:rsidP="00903C7A">
      <w:r>
        <w:t>Revaluation</w:t>
      </w:r>
      <w:r w:rsidR="00A03629">
        <w:t xml:space="preserve"> </w:t>
      </w:r>
      <w:r>
        <w:t>decrements</w:t>
      </w:r>
      <w:r w:rsidR="00A03629">
        <w:t xml:space="preserve"> </w:t>
      </w:r>
      <w:r>
        <w:t>are</w:t>
      </w:r>
      <w:r w:rsidR="00A03629">
        <w:t xml:space="preserve"> </w:t>
      </w:r>
      <w:r>
        <w:t>recognised</w:t>
      </w:r>
      <w:r w:rsidR="00A03629">
        <w:t xml:space="preserve"> </w:t>
      </w:r>
      <w:r>
        <w:t>immediately</w:t>
      </w:r>
      <w:r w:rsidR="00A03629">
        <w:t xml:space="preserve"> </w:t>
      </w:r>
      <w:r>
        <w:t>as</w:t>
      </w:r>
      <w:r w:rsidR="00A03629">
        <w:t xml:space="preserve"> </w:t>
      </w:r>
      <w:r>
        <w:t>an</w:t>
      </w:r>
      <w:r w:rsidR="00A03629">
        <w:t xml:space="preserve"> </w:t>
      </w:r>
      <w:r>
        <w:t>expense,</w:t>
      </w:r>
      <w:r w:rsidR="00A03629">
        <w:t xml:space="preserve"> </w:t>
      </w:r>
      <w:r>
        <w:t>except</w:t>
      </w:r>
      <w:r w:rsidR="00A03629">
        <w:t xml:space="preserve"> </w:t>
      </w:r>
      <w:r>
        <w:t>to</w:t>
      </w:r>
      <w:r w:rsidR="00A03629">
        <w:t xml:space="preserve"> </w:t>
      </w:r>
      <w:r>
        <w:t>the</w:t>
      </w:r>
      <w:r w:rsidR="00A03629">
        <w:t xml:space="preserve"> </w:t>
      </w:r>
      <w:r>
        <w:t>extent</w:t>
      </w:r>
      <w:r w:rsidR="00A03629">
        <w:t xml:space="preserve"> </w:t>
      </w:r>
      <w:r>
        <w:t>that</w:t>
      </w:r>
      <w:r w:rsidR="00A03629">
        <w:t xml:space="preserve"> </w:t>
      </w:r>
      <w:r>
        <w:t>a</w:t>
      </w:r>
      <w:r w:rsidR="00A03629">
        <w:t xml:space="preserve"> </w:t>
      </w:r>
      <w:r>
        <w:t>credit</w:t>
      </w:r>
      <w:r w:rsidR="00A03629">
        <w:t xml:space="preserve"> </w:t>
      </w:r>
      <w:r>
        <w:t>balance</w:t>
      </w:r>
      <w:r w:rsidR="00A03629">
        <w:t xml:space="preserve"> </w:t>
      </w:r>
      <w:r>
        <w:t>exists</w:t>
      </w:r>
      <w:r w:rsidR="00A03629">
        <w:t xml:space="preserve"> </w:t>
      </w:r>
      <w:r>
        <w:t>in</w:t>
      </w:r>
      <w:r w:rsidR="00A03629">
        <w:t xml:space="preserve"> </w:t>
      </w:r>
      <w:r>
        <w:t>the</w:t>
      </w:r>
      <w:r w:rsidR="00A03629">
        <w:t xml:space="preserve"> </w:t>
      </w:r>
      <w:r>
        <w:t>asset</w:t>
      </w:r>
      <w:r w:rsidR="00A03629">
        <w:t xml:space="preserve"> </w:t>
      </w:r>
      <w:r>
        <w:t>revaluation</w:t>
      </w:r>
      <w:r w:rsidR="00A03629">
        <w:t xml:space="preserve"> </w:t>
      </w:r>
      <w:r>
        <w:t>reserve</w:t>
      </w:r>
      <w:r w:rsidR="00A03629">
        <w:t xml:space="preserve"> </w:t>
      </w:r>
      <w:r>
        <w:t>applicable</w:t>
      </w:r>
      <w:r w:rsidR="00A03629">
        <w:t xml:space="preserve"> </w:t>
      </w:r>
      <w:r>
        <w:t>to</w:t>
      </w:r>
      <w:r w:rsidR="00A03629">
        <w:t xml:space="preserve"> </w:t>
      </w:r>
      <w:r>
        <w:t>the</w:t>
      </w:r>
      <w:r w:rsidR="00A03629">
        <w:t xml:space="preserve"> </w:t>
      </w:r>
      <w:r>
        <w:t>same</w:t>
      </w:r>
      <w:r w:rsidR="00A03629">
        <w:t xml:space="preserve"> </w:t>
      </w:r>
      <w:r>
        <w:t>class</w:t>
      </w:r>
      <w:r w:rsidR="00A03629">
        <w:t xml:space="preserve"> </w:t>
      </w:r>
      <w:r>
        <w:t>of</w:t>
      </w:r>
      <w:r w:rsidR="00A03629">
        <w:t xml:space="preserve"> </w:t>
      </w:r>
      <w:r>
        <w:t>assets,</w:t>
      </w:r>
      <w:r w:rsidR="00A03629">
        <w:t xml:space="preserve"> </w:t>
      </w:r>
      <w:r>
        <w:t>in</w:t>
      </w:r>
      <w:r w:rsidR="00A03629">
        <w:rPr>
          <w:rFonts w:ascii="Cambria" w:hAnsi="Cambria" w:cs="Cambria"/>
        </w:rPr>
        <w:t xml:space="preserve"> </w:t>
      </w:r>
      <w:r>
        <w:t>which</w:t>
      </w:r>
      <w:r w:rsidR="00A03629">
        <w:t xml:space="preserve"> </w:t>
      </w:r>
      <w:r>
        <w:t>case</w:t>
      </w:r>
      <w:r w:rsidR="00A03629">
        <w:t xml:space="preserve"> </w:t>
      </w:r>
      <w:r>
        <w:t>the</w:t>
      </w:r>
      <w:r w:rsidR="00A03629">
        <w:t xml:space="preserve"> </w:t>
      </w:r>
      <w:r>
        <w:t>decrement</w:t>
      </w:r>
      <w:r w:rsidR="00A03629">
        <w:t xml:space="preserve"> </w:t>
      </w:r>
      <w:r>
        <w:t>is</w:t>
      </w:r>
      <w:r w:rsidR="00A03629">
        <w:t xml:space="preserve"> </w:t>
      </w:r>
      <w:r>
        <w:t>debited</w:t>
      </w:r>
      <w:r w:rsidR="00A03629">
        <w:t xml:space="preserve"> </w:t>
      </w:r>
      <w:r>
        <w:t>directly</w:t>
      </w:r>
      <w:r w:rsidR="00A03629">
        <w:t xml:space="preserve"> </w:t>
      </w:r>
      <w:r>
        <w:t>to</w:t>
      </w:r>
      <w:r w:rsidR="00A03629">
        <w:rPr>
          <w:rFonts w:ascii="Cambria" w:hAnsi="Cambria" w:cs="Cambria"/>
        </w:rPr>
        <w:t xml:space="preserve"> </w:t>
      </w:r>
      <w:r>
        <w:t>the</w:t>
      </w:r>
      <w:r w:rsidR="00A03629">
        <w:rPr>
          <w:rFonts w:ascii="Cambria" w:hAnsi="Cambria" w:cs="Cambria"/>
        </w:rPr>
        <w:t xml:space="preserve"> </w:t>
      </w:r>
      <w:r>
        <w:t>asset</w:t>
      </w:r>
      <w:r w:rsidR="00A03629">
        <w:t xml:space="preserve"> </w:t>
      </w:r>
      <w:r>
        <w:t>revaluation</w:t>
      </w:r>
      <w:r w:rsidR="00A03629">
        <w:t xml:space="preserve"> </w:t>
      </w:r>
      <w:r>
        <w:t>reserve.</w:t>
      </w:r>
    </w:p>
    <w:p w14:paraId="28C41426" w14:textId="03D017E3" w:rsidR="000756EB" w:rsidRDefault="004A4D88" w:rsidP="00903C7A">
      <w:pPr>
        <w:pStyle w:val="Heading3"/>
      </w:pPr>
      <w:r>
        <w:t>5.1.2</w:t>
      </w:r>
      <w:r w:rsidR="00DE38B5">
        <w:t xml:space="preserve"> </w:t>
      </w:r>
      <w:r>
        <w:t>Depreciation,</w:t>
      </w:r>
      <w:r w:rsidR="00A03629">
        <w:t xml:space="preserve"> </w:t>
      </w:r>
      <w:proofErr w:type="gramStart"/>
      <w:r>
        <w:t>amortisation</w:t>
      </w:r>
      <w:proofErr w:type="gramEnd"/>
      <w:r w:rsidR="00A03629">
        <w:t xml:space="preserve"> </w:t>
      </w:r>
      <w:r>
        <w:t>and</w:t>
      </w:r>
      <w:r w:rsidR="00A03629">
        <w:rPr>
          <w:rFonts w:ascii="Cambria" w:hAnsi="Cambria" w:cs="Cambria"/>
        </w:rPr>
        <w:t xml:space="preserve"> </w:t>
      </w:r>
      <w:r>
        <w:t>impairment</w:t>
      </w:r>
    </w:p>
    <w:p w14:paraId="0545CE26" w14:textId="62914385" w:rsidR="000756EB" w:rsidRDefault="004A4D88" w:rsidP="00903C7A">
      <w:r>
        <w:t>All</w:t>
      </w:r>
      <w:r w:rsidR="00A03629">
        <w:t xml:space="preserve"> </w:t>
      </w:r>
      <w:r>
        <w:t>buildings,</w:t>
      </w:r>
      <w:r w:rsidR="00A03629">
        <w:t xml:space="preserve"> </w:t>
      </w:r>
      <w:r>
        <w:t>plant</w:t>
      </w:r>
      <w:r w:rsidR="00A03629">
        <w:t xml:space="preserve"> </w:t>
      </w:r>
      <w:r>
        <w:t>and</w:t>
      </w:r>
      <w:r w:rsidR="00A03629">
        <w:t xml:space="preserve"> </w:t>
      </w:r>
      <w:r>
        <w:t>equipment</w:t>
      </w:r>
      <w:r w:rsidR="00A03629">
        <w:t xml:space="preserve"> </w:t>
      </w:r>
      <w:r>
        <w:t>and</w:t>
      </w:r>
      <w:r w:rsidR="00A03629">
        <w:t xml:space="preserve"> </w:t>
      </w:r>
      <w:r>
        <w:t>other</w:t>
      </w:r>
      <w:r w:rsidR="00A03629">
        <w:t xml:space="preserve"> </w:t>
      </w:r>
      <w:r>
        <w:t>non</w:t>
      </w:r>
      <w:r>
        <w:noBreakHyphen/>
        <w:t>financial</w:t>
      </w:r>
      <w:r w:rsidR="00A03629">
        <w:t xml:space="preserve"> </w:t>
      </w:r>
      <w:r>
        <w:t>physical</w:t>
      </w:r>
      <w:r w:rsidR="00A03629">
        <w:t xml:space="preserve"> </w:t>
      </w:r>
      <w:r>
        <w:t>assets</w:t>
      </w:r>
      <w:r w:rsidR="00A03629">
        <w:t xml:space="preserve"> </w:t>
      </w:r>
      <w:r>
        <w:t>that</w:t>
      </w:r>
      <w:r w:rsidR="00A03629">
        <w:t xml:space="preserve"> </w:t>
      </w:r>
      <w:r>
        <w:t>have</w:t>
      </w:r>
      <w:r w:rsidR="00A03629">
        <w:t xml:space="preserve"> </w:t>
      </w:r>
      <w:r>
        <w:t>finite</w:t>
      </w:r>
      <w:r w:rsidR="00A03629">
        <w:t xml:space="preserve"> </w:t>
      </w:r>
      <w:r>
        <w:t>useful</w:t>
      </w:r>
      <w:r w:rsidR="00A03629">
        <w:rPr>
          <w:rFonts w:ascii="Cambria" w:hAnsi="Cambria" w:cs="Cambria"/>
        </w:rPr>
        <w:t xml:space="preserve"> </w:t>
      </w:r>
      <w:r>
        <w:t>lives</w:t>
      </w:r>
      <w:r w:rsidR="00A03629">
        <w:t xml:space="preserve"> </w:t>
      </w:r>
      <w:r>
        <w:t>are</w:t>
      </w:r>
      <w:r w:rsidR="00A03629">
        <w:t xml:space="preserve"> </w:t>
      </w:r>
      <w:r>
        <w:t>depreciated.</w:t>
      </w:r>
    </w:p>
    <w:p w14:paraId="62024133" w14:textId="39292F44" w:rsidR="000756EB" w:rsidRPr="00903C7A" w:rsidRDefault="004A4D88" w:rsidP="00903C7A">
      <w:pPr>
        <w:pStyle w:val="Normalbeforebullets"/>
        <w:rPr>
          <w:b/>
          <w:bCs/>
        </w:rPr>
      </w:pPr>
      <w:r w:rsidRPr="00903C7A">
        <w:rPr>
          <w:b/>
          <w:bCs/>
        </w:rPr>
        <w:lastRenderedPageBreak/>
        <w:t>Charge</w:t>
      </w:r>
      <w:r w:rsidR="00A03629" w:rsidRPr="00903C7A">
        <w:rPr>
          <w:b/>
          <w:bCs/>
        </w:rPr>
        <w:t xml:space="preserve"> </w:t>
      </w:r>
      <w:r w:rsidRPr="00903C7A">
        <w:rPr>
          <w:b/>
          <w:bCs/>
        </w:rPr>
        <w:t>for</w:t>
      </w:r>
      <w:r w:rsidR="00A03629" w:rsidRPr="00903C7A">
        <w:rPr>
          <w:b/>
          <w:bCs/>
        </w:rPr>
        <w:t xml:space="preserve"> </w:t>
      </w:r>
      <w:r w:rsidRPr="00903C7A">
        <w:rPr>
          <w:b/>
          <w:bCs/>
        </w:rPr>
        <w:t>the</w:t>
      </w:r>
      <w:r w:rsidR="00A03629" w:rsidRPr="00903C7A">
        <w:rPr>
          <w:b/>
          <w:bCs/>
        </w:rPr>
        <w:t xml:space="preserve"> </w:t>
      </w:r>
      <w:r w:rsidRPr="00903C7A">
        <w:rPr>
          <w:b/>
          <w:bCs/>
        </w:rPr>
        <w:t>period</w:t>
      </w:r>
    </w:p>
    <w:tbl>
      <w:tblPr>
        <w:tblStyle w:val="TableGrid"/>
        <w:tblW w:w="0" w:type="auto"/>
        <w:tblLayout w:type="fixed"/>
        <w:tblLook w:val="0020" w:firstRow="1" w:lastRow="0" w:firstColumn="0" w:lastColumn="0" w:noHBand="0" w:noVBand="0"/>
      </w:tblPr>
      <w:tblGrid>
        <w:gridCol w:w="4673"/>
        <w:gridCol w:w="2410"/>
        <w:gridCol w:w="2410"/>
      </w:tblGrid>
      <w:tr w:rsidR="000756EB" w:rsidRPr="00940527" w14:paraId="6A409F3C" w14:textId="77777777" w:rsidTr="00560A4F">
        <w:trPr>
          <w:trHeight w:val="60"/>
        </w:trPr>
        <w:tc>
          <w:tcPr>
            <w:tcW w:w="4673" w:type="dxa"/>
          </w:tcPr>
          <w:p w14:paraId="62A322A1" w14:textId="77777777" w:rsidR="000756EB" w:rsidRPr="00940527" w:rsidRDefault="000756EB" w:rsidP="00940527">
            <w:pPr>
              <w:pStyle w:val="TableColumnHeading"/>
              <w:rPr>
                <w:rFonts w:asciiTheme="minorHAnsi" w:hAnsiTheme="minorHAnsi" w:cstheme="minorHAnsi"/>
              </w:rPr>
            </w:pPr>
            <w:bookmarkStart w:id="69" w:name="ColumnTitles_41"/>
            <w:bookmarkEnd w:id="69"/>
          </w:p>
        </w:tc>
        <w:tc>
          <w:tcPr>
            <w:tcW w:w="2410" w:type="dxa"/>
          </w:tcPr>
          <w:p w14:paraId="27745C46" w14:textId="2E83DBAF" w:rsidR="000756EB" w:rsidRPr="00940527" w:rsidRDefault="004A4D88" w:rsidP="00940527">
            <w:pPr>
              <w:pStyle w:val="TableColumnHeading"/>
              <w:jc w:val="right"/>
              <w:rPr>
                <w:rFonts w:asciiTheme="minorHAnsi" w:hAnsiTheme="minorHAnsi" w:cstheme="minorHAnsi"/>
              </w:rPr>
            </w:pPr>
            <w:r w:rsidRPr="00940527">
              <w:rPr>
                <w:rFonts w:asciiTheme="minorHAnsi" w:hAnsiTheme="minorHAnsi" w:cstheme="minorHAnsi"/>
              </w:rPr>
              <w:t>2023</w:t>
            </w:r>
            <w:r w:rsidR="00940527" w:rsidRPr="00940527">
              <w:rPr>
                <w:rFonts w:asciiTheme="minorHAnsi" w:hAnsiTheme="minorHAnsi" w:cstheme="minorHAnsi"/>
              </w:rPr>
              <w:t xml:space="preserve"> ($ thousand)</w:t>
            </w:r>
            <w:r w:rsidR="00A03629" w:rsidRPr="00940527">
              <w:rPr>
                <w:rFonts w:asciiTheme="minorHAnsi" w:hAnsiTheme="minorHAnsi" w:cstheme="minorHAnsi"/>
              </w:rPr>
              <w:t xml:space="preserve"> </w:t>
            </w:r>
          </w:p>
        </w:tc>
        <w:tc>
          <w:tcPr>
            <w:tcW w:w="2410" w:type="dxa"/>
          </w:tcPr>
          <w:p w14:paraId="36049E7B" w14:textId="0668246D" w:rsidR="000756EB" w:rsidRPr="00940527" w:rsidRDefault="004A4D88" w:rsidP="00940527">
            <w:pPr>
              <w:pStyle w:val="TableColumnHeading"/>
              <w:jc w:val="right"/>
              <w:rPr>
                <w:rFonts w:asciiTheme="minorHAnsi" w:hAnsiTheme="minorHAnsi" w:cstheme="minorHAnsi"/>
              </w:rPr>
            </w:pPr>
            <w:r w:rsidRPr="00940527">
              <w:rPr>
                <w:rFonts w:asciiTheme="minorHAnsi" w:hAnsiTheme="minorHAnsi" w:cstheme="minorHAnsi"/>
              </w:rPr>
              <w:t>2022</w:t>
            </w:r>
            <w:r w:rsidR="00940527" w:rsidRPr="00940527">
              <w:rPr>
                <w:rFonts w:asciiTheme="minorHAnsi" w:hAnsiTheme="minorHAnsi" w:cstheme="minorHAnsi"/>
              </w:rPr>
              <w:t xml:space="preserve"> ($ thousand)</w:t>
            </w:r>
          </w:p>
        </w:tc>
      </w:tr>
      <w:tr w:rsidR="000756EB" w14:paraId="40EF14D2" w14:textId="77777777" w:rsidTr="00560A4F">
        <w:trPr>
          <w:trHeight w:val="60"/>
        </w:trPr>
        <w:tc>
          <w:tcPr>
            <w:tcW w:w="4673" w:type="dxa"/>
          </w:tcPr>
          <w:p w14:paraId="4C29B6BC" w14:textId="44EB3F15" w:rsidR="000756EB" w:rsidRDefault="004A4D88" w:rsidP="00940527">
            <w:pPr>
              <w:pStyle w:val="TableCopy"/>
              <w:keepNext/>
            </w:pPr>
            <w:r>
              <w:t>Buildings</w:t>
            </w:r>
            <w:r w:rsidR="00A03629">
              <w:t xml:space="preserve"> </w:t>
            </w:r>
            <w:r>
              <w:t>and</w:t>
            </w:r>
            <w:r w:rsidR="00A03629">
              <w:t xml:space="preserve"> </w:t>
            </w:r>
            <w:r>
              <w:t>structures</w:t>
            </w:r>
          </w:p>
        </w:tc>
        <w:tc>
          <w:tcPr>
            <w:tcW w:w="2410" w:type="dxa"/>
          </w:tcPr>
          <w:p w14:paraId="77542063" w14:textId="4EEEC309" w:rsidR="000756EB" w:rsidRDefault="004A4D88" w:rsidP="00940527">
            <w:pPr>
              <w:pStyle w:val="TableCopy"/>
              <w:keepNext/>
              <w:jc w:val="right"/>
            </w:pPr>
            <w:r>
              <w:t>16,991</w:t>
            </w:r>
          </w:p>
        </w:tc>
        <w:tc>
          <w:tcPr>
            <w:tcW w:w="2410" w:type="dxa"/>
          </w:tcPr>
          <w:p w14:paraId="716B6ADA" w14:textId="38BD1114" w:rsidR="000756EB" w:rsidRDefault="004A4D88" w:rsidP="00940527">
            <w:pPr>
              <w:pStyle w:val="TableCopy"/>
              <w:keepNext/>
              <w:jc w:val="right"/>
            </w:pPr>
            <w:r>
              <w:t>21,053</w:t>
            </w:r>
          </w:p>
        </w:tc>
      </w:tr>
      <w:tr w:rsidR="000756EB" w14:paraId="53D4C838" w14:textId="77777777" w:rsidTr="00560A4F">
        <w:trPr>
          <w:trHeight w:val="60"/>
        </w:trPr>
        <w:tc>
          <w:tcPr>
            <w:tcW w:w="4673" w:type="dxa"/>
          </w:tcPr>
          <w:p w14:paraId="2EFE9E39" w14:textId="6D315BA0" w:rsidR="000756EB" w:rsidRDefault="004A4D88" w:rsidP="00940527">
            <w:pPr>
              <w:pStyle w:val="TableCopy"/>
            </w:pPr>
            <w:r>
              <w:t>Right-of-use</w:t>
            </w:r>
            <w:r w:rsidR="00A03629">
              <w:t xml:space="preserve"> </w:t>
            </w:r>
            <w:r>
              <w:t>assets</w:t>
            </w:r>
          </w:p>
        </w:tc>
        <w:tc>
          <w:tcPr>
            <w:tcW w:w="2410" w:type="dxa"/>
          </w:tcPr>
          <w:p w14:paraId="7908B3B1" w14:textId="4844F9D1" w:rsidR="000756EB" w:rsidRDefault="004A4D88" w:rsidP="00940527">
            <w:pPr>
              <w:pStyle w:val="TableCopy"/>
              <w:jc w:val="right"/>
            </w:pPr>
            <w:r>
              <w:t>6,870</w:t>
            </w:r>
          </w:p>
        </w:tc>
        <w:tc>
          <w:tcPr>
            <w:tcW w:w="2410" w:type="dxa"/>
          </w:tcPr>
          <w:p w14:paraId="5DE275F9" w14:textId="1930A0B1" w:rsidR="000756EB" w:rsidRDefault="004A4D88" w:rsidP="00940527">
            <w:pPr>
              <w:pStyle w:val="TableCopy"/>
              <w:jc w:val="right"/>
            </w:pPr>
            <w:r>
              <w:t>10,371</w:t>
            </w:r>
          </w:p>
        </w:tc>
      </w:tr>
      <w:tr w:rsidR="000756EB" w14:paraId="4FE4782D" w14:textId="77777777" w:rsidTr="00560A4F">
        <w:trPr>
          <w:trHeight w:val="60"/>
        </w:trPr>
        <w:tc>
          <w:tcPr>
            <w:tcW w:w="4673" w:type="dxa"/>
          </w:tcPr>
          <w:p w14:paraId="2511E25D" w14:textId="00E29367" w:rsidR="000756EB" w:rsidRDefault="004A4D88" w:rsidP="00940527">
            <w:pPr>
              <w:pStyle w:val="TableCopy"/>
            </w:pPr>
            <w:r>
              <w:t>Leasehold</w:t>
            </w:r>
            <w:r w:rsidR="00A03629">
              <w:t xml:space="preserve"> </w:t>
            </w:r>
            <w:r>
              <w:t>improvements</w:t>
            </w:r>
          </w:p>
        </w:tc>
        <w:tc>
          <w:tcPr>
            <w:tcW w:w="2410" w:type="dxa"/>
          </w:tcPr>
          <w:p w14:paraId="3A25D158" w14:textId="79917100" w:rsidR="000756EB" w:rsidRDefault="004A4D88" w:rsidP="00940527">
            <w:pPr>
              <w:pStyle w:val="TableCopy"/>
              <w:jc w:val="right"/>
            </w:pPr>
            <w:r>
              <w:t>3,407</w:t>
            </w:r>
          </w:p>
        </w:tc>
        <w:tc>
          <w:tcPr>
            <w:tcW w:w="2410" w:type="dxa"/>
          </w:tcPr>
          <w:p w14:paraId="57DCE25A" w14:textId="5BA910DF" w:rsidR="000756EB" w:rsidRDefault="004A4D88" w:rsidP="00940527">
            <w:pPr>
              <w:pStyle w:val="TableCopy"/>
              <w:jc w:val="right"/>
            </w:pPr>
            <w:r>
              <w:t>7,940</w:t>
            </w:r>
          </w:p>
        </w:tc>
      </w:tr>
      <w:tr w:rsidR="000756EB" w14:paraId="14D11D30" w14:textId="77777777" w:rsidTr="00560A4F">
        <w:trPr>
          <w:trHeight w:val="60"/>
        </w:trPr>
        <w:tc>
          <w:tcPr>
            <w:tcW w:w="4673" w:type="dxa"/>
          </w:tcPr>
          <w:p w14:paraId="0AE33C41" w14:textId="6FC3CB4C" w:rsidR="000756EB" w:rsidRDefault="004A4D88" w:rsidP="00940527">
            <w:pPr>
              <w:pStyle w:val="TableCopy"/>
            </w:pPr>
            <w:r>
              <w:t>Plant</w:t>
            </w:r>
            <w:r w:rsidR="00A03629">
              <w:t xml:space="preserve"> </w:t>
            </w:r>
            <w:r>
              <w:t>and</w:t>
            </w:r>
            <w:r w:rsidR="00A03629">
              <w:t xml:space="preserve"> </w:t>
            </w:r>
            <w:r>
              <w:t>equipment</w:t>
            </w:r>
          </w:p>
        </w:tc>
        <w:tc>
          <w:tcPr>
            <w:tcW w:w="2410" w:type="dxa"/>
          </w:tcPr>
          <w:p w14:paraId="4A8B3E4A" w14:textId="7FF92F39" w:rsidR="000756EB" w:rsidRDefault="004A4D88" w:rsidP="00940527">
            <w:pPr>
              <w:pStyle w:val="TableCopy"/>
              <w:jc w:val="right"/>
            </w:pPr>
            <w:r>
              <w:t>2,721</w:t>
            </w:r>
          </w:p>
        </w:tc>
        <w:tc>
          <w:tcPr>
            <w:tcW w:w="2410" w:type="dxa"/>
          </w:tcPr>
          <w:p w14:paraId="5AE16AF5" w14:textId="15959359" w:rsidR="000756EB" w:rsidRDefault="004A4D88" w:rsidP="00940527">
            <w:pPr>
              <w:pStyle w:val="TableCopy"/>
              <w:jc w:val="right"/>
            </w:pPr>
            <w:r>
              <w:t>5,405</w:t>
            </w:r>
          </w:p>
        </w:tc>
      </w:tr>
      <w:tr w:rsidR="000756EB" w14:paraId="574DB1F6" w14:textId="77777777" w:rsidTr="00560A4F">
        <w:trPr>
          <w:trHeight w:val="60"/>
        </w:trPr>
        <w:tc>
          <w:tcPr>
            <w:tcW w:w="4673" w:type="dxa"/>
          </w:tcPr>
          <w:p w14:paraId="3559684B" w14:textId="2F545C32" w:rsidR="000756EB" w:rsidRDefault="004A4D88" w:rsidP="00940527">
            <w:pPr>
              <w:pStyle w:val="TableCopy"/>
            </w:pPr>
            <w:r>
              <w:t>Motor</w:t>
            </w:r>
            <w:r w:rsidR="00A03629">
              <w:t xml:space="preserve"> </w:t>
            </w:r>
            <w:r>
              <w:t>vehicles</w:t>
            </w:r>
            <w:r w:rsidR="00A03629">
              <w:t xml:space="preserve"> </w:t>
            </w:r>
            <w:r>
              <w:t>at</w:t>
            </w:r>
            <w:r w:rsidR="00A03629">
              <w:t xml:space="preserve"> </w:t>
            </w:r>
            <w:r>
              <w:t>fair</w:t>
            </w:r>
            <w:r w:rsidR="00A03629">
              <w:t xml:space="preserve"> </w:t>
            </w:r>
            <w:r>
              <w:t>value</w:t>
            </w:r>
          </w:p>
        </w:tc>
        <w:tc>
          <w:tcPr>
            <w:tcW w:w="2410" w:type="dxa"/>
          </w:tcPr>
          <w:p w14:paraId="4202E561" w14:textId="264277B4" w:rsidR="000756EB" w:rsidRDefault="004A4D88" w:rsidP="00940527">
            <w:pPr>
              <w:pStyle w:val="TableCopy"/>
              <w:jc w:val="right"/>
            </w:pPr>
            <w:r>
              <w:t>1,819</w:t>
            </w:r>
          </w:p>
        </w:tc>
        <w:tc>
          <w:tcPr>
            <w:tcW w:w="2410" w:type="dxa"/>
          </w:tcPr>
          <w:p w14:paraId="042695CE" w14:textId="5EF6FAF9" w:rsidR="000756EB" w:rsidRDefault="004A4D88" w:rsidP="00940527">
            <w:pPr>
              <w:pStyle w:val="TableCopy"/>
              <w:jc w:val="right"/>
            </w:pPr>
            <w:r>
              <w:t>3,150</w:t>
            </w:r>
          </w:p>
        </w:tc>
      </w:tr>
      <w:tr w:rsidR="000756EB" w14:paraId="4499BE5E" w14:textId="77777777" w:rsidTr="00560A4F">
        <w:trPr>
          <w:trHeight w:val="60"/>
        </w:trPr>
        <w:tc>
          <w:tcPr>
            <w:tcW w:w="4673" w:type="dxa"/>
          </w:tcPr>
          <w:p w14:paraId="5AB11810" w14:textId="46583A91" w:rsidR="000756EB" w:rsidRDefault="004A4D88" w:rsidP="00940527">
            <w:pPr>
              <w:pStyle w:val="TableCopy"/>
            </w:pPr>
            <w:r>
              <w:t>Cultural</w:t>
            </w:r>
            <w:r w:rsidR="00A03629">
              <w:t xml:space="preserve"> </w:t>
            </w:r>
            <w:r>
              <w:t>assets</w:t>
            </w:r>
          </w:p>
        </w:tc>
        <w:tc>
          <w:tcPr>
            <w:tcW w:w="2410" w:type="dxa"/>
          </w:tcPr>
          <w:p w14:paraId="56F4F4A7" w14:textId="44070058" w:rsidR="000756EB" w:rsidRDefault="004A4D88" w:rsidP="00940527">
            <w:pPr>
              <w:pStyle w:val="TableCopy"/>
              <w:jc w:val="right"/>
            </w:pPr>
            <w:r>
              <w:t>46</w:t>
            </w:r>
          </w:p>
        </w:tc>
        <w:tc>
          <w:tcPr>
            <w:tcW w:w="2410" w:type="dxa"/>
          </w:tcPr>
          <w:p w14:paraId="0E5A9884" w14:textId="5BA4FA4C" w:rsidR="000756EB" w:rsidRDefault="004A4D88" w:rsidP="00940527">
            <w:pPr>
              <w:pStyle w:val="TableCopy"/>
              <w:jc w:val="right"/>
            </w:pPr>
            <w:r>
              <w:t>47</w:t>
            </w:r>
          </w:p>
        </w:tc>
      </w:tr>
      <w:tr w:rsidR="000756EB" w:rsidRPr="00940527" w14:paraId="357BE160" w14:textId="77777777" w:rsidTr="00560A4F">
        <w:trPr>
          <w:trHeight w:val="60"/>
        </w:trPr>
        <w:tc>
          <w:tcPr>
            <w:tcW w:w="4673" w:type="dxa"/>
          </w:tcPr>
          <w:p w14:paraId="592901C0" w14:textId="77777777" w:rsidR="000756EB" w:rsidRPr="00940527" w:rsidRDefault="000756EB" w:rsidP="00940527">
            <w:pPr>
              <w:pStyle w:val="TableCopy"/>
              <w:rPr>
                <w:b/>
                <w:bCs/>
              </w:rPr>
            </w:pPr>
          </w:p>
        </w:tc>
        <w:tc>
          <w:tcPr>
            <w:tcW w:w="2410" w:type="dxa"/>
          </w:tcPr>
          <w:p w14:paraId="15350848" w14:textId="632316A4" w:rsidR="000756EB" w:rsidRPr="00940527" w:rsidRDefault="004A4D88" w:rsidP="00940527">
            <w:pPr>
              <w:pStyle w:val="TableCopy"/>
              <w:jc w:val="right"/>
              <w:rPr>
                <w:b/>
                <w:bCs/>
              </w:rPr>
            </w:pPr>
            <w:r w:rsidRPr="00940527">
              <w:rPr>
                <w:b/>
                <w:bCs/>
              </w:rPr>
              <w:t>31,853</w:t>
            </w:r>
          </w:p>
        </w:tc>
        <w:tc>
          <w:tcPr>
            <w:tcW w:w="2410" w:type="dxa"/>
          </w:tcPr>
          <w:p w14:paraId="2E8B6A5B" w14:textId="54287408" w:rsidR="000756EB" w:rsidRPr="00940527" w:rsidRDefault="004A4D88" w:rsidP="00940527">
            <w:pPr>
              <w:pStyle w:val="TableCopy"/>
              <w:jc w:val="right"/>
              <w:rPr>
                <w:b/>
                <w:bCs/>
              </w:rPr>
            </w:pPr>
            <w:r w:rsidRPr="00940527">
              <w:rPr>
                <w:b/>
                <w:bCs/>
              </w:rPr>
              <w:t>47,966</w:t>
            </w:r>
          </w:p>
        </w:tc>
      </w:tr>
      <w:tr w:rsidR="000756EB" w14:paraId="5A555AF5" w14:textId="77777777" w:rsidTr="00560A4F">
        <w:trPr>
          <w:trHeight w:val="60"/>
        </w:trPr>
        <w:tc>
          <w:tcPr>
            <w:tcW w:w="4673" w:type="dxa"/>
          </w:tcPr>
          <w:p w14:paraId="6C82022E" w14:textId="63F141D0" w:rsidR="000756EB" w:rsidRDefault="004A4D88" w:rsidP="00940527">
            <w:pPr>
              <w:pStyle w:val="TableCopy"/>
            </w:pPr>
            <w:r>
              <w:t>Intangible</w:t>
            </w:r>
            <w:r w:rsidR="00A03629">
              <w:t xml:space="preserve"> </w:t>
            </w:r>
            <w:r>
              <w:t>produced</w:t>
            </w:r>
            <w:r w:rsidR="00A03629">
              <w:t xml:space="preserve"> </w:t>
            </w:r>
            <w:r>
              <w:t>assets</w:t>
            </w:r>
            <w:r w:rsidR="00A03629">
              <w:rPr>
                <w:rFonts w:ascii="Cambria" w:hAnsi="Cambria" w:cs="Cambria"/>
              </w:rPr>
              <w:t xml:space="preserve"> </w:t>
            </w:r>
            <w:r>
              <w:t>(amortisation)</w:t>
            </w:r>
          </w:p>
        </w:tc>
        <w:tc>
          <w:tcPr>
            <w:tcW w:w="2410" w:type="dxa"/>
          </w:tcPr>
          <w:p w14:paraId="529A848A" w14:textId="2EF84AAC" w:rsidR="000756EB" w:rsidRDefault="004A4D88" w:rsidP="00940527">
            <w:pPr>
              <w:pStyle w:val="TableCopy"/>
              <w:jc w:val="right"/>
            </w:pPr>
            <w:r>
              <w:t>557</w:t>
            </w:r>
          </w:p>
        </w:tc>
        <w:tc>
          <w:tcPr>
            <w:tcW w:w="2410" w:type="dxa"/>
          </w:tcPr>
          <w:p w14:paraId="0CDB7648" w14:textId="06557451" w:rsidR="000756EB" w:rsidRDefault="004A4D88" w:rsidP="00940527">
            <w:pPr>
              <w:pStyle w:val="TableCopy"/>
              <w:jc w:val="right"/>
            </w:pPr>
            <w:r>
              <w:t>878</w:t>
            </w:r>
          </w:p>
        </w:tc>
      </w:tr>
      <w:tr w:rsidR="000756EB" w:rsidRPr="00940527" w14:paraId="717AB9B5" w14:textId="77777777" w:rsidTr="00560A4F">
        <w:trPr>
          <w:trHeight w:val="60"/>
        </w:trPr>
        <w:tc>
          <w:tcPr>
            <w:tcW w:w="4673" w:type="dxa"/>
          </w:tcPr>
          <w:p w14:paraId="178F48B1" w14:textId="4D1A50B2" w:rsidR="000756EB" w:rsidRPr="00940527" w:rsidRDefault="004A4D88" w:rsidP="00940527">
            <w:pPr>
              <w:pStyle w:val="TableCopy"/>
              <w:rPr>
                <w:b/>
                <w:bCs/>
              </w:rPr>
            </w:pPr>
            <w:r w:rsidRPr="00940527">
              <w:rPr>
                <w:b/>
                <w:bCs/>
              </w:rPr>
              <w:t>Total</w:t>
            </w:r>
            <w:r w:rsidR="00A03629" w:rsidRPr="00940527">
              <w:rPr>
                <w:b/>
                <w:bCs/>
              </w:rPr>
              <w:t xml:space="preserve"> </w:t>
            </w:r>
            <w:r w:rsidRPr="00940527">
              <w:rPr>
                <w:b/>
                <w:bCs/>
              </w:rPr>
              <w:t>depreciation</w:t>
            </w:r>
          </w:p>
        </w:tc>
        <w:tc>
          <w:tcPr>
            <w:tcW w:w="2410" w:type="dxa"/>
          </w:tcPr>
          <w:p w14:paraId="6EE4600D" w14:textId="175BF403" w:rsidR="000756EB" w:rsidRPr="00940527" w:rsidRDefault="004A4D88" w:rsidP="00940527">
            <w:pPr>
              <w:pStyle w:val="TableCopy"/>
              <w:jc w:val="right"/>
              <w:rPr>
                <w:b/>
                <w:bCs/>
              </w:rPr>
            </w:pPr>
            <w:r w:rsidRPr="00940527">
              <w:rPr>
                <w:b/>
                <w:bCs/>
              </w:rPr>
              <w:t>32,410</w:t>
            </w:r>
          </w:p>
        </w:tc>
        <w:tc>
          <w:tcPr>
            <w:tcW w:w="2410" w:type="dxa"/>
          </w:tcPr>
          <w:p w14:paraId="4A45C3F0" w14:textId="3DACCD7D" w:rsidR="000756EB" w:rsidRPr="00940527" w:rsidRDefault="004A4D88" w:rsidP="00940527">
            <w:pPr>
              <w:pStyle w:val="TableCopy"/>
              <w:jc w:val="right"/>
              <w:rPr>
                <w:b/>
                <w:bCs/>
              </w:rPr>
            </w:pPr>
            <w:r w:rsidRPr="00940527">
              <w:rPr>
                <w:b/>
                <w:bCs/>
              </w:rPr>
              <w:t>48,844</w:t>
            </w:r>
          </w:p>
        </w:tc>
      </w:tr>
    </w:tbl>
    <w:p w14:paraId="0C3347B3" w14:textId="77777777" w:rsidR="000756EB" w:rsidRDefault="000756EB" w:rsidP="00940527"/>
    <w:p w14:paraId="265243B8" w14:textId="7DAD5962" w:rsidR="000756EB" w:rsidRDefault="004A4D88" w:rsidP="00940527">
      <w:r>
        <w:t>Depreciation</w:t>
      </w:r>
      <w:r w:rsidR="00A03629">
        <w:t xml:space="preserve"> </w:t>
      </w:r>
      <w:r>
        <w:t>is</w:t>
      </w:r>
      <w:r w:rsidR="00A03629">
        <w:t xml:space="preserve"> </w:t>
      </w:r>
      <w:r>
        <w:t>generally</w:t>
      </w:r>
      <w:r w:rsidR="00A03629">
        <w:t xml:space="preserve"> </w:t>
      </w:r>
      <w:r>
        <w:t>calculated</w:t>
      </w:r>
      <w:r w:rsidR="00A03629">
        <w:t xml:space="preserve"> </w:t>
      </w:r>
      <w:r>
        <w:t>on</w:t>
      </w:r>
      <w:r w:rsidR="00A03629">
        <w:t xml:space="preserve"> </w:t>
      </w:r>
      <w:r>
        <w:t>a</w:t>
      </w:r>
      <w:r w:rsidR="00A03629">
        <w:t xml:space="preserve"> </w:t>
      </w:r>
      <w:r>
        <w:t>straight-line</w:t>
      </w:r>
      <w:r w:rsidR="00A03629">
        <w:t xml:space="preserve"> </w:t>
      </w:r>
      <w:r>
        <w:t>basis,</w:t>
      </w:r>
      <w:r w:rsidR="00A03629">
        <w:t xml:space="preserve"> </w:t>
      </w:r>
      <w:r>
        <w:t>at</w:t>
      </w:r>
      <w:r w:rsidR="00A03629">
        <w:t xml:space="preserve"> </w:t>
      </w:r>
      <w:r>
        <w:t>rates</w:t>
      </w:r>
      <w:r w:rsidR="00A03629">
        <w:t xml:space="preserve"> </w:t>
      </w:r>
      <w:r>
        <w:t>that</w:t>
      </w:r>
      <w:r w:rsidR="00A03629">
        <w:t xml:space="preserve"> </w:t>
      </w:r>
      <w:r>
        <w:t>allocate</w:t>
      </w:r>
      <w:r w:rsidR="00A03629">
        <w:t xml:space="preserve"> </w:t>
      </w:r>
      <w:r>
        <w:t>the</w:t>
      </w:r>
      <w:r w:rsidR="00A03629">
        <w:t xml:space="preserve"> </w:t>
      </w:r>
      <w:r>
        <w:t>asset’s</w:t>
      </w:r>
      <w:r w:rsidR="00A03629">
        <w:t xml:space="preserve"> </w:t>
      </w:r>
      <w:r>
        <w:t>value,</w:t>
      </w:r>
      <w:r w:rsidR="00A03629">
        <w:t xml:space="preserve"> </w:t>
      </w:r>
      <w:r>
        <w:t>less</w:t>
      </w:r>
      <w:r w:rsidR="00A03629">
        <w:t xml:space="preserve"> </w:t>
      </w:r>
      <w:r>
        <w:t>any</w:t>
      </w:r>
      <w:r w:rsidR="00A03629">
        <w:t xml:space="preserve"> </w:t>
      </w:r>
      <w:r>
        <w:t>estimated</w:t>
      </w:r>
      <w:r w:rsidR="00A03629">
        <w:t xml:space="preserve"> </w:t>
      </w:r>
      <w:r>
        <w:t>residual</w:t>
      </w:r>
      <w:r w:rsidR="00A03629">
        <w:t xml:space="preserve"> </w:t>
      </w:r>
      <w:r>
        <w:t>value,</w:t>
      </w:r>
      <w:r w:rsidR="00A03629">
        <w:t xml:space="preserve"> </w:t>
      </w:r>
      <w:r>
        <w:t>over</w:t>
      </w:r>
      <w:r w:rsidR="00A03629">
        <w:t xml:space="preserve"> </w:t>
      </w:r>
      <w:r>
        <w:t>its</w:t>
      </w:r>
      <w:r w:rsidR="00A03629">
        <w:t xml:space="preserve"> </w:t>
      </w:r>
      <w:r>
        <w:t>estimated</w:t>
      </w:r>
      <w:r w:rsidR="00A03629">
        <w:t xml:space="preserve"> </w:t>
      </w:r>
      <w:r>
        <w:t>useful</w:t>
      </w:r>
      <w:r w:rsidR="00A03629">
        <w:t xml:space="preserve"> </w:t>
      </w:r>
      <w:r>
        <w:t>life.</w:t>
      </w:r>
      <w:r w:rsidR="00A03629">
        <w:t xml:space="preserve"> </w:t>
      </w:r>
      <w:r>
        <w:t>The</w:t>
      </w:r>
      <w:r w:rsidR="00A03629">
        <w:t xml:space="preserve"> </w:t>
      </w:r>
      <w:r>
        <w:t>typical</w:t>
      </w:r>
      <w:r w:rsidR="00A03629">
        <w:t xml:space="preserve"> </w:t>
      </w:r>
      <w:r>
        <w:t>estimated</w:t>
      </w:r>
      <w:r w:rsidR="00A03629">
        <w:t xml:space="preserve"> </w:t>
      </w:r>
      <w:r>
        <w:t>useful</w:t>
      </w:r>
      <w:r w:rsidR="00A03629">
        <w:t xml:space="preserve"> </w:t>
      </w:r>
      <w:r>
        <w:t>life</w:t>
      </w:r>
      <w:r w:rsidR="00A03629">
        <w:t xml:space="preserve"> </w:t>
      </w:r>
      <w:r>
        <w:t>for</w:t>
      </w:r>
      <w:r w:rsidR="00A03629">
        <w:t xml:space="preserve"> </w:t>
      </w:r>
      <w:r>
        <w:t>the</w:t>
      </w:r>
      <w:r w:rsidR="00A03629">
        <w:t xml:space="preserve"> </w:t>
      </w:r>
      <w:r>
        <w:t>different</w:t>
      </w:r>
      <w:r w:rsidR="00A03629">
        <w:t xml:space="preserve"> </w:t>
      </w:r>
      <w:r>
        <w:t>asset</w:t>
      </w:r>
      <w:r w:rsidR="00A03629">
        <w:t xml:space="preserve"> </w:t>
      </w:r>
      <w:r>
        <w:t>classes</w:t>
      </w:r>
      <w:r w:rsidR="00A03629">
        <w:t xml:space="preserve"> </w:t>
      </w:r>
      <w:r>
        <w:t>has</w:t>
      </w:r>
      <w:r w:rsidR="00A03629">
        <w:t xml:space="preserve"> </w:t>
      </w:r>
      <w:r>
        <w:t>not</w:t>
      </w:r>
      <w:r w:rsidR="00A03629">
        <w:t xml:space="preserve"> </w:t>
      </w:r>
      <w:r>
        <w:t>changed</w:t>
      </w:r>
      <w:r w:rsidR="00A03629">
        <w:t xml:space="preserve"> </w:t>
      </w:r>
      <w:r>
        <w:t>and</w:t>
      </w:r>
      <w:r w:rsidR="00A03629">
        <w:t xml:space="preserve"> </w:t>
      </w:r>
      <w:r>
        <w:t>are</w:t>
      </w:r>
      <w:r w:rsidR="00A03629">
        <w:t xml:space="preserve"> </w:t>
      </w:r>
      <w:r>
        <w:t>included</w:t>
      </w:r>
      <w:r w:rsidR="00A03629">
        <w:t xml:space="preserve"> </w:t>
      </w:r>
      <w:r>
        <w:t>in</w:t>
      </w:r>
      <w:r w:rsidR="00A03629">
        <w:t xml:space="preserve"> </w:t>
      </w:r>
      <w:r>
        <w:t>the</w:t>
      </w:r>
      <w:r w:rsidR="00A03629">
        <w:t xml:space="preserve"> </w:t>
      </w:r>
      <w:r>
        <w:t>table</w:t>
      </w:r>
      <w:r w:rsidR="00A03629">
        <w:t xml:space="preserve"> </w:t>
      </w:r>
      <w:r>
        <w:t>below:</w:t>
      </w:r>
    </w:p>
    <w:p w14:paraId="3CFCAB55" w14:textId="26DEE95E" w:rsidR="000756EB" w:rsidRPr="002A7C48" w:rsidRDefault="004A4D88" w:rsidP="002A7C48">
      <w:pPr>
        <w:pStyle w:val="Normalbeforebullets"/>
        <w:rPr>
          <w:b/>
          <w:bCs/>
        </w:rPr>
      </w:pPr>
      <w:r w:rsidRPr="002A7C48">
        <w:rPr>
          <w:b/>
          <w:bCs/>
        </w:rPr>
        <w:t>Useful</w:t>
      </w:r>
      <w:r w:rsidR="00A03629" w:rsidRPr="002A7C48">
        <w:rPr>
          <w:b/>
          <w:bCs/>
        </w:rPr>
        <w:t xml:space="preserve"> </w:t>
      </w:r>
      <w:r w:rsidRPr="002A7C48">
        <w:rPr>
          <w:b/>
          <w:bCs/>
        </w:rPr>
        <w:t>life</w:t>
      </w:r>
      <w:r w:rsidR="00A03629" w:rsidRPr="002A7C48">
        <w:rPr>
          <w:b/>
          <w:bCs/>
        </w:rPr>
        <w:t xml:space="preserve"> </w:t>
      </w:r>
      <w:r w:rsidRPr="002A7C48">
        <w:rPr>
          <w:b/>
          <w:bCs/>
        </w:rPr>
        <w:t>by</w:t>
      </w:r>
      <w:r w:rsidR="00A03629" w:rsidRPr="002A7C48">
        <w:rPr>
          <w:b/>
          <w:bCs/>
        </w:rPr>
        <w:t xml:space="preserve"> </w:t>
      </w:r>
      <w:r w:rsidRPr="002A7C48">
        <w:rPr>
          <w:b/>
          <w:bCs/>
        </w:rPr>
        <w:t>asset</w:t>
      </w:r>
      <w:r w:rsidR="00A03629" w:rsidRPr="002A7C48">
        <w:rPr>
          <w:b/>
          <w:bCs/>
        </w:rPr>
        <w:t xml:space="preserve"> </w:t>
      </w:r>
      <w:r w:rsidRPr="002A7C48">
        <w:rPr>
          <w:b/>
          <w:bCs/>
        </w:rPr>
        <w:t>class</w:t>
      </w:r>
    </w:p>
    <w:tbl>
      <w:tblPr>
        <w:tblStyle w:val="TableGrid"/>
        <w:tblW w:w="0" w:type="auto"/>
        <w:tblLayout w:type="fixed"/>
        <w:tblLook w:val="04A0" w:firstRow="1" w:lastRow="0" w:firstColumn="1" w:lastColumn="0" w:noHBand="0" w:noVBand="1"/>
      </w:tblPr>
      <w:tblGrid>
        <w:gridCol w:w="6091"/>
        <w:gridCol w:w="2126"/>
      </w:tblGrid>
      <w:tr w:rsidR="000756EB" w14:paraId="4D58F41E" w14:textId="77777777" w:rsidTr="00DE38B5">
        <w:trPr>
          <w:trHeight w:val="60"/>
        </w:trPr>
        <w:tc>
          <w:tcPr>
            <w:tcW w:w="6091" w:type="dxa"/>
          </w:tcPr>
          <w:p w14:paraId="4445AC47" w14:textId="12D96CE0" w:rsidR="000756EB" w:rsidRDefault="004A4D88" w:rsidP="002A7C48">
            <w:pPr>
              <w:pStyle w:val="TableCopy"/>
            </w:pPr>
            <w:r>
              <w:t>Buildings</w:t>
            </w:r>
            <w:r w:rsidR="00A03629">
              <w:t xml:space="preserve"> </w:t>
            </w:r>
            <w:r>
              <w:t>and</w:t>
            </w:r>
            <w:r w:rsidR="00A03629">
              <w:t xml:space="preserve"> </w:t>
            </w:r>
            <w:r>
              <w:t>structures</w:t>
            </w:r>
          </w:p>
        </w:tc>
        <w:tc>
          <w:tcPr>
            <w:tcW w:w="2126" w:type="dxa"/>
          </w:tcPr>
          <w:p w14:paraId="3FEEF5D0" w14:textId="70628A65" w:rsidR="000756EB" w:rsidRDefault="004A4D88" w:rsidP="002A7C48">
            <w:pPr>
              <w:pStyle w:val="TableCopy"/>
              <w:jc w:val="right"/>
            </w:pPr>
            <w:r>
              <w:t>5</w:t>
            </w:r>
            <w:r w:rsidR="00A03629">
              <w:t xml:space="preserve"> </w:t>
            </w:r>
            <w:r>
              <w:t>to</w:t>
            </w:r>
            <w:r w:rsidR="00A03629">
              <w:t xml:space="preserve"> </w:t>
            </w:r>
            <w:r>
              <w:t>55</w:t>
            </w:r>
            <w:r w:rsidR="00A03629">
              <w:t xml:space="preserve"> </w:t>
            </w:r>
            <w:r>
              <w:t>years</w:t>
            </w:r>
          </w:p>
        </w:tc>
      </w:tr>
      <w:tr w:rsidR="000756EB" w14:paraId="5C136223" w14:textId="77777777" w:rsidTr="00DE38B5">
        <w:trPr>
          <w:trHeight w:val="60"/>
        </w:trPr>
        <w:tc>
          <w:tcPr>
            <w:tcW w:w="6091" w:type="dxa"/>
          </w:tcPr>
          <w:p w14:paraId="689A0EA5" w14:textId="11443E84" w:rsidR="000756EB" w:rsidRDefault="004A4D88" w:rsidP="002A7C48">
            <w:pPr>
              <w:pStyle w:val="TableCopy"/>
            </w:pPr>
            <w:r>
              <w:t>Right-of-use</w:t>
            </w:r>
            <w:r w:rsidR="00A03629">
              <w:t xml:space="preserve"> </w:t>
            </w:r>
            <w:r>
              <w:t>assets</w:t>
            </w:r>
          </w:p>
        </w:tc>
        <w:tc>
          <w:tcPr>
            <w:tcW w:w="2126" w:type="dxa"/>
          </w:tcPr>
          <w:p w14:paraId="7930B16C" w14:textId="1CFBF334" w:rsidR="000756EB" w:rsidRDefault="004A4D88" w:rsidP="002A7C48">
            <w:pPr>
              <w:pStyle w:val="TableCopy"/>
              <w:jc w:val="right"/>
            </w:pPr>
            <w:r>
              <w:t>2</w:t>
            </w:r>
            <w:r w:rsidR="00A03629">
              <w:t xml:space="preserve"> </w:t>
            </w:r>
            <w:r>
              <w:t>to</w:t>
            </w:r>
            <w:r w:rsidR="00A03629">
              <w:t xml:space="preserve"> </w:t>
            </w:r>
            <w:r>
              <w:t>13</w:t>
            </w:r>
            <w:r w:rsidR="00A03629">
              <w:t xml:space="preserve"> </w:t>
            </w:r>
            <w:r>
              <w:t>years</w:t>
            </w:r>
          </w:p>
        </w:tc>
      </w:tr>
      <w:tr w:rsidR="000756EB" w14:paraId="267432C5" w14:textId="77777777" w:rsidTr="00DE38B5">
        <w:trPr>
          <w:trHeight w:val="60"/>
        </w:trPr>
        <w:tc>
          <w:tcPr>
            <w:tcW w:w="6091" w:type="dxa"/>
          </w:tcPr>
          <w:p w14:paraId="6EA8B3C0" w14:textId="13FF2C7F" w:rsidR="000756EB" w:rsidRDefault="004A4D88" w:rsidP="002A7C48">
            <w:pPr>
              <w:pStyle w:val="TableCopy"/>
            </w:pPr>
            <w:r>
              <w:t>Cultural</w:t>
            </w:r>
            <w:r w:rsidR="00A03629">
              <w:t xml:space="preserve"> </w:t>
            </w:r>
            <w:r>
              <w:t>assets</w:t>
            </w:r>
            <w:r w:rsidR="00A03629">
              <w:t xml:space="preserve"> </w:t>
            </w:r>
            <w:r>
              <w:t>(with</w:t>
            </w:r>
            <w:r w:rsidR="00A03629">
              <w:t xml:space="preserve"> </w:t>
            </w:r>
            <w:r>
              <w:t>finite</w:t>
            </w:r>
            <w:r w:rsidR="00A03629">
              <w:t xml:space="preserve"> </w:t>
            </w:r>
            <w:r>
              <w:t>useful</w:t>
            </w:r>
            <w:r w:rsidR="00A03629">
              <w:t xml:space="preserve"> </w:t>
            </w:r>
            <w:r>
              <w:t>life)</w:t>
            </w:r>
          </w:p>
        </w:tc>
        <w:tc>
          <w:tcPr>
            <w:tcW w:w="2126" w:type="dxa"/>
          </w:tcPr>
          <w:p w14:paraId="5904C130" w14:textId="19E349F0" w:rsidR="000756EB" w:rsidRDefault="004A4D88" w:rsidP="002A7C48">
            <w:pPr>
              <w:pStyle w:val="TableCopy"/>
              <w:jc w:val="right"/>
            </w:pPr>
            <w:r>
              <w:t>100</w:t>
            </w:r>
            <w:r w:rsidR="00A03629">
              <w:t xml:space="preserve"> </w:t>
            </w:r>
            <w:r>
              <w:t>years</w:t>
            </w:r>
          </w:p>
        </w:tc>
      </w:tr>
      <w:tr w:rsidR="000756EB" w14:paraId="2A2A5960" w14:textId="77777777" w:rsidTr="00DE38B5">
        <w:trPr>
          <w:trHeight w:val="60"/>
        </w:trPr>
        <w:tc>
          <w:tcPr>
            <w:tcW w:w="6091" w:type="dxa"/>
          </w:tcPr>
          <w:p w14:paraId="52CC6B5C" w14:textId="4E15AB29" w:rsidR="000756EB" w:rsidRDefault="004A4D88" w:rsidP="002A7C48">
            <w:pPr>
              <w:pStyle w:val="TableCopy"/>
            </w:pPr>
            <w:r>
              <w:t>Leasehold</w:t>
            </w:r>
            <w:r w:rsidR="00A03629">
              <w:t xml:space="preserve"> </w:t>
            </w:r>
            <w:r>
              <w:t>improvements</w:t>
            </w:r>
          </w:p>
        </w:tc>
        <w:tc>
          <w:tcPr>
            <w:tcW w:w="2126" w:type="dxa"/>
          </w:tcPr>
          <w:p w14:paraId="073F8051" w14:textId="474131E5" w:rsidR="000756EB" w:rsidRDefault="004A4D88" w:rsidP="002A7C48">
            <w:pPr>
              <w:pStyle w:val="TableCopy"/>
              <w:jc w:val="right"/>
            </w:pPr>
            <w:r>
              <w:t>1</w:t>
            </w:r>
            <w:r w:rsidR="00A03629">
              <w:t xml:space="preserve"> </w:t>
            </w:r>
            <w:r>
              <w:t>to</w:t>
            </w:r>
            <w:r w:rsidR="00A03629">
              <w:t xml:space="preserve"> </w:t>
            </w:r>
            <w:r>
              <w:t>20</w:t>
            </w:r>
            <w:r w:rsidR="00A03629">
              <w:t xml:space="preserve"> </w:t>
            </w:r>
            <w:r>
              <w:t>years</w:t>
            </w:r>
          </w:p>
        </w:tc>
      </w:tr>
      <w:tr w:rsidR="000756EB" w14:paraId="1E20BCCE" w14:textId="77777777" w:rsidTr="00DE38B5">
        <w:trPr>
          <w:trHeight w:val="60"/>
        </w:trPr>
        <w:tc>
          <w:tcPr>
            <w:tcW w:w="6091" w:type="dxa"/>
          </w:tcPr>
          <w:p w14:paraId="35B38953" w14:textId="66324931" w:rsidR="000756EB" w:rsidRDefault="004A4D88" w:rsidP="002A7C48">
            <w:pPr>
              <w:pStyle w:val="TableCopy"/>
            </w:pPr>
            <w:r>
              <w:t>Plant</w:t>
            </w:r>
            <w:r w:rsidR="00A03629">
              <w:t xml:space="preserve"> </w:t>
            </w:r>
            <w:r>
              <w:t>and</w:t>
            </w:r>
            <w:r w:rsidR="00A03629">
              <w:t xml:space="preserve"> </w:t>
            </w:r>
            <w:r>
              <w:t>equipment</w:t>
            </w:r>
          </w:p>
        </w:tc>
        <w:tc>
          <w:tcPr>
            <w:tcW w:w="2126" w:type="dxa"/>
          </w:tcPr>
          <w:p w14:paraId="43A7F9A3" w14:textId="36D18E4E" w:rsidR="000756EB" w:rsidRDefault="004A4D88" w:rsidP="002A7C48">
            <w:pPr>
              <w:pStyle w:val="TableCopy"/>
              <w:jc w:val="right"/>
            </w:pPr>
            <w:r>
              <w:t>1</w:t>
            </w:r>
            <w:r w:rsidR="00A03629">
              <w:t xml:space="preserve"> </w:t>
            </w:r>
            <w:r>
              <w:t>to</w:t>
            </w:r>
            <w:r w:rsidR="00A03629">
              <w:t xml:space="preserve"> </w:t>
            </w:r>
            <w:r>
              <w:t>10</w:t>
            </w:r>
            <w:r w:rsidR="00A03629">
              <w:t xml:space="preserve"> </w:t>
            </w:r>
            <w:r>
              <w:t>years</w:t>
            </w:r>
          </w:p>
        </w:tc>
      </w:tr>
      <w:tr w:rsidR="000756EB" w14:paraId="4840F9E7" w14:textId="77777777" w:rsidTr="00DE38B5">
        <w:trPr>
          <w:trHeight w:val="60"/>
        </w:trPr>
        <w:tc>
          <w:tcPr>
            <w:tcW w:w="6091" w:type="dxa"/>
          </w:tcPr>
          <w:p w14:paraId="68F7F576" w14:textId="36EA911B" w:rsidR="000756EB" w:rsidRDefault="004A4D88" w:rsidP="002A7C48">
            <w:pPr>
              <w:pStyle w:val="TableCopy"/>
            </w:pPr>
            <w:r>
              <w:t>Motor</w:t>
            </w:r>
            <w:r w:rsidR="00A03629">
              <w:t xml:space="preserve"> </w:t>
            </w:r>
            <w:r>
              <w:t>vehicles</w:t>
            </w:r>
            <w:r w:rsidR="00A03629">
              <w:t xml:space="preserve"> </w:t>
            </w:r>
            <w:r>
              <w:t>at</w:t>
            </w:r>
            <w:r w:rsidR="00A03629">
              <w:t xml:space="preserve"> </w:t>
            </w:r>
            <w:r>
              <w:t>fair</w:t>
            </w:r>
            <w:r w:rsidR="00A03629">
              <w:t xml:space="preserve"> </w:t>
            </w:r>
            <w:r>
              <w:t>value</w:t>
            </w:r>
          </w:p>
        </w:tc>
        <w:tc>
          <w:tcPr>
            <w:tcW w:w="2126" w:type="dxa"/>
          </w:tcPr>
          <w:p w14:paraId="0B90ACC7" w14:textId="07D22C1A" w:rsidR="000756EB" w:rsidRDefault="004A4D88" w:rsidP="002A7C48">
            <w:pPr>
              <w:pStyle w:val="TableCopy"/>
              <w:jc w:val="right"/>
            </w:pPr>
            <w:r>
              <w:t>1</w:t>
            </w:r>
            <w:r w:rsidR="00A03629">
              <w:t xml:space="preserve"> </w:t>
            </w:r>
            <w:r>
              <w:t>to</w:t>
            </w:r>
            <w:r w:rsidR="00A03629">
              <w:t xml:space="preserve"> </w:t>
            </w:r>
            <w:r>
              <w:t>6</w:t>
            </w:r>
            <w:r w:rsidR="00A03629">
              <w:t xml:space="preserve"> </w:t>
            </w:r>
            <w:r>
              <w:t>years</w:t>
            </w:r>
          </w:p>
        </w:tc>
      </w:tr>
      <w:tr w:rsidR="000756EB" w14:paraId="5FE64728" w14:textId="77777777" w:rsidTr="00DE38B5">
        <w:trPr>
          <w:trHeight w:val="60"/>
        </w:trPr>
        <w:tc>
          <w:tcPr>
            <w:tcW w:w="6091" w:type="dxa"/>
          </w:tcPr>
          <w:p w14:paraId="7FBFE1D0" w14:textId="4CAB7C36" w:rsidR="000756EB" w:rsidRDefault="004A4D88" w:rsidP="002A7C48">
            <w:pPr>
              <w:pStyle w:val="TableCopy"/>
            </w:pPr>
            <w:r>
              <w:t>Intangible</w:t>
            </w:r>
            <w:r w:rsidR="00A03629">
              <w:t xml:space="preserve"> </w:t>
            </w:r>
            <w:r>
              <w:t>produced</w:t>
            </w:r>
            <w:r w:rsidR="00A03629">
              <w:t xml:space="preserve"> </w:t>
            </w:r>
            <w:r>
              <w:t>assets</w:t>
            </w:r>
            <w:r w:rsidR="00A03629">
              <w:t xml:space="preserve"> </w:t>
            </w:r>
            <w:r>
              <w:t>–</w:t>
            </w:r>
            <w:r w:rsidR="00A03629">
              <w:t xml:space="preserve"> </w:t>
            </w:r>
            <w:r>
              <w:t>software</w:t>
            </w:r>
            <w:r w:rsidR="00A03629">
              <w:rPr>
                <w:rFonts w:ascii="Cambria" w:hAnsi="Cambria" w:cs="Cambria"/>
              </w:rPr>
              <w:t xml:space="preserve"> </w:t>
            </w:r>
            <w:r>
              <w:t>development</w:t>
            </w:r>
          </w:p>
        </w:tc>
        <w:tc>
          <w:tcPr>
            <w:tcW w:w="2126" w:type="dxa"/>
          </w:tcPr>
          <w:p w14:paraId="7F46F307" w14:textId="0C5C06AD" w:rsidR="000756EB" w:rsidRDefault="004A4D88" w:rsidP="002A7C48">
            <w:pPr>
              <w:pStyle w:val="TableCopy"/>
              <w:jc w:val="right"/>
            </w:pPr>
            <w:r>
              <w:t>4</w:t>
            </w:r>
            <w:r w:rsidR="00A03629">
              <w:t xml:space="preserve"> </w:t>
            </w:r>
            <w:r>
              <w:t>to</w:t>
            </w:r>
            <w:r w:rsidR="00A03629">
              <w:t xml:space="preserve"> </w:t>
            </w:r>
            <w:r>
              <w:t>7</w:t>
            </w:r>
            <w:r w:rsidR="00A03629">
              <w:t xml:space="preserve"> </w:t>
            </w:r>
            <w:r>
              <w:t>years</w:t>
            </w:r>
          </w:p>
        </w:tc>
      </w:tr>
    </w:tbl>
    <w:p w14:paraId="2044ADDD" w14:textId="77777777" w:rsidR="000756EB" w:rsidRDefault="000756EB" w:rsidP="002A7C48"/>
    <w:p w14:paraId="65B8DE28" w14:textId="1316BF96" w:rsidR="000756EB" w:rsidRDefault="004A4D88" w:rsidP="002A7C48">
      <w:r>
        <w:t>The</w:t>
      </w:r>
      <w:r w:rsidR="00A03629">
        <w:t xml:space="preserve"> </w:t>
      </w:r>
      <w:r>
        <w:t>estimated</w:t>
      </w:r>
      <w:r w:rsidR="00A03629">
        <w:t xml:space="preserve"> </w:t>
      </w:r>
      <w:r>
        <w:t>useful</w:t>
      </w:r>
      <w:r w:rsidR="00A03629">
        <w:t xml:space="preserve"> </w:t>
      </w:r>
      <w:r>
        <w:t>lives,</w:t>
      </w:r>
      <w:r w:rsidR="00A03629">
        <w:t xml:space="preserve"> </w:t>
      </w:r>
      <w:r>
        <w:t>residual</w:t>
      </w:r>
      <w:r w:rsidR="00A03629">
        <w:t xml:space="preserve"> </w:t>
      </w:r>
      <w:r>
        <w:t>values</w:t>
      </w:r>
      <w:r w:rsidR="00A03629">
        <w:t xml:space="preserve"> </w:t>
      </w:r>
      <w:r>
        <w:t>and</w:t>
      </w:r>
      <w:r w:rsidR="00A03629">
        <w:t xml:space="preserve"> </w:t>
      </w:r>
      <w:r>
        <w:t>depreciation</w:t>
      </w:r>
      <w:r w:rsidR="00A03629">
        <w:t xml:space="preserve"> </w:t>
      </w:r>
      <w:r>
        <w:t>methods</w:t>
      </w:r>
      <w:r w:rsidR="00A03629">
        <w:t xml:space="preserve"> </w:t>
      </w:r>
      <w:r>
        <w:t>are</w:t>
      </w:r>
      <w:r w:rsidR="00A03629">
        <w:t xml:space="preserve"> </w:t>
      </w:r>
      <w:r>
        <w:t>reviewed</w:t>
      </w:r>
      <w:r w:rsidR="00A03629">
        <w:t xml:space="preserve"> </w:t>
      </w:r>
      <w:r>
        <w:t>at</w:t>
      </w:r>
      <w:r w:rsidR="00A03629">
        <w:t xml:space="preserve"> </w:t>
      </w:r>
      <w:r>
        <w:t>the</w:t>
      </w:r>
      <w:r w:rsidR="00A03629">
        <w:t xml:space="preserve"> </w:t>
      </w:r>
      <w:r>
        <w:t>end</w:t>
      </w:r>
      <w:r w:rsidR="00A03629">
        <w:t xml:space="preserve"> </w:t>
      </w:r>
      <w:r>
        <w:t>of</w:t>
      </w:r>
      <w:r w:rsidR="00A03629">
        <w:rPr>
          <w:rFonts w:ascii="Cambria" w:hAnsi="Cambria" w:cs="Cambria"/>
        </w:rPr>
        <w:t xml:space="preserve"> </w:t>
      </w:r>
      <w:r>
        <w:t>each</w:t>
      </w:r>
      <w:r w:rsidR="00A03629">
        <w:t xml:space="preserve"> </w:t>
      </w:r>
      <w:r>
        <w:t>annual</w:t>
      </w:r>
      <w:r w:rsidR="00A03629">
        <w:t xml:space="preserve"> </w:t>
      </w:r>
      <w:r>
        <w:t>reporting</w:t>
      </w:r>
      <w:r w:rsidR="00A03629">
        <w:t xml:space="preserve"> </w:t>
      </w:r>
      <w:r>
        <w:t>period</w:t>
      </w:r>
      <w:r w:rsidR="00A03629">
        <w:t xml:space="preserve"> </w:t>
      </w:r>
      <w:r>
        <w:t>and</w:t>
      </w:r>
      <w:r w:rsidR="00A03629">
        <w:t xml:space="preserve"> </w:t>
      </w:r>
      <w:r>
        <w:t>adjustments</w:t>
      </w:r>
      <w:r w:rsidR="00A03629">
        <w:t xml:space="preserve"> </w:t>
      </w:r>
      <w:r>
        <w:t>made</w:t>
      </w:r>
      <w:r w:rsidR="00A03629">
        <w:t xml:space="preserve"> </w:t>
      </w:r>
      <w:r>
        <w:t>where</w:t>
      </w:r>
      <w:r w:rsidR="00A03629">
        <w:t xml:space="preserve"> </w:t>
      </w:r>
      <w:r>
        <w:t>appropriate.</w:t>
      </w:r>
    </w:p>
    <w:p w14:paraId="002F80D9" w14:textId="739A4ACE" w:rsidR="000756EB" w:rsidRDefault="004A4D88" w:rsidP="002A7C48">
      <w:r>
        <w:lastRenderedPageBreak/>
        <w:t>Right-of-use</w:t>
      </w:r>
      <w:r w:rsidR="00A03629">
        <w:t xml:space="preserve"> </w:t>
      </w:r>
      <w:r>
        <w:t>assets</w:t>
      </w:r>
      <w:r w:rsidR="00A03629">
        <w:t xml:space="preserve"> </w:t>
      </w:r>
      <w:r>
        <w:t>are</w:t>
      </w:r>
      <w:r w:rsidR="00A03629">
        <w:t xml:space="preserve"> </w:t>
      </w:r>
      <w:r>
        <w:t>generally</w:t>
      </w:r>
      <w:r w:rsidR="00A03629">
        <w:t xml:space="preserve"> </w:t>
      </w:r>
      <w:r>
        <w:t>depreciated</w:t>
      </w:r>
      <w:r w:rsidR="00A03629">
        <w:t xml:space="preserve"> </w:t>
      </w:r>
      <w:r>
        <w:t>over</w:t>
      </w:r>
      <w:r w:rsidR="00A03629">
        <w:t xml:space="preserve"> </w:t>
      </w:r>
      <w:r>
        <w:t>the</w:t>
      </w:r>
      <w:r w:rsidR="00A03629">
        <w:t xml:space="preserve"> </w:t>
      </w:r>
      <w:r>
        <w:t>shorter</w:t>
      </w:r>
      <w:r w:rsidR="00A03629">
        <w:t xml:space="preserve"> </w:t>
      </w:r>
      <w:r>
        <w:t>of</w:t>
      </w:r>
      <w:r w:rsidR="00A03629">
        <w:t xml:space="preserve"> </w:t>
      </w:r>
      <w:r>
        <w:t>the</w:t>
      </w:r>
      <w:r w:rsidR="00A03629">
        <w:t xml:space="preserve"> </w:t>
      </w:r>
      <w:r>
        <w:t>asset’s</w:t>
      </w:r>
      <w:r w:rsidR="00A03629">
        <w:t xml:space="preserve"> </w:t>
      </w:r>
      <w:r>
        <w:t>useful</w:t>
      </w:r>
      <w:r w:rsidR="00A03629">
        <w:t xml:space="preserve"> </w:t>
      </w:r>
      <w:r>
        <w:t>life</w:t>
      </w:r>
      <w:r w:rsidR="00A03629">
        <w:t xml:space="preserve"> </w:t>
      </w:r>
      <w:r>
        <w:t>and</w:t>
      </w:r>
      <w:r w:rsidR="00A03629">
        <w:t xml:space="preserve"> </w:t>
      </w:r>
      <w:r>
        <w:t>the</w:t>
      </w:r>
      <w:r w:rsidR="00A03629">
        <w:t xml:space="preserve"> </w:t>
      </w:r>
      <w:r>
        <w:t>lease</w:t>
      </w:r>
      <w:r w:rsidR="00A03629">
        <w:t xml:space="preserve"> </w:t>
      </w:r>
      <w:r>
        <w:t>term.</w:t>
      </w:r>
      <w:r w:rsidR="00A03629">
        <w:t xml:space="preserve"> </w:t>
      </w:r>
      <w:r>
        <w:t>Where</w:t>
      </w:r>
      <w:r w:rsidR="00A03629">
        <w:t xml:space="preserve"> </w:t>
      </w:r>
      <w:r>
        <w:t>DJSIR</w:t>
      </w:r>
      <w:r w:rsidR="00A03629">
        <w:t xml:space="preserve"> </w:t>
      </w:r>
      <w:r>
        <w:t>obtains</w:t>
      </w:r>
      <w:r w:rsidR="00A03629">
        <w:t xml:space="preserve"> </w:t>
      </w:r>
      <w:r>
        <w:t>ownership</w:t>
      </w:r>
      <w:r w:rsidR="00A03629">
        <w:t xml:space="preserve"> </w:t>
      </w:r>
      <w:r>
        <w:t>of</w:t>
      </w:r>
      <w:r w:rsidR="00A03629">
        <w:t xml:space="preserve"> </w:t>
      </w:r>
      <w:r>
        <w:t>the</w:t>
      </w:r>
      <w:r w:rsidR="00A03629">
        <w:t xml:space="preserve"> </w:t>
      </w:r>
      <w:r>
        <w:t>underlying</w:t>
      </w:r>
      <w:r w:rsidR="00A03629">
        <w:t xml:space="preserve"> </w:t>
      </w:r>
      <w:r>
        <w:t>leased</w:t>
      </w:r>
      <w:r w:rsidR="00A03629">
        <w:t xml:space="preserve"> </w:t>
      </w:r>
      <w:r>
        <w:t>asset</w:t>
      </w:r>
      <w:r w:rsidR="00A03629">
        <w:t xml:space="preserve"> </w:t>
      </w:r>
      <w:r>
        <w:t>or</w:t>
      </w:r>
      <w:r w:rsidR="00A03629">
        <w:t xml:space="preserve"> </w:t>
      </w:r>
      <w:r>
        <w:t>if</w:t>
      </w:r>
      <w:r w:rsidR="00A03629">
        <w:t xml:space="preserve"> </w:t>
      </w:r>
      <w:r>
        <w:t>the</w:t>
      </w:r>
      <w:r w:rsidR="00A03629">
        <w:t xml:space="preserve"> </w:t>
      </w:r>
      <w:r>
        <w:t>cost</w:t>
      </w:r>
      <w:r w:rsidR="00A03629">
        <w:t xml:space="preserve"> </w:t>
      </w:r>
      <w:r>
        <w:t>of</w:t>
      </w:r>
      <w:r w:rsidR="00A03629">
        <w:t xml:space="preserve"> </w:t>
      </w:r>
      <w:r>
        <w:t>the</w:t>
      </w:r>
      <w:r w:rsidR="00A03629">
        <w:t xml:space="preserve"> </w:t>
      </w:r>
      <w:r>
        <w:t>right-of-use</w:t>
      </w:r>
      <w:r w:rsidR="00A03629">
        <w:t xml:space="preserve"> </w:t>
      </w:r>
      <w:r>
        <w:t>asset</w:t>
      </w:r>
      <w:r w:rsidR="00A03629">
        <w:t xml:space="preserve"> </w:t>
      </w:r>
      <w:r>
        <w:t>reflects</w:t>
      </w:r>
      <w:r w:rsidR="00A03629">
        <w:t xml:space="preserve"> </w:t>
      </w:r>
      <w:r>
        <w:t>that</w:t>
      </w:r>
      <w:r w:rsidR="00A03629">
        <w:t xml:space="preserve"> </w:t>
      </w:r>
      <w:r>
        <w:t>the</w:t>
      </w:r>
      <w:r w:rsidR="00A03629">
        <w:t xml:space="preserve"> </w:t>
      </w:r>
      <w:r>
        <w:t>entity</w:t>
      </w:r>
      <w:r w:rsidR="00A03629">
        <w:t xml:space="preserve"> </w:t>
      </w:r>
      <w:r>
        <w:t>will</w:t>
      </w:r>
      <w:r w:rsidR="00A03629">
        <w:t xml:space="preserve"> </w:t>
      </w:r>
      <w:r>
        <w:t>exercise</w:t>
      </w:r>
      <w:r w:rsidR="00A03629">
        <w:t xml:space="preserve"> </w:t>
      </w:r>
      <w:r>
        <w:t>a</w:t>
      </w:r>
      <w:r w:rsidR="00A03629">
        <w:t xml:space="preserve"> </w:t>
      </w:r>
      <w:r>
        <w:t>purchase</w:t>
      </w:r>
      <w:r w:rsidR="00A03629">
        <w:t xml:space="preserve"> </w:t>
      </w:r>
      <w:r>
        <w:t>option,</w:t>
      </w:r>
      <w:r w:rsidR="00A03629">
        <w:t xml:space="preserve"> </w:t>
      </w:r>
      <w:r>
        <w:t>the</w:t>
      </w:r>
      <w:r w:rsidR="00A03629">
        <w:t xml:space="preserve"> </w:t>
      </w:r>
      <w:r>
        <w:t>entity</w:t>
      </w:r>
      <w:r w:rsidR="00A03629">
        <w:t xml:space="preserve"> </w:t>
      </w:r>
      <w:r>
        <w:t>depreciates</w:t>
      </w:r>
      <w:r w:rsidR="00A03629">
        <w:t xml:space="preserve"> </w:t>
      </w:r>
      <w:r>
        <w:t>the</w:t>
      </w:r>
      <w:r w:rsidR="00A03629">
        <w:t xml:space="preserve"> </w:t>
      </w:r>
      <w:r>
        <w:t>right</w:t>
      </w:r>
      <w:r>
        <w:noBreakHyphen/>
        <w:t>of</w:t>
      </w:r>
      <w:r>
        <w:noBreakHyphen/>
        <w:t>use</w:t>
      </w:r>
      <w:r w:rsidR="00A03629">
        <w:t xml:space="preserve"> </w:t>
      </w:r>
      <w:r>
        <w:t>asset</w:t>
      </w:r>
      <w:r w:rsidR="00A03629">
        <w:t xml:space="preserve"> </w:t>
      </w:r>
      <w:r>
        <w:t>over</w:t>
      </w:r>
      <w:r w:rsidR="00A03629">
        <w:t xml:space="preserve"> </w:t>
      </w:r>
      <w:r>
        <w:t>its</w:t>
      </w:r>
      <w:r w:rsidR="00A03629">
        <w:t xml:space="preserve"> </w:t>
      </w:r>
      <w:r>
        <w:t>useful</w:t>
      </w:r>
      <w:r w:rsidR="00A03629">
        <w:t xml:space="preserve"> </w:t>
      </w:r>
      <w:r>
        <w:t>life.</w:t>
      </w:r>
    </w:p>
    <w:p w14:paraId="396EAFEB" w14:textId="07F7EDDA" w:rsidR="000756EB" w:rsidRDefault="004A4D88" w:rsidP="002A7C48">
      <w:r>
        <w:t>Leasehold</w:t>
      </w:r>
      <w:r w:rsidR="00A03629">
        <w:t xml:space="preserve"> </w:t>
      </w:r>
      <w:r>
        <w:t>improvements</w:t>
      </w:r>
      <w:r w:rsidR="00A03629">
        <w:t xml:space="preserve"> </w:t>
      </w:r>
      <w:r>
        <w:t>are</w:t>
      </w:r>
      <w:r w:rsidR="00A03629">
        <w:t xml:space="preserve"> </w:t>
      </w:r>
      <w:r>
        <w:t>depreciated</w:t>
      </w:r>
      <w:r w:rsidR="00A03629">
        <w:t xml:space="preserve"> </w:t>
      </w:r>
      <w:r>
        <w:t>over</w:t>
      </w:r>
      <w:r w:rsidR="00A03629">
        <w:t xml:space="preserve"> </w:t>
      </w:r>
      <w:r>
        <w:t>the</w:t>
      </w:r>
      <w:r w:rsidR="00A03629">
        <w:rPr>
          <w:rFonts w:ascii="Cambria" w:hAnsi="Cambria" w:cs="Cambria"/>
        </w:rPr>
        <w:t xml:space="preserve"> </w:t>
      </w:r>
      <w:r>
        <w:t>shorter</w:t>
      </w:r>
      <w:r w:rsidR="00A03629">
        <w:t xml:space="preserve"> </w:t>
      </w:r>
      <w:r>
        <w:t>of</w:t>
      </w:r>
      <w:r w:rsidR="00A03629">
        <w:t xml:space="preserve"> </w:t>
      </w:r>
      <w:r>
        <w:t>the</w:t>
      </w:r>
      <w:r w:rsidR="00A03629">
        <w:t xml:space="preserve"> </w:t>
      </w:r>
      <w:r>
        <w:t>lease</w:t>
      </w:r>
      <w:r w:rsidR="00A03629">
        <w:t xml:space="preserve"> </w:t>
      </w:r>
      <w:r>
        <w:t>term</w:t>
      </w:r>
      <w:r w:rsidR="00A03629">
        <w:t xml:space="preserve"> </w:t>
      </w:r>
      <w:r>
        <w:t>and</w:t>
      </w:r>
      <w:r w:rsidR="00A03629">
        <w:t xml:space="preserve"> </w:t>
      </w:r>
      <w:r>
        <w:t>their</w:t>
      </w:r>
      <w:r w:rsidR="00A03629">
        <w:t xml:space="preserve"> </w:t>
      </w:r>
      <w:r>
        <w:t>useful</w:t>
      </w:r>
      <w:r w:rsidR="00A03629">
        <w:t xml:space="preserve"> </w:t>
      </w:r>
      <w:r>
        <w:t>lives.</w:t>
      </w:r>
    </w:p>
    <w:p w14:paraId="665F8EDB" w14:textId="57D0D0DA" w:rsidR="000756EB" w:rsidRDefault="004A4D88" w:rsidP="002A7C48">
      <w:r>
        <w:t>In</w:t>
      </w:r>
      <w:r w:rsidR="00A03629">
        <w:t xml:space="preserve"> </w:t>
      </w:r>
      <w:r>
        <w:t>the</w:t>
      </w:r>
      <w:r w:rsidR="00A03629">
        <w:t xml:space="preserve"> </w:t>
      </w:r>
      <w:r>
        <w:t>event</w:t>
      </w:r>
      <w:r w:rsidR="00A03629">
        <w:t xml:space="preserve"> </w:t>
      </w:r>
      <w:r>
        <w:t>of</w:t>
      </w:r>
      <w:r w:rsidR="00A03629">
        <w:t xml:space="preserve"> </w:t>
      </w:r>
      <w:r>
        <w:t>the</w:t>
      </w:r>
      <w:r w:rsidR="00A03629">
        <w:t xml:space="preserve"> </w:t>
      </w:r>
      <w:r>
        <w:t>loss</w:t>
      </w:r>
      <w:r w:rsidR="00A03629">
        <w:t xml:space="preserve"> </w:t>
      </w:r>
      <w:r>
        <w:t>or</w:t>
      </w:r>
      <w:r w:rsidR="00A03629">
        <w:t xml:space="preserve"> </w:t>
      </w:r>
      <w:r>
        <w:t>destruction</w:t>
      </w:r>
      <w:r w:rsidR="00A03629">
        <w:t xml:space="preserve"> </w:t>
      </w:r>
      <w:r>
        <w:t>of</w:t>
      </w:r>
      <w:r w:rsidR="00A03629">
        <w:t xml:space="preserve"> </w:t>
      </w:r>
      <w:r>
        <w:t>an</w:t>
      </w:r>
      <w:r w:rsidR="00A03629">
        <w:t xml:space="preserve"> </w:t>
      </w:r>
      <w:r>
        <w:t>asset,</w:t>
      </w:r>
      <w:r w:rsidR="00A03629">
        <w:t xml:space="preserve"> </w:t>
      </w:r>
      <w:r>
        <w:t>the</w:t>
      </w:r>
      <w:r w:rsidR="00A03629">
        <w:rPr>
          <w:rFonts w:ascii="Cambria" w:hAnsi="Cambria" w:cs="Cambria"/>
        </w:rPr>
        <w:t xml:space="preserve"> </w:t>
      </w:r>
      <w:r>
        <w:t>future</w:t>
      </w:r>
      <w:r w:rsidR="00A03629">
        <w:t xml:space="preserve"> </w:t>
      </w:r>
      <w:r>
        <w:t>economic</w:t>
      </w:r>
      <w:r w:rsidR="00A03629">
        <w:t xml:space="preserve"> </w:t>
      </w:r>
      <w:r>
        <w:t>benefits</w:t>
      </w:r>
      <w:r w:rsidR="00A03629">
        <w:t xml:space="preserve"> </w:t>
      </w:r>
      <w:r>
        <w:t>arising</w:t>
      </w:r>
      <w:r w:rsidR="00A03629">
        <w:t xml:space="preserve"> </w:t>
      </w:r>
      <w:r>
        <w:t>from</w:t>
      </w:r>
      <w:r w:rsidR="00A03629">
        <w:t xml:space="preserve"> </w:t>
      </w:r>
      <w:r>
        <w:t>the</w:t>
      </w:r>
      <w:r w:rsidR="00A03629">
        <w:t xml:space="preserve"> </w:t>
      </w:r>
      <w:r>
        <w:t>use</w:t>
      </w:r>
      <w:r w:rsidR="00A03629">
        <w:t xml:space="preserve"> </w:t>
      </w:r>
      <w:r>
        <w:t>of</w:t>
      </w:r>
      <w:r w:rsidR="00A03629">
        <w:rPr>
          <w:rFonts w:ascii="Cambria" w:hAnsi="Cambria" w:cs="Cambria"/>
        </w:rPr>
        <w:t xml:space="preserve"> </w:t>
      </w:r>
      <w:r>
        <w:t>the</w:t>
      </w:r>
      <w:r w:rsidR="00A03629">
        <w:t xml:space="preserve"> </w:t>
      </w:r>
      <w:r>
        <w:t>asset</w:t>
      </w:r>
      <w:r w:rsidR="00A03629">
        <w:t xml:space="preserve"> </w:t>
      </w:r>
      <w:r>
        <w:t>will</w:t>
      </w:r>
      <w:r w:rsidR="00A03629">
        <w:t xml:space="preserve"> </w:t>
      </w:r>
      <w:r>
        <w:t>be</w:t>
      </w:r>
      <w:r w:rsidR="00A03629">
        <w:t xml:space="preserve"> </w:t>
      </w:r>
      <w:r>
        <w:t>replaced</w:t>
      </w:r>
      <w:r w:rsidR="00A03629">
        <w:t xml:space="preserve"> </w:t>
      </w:r>
      <w:r>
        <w:t>(unless</w:t>
      </w:r>
      <w:r w:rsidR="00A03629">
        <w:t xml:space="preserve"> </w:t>
      </w:r>
      <w:r>
        <w:t>a</w:t>
      </w:r>
      <w:r w:rsidR="00A03629">
        <w:t xml:space="preserve"> </w:t>
      </w:r>
      <w:r>
        <w:t>specific</w:t>
      </w:r>
      <w:r w:rsidR="00A03629">
        <w:t xml:space="preserve"> </w:t>
      </w:r>
      <w:r>
        <w:t>decision</w:t>
      </w:r>
      <w:r w:rsidR="00A03629">
        <w:t xml:space="preserve"> </w:t>
      </w:r>
      <w:r>
        <w:t>to</w:t>
      </w:r>
      <w:r w:rsidR="00A03629">
        <w:t xml:space="preserve"> </w:t>
      </w:r>
      <w:r>
        <w:t>the</w:t>
      </w:r>
      <w:r w:rsidR="00A03629">
        <w:t xml:space="preserve"> </w:t>
      </w:r>
      <w:r>
        <w:t>contrary</w:t>
      </w:r>
      <w:r w:rsidR="00A03629">
        <w:t xml:space="preserve"> </w:t>
      </w:r>
      <w:r>
        <w:t>has</w:t>
      </w:r>
      <w:r w:rsidR="00A03629">
        <w:t xml:space="preserve"> </w:t>
      </w:r>
      <w:r>
        <w:t>been</w:t>
      </w:r>
      <w:r w:rsidR="00A03629">
        <w:t xml:space="preserve"> </w:t>
      </w:r>
      <w:r>
        <w:t>made).</w:t>
      </w:r>
    </w:p>
    <w:p w14:paraId="7AF85088" w14:textId="77777777" w:rsidR="000756EB" w:rsidRPr="002A7C48" w:rsidRDefault="004A4D88" w:rsidP="002A7C48">
      <w:pPr>
        <w:pStyle w:val="Normalbeforebullets"/>
        <w:rPr>
          <w:b/>
          <w:bCs/>
        </w:rPr>
      </w:pPr>
      <w:r w:rsidRPr="002A7C48">
        <w:rPr>
          <w:b/>
          <w:bCs/>
        </w:rPr>
        <w:t>Impairment</w:t>
      </w:r>
    </w:p>
    <w:p w14:paraId="23365D9B" w14:textId="73D07798" w:rsidR="000756EB" w:rsidRDefault="004A4D88" w:rsidP="002A7C48">
      <w:r>
        <w:t>The</w:t>
      </w:r>
      <w:r w:rsidR="00A03629">
        <w:t xml:space="preserve"> </w:t>
      </w:r>
      <w:r>
        <w:t>recoverable</w:t>
      </w:r>
      <w:r w:rsidR="00A03629">
        <w:t xml:space="preserve"> </w:t>
      </w:r>
      <w:r>
        <w:t>amount</w:t>
      </w:r>
      <w:r w:rsidR="00A03629">
        <w:t xml:space="preserve"> </w:t>
      </w:r>
      <w:r>
        <w:t>of</w:t>
      </w:r>
      <w:r w:rsidR="00A03629">
        <w:t xml:space="preserve"> </w:t>
      </w:r>
      <w:r>
        <w:t>primarily</w:t>
      </w:r>
      <w:r w:rsidR="00A03629">
        <w:t xml:space="preserve"> </w:t>
      </w:r>
      <w:r>
        <w:t>non-cash-generating</w:t>
      </w:r>
      <w:r w:rsidR="00A03629">
        <w:t xml:space="preserve"> </w:t>
      </w:r>
      <w:r>
        <w:t>assets</w:t>
      </w:r>
      <w:r w:rsidR="00A03629">
        <w:t xml:space="preserve"> </w:t>
      </w:r>
      <w:r>
        <w:t>of</w:t>
      </w:r>
      <w:r w:rsidR="00A03629">
        <w:t xml:space="preserve"> </w:t>
      </w:r>
      <w:r>
        <w:t>not-for-profit</w:t>
      </w:r>
      <w:r w:rsidR="00A03629">
        <w:t xml:space="preserve"> </w:t>
      </w:r>
      <w:r>
        <w:t>entities,</w:t>
      </w:r>
      <w:r w:rsidR="00A03629">
        <w:t xml:space="preserve"> </w:t>
      </w:r>
      <w:r>
        <w:t>which</w:t>
      </w:r>
      <w:r w:rsidR="00A03629">
        <w:t xml:space="preserve"> </w:t>
      </w:r>
      <w:r>
        <w:t>are</w:t>
      </w:r>
      <w:r w:rsidR="00A03629">
        <w:t xml:space="preserve"> </w:t>
      </w:r>
      <w:r>
        <w:t>typically</w:t>
      </w:r>
      <w:r w:rsidR="00A03629">
        <w:t xml:space="preserve"> </w:t>
      </w:r>
      <w:r>
        <w:t>specialised</w:t>
      </w:r>
      <w:r w:rsidR="00A03629">
        <w:t xml:space="preserve"> </w:t>
      </w:r>
      <w:r>
        <w:t>in</w:t>
      </w:r>
      <w:r w:rsidR="00A03629">
        <w:t xml:space="preserve"> </w:t>
      </w:r>
      <w:r>
        <w:t>nature</w:t>
      </w:r>
      <w:r w:rsidR="00A03629">
        <w:t xml:space="preserve"> </w:t>
      </w:r>
      <w:r>
        <w:t>and</w:t>
      </w:r>
      <w:r w:rsidR="00A03629">
        <w:t xml:space="preserve"> </w:t>
      </w:r>
      <w:r>
        <w:t>held</w:t>
      </w:r>
      <w:r w:rsidR="00A03629">
        <w:t xml:space="preserve"> </w:t>
      </w:r>
      <w:r>
        <w:t>for</w:t>
      </w:r>
      <w:r w:rsidR="00A03629">
        <w:t xml:space="preserve"> </w:t>
      </w:r>
      <w:r>
        <w:t>continuing</w:t>
      </w:r>
      <w:r w:rsidR="00A03629">
        <w:t xml:space="preserve"> </w:t>
      </w:r>
      <w:r>
        <w:t>use</w:t>
      </w:r>
      <w:r w:rsidR="00A03629">
        <w:t xml:space="preserve"> </w:t>
      </w:r>
      <w:r>
        <w:t>of</w:t>
      </w:r>
      <w:r w:rsidR="00A03629">
        <w:t xml:space="preserve"> </w:t>
      </w:r>
      <w:r>
        <w:t>their</w:t>
      </w:r>
      <w:r w:rsidR="00A03629">
        <w:t xml:space="preserve"> </w:t>
      </w:r>
      <w:r>
        <w:t>service</w:t>
      </w:r>
      <w:r w:rsidR="00A03629">
        <w:t xml:space="preserve"> </w:t>
      </w:r>
      <w:r>
        <w:t>capacity,</w:t>
      </w:r>
      <w:r w:rsidR="00A03629">
        <w:t xml:space="preserve"> </w:t>
      </w:r>
      <w:r>
        <w:t>is</w:t>
      </w:r>
      <w:r w:rsidR="00A03629">
        <w:t xml:space="preserve"> </w:t>
      </w:r>
      <w:r>
        <w:t>expected</w:t>
      </w:r>
      <w:r w:rsidR="00A03629">
        <w:t xml:space="preserve"> </w:t>
      </w:r>
      <w:r>
        <w:t>to</w:t>
      </w:r>
      <w:r w:rsidR="00A03629">
        <w:t xml:space="preserve"> </w:t>
      </w:r>
      <w:r>
        <w:t>be</w:t>
      </w:r>
      <w:r w:rsidR="00A03629">
        <w:t xml:space="preserve"> </w:t>
      </w:r>
      <w:r>
        <w:t>materially</w:t>
      </w:r>
      <w:r w:rsidR="00A03629">
        <w:t xml:space="preserve"> </w:t>
      </w:r>
      <w:r>
        <w:t>the</w:t>
      </w:r>
      <w:r w:rsidR="00A03629">
        <w:t xml:space="preserve"> </w:t>
      </w:r>
      <w:r>
        <w:t>same</w:t>
      </w:r>
      <w:r w:rsidR="00A03629">
        <w:t xml:space="preserve"> </w:t>
      </w:r>
      <w:r>
        <w:t>as</w:t>
      </w:r>
      <w:r w:rsidR="00A03629">
        <w:t xml:space="preserve"> </w:t>
      </w:r>
      <w:r>
        <w:t>fair</w:t>
      </w:r>
      <w:r w:rsidR="00A03629">
        <w:t xml:space="preserve"> </w:t>
      </w:r>
      <w:r>
        <w:t>value</w:t>
      </w:r>
      <w:r w:rsidR="00A03629">
        <w:t xml:space="preserve"> </w:t>
      </w:r>
      <w:r>
        <w:t>determined</w:t>
      </w:r>
      <w:r w:rsidR="00A03629">
        <w:t xml:space="preserve"> </w:t>
      </w:r>
      <w:r>
        <w:t>under</w:t>
      </w:r>
      <w:r w:rsidR="00A03629">
        <w:t xml:space="preserve"> </w:t>
      </w:r>
      <w:r>
        <w:t>AASB</w:t>
      </w:r>
      <w:r w:rsidR="00A03629">
        <w:t xml:space="preserve"> </w:t>
      </w:r>
      <w:r>
        <w:t>13</w:t>
      </w:r>
      <w:r w:rsidR="00A03629">
        <w:t xml:space="preserve"> </w:t>
      </w:r>
      <w:r w:rsidRPr="002A7C48">
        <w:rPr>
          <w:i/>
          <w:iCs/>
        </w:rPr>
        <w:t>Fair</w:t>
      </w:r>
      <w:r w:rsidR="00A03629" w:rsidRPr="002A7C48">
        <w:rPr>
          <w:i/>
          <w:iCs/>
        </w:rPr>
        <w:t xml:space="preserve"> </w:t>
      </w:r>
      <w:r w:rsidRPr="002A7C48">
        <w:rPr>
          <w:i/>
          <w:iCs/>
        </w:rPr>
        <w:t>Value</w:t>
      </w:r>
      <w:r w:rsidR="00A03629" w:rsidRPr="002A7C48">
        <w:rPr>
          <w:i/>
          <w:iCs/>
        </w:rPr>
        <w:t xml:space="preserve"> </w:t>
      </w:r>
      <w:r w:rsidRPr="002A7C48">
        <w:rPr>
          <w:i/>
          <w:iCs/>
        </w:rPr>
        <w:t>Measurement</w:t>
      </w:r>
      <w:r>
        <w:t>,</w:t>
      </w:r>
      <w:r w:rsidR="00A03629">
        <w:t xml:space="preserve"> </w:t>
      </w:r>
      <w:r>
        <w:t>with</w:t>
      </w:r>
      <w:r w:rsidR="00A03629">
        <w:t xml:space="preserve"> </w:t>
      </w:r>
      <w:r>
        <w:t>the</w:t>
      </w:r>
      <w:r w:rsidR="00A03629">
        <w:t xml:space="preserve"> </w:t>
      </w:r>
      <w:r>
        <w:t>consequence</w:t>
      </w:r>
      <w:r w:rsidR="00A03629">
        <w:t xml:space="preserve"> </w:t>
      </w:r>
      <w:r>
        <w:t>that</w:t>
      </w:r>
      <w:r w:rsidR="00A03629">
        <w:t xml:space="preserve"> </w:t>
      </w:r>
      <w:r>
        <w:t>AASB</w:t>
      </w:r>
      <w:r w:rsidR="00A03629">
        <w:t xml:space="preserve"> </w:t>
      </w:r>
      <w:r>
        <w:t>136</w:t>
      </w:r>
      <w:r w:rsidR="00A03629">
        <w:t xml:space="preserve"> </w:t>
      </w:r>
      <w:r>
        <w:t>does</w:t>
      </w:r>
      <w:r w:rsidR="00A03629">
        <w:t xml:space="preserve"> </w:t>
      </w:r>
      <w:r>
        <w:t>not</w:t>
      </w:r>
      <w:r w:rsidR="00A03629">
        <w:t xml:space="preserve"> </w:t>
      </w:r>
      <w:r>
        <w:t>apply</w:t>
      </w:r>
      <w:r w:rsidR="00A03629">
        <w:t xml:space="preserve"> </w:t>
      </w:r>
      <w:r>
        <w:t>to</w:t>
      </w:r>
      <w:r w:rsidR="00A03629">
        <w:t xml:space="preserve"> </w:t>
      </w:r>
      <w:r>
        <w:t>such</w:t>
      </w:r>
      <w:r w:rsidR="00A03629">
        <w:rPr>
          <w:rFonts w:ascii="Cambria" w:hAnsi="Cambria" w:cs="Cambria"/>
        </w:rPr>
        <w:t xml:space="preserve"> </w:t>
      </w:r>
      <w:r>
        <w:t>assets</w:t>
      </w:r>
      <w:r w:rsidR="00A03629">
        <w:t xml:space="preserve"> </w:t>
      </w:r>
      <w:r>
        <w:t>that</w:t>
      </w:r>
      <w:r w:rsidR="00A03629">
        <w:t xml:space="preserve"> </w:t>
      </w:r>
      <w:r>
        <w:t>are</w:t>
      </w:r>
      <w:r w:rsidR="00A03629">
        <w:t xml:space="preserve"> </w:t>
      </w:r>
      <w:r>
        <w:t>regularly</w:t>
      </w:r>
      <w:r w:rsidR="00A03629">
        <w:t xml:space="preserve"> </w:t>
      </w:r>
      <w:r>
        <w:t>revalued.</w:t>
      </w:r>
    </w:p>
    <w:p w14:paraId="34D1FB3F" w14:textId="77777777" w:rsidR="002A7C48" w:rsidRDefault="002A7C48" w:rsidP="002A7C48">
      <w:pPr>
        <w:pStyle w:val="Heading3"/>
        <w:sectPr w:rsidR="002A7C48" w:rsidSect="00D76126">
          <w:pgSz w:w="11906" w:h="16838" w:code="9"/>
          <w:pgMar w:top="1134" w:right="851" w:bottom="1134" w:left="851" w:header="397" w:footer="397" w:gutter="0"/>
          <w:cols w:space="720"/>
          <w:noEndnote/>
        </w:sectPr>
      </w:pPr>
    </w:p>
    <w:p w14:paraId="79677B8C" w14:textId="353FDBBD" w:rsidR="000756EB" w:rsidRDefault="004A4D88" w:rsidP="002A7C48">
      <w:pPr>
        <w:pStyle w:val="Heading3"/>
      </w:pPr>
      <w:r>
        <w:lastRenderedPageBreak/>
        <w:t>5.1.3</w:t>
      </w:r>
      <w:r w:rsidR="00DE38B5">
        <w:t xml:space="preserve"> </w:t>
      </w:r>
      <w:r>
        <w:t>Reconciliation</w:t>
      </w:r>
      <w:r w:rsidR="00A03629">
        <w:t xml:space="preserve"> </w:t>
      </w:r>
      <w:r>
        <w:t>of</w:t>
      </w:r>
      <w:r w:rsidR="00A03629">
        <w:t xml:space="preserve"> </w:t>
      </w:r>
      <w:r>
        <w:t>movements</w:t>
      </w:r>
      <w:r w:rsidR="00A03629">
        <w:t xml:space="preserve"> </w:t>
      </w:r>
      <w:r>
        <w:t>in</w:t>
      </w:r>
      <w:r w:rsidR="00A03629">
        <w:t xml:space="preserve"> </w:t>
      </w:r>
      <w:r>
        <w:t>carrying</w:t>
      </w:r>
      <w:r w:rsidR="00A03629">
        <w:t xml:space="preserve"> </w:t>
      </w:r>
      <w:r>
        <w:t>amount</w:t>
      </w:r>
      <w:r w:rsidR="00A03629">
        <w:t xml:space="preserve"> </w:t>
      </w:r>
    </w:p>
    <w:tbl>
      <w:tblPr>
        <w:tblStyle w:val="TableGrid"/>
        <w:tblW w:w="14825" w:type="dxa"/>
        <w:tblLayout w:type="fixed"/>
        <w:tblLook w:val="0020" w:firstRow="1" w:lastRow="0" w:firstColumn="0" w:lastColumn="0" w:noHBand="0" w:noVBand="0"/>
      </w:tblPr>
      <w:tblGrid>
        <w:gridCol w:w="3681"/>
        <w:gridCol w:w="1353"/>
        <w:gridCol w:w="1356"/>
        <w:gridCol w:w="1352"/>
        <w:gridCol w:w="1356"/>
        <w:gridCol w:w="1524"/>
        <w:gridCol w:w="1497"/>
        <w:gridCol w:w="1353"/>
        <w:gridCol w:w="1353"/>
      </w:tblGrid>
      <w:tr w:rsidR="002A7C48" w:rsidRPr="002A7C48" w14:paraId="0EBD2A4F" w14:textId="77777777" w:rsidTr="00EE0122">
        <w:trPr>
          <w:cantSplit/>
          <w:tblHeader/>
        </w:trPr>
        <w:tc>
          <w:tcPr>
            <w:tcW w:w="3681" w:type="dxa"/>
          </w:tcPr>
          <w:p w14:paraId="456CFB06" w14:textId="77777777" w:rsidR="002A7C48" w:rsidRPr="002A7C48" w:rsidRDefault="002A7C48" w:rsidP="002A7C48">
            <w:pPr>
              <w:pStyle w:val="TableColumnHeading"/>
              <w:rPr>
                <w:sz w:val="20"/>
                <w:szCs w:val="28"/>
              </w:rPr>
            </w:pPr>
            <w:bookmarkStart w:id="70" w:name="ColumnTitles_42"/>
            <w:bookmarkEnd w:id="70"/>
          </w:p>
        </w:tc>
        <w:tc>
          <w:tcPr>
            <w:tcW w:w="1353" w:type="dxa"/>
          </w:tcPr>
          <w:p w14:paraId="00E6DE8A" w14:textId="06C54BE4" w:rsidR="002A7C48" w:rsidRPr="002A7C48" w:rsidRDefault="002A7C48" w:rsidP="00EE0122">
            <w:pPr>
              <w:pStyle w:val="TableColumnHeading"/>
              <w:jc w:val="right"/>
              <w:rPr>
                <w:sz w:val="20"/>
                <w:szCs w:val="28"/>
              </w:rPr>
            </w:pPr>
            <w:r w:rsidRPr="002A7C48">
              <w:rPr>
                <w:sz w:val="20"/>
                <w:szCs w:val="28"/>
              </w:rPr>
              <w:t>Land at fair value</w:t>
            </w:r>
            <w:r>
              <w:rPr>
                <w:sz w:val="20"/>
                <w:szCs w:val="28"/>
              </w:rPr>
              <w:t xml:space="preserve"> </w:t>
            </w:r>
            <w:r w:rsidRPr="002A7C48">
              <w:rPr>
                <w:sz w:val="20"/>
                <w:szCs w:val="28"/>
              </w:rPr>
              <w:t>2023 ($ thousand)</w:t>
            </w:r>
          </w:p>
        </w:tc>
        <w:tc>
          <w:tcPr>
            <w:tcW w:w="1356" w:type="dxa"/>
          </w:tcPr>
          <w:p w14:paraId="33F400F1" w14:textId="382BE917" w:rsidR="002A7C48" w:rsidRPr="002A7C48" w:rsidRDefault="002A7C48" w:rsidP="00EE0122">
            <w:pPr>
              <w:pStyle w:val="TableColumnHeading"/>
              <w:jc w:val="right"/>
              <w:rPr>
                <w:sz w:val="20"/>
                <w:szCs w:val="28"/>
              </w:rPr>
            </w:pPr>
            <w:r w:rsidRPr="002A7C48">
              <w:rPr>
                <w:sz w:val="20"/>
                <w:szCs w:val="28"/>
              </w:rPr>
              <w:t>Land at fair value</w:t>
            </w:r>
            <w:r>
              <w:rPr>
                <w:sz w:val="20"/>
                <w:szCs w:val="28"/>
              </w:rPr>
              <w:t xml:space="preserve"> </w:t>
            </w:r>
            <w:r w:rsidRPr="002A7C48">
              <w:rPr>
                <w:sz w:val="20"/>
                <w:szCs w:val="28"/>
              </w:rPr>
              <w:t>2022</w:t>
            </w:r>
            <w:r>
              <w:rPr>
                <w:sz w:val="20"/>
                <w:szCs w:val="28"/>
              </w:rPr>
              <w:t xml:space="preserve"> </w:t>
            </w:r>
            <w:r w:rsidRPr="002A7C48">
              <w:rPr>
                <w:sz w:val="20"/>
                <w:szCs w:val="28"/>
              </w:rPr>
              <w:t>($ thousand)</w:t>
            </w:r>
          </w:p>
        </w:tc>
        <w:tc>
          <w:tcPr>
            <w:tcW w:w="1352" w:type="dxa"/>
          </w:tcPr>
          <w:p w14:paraId="2CF5ED98" w14:textId="65BB156D" w:rsidR="002A7C48" w:rsidRPr="002A7C48" w:rsidRDefault="002A7C48" w:rsidP="00EE0122">
            <w:pPr>
              <w:pStyle w:val="TableColumnHeading"/>
              <w:jc w:val="right"/>
              <w:rPr>
                <w:sz w:val="20"/>
                <w:szCs w:val="28"/>
              </w:rPr>
            </w:pPr>
            <w:r w:rsidRPr="002A7C48">
              <w:rPr>
                <w:sz w:val="20"/>
                <w:szCs w:val="28"/>
              </w:rPr>
              <w:t>Buildings and structures at fair value</w:t>
            </w:r>
            <w:r>
              <w:rPr>
                <w:sz w:val="20"/>
                <w:szCs w:val="28"/>
              </w:rPr>
              <w:t xml:space="preserve"> </w:t>
            </w:r>
            <w:r w:rsidRPr="002A7C48">
              <w:rPr>
                <w:sz w:val="20"/>
                <w:szCs w:val="28"/>
              </w:rPr>
              <w:t>2023 ($</w:t>
            </w:r>
            <w:r w:rsidR="00EE0122">
              <w:rPr>
                <w:sz w:val="20"/>
                <w:szCs w:val="28"/>
              </w:rPr>
              <w:t> </w:t>
            </w:r>
            <w:r w:rsidRPr="002A7C48">
              <w:rPr>
                <w:sz w:val="20"/>
                <w:szCs w:val="28"/>
              </w:rPr>
              <w:t>thousand)</w:t>
            </w:r>
          </w:p>
        </w:tc>
        <w:tc>
          <w:tcPr>
            <w:tcW w:w="1356" w:type="dxa"/>
          </w:tcPr>
          <w:p w14:paraId="71A89BBF" w14:textId="77BC34D1" w:rsidR="002A7C48" w:rsidRPr="002A7C48" w:rsidRDefault="002A7C48" w:rsidP="00EE0122">
            <w:pPr>
              <w:pStyle w:val="TableColumnHeading"/>
              <w:jc w:val="right"/>
              <w:rPr>
                <w:sz w:val="20"/>
                <w:szCs w:val="28"/>
              </w:rPr>
            </w:pPr>
            <w:r w:rsidRPr="002A7C48">
              <w:rPr>
                <w:sz w:val="20"/>
                <w:szCs w:val="28"/>
              </w:rPr>
              <w:t>Buildings and structures at fair value</w:t>
            </w:r>
            <w:r>
              <w:rPr>
                <w:sz w:val="20"/>
                <w:szCs w:val="28"/>
              </w:rPr>
              <w:t xml:space="preserve"> </w:t>
            </w:r>
            <w:r w:rsidRPr="002A7C48">
              <w:rPr>
                <w:sz w:val="20"/>
                <w:szCs w:val="28"/>
              </w:rPr>
              <w:t>2022</w:t>
            </w:r>
            <w:r>
              <w:rPr>
                <w:sz w:val="20"/>
                <w:szCs w:val="28"/>
              </w:rPr>
              <w:t xml:space="preserve"> </w:t>
            </w:r>
            <w:r w:rsidRPr="002A7C48">
              <w:rPr>
                <w:sz w:val="20"/>
                <w:szCs w:val="28"/>
              </w:rPr>
              <w:t>($</w:t>
            </w:r>
            <w:r w:rsidR="00EE0122">
              <w:rPr>
                <w:sz w:val="20"/>
                <w:szCs w:val="28"/>
              </w:rPr>
              <w:t> </w:t>
            </w:r>
            <w:r w:rsidRPr="002A7C48">
              <w:rPr>
                <w:sz w:val="20"/>
                <w:szCs w:val="28"/>
              </w:rPr>
              <w:t>thousand)</w:t>
            </w:r>
          </w:p>
        </w:tc>
        <w:tc>
          <w:tcPr>
            <w:tcW w:w="1524" w:type="dxa"/>
          </w:tcPr>
          <w:p w14:paraId="6C6BE76E" w14:textId="4CB781CF" w:rsidR="002A7C48" w:rsidRPr="002A7C48" w:rsidRDefault="002A7C48" w:rsidP="00EE0122">
            <w:pPr>
              <w:pStyle w:val="TableColumnHeading"/>
              <w:jc w:val="right"/>
              <w:rPr>
                <w:sz w:val="20"/>
                <w:szCs w:val="28"/>
              </w:rPr>
            </w:pPr>
            <w:r w:rsidRPr="002A7C48">
              <w:rPr>
                <w:sz w:val="20"/>
                <w:szCs w:val="28"/>
              </w:rPr>
              <w:t>Leasehold improvements</w:t>
            </w:r>
            <w:r>
              <w:rPr>
                <w:sz w:val="20"/>
                <w:szCs w:val="28"/>
              </w:rPr>
              <w:t xml:space="preserve"> </w:t>
            </w:r>
            <w:r w:rsidRPr="002A7C48">
              <w:rPr>
                <w:sz w:val="20"/>
                <w:szCs w:val="28"/>
              </w:rPr>
              <w:t>2023 ($</w:t>
            </w:r>
            <w:r w:rsidR="00EE0122">
              <w:rPr>
                <w:sz w:val="20"/>
                <w:szCs w:val="28"/>
              </w:rPr>
              <w:t> </w:t>
            </w:r>
            <w:r w:rsidRPr="002A7C48">
              <w:rPr>
                <w:sz w:val="20"/>
                <w:szCs w:val="28"/>
              </w:rPr>
              <w:t>thousand)</w:t>
            </w:r>
          </w:p>
        </w:tc>
        <w:tc>
          <w:tcPr>
            <w:tcW w:w="1497" w:type="dxa"/>
          </w:tcPr>
          <w:p w14:paraId="029A64EB" w14:textId="7152C9D9" w:rsidR="002A7C48" w:rsidRPr="002A7C48" w:rsidRDefault="002A7C48" w:rsidP="00EE0122">
            <w:pPr>
              <w:pStyle w:val="TableColumnHeading"/>
              <w:jc w:val="right"/>
              <w:rPr>
                <w:sz w:val="20"/>
                <w:szCs w:val="28"/>
              </w:rPr>
            </w:pPr>
            <w:r w:rsidRPr="002A7C48">
              <w:rPr>
                <w:sz w:val="20"/>
                <w:szCs w:val="28"/>
              </w:rPr>
              <w:t>Leasehold improvements</w:t>
            </w:r>
            <w:r>
              <w:rPr>
                <w:sz w:val="20"/>
                <w:szCs w:val="28"/>
              </w:rPr>
              <w:t xml:space="preserve"> </w:t>
            </w:r>
            <w:r w:rsidRPr="002A7C48">
              <w:rPr>
                <w:sz w:val="20"/>
                <w:szCs w:val="28"/>
              </w:rPr>
              <w:t>2022</w:t>
            </w:r>
            <w:r>
              <w:rPr>
                <w:sz w:val="20"/>
                <w:szCs w:val="28"/>
              </w:rPr>
              <w:t xml:space="preserve"> </w:t>
            </w:r>
            <w:r w:rsidRPr="002A7C48">
              <w:rPr>
                <w:sz w:val="20"/>
                <w:szCs w:val="28"/>
              </w:rPr>
              <w:t>($</w:t>
            </w:r>
            <w:r w:rsidR="00EE0122">
              <w:rPr>
                <w:sz w:val="20"/>
                <w:szCs w:val="28"/>
              </w:rPr>
              <w:t> </w:t>
            </w:r>
            <w:r w:rsidRPr="002A7C48">
              <w:rPr>
                <w:sz w:val="20"/>
                <w:szCs w:val="28"/>
              </w:rPr>
              <w:t>thousand)</w:t>
            </w:r>
          </w:p>
        </w:tc>
        <w:tc>
          <w:tcPr>
            <w:tcW w:w="1353" w:type="dxa"/>
          </w:tcPr>
          <w:p w14:paraId="781E4BE2" w14:textId="48535420" w:rsidR="002A7C48" w:rsidRPr="002A7C48" w:rsidRDefault="002A7C48" w:rsidP="00EE0122">
            <w:pPr>
              <w:pStyle w:val="TableColumnHeading"/>
              <w:jc w:val="right"/>
              <w:rPr>
                <w:sz w:val="20"/>
                <w:szCs w:val="28"/>
              </w:rPr>
            </w:pPr>
            <w:r w:rsidRPr="002A7C48">
              <w:rPr>
                <w:sz w:val="20"/>
                <w:szCs w:val="28"/>
              </w:rPr>
              <w:t>Plant and equipment</w:t>
            </w:r>
            <w:r>
              <w:rPr>
                <w:sz w:val="20"/>
                <w:szCs w:val="28"/>
              </w:rPr>
              <w:t xml:space="preserve"> </w:t>
            </w:r>
            <w:r w:rsidRPr="002A7C48">
              <w:rPr>
                <w:sz w:val="20"/>
                <w:szCs w:val="28"/>
              </w:rPr>
              <w:t>2023 ($</w:t>
            </w:r>
            <w:r w:rsidR="00EE0122">
              <w:rPr>
                <w:sz w:val="20"/>
                <w:szCs w:val="28"/>
              </w:rPr>
              <w:t> </w:t>
            </w:r>
            <w:r w:rsidRPr="002A7C48">
              <w:rPr>
                <w:sz w:val="20"/>
                <w:szCs w:val="28"/>
              </w:rPr>
              <w:t>thousand)</w:t>
            </w:r>
          </w:p>
        </w:tc>
        <w:tc>
          <w:tcPr>
            <w:tcW w:w="1353" w:type="dxa"/>
          </w:tcPr>
          <w:p w14:paraId="3D520601" w14:textId="0C8D0857" w:rsidR="002A7C48" w:rsidRPr="002A7C48" w:rsidRDefault="002A7C48" w:rsidP="00EE0122">
            <w:pPr>
              <w:pStyle w:val="TableColumnHeading"/>
              <w:jc w:val="right"/>
              <w:rPr>
                <w:sz w:val="20"/>
                <w:szCs w:val="28"/>
              </w:rPr>
            </w:pPr>
            <w:r w:rsidRPr="002A7C48">
              <w:rPr>
                <w:sz w:val="20"/>
                <w:szCs w:val="28"/>
              </w:rPr>
              <w:t>Plant and equipment</w:t>
            </w:r>
            <w:r>
              <w:rPr>
                <w:sz w:val="20"/>
                <w:szCs w:val="28"/>
              </w:rPr>
              <w:t xml:space="preserve"> </w:t>
            </w:r>
            <w:r w:rsidRPr="002A7C48">
              <w:rPr>
                <w:sz w:val="20"/>
                <w:szCs w:val="28"/>
              </w:rPr>
              <w:t>2022</w:t>
            </w:r>
            <w:r>
              <w:rPr>
                <w:sz w:val="20"/>
                <w:szCs w:val="28"/>
              </w:rPr>
              <w:t xml:space="preserve"> </w:t>
            </w:r>
            <w:r w:rsidRPr="002A7C48">
              <w:rPr>
                <w:sz w:val="20"/>
                <w:szCs w:val="28"/>
              </w:rPr>
              <w:t>($</w:t>
            </w:r>
            <w:r w:rsidR="00EE0122">
              <w:rPr>
                <w:sz w:val="20"/>
                <w:szCs w:val="28"/>
              </w:rPr>
              <w:t> </w:t>
            </w:r>
            <w:r w:rsidRPr="002A7C48">
              <w:rPr>
                <w:sz w:val="20"/>
                <w:szCs w:val="28"/>
              </w:rPr>
              <w:t>thousand)</w:t>
            </w:r>
          </w:p>
        </w:tc>
      </w:tr>
      <w:tr w:rsidR="002A7C48" w:rsidRPr="00EE0122" w14:paraId="5383985E" w14:textId="77777777" w:rsidTr="00EE0122">
        <w:trPr>
          <w:cantSplit/>
        </w:trPr>
        <w:tc>
          <w:tcPr>
            <w:tcW w:w="3681" w:type="dxa"/>
          </w:tcPr>
          <w:p w14:paraId="0A0CD94B" w14:textId="2661E73C" w:rsidR="002A7C48" w:rsidRPr="00EE0122" w:rsidRDefault="002A7C48" w:rsidP="00EE0122">
            <w:pPr>
              <w:pStyle w:val="TableCopy"/>
              <w:rPr>
                <w:b/>
                <w:bCs/>
              </w:rPr>
            </w:pPr>
            <w:r w:rsidRPr="00EE0122">
              <w:rPr>
                <w:b/>
                <w:bCs/>
              </w:rPr>
              <w:t>Opening balance</w:t>
            </w:r>
          </w:p>
        </w:tc>
        <w:tc>
          <w:tcPr>
            <w:tcW w:w="1353" w:type="dxa"/>
          </w:tcPr>
          <w:p w14:paraId="29F8B564" w14:textId="2954094E" w:rsidR="002A7C48" w:rsidRPr="00EE0122" w:rsidRDefault="002A7C48" w:rsidP="00EE0122">
            <w:pPr>
              <w:pStyle w:val="TableCopy"/>
              <w:jc w:val="right"/>
              <w:rPr>
                <w:b/>
                <w:bCs/>
              </w:rPr>
            </w:pPr>
            <w:r w:rsidRPr="00EE0122">
              <w:rPr>
                <w:b/>
                <w:bCs/>
              </w:rPr>
              <w:t>1,009,540</w:t>
            </w:r>
          </w:p>
        </w:tc>
        <w:tc>
          <w:tcPr>
            <w:tcW w:w="1356" w:type="dxa"/>
          </w:tcPr>
          <w:p w14:paraId="45537812" w14:textId="17F5C776" w:rsidR="002A7C48" w:rsidRPr="00EE0122" w:rsidRDefault="002A7C48" w:rsidP="00EE0122">
            <w:pPr>
              <w:pStyle w:val="TableCopy"/>
              <w:jc w:val="right"/>
              <w:rPr>
                <w:b/>
                <w:bCs/>
              </w:rPr>
            </w:pPr>
            <w:r w:rsidRPr="00EE0122">
              <w:rPr>
                <w:b/>
                <w:bCs/>
              </w:rPr>
              <w:t>1,009,150</w:t>
            </w:r>
          </w:p>
        </w:tc>
        <w:tc>
          <w:tcPr>
            <w:tcW w:w="1352" w:type="dxa"/>
          </w:tcPr>
          <w:p w14:paraId="57005402" w14:textId="4AF1B057" w:rsidR="002A7C48" w:rsidRPr="00EE0122" w:rsidRDefault="002A7C48" w:rsidP="00EE0122">
            <w:pPr>
              <w:pStyle w:val="TableCopy"/>
              <w:jc w:val="right"/>
              <w:rPr>
                <w:b/>
                <w:bCs/>
              </w:rPr>
            </w:pPr>
            <w:r w:rsidRPr="00EE0122">
              <w:rPr>
                <w:b/>
                <w:bCs/>
              </w:rPr>
              <w:t>488,350</w:t>
            </w:r>
          </w:p>
        </w:tc>
        <w:tc>
          <w:tcPr>
            <w:tcW w:w="1356" w:type="dxa"/>
          </w:tcPr>
          <w:p w14:paraId="42A3C34B" w14:textId="3506D578" w:rsidR="002A7C48" w:rsidRPr="00EE0122" w:rsidRDefault="002A7C48" w:rsidP="00EE0122">
            <w:pPr>
              <w:pStyle w:val="TableCopy"/>
              <w:jc w:val="right"/>
              <w:rPr>
                <w:b/>
                <w:bCs/>
              </w:rPr>
            </w:pPr>
            <w:r w:rsidRPr="00EE0122">
              <w:rPr>
                <w:b/>
                <w:bCs/>
              </w:rPr>
              <w:t>513,857</w:t>
            </w:r>
          </w:p>
        </w:tc>
        <w:tc>
          <w:tcPr>
            <w:tcW w:w="1524" w:type="dxa"/>
          </w:tcPr>
          <w:p w14:paraId="1F87E3AC" w14:textId="62382A98" w:rsidR="002A7C48" w:rsidRPr="00EE0122" w:rsidRDefault="002A7C48" w:rsidP="00EE0122">
            <w:pPr>
              <w:pStyle w:val="TableCopy"/>
              <w:jc w:val="right"/>
              <w:rPr>
                <w:b/>
                <w:bCs/>
              </w:rPr>
            </w:pPr>
            <w:r w:rsidRPr="00EE0122">
              <w:rPr>
                <w:b/>
                <w:bCs/>
              </w:rPr>
              <w:t>20,091</w:t>
            </w:r>
          </w:p>
        </w:tc>
        <w:tc>
          <w:tcPr>
            <w:tcW w:w="1497" w:type="dxa"/>
          </w:tcPr>
          <w:p w14:paraId="3B3605A4" w14:textId="1FC6E66F" w:rsidR="002A7C48" w:rsidRPr="00EE0122" w:rsidRDefault="002A7C48" w:rsidP="00EE0122">
            <w:pPr>
              <w:pStyle w:val="TableCopy"/>
              <w:jc w:val="right"/>
              <w:rPr>
                <w:b/>
                <w:bCs/>
              </w:rPr>
            </w:pPr>
            <w:r w:rsidRPr="00EE0122">
              <w:rPr>
                <w:b/>
                <w:bCs/>
              </w:rPr>
              <w:t>14,157</w:t>
            </w:r>
          </w:p>
        </w:tc>
        <w:tc>
          <w:tcPr>
            <w:tcW w:w="1353" w:type="dxa"/>
          </w:tcPr>
          <w:p w14:paraId="22833B59" w14:textId="2C82E24E" w:rsidR="002A7C48" w:rsidRPr="00EE0122" w:rsidRDefault="002A7C48" w:rsidP="00EE0122">
            <w:pPr>
              <w:pStyle w:val="TableCopy"/>
              <w:jc w:val="right"/>
              <w:rPr>
                <w:b/>
                <w:bCs/>
              </w:rPr>
            </w:pPr>
            <w:r w:rsidRPr="00EE0122">
              <w:rPr>
                <w:b/>
                <w:bCs/>
              </w:rPr>
              <w:t>23,881</w:t>
            </w:r>
          </w:p>
        </w:tc>
        <w:tc>
          <w:tcPr>
            <w:tcW w:w="1353" w:type="dxa"/>
          </w:tcPr>
          <w:p w14:paraId="1F8885D9" w14:textId="343083BB" w:rsidR="002A7C48" w:rsidRPr="00EE0122" w:rsidRDefault="002A7C48" w:rsidP="00EE0122">
            <w:pPr>
              <w:pStyle w:val="TableCopy"/>
              <w:jc w:val="right"/>
              <w:rPr>
                <w:b/>
                <w:bCs/>
              </w:rPr>
            </w:pPr>
            <w:r w:rsidRPr="00EE0122">
              <w:rPr>
                <w:b/>
                <w:bCs/>
              </w:rPr>
              <w:t>26,889</w:t>
            </w:r>
          </w:p>
        </w:tc>
      </w:tr>
      <w:tr w:rsidR="002A7C48" w14:paraId="29BB5D02" w14:textId="77777777" w:rsidTr="00EE0122">
        <w:trPr>
          <w:cantSplit/>
        </w:trPr>
        <w:tc>
          <w:tcPr>
            <w:tcW w:w="3681" w:type="dxa"/>
          </w:tcPr>
          <w:p w14:paraId="7A793360" w14:textId="5CBCE4BF" w:rsidR="002A7C48" w:rsidRDefault="002A7C48" w:rsidP="00EE0122">
            <w:pPr>
              <w:pStyle w:val="TableCopy"/>
            </w:pPr>
            <w:r>
              <w:t xml:space="preserve">Machinery of government transferred in/(out) </w:t>
            </w:r>
            <w:r w:rsidRPr="00614829">
              <w:rPr>
                <w:rStyle w:val="FootnotereferencessuperscriptMisc"/>
              </w:rPr>
              <w:t>(</w:t>
            </w:r>
            <w:proofErr w:type="spellStart"/>
            <w:r w:rsidRPr="00614829">
              <w:rPr>
                <w:rStyle w:val="FootnotereferencessuperscriptMisc"/>
              </w:rPr>
              <w:t>i</w:t>
            </w:r>
            <w:proofErr w:type="spellEnd"/>
            <w:r w:rsidRPr="00614829">
              <w:rPr>
                <w:rStyle w:val="FootnotereferencessuperscriptMisc"/>
              </w:rPr>
              <w:t>)</w:t>
            </w:r>
          </w:p>
        </w:tc>
        <w:tc>
          <w:tcPr>
            <w:tcW w:w="1353" w:type="dxa"/>
          </w:tcPr>
          <w:p w14:paraId="16B4D2ED" w14:textId="77777777" w:rsidR="002A7C48" w:rsidRDefault="002A7C48" w:rsidP="00EE0122">
            <w:pPr>
              <w:pStyle w:val="TableCopy"/>
              <w:jc w:val="right"/>
            </w:pPr>
            <w:r>
              <w:t>(375,428)</w:t>
            </w:r>
          </w:p>
        </w:tc>
        <w:tc>
          <w:tcPr>
            <w:tcW w:w="1356" w:type="dxa"/>
          </w:tcPr>
          <w:p w14:paraId="320C9B0D" w14:textId="77777777" w:rsidR="002A7C48" w:rsidRDefault="002A7C48" w:rsidP="00EE0122">
            <w:pPr>
              <w:pStyle w:val="TableCopy"/>
              <w:jc w:val="right"/>
            </w:pPr>
            <w:r>
              <w:t>–</w:t>
            </w:r>
          </w:p>
        </w:tc>
        <w:tc>
          <w:tcPr>
            <w:tcW w:w="1352" w:type="dxa"/>
          </w:tcPr>
          <w:p w14:paraId="5E81731E" w14:textId="77777777" w:rsidR="002A7C48" w:rsidRDefault="002A7C48" w:rsidP="00EE0122">
            <w:pPr>
              <w:pStyle w:val="TableCopy"/>
              <w:jc w:val="right"/>
            </w:pPr>
            <w:r>
              <w:t>(188,592)</w:t>
            </w:r>
          </w:p>
        </w:tc>
        <w:tc>
          <w:tcPr>
            <w:tcW w:w="1356" w:type="dxa"/>
          </w:tcPr>
          <w:p w14:paraId="272A206A" w14:textId="77777777" w:rsidR="002A7C48" w:rsidRDefault="002A7C48" w:rsidP="00EE0122">
            <w:pPr>
              <w:pStyle w:val="TableCopy"/>
              <w:jc w:val="right"/>
            </w:pPr>
            <w:r>
              <w:t>–</w:t>
            </w:r>
          </w:p>
        </w:tc>
        <w:tc>
          <w:tcPr>
            <w:tcW w:w="1524" w:type="dxa"/>
          </w:tcPr>
          <w:p w14:paraId="162A462C" w14:textId="77777777" w:rsidR="002A7C48" w:rsidRDefault="002A7C48" w:rsidP="00EE0122">
            <w:pPr>
              <w:pStyle w:val="TableCopy"/>
              <w:jc w:val="right"/>
            </w:pPr>
            <w:r>
              <w:t>(9,657)</w:t>
            </w:r>
          </w:p>
        </w:tc>
        <w:tc>
          <w:tcPr>
            <w:tcW w:w="1497" w:type="dxa"/>
          </w:tcPr>
          <w:p w14:paraId="6ED2BA48" w14:textId="77777777" w:rsidR="002A7C48" w:rsidRDefault="002A7C48" w:rsidP="00EE0122">
            <w:pPr>
              <w:pStyle w:val="TableCopy"/>
              <w:jc w:val="right"/>
            </w:pPr>
            <w:r>
              <w:t>–</w:t>
            </w:r>
          </w:p>
        </w:tc>
        <w:tc>
          <w:tcPr>
            <w:tcW w:w="1353" w:type="dxa"/>
          </w:tcPr>
          <w:p w14:paraId="2541541E" w14:textId="77777777" w:rsidR="002A7C48" w:rsidRDefault="002A7C48" w:rsidP="00EE0122">
            <w:pPr>
              <w:pStyle w:val="TableCopy"/>
              <w:jc w:val="right"/>
            </w:pPr>
            <w:r>
              <w:t>(21,459)</w:t>
            </w:r>
          </w:p>
        </w:tc>
        <w:tc>
          <w:tcPr>
            <w:tcW w:w="1353" w:type="dxa"/>
          </w:tcPr>
          <w:p w14:paraId="5644D565" w14:textId="77777777" w:rsidR="002A7C48" w:rsidRDefault="002A7C48" w:rsidP="00EE0122">
            <w:pPr>
              <w:pStyle w:val="TableCopy"/>
              <w:jc w:val="right"/>
            </w:pPr>
            <w:r>
              <w:t>–</w:t>
            </w:r>
          </w:p>
        </w:tc>
      </w:tr>
      <w:tr w:rsidR="002A7C48" w14:paraId="6828F6C9" w14:textId="77777777" w:rsidTr="00EE0122">
        <w:trPr>
          <w:cantSplit/>
        </w:trPr>
        <w:tc>
          <w:tcPr>
            <w:tcW w:w="3681" w:type="dxa"/>
          </w:tcPr>
          <w:p w14:paraId="13EBDCFD" w14:textId="77777777" w:rsidR="002A7C48" w:rsidRDefault="002A7C48" w:rsidP="00EE0122">
            <w:pPr>
              <w:pStyle w:val="TableCopy"/>
            </w:pPr>
            <w:r>
              <w:t>Additions</w:t>
            </w:r>
          </w:p>
        </w:tc>
        <w:tc>
          <w:tcPr>
            <w:tcW w:w="1353" w:type="dxa"/>
          </w:tcPr>
          <w:p w14:paraId="5A897F6B" w14:textId="443A7C05" w:rsidR="002A7C48" w:rsidRDefault="002A7C48" w:rsidP="00EE0122">
            <w:pPr>
              <w:pStyle w:val="TableCopy"/>
              <w:jc w:val="right"/>
            </w:pPr>
            <w:r>
              <w:t>214,401</w:t>
            </w:r>
          </w:p>
        </w:tc>
        <w:tc>
          <w:tcPr>
            <w:tcW w:w="1356" w:type="dxa"/>
          </w:tcPr>
          <w:p w14:paraId="67EA1DD6" w14:textId="12B4928D" w:rsidR="002A7C48" w:rsidRDefault="002A7C48" w:rsidP="00EE0122">
            <w:pPr>
              <w:pStyle w:val="TableCopy"/>
              <w:jc w:val="right"/>
            </w:pPr>
            <w:r>
              <w:t>777</w:t>
            </w:r>
          </w:p>
        </w:tc>
        <w:tc>
          <w:tcPr>
            <w:tcW w:w="1352" w:type="dxa"/>
          </w:tcPr>
          <w:p w14:paraId="38259791" w14:textId="3466F0AF" w:rsidR="002A7C48" w:rsidRDefault="002A7C48" w:rsidP="00EE0122">
            <w:pPr>
              <w:pStyle w:val="TableCopy"/>
              <w:jc w:val="right"/>
            </w:pPr>
            <w:r>
              <w:t>774</w:t>
            </w:r>
          </w:p>
        </w:tc>
        <w:tc>
          <w:tcPr>
            <w:tcW w:w="1356" w:type="dxa"/>
          </w:tcPr>
          <w:p w14:paraId="15346973" w14:textId="6C2C2BA9" w:rsidR="002A7C48" w:rsidRDefault="002A7C48" w:rsidP="00EE0122">
            <w:pPr>
              <w:pStyle w:val="TableCopy"/>
              <w:jc w:val="right"/>
            </w:pPr>
            <w:r>
              <w:t>3,161</w:t>
            </w:r>
          </w:p>
        </w:tc>
        <w:tc>
          <w:tcPr>
            <w:tcW w:w="1524" w:type="dxa"/>
          </w:tcPr>
          <w:p w14:paraId="16BE171A" w14:textId="77777777" w:rsidR="002A7C48" w:rsidRDefault="002A7C48" w:rsidP="00EE0122">
            <w:pPr>
              <w:pStyle w:val="TableCopy"/>
              <w:jc w:val="right"/>
            </w:pPr>
            <w:r>
              <w:t>–</w:t>
            </w:r>
          </w:p>
        </w:tc>
        <w:tc>
          <w:tcPr>
            <w:tcW w:w="1497" w:type="dxa"/>
          </w:tcPr>
          <w:p w14:paraId="15890E60" w14:textId="7593D42C" w:rsidR="002A7C48" w:rsidRDefault="002A7C48" w:rsidP="00EE0122">
            <w:pPr>
              <w:pStyle w:val="TableCopy"/>
              <w:jc w:val="right"/>
            </w:pPr>
            <w:r>
              <w:t>5,181</w:t>
            </w:r>
          </w:p>
        </w:tc>
        <w:tc>
          <w:tcPr>
            <w:tcW w:w="1353" w:type="dxa"/>
          </w:tcPr>
          <w:p w14:paraId="45F928C1" w14:textId="433F9DD6" w:rsidR="002A7C48" w:rsidRDefault="002A7C48" w:rsidP="00EE0122">
            <w:pPr>
              <w:pStyle w:val="TableCopy"/>
              <w:jc w:val="right"/>
            </w:pPr>
            <w:r>
              <w:t>1,255</w:t>
            </w:r>
          </w:p>
        </w:tc>
        <w:tc>
          <w:tcPr>
            <w:tcW w:w="1353" w:type="dxa"/>
          </w:tcPr>
          <w:p w14:paraId="029D5094" w14:textId="7A96EC56" w:rsidR="002A7C48" w:rsidRDefault="002A7C48" w:rsidP="00EE0122">
            <w:pPr>
              <w:pStyle w:val="TableCopy"/>
              <w:jc w:val="right"/>
            </w:pPr>
            <w:r>
              <w:t>1,638</w:t>
            </w:r>
          </w:p>
        </w:tc>
      </w:tr>
      <w:tr w:rsidR="002A7C48" w14:paraId="23A82709" w14:textId="77777777" w:rsidTr="00EE0122">
        <w:trPr>
          <w:cantSplit/>
        </w:trPr>
        <w:tc>
          <w:tcPr>
            <w:tcW w:w="3681" w:type="dxa"/>
          </w:tcPr>
          <w:p w14:paraId="06905FA2" w14:textId="77777777" w:rsidR="002A7C48" w:rsidRDefault="002A7C48" w:rsidP="00EE0122">
            <w:pPr>
              <w:pStyle w:val="TableCopy"/>
            </w:pPr>
            <w:r>
              <w:t>Disposals</w:t>
            </w:r>
          </w:p>
        </w:tc>
        <w:tc>
          <w:tcPr>
            <w:tcW w:w="1353" w:type="dxa"/>
          </w:tcPr>
          <w:p w14:paraId="6BB16F77" w14:textId="77777777" w:rsidR="002A7C48" w:rsidRDefault="002A7C48" w:rsidP="00EE0122">
            <w:pPr>
              <w:pStyle w:val="TableCopy"/>
              <w:jc w:val="right"/>
            </w:pPr>
            <w:r>
              <w:t>–</w:t>
            </w:r>
          </w:p>
        </w:tc>
        <w:tc>
          <w:tcPr>
            <w:tcW w:w="1356" w:type="dxa"/>
          </w:tcPr>
          <w:p w14:paraId="110E091E" w14:textId="77777777" w:rsidR="002A7C48" w:rsidRDefault="002A7C48" w:rsidP="00EE0122">
            <w:pPr>
              <w:pStyle w:val="TableCopy"/>
              <w:jc w:val="right"/>
            </w:pPr>
            <w:r>
              <w:t>–</w:t>
            </w:r>
          </w:p>
        </w:tc>
        <w:tc>
          <w:tcPr>
            <w:tcW w:w="1352" w:type="dxa"/>
          </w:tcPr>
          <w:p w14:paraId="74A73899" w14:textId="77777777" w:rsidR="002A7C48" w:rsidRDefault="002A7C48" w:rsidP="00EE0122">
            <w:pPr>
              <w:pStyle w:val="TableCopy"/>
              <w:jc w:val="right"/>
            </w:pPr>
            <w:r>
              <w:t>–</w:t>
            </w:r>
          </w:p>
        </w:tc>
        <w:tc>
          <w:tcPr>
            <w:tcW w:w="1356" w:type="dxa"/>
          </w:tcPr>
          <w:p w14:paraId="4E3332E7" w14:textId="77777777" w:rsidR="002A7C48" w:rsidRDefault="002A7C48" w:rsidP="00EE0122">
            <w:pPr>
              <w:pStyle w:val="TableCopy"/>
              <w:jc w:val="right"/>
            </w:pPr>
            <w:r>
              <w:t>–</w:t>
            </w:r>
          </w:p>
        </w:tc>
        <w:tc>
          <w:tcPr>
            <w:tcW w:w="1524" w:type="dxa"/>
          </w:tcPr>
          <w:p w14:paraId="1D34A25C" w14:textId="77777777" w:rsidR="002A7C48" w:rsidRDefault="002A7C48" w:rsidP="00EE0122">
            <w:pPr>
              <w:pStyle w:val="TableCopy"/>
              <w:jc w:val="right"/>
            </w:pPr>
            <w:r>
              <w:t>(32)</w:t>
            </w:r>
          </w:p>
        </w:tc>
        <w:tc>
          <w:tcPr>
            <w:tcW w:w="1497" w:type="dxa"/>
          </w:tcPr>
          <w:p w14:paraId="0745601E" w14:textId="77777777" w:rsidR="002A7C48" w:rsidRDefault="002A7C48" w:rsidP="00EE0122">
            <w:pPr>
              <w:pStyle w:val="TableCopy"/>
              <w:jc w:val="right"/>
            </w:pPr>
            <w:r>
              <w:t>(129)</w:t>
            </w:r>
          </w:p>
        </w:tc>
        <w:tc>
          <w:tcPr>
            <w:tcW w:w="1353" w:type="dxa"/>
          </w:tcPr>
          <w:p w14:paraId="0B851753" w14:textId="77777777" w:rsidR="002A7C48" w:rsidRDefault="002A7C48" w:rsidP="00EE0122">
            <w:pPr>
              <w:pStyle w:val="TableCopy"/>
              <w:jc w:val="right"/>
            </w:pPr>
            <w:r>
              <w:t>(11)</w:t>
            </w:r>
          </w:p>
        </w:tc>
        <w:tc>
          <w:tcPr>
            <w:tcW w:w="1353" w:type="dxa"/>
          </w:tcPr>
          <w:p w14:paraId="0BDC7604" w14:textId="77777777" w:rsidR="002A7C48" w:rsidRDefault="002A7C48" w:rsidP="00EE0122">
            <w:pPr>
              <w:pStyle w:val="TableCopy"/>
              <w:jc w:val="right"/>
            </w:pPr>
            <w:r>
              <w:t>(468)</w:t>
            </w:r>
          </w:p>
        </w:tc>
      </w:tr>
      <w:tr w:rsidR="002A7C48" w14:paraId="73366992" w14:textId="77777777" w:rsidTr="00EE0122">
        <w:trPr>
          <w:cantSplit/>
        </w:trPr>
        <w:tc>
          <w:tcPr>
            <w:tcW w:w="3681" w:type="dxa"/>
          </w:tcPr>
          <w:p w14:paraId="04EE44DD" w14:textId="482B4DD3" w:rsidR="002A7C48" w:rsidRDefault="002A7C48" w:rsidP="00EE0122">
            <w:pPr>
              <w:pStyle w:val="TableCopy"/>
            </w:pPr>
            <w:r>
              <w:t>Return of capital</w:t>
            </w:r>
          </w:p>
        </w:tc>
        <w:tc>
          <w:tcPr>
            <w:tcW w:w="1353" w:type="dxa"/>
          </w:tcPr>
          <w:p w14:paraId="43D4756D" w14:textId="77777777" w:rsidR="002A7C48" w:rsidRDefault="002A7C48" w:rsidP="00EE0122">
            <w:pPr>
              <w:pStyle w:val="TableCopy"/>
              <w:jc w:val="right"/>
            </w:pPr>
            <w:r>
              <w:t>–</w:t>
            </w:r>
          </w:p>
        </w:tc>
        <w:tc>
          <w:tcPr>
            <w:tcW w:w="1356" w:type="dxa"/>
          </w:tcPr>
          <w:p w14:paraId="48A9B7B4" w14:textId="77777777" w:rsidR="002A7C48" w:rsidRDefault="002A7C48" w:rsidP="00EE0122">
            <w:pPr>
              <w:pStyle w:val="TableCopy"/>
              <w:jc w:val="right"/>
            </w:pPr>
            <w:r>
              <w:t>(267)</w:t>
            </w:r>
          </w:p>
        </w:tc>
        <w:tc>
          <w:tcPr>
            <w:tcW w:w="1352" w:type="dxa"/>
          </w:tcPr>
          <w:p w14:paraId="4690E435" w14:textId="77777777" w:rsidR="002A7C48" w:rsidRDefault="002A7C48" w:rsidP="00EE0122">
            <w:pPr>
              <w:pStyle w:val="TableCopy"/>
              <w:jc w:val="right"/>
            </w:pPr>
            <w:r>
              <w:t>–</w:t>
            </w:r>
          </w:p>
        </w:tc>
        <w:tc>
          <w:tcPr>
            <w:tcW w:w="1356" w:type="dxa"/>
          </w:tcPr>
          <w:p w14:paraId="3F8F9175" w14:textId="77777777" w:rsidR="002A7C48" w:rsidRDefault="002A7C48" w:rsidP="00EE0122">
            <w:pPr>
              <w:pStyle w:val="TableCopy"/>
              <w:jc w:val="right"/>
            </w:pPr>
            <w:r>
              <w:t>(10,449)</w:t>
            </w:r>
          </w:p>
        </w:tc>
        <w:tc>
          <w:tcPr>
            <w:tcW w:w="1524" w:type="dxa"/>
          </w:tcPr>
          <w:p w14:paraId="01CC04EF" w14:textId="77777777" w:rsidR="002A7C48" w:rsidRDefault="002A7C48" w:rsidP="00EE0122">
            <w:pPr>
              <w:pStyle w:val="TableCopy"/>
              <w:jc w:val="right"/>
            </w:pPr>
            <w:r>
              <w:t>–</w:t>
            </w:r>
          </w:p>
        </w:tc>
        <w:tc>
          <w:tcPr>
            <w:tcW w:w="1497" w:type="dxa"/>
          </w:tcPr>
          <w:p w14:paraId="0AE5E69F" w14:textId="77777777" w:rsidR="002A7C48" w:rsidRDefault="002A7C48" w:rsidP="00EE0122">
            <w:pPr>
              <w:pStyle w:val="TableCopy"/>
              <w:jc w:val="right"/>
            </w:pPr>
            <w:r>
              <w:t>–</w:t>
            </w:r>
          </w:p>
        </w:tc>
        <w:tc>
          <w:tcPr>
            <w:tcW w:w="1353" w:type="dxa"/>
          </w:tcPr>
          <w:p w14:paraId="30CD122B" w14:textId="77777777" w:rsidR="002A7C48" w:rsidRDefault="002A7C48" w:rsidP="00EE0122">
            <w:pPr>
              <w:pStyle w:val="TableCopy"/>
              <w:jc w:val="right"/>
            </w:pPr>
            <w:r>
              <w:t>–</w:t>
            </w:r>
          </w:p>
        </w:tc>
        <w:tc>
          <w:tcPr>
            <w:tcW w:w="1353" w:type="dxa"/>
          </w:tcPr>
          <w:p w14:paraId="463ED321" w14:textId="77777777" w:rsidR="002A7C48" w:rsidRDefault="002A7C48" w:rsidP="00EE0122">
            <w:pPr>
              <w:pStyle w:val="TableCopy"/>
              <w:jc w:val="right"/>
            </w:pPr>
            <w:r>
              <w:t>(4)</w:t>
            </w:r>
          </w:p>
        </w:tc>
      </w:tr>
      <w:tr w:rsidR="002A7C48" w14:paraId="7F3D782C" w14:textId="77777777" w:rsidTr="00EE0122">
        <w:trPr>
          <w:cantSplit/>
        </w:trPr>
        <w:tc>
          <w:tcPr>
            <w:tcW w:w="3681" w:type="dxa"/>
          </w:tcPr>
          <w:p w14:paraId="097D00A0" w14:textId="63BB0271" w:rsidR="002A7C48" w:rsidRDefault="002A7C48" w:rsidP="00EE0122">
            <w:pPr>
              <w:pStyle w:val="TableCopy"/>
            </w:pPr>
            <w:r>
              <w:t>Transfers via contributed capital</w:t>
            </w:r>
          </w:p>
        </w:tc>
        <w:tc>
          <w:tcPr>
            <w:tcW w:w="1353" w:type="dxa"/>
          </w:tcPr>
          <w:p w14:paraId="1B8DB3E6" w14:textId="77777777" w:rsidR="002A7C48" w:rsidRDefault="002A7C48" w:rsidP="00EE0122">
            <w:pPr>
              <w:pStyle w:val="TableCopy"/>
              <w:jc w:val="right"/>
            </w:pPr>
            <w:r>
              <w:t>–</w:t>
            </w:r>
          </w:p>
        </w:tc>
        <w:tc>
          <w:tcPr>
            <w:tcW w:w="1356" w:type="dxa"/>
          </w:tcPr>
          <w:p w14:paraId="263B33C1" w14:textId="77777777" w:rsidR="002A7C48" w:rsidRDefault="002A7C48" w:rsidP="00EE0122">
            <w:pPr>
              <w:pStyle w:val="TableCopy"/>
              <w:jc w:val="right"/>
            </w:pPr>
            <w:r>
              <w:t>–</w:t>
            </w:r>
          </w:p>
        </w:tc>
        <w:tc>
          <w:tcPr>
            <w:tcW w:w="1352" w:type="dxa"/>
          </w:tcPr>
          <w:p w14:paraId="728A40A3" w14:textId="77777777" w:rsidR="002A7C48" w:rsidRDefault="002A7C48" w:rsidP="00EE0122">
            <w:pPr>
              <w:pStyle w:val="TableCopy"/>
              <w:jc w:val="right"/>
            </w:pPr>
            <w:r>
              <w:t>(1,604)</w:t>
            </w:r>
          </w:p>
        </w:tc>
        <w:tc>
          <w:tcPr>
            <w:tcW w:w="1356" w:type="dxa"/>
          </w:tcPr>
          <w:p w14:paraId="3CDEAA6C" w14:textId="77777777" w:rsidR="002A7C48" w:rsidRDefault="002A7C48" w:rsidP="00EE0122">
            <w:pPr>
              <w:pStyle w:val="TableCopy"/>
              <w:jc w:val="right"/>
            </w:pPr>
            <w:r>
              <w:t>–</w:t>
            </w:r>
          </w:p>
        </w:tc>
        <w:tc>
          <w:tcPr>
            <w:tcW w:w="1524" w:type="dxa"/>
          </w:tcPr>
          <w:p w14:paraId="453CB8CA" w14:textId="77777777" w:rsidR="002A7C48" w:rsidRDefault="002A7C48" w:rsidP="00EE0122">
            <w:pPr>
              <w:pStyle w:val="TableCopy"/>
              <w:jc w:val="right"/>
            </w:pPr>
            <w:r>
              <w:t>–</w:t>
            </w:r>
          </w:p>
        </w:tc>
        <w:tc>
          <w:tcPr>
            <w:tcW w:w="1497" w:type="dxa"/>
          </w:tcPr>
          <w:p w14:paraId="458A0921" w14:textId="77777777" w:rsidR="002A7C48" w:rsidRDefault="002A7C48" w:rsidP="00EE0122">
            <w:pPr>
              <w:pStyle w:val="TableCopy"/>
              <w:jc w:val="right"/>
            </w:pPr>
            <w:r>
              <w:t>–</w:t>
            </w:r>
          </w:p>
        </w:tc>
        <w:tc>
          <w:tcPr>
            <w:tcW w:w="1353" w:type="dxa"/>
          </w:tcPr>
          <w:p w14:paraId="5B8D1878" w14:textId="77777777" w:rsidR="002A7C48" w:rsidRDefault="002A7C48" w:rsidP="00EE0122">
            <w:pPr>
              <w:pStyle w:val="TableCopy"/>
              <w:jc w:val="right"/>
            </w:pPr>
            <w:r>
              <w:t>–</w:t>
            </w:r>
          </w:p>
        </w:tc>
        <w:tc>
          <w:tcPr>
            <w:tcW w:w="1353" w:type="dxa"/>
          </w:tcPr>
          <w:p w14:paraId="4EF0997F" w14:textId="77777777" w:rsidR="002A7C48" w:rsidRDefault="002A7C48" w:rsidP="00EE0122">
            <w:pPr>
              <w:pStyle w:val="TableCopy"/>
              <w:jc w:val="right"/>
            </w:pPr>
            <w:r>
              <w:t>–</w:t>
            </w:r>
          </w:p>
        </w:tc>
      </w:tr>
      <w:tr w:rsidR="002A7C48" w14:paraId="1F838750" w14:textId="77777777" w:rsidTr="00EE0122">
        <w:trPr>
          <w:cantSplit/>
        </w:trPr>
        <w:tc>
          <w:tcPr>
            <w:tcW w:w="3681" w:type="dxa"/>
          </w:tcPr>
          <w:p w14:paraId="7438246C" w14:textId="219815E4" w:rsidR="002A7C48" w:rsidRDefault="002A7C48" w:rsidP="00EE0122">
            <w:pPr>
              <w:pStyle w:val="TableCopy"/>
            </w:pPr>
            <w:r>
              <w:t>Transfers between classes</w:t>
            </w:r>
          </w:p>
        </w:tc>
        <w:tc>
          <w:tcPr>
            <w:tcW w:w="1353" w:type="dxa"/>
          </w:tcPr>
          <w:p w14:paraId="28DA2791" w14:textId="77777777" w:rsidR="002A7C48" w:rsidRDefault="002A7C48" w:rsidP="00EE0122">
            <w:pPr>
              <w:pStyle w:val="TableCopy"/>
              <w:jc w:val="right"/>
            </w:pPr>
            <w:r>
              <w:t>–</w:t>
            </w:r>
          </w:p>
        </w:tc>
        <w:tc>
          <w:tcPr>
            <w:tcW w:w="1356" w:type="dxa"/>
          </w:tcPr>
          <w:p w14:paraId="542CA18B" w14:textId="77777777" w:rsidR="002A7C48" w:rsidRDefault="002A7C48" w:rsidP="00EE0122">
            <w:pPr>
              <w:pStyle w:val="TableCopy"/>
              <w:jc w:val="right"/>
            </w:pPr>
            <w:r>
              <w:t>–</w:t>
            </w:r>
          </w:p>
        </w:tc>
        <w:tc>
          <w:tcPr>
            <w:tcW w:w="1352" w:type="dxa"/>
          </w:tcPr>
          <w:p w14:paraId="1FD1EB40" w14:textId="0AF59808" w:rsidR="002A7C48" w:rsidRDefault="002A7C48" w:rsidP="00EE0122">
            <w:pPr>
              <w:pStyle w:val="TableCopy"/>
              <w:jc w:val="right"/>
            </w:pPr>
            <w:r>
              <w:t>4,382</w:t>
            </w:r>
          </w:p>
        </w:tc>
        <w:tc>
          <w:tcPr>
            <w:tcW w:w="1356" w:type="dxa"/>
          </w:tcPr>
          <w:p w14:paraId="533AC812" w14:textId="0AD616E5" w:rsidR="002A7C48" w:rsidRDefault="002A7C48" w:rsidP="00EE0122">
            <w:pPr>
              <w:pStyle w:val="TableCopy"/>
              <w:jc w:val="right"/>
            </w:pPr>
            <w:r>
              <w:t>13,206</w:t>
            </w:r>
          </w:p>
        </w:tc>
        <w:tc>
          <w:tcPr>
            <w:tcW w:w="1524" w:type="dxa"/>
          </w:tcPr>
          <w:p w14:paraId="111A41DE" w14:textId="5238F435" w:rsidR="002A7C48" w:rsidRDefault="002A7C48" w:rsidP="00EE0122">
            <w:pPr>
              <w:pStyle w:val="TableCopy"/>
              <w:jc w:val="right"/>
            </w:pPr>
            <w:r>
              <w:t>152</w:t>
            </w:r>
          </w:p>
        </w:tc>
        <w:tc>
          <w:tcPr>
            <w:tcW w:w="1497" w:type="dxa"/>
          </w:tcPr>
          <w:p w14:paraId="375DA7A2" w14:textId="6DFD64C0" w:rsidR="002A7C48" w:rsidRDefault="002A7C48" w:rsidP="00EE0122">
            <w:pPr>
              <w:pStyle w:val="TableCopy"/>
              <w:jc w:val="right"/>
            </w:pPr>
            <w:r>
              <w:t>8,822</w:t>
            </w:r>
          </w:p>
        </w:tc>
        <w:tc>
          <w:tcPr>
            <w:tcW w:w="1353" w:type="dxa"/>
          </w:tcPr>
          <w:p w14:paraId="1EF4BE5B" w14:textId="2D0F0F3D" w:rsidR="002A7C48" w:rsidRDefault="002A7C48" w:rsidP="00EE0122">
            <w:pPr>
              <w:pStyle w:val="TableCopy"/>
              <w:jc w:val="right"/>
            </w:pPr>
            <w:r>
              <w:t>140</w:t>
            </w:r>
          </w:p>
        </w:tc>
        <w:tc>
          <w:tcPr>
            <w:tcW w:w="1353" w:type="dxa"/>
          </w:tcPr>
          <w:p w14:paraId="2E376DFE" w14:textId="35C869CF" w:rsidR="002A7C48" w:rsidRDefault="002A7C48" w:rsidP="00EE0122">
            <w:pPr>
              <w:pStyle w:val="TableCopy"/>
              <w:jc w:val="right"/>
            </w:pPr>
            <w:r>
              <w:t>1,231</w:t>
            </w:r>
          </w:p>
        </w:tc>
      </w:tr>
      <w:tr w:rsidR="002A7C48" w14:paraId="2748BEAE" w14:textId="77777777" w:rsidTr="00EE0122">
        <w:trPr>
          <w:cantSplit/>
        </w:trPr>
        <w:tc>
          <w:tcPr>
            <w:tcW w:w="3681" w:type="dxa"/>
          </w:tcPr>
          <w:p w14:paraId="13EAB9F8" w14:textId="6F48734B" w:rsidR="002A7C48" w:rsidRDefault="002A7C48" w:rsidP="00EE0122">
            <w:pPr>
              <w:pStyle w:val="TableCopy"/>
            </w:pPr>
            <w:r>
              <w:t xml:space="preserve">Revaluation increment </w:t>
            </w:r>
            <w:r w:rsidRPr="00614829">
              <w:rPr>
                <w:rStyle w:val="FootnotereferencessuperscriptMisc"/>
              </w:rPr>
              <w:t>(iii)</w:t>
            </w:r>
          </w:p>
        </w:tc>
        <w:tc>
          <w:tcPr>
            <w:tcW w:w="1353" w:type="dxa"/>
          </w:tcPr>
          <w:p w14:paraId="2EED1186" w14:textId="648FEB16" w:rsidR="002A7C48" w:rsidRDefault="002A7C48" w:rsidP="00EE0122">
            <w:pPr>
              <w:pStyle w:val="TableCopy"/>
              <w:jc w:val="right"/>
            </w:pPr>
            <w:r>
              <w:t>1,054</w:t>
            </w:r>
          </w:p>
        </w:tc>
        <w:tc>
          <w:tcPr>
            <w:tcW w:w="1356" w:type="dxa"/>
          </w:tcPr>
          <w:p w14:paraId="57C5FE85" w14:textId="77777777" w:rsidR="002A7C48" w:rsidRDefault="002A7C48" w:rsidP="00EE0122">
            <w:pPr>
              <w:pStyle w:val="TableCopy"/>
              <w:jc w:val="right"/>
            </w:pPr>
            <w:r>
              <w:t>–</w:t>
            </w:r>
          </w:p>
        </w:tc>
        <w:tc>
          <w:tcPr>
            <w:tcW w:w="1352" w:type="dxa"/>
          </w:tcPr>
          <w:p w14:paraId="6F7A459C" w14:textId="77777777" w:rsidR="002A7C48" w:rsidRDefault="002A7C48" w:rsidP="00EE0122">
            <w:pPr>
              <w:pStyle w:val="TableCopy"/>
              <w:jc w:val="right"/>
            </w:pPr>
            <w:r>
              <w:t>–</w:t>
            </w:r>
          </w:p>
        </w:tc>
        <w:tc>
          <w:tcPr>
            <w:tcW w:w="1356" w:type="dxa"/>
          </w:tcPr>
          <w:p w14:paraId="40CD6EBA" w14:textId="77777777" w:rsidR="002A7C48" w:rsidRDefault="002A7C48" w:rsidP="00EE0122">
            <w:pPr>
              <w:pStyle w:val="TableCopy"/>
              <w:jc w:val="right"/>
            </w:pPr>
            <w:r>
              <w:t>–</w:t>
            </w:r>
          </w:p>
        </w:tc>
        <w:tc>
          <w:tcPr>
            <w:tcW w:w="1524" w:type="dxa"/>
          </w:tcPr>
          <w:p w14:paraId="241DB58E" w14:textId="77777777" w:rsidR="002A7C48" w:rsidRDefault="002A7C48" w:rsidP="00EE0122">
            <w:pPr>
              <w:pStyle w:val="TableCopy"/>
              <w:jc w:val="right"/>
            </w:pPr>
            <w:r>
              <w:t>–</w:t>
            </w:r>
          </w:p>
        </w:tc>
        <w:tc>
          <w:tcPr>
            <w:tcW w:w="1497" w:type="dxa"/>
          </w:tcPr>
          <w:p w14:paraId="22CAD637" w14:textId="77777777" w:rsidR="002A7C48" w:rsidRDefault="002A7C48" w:rsidP="00EE0122">
            <w:pPr>
              <w:pStyle w:val="TableCopy"/>
              <w:jc w:val="right"/>
            </w:pPr>
            <w:r>
              <w:t>–</w:t>
            </w:r>
          </w:p>
        </w:tc>
        <w:tc>
          <w:tcPr>
            <w:tcW w:w="1353" w:type="dxa"/>
          </w:tcPr>
          <w:p w14:paraId="5A88B659" w14:textId="77777777" w:rsidR="002A7C48" w:rsidRDefault="002A7C48" w:rsidP="00EE0122">
            <w:pPr>
              <w:pStyle w:val="TableCopy"/>
              <w:jc w:val="right"/>
            </w:pPr>
            <w:r>
              <w:t>–</w:t>
            </w:r>
          </w:p>
        </w:tc>
        <w:tc>
          <w:tcPr>
            <w:tcW w:w="1353" w:type="dxa"/>
          </w:tcPr>
          <w:p w14:paraId="49C86147" w14:textId="77777777" w:rsidR="002A7C48" w:rsidRDefault="002A7C48" w:rsidP="00EE0122">
            <w:pPr>
              <w:pStyle w:val="TableCopy"/>
              <w:jc w:val="right"/>
            </w:pPr>
            <w:r>
              <w:t>–</w:t>
            </w:r>
          </w:p>
        </w:tc>
      </w:tr>
      <w:tr w:rsidR="002A7C48" w14:paraId="6E8E59E5" w14:textId="77777777" w:rsidTr="00EE0122">
        <w:trPr>
          <w:cantSplit/>
        </w:trPr>
        <w:tc>
          <w:tcPr>
            <w:tcW w:w="3681" w:type="dxa"/>
          </w:tcPr>
          <w:p w14:paraId="2CC7E38B" w14:textId="0ECCB09C" w:rsidR="002A7C48" w:rsidRDefault="002A7C48" w:rsidP="00EE0122">
            <w:pPr>
              <w:pStyle w:val="TableCopy"/>
            </w:pPr>
            <w:r>
              <w:t xml:space="preserve">Revaluation realised loss </w:t>
            </w:r>
            <w:r w:rsidRPr="00614829">
              <w:rPr>
                <w:rStyle w:val="FootnotereferencessuperscriptMisc"/>
              </w:rPr>
              <w:t>(iii)</w:t>
            </w:r>
          </w:p>
        </w:tc>
        <w:tc>
          <w:tcPr>
            <w:tcW w:w="1353" w:type="dxa"/>
          </w:tcPr>
          <w:p w14:paraId="0B71062B" w14:textId="77777777" w:rsidR="002A7C48" w:rsidRDefault="002A7C48" w:rsidP="00EE0122">
            <w:pPr>
              <w:pStyle w:val="TableCopy"/>
              <w:jc w:val="right"/>
            </w:pPr>
            <w:r>
              <w:t>–</w:t>
            </w:r>
          </w:p>
        </w:tc>
        <w:tc>
          <w:tcPr>
            <w:tcW w:w="1356" w:type="dxa"/>
          </w:tcPr>
          <w:p w14:paraId="0A065BB8" w14:textId="77777777" w:rsidR="002A7C48" w:rsidRDefault="002A7C48" w:rsidP="00EE0122">
            <w:pPr>
              <w:pStyle w:val="TableCopy"/>
              <w:jc w:val="right"/>
            </w:pPr>
            <w:r>
              <w:t>–</w:t>
            </w:r>
          </w:p>
        </w:tc>
        <w:tc>
          <w:tcPr>
            <w:tcW w:w="1352" w:type="dxa"/>
          </w:tcPr>
          <w:p w14:paraId="666DD1ED" w14:textId="77777777" w:rsidR="002A7C48" w:rsidRDefault="002A7C48" w:rsidP="00EE0122">
            <w:pPr>
              <w:pStyle w:val="TableCopy"/>
              <w:jc w:val="right"/>
            </w:pPr>
            <w:r>
              <w:t>(1,999)</w:t>
            </w:r>
          </w:p>
        </w:tc>
        <w:tc>
          <w:tcPr>
            <w:tcW w:w="1356" w:type="dxa"/>
          </w:tcPr>
          <w:p w14:paraId="1E1B6A69" w14:textId="77777777" w:rsidR="002A7C48" w:rsidRDefault="002A7C48" w:rsidP="00EE0122">
            <w:pPr>
              <w:pStyle w:val="TableCopy"/>
              <w:jc w:val="right"/>
            </w:pPr>
            <w:r>
              <w:t>–</w:t>
            </w:r>
          </w:p>
        </w:tc>
        <w:tc>
          <w:tcPr>
            <w:tcW w:w="1524" w:type="dxa"/>
          </w:tcPr>
          <w:p w14:paraId="1CCDF48C" w14:textId="77777777" w:rsidR="002A7C48" w:rsidRDefault="002A7C48" w:rsidP="00EE0122">
            <w:pPr>
              <w:pStyle w:val="TableCopy"/>
              <w:jc w:val="right"/>
            </w:pPr>
            <w:r>
              <w:t>–</w:t>
            </w:r>
          </w:p>
        </w:tc>
        <w:tc>
          <w:tcPr>
            <w:tcW w:w="1497" w:type="dxa"/>
          </w:tcPr>
          <w:p w14:paraId="242B4D64" w14:textId="77777777" w:rsidR="002A7C48" w:rsidRDefault="002A7C48" w:rsidP="00EE0122">
            <w:pPr>
              <w:pStyle w:val="TableCopy"/>
              <w:jc w:val="right"/>
            </w:pPr>
            <w:r>
              <w:t>–</w:t>
            </w:r>
          </w:p>
        </w:tc>
        <w:tc>
          <w:tcPr>
            <w:tcW w:w="1353" w:type="dxa"/>
          </w:tcPr>
          <w:p w14:paraId="2C44C773" w14:textId="77777777" w:rsidR="002A7C48" w:rsidRDefault="002A7C48" w:rsidP="00EE0122">
            <w:pPr>
              <w:pStyle w:val="TableCopy"/>
              <w:jc w:val="right"/>
            </w:pPr>
            <w:r>
              <w:t>–</w:t>
            </w:r>
          </w:p>
        </w:tc>
        <w:tc>
          <w:tcPr>
            <w:tcW w:w="1353" w:type="dxa"/>
          </w:tcPr>
          <w:p w14:paraId="65A4639D" w14:textId="77777777" w:rsidR="002A7C48" w:rsidRDefault="002A7C48" w:rsidP="00EE0122">
            <w:pPr>
              <w:pStyle w:val="TableCopy"/>
              <w:jc w:val="right"/>
            </w:pPr>
            <w:r>
              <w:t>–</w:t>
            </w:r>
          </w:p>
        </w:tc>
      </w:tr>
      <w:tr w:rsidR="002A7C48" w14:paraId="4B49FC6F" w14:textId="77777777" w:rsidTr="00EE0122">
        <w:trPr>
          <w:cantSplit/>
        </w:trPr>
        <w:tc>
          <w:tcPr>
            <w:tcW w:w="3681" w:type="dxa"/>
          </w:tcPr>
          <w:p w14:paraId="661B9A8E" w14:textId="1543F98D" w:rsidR="002A7C48" w:rsidRDefault="002A7C48" w:rsidP="00EE0122">
            <w:pPr>
              <w:pStyle w:val="TableCopy"/>
            </w:pPr>
            <w:r>
              <w:t>Depreciation and amortisation expense</w:t>
            </w:r>
          </w:p>
        </w:tc>
        <w:tc>
          <w:tcPr>
            <w:tcW w:w="1353" w:type="dxa"/>
          </w:tcPr>
          <w:p w14:paraId="4C0516DF" w14:textId="77777777" w:rsidR="002A7C48" w:rsidRDefault="002A7C48" w:rsidP="00EE0122">
            <w:pPr>
              <w:pStyle w:val="TableCopy"/>
              <w:jc w:val="right"/>
            </w:pPr>
            <w:r>
              <w:t>–</w:t>
            </w:r>
          </w:p>
        </w:tc>
        <w:tc>
          <w:tcPr>
            <w:tcW w:w="1356" w:type="dxa"/>
          </w:tcPr>
          <w:p w14:paraId="7A4B4851" w14:textId="77777777" w:rsidR="002A7C48" w:rsidRDefault="002A7C48" w:rsidP="00EE0122">
            <w:pPr>
              <w:pStyle w:val="TableCopy"/>
              <w:jc w:val="right"/>
            </w:pPr>
            <w:r>
              <w:t>–</w:t>
            </w:r>
          </w:p>
        </w:tc>
        <w:tc>
          <w:tcPr>
            <w:tcW w:w="1352" w:type="dxa"/>
          </w:tcPr>
          <w:p w14:paraId="00012E23" w14:textId="77777777" w:rsidR="002A7C48" w:rsidRDefault="002A7C48" w:rsidP="00EE0122">
            <w:pPr>
              <w:pStyle w:val="TableCopy"/>
              <w:jc w:val="right"/>
            </w:pPr>
            <w:r>
              <w:t>(23,861)</w:t>
            </w:r>
          </w:p>
        </w:tc>
        <w:tc>
          <w:tcPr>
            <w:tcW w:w="1356" w:type="dxa"/>
          </w:tcPr>
          <w:p w14:paraId="48539888" w14:textId="77777777" w:rsidR="002A7C48" w:rsidRDefault="002A7C48" w:rsidP="00EE0122">
            <w:pPr>
              <w:pStyle w:val="TableCopy"/>
              <w:jc w:val="right"/>
            </w:pPr>
            <w:r>
              <w:t>(31,425)</w:t>
            </w:r>
          </w:p>
        </w:tc>
        <w:tc>
          <w:tcPr>
            <w:tcW w:w="1524" w:type="dxa"/>
          </w:tcPr>
          <w:p w14:paraId="4A0F6C81" w14:textId="77777777" w:rsidR="002A7C48" w:rsidRDefault="002A7C48" w:rsidP="00EE0122">
            <w:pPr>
              <w:pStyle w:val="TableCopy"/>
              <w:jc w:val="right"/>
            </w:pPr>
            <w:r>
              <w:t>(3,407)</w:t>
            </w:r>
          </w:p>
        </w:tc>
        <w:tc>
          <w:tcPr>
            <w:tcW w:w="1497" w:type="dxa"/>
          </w:tcPr>
          <w:p w14:paraId="4CC2630F" w14:textId="77777777" w:rsidR="002A7C48" w:rsidRDefault="002A7C48" w:rsidP="00EE0122">
            <w:pPr>
              <w:pStyle w:val="TableCopy"/>
              <w:jc w:val="right"/>
            </w:pPr>
            <w:r>
              <w:t>(7,940)</w:t>
            </w:r>
          </w:p>
        </w:tc>
        <w:tc>
          <w:tcPr>
            <w:tcW w:w="1353" w:type="dxa"/>
          </w:tcPr>
          <w:p w14:paraId="585F1A41" w14:textId="77777777" w:rsidR="002A7C48" w:rsidRDefault="002A7C48" w:rsidP="00EE0122">
            <w:pPr>
              <w:pStyle w:val="TableCopy"/>
              <w:jc w:val="right"/>
            </w:pPr>
            <w:r>
              <w:t>(2,721)</w:t>
            </w:r>
          </w:p>
        </w:tc>
        <w:tc>
          <w:tcPr>
            <w:tcW w:w="1353" w:type="dxa"/>
          </w:tcPr>
          <w:p w14:paraId="537F075A" w14:textId="77777777" w:rsidR="002A7C48" w:rsidRDefault="002A7C48" w:rsidP="00EE0122">
            <w:pPr>
              <w:pStyle w:val="TableCopy"/>
              <w:jc w:val="right"/>
            </w:pPr>
            <w:r>
              <w:t>(5,405)</w:t>
            </w:r>
          </w:p>
        </w:tc>
      </w:tr>
      <w:tr w:rsidR="002A7C48" w14:paraId="677D4F4C" w14:textId="77777777" w:rsidTr="00EE0122">
        <w:trPr>
          <w:cantSplit/>
        </w:trPr>
        <w:tc>
          <w:tcPr>
            <w:tcW w:w="3681" w:type="dxa"/>
          </w:tcPr>
          <w:p w14:paraId="70660803" w14:textId="77777777" w:rsidR="002A7C48" w:rsidRDefault="002A7C48" w:rsidP="00EE0122">
            <w:pPr>
              <w:pStyle w:val="TableCopy"/>
            </w:pPr>
            <w:r>
              <w:t>Reclassification</w:t>
            </w:r>
          </w:p>
        </w:tc>
        <w:tc>
          <w:tcPr>
            <w:tcW w:w="1353" w:type="dxa"/>
          </w:tcPr>
          <w:p w14:paraId="154E4531" w14:textId="77777777" w:rsidR="002A7C48" w:rsidRDefault="002A7C48" w:rsidP="00EE0122">
            <w:pPr>
              <w:pStyle w:val="TableCopy"/>
              <w:jc w:val="right"/>
            </w:pPr>
            <w:r>
              <w:t>–</w:t>
            </w:r>
          </w:p>
        </w:tc>
        <w:tc>
          <w:tcPr>
            <w:tcW w:w="1356" w:type="dxa"/>
          </w:tcPr>
          <w:p w14:paraId="76C12411" w14:textId="77777777" w:rsidR="002A7C48" w:rsidRDefault="002A7C48" w:rsidP="00EE0122">
            <w:pPr>
              <w:pStyle w:val="TableCopy"/>
              <w:jc w:val="right"/>
            </w:pPr>
            <w:r>
              <w:t>–</w:t>
            </w:r>
          </w:p>
        </w:tc>
        <w:tc>
          <w:tcPr>
            <w:tcW w:w="1352" w:type="dxa"/>
          </w:tcPr>
          <w:p w14:paraId="6DE83065" w14:textId="77777777" w:rsidR="002A7C48" w:rsidRDefault="002A7C48" w:rsidP="00EE0122">
            <w:pPr>
              <w:pStyle w:val="TableCopy"/>
              <w:jc w:val="right"/>
            </w:pPr>
            <w:r>
              <w:t>(2,452)</w:t>
            </w:r>
          </w:p>
        </w:tc>
        <w:tc>
          <w:tcPr>
            <w:tcW w:w="1356" w:type="dxa"/>
          </w:tcPr>
          <w:p w14:paraId="7F9595D0" w14:textId="77777777" w:rsidR="002A7C48" w:rsidRDefault="002A7C48" w:rsidP="00EE0122">
            <w:pPr>
              <w:pStyle w:val="TableCopy"/>
              <w:jc w:val="right"/>
            </w:pPr>
            <w:r>
              <w:t>–</w:t>
            </w:r>
          </w:p>
        </w:tc>
        <w:tc>
          <w:tcPr>
            <w:tcW w:w="1524" w:type="dxa"/>
          </w:tcPr>
          <w:p w14:paraId="28A147F9" w14:textId="003A9060" w:rsidR="002A7C48" w:rsidRDefault="002A7C48" w:rsidP="00EE0122">
            <w:pPr>
              <w:pStyle w:val="TableCopy"/>
              <w:jc w:val="right"/>
            </w:pPr>
            <w:r>
              <w:t>398</w:t>
            </w:r>
          </w:p>
        </w:tc>
        <w:tc>
          <w:tcPr>
            <w:tcW w:w="1497" w:type="dxa"/>
          </w:tcPr>
          <w:p w14:paraId="4E52D53A" w14:textId="77777777" w:rsidR="002A7C48" w:rsidRDefault="002A7C48" w:rsidP="00EE0122">
            <w:pPr>
              <w:pStyle w:val="TableCopy"/>
              <w:jc w:val="right"/>
            </w:pPr>
            <w:r>
              <w:t>–</w:t>
            </w:r>
          </w:p>
        </w:tc>
        <w:tc>
          <w:tcPr>
            <w:tcW w:w="1353" w:type="dxa"/>
          </w:tcPr>
          <w:p w14:paraId="5ACAEDA2" w14:textId="77777777" w:rsidR="002A7C48" w:rsidRDefault="002A7C48" w:rsidP="00EE0122">
            <w:pPr>
              <w:pStyle w:val="TableCopy"/>
              <w:jc w:val="right"/>
            </w:pPr>
            <w:r>
              <w:t>(93)</w:t>
            </w:r>
          </w:p>
        </w:tc>
        <w:tc>
          <w:tcPr>
            <w:tcW w:w="1353" w:type="dxa"/>
          </w:tcPr>
          <w:p w14:paraId="360B3858" w14:textId="77777777" w:rsidR="002A7C48" w:rsidRDefault="002A7C48" w:rsidP="00EE0122">
            <w:pPr>
              <w:pStyle w:val="TableCopy"/>
              <w:jc w:val="right"/>
            </w:pPr>
            <w:r>
              <w:t>–</w:t>
            </w:r>
          </w:p>
        </w:tc>
      </w:tr>
      <w:tr w:rsidR="002A7C48" w14:paraId="5C27DCA4" w14:textId="77777777" w:rsidTr="00EE0122">
        <w:trPr>
          <w:cantSplit/>
        </w:trPr>
        <w:tc>
          <w:tcPr>
            <w:tcW w:w="3681" w:type="dxa"/>
          </w:tcPr>
          <w:p w14:paraId="4D5813D0" w14:textId="4131FAEB" w:rsidR="002A7C48" w:rsidRDefault="002A7C48" w:rsidP="00EE0122">
            <w:pPr>
              <w:pStyle w:val="TableCopy"/>
            </w:pPr>
            <w:r>
              <w:lastRenderedPageBreak/>
              <w:t>Given free of charge</w:t>
            </w:r>
          </w:p>
        </w:tc>
        <w:tc>
          <w:tcPr>
            <w:tcW w:w="1353" w:type="dxa"/>
          </w:tcPr>
          <w:p w14:paraId="46FD0068" w14:textId="77777777" w:rsidR="002A7C48" w:rsidRDefault="002A7C48" w:rsidP="00EE0122">
            <w:pPr>
              <w:pStyle w:val="TableCopy"/>
              <w:jc w:val="right"/>
            </w:pPr>
            <w:r>
              <w:t>–</w:t>
            </w:r>
          </w:p>
        </w:tc>
        <w:tc>
          <w:tcPr>
            <w:tcW w:w="1356" w:type="dxa"/>
          </w:tcPr>
          <w:p w14:paraId="73057A8F" w14:textId="77777777" w:rsidR="002A7C48" w:rsidRDefault="002A7C48" w:rsidP="00EE0122">
            <w:pPr>
              <w:pStyle w:val="TableCopy"/>
              <w:jc w:val="right"/>
            </w:pPr>
            <w:r>
              <w:t>(120)</w:t>
            </w:r>
          </w:p>
        </w:tc>
        <w:tc>
          <w:tcPr>
            <w:tcW w:w="1352" w:type="dxa"/>
          </w:tcPr>
          <w:p w14:paraId="6F4AF7BF" w14:textId="77777777" w:rsidR="002A7C48" w:rsidRDefault="002A7C48" w:rsidP="00EE0122">
            <w:pPr>
              <w:pStyle w:val="TableCopy"/>
              <w:jc w:val="right"/>
            </w:pPr>
            <w:r>
              <w:t>–</w:t>
            </w:r>
          </w:p>
        </w:tc>
        <w:tc>
          <w:tcPr>
            <w:tcW w:w="1356" w:type="dxa"/>
          </w:tcPr>
          <w:p w14:paraId="2A0F5F50" w14:textId="77777777" w:rsidR="002A7C48" w:rsidRDefault="002A7C48" w:rsidP="00EE0122">
            <w:pPr>
              <w:pStyle w:val="TableCopy"/>
              <w:jc w:val="right"/>
            </w:pPr>
            <w:r>
              <w:t>–</w:t>
            </w:r>
          </w:p>
        </w:tc>
        <w:tc>
          <w:tcPr>
            <w:tcW w:w="1524" w:type="dxa"/>
          </w:tcPr>
          <w:p w14:paraId="2AC83C88" w14:textId="77777777" w:rsidR="002A7C48" w:rsidRDefault="002A7C48" w:rsidP="00EE0122">
            <w:pPr>
              <w:pStyle w:val="TableCopy"/>
              <w:jc w:val="right"/>
            </w:pPr>
            <w:r>
              <w:t>–</w:t>
            </w:r>
          </w:p>
        </w:tc>
        <w:tc>
          <w:tcPr>
            <w:tcW w:w="1497" w:type="dxa"/>
          </w:tcPr>
          <w:p w14:paraId="5EC6F749" w14:textId="77777777" w:rsidR="002A7C48" w:rsidRDefault="002A7C48" w:rsidP="00EE0122">
            <w:pPr>
              <w:pStyle w:val="TableCopy"/>
              <w:jc w:val="right"/>
            </w:pPr>
            <w:r>
              <w:t>–</w:t>
            </w:r>
          </w:p>
        </w:tc>
        <w:tc>
          <w:tcPr>
            <w:tcW w:w="1353" w:type="dxa"/>
          </w:tcPr>
          <w:p w14:paraId="1209891C" w14:textId="77777777" w:rsidR="002A7C48" w:rsidRDefault="002A7C48" w:rsidP="00EE0122">
            <w:pPr>
              <w:pStyle w:val="TableCopy"/>
              <w:jc w:val="right"/>
            </w:pPr>
            <w:r>
              <w:t>–</w:t>
            </w:r>
          </w:p>
        </w:tc>
        <w:tc>
          <w:tcPr>
            <w:tcW w:w="1353" w:type="dxa"/>
          </w:tcPr>
          <w:p w14:paraId="12DDA5A1" w14:textId="77777777" w:rsidR="002A7C48" w:rsidRDefault="002A7C48" w:rsidP="00EE0122">
            <w:pPr>
              <w:pStyle w:val="TableCopy"/>
              <w:jc w:val="right"/>
            </w:pPr>
            <w:r>
              <w:t>–</w:t>
            </w:r>
          </w:p>
        </w:tc>
      </w:tr>
      <w:tr w:rsidR="002A7C48" w:rsidRPr="00EE0122" w14:paraId="1388418C" w14:textId="77777777" w:rsidTr="00EE0122">
        <w:trPr>
          <w:cantSplit/>
        </w:trPr>
        <w:tc>
          <w:tcPr>
            <w:tcW w:w="3681" w:type="dxa"/>
          </w:tcPr>
          <w:p w14:paraId="0048608A" w14:textId="3AF733BF" w:rsidR="002A7C48" w:rsidRPr="00EE0122" w:rsidRDefault="002A7C48" w:rsidP="00EE0122">
            <w:pPr>
              <w:pStyle w:val="TableCopy"/>
              <w:rPr>
                <w:b/>
                <w:bCs/>
              </w:rPr>
            </w:pPr>
            <w:r w:rsidRPr="00EE0122">
              <w:rPr>
                <w:b/>
                <w:bCs/>
              </w:rPr>
              <w:t>Closing balance</w:t>
            </w:r>
          </w:p>
        </w:tc>
        <w:tc>
          <w:tcPr>
            <w:tcW w:w="1353" w:type="dxa"/>
          </w:tcPr>
          <w:p w14:paraId="73AC4341" w14:textId="61C15D22" w:rsidR="002A7C48" w:rsidRPr="00EE0122" w:rsidRDefault="002A7C48" w:rsidP="00EE0122">
            <w:pPr>
              <w:pStyle w:val="TableCopy"/>
              <w:jc w:val="right"/>
              <w:rPr>
                <w:b/>
                <w:bCs/>
              </w:rPr>
            </w:pPr>
            <w:r w:rsidRPr="00EE0122">
              <w:rPr>
                <w:b/>
                <w:bCs/>
              </w:rPr>
              <w:t>849,566</w:t>
            </w:r>
          </w:p>
        </w:tc>
        <w:tc>
          <w:tcPr>
            <w:tcW w:w="1356" w:type="dxa"/>
          </w:tcPr>
          <w:p w14:paraId="329D0C80" w14:textId="521ECC46" w:rsidR="002A7C48" w:rsidRPr="00EE0122" w:rsidRDefault="002A7C48" w:rsidP="00EE0122">
            <w:pPr>
              <w:pStyle w:val="TableCopy"/>
              <w:jc w:val="right"/>
              <w:rPr>
                <w:b/>
                <w:bCs/>
              </w:rPr>
            </w:pPr>
            <w:r w:rsidRPr="00EE0122">
              <w:rPr>
                <w:b/>
                <w:bCs/>
              </w:rPr>
              <w:t>1,009,540</w:t>
            </w:r>
          </w:p>
        </w:tc>
        <w:tc>
          <w:tcPr>
            <w:tcW w:w="1352" w:type="dxa"/>
          </w:tcPr>
          <w:p w14:paraId="5A172F47" w14:textId="028F8960" w:rsidR="002A7C48" w:rsidRPr="00EE0122" w:rsidRDefault="002A7C48" w:rsidP="00EE0122">
            <w:pPr>
              <w:pStyle w:val="TableCopy"/>
              <w:jc w:val="right"/>
              <w:rPr>
                <w:b/>
                <w:bCs/>
              </w:rPr>
            </w:pPr>
            <w:r w:rsidRPr="00EE0122">
              <w:rPr>
                <w:b/>
                <w:bCs/>
              </w:rPr>
              <w:t>274,999</w:t>
            </w:r>
          </w:p>
        </w:tc>
        <w:tc>
          <w:tcPr>
            <w:tcW w:w="1356" w:type="dxa"/>
          </w:tcPr>
          <w:p w14:paraId="467D902F" w14:textId="5795E996" w:rsidR="002A7C48" w:rsidRPr="00EE0122" w:rsidRDefault="002A7C48" w:rsidP="00EE0122">
            <w:pPr>
              <w:pStyle w:val="TableCopy"/>
              <w:jc w:val="right"/>
              <w:rPr>
                <w:b/>
                <w:bCs/>
              </w:rPr>
            </w:pPr>
            <w:r w:rsidRPr="00EE0122">
              <w:rPr>
                <w:b/>
                <w:bCs/>
              </w:rPr>
              <w:t>488,350</w:t>
            </w:r>
          </w:p>
        </w:tc>
        <w:tc>
          <w:tcPr>
            <w:tcW w:w="1524" w:type="dxa"/>
          </w:tcPr>
          <w:p w14:paraId="5A11294C" w14:textId="2D2F04CD" w:rsidR="002A7C48" w:rsidRPr="00EE0122" w:rsidRDefault="002A7C48" w:rsidP="00EE0122">
            <w:pPr>
              <w:pStyle w:val="TableCopy"/>
              <w:jc w:val="right"/>
              <w:rPr>
                <w:b/>
                <w:bCs/>
              </w:rPr>
            </w:pPr>
            <w:r w:rsidRPr="00EE0122">
              <w:rPr>
                <w:b/>
                <w:bCs/>
              </w:rPr>
              <w:t>7,546</w:t>
            </w:r>
          </w:p>
        </w:tc>
        <w:tc>
          <w:tcPr>
            <w:tcW w:w="1497" w:type="dxa"/>
          </w:tcPr>
          <w:p w14:paraId="5F6A3AB9" w14:textId="7FD7E6C3" w:rsidR="002A7C48" w:rsidRPr="00EE0122" w:rsidRDefault="002A7C48" w:rsidP="00EE0122">
            <w:pPr>
              <w:pStyle w:val="TableCopy"/>
              <w:jc w:val="right"/>
              <w:rPr>
                <w:b/>
                <w:bCs/>
              </w:rPr>
            </w:pPr>
            <w:r w:rsidRPr="00EE0122">
              <w:rPr>
                <w:b/>
                <w:bCs/>
              </w:rPr>
              <w:t>20,091</w:t>
            </w:r>
          </w:p>
        </w:tc>
        <w:tc>
          <w:tcPr>
            <w:tcW w:w="1353" w:type="dxa"/>
          </w:tcPr>
          <w:p w14:paraId="095BBD8D" w14:textId="18BCD32F" w:rsidR="002A7C48" w:rsidRPr="00EE0122" w:rsidRDefault="002A7C48" w:rsidP="00EE0122">
            <w:pPr>
              <w:pStyle w:val="TableCopy"/>
              <w:jc w:val="right"/>
              <w:rPr>
                <w:b/>
                <w:bCs/>
              </w:rPr>
            </w:pPr>
            <w:r w:rsidRPr="00EE0122">
              <w:rPr>
                <w:b/>
                <w:bCs/>
              </w:rPr>
              <w:t>993</w:t>
            </w:r>
          </w:p>
        </w:tc>
        <w:tc>
          <w:tcPr>
            <w:tcW w:w="1353" w:type="dxa"/>
          </w:tcPr>
          <w:p w14:paraId="1F8384BE" w14:textId="1EFE6DCB" w:rsidR="002A7C48" w:rsidRPr="00EE0122" w:rsidRDefault="002A7C48" w:rsidP="00EE0122">
            <w:pPr>
              <w:pStyle w:val="TableCopy"/>
              <w:jc w:val="right"/>
              <w:rPr>
                <w:b/>
                <w:bCs/>
              </w:rPr>
            </w:pPr>
            <w:r w:rsidRPr="00EE0122">
              <w:rPr>
                <w:b/>
                <w:bCs/>
              </w:rPr>
              <w:t>23,881</w:t>
            </w:r>
          </w:p>
        </w:tc>
      </w:tr>
    </w:tbl>
    <w:p w14:paraId="6D474723" w14:textId="77777777" w:rsidR="000756EB" w:rsidRDefault="000756EB" w:rsidP="00EE0122"/>
    <w:tbl>
      <w:tblPr>
        <w:tblStyle w:val="TableGrid"/>
        <w:tblW w:w="14879" w:type="dxa"/>
        <w:tblLayout w:type="fixed"/>
        <w:tblLook w:val="0020" w:firstRow="1" w:lastRow="0" w:firstColumn="0" w:lastColumn="0" w:noHBand="0" w:noVBand="0"/>
      </w:tblPr>
      <w:tblGrid>
        <w:gridCol w:w="4106"/>
        <w:gridCol w:w="1346"/>
        <w:gridCol w:w="1347"/>
        <w:gridCol w:w="1346"/>
        <w:gridCol w:w="1347"/>
        <w:gridCol w:w="1347"/>
        <w:gridCol w:w="1346"/>
        <w:gridCol w:w="1347"/>
        <w:gridCol w:w="1347"/>
      </w:tblGrid>
      <w:tr w:rsidR="00EE0122" w:rsidRPr="00DD063E" w14:paraId="41D31B87" w14:textId="77777777" w:rsidTr="008C43E5">
        <w:trPr>
          <w:cantSplit/>
          <w:tblHeader/>
        </w:trPr>
        <w:tc>
          <w:tcPr>
            <w:tcW w:w="4106" w:type="dxa"/>
          </w:tcPr>
          <w:p w14:paraId="3F4CB03E" w14:textId="77777777" w:rsidR="00EE0122" w:rsidRPr="00DD063E" w:rsidRDefault="00EE0122" w:rsidP="00DD063E">
            <w:pPr>
              <w:pStyle w:val="TableColumnHeading"/>
              <w:rPr>
                <w:sz w:val="20"/>
                <w:szCs w:val="28"/>
              </w:rPr>
            </w:pPr>
            <w:bookmarkStart w:id="71" w:name="ColumnTitles_43"/>
            <w:bookmarkEnd w:id="71"/>
          </w:p>
        </w:tc>
        <w:tc>
          <w:tcPr>
            <w:tcW w:w="1346" w:type="dxa"/>
          </w:tcPr>
          <w:p w14:paraId="7C12078C" w14:textId="32646D6E" w:rsidR="00EE0122" w:rsidRPr="00DD063E" w:rsidRDefault="00DD063E" w:rsidP="008C43E5">
            <w:pPr>
              <w:pStyle w:val="TableColumnHeading"/>
              <w:jc w:val="right"/>
              <w:rPr>
                <w:sz w:val="20"/>
                <w:szCs w:val="28"/>
              </w:rPr>
            </w:pPr>
            <w:r w:rsidRPr="00DD063E">
              <w:rPr>
                <w:sz w:val="20"/>
                <w:szCs w:val="28"/>
              </w:rPr>
              <w:t xml:space="preserve">Motor vehicles at fair value </w:t>
            </w:r>
            <w:r w:rsidR="00EE0122" w:rsidRPr="00DD063E">
              <w:rPr>
                <w:sz w:val="20"/>
                <w:szCs w:val="28"/>
              </w:rPr>
              <w:t xml:space="preserve">2023 </w:t>
            </w:r>
            <w:r w:rsidRPr="00DD063E">
              <w:rPr>
                <w:sz w:val="20"/>
                <w:szCs w:val="28"/>
              </w:rPr>
              <w:t>($</w:t>
            </w:r>
            <w:r>
              <w:rPr>
                <w:sz w:val="20"/>
                <w:szCs w:val="28"/>
              </w:rPr>
              <w:t> </w:t>
            </w:r>
            <w:r w:rsidRPr="00DD063E">
              <w:rPr>
                <w:sz w:val="20"/>
                <w:szCs w:val="28"/>
              </w:rPr>
              <w:t>thousand)</w:t>
            </w:r>
          </w:p>
        </w:tc>
        <w:tc>
          <w:tcPr>
            <w:tcW w:w="1347" w:type="dxa"/>
          </w:tcPr>
          <w:p w14:paraId="5AB87B92" w14:textId="54B90331" w:rsidR="00EE0122" w:rsidRPr="00DD063E" w:rsidRDefault="00DD063E" w:rsidP="008C43E5">
            <w:pPr>
              <w:pStyle w:val="TableColumnHeading"/>
              <w:jc w:val="right"/>
              <w:rPr>
                <w:sz w:val="20"/>
                <w:szCs w:val="28"/>
              </w:rPr>
            </w:pPr>
            <w:r w:rsidRPr="00DD063E">
              <w:rPr>
                <w:sz w:val="20"/>
                <w:szCs w:val="28"/>
              </w:rPr>
              <w:t>Motor vehicles at fair value</w:t>
            </w:r>
            <w:r>
              <w:rPr>
                <w:sz w:val="20"/>
                <w:szCs w:val="28"/>
              </w:rPr>
              <w:t xml:space="preserve"> </w:t>
            </w:r>
            <w:r w:rsidR="00EE0122" w:rsidRPr="00DD063E">
              <w:rPr>
                <w:sz w:val="20"/>
                <w:szCs w:val="28"/>
              </w:rPr>
              <w:t>2022</w:t>
            </w:r>
            <w:r>
              <w:rPr>
                <w:sz w:val="20"/>
                <w:szCs w:val="28"/>
              </w:rPr>
              <w:t xml:space="preserve"> </w:t>
            </w:r>
            <w:r w:rsidRPr="00DD063E">
              <w:rPr>
                <w:sz w:val="20"/>
                <w:szCs w:val="28"/>
              </w:rPr>
              <w:t>($</w:t>
            </w:r>
            <w:r>
              <w:rPr>
                <w:sz w:val="20"/>
                <w:szCs w:val="28"/>
              </w:rPr>
              <w:t> </w:t>
            </w:r>
            <w:r w:rsidRPr="00DD063E">
              <w:rPr>
                <w:sz w:val="20"/>
                <w:szCs w:val="28"/>
              </w:rPr>
              <w:t>thousand)</w:t>
            </w:r>
          </w:p>
        </w:tc>
        <w:tc>
          <w:tcPr>
            <w:tcW w:w="1346" w:type="dxa"/>
          </w:tcPr>
          <w:p w14:paraId="5320969D" w14:textId="4ACE26A7" w:rsidR="00EE0122" w:rsidRPr="00DD063E" w:rsidRDefault="00DD063E" w:rsidP="008C43E5">
            <w:pPr>
              <w:pStyle w:val="TableColumnHeading"/>
              <w:jc w:val="right"/>
              <w:rPr>
                <w:sz w:val="20"/>
                <w:szCs w:val="28"/>
              </w:rPr>
            </w:pPr>
            <w:r w:rsidRPr="00DD063E">
              <w:rPr>
                <w:sz w:val="20"/>
                <w:szCs w:val="28"/>
              </w:rPr>
              <w:t>Assets under construction</w:t>
            </w:r>
            <w:r>
              <w:rPr>
                <w:sz w:val="20"/>
                <w:szCs w:val="28"/>
              </w:rPr>
              <w:t xml:space="preserve"> </w:t>
            </w:r>
            <w:r w:rsidR="00EE0122" w:rsidRPr="00DD063E">
              <w:rPr>
                <w:sz w:val="20"/>
                <w:szCs w:val="28"/>
              </w:rPr>
              <w:t xml:space="preserve">2023 </w:t>
            </w:r>
            <w:r w:rsidRPr="00DD063E">
              <w:rPr>
                <w:sz w:val="20"/>
                <w:szCs w:val="28"/>
              </w:rPr>
              <w:t>($</w:t>
            </w:r>
            <w:r>
              <w:rPr>
                <w:sz w:val="20"/>
                <w:szCs w:val="28"/>
              </w:rPr>
              <w:t> </w:t>
            </w:r>
            <w:r w:rsidRPr="00DD063E">
              <w:rPr>
                <w:sz w:val="20"/>
                <w:szCs w:val="28"/>
              </w:rPr>
              <w:t>thousand)</w:t>
            </w:r>
          </w:p>
        </w:tc>
        <w:tc>
          <w:tcPr>
            <w:tcW w:w="1347" w:type="dxa"/>
          </w:tcPr>
          <w:p w14:paraId="243EE791" w14:textId="61FAC125" w:rsidR="00EE0122" w:rsidRPr="00DD063E" w:rsidRDefault="00DD063E" w:rsidP="008C43E5">
            <w:pPr>
              <w:pStyle w:val="TableColumnHeading"/>
              <w:jc w:val="right"/>
              <w:rPr>
                <w:sz w:val="20"/>
                <w:szCs w:val="28"/>
              </w:rPr>
            </w:pPr>
            <w:r w:rsidRPr="00DD063E">
              <w:rPr>
                <w:sz w:val="20"/>
                <w:szCs w:val="28"/>
              </w:rPr>
              <w:t>Assets under construction</w:t>
            </w:r>
            <w:r>
              <w:rPr>
                <w:sz w:val="20"/>
                <w:szCs w:val="28"/>
              </w:rPr>
              <w:t xml:space="preserve"> </w:t>
            </w:r>
            <w:r w:rsidR="00EE0122" w:rsidRPr="00DD063E">
              <w:rPr>
                <w:sz w:val="20"/>
                <w:szCs w:val="28"/>
              </w:rPr>
              <w:t>2022</w:t>
            </w:r>
            <w:r>
              <w:rPr>
                <w:sz w:val="20"/>
                <w:szCs w:val="28"/>
              </w:rPr>
              <w:t xml:space="preserve"> </w:t>
            </w:r>
            <w:r w:rsidRPr="00DD063E">
              <w:rPr>
                <w:sz w:val="20"/>
                <w:szCs w:val="28"/>
              </w:rPr>
              <w:t>($</w:t>
            </w:r>
            <w:r>
              <w:rPr>
                <w:sz w:val="20"/>
                <w:szCs w:val="28"/>
              </w:rPr>
              <w:t> </w:t>
            </w:r>
            <w:r w:rsidRPr="00DD063E">
              <w:rPr>
                <w:sz w:val="20"/>
                <w:szCs w:val="28"/>
              </w:rPr>
              <w:t>thousand)</w:t>
            </w:r>
          </w:p>
        </w:tc>
        <w:tc>
          <w:tcPr>
            <w:tcW w:w="1347" w:type="dxa"/>
          </w:tcPr>
          <w:p w14:paraId="1C467A0C" w14:textId="72E6381F" w:rsidR="00EE0122" w:rsidRPr="00DD063E" w:rsidRDefault="00DD063E" w:rsidP="008C43E5">
            <w:pPr>
              <w:pStyle w:val="TableColumnHeading"/>
              <w:jc w:val="right"/>
              <w:rPr>
                <w:sz w:val="20"/>
                <w:szCs w:val="28"/>
              </w:rPr>
            </w:pPr>
            <w:r w:rsidRPr="00DD063E">
              <w:rPr>
                <w:sz w:val="20"/>
                <w:szCs w:val="28"/>
              </w:rPr>
              <w:t>Cultural assets at fair value</w:t>
            </w:r>
            <w:r>
              <w:rPr>
                <w:sz w:val="20"/>
                <w:szCs w:val="28"/>
              </w:rPr>
              <w:t xml:space="preserve"> </w:t>
            </w:r>
            <w:r w:rsidR="00EE0122" w:rsidRPr="00DD063E">
              <w:rPr>
                <w:sz w:val="20"/>
                <w:szCs w:val="28"/>
              </w:rPr>
              <w:t xml:space="preserve">2023 </w:t>
            </w:r>
            <w:r w:rsidRPr="00DD063E">
              <w:rPr>
                <w:sz w:val="20"/>
                <w:szCs w:val="28"/>
              </w:rPr>
              <w:t>($ thousand)</w:t>
            </w:r>
          </w:p>
        </w:tc>
        <w:tc>
          <w:tcPr>
            <w:tcW w:w="1346" w:type="dxa"/>
          </w:tcPr>
          <w:p w14:paraId="56C4E611" w14:textId="71E55E6A" w:rsidR="00EE0122" w:rsidRPr="00DD063E" w:rsidRDefault="00DD063E" w:rsidP="008C43E5">
            <w:pPr>
              <w:pStyle w:val="TableColumnHeading"/>
              <w:jc w:val="right"/>
              <w:rPr>
                <w:sz w:val="20"/>
                <w:szCs w:val="28"/>
              </w:rPr>
            </w:pPr>
            <w:r w:rsidRPr="00DD063E">
              <w:rPr>
                <w:sz w:val="20"/>
                <w:szCs w:val="28"/>
              </w:rPr>
              <w:t>Cultural assets at fair value</w:t>
            </w:r>
            <w:r>
              <w:rPr>
                <w:sz w:val="20"/>
                <w:szCs w:val="28"/>
              </w:rPr>
              <w:t xml:space="preserve"> </w:t>
            </w:r>
            <w:r w:rsidR="00EE0122" w:rsidRPr="00DD063E">
              <w:rPr>
                <w:sz w:val="20"/>
                <w:szCs w:val="28"/>
              </w:rPr>
              <w:t>2022</w:t>
            </w:r>
            <w:r>
              <w:rPr>
                <w:sz w:val="20"/>
                <w:szCs w:val="28"/>
              </w:rPr>
              <w:t xml:space="preserve"> </w:t>
            </w:r>
            <w:r w:rsidRPr="00DD063E">
              <w:rPr>
                <w:sz w:val="20"/>
                <w:szCs w:val="28"/>
              </w:rPr>
              <w:t>($ thousand)</w:t>
            </w:r>
          </w:p>
        </w:tc>
        <w:tc>
          <w:tcPr>
            <w:tcW w:w="1347" w:type="dxa"/>
          </w:tcPr>
          <w:p w14:paraId="5ABAED7F" w14:textId="38DAF910" w:rsidR="00EE0122" w:rsidRPr="00DD063E" w:rsidRDefault="00DD063E" w:rsidP="008C43E5">
            <w:pPr>
              <w:pStyle w:val="TableColumnHeading"/>
              <w:jc w:val="right"/>
              <w:rPr>
                <w:sz w:val="20"/>
                <w:szCs w:val="28"/>
              </w:rPr>
            </w:pPr>
            <w:r w:rsidRPr="00DD063E">
              <w:rPr>
                <w:sz w:val="20"/>
                <w:szCs w:val="28"/>
              </w:rPr>
              <w:t>Total</w:t>
            </w:r>
            <w:r>
              <w:rPr>
                <w:sz w:val="20"/>
                <w:szCs w:val="28"/>
              </w:rPr>
              <w:t xml:space="preserve"> </w:t>
            </w:r>
            <w:r w:rsidR="00EE0122" w:rsidRPr="00DD063E">
              <w:rPr>
                <w:sz w:val="20"/>
                <w:szCs w:val="28"/>
              </w:rPr>
              <w:t xml:space="preserve">2023 </w:t>
            </w:r>
            <w:r w:rsidRPr="00DD063E">
              <w:rPr>
                <w:sz w:val="20"/>
                <w:szCs w:val="28"/>
              </w:rPr>
              <w:t>($</w:t>
            </w:r>
            <w:r>
              <w:rPr>
                <w:sz w:val="20"/>
                <w:szCs w:val="28"/>
              </w:rPr>
              <w:t> </w:t>
            </w:r>
            <w:r w:rsidRPr="00DD063E">
              <w:rPr>
                <w:sz w:val="20"/>
                <w:szCs w:val="28"/>
              </w:rPr>
              <w:t>thousand)</w:t>
            </w:r>
          </w:p>
        </w:tc>
        <w:tc>
          <w:tcPr>
            <w:tcW w:w="1347" w:type="dxa"/>
          </w:tcPr>
          <w:p w14:paraId="5035FA60" w14:textId="45EF11CF" w:rsidR="00EE0122" w:rsidRPr="00DD063E" w:rsidRDefault="00DD063E" w:rsidP="008C43E5">
            <w:pPr>
              <w:pStyle w:val="TableColumnHeading"/>
              <w:jc w:val="right"/>
              <w:rPr>
                <w:sz w:val="20"/>
                <w:szCs w:val="28"/>
              </w:rPr>
            </w:pPr>
            <w:r w:rsidRPr="00DD063E">
              <w:rPr>
                <w:sz w:val="20"/>
                <w:szCs w:val="28"/>
              </w:rPr>
              <w:t>Total</w:t>
            </w:r>
            <w:r>
              <w:rPr>
                <w:sz w:val="20"/>
                <w:szCs w:val="28"/>
              </w:rPr>
              <w:t xml:space="preserve"> </w:t>
            </w:r>
            <w:r w:rsidR="00EE0122" w:rsidRPr="00DD063E">
              <w:rPr>
                <w:sz w:val="20"/>
                <w:szCs w:val="28"/>
              </w:rPr>
              <w:t>2022</w:t>
            </w:r>
            <w:r>
              <w:rPr>
                <w:sz w:val="20"/>
                <w:szCs w:val="28"/>
              </w:rPr>
              <w:t xml:space="preserve"> </w:t>
            </w:r>
            <w:r w:rsidRPr="00DD063E">
              <w:rPr>
                <w:sz w:val="20"/>
                <w:szCs w:val="28"/>
              </w:rPr>
              <w:t>($</w:t>
            </w:r>
            <w:r>
              <w:rPr>
                <w:sz w:val="20"/>
                <w:szCs w:val="28"/>
              </w:rPr>
              <w:t> </w:t>
            </w:r>
            <w:r w:rsidRPr="00DD063E">
              <w:rPr>
                <w:sz w:val="20"/>
                <w:szCs w:val="28"/>
              </w:rPr>
              <w:t>thousand)</w:t>
            </w:r>
          </w:p>
        </w:tc>
      </w:tr>
      <w:tr w:rsidR="00EE0122" w:rsidRPr="008C43E5" w14:paraId="1F928A3C" w14:textId="77777777" w:rsidTr="008C43E5">
        <w:trPr>
          <w:cantSplit/>
        </w:trPr>
        <w:tc>
          <w:tcPr>
            <w:tcW w:w="4106" w:type="dxa"/>
          </w:tcPr>
          <w:p w14:paraId="5AD3DE09" w14:textId="23BE460B" w:rsidR="00EE0122" w:rsidRPr="008C43E5" w:rsidRDefault="00EE0122" w:rsidP="008C43E5">
            <w:pPr>
              <w:pStyle w:val="TableCopy"/>
              <w:rPr>
                <w:b/>
                <w:bCs/>
              </w:rPr>
            </w:pPr>
            <w:r w:rsidRPr="008C43E5">
              <w:rPr>
                <w:b/>
                <w:bCs/>
              </w:rPr>
              <w:t>Opening balance</w:t>
            </w:r>
          </w:p>
        </w:tc>
        <w:tc>
          <w:tcPr>
            <w:tcW w:w="1346" w:type="dxa"/>
          </w:tcPr>
          <w:p w14:paraId="0CF9F0DD" w14:textId="21C6D5AC" w:rsidR="00EE0122" w:rsidRPr="008C43E5" w:rsidRDefault="00EE0122" w:rsidP="008C43E5">
            <w:pPr>
              <w:pStyle w:val="TableCopy"/>
              <w:jc w:val="right"/>
              <w:rPr>
                <w:b/>
                <w:bCs/>
              </w:rPr>
            </w:pPr>
            <w:r w:rsidRPr="008C43E5">
              <w:rPr>
                <w:b/>
                <w:bCs/>
              </w:rPr>
              <w:t>11,059</w:t>
            </w:r>
          </w:p>
        </w:tc>
        <w:tc>
          <w:tcPr>
            <w:tcW w:w="1347" w:type="dxa"/>
          </w:tcPr>
          <w:p w14:paraId="6B9A0FD8" w14:textId="63FFE18D" w:rsidR="00EE0122" w:rsidRPr="008C43E5" w:rsidRDefault="00EE0122" w:rsidP="008C43E5">
            <w:pPr>
              <w:pStyle w:val="TableCopy"/>
              <w:jc w:val="right"/>
              <w:rPr>
                <w:b/>
                <w:bCs/>
              </w:rPr>
            </w:pPr>
            <w:r w:rsidRPr="008C43E5">
              <w:rPr>
                <w:b/>
                <w:bCs/>
              </w:rPr>
              <w:t>12,014</w:t>
            </w:r>
          </w:p>
        </w:tc>
        <w:tc>
          <w:tcPr>
            <w:tcW w:w="1346" w:type="dxa"/>
          </w:tcPr>
          <w:p w14:paraId="203FA993" w14:textId="6A7CD5A8" w:rsidR="00EE0122" w:rsidRPr="008C43E5" w:rsidRDefault="00EE0122" w:rsidP="008C43E5">
            <w:pPr>
              <w:pStyle w:val="TableCopy"/>
              <w:jc w:val="right"/>
              <w:rPr>
                <w:b/>
                <w:bCs/>
              </w:rPr>
            </w:pPr>
            <w:r w:rsidRPr="008C43E5">
              <w:rPr>
                <w:b/>
                <w:bCs/>
              </w:rPr>
              <w:t>42,587</w:t>
            </w:r>
          </w:p>
        </w:tc>
        <w:tc>
          <w:tcPr>
            <w:tcW w:w="1347" w:type="dxa"/>
          </w:tcPr>
          <w:p w14:paraId="45594245" w14:textId="521D7C66" w:rsidR="00EE0122" w:rsidRPr="008C43E5" w:rsidRDefault="00EE0122" w:rsidP="008C43E5">
            <w:pPr>
              <w:pStyle w:val="TableCopy"/>
              <w:jc w:val="right"/>
              <w:rPr>
                <w:b/>
                <w:bCs/>
              </w:rPr>
            </w:pPr>
            <w:r w:rsidRPr="008C43E5">
              <w:rPr>
                <w:b/>
                <w:bCs/>
              </w:rPr>
              <w:t>44,622</w:t>
            </w:r>
          </w:p>
        </w:tc>
        <w:tc>
          <w:tcPr>
            <w:tcW w:w="1347" w:type="dxa"/>
          </w:tcPr>
          <w:p w14:paraId="0C50310E" w14:textId="503A443F" w:rsidR="00EE0122" w:rsidRPr="008C43E5" w:rsidRDefault="00EE0122" w:rsidP="008C43E5">
            <w:pPr>
              <w:pStyle w:val="TableCopy"/>
              <w:jc w:val="right"/>
              <w:rPr>
                <w:b/>
                <w:bCs/>
              </w:rPr>
            </w:pPr>
            <w:r w:rsidRPr="008C43E5">
              <w:rPr>
                <w:b/>
                <w:bCs/>
              </w:rPr>
              <w:t>2,784</w:t>
            </w:r>
          </w:p>
        </w:tc>
        <w:tc>
          <w:tcPr>
            <w:tcW w:w="1346" w:type="dxa"/>
          </w:tcPr>
          <w:p w14:paraId="7B768D58" w14:textId="66591401" w:rsidR="00EE0122" w:rsidRPr="008C43E5" w:rsidRDefault="00EE0122" w:rsidP="008C43E5">
            <w:pPr>
              <w:pStyle w:val="TableCopy"/>
              <w:jc w:val="right"/>
              <w:rPr>
                <w:b/>
                <w:bCs/>
              </w:rPr>
            </w:pPr>
            <w:r w:rsidRPr="008C43E5">
              <w:rPr>
                <w:b/>
                <w:bCs/>
              </w:rPr>
              <w:t>2,831</w:t>
            </w:r>
          </w:p>
        </w:tc>
        <w:tc>
          <w:tcPr>
            <w:tcW w:w="1347" w:type="dxa"/>
          </w:tcPr>
          <w:p w14:paraId="0E197011" w14:textId="02615285" w:rsidR="00EE0122" w:rsidRPr="008C43E5" w:rsidRDefault="00EE0122" w:rsidP="008C43E5">
            <w:pPr>
              <w:pStyle w:val="TableCopy"/>
              <w:jc w:val="right"/>
              <w:rPr>
                <w:b/>
                <w:bCs/>
              </w:rPr>
            </w:pPr>
            <w:r w:rsidRPr="008C43E5">
              <w:rPr>
                <w:b/>
                <w:bCs/>
              </w:rPr>
              <w:t>1,598,295</w:t>
            </w:r>
          </w:p>
        </w:tc>
        <w:tc>
          <w:tcPr>
            <w:tcW w:w="1347" w:type="dxa"/>
          </w:tcPr>
          <w:p w14:paraId="00ED02D6" w14:textId="6AA757DC" w:rsidR="00EE0122" w:rsidRPr="008C43E5" w:rsidRDefault="00EE0122" w:rsidP="008C43E5">
            <w:pPr>
              <w:pStyle w:val="TableCopy"/>
              <w:jc w:val="right"/>
              <w:rPr>
                <w:b/>
                <w:bCs/>
              </w:rPr>
            </w:pPr>
            <w:r w:rsidRPr="008C43E5">
              <w:rPr>
                <w:b/>
                <w:bCs/>
              </w:rPr>
              <w:t>1,623,520</w:t>
            </w:r>
          </w:p>
        </w:tc>
      </w:tr>
      <w:tr w:rsidR="00EE0122" w14:paraId="1A0CCF88" w14:textId="77777777" w:rsidTr="008C43E5">
        <w:trPr>
          <w:cantSplit/>
        </w:trPr>
        <w:tc>
          <w:tcPr>
            <w:tcW w:w="4106" w:type="dxa"/>
          </w:tcPr>
          <w:p w14:paraId="53CDE601" w14:textId="40BB89C5" w:rsidR="00EE0122" w:rsidRDefault="00EE0122" w:rsidP="008C43E5">
            <w:pPr>
              <w:pStyle w:val="TableCopy"/>
            </w:pPr>
            <w:r>
              <w:t xml:space="preserve">Machinery of government transferred in/(out) </w:t>
            </w:r>
            <w:r w:rsidRPr="00614829">
              <w:rPr>
                <w:rStyle w:val="FootnotereferencessuperscriptMisc"/>
              </w:rPr>
              <w:t>(</w:t>
            </w:r>
            <w:proofErr w:type="spellStart"/>
            <w:r w:rsidRPr="00614829">
              <w:rPr>
                <w:rStyle w:val="FootnotereferencessuperscriptMisc"/>
              </w:rPr>
              <w:t>i</w:t>
            </w:r>
            <w:proofErr w:type="spellEnd"/>
            <w:r w:rsidRPr="00614829">
              <w:rPr>
                <w:rStyle w:val="FootnotereferencessuperscriptMisc"/>
              </w:rPr>
              <w:t>)</w:t>
            </w:r>
          </w:p>
        </w:tc>
        <w:tc>
          <w:tcPr>
            <w:tcW w:w="1346" w:type="dxa"/>
          </w:tcPr>
          <w:p w14:paraId="1CFDA146" w14:textId="77777777" w:rsidR="00EE0122" w:rsidRDefault="00EE0122" w:rsidP="008C43E5">
            <w:pPr>
              <w:pStyle w:val="TableCopy"/>
              <w:jc w:val="right"/>
            </w:pPr>
            <w:r>
              <w:t>(8,492)</w:t>
            </w:r>
          </w:p>
        </w:tc>
        <w:tc>
          <w:tcPr>
            <w:tcW w:w="1347" w:type="dxa"/>
          </w:tcPr>
          <w:p w14:paraId="4920C19D" w14:textId="77777777" w:rsidR="00EE0122" w:rsidRDefault="00EE0122" w:rsidP="008C43E5">
            <w:pPr>
              <w:pStyle w:val="TableCopy"/>
              <w:jc w:val="right"/>
            </w:pPr>
            <w:r>
              <w:t>–</w:t>
            </w:r>
          </w:p>
        </w:tc>
        <w:tc>
          <w:tcPr>
            <w:tcW w:w="1346" w:type="dxa"/>
          </w:tcPr>
          <w:p w14:paraId="73502946" w14:textId="77777777" w:rsidR="00EE0122" w:rsidRDefault="00EE0122" w:rsidP="008C43E5">
            <w:pPr>
              <w:pStyle w:val="TableCopy"/>
              <w:jc w:val="right"/>
            </w:pPr>
            <w:r>
              <w:t>(16,311)</w:t>
            </w:r>
          </w:p>
        </w:tc>
        <w:tc>
          <w:tcPr>
            <w:tcW w:w="1347" w:type="dxa"/>
          </w:tcPr>
          <w:p w14:paraId="654C4675" w14:textId="77777777" w:rsidR="00EE0122" w:rsidRDefault="00EE0122" w:rsidP="008C43E5">
            <w:pPr>
              <w:pStyle w:val="TableCopy"/>
              <w:jc w:val="right"/>
            </w:pPr>
            <w:r>
              <w:t>–</w:t>
            </w:r>
          </w:p>
        </w:tc>
        <w:tc>
          <w:tcPr>
            <w:tcW w:w="1347" w:type="dxa"/>
          </w:tcPr>
          <w:p w14:paraId="3A37E33A" w14:textId="77777777" w:rsidR="00EE0122" w:rsidRDefault="00EE0122" w:rsidP="008C43E5">
            <w:pPr>
              <w:pStyle w:val="TableCopy"/>
              <w:jc w:val="right"/>
            </w:pPr>
            <w:r>
              <w:t>(13)</w:t>
            </w:r>
          </w:p>
        </w:tc>
        <w:tc>
          <w:tcPr>
            <w:tcW w:w="1346" w:type="dxa"/>
          </w:tcPr>
          <w:p w14:paraId="0D14F10E" w14:textId="77777777" w:rsidR="00EE0122" w:rsidRDefault="00EE0122" w:rsidP="008C43E5">
            <w:pPr>
              <w:pStyle w:val="TableCopy"/>
              <w:jc w:val="right"/>
            </w:pPr>
            <w:r>
              <w:t>–</w:t>
            </w:r>
          </w:p>
        </w:tc>
        <w:tc>
          <w:tcPr>
            <w:tcW w:w="1347" w:type="dxa"/>
          </w:tcPr>
          <w:p w14:paraId="77705669" w14:textId="77777777" w:rsidR="00EE0122" w:rsidRDefault="00EE0122" w:rsidP="008C43E5">
            <w:pPr>
              <w:pStyle w:val="TableCopy"/>
              <w:jc w:val="right"/>
            </w:pPr>
            <w:r>
              <w:rPr>
                <w:rFonts w:ascii="VIC Medium" w:hAnsi="VIC Medium" w:cs="VIC Medium"/>
              </w:rPr>
              <w:t>(619,952)</w:t>
            </w:r>
          </w:p>
        </w:tc>
        <w:tc>
          <w:tcPr>
            <w:tcW w:w="1347" w:type="dxa"/>
          </w:tcPr>
          <w:p w14:paraId="2BB0006B" w14:textId="77777777" w:rsidR="00EE0122" w:rsidRDefault="00EE0122" w:rsidP="008C43E5">
            <w:pPr>
              <w:pStyle w:val="TableCopy"/>
              <w:jc w:val="right"/>
            </w:pPr>
            <w:r>
              <w:rPr>
                <w:rFonts w:ascii="VIC Medium" w:hAnsi="VIC Medium" w:cs="VIC Medium"/>
              </w:rPr>
              <w:t>–</w:t>
            </w:r>
          </w:p>
        </w:tc>
      </w:tr>
      <w:tr w:rsidR="00EE0122" w14:paraId="1F9E6ABB" w14:textId="77777777" w:rsidTr="008C43E5">
        <w:trPr>
          <w:cantSplit/>
        </w:trPr>
        <w:tc>
          <w:tcPr>
            <w:tcW w:w="4106" w:type="dxa"/>
          </w:tcPr>
          <w:p w14:paraId="788252E5" w14:textId="77777777" w:rsidR="00EE0122" w:rsidRDefault="00EE0122" w:rsidP="008C43E5">
            <w:pPr>
              <w:pStyle w:val="TableCopy"/>
            </w:pPr>
            <w:r>
              <w:t>Additions</w:t>
            </w:r>
          </w:p>
        </w:tc>
        <w:tc>
          <w:tcPr>
            <w:tcW w:w="1346" w:type="dxa"/>
          </w:tcPr>
          <w:p w14:paraId="3AB307C3" w14:textId="16C35CF3" w:rsidR="00EE0122" w:rsidRDefault="00EE0122" w:rsidP="008C43E5">
            <w:pPr>
              <w:pStyle w:val="TableCopy"/>
              <w:jc w:val="right"/>
            </w:pPr>
            <w:r>
              <w:t>6,767</w:t>
            </w:r>
          </w:p>
        </w:tc>
        <w:tc>
          <w:tcPr>
            <w:tcW w:w="1347" w:type="dxa"/>
          </w:tcPr>
          <w:p w14:paraId="013DA553" w14:textId="5FD18628" w:rsidR="00EE0122" w:rsidRDefault="00EE0122" w:rsidP="008C43E5">
            <w:pPr>
              <w:pStyle w:val="TableCopy"/>
              <w:jc w:val="right"/>
            </w:pPr>
            <w:r>
              <w:t>3,770</w:t>
            </w:r>
          </w:p>
        </w:tc>
        <w:tc>
          <w:tcPr>
            <w:tcW w:w="1346" w:type="dxa"/>
          </w:tcPr>
          <w:p w14:paraId="477F0157" w14:textId="041488FF" w:rsidR="00EE0122" w:rsidRDefault="00EE0122" w:rsidP="008C43E5">
            <w:pPr>
              <w:pStyle w:val="TableCopy"/>
              <w:jc w:val="right"/>
            </w:pPr>
            <w:r>
              <w:t>15,008</w:t>
            </w:r>
          </w:p>
        </w:tc>
        <w:tc>
          <w:tcPr>
            <w:tcW w:w="1347" w:type="dxa"/>
          </w:tcPr>
          <w:p w14:paraId="6E63402E" w14:textId="22D857A9" w:rsidR="00EE0122" w:rsidRDefault="00EE0122" w:rsidP="008C43E5">
            <w:pPr>
              <w:pStyle w:val="TableCopy"/>
              <w:jc w:val="right"/>
            </w:pPr>
            <w:r>
              <w:t>23,116</w:t>
            </w:r>
          </w:p>
        </w:tc>
        <w:tc>
          <w:tcPr>
            <w:tcW w:w="1347" w:type="dxa"/>
          </w:tcPr>
          <w:p w14:paraId="70A21780" w14:textId="77777777" w:rsidR="00EE0122" w:rsidRDefault="00EE0122" w:rsidP="008C43E5">
            <w:pPr>
              <w:pStyle w:val="TableCopy"/>
              <w:jc w:val="right"/>
            </w:pPr>
            <w:r>
              <w:t>–</w:t>
            </w:r>
          </w:p>
        </w:tc>
        <w:tc>
          <w:tcPr>
            <w:tcW w:w="1346" w:type="dxa"/>
          </w:tcPr>
          <w:p w14:paraId="156C6DD5" w14:textId="77777777" w:rsidR="00EE0122" w:rsidRDefault="00EE0122" w:rsidP="008C43E5">
            <w:pPr>
              <w:pStyle w:val="TableCopy"/>
              <w:jc w:val="right"/>
            </w:pPr>
            <w:r>
              <w:t>–</w:t>
            </w:r>
          </w:p>
        </w:tc>
        <w:tc>
          <w:tcPr>
            <w:tcW w:w="1347" w:type="dxa"/>
          </w:tcPr>
          <w:p w14:paraId="7BBE403E" w14:textId="77777777" w:rsidR="00EE0122" w:rsidRDefault="00EE0122" w:rsidP="008C43E5">
            <w:pPr>
              <w:pStyle w:val="TableCopy"/>
              <w:jc w:val="right"/>
            </w:pPr>
            <w:r>
              <w:rPr>
                <w:rFonts w:ascii="VIC Medium" w:hAnsi="VIC Medium" w:cs="VIC Medium"/>
              </w:rPr>
              <w:t>238,204</w:t>
            </w:r>
          </w:p>
        </w:tc>
        <w:tc>
          <w:tcPr>
            <w:tcW w:w="1347" w:type="dxa"/>
          </w:tcPr>
          <w:p w14:paraId="4CB38FBF" w14:textId="60A7AAA3" w:rsidR="00EE0122" w:rsidRDefault="00EE0122" w:rsidP="008C43E5">
            <w:pPr>
              <w:pStyle w:val="TableCopy"/>
              <w:jc w:val="right"/>
            </w:pPr>
            <w:r>
              <w:rPr>
                <w:rFonts w:ascii="VIC Medium" w:hAnsi="VIC Medium" w:cs="VIC Medium"/>
              </w:rPr>
              <w:t>37,644</w:t>
            </w:r>
          </w:p>
        </w:tc>
      </w:tr>
      <w:tr w:rsidR="00EE0122" w14:paraId="07A9CB64" w14:textId="77777777" w:rsidTr="008C43E5">
        <w:trPr>
          <w:cantSplit/>
        </w:trPr>
        <w:tc>
          <w:tcPr>
            <w:tcW w:w="4106" w:type="dxa"/>
          </w:tcPr>
          <w:p w14:paraId="1B714155" w14:textId="77777777" w:rsidR="00EE0122" w:rsidRDefault="00EE0122" w:rsidP="008C43E5">
            <w:pPr>
              <w:pStyle w:val="TableCopy"/>
            </w:pPr>
            <w:r>
              <w:t>Disposals</w:t>
            </w:r>
          </w:p>
        </w:tc>
        <w:tc>
          <w:tcPr>
            <w:tcW w:w="1346" w:type="dxa"/>
          </w:tcPr>
          <w:p w14:paraId="62E41299" w14:textId="77777777" w:rsidR="00EE0122" w:rsidRDefault="00EE0122" w:rsidP="008C43E5">
            <w:pPr>
              <w:pStyle w:val="TableCopy"/>
              <w:jc w:val="right"/>
            </w:pPr>
            <w:r>
              <w:t>(3,695)</w:t>
            </w:r>
          </w:p>
        </w:tc>
        <w:tc>
          <w:tcPr>
            <w:tcW w:w="1347" w:type="dxa"/>
          </w:tcPr>
          <w:p w14:paraId="62AA64AD" w14:textId="77777777" w:rsidR="00EE0122" w:rsidRDefault="00EE0122" w:rsidP="008C43E5">
            <w:pPr>
              <w:pStyle w:val="TableCopy"/>
              <w:jc w:val="right"/>
            </w:pPr>
            <w:r>
              <w:t>(1,073)</w:t>
            </w:r>
          </w:p>
        </w:tc>
        <w:tc>
          <w:tcPr>
            <w:tcW w:w="1346" w:type="dxa"/>
          </w:tcPr>
          <w:p w14:paraId="1BEF8493" w14:textId="77777777" w:rsidR="00EE0122" w:rsidRDefault="00EE0122" w:rsidP="008C43E5">
            <w:pPr>
              <w:pStyle w:val="TableCopy"/>
              <w:jc w:val="right"/>
            </w:pPr>
            <w:r>
              <w:t>(69)</w:t>
            </w:r>
          </w:p>
        </w:tc>
        <w:tc>
          <w:tcPr>
            <w:tcW w:w="1347" w:type="dxa"/>
          </w:tcPr>
          <w:p w14:paraId="4EBDB6D2" w14:textId="77777777" w:rsidR="00EE0122" w:rsidRDefault="00EE0122" w:rsidP="008C43E5">
            <w:pPr>
              <w:pStyle w:val="TableCopy"/>
              <w:jc w:val="right"/>
            </w:pPr>
            <w:r>
              <w:t>(240)</w:t>
            </w:r>
          </w:p>
        </w:tc>
        <w:tc>
          <w:tcPr>
            <w:tcW w:w="1347" w:type="dxa"/>
          </w:tcPr>
          <w:p w14:paraId="5F1B71B3" w14:textId="77777777" w:rsidR="00EE0122" w:rsidRDefault="00EE0122" w:rsidP="008C43E5">
            <w:pPr>
              <w:pStyle w:val="TableCopy"/>
              <w:jc w:val="right"/>
            </w:pPr>
            <w:r>
              <w:t>–</w:t>
            </w:r>
          </w:p>
        </w:tc>
        <w:tc>
          <w:tcPr>
            <w:tcW w:w="1346" w:type="dxa"/>
          </w:tcPr>
          <w:p w14:paraId="3AE5D0F2" w14:textId="77777777" w:rsidR="00EE0122" w:rsidRDefault="00EE0122" w:rsidP="008C43E5">
            <w:pPr>
              <w:pStyle w:val="TableCopy"/>
              <w:jc w:val="right"/>
            </w:pPr>
            <w:r>
              <w:t>–</w:t>
            </w:r>
          </w:p>
        </w:tc>
        <w:tc>
          <w:tcPr>
            <w:tcW w:w="1347" w:type="dxa"/>
          </w:tcPr>
          <w:p w14:paraId="1D8DA37E" w14:textId="77777777" w:rsidR="00EE0122" w:rsidRDefault="00EE0122" w:rsidP="008C43E5">
            <w:pPr>
              <w:pStyle w:val="TableCopy"/>
              <w:jc w:val="right"/>
            </w:pPr>
            <w:r>
              <w:rPr>
                <w:rFonts w:ascii="VIC Medium" w:hAnsi="VIC Medium" w:cs="VIC Medium"/>
              </w:rPr>
              <w:t>(3,808)</w:t>
            </w:r>
          </w:p>
        </w:tc>
        <w:tc>
          <w:tcPr>
            <w:tcW w:w="1347" w:type="dxa"/>
          </w:tcPr>
          <w:p w14:paraId="5DC5C880" w14:textId="77777777" w:rsidR="00EE0122" w:rsidRDefault="00EE0122" w:rsidP="008C43E5">
            <w:pPr>
              <w:pStyle w:val="TableCopy"/>
              <w:jc w:val="right"/>
            </w:pPr>
            <w:r>
              <w:rPr>
                <w:rFonts w:ascii="VIC Medium" w:hAnsi="VIC Medium" w:cs="VIC Medium"/>
              </w:rPr>
              <w:t>(1,910)</w:t>
            </w:r>
          </w:p>
        </w:tc>
      </w:tr>
      <w:tr w:rsidR="00EE0122" w14:paraId="5302409C" w14:textId="77777777" w:rsidTr="008C43E5">
        <w:trPr>
          <w:cantSplit/>
        </w:trPr>
        <w:tc>
          <w:tcPr>
            <w:tcW w:w="4106" w:type="dxa"/>
          </w:tcPr>
          <w:p w14:paraId="17EC7C98" w14:textId="513D915A" w:rsidR="00EE0122" w:rsidRDefault="00EE0122" w:rsidP="008C43E5">
            <w:pPr>
              <w:pStyle w:val="TableCopy"/>
            </w:pPr>
            <w:r>
              <w:t>Return of capital</w:t>
            </w:r>
          </w:p>
        </w:tc>
        <w:tc>
          <w:tcPr>
            <w:tcW w:w="1346" w:type="dxa"/>
          </w:tcPr>
          <w:p w14:paraId="66748EB6" w14:textId="77777777" w:rsidR="00EE0122" w:rsidRDefault="00EE0122" w:rsidP="008C43E5">
            <w:pPr>
              <w:pStyle w:val="TableCopy"/>
              <w:jc w:val="right"/>
            </w:pPr>
            <w:r>
              <w:t>–</w:t>
            </w:r>
          </w:p>
        </w:tc>
        <w:tc>
          <w:tcPr>
            <w:tcW w:w="1347" w:type="dxa"/>
          </w:tcPr>
          <w:p w14:paraId="2093BE80" w14:textId="77777777" w:rsidR="00EE0122" w:rsidRDefault="00EE0122" w:rsidP="008C43E5">
            <w:pPr>
              <w:pStyle w:val="TableCopy"/>
              <w:jc w:val="right"/>
            </w:pPr>
            <w:r>
              <w:t>–</w:t>
            </w:r>
          </w:p>
        </w:tc>
        <w:tc>
          <w:tcPr>
            <w:tcW w:w="1346" w:type="dxa"/>
          </w:tcPr>
          <w:p w14:paraId="1D4A72C6" w14:textId="77777777" w:rsidR="00EE0122" w:rsidRDefault="00EE0122" w:rsidP="008C43E5">
            <w:pPr>
              <w:pStyle w:val="TableCopy"/>
              <w:jc w:val="right"/>
            </w:pPr>
            <w:r>
              <w:t>–</w:t>
            </w:r>
          </w:p>
        </w:tc>
        <w:tc>
          <w:tcPr>
            <w:tcW w:w="1347" w:type="dxa"/>
          </w:tcPr>
          <w:p w14:paraId="4C21E880" w14:textId="77777777" w:rsidR="00EE0122" w:rsidRDefault="00EE0122" w:rsidP="008C43E5">
            <w:pPr>
              <w:pStyle w:val="TableCopy"/>
              <w:jc w:val="right"/>
            </w:pPr>
            <w:r>
              <w:t>(1,652)</w:t>
            </w:r>
          </w:p>
        </w:tc>
        <w:tc>
          <w:tcPr>
            <w:tcW w:w="1347" w:type="dxa"/>
          </w:tcPr>
          <w:p w14:paraId="4BE156C8" w14:textId="77777777" w:rsidR="00EE0122" w:rsidRDefault="00EE0122" w:rsidP="008C43E5">
            <w:pPr>
              <w:pStyle w:val="TableCopy"/>
              <w:jc w:val="right"/>
            </w:pPr>
            <w:r>
              <w:t>–</w:t>
            </w:r>
          </w:p>
        </w:tc>
        <w:tc>
          <w:tcPr>
            <w:tcW w:w="1346" w:type="dxa"/>
          </w:tcPr>
          <w:p w14:paraId="1ECB2028" w14:textId="77777777" w:rsidR="00EE0122" w:rsidRDefault="00EE0122" w:rsidP="008C43E5">
            <w:pPr>
              <w:pStyle w:val="TableCopy"/>
              <w:jc w:val="right"/>
            </w:pPr>
            <w:r>
              <w:t>–</w:t>
            </w:r>
          </w:p>
        </w:tc>
        <w:tc>
          <w:tcPr>
            <w:tcW w:w="1347" w:type="dxa"/>
          </w:tcPr>
          <w:p w14:paraId="719D6EC7" w14:textId="77777777" w:rsidR="00EE0122" w:rsidRDefault="00EE0122" w:rsidP="008C43E5">
            <w:pPr>
              <w:pStyle w:val="TableCopy"/>
              <w:jc w:val="right"/>
            </w:pPr>
            <w:r>
              <w:rPr>
                <w:rFonts w:ascii="VIC Medium" w:hAnsi="VIC Medium" w:cs="VIC Medium"/>
              </w:rPr>
              <w:t>–</w:t>
            </w:r>
          </w:p>
        </w:tc>
        <w:tc>
          <w:tcPr>
            <w:tcW w:w="1347" w:type="dxa"/>
          </w:tcPr>
          <w:p w14:paraId="3FAFB6BD" w14:textId="77777777" w:rsidR="00EE0122" w:rsidRDefault="00EE0122" w:rsidP="008C43E5">
            <w:pPr>
              <w:pStyle w:val="TableCopy"/>
              <w:jc w:val="right"/>
            </w:pPr>
            <w:r>
              <w:rPr>
                <w:rFonts w:ascii="VIC Medium" w:hAnsi="VIC Medium" w:cs="VIC Medium"/>
              </w:rPr>
              <w:t>(12,372)</w:t>
            </w:r>
          </w:p>
        </w:tc>
      </w:tr>
      <w:tr w:rsidR="00EE0122" w14:paraId="33EB2D09" w14:textId="77777777" w:rsidTr="008C43E5">
        <w:trPr>
          <w:cantSplit/>
        </w:trPr>
        <w:tc>
          <w:tcPr>
            <w:tcW w:w="4106" w:type="dxa"/>
          </w:tcPr>
          <w:p w14:paraId="1875733F" w14:textId="3C9D09CE" w:rsidR="00EE0122" w:rsidRDefault="00EE0122" w:rsidP="008C43E5">
            <w:pPr>
              <w:pStyle w:val="TableCopy"/>
            </w:pPr>
            <w:r>
              <w:t xml:space="preserve">Transfers via contributed capital </w:t>
            </w:r>
            <w:r w:rsidRPr="00614829">
              <w:rPr>
                <w:rStyle w:val="FootnotereferencessuperscriptMisc"/>
              </w:rPr>
              <w:t>(ii)</w:t>
            </w:r>
          </w:p>
        </w:tc>
        <w:tc>
          <w:tcPr>
            <w:tcW w:w="1346" w:type="dxa"/>
          </w:tcPr>
          <w:p w14:paraId="6CD2F1CE" w14:textId="77777777" w:rsidR="00EE0122" w:rsidRDefault="00EE0122" w:rsidP="008C43E5">
            <w:pPr>
              <w:pStyle w:val="TableCopy"/>
              <w:jc w:val="right"/>
            </w:pPr>
            <w:r>
              <w:t>–</w:t>
            </w:r>
          </w:p>
        </w:tc>
        <w:tc>
          <w:tcPr>
            <w:tcW w:w="1347" w:type="dxa"/>
          </w:tcPr>
          <w:p w14:paraId="73935555" w14:textId="77777777" w:rsidR="00EE0122" w:rsidRDefault="00EE0122" w:rsidP="008C43E5">
            <w:pPr>
              <w:pStyle w:val="TableCopy"/>
              <w:jc w:val="right"/>
            </w:pPr>
            <w:r>
              <w:t>–</w:t>
            </w:r>
          </w:p>
        </w:tc>
        <w:tc>
          <w:tcPr>
            <w:tcW w:w="1346" w:type="dxa"/>
          </w:tcPr>
          <w:p w14:paraId="33766DEE" w14:textId="77777777" w:rsidR="00EE0122" w:rsidRDefault="00EE0122" w:rsidP="008C43E5">
            <w:pPr>
              <w:pStyle w:val="TableCopy"/>
              <w:jc w:val="right"/>
            </w:pPr>
            <w:r>
              <w:t>(23,164)</w:t>
            </w:r>
          </w:p>
        </w:tc>
        <w:tc>
          <w:tcPr>
            <w:tcW w:w="1347" w:type="dxa"/>
          </w:tcPr>
          <w:p w14:paraId="61641A4D" w14:textId="77777777" w:rsidR="00EE0122" w:rsidRDefault="00EE0122" w:rsidP="008C43E5">
            <w:pPr>
              <w:pStyle w:val="TableCopy"/>
              <w:jc w:val="right"/>
            </w:pPr>
            <w:r>
              <w:t>–</w:t>
            </w:r>
          </w:p>
        </w:tc>
        <w:tc>
          <w:tcPr>
            <w:tcW w:w="1347" w:type="dxa"/>
          </w:tcPr>
          <w:p w14:paraId="5851E9D1" w14:textId="77777777" w:rsidR="00EE0122" w:rsidRDefault="00EE0122" w:rsidP="008C43E5">
            <w:pPr>
              <w:pStyle w:val="TableCopy"/>
              <w:jc w:val="right"/>
            </w:pPr>
            <w:r>
              <w:t>–</w:t>
            </w:r>
          </w:p>
        </w:tc>
        <w:tc>
          <w:tcPr>
            <w:tcW w:w="1346" w:type="dxa"/>
          </w:tcPr>
          <w:p w14:paraId="5983DBB4" w14:textId="77777777" w:rsidR="00EE0122" w:rsidRDefault="00EE0122" w:rsidP="008C43E5">
            <w:pPr>
              <w:pStyle w:val="TableCopy"/>
              <w:jc w:val="right"/>
            </w:pPr>
            <w:r>
              <w:t>–</w:t>
            </w:r>
          </w:p>
        </w:tc>
        <w:tc>
          <w:tcPr>
            <w:tcW w:w="1347" w:type="dxa"/>
          </w:tcPr>
          <w:p w14:paraId="32906DFF" w14:textId="77777777" w:rsidR="00EE0122" w:rsidRDefault="00EE0122" w:rsidP="008C43E5">
            <w:pPr>
              <w:pStyle w:val="TableCopy"/>
              <w:jc w:val="right"/>
            </w:pPr>
            <w:r>
              <w:rPr>
                <w:rFonts w:ascii="VIC Medium" w:hAnsi="VIC Medium" w:cs="VIC Medium"/>
              </w:rPr>
              <w:t>(24,768)</w:t>
            </w:r>
          </w:p>
        </w:tc>
        <w:tc>
          <w:tcPr>
            <w:tcW w:w="1347" w:type="dxa"/>
          </w:tcPr>
          <w:p w14:paraId="69D88ECD" w14:textId="77777777" w:rsidR="00EE0122" w:rsidRDefault="00EE0122" w:rsidP="008C43E5">
            <w:pPr>
              <w:pStyle w:val="TableCopy"/>
              <w:jc w:val="right"/>
            </w:pPr>
            <w:r>
              <w:rPr>
                <w:rFonts w:ascii="VIC Medium" w:hAnsi="VIC Medium" w:cs="VIC Medium"/>
              </w:rPr>
              <w:t>–</w:t>
            </w:r>
          </w:p>
        </w:tc>
      </w:tr>
      <w:tr w:rsidR="00EE0122" w14:paraId="5FF38CA3" w14:textId="77777777" w:rsidTr="008C43E5">
        <w:trPr>
          <w:cantSplit/>
        </w:trPr>
        <w:tc>
          <w:tcPr>
            <w:tcW w:w="4106" w:type="dxa"/>
          </w:tcPr>
          <w:p w14:paraId="602B6E96" w14:textId="2F0CD0F0" w:rsidR="00EE0122" w:rsidRDefault="00EE0122" w:rsidP="008C43E5">
            <w:pPr>
              <w:pStyle w:val="TableCopy"/>
            </w:pPr>
            <w:r>
              <w:t>Transfers between classes</w:t>
            </w:r>
          </w:p>
        </w:tc>
        <w:tc>
          <w:tcPr>
            <w:tcW w:w="1346" w:type="dxa"/>
          </w:tcPr>
          <w:p w14:paraId="7D3E52CB" w14:textId="77777777" w:rsidR="00EE0122" w:rsidRDefault="00EE0122" w:rsidP="008C43E5">
            <w:pPr>
              <w:pStyle w:val="TableCopy"/>
              <w:jc w:val="right"/>
            </w:pPr>
            <w:r>
              <w:t>–</w:t>
            </w:r>
          </w:p>
        </w:tc>
        <w:tc>
          <w:tcPr>
            <w:tcW w:w="1347" w:type="dxa"/>
          </w:tcPr>
          <w:p w14:paraId="5AFB41F0" w14:textId="77777777" w:rsidR="00EE0122" w:rsidRDefault="00EE0122" w:rsidP="008C43E5">
            <w:pPr>
              <w:pStyle w:val="TableCopy"/>
              <w:jc w:val="right"/>
            </w:pPr>
            <w:r>
              <w:t>–</w:t>
            </w:r>
          </w:p>
        </w:tc>
        <w:tc>
          <w:tcPr>
            <w:tcW w:w="1346" w:type="dxa"/>
          </w:tcPr>
          <w:p w14:paraId="27385E0C" w14:textId="77777777" w:rsidR="00EE0122" w:rsidRDefault="00EE0122" w:rsidP="008C43E5">
            <w:pPr>
              <w:pStyle w:val="TableCopy"/>
              <w:jc w:val="right"/>
            </w:pPr>
            <w:r>
              <w:t>(4,674)</w:t>
            </w:r>
          </w:p>
        </w:tc>
        <w:tc>
          <w:tcPr>
            <w:tcW w:w="1347" w:type="dxa"/>
          </w:tcPr>
          <w:p w14:paraId="387CABD5" w14:textId="77777777" w:rsidR="00EE0122" w:rsidRDefault="00EE0122" w:rsidP="008C43E5">
            <w:pPr>
              <w:pStyle w:val="TableCopy"/>
              <w:jc w:val="right"/>
            </w:pPr>
            <w:r>
              <w:t>(23,259)</w:t>
            </w:r>
          </w:p>
        </w:tc>
        <w:tc>
          <w:tcPr>
            <w:tcW w:w="1347" w:type="dxa"/>
          </w:tcPr>
          <w:p w14:paraId="21D8CA12" w14:textId="77777777" w:rsidR="00EE0122" w:rsidRDefault="00EE0122" w:rsidP="008C43E5">
            <w:pPr>
              <w:pStyle w:val="TableCopy"/>
              <w:jc w:val="right"/>
            </w:pPr>
            <w:r>
              <w:t>–</w:t>
            </w:r>
          </w:p>
        </w:tc>
        <w:tc>
          <w:tcPr>
            <w:tcW w:w="1346" w:type="dxa"/>
          </w:tcPr>
          <w:p w14:paraId="14CCD727" w14:textId="77777777" w:rsidR="00EE0122" w:rsidRDefault="00EE0122" w:rsidP="008C43E5">
            <w:pPr>
              <w:pStyle w:val="TableCopy"/>
              <w:jc w:val="right"/>
            </w:pPr>
            <w:r>
              <w:t>–</w:t>
            </w:r>
          </w:p>
        </w:tc>
        <w:tc>
          <w:tcPr>
            <w:tcW w:w="1347" w:type="dxa"/>
          </w:tcPr>
          <w:p w14:paraId="1166B901" w14:textId="77777777" w:rsidR="00EE0122" w:rsidRDefault="00EE0122" w:rsidP="008C43E5">
            <w:pPr>
              <w:pStyle w:val="TableCopy"/>
              <w:jc w:val="right"/>
            </w:pPr>
            <w:r>
              <w:rPr>
                <w:rFonts w:ascii="VIC Medium" w:hAnsi="VIC Medium" w:cs="VIC Medium"/>
              </w:rPr>
              <w:t>–</w:t>
            </w:r>
          </w:p>
        </w:tc>
        <w:tc>
          <w:tcPr>
            <w:tcW w:w="1347" w:type="dxa"/>
          </w:tcPr>
          <w:p w14:paraId="2CD419EE" w14:textId="77777777" w:rsidR="00EE0122" w:rsidRDefault="00EE0122" w:rsidP="008C43E5">
            <w:pPr>
              <w:pStyle w:val="TableCopy"/>
              <w:jc w:val="right"/>
            </w:pPr>
            <w:r>
              <w:rPr>
                <w:rFonts w:ascii="VIC Medium" w:hAnsi="VIC Medium" w:cs="VIC Medium"/>
              </w:rPr>
              <w:t>–</w:t>
            </w:r>
          </w:p>
        </w:tc>
      </w:tr>
      <w:tr w:rsidR="00EE0122" w14:paraId="2FC0F3DD" w14:textId="77777777" w:rsidTr="008C43E5">
        <w:trPr>
          <w:cantSplit/>
        </w:trPr>
        <w:tc>
          <w:tcPr>
            <w:tcW w:w="4106" w:type="dxa"/>
          </w:tcPr>
          <w:p w14:paraId="1D672681" w14:textId="442069F0" w:rsidR="00EE0122" w:rsidRDefault="00EE0122" w:rsidP="008C43E5">
            <w:pPr>
              <w:pStyle w:val="TableCopy"/>
            </w:pPr>
            <w:r>
              <w:lastRenderedPageBreak/>
              <w:t>Transfers to classified as held for sale</w:t>
            </w:r>
          </w:p>
        </w:tc>
        <w:tc>
          <w:tcPr>
            <w:tcW w:w="1346" w:type="dxa"/>
          </w:tcPr>
          <w:p w14:paraId="193CDBD0" w14:textId="1B4A0A8E" w:rsidR="00EE0122" w:rsidRDefault="00EE0122" w:rsidP="008C43E5">
            <w:pPr>
              <w:pStyle w:val="TableCopy"/>
              <w:jc w:val="right"/>
            </w:pPr>
            <w:r>
              <w:t>231</w:t>
            </w:r>
          </w:p>
        </w:tc>
        <w:tc>
          <w:tcPr>
            <w:tcW w:w="1347" w:type="dxa"/>
          </w:tcPr>
          <w:p w14:paraId="4EC96FD6" w14:textId="77777777" w:rsidR="00EE0122" w:rsidRDefault="00EE0122" w:rsidP="008C43E5">
            <w:pPr>
              <w:pStyle w:val="TableCopy"/>
              <w:jc w:val="right"/>
            </w:pPr>
            <w:r>
              <w:t>(434)</w:t>
            </w:r>
          </w:p>
        </w:tc>
        <w:tc>
          <w:tcPr>
            <w:tcW w:w="1346" w:type="dxa"/>
          </w:tcPr>
          <w:p w14:paraId="0A49421B" w14:textId="77777777" w:rsidR="00EE0122" w:rsidRDefault="00EE0122" w:rsidP="008C43E5">
            <w:pPr>
              <w:pStyle w:val="TableCopy"/>
              <w:jc w:val="right"/>
            </w:pPr>
            <w:r>
              <w:t>–</w:t>
            </w:r>
          </w:p>
        </w:tc>
        <w:tc>
          <w:tcPr>
            <w:tcW w:w="1347" w:type="dxa"/>
          </w:tcPr>
          <w:p w14:paraId="3779B6AA" w14:textId="77777777" w:rsidR="00EE0122" w:rsidRDefault="00EE0122" w:rsidP="008C43E5">
            <w:pPr>
              <w:pStyle w:val="TableCopy"/>
              <w:jc w:val="right"/>
            </w:pPr>
            <w:r>
              <w:t>–</w:t>
            </w:r>
          </w:p>
        </w:tc>
        <w:tc>
          <w:tcPr>
            <w:tcW w:w="1347" w:type="dxa"/>
          </w:tcPr>
          <w:p w14:paraId="53615BB8" w14:textId="77777777" w:rsidR="00EE0122" w:rsidRDefault="00EE0122" w:rsidP="008C43E5">
            <w:pPr>
              <w:pStyle w:val="TableCopy"/>
              <w:jc w:val="right"/>
            </w:pPr>
            <w:r>
              <w:t>–</w:t>
            </w:r>
          </w:p>
        </w:tc>
        <w:tc>
          <w:tcPr>
            <w:tcW w:w="1346" w:type="dxa"/>
          </w:tcPr>
          <w:p w14:paraId="59087204" w14:textId="77777777" w:rsidR="00EE0122" w:rsidRDefault="00EE0122" w:rsidP="008C43E5">
            <w:pPr>
              <w:pStyle w:val="TableCopy"/>
              <w:jc w:val="right"/>
            </w:pPr>
            <w:r>
              <w:t>–</w:t>
            </w:r>
          </w:p>
        </w:tc>
        <w:tc>
          <w:tcPr>
            <w:tcW w:w="1347" w:type="dxa"/>
          </w:tcPr>
          <w:p w14:paraId="340AEAEE" w14:textId="0283AD2D" w:rsidR="00EE0122" w:rsidRDefault="00EE0122" w:rsidP="008C43E5">
            <w:pPr>
              <w:pStyle w:val="TableCopy"/>
              <w:jc w:val="right"/>
            </w:pPr>
            <w:r>
              <w:rPr>
                <w:rFonts w:ascii="VIC Medium" w:hAnsi="VIC Medium" w:cs="VIC Medium"/>
              </w:rPr>
              <w:t>231</w:t>
            </w:r>
          </w:p>
        </w:tc>
        <w:tc>
          <w:tcPr>
            <w:tcW w:w="1347" w:type="dxa"/>
          </w:tcPr>
          <w:p w14:paraId="21E38062" w14:textId="77777777" w:rsidR="00EE0122" w:rsidRDefault="00EE0122" w:rsidP="008C43E5">
            <w:pPr>
              <w:pStyle w:val="TableCopy"/>
              <w:jc w:val="right"/>
            </w:pPr>
            <w:r>
              <w:rPr>
                <w:rFonts w:ascii="VIC Medium" w:hAnsi="VIC Medium" w:cs="VIC Medium"/>
              </w:rPr>
              <w:t>(434)</w:t>
            </w:r>
          </w:p>
        </w:tc>
      </w:tr>
      <w:tr w:rsidR="00EE0122" w14:paraId="4F227734" w14:textId="77777777" w:rsidTr="008C43E5">
        <w:trPr>
          <w:cantSplit/>
        </w:trPr>
        <w:tc>
          <w:tcPr>
            <w:tcW w:w="4106" w:type="dxa"/>
          </w:tcPr>
          <w:p w14:paraId="18582AF9" w14:textId="5D2EB1E0" w:rsidR="00EE0122" w:rsidRDefault="00EE0122" w:rsidP="008C43E5">
            <w:pPr>
              <w:pStyle w:val="TableCopy"/>
            </w:pPr>
            <w:r>
              <w:t xml:space="preserve">Revaluation increment </w:t>
            </w:r>
            <w:r w:rsidRPr="00614829">
              <w:rPr>
                <w:rStyle w:val="FootnotereferencessuperscriptMisc"/>
              </w:rPr>
              <w:t>(iii)</w:t>
            </w:r>
          </w:p>
        </w:tc>
        <w:tc>
          <w:tcPr>
            <w:tcW w:w="1346" w:type="dxa"/>
          </w:tcPr>
          <w:p w14:paraId="09754317" w14:textId="77777777" w:rsidR="00EE0122" w:rsidRDefault="00EE0122" w:rsidP="008C43E5">
            <w:pPr>
              <w:pStyle w:val="TableCopy"/>
              <w:jc w:val="right"/>
            </w:pPr>
            <w:r>
              <w:t>–</w:t>
            </w:r>
          </w:p>
        </w:tc>
        <w:tc>
          <w:tcPr>
            <w:tcW w:w="1347" w:type="dxa"/>
          </w:tcPr>
          <w:p w14:paraId="729B7868" w14:textId="77777777" w:rsidR="00EE0122" w:rsidRDefault="00EE0122" w:rsidP="008C43E5">
            <w:pPr>
              <w:pStyle w:val="TableCopy"/>
              <w:jc w:val="right"/>
            </w:pPr>
            <w:r>
              <w:t>–</w:t>
            </w:r>
          </w:p>
        </w:tc>
        <w:tc>
          <w:tcPr>
            <w:tcW w:w="1346" w:type="dxa"/>
          </w:tcPr>
          <w:p w14:paraId="7EC369A2" w14:textId="77777777" w:rsidR="00EE0122" w:rsidRDefault="00EE0122" w:rsidP="008C43E5">
            <w:pPr>
              <w:pStyle w:val="TableCopy"/>
              <w:jc w:val="right"/>
            </w:pPr>
            <w:r>
              <w:t>–</w:t>
            </w:r>
          </w:p>
        </w:tc>
        <w:tc>
          <w:tcPr>
            <w:tcW w:w="1347" w:type="dxa"/>
          </w:tcPr>
          <w:p w14:paraId="29B877AB" w14:textId="77777777" w:rsidR="00EE0122" w:rsidRDefault="00EE0122" w:rsidP="008C43E5">
            <w:pPr>
              <w:pStyle w:val="TableCopy"/>
              <w:jc w:val="right"/>
            </w:pPr>
            <w:r>
              <w:t>–</w:t>
            </w:r>
          </w:p>
        </w:tc>
        <w:tc>
          <w:tcPr>
            <w:tcW w:w="1347" w:type="dxa"/>
          </w:tcPr>
          <w:p w14:paraId="24D3B2DD" w14:textId="77777777" w:rsidR="00EE0122" w:rsidRDefault="00EE0122" w:rsidP="008C43E5">
            <w:pPr>
              <w:pStyle w:val="TableCopy"/>
              <w:jc w:val="right"/>
            </w:pPr>
            <w:r>
              <w:t>–</w:t>
            </w:r>
          </w:p>
        </w:tc>
        <w:tc>
          <w:tcPr>
            <w:tcW w:w="1346" w:type="dxa"/>
          </w:tcPr>
          <w:p w14:paraId="688196A8" w14:textId="77777777" w:rsidR="00EE0122" w:rsidRDefault="00EE0122" w:rsidP="008C43E5">
            <w:pPr>
              <w:pStyle w:val="TableCopy"/>
              <w:jc w:val="right"/>
            </w:pPr>
            <w:r>
              <w:t>–</w:t>
            </w:r>
          </w:p>
        </w:tc>
        <w:tc>
          <w:tcPr>
            <w:tcW w:w="1347" w:type="dxa"/>
          </w:tcPr>
          <w:p w14:paraId="4E7DAB15" w14:textId="109744AF" w:rsidR="00EE0122" w:rsidRDefault="00EE0122" w:rsidP="008C43E5">
            <w:pPr>
              <w:pStyle w:val="TableCopy"/>
              <w:jc w:val="right"/>
            </w:pPr>
            <w:r>
              <w:rPr>
                <w:rFonts w:ascii="VIC Medium" w:hAnsi="VIC Medium" w:cs="VIC Medium"/>
              </w:rPr>
              <w:t>1,054</w:t>
            </w:r>
          </w:p>
        </w:tc>
        <w:tc>
          <w:tcPr>
            <w:tcW w:w="1347" w:type="dxa"/>
          </w:tcPr>
          <w:p w14:paraId="46192EBA" w14:textId="77777777" w:rsidR="00EE0122" w:rsidRDefault="00EE0122" w:rsidP="008C43E5">
            <w:pPr>
              <w:pStyle w:val="TableCopy"/>
              <w:jc w:val="right"/>
            </w:pPr>
            <w:r>
              <w:rPr>
                <w:rFonts w:ascii="VIC Medium" w:hAnsi="VIC Medium" w:cs="VIC Medium"/>
              </w:rPr>
              <w:t>–</w:t>
            </w:r>
          </w:p>
        </w:tc>
      </w:tr>
      <w:tr w:rsidR="00EE0122" w:rsidRPr="004C6B09" w14:paraId="7CE3DFD1" w14:textId="77777777" w:rsidTr="008C43E5">
        <w:trPr>
          <w:cantSplit/>
        </w:trPr>
        <w:tc>
          <w:tcPr>
            <w:tcW w:w="4106" w:type="dxa"/>
          </w:tcPr>
          <w:p w14:paraId="7843D35D" w14:textId="12EBCC2A" w:rsidR="00EE0122" w:rsidRPr="004C6B09" w:rsidRDefault="00EE0122" w:rsidP="008C43E5">
            <w:pPr>
              <w:pStyle w:val="TableCopy"/>
            </w:pPr>
            <w:r w:rsidRPr="004C6B09">
              <w:t xml:space="preserve">Revaluation realised loss </w:t>
            </w:r>
            <w:r w:rsidRPr="00614829">
              <w:rPr>
                <w:rStyle w:val="FootnotereferencessuperscriptMisc"/>
              </w:rPr>
              <w:t>(iii)</w:t>
            </w:r>
          </w:p>
        </w:tc>
        <w:tc>
          <w:tcPr>
            <w:tcW w:w="1346" w:type="dxa"/>
          </w:tcPr>
          <w:p w14:paraId="5D108FF1" w14:textId="77777777" w:rsidR="00EE0122" w:rsidRPr="004C6B09" w:rsidRDefault="00EE0122" w:rsidP="008C43E5">
            <w:pPr>
              <w:pStyle w:val="TableCopy"/>
              <w:jc w:val="right"/>
            </w:pPr>
            <w:r w:rsidRPr="004C6B09">
              <w:t>–</w:t>
            </w:r>
          </w:p>
        </w:tc>
        <w:tc>
          <w:tcPr>
            <w:tcW w:w="1347" w:type="dxa"/>
          </w:tcPr>
          <w:p w14:paraId="5F6F05D0" w14:textId="77777777" w:rsidR="00EE0122" w:rsidRPr="004C6B09" w:rsidRDefault="00EE0122" w:rsidP="008C43E5">
            <w:pPr>
              <w:pStyle w:val="TableCopy"/>
              <w:jc w:val="right"/>
            </w:pPr>
            <w:r w:rsidRPr="004C6B09">
              <w:t>–</w:t>
            </w:r>
          </w:p>
        </w:tc>
        <w:tc>
          <w:tcPr>
            <w:tcW w:w="1346" w:type="dxa"/>
          </w:tcPr>
          <w:p w14:paraId="243DCD60" w14:textId="77777777" w:rsidR="00EE0122" w:rsidRPr="004C6B09" w:rsidRDefault="00EE0122" w:rsidP="008C43E5">
            <w:pPr>
              <w:pStyle w:val="TableCopy"/>
              <w:jc w:val="right"/>
            </w:pPr>
            <w:r w:rsidRPr="004C6B09">
              <w:t>–</w:t>
            </w:r>
          </w:p>
        </w:tc>
        <w:tc>
          <w:tcPr>
            <w:tcW w:w="1347" w:type="dxa"/>
          </w:tcPr>
          <w:p w14:paraId="71FC99C3" w14:textId="77777777" w:rsidR="00EE0122" w:rsidRPr="004C6B09" w:rsidRDefault="00EE0122" w:rsidP="008C43E5">
            <w:pPr>
              <w:pStyle w:val="TableCopy"/>
              <w:jc w:val="right"/>
            </w:pPr>
            <w:r w:rsidRPr="004C6B09">
              <w:t>–</w:t>
            </w:r>
          </w:p>
        </w:tc>
        <w:tc>
          <w:tcPr>
            <w:tcW w:w="1347" w:type="dxa"/>
          </w:tcPr>
          <w:p w14:paraId="02A3CF65" w14:textId="77777777" w:rsidR="00EE0122" w:rsidRPr="004C6B09" w:rsidRDefault="00EE0122" w:rsidP="008C43E5">
            <w:pPr>
              <w:pStyle w:val="TableCopy"/>
              <w:jc w:val="right"/>
            </w:pPr>
            <w:r w:rsidRPr="004C6B09">
              <w:t>–</w:t>
            </w:r>
          </w:p>
        </w:tc>
        <w:tc>
          <w:tcPr>
            <w:tcW w:w="1346" w:type="dxa"/>
          </w:tcPr>
          <w:p w14:paraId="61580B6A" w14:textId="77777777" w:rsidR="00EE0122" w:rsidRPr="004C6B09" w:rsidRDefault="00EE0122" w:rsidP="008C43E5">
            <w:pPr>
              <w:pStyle w:val="TableCopy"/>
              <w:jc w:val="right"/>
            </w:pPr>
            <w:r w:rsidRPr="004C6B09">
              <w:t>–</w:t>
            </w:r>
          </w:p>
        </w:tc>
        <w:tc>
          <w:tcPr>
            <w:tcW w:w="1347" w:type="dxa"/>
          </w:tcPr>
          <w:p w14:paraId="09BAC46B" w14:textId="77777777" w:rsidR="00EE0122" w:rsidRPr="004C6B09" w:rsidRDefault="00EE0122" w:rsidP="008C43E5">
            <w:pPr>
              <w:pStyle w:val="TableCopy"/>
              <w:jc w:val="right"/>
            </w:pPr>
            <w:r w:rsidRPr="004C6B09">
              <w:t>(1,999)</w:t>
            </w:r>
          </w:p>
        </w:tc>
        <w:tc>
          <w:tcPr>
            <w:tcW w:w="1347" w:type="dxa"/>
          </w:tcPr>
          <w:p w14:paraId="5D0DFE5B" w14:textId="77777777" w:rsidR="00EE0122" w:rsidRPr="004C6B09" w:rsidRDefault="00EE0122" w:rsidP="008C43E5">
            <w:pPr>
              <w:pStyle w:val="TableCopy"/>
              <w:jc w:val="right"/>
            </w:pPr>
            <w:r w:rsidRPr="004C6B09">
              <w:t>–</w:t>
            </w:r>
          </w:p>
        </w:tc>
      </w:tr>
      <w:tr w:rsidR="00EE0122" w14:paraId="65AFCD0E" w14:textId="77777777" w:rsidTr="008C43E5">
        <w:trPr>
          <w:cantSplit/>
        </w:trPr>
        <w:tc>
          <w:tcPr>
            <w:tcW w:w="4106" w:type="dxa"/>
          </w:tcPr>
          <w:p w14:paraId="4D0E514E" w14:textId="59B07557" w:rsidR="00EE0122" w:rsidRDefault="00EE0122" w:rsidP="008C43E5">
            <w:pPr>
              <w:pStyle w:val="TableCopy"/>
            </w:pPr>
            <w:r>
              <w:t>Depreciation and amortisation expense</w:t>
            </w:r>
          </w:p>
        </w:tc>
        <w:tc>
          <w:tcPr>
            <w:tcW w:w="1346" w:type="dxa"/>
          </w:tcPr>
          <w:p w14:paraId="39520B42" w14:textId="77777777" w:rsidR="00EE0122" w:rsidRDefault="00EE0122" w:rsidP="008C43E5">
            <w:pPr>
              <w:pStyle w:val="TableCopy"/>
              <w:jc w:val="right"/>
            </w:pPr>
            <w:r>
              <w:t>(1,819)</w:t>
            </w:r>
          </w:p>
        </w:tc>
        <w:tc>
          <w:tcPr>
            <w:tcW w:w="1347" w:type="dxa"/>
          </w:tcPr>
          <w:p w14:paraId="1B86A85D" w14:textId="77777777" w:rsidR="00EE0122" w:rsidRDefault="00EE0122" w:rsidP="008C43E5">
            <w:pPr>
              <w:pStyle w:val="TableCopy"/>
              <w:jc w:val="right"/>
            </w:pPr>
            <w:r>
              <w:t>(3,150)</w:t>
            </w:r>
          </w:p>
        </w:tc>
        <w:tc>
          <w:tcPr>
            <w:tcW w:w="1346" w:type="dxa"/>
          </w:tcPr>
          <w:p w14:paraId="47DD2DD2" w14:textId="77777777" w:rsidR="00EE0122" w:rsidRDefault="00EE0122" w:rsidP="008C43E5">
            <w:pPr>
              <w:pStyle w:val="TableCopy"/>
              <w:jc w:val="right"/>
            </w:pPr>
            <w:r>
              <w:t>–</w:t>
            </w:r>
          </w:p>
        </w:tc>
        <w:tc>
          <w:tcPr>
            <w:tcW w:w="1347" w:type="dxa"/>
          </w:tcPr>
          <w:p w14:paraId="0B33AC55" w14:textId="77777777" w:rsidR="00EE0122" w:rsidRDefault="00EE0122" w:rsidP="008C43E5">
            <w:pPr>
              <w:pStyle w:val="TableCopy"/>
              <w:jc w:val="right"/>
            </w:pPr>
            <w:r>
              <w:t>–</w:t>
            </w:r>
          </w:p>
        </w:tc>
        <w:tc>
          <w:tcPr>
            <w:tcW w:w="1347" w:type="dxa"/>
          </w:tcPr>
          <w:p w14:paraId="5866E097" w14:textId="77777777" w:rsidR="00EE0122" w:rsidRDefault="00EE0122" w:rsidP="008C43E5">
            <w:pPr>
              <w:pStyle w:val="TableCopy"/>
              <w:jc w:val="right"/>
            </w:pPr>
            <w:r>
              <w:t>(46)</w:t>
            </w:r>
          </w:p>
        </w:tc>
        <w:tc>
          <w:tcPr>
            <w:tcW w:w="1346" w:type="dxa"/>
          </w:tcPr>
          <w:p w14:paraId="7DC2E508" w14:textId="77777777" w:rsidR="00EE0122" w:rsidRDefault="00EE0122" w:rsidP="008C43E5">
            <w:pPr>
              <w:pStyle w:val="TableCopy"/>
              <w:jc w:val="right"/>
            </w:pPr>
            <w:r>
              <w:t>(47)</w:t>
            </w:r>
          </w:p>
        </w:tc>
        <w:tc>
          <w:tcPr>
            <w:tcW w:w="1347" w:type="dxa"/>
          </w:tcPr>
          <w:p w14:paraId="38D95E7D" w14:textId="77777777" w:rsidR="00EE0122" w:rsidRDefault="00EE0122" w:rsidP="008C43E5">
            <w:pPr>
              <w:pStyle w:val="TableCopy"/>
              <w:jc w:val="right"/>
            </w:pPr>
            <w:r>
              <w:rPr>
                <w:rFonts w:ascii="VIC Medium" w:hAnsi="VIC Medium" w:cs="VIC Medium"/>
              </w:rPr>
              <w:t>(31,853)</w:t>
            </w:r>
          </w:p>
        </w:tc>
        <w:tc>
          <w:tcPr>
            <w:tcW w:w="1347" w:type="dxa"/>
          </w:tcPr>
          <w:p w14:paraId="060AC18C" w14:textId="77777777" w:rsidR="00EE0122" w:rsidRDefault="00EE0122" w:rsidP="008C43E5">
            <w:pPr>
              <w:pStyle w:val="TableCopy"/>
              <w:jc w:val="right"/>
            </w:pPr>
            <w:r>
              <w:rPr>
                <w:rFonts w:ascii="VIC Medium" w:hAnsi="VIC Medium" w:cs="VIC Medium"/>
              </w:rPr>
              <w:t>(47,966)</w:t>
            </w:r>
          </w:p>
        </w:tc>
      </w:tr>
      <w:tr w:rsidR="00EE0122" w14:paraId="3EF95577" w14:textId="77777777" w:rsidTr="008C43E5">
        <w:trPr>
          <w:cantSplit/>
        </w:trPr>
        <w:tc>
          <w:tcPr>
            <w:tcW w:w="4106" w:type="dxa"/>
          </w:tcPr>
          <w:p w14:paraId="245A90F1" w14:textId="77777777" w:rsidR="00EE0122" w:rsidRDefault="00EE0122" w:rsidP="008C43E5">
            <w:pPr>
              <w:pStyle w:val="TableCopy"/>
            </w:pPr>
            <w:r>
              <w:t>Reclassification</w:t>
            </w:r>
          </w:p>
        </w:tc>
        <w:tc>
          <w:tcPr>
            <w:tcW w:w="1346" w:type="dxa"/>
          </w:tcPr>
          <w:p w14:paraId="417734E2" w14:textId="77777777" w:rsidR="00EE0122" w:rsidRDefault="00EE0122" w:rsidP="008C43E5">
            <w:pPr>
              <w:pStyle w:val="TableCopy"/>
              <w:jc w:val="right"/>
            </w:pPr>
            <w:r>
              <w:t>–</w:t>
            </w:r>
          </w:p>
        </w:tc>
        <w:tc>
          <w:tcPr>
            <w:tcW w:w="1347" w:type="dxa"/>
          </w:tcPr>
          <w:p w14:paraId="153498F2" w14:textId="77777777" w:rsidR="00EE0122" w:rsidRDefault="00EE0122" w:rsidP="008C43E5">
            <w:pPr>
              <w:pStyle w:val="TableCopy"/>
              <w:jc w:val="right"/>
            </w:pPr>
            <w:r>
              <w:t>–</w:t>
            </w:r>
          </w:p>
        </w:tc>
        <w:tc>
          <w:tcPr>
            <w:tcW w:w="1346" w:type="dxa"/>
          </w:tcPr>
          <w:p w14:paraId="26125E79" w14:textId="77777777" w:rsidR="00EE0122" w:rsidRDefault="00EE0122" w:rsidP="008C43E5">
            <w:pPr>
              <w:pStyle w:val="TableCopy"/>
              <w:jc w:val="right"/>
            </w:pPr>
            <w:r>
              <w:t>–</w:t>
            </w:r>
          </w:p>
        </w:tc>
        <w:tc>
          <w:tcPr>
            <w:tcW w:w="1347" w:type="dxa"/>
          </w:tcPr>
          <w:p w14:paraId="29BF0733" w14:textId="77777777" w:rsidR="00EE0122" w:rsidRDefault="00EE0122" w:rsidP="008C43E5">
            <w:pPr>
              <w:pStyle w:val="TableCopy"/>
              <w:jc w:val="right"/>
            </w:pPr>
            <w:r>
              <w:t>–</w:t>
            </w:r>
          </w:p>
        </w:tc>
        <w:tc>
          <w:tcPr>
            <w:tcW w:w="1347" w:type="dxa"/>
          </w:tcPr>
          <w:p w14:paraId="2083EEB2" w14:textId="77777777" w:rsidR="00EE0122" w:rsidRDefault="00EE0122" w:rsidP="008C43E5">
            <w:pPr>
              <w:pStyle w:val="TableCopy"/>
              <w:jc w:val="right"/>
            </w:pPr>
            <w:r>
              <w:t>–</w:t>
            </w:r>
          </w:p>
        </w:tc>
        <w:tc>
          <w:tcPr>
            <w:tcW w:w="1346" w:type="dxa"/>
          </w:tcPr>
          <w:p w14:paraId="0068DADD" w14:textId="77777777" w:rsidR="00EE0122" w:rsidRDefault="00EE0122" w:rsidP="008C43E5">
            <w:pPr>
              <w:pStyle w:val="TableCopy"/>
              <w:jc w:val="right"/>
            </w:pPr>
            <w:r>
              <w:t>–</w:t>
            </w:r>
          </w:p>
        </w:tc>
        <w:tc>
          <w:tcPr>
            <w:tcW w:w="1347" w:type="dxa"/>
          </w:tcPr>
          <w:p w14:paraId="51A10C9A" w14:textId="77777777" w:rsidR="00EE0122" w:rsidRDefault="00EE0122" w:rsidP="008C43E5">
            <w:pPr>
              <w:pStyle w:val="TableCopy"/>
              <w:jc w:val="right"/>
            </w:pPr>
            <w:r>
              <w:rPr>
                <w:rFonts w:ascii="VIC Medium" w:hAnsi="VIC Medium" w:cs="VIC Medium"/>
              </w:rPr>
              <w:t>(2,147)</w:t>
            </w:r>
          </w:p>
        </w:tc>
        <w:tc>
          <w:tcPr>
            <w:tcW w:w="1347" w:type="dxa"/>
          </w:tcPr>
          <w:p w14:paraId="2A6D5241" w14:textId="77777777" w:rsidR="00EE0122" w:rsidRDefault="00EE0122" w:rsidP="008C43E5">
            <w:pPr>
              <w:pStyle w:val="TableCopy"/>
              <w:jc w:val="right"/>
            </w:pPr>
            <w:r>
              <w:rPr>
                <w:rFonts w:ascii="VIC Medium" w:hAnsi="VIC Medium" w:cs="VIC Medium"/>
              </w:rPr>
              <w:t>–</w:t>
            </w:r>
          </w:p>
        </w:tc>
      </w:tr>
      <w:tr w:rsidR="00EE0122" w14:paraId="59440526" w14:textId="77777777" w:rsidTr="008C43E5">
        <w:trPr>
          <w:cantSplit/>
        </w:trPr>
        <w:tc>
          <w:tcPr>
            <w:tcW w:w="4106" w:type="dxa"/>
          </w:tcPr>
          <w:p w14:paraId="7E508580" w14:textId="7D66F586" w:rsidR="00EE0122" w:rsidRDefault="00EE0122" w:rsidP="008C43E5">
            <w:pPr>
              <w:pStyle w:val="TableCopy"/>
            </w:pPr>
            <w:r>
              <w:t>Given free of charge</w:t>
            </w:r>
          </w:p>
        </w:tc>
        <w:tc>
          <w:tcPr>
            <w:tcW w:w="1346" w:type="dxa"/>
          </w:tcPr>
          <w:p w14:paraId="721E8671" w14:textId="77777777" w:rsidR="00EE0122" w:rsidRDefault="00EE0122" w:rsidP="008C43E5">
            <w:pPr>
              <w:pStyle w:val="TableCopy"/>
              <w:jc w:val="right"/>
            </w:pPr>
            <w:r>
              <w:t>–</w:t>
            </w:r>
          </w:p>
        </w:tc>
        <w:tc>
          <w:tcPr>
            <w:tcW w:w="1347" w:type="dxa"/>
          </w:tcPr>
          <w:p w14:paraId="1818A280" w14:textId="77777777" w:rsidR="00EE0122" w:rsidRDefault="00EE0122" w:rsidP="008C43E5">
            <w:pPr>
              <w:pStyle w:val="TableCopy"/>
              <w:jc w:val="right"/>
            </w:pPr>
            <w:r>
              <w:t>(68)</w:t>
            </w:r>
          </w:p>
        </w:tc>
        <w:tc>
          <w:tcPr>
            <w:tcW w:w="1346" w:type="dxa"/>
          </w:tcPr>
          <w:p w14:paraId="2D03D621" w14:textId="77777777" w:rsidR="00EE0122" w:rsidRDefault="00EE0122" w:rsidP="008C43E5">
            <w:pPr>
              <w:pStyle w:val="TableCopy"/>
              <w:jc w:val="right"/>
            </w:pPr>
            <w:r>
              <w:t>–</w:t>
            </w:r>
          </w:p>
        </w:tc>
        <w:tc>
          <w:tcPr>
            <w:tcW w:w="1347" w:type="dxa"/>
          </w:tcPr>
          <w:p w14:paraId="073A6DF5" w14:textId="77777777" w:rsidR="00EE0122" w:rsidRDefault="00EE0122" w:rsidP="008C43E5">
            <w:pPr>
              <w:pStyle w:val="TableCopy"/>
              <w:jc w:val="right"/>
            </w:pPr>
            <w:r>
              <w:t>–</w:t>
            </w:r>
          </w:p>
        </w:tc>
        <w:tc>
          <w:tcPr>
            <w:tcW w:w="1347" w:type="dxa"/>
          </w:tcPr>
          <w:p w14:paraId="67990BCB" w14:textId="77777777" w:rsidR="00EE0122" w:rsidRDefault="00EE0122" w:rsidP="008C43E5">
            <w:pPr>
              <w:pStyle w:val="TableCopy"/>
              <w:jc w:val="right"/>
            </w:pPr>
            <w:r>
              <w:t>–</w:t>
            </w:r>
          </w:p>
        </w:tc>
        <w:tc>
          <w:tcPr>
            <w:tcW w:w="1346" w:type="dxa"/>
          </w:tcPr>
          <w:p w14:paraId="756668FF" w14:textId="77777777" w:rsidR="00EE0122" w:rsidRDefault="00EE0122" w:rsidP="008C43E5">
            <w:pPr>
              <w:pStyle w:val="TableCopy"/>
              <w:jc w:val="right"/>
            </w:pPr>
            <w:r>
              <w:t>–</w:t>
            </w:r>
          </w:p>
        </w:tc>
        <w:tc>
          <w:tcPr>
            <w:tcW w:w="1347" w:type="dxa"/>
          </w:tcPr>
          <w:p w14:paraId="74D7014F" w14:textId="77777777" w:rsidR="00EE0122" w:rsidRDefault="00EE0122" w:rsidP="008C43E5">
            <w:pPr>
              <w:pStyle w:val="TableCopy"/>
              <w:jc w:val="right"/>
            </w:pPr>
            <w:r>
              <w:t>–</w:t>
            </w:r>
          </w:p>
        </w:tc>
        <w:tc>
          <w:tcPr>
            <w:tcW w:w="1347" w:type="dxa"/>
          </w:tcPr>
          <w:p w14:paraId="775A2B82" w14:textId="77777777" w:rsidR="00EE0122" w:rsidRDefault="00EE0122" w:rsidP="008C43E5">
            <w:pPr>
              <w:pStyle w:val="TableCopy"/>
              <w:jc w:val="right"/>
            </w:pPr>
            <w:r>
              <w:t>(188)</w:t>
            </w:r>
          </w:p>
        </w:tc>
      </w:tr>
      <w:tr w:rsidR="00EE0122" w:rsidRPr="008C43E5" w14:paraId="0884124E" w14:textId="77777777" w:rsidTr="008C43E5">
        <w:trPr>
          <w:cantSplit/>
        </w:trPr>
        <w:tc>
          <w:tcPr>
            <w:tcW w:w="4106" w:type="dxa"/>
          </w:tcPr>
          <w:p w14:paraId="21866470" w14:textId="2401C3EB" w:rsidR="00EE0122" w:rsidRPr="008C43E5" w:rsidRDefault="00EE0122" w:rsidP="008C43E5">
            <w:pPr>
              <w:pStyle w:val="TableCopy"/>
              <w:rPr>
                <w:b/>
                <w:bCs/>
              </w:rPr>
            </w:pPr>
            <w:r w:rsidRPr="008C43E5">
              <w:rPr>
                <w:b/>
                <w:bCs/>
              </w:rPr>
              <w:t>Closing balance</w:t>
            </w:r>
          </w:p>
        </w:tc>
        <w:tc>
          <w:tcPr>
            <w:tcW w:w="1346" w:type="dxa"/>
          </w:tcPr>
          <w:p w14:paraId="3BC7EA2A" w14:textId="16329CEF" w:rsidR="00EE0122" w:rsidRPr="008C43E5" w:rsidRDefault="00EE0122" w:rsidP="008C43E5">
            <w:pPr>
              <w:pStyle w:val="TableCopy"/>
              <w:jc w:val="right"/>
              <w:rPr>
                <w:b/>
                <w:bCs/>
              </w:rPr>
            </w:pPr>
            <w:r w:rsidRPr="008C43E5">
              <w:rPr>
                <w:b/>
                <w:bCs/>
              </w:rPr>
              <w:t>3,588</w:t>
            </w:r>
          </w:p>
        </w:tc>
        <w:tc>
          <w:tcPr>
            <w:tcW w:w="1347" w:type="dxa"/>
          </w:tcPr>
          <w:p w14:paraId="7F6F200D" w14:textId="2EBB3F83" w:rsidR="00EE0122" w:rsidRPr="008C43E5" w:rsidRDefault="00EE0122" w:rsidP="008C43E5">
            <w:pPr>
              <w:pStyle w:val="TableCopy"/>
              <w:jc w:val="right"/>
              <w:rPr>
                <w:b/>
                <w:bCs/>
              </w:rPr>
            </w:pPr>
            <w:r w:rsidRPr="008C43E5">
              <w:rPr>
                <w:b/>
                <w:bCs/>
              </w:rPr>
              <w:t>11,059</w:t>
            </w:r>
          </w:p>
        </w:tc>
        <w:tc>
          <w:tcPr>
            <w:tcW w:w="1346" w:type="dxa"/>
          </w:tcPr>
          <w:p w14:paraId="1EC3D2C8" w14:textId="60805164" w:rsidR="00EE0122" w:rsidRPr="008C43E5" w:rsidRDefault="00EE0122" w:rsidP="008C43E5">
            <w:pPr>
              <w:pStyle w:val="TableCopy"/>
              <w:jc w:val="right"/>
              <w:rPr>
                <w:b/>
                <w:bCs/>
              </w:rPr>
            </w:pPr>
            <w:r w:rsidRPr="008C43E5">
              <w:rPr>
                <w:b/>
                <w:bCs/>
              </w:rPr>
              <w:t>13,377</w:t>
            </w:r>
          </w:p>
        </w:tc>
        <w:tc>
          <w:tcPr>
            <w:tcW w:w="1347" w:type="dxa"/>
          </w:tcPr>
          <w:p w14:paraId="597A1407" w14:textId="35BF4A23" w:rsidR="00EE0122" w:rsidRPr="008C43E5" w:rsidRDefault="00EE0122" w:rsidP="008C43E5">
            <w:pPr>
              <w:pStyle w:val="TableCopy"/>
              <w:jc w:val="right"/>
              <w:rPr>
                <w:b/>
                <w:bCs/>
              </w:rPr>
            </w:pPr>
            <w:r w:rsidRPr="008C43E5">
              <w:rPr>
                <w:b/>
                <w:bCs/>
              </w:rPr>
              <w:t>42,587</w:t>
            </w:r>
          </w:p>
        </w:tc>
        <w:tc>
          <w:tcPr>
            <w:tcW w:w="1347" w:type="dxa"/>
          </w:tcPr>
          <w:p w14:paraId="3B5F346C" w14:textId="068BEE45" w:rsidR="00EE0122" w:rsidRPr="008C43E5" w:rsidRDefault="00EE0122" w:rsidP="008C43E5">
            <w:pPr>
              <w:pStyle w:val="TableCopy"/>
              <w:jc w:val="right"/>
              <w:rPr>
                <w:b/>
                <w:bCs/>
              </w:rPr>
            </w:pPr>
            <w:r w:rsidRPr="008C43E5">
              <w:rPr>
                <w:b/>
                <w:bCs/>
              </w:rPr>
              <w:t>2,726</w:t>
            </w:r>
          </w:p>
        </w:tc>
        <w:tc>
          <w:tcPr>
            <w:tcW w:w="1346" w:type="dxa"/>
          </w:tcPr>
          <w:p w14:paraId="4E6AF1F1" w14:textId="41408078" w:rsidR="00EE0122" w:rsidRPr="008C43E5" w:rsidRDefault="00EE0122" w:rsidP="008C43E5">
            <w:pPr>
              <w:pStyle w:val="TableCopy"/>
              <w:jc w:val="right"/>
              <w:rPr>
                <w:b/>
                <w:bCs/>
              </w:rPr>
            </w:pPr>
            <w:r w:rsidRPr="008C43E5">
              <w:rPr>
                <w:b/>
                <w:bCs/>
              </w:rPr>
              <w:t>2,784</w:t>
            </w:r>
          </w:p>
        </w:tc>
        <w:tc>
          <w:tcPr>
            <w:tcW w:w="1347" w:type="dxa"/>
          </w:tcPr>
          <w:p w14:paraId="77D09B2A" w14:textId="77777777" w:rsidR="00EE0122" w:rsidRPr="008C43E5" w:rsidRDefault="00EE0122" w:rsidP="008C43E5">
            <w:pPr>
              <w:pStyle w:val="TableCopy"/>
              <w:jc w:val="right"/>
              <w:rPr>
                <w:b/>
                <w:bCs/>
              </w:rPr>
            </w:pPr>
            <w:r w:rsidRPr="008C43E5">
              <w:rPr>
                <w:b/>
                <w:bCs/>
              </w:rPr>
              <w:t>1,152,794</w:t>
            </w:r>
          </w:p>
        </w:tc>
        <w:tc>
          <w:tcPr>
            <w:tcW w:w="1347" w:type="dxa"/>
          </w:tcPr>
          <w:p w14:paraId="18DD9AB0" w14:textId="628D464C" w:rsidR="00EE0122" w:rsidRPr="008C43E5" w:rsidRDefault="00EE0122" w:rsidP="008C43E5">
            <w:pPr>
              <w:pStyle w:val="TableCopy"/>
              <w:jc w:val="right"/>
              <w:rPr>
                <w:b/>
                <w:bCs/>
              </w:rPr>
            </w:pPr>
            <w:r w:rsidRPr="008C43E5">
              <w:rPr>
                <w:b/>
                <w:bCs/>
              </w:rPr>
              <w:t>1,598,295</w:t>
            </w:r>
          </w:p>
        </w:tc>
      </w:tr>
    </w:tbl>
    <w:p w14:paraId="3F20CA50" w14:textId="5589102A" w:rsidR="000756EB" w:rsidRDefault="00EE0122" w:rsidP="00EE0122">
      <w:pPr>
        <w:pStyle w:val="FootnoteText"/>
        <w:spacing w:before="120"/>
      </w:pPr>
      <w:r>
        <w:t>(</w:t>
      </w:r>
      <w:proofErr w:type="spellStart"/>
      <w:r>
        <w:t>i</w:t>
      </w:r>
      <w:proofErr w:type="spellEnd"/>
      <w:r>
        <w:t>) Transfer of net assets in and out of DJSIR were due to the machinery of government change. This transfer made pursuant to FRD 119 Transfer through Contributed Capital under the Financial Management Act 1994.</w:t>
      </w:r>
    </w:p>
    <w:p w14:paraId="7960F61A" w14:textId="1AB4944B" w:rsidR="00EE0122" w:rsidRDefault="00EE0122" w:rsidP="00EE0122">
      <w:pPr>
        <w:pStyle w:val="FootnoteText"/>
        <w:rPr>
          <w:i/>
          <w:iCs/>
        </w:rPr>
      </w:pPr>
      <w:r>
        <w:t xml:space="preserve">(ii) Transfer out of net assets from DJPR via contributed capital to Victoria 2026 and </w:t>
      </w:r>
      <w:proofErr w:type="spellStart"/>
      <w:r>
        <w:t>MAPCo</w:t>
      </w:r>
      <w:proofErr w:type="spellEnd"/>
      <w:r>
        <w:t>. This transfer made pursuant to</w:t>
      </w:r>
      <w:r>
        <w:rPr>
          <w:rFonts w:ascii="Cambria" w:hAnsi="Cambria" w:cs="Cambria"/>
        </w:rPr>
        <w:t xml:space="preserve"> </w:t>
      </w:r>
      <w:r>
        <w:t>FRD119A</w:t>
      </w:r>
      <w:r>
        <w:rPr>
          <w:rFonts w:ascii="Cambria" w:hAnsi="Cambria" w:cs="Cambria"/>
        </w:rPr>
        <w:t xml:space="preserve"> </w:t>
      </w:r>
      <w:r>
        <w:t>Transfer through Contribute Capital under the Financial Management Act 1994</w:t>
      </w:r>
    </w:p>
    <w:p w14:paraId="063E1120" w14:textId="6C60F3D5" w:rsidR="00EE0122" w:rsidRDefault="00EE0122" w:rsidP="00EE0122">
      <w:pPr>
        <w:pStyle w:val="FootnoteText"/>
        <w:spacing w:after="280"/>
      </w:pPr>
      <w:r>
        <w:t>(iii) The assets transferred from the Department of Education were independently valued by the VGV as at 30 J</w:t>
      </w:r>
      <w:r w:rsidRPr="00EE0122">
        <w:t xml:space="preserve"> </w:t>
      </w:r>
      <w:proofErr w:type="spellStart"/>
      <w:r>
        <w:t>une</w:t>
      </w:r>
      <w:proofErr w:type="spellEnd"/>
      <w:r>
        <w:t xml:space="preserve"> 2023.</w:t>
      </w:r>
    </w:p>
    <w:p w14:paraId="7309EF65" w14:textId="77777777" w:rsidR="00EE0122" w:rsidRPr="00614829" w:rsidRDefault="00EE0122" w:rsidP="00614829"/>
    <w:p w14:paraId="021AAC66" w14:textId="77777777" w:rsidR="002A7C48" w:rsidRPr="00614829" w:rsidRDefault="002A7C48" w:rsidP="00614829">
      <w:pPr>
        <w:sectPr w:rsidR="002A7C48" w:rsidRPr="00614829" w:rsidSect="002A7C48">
          <w:pgSz w:w="16838" w:h="11906" w:orient="landscape" w:code="9"/>
          <w:pgMar w:top="851" w:right="1134" w:bottom="851" w:left="1134" w:header="397" w:footer="397" w:gutter="0"/>
          <w:cols w:space="720"/>
          <w:noEndnote/>
          <w:docGrid w:linePitch="326"/>
        </w:sectPr>
      </w:pPr>
    </w:p>
    <w:p w14:paraId="67FE43B0" w14:textId="6B895089" w:rsidR="000756EB" w:rsidRDefault="004A4D88" w:rsidP="008C43E5">
      <w:pPr>
        <w:pStyle w:val="Heading2"/>
      </w:pPr>
      <w:bookmarkStart w:id="72" w:name="_Toc149911816"/>
      <w:r>
        <w:lastRenderedPageBreak/>
        <w:t>5.2</w:t>
      </w:r>
      <w:r w:rsidR="00DE38B5">
        <w:t xml:space="preserve"> </w:t>
      </w:r>
      <w:r>
        <w:t>Joint</w:t>
      </w:r>
      <w:r w:rsidR="00A03629">
        <w:t xml:space="preserve"> </w:t>
      </w:r>
      <w:r>
        <w:t>operations</w:t>
      </w:r>
      <w:bookmarkEnd w:id="72"/>
    </w:p>
    <w:p w14:paraId="2077B4F8" w14:textId="70F557A4" w:rsidR="000756EB" w:rsidRDefault="004A4D88" w:rsidP="008C43E5">
      <w:r>
        <w:t>Joint</w:t>
      </w:r>
      <w:r w:rsidR="00A03629">
        <w:t xml:space="preserve"> </w:t>
      </w:r>
      <w:r>
        <w:t>arrangements</w:t>
      </w:r>
      <w:r w:rsidR="00A03629">
        <w:t xml:space="preserve"> </w:t>
      </w:r>
      <w:r>
        <w:t>are</w:t>
      </w:r>
      <w:r w:rsidR="00A03629">
        <w:t xml:space="preserve"> </w:t>
      </w:r>
      <w:r>
        <w:t>contractual</w:t>
      </w:r>
      <w:r w:rsidR="00A03629">
        <w:t xml:space="preserve"> </w:t>
      </w:r>
      <w:r>
        <w:t>arrangements</w:t>
      </w:r>
      <w:r w:rsidR="00A03629">
        <w:t xml:space="preserve"> </w:t>
      </w:r>
      <w:r>
        <w:t>between</w:t>
      </w:r>
      <w:r w:rsidR="00A03629">
        <w:t xml:space="preserve"> </w:t>
      </w:r>
      <w:r>
        <w:t>DJSIR</w:t>
      </w:r>
      <w:r w:rsidR="00A03629">
        <w:t xml:space="preserve"> </w:t>
      </w:r>
      <w:r>
        <w:t>and</w:t>
      </w:r>
      <w:r w:rsidR="00A03629">
        <w:t xml:space="preserve"> </w:t>
      </w:r>
      <w:r>
        <w:t>one</w:t>
      </w:r>
      <w:r w:rsidR="00A03629">
        <w:t xml:space="preserve"> </w:t>
      </w:r>
      <w:r>
        <w:t>or</w:t>
      </w:r>
      <w:r w:rsidR="00A03629">
        <w:t xml:space="preserve"> </w:t>
      </w:r>
      <w:r>
        <w:t>more</w:t>
      </w:r>
      <w:r w:rsidR="00A03629">
        <w:t xml:space="preserve"> </w:t>
      </w:r>
      <w:r>
        <w:t>other</w:t>
      </w:r>
      <w:r w:rsidR="00A03629">
        <w:t xml:space="preserve"> </w:t>
      </w:r>
      <w:r>
        <w:t>parties</w:t>
      </w:r>
      <w:r w:rsidR="00A03629">
        <w:t xml:space="preserve"> </w:t>
      </w:r>
      <w:r>
        <w:t>to</w:t>
      </w:r>
      <w:r w:rsidR="00A03629">
        <w:t xml:space="preserve"> </w:t>
      </w:r>
      <w:r>
        <w:t>undertake</w:t>
      </w:r>
      <w:r w:rsidR="00A03629">
        <w:t xml:space="preserve"> </w:t>
      </w:r>
      <w:r>
        <w:t>an</w:t>
      </w:r>
      <w:r w:rsidR="00A03629">
        <w:t xml:space="preserve"> </w:t>
      </w:r>
      <w:r>
        <w:t>economic</w:t>
      </w:r>
      <w:r w:rsidR="00A03629">
        <w:t xml:space="preserve"> </w:t>
      </w:r>
      <w:r>
        <w:t>activity</w:t>
      </w:r>
      <w:r w:rsidR="00A03629">
        <w:t xml:space="preserve"> </w:t>
      </w:r>
      <w:r>
        <w:t>that</w:t>
      </w:r>
      <w:r w:rsidR="00A03629">
        <w:t xml:space="preserve"> </w:t>
      </w:r>
      <w:r>
        <w:t>is</w:t>
      </w:r>
      <w:r w:rsidR="00A03629">
        <w:t xml:space="preserve"> </w:t>
      </w:r>
      <w:r>
        <w:t>subject</w:t>
      </w:r>
      <w:r w:rsidR="00A03629">
        <w:t xml:space="preserve"> </w:t>
      </w:r>
      <w:r>
        <w:t>to</w:t>
      </w:r>
      <w:r w:rsidR="00A03629">
        <w:t xml:space="preserve"> </w:t>
      </w:r>
      <w:r>
        <w:t>joint</w:t>
      </w:r>
      <w:r w:rsidR="00A03629">
        <w:t xml:space="preserve"> </w:t>
      </w:r>
      <w:r>
        <w:t>control.</w:t>
      </w:r>
    </w:p>
    <w:p w14:paraId="2B665581" w14:textId="4BACAF05" w:rsidR="000756EB" w:rsidRDefault="004A4D88" w:rsidP="008C43E5">
      <w:r>
        <w:t>Joint</w:t>
      </w:r>
      <w:r w:rsidR="00A03629">
        <w:t xml:space="preserve"> </w:t>
      </w:r>
      <w:r>
        <w:t>control</w:t>
      </w:r>
      <w:r w:rsidR="00A03629">
        <w:t xml:space="preserve"> </w:t>
      </w:r>
      <w:r>
        <w:t>is</w:t>
      </w:r>
      <w:r w:rsidR="00A03629">
        <w:t xml:space="preserve"> </w:t>
      </w:r>
      <w:r>
        <w:t>the</w:t>
      </w:r>
      <w:r w:rsidR="00A03629">
        <w:t xml:space="preserve"> </w:t>
      </w:r>
      <w:r>
        <w:t>contractually</w:t>
      </w:r>
      <w:r w:rsidR="00A03629">
        <w:t xml:space="preserve"> </w:t>
      </w:r>
      <w:r>
        <w:t>agreed</w:t>
      </w:r>
      <w:r w:rsidR="00A03629">
        <w:t xml:space="preserve"> </w:t>
      </w:r>
      <w:r>
        <w:t>sharing</w:t>
      </w:r>
      <w:r w:rsidR="00A03629">
        <w:t xml:space="preserve"> </w:t>
      </w:r>
      <w:r>
        <w:t>of</w:t>
      </w:r>
      <w:r w:rsidR="00A03629">
        <w:t xml:space="preserve"> </w:t>
      </w:r>
      <w:r>
        <w:t>control</w:t>
      </w:r>
      <w:r w:rsidR="00A03629">
        <w:t xml:space="preserve"> </w:t>
      </w:r>
      <w:r>
        <w:t>of</w:t>
      </w:r>
      <w:r w:rsidR="00A03629">
        <w:t xml:space="preserve"> </w:t>
      </w:r>
      <w:r>
        <w:t>an</w:t>
      </w:r>
      <w:r w:rsidR="00A03629">
        <w:t xml:space="preserve"> </w:t>
      </w:r>
      <w:r>
        <w:t>arrangement,</w:t>
      </w:r>
      <w:r w:rsidR="00A03629">
        <w:t xml:space="preserve"> </w:t>
      </w:r>
      <w:r>
        <w:t>which</w:t>
      </w:r>
      <w:r w:rsidR="00A03629">
        <w:t xml:space="preserve"> </w:t>
      </w:r>
      <w:r>
        <w:t>exists</w:t>
      </w:r>
      <w:r w:rsidR="00A03629">
        <w:t xml:space="preserve"> </w:t>
      </w:r>
      <w:r>
        <w:t>only</w:t>
      </w:r>
      <w:r w:rsidR="00A03629">
        <w:t xml:space="preserve"> </w:t>
      </w:r>
      <w:r>
        <w:t>when</w:t>
      </w:r>
      <w:r w:rsidR="00A03629">
        <w:t xml:space="preserve"> </w:t>
      </w:r>
      <w:r>
        <w:t>decisions</w:t>
      </w:r>
      <w:r w:rsidR="00A03629">
        <w:t xml:space="preserve"> </w:t>
      </w:r>
      <w:r>
        <w:t>about</w:t>
      </w:r>
      <w:r w:rsidR="00A03629">
        <w:t xml:space="preserve"> </w:t>
      </w:r>
      <w:r>
        <w:t>the</w:t>
      </w:r>
      <w:r w:rsidR="00A03629">
        <w:t xml:space="preserve"> </w:t>
      </w:r>
      <w:r>
        <w:t>relevant</w:t>
      </w:r>
      <w:r w:rsidR="00A03629">
        <w:t xml:space="preserve"> </w:t>
      </w:r>
      <w:r>
        <w:t>activities</w:t>
      </w:r>
      <w:r w:rsidR="00A03629">
        <w:t xml:space="preserve"> </w:t>
      </w:r>
      <w:r>
        <w:t>of</w:t>
      </w:r>
      <w:r w:rsidR="00A03629">
        <w:t xml:space="preserve"> </w:t>
      </w:r>
      <w:r>
        <w:t>the</w:t>
      </w:r>
      <w:r w:rsidR="00A03629">
        <w:t xml:space="preserve"> </w:t>
      </w:r>
      <w:r>
        <w:t>joint</w:t>
      </w:r>
      <w:r w:rsidR="00A03629">
        <w:t xml:space="preserve"> </w:t>
      </w:r>
      <w:r>
        <w:t>arrangement</w:t>
      </w:r>
      <w:r w:rsidR="00A03629">
        <w:t xml:space="preserve"> </w:t>
      </w:r>
      <w:r>
        <w:t>require</w:t>
      </w:r>
      <w:r w:rsidR="00A03629">
        <w:t xml:space="preserve"> </w:t>
      </w:r>
      <w:r>
        <w:t>the</w:t>
      </w:r>
      <w:r w:rsidR="00A03629">
        <w:t xml:space="preserve"> </w:t>
      </w:r>
      <w:r>
        <w:t>unanimous</w:t>
      </w:r>
      <w:r w:rsidR="00A03629">
        <w:t xml:space="preserve"> </w:t>
      </w:r>
      <w:r>
        <w:t>consent</w:t>
      </w:r>
      <w:r w:rsidR="00A03629">
        <w:t xml:space="preserve"> </w:t>
      </w:r>
      <w:r>
        <w:t>of</w:t>
      </w:r>
      <w:r w:rsidR="00A03629">
        <w:t xml:space="preserve"> </w:t>
      </w:r>
      <w:r>
        <w:t>the</w:t>
      </w:r>
      <w:r w:rsidR="00A03629">
        <w:rPr>
          <w:rFonts w:ascii="Cambria" w:hAnsi="Cambria" w:cs="Cambria"/>
        </w:rPr>
        <w:t xml:space="preserve"> </w:t>
      </w:r>
      <w:r>
        <w:t>parties</w:t>
      </w:r>
      <w:r w:rsidR="00A03629">
        <w:t xml:space="preserve"> </w:t>
      </w:r>
      <w:r>
        <w:t>sharing</w:t>
      </w:r>
      <w:r w:rsidR="00A03629">
        <w:t xml:space="preserve"> </w:t>
      </w:r>
      <w:r>
        <w:t>control.</w:t>
      </w:r>
    </w:p>
    <w:p w14:paraId="0FEAED50" w14:textId="273D88BD" w:rsidR="000756EB" w:rsidRDefault="004A4D88" w:rsidP="008C43E5">
      <w:r>
        <w:t>Investments</w:t>
      </w:r>
      <w:r w:rsidR="00A03629">
        <w:t xml:space="preserve"> </w:t>
      </w:r>
      <w:r>
        <w:t>in</w:t>
      </w:r>
      <w:r w:rsidR="00A03629">
        <w:t xml:space="preserve"> </w:t>
      </w:r>
      <w:r>
        <w:t>joint</w:t>
      </w:r>
      <w:r w:rsidR="00A03629">
        <w:t xml:space="preserve"> </w:t>
      </w:r>
      <w:r>
        <w:t>arrangements</w:t>
      </w:r>
      <w:r w:rsidR="00A03629">
        <w:t xml:space="preserve"> </w:t>
      </w:r>
      <w:r>
        <w:t>are</w:t>
      </w:r>
      <w:r w:rsidR="00A03629">
        <w:t xml:space="preserve"> </w:t>
      </w:r>
      <w:r>
        <w:t>classified</w:t>
      </w:r>
      <w:r w:rsidR="00A03629">
        <w:t xml:space="preserve"> </w:t>
      </w:r>
      <w:r>
        <w:t>as</w:t>
      </w:r>
      <w:r w:rsidR="00A03629">
        <w:t xml:space="preserve"> </w:t>
      </w:r>
      <w:r>
        <w:t>either</w:t>
      </w:r>
      <w:r w:rsidR="00A03629">
        <w:t xml:space="preserve"> </w:t>
      </w:r>
      <w:r>
        <w:t>joint</w:t>
      </w:r>
      <w:r w:rsidR="00A03629">
        <w:t xml:space="preserve"> </w:t>
      </w:r>
      <w:r>
        <w:t>operations</w:t>
      </w:r>
      <w:r w:rsidR="00A03629">
        <w:t xml:space="preserve"> </w:t>
      </w:r>
      <w:r>
        <w:t>or</w:t>
      </w:r>
      <w:r w:rsidR="00A03629">
        <w:t xml:space="preserve"> </w:t>
      </w:r>
      <w:r>
        <w:t>joint</w:t>
      </w:r>
      <w:r w:rsidR="00A03629">
        <w:t xml:space="preserve"> </w:t>
      </w:r>
      <w:r>
        <w:t>ventures.</w:t>
      </w:r>
      <w:r w:rsidR="00A03629">
        <w:t xml:space="preserve"> </w:t>
      </w:r>
      <w:r>
        <w:t>The</w:t>
      </w:r>
      <w:r w:rsidR="00A03629">
        <w:t xml:space="preserve"> </w:t>
      </w:r>
      <w:r>
        <w:t>classification</w:t>
      </w:r>
      <w:r w:rsidR="00A03629">
        <w:t xml:space="preserve"> </w:t>
      </w:r>
      <w:r>
        <w:t>depends</w:t>
      </w:r>
      <w:r w:rsidR="00A03629">
        <w:t xml:space="preserve"> </w:t>
      </w:r>
      <w:r>
        <w:t>on</w:t>
      </w:r>
      <w:r w:rsidR="00A03629">
        <w:t xml:space="preserve"> </w:t>
      </w:r>
      <w:r>
        <w:t>the</w:t>
      </w:r>
      <w:r w:rsidR="00A03629">
        <w:t xml:space="preserve"> </w:t>
      </w:r>
      <w:r>
        <w:t>contractual</w:t>
      </w:r>
      <w:r w:rsidR="00A03629">
        <w:t xml:space="preserve"> </w:t>
      </w:r>
      <w:r>
        <w:t>rights</w:t>
      </w:r>
      <w:r w:rsidR="00A03629">
        <w:t xml:space="preserve"> </w:t>
      </w:r>
      <w:r>
        <w:t>and</w:t>
      </w:r>
      <w:r w:rsidR="00A03629">
        <w:rPr>
          <w:rFonts w:ascii="Cambria" w:hAnsi="Cambria" w:cs="Cambria"/>
        </w:rPr>
        <w:t xml:space="preserve"> </w:t>
      </w:r>
      <w:r>
        <w:t>obligations</w:t>
      </w:r>
      <w:r w:rsidR="00A03629">
        <w:t xml:space="preserve"> </w:t>
      </w:r>
      <w:r>
        <w:t>of</w:t>
      </w:r>
      <w:r w:rsidR="00A03629">
        <w:t xml:space="preserve"> </w:t>
      </w:r>
      <w:r>
        <w:t>each</w:t>
      </w:r>
      <w:r w:rsidR="00A03629">
        <w:t xml:space="preserve"> </w:t>
      </w:r>
      <w:r>
        <w:t>investor,</w:t>
      </w:r>
      <w:r w:rsidR="00A03629">
        <w:t xml:space="preserve"> </w:t>
      </w:r>
      <w:r>
        <w:t>rather</w:t>
      </w:r>
      <w:r w:rsidR="00A03629">
        <w:t xml:space="preserve"> </w:t>
      </w:r>
      <w:r>
        <w:t>than</w:t>
      </w:r>
      <w:r w:rsidR="00A03629">
        <w:t xml:space="preserve"> </w:t>
      </w:r>
      <w:r>
        <w:t>the</w:t>
      </w:r>
      <w:r w:rsidR="00A03629">
        <w:t xml:space="preserve"> </w:t>
      </w:r>
      <w:r>
        <w:t>legal</w:t>
      </w:r>
      <w:r w:rsidR="00A03629">
        <w:t xml:space="preserve"> </w:t>
      </w:r>
      <w:r>
        <w:t>structure</w:t>
      </w:r>
      <w:r w:rsidR="00A03629">
        <w:t xml:space="preserve"> </w:t>
      </w:r>
      <w:r>
        <w:t>of</w:t>
      </w:r>
      <w:r w:rsidR="00A03629">
        <w:t xml:space="preserve"> </w:t>
      </w:r>
      <w:r>
        <w:t>the</w:t>
      </w:r>
      <w:r w:rsidR="00A03629">
        <w:t xml:space="preserve"> </w:t>
      </w:r>
      <w:r>
        <w:t>joint</w:t>
      </w:r>
      <w:r w:rsidR="00A03629">
        <w:t xml:space="preserve"> </w:t>
      </w:r>
      <w:r>
        <w:t>arrangement.</w:t>
      </w:r>
    </w:p>
    <w:p w14:paraId="429ED96C" w14:textId="1203DC8B" w:rsidR="000756EB" w:rsidRDefault="004A4D88" w:rsidP="008C43E5">
      <w:r>
        <w:t>For</w:t>
      </w:r>
      <w:r w:rsidR="00A03629">
        <w:t xml:space="preserve"> </w:t>
      </w:r>
      <w:r>
        <w:t>joint</w:t>
      </w:r>
      <w:r w:rsidR="00A03629">
        <w:t xml:space="preserve"> </w:t>
      </w:r>
      <w:r>
        <w:t>operations,</w:t>
      </w:r>
      <w:r w:rsidR="00A03629">
        <w:t xml:space="preserve"> </w:t>
      </w:r>
      <w:r>
        <w:t>DJSIR</w:t>
      </w:r>
      <w:r w:rsidR="00A03629">
        <w:t xml:space="preserve"> </w:t>
      </w:r>
      <w:r>
        <w:t>recognises</w:t>
      </w:r>
      <w:r w:rsidR="00A03629">
        <w:t xml:space="preserve"> </w:t>
      </w:r>
      <w:r>
        <w:t>in</w:t>
      </w:r>
      <w:r w:rsidR="00A03629">
        <w:t xml:space="preserve"> </w:t>
      </w:r>
      <w:r>
        <w:t>the</w:t>
      </w:r>
      <w:r w:rsidR="00A03629">
        <w:t xml:space="preserve"> </w:t>
      </w:r>
      <w:r>
        <w:t>financial</w:t>
      </w:r>
      <w:r w:rsidR="00A03629">
        <w:t xml:space="preserve"> </w:t>
      </w:r>
      <w:r>
        <w:t>statements:</w:t>
      </w:r>
      <w:r w:rsidR="00A03629">
        <w:t xml:space="preserve"> </w:t>
      </w:r>
      <w:r>
        <w:t>its</w:t>
      </w:r>
      <w:r w:rsidR="00A03629">
        <w:t xml:space="preserve"> </w:t>
      </w:r>
      <w:r>
        <w:t>assets,</w:t>
      </w:r>
      <w:r w:rsidR="00A03629">
        <w:t xml:space="preserve"> </w:t>
      </w:r>
      <w:r>
        <w:t>including</w:t>
      </w:r>
      <w:r w:rsidR="00A03629">
        <w:t xml:space="preserve"> </w:t>
      </w:r>
      <w:r>
        <w:t>its</w:t>
      </w:r>
      <w:r w:rsidR="00A03629">
        <w:t xml:space="preserve"> </w:t>
      </w:r>
      <w:r>
        <w:t>share</w:t>
      </w:r>
      <w:r w:rsidR="00A03629">
        <w:t xml:space="preserve"> </w:t>
      </w:r>
      <w:r>
        <w:t>of</w:t>
      </w:r>
      <w:r w:rsidR="00A03629">
        <w:t xml:space="preserve"> </w:t>
      </w:r>
      <w:r>
        <w:t>any</w:t>
      </w:r>
      <w:r w:rsidR="00A03629">
        <w:t xml:space="preserve"> </w:t>
      </w:r>
      <w:r>
        <w:t>assets</w:t>
      </w:r>
      <w:r w:rsidR="00A03629">
        <w:t xml:space="preserve"> </w:t>
      </w:r>
      <w:r>
        <w:t>held</w:t>
      </w:r>
      <w:r w:rsidR="00A03629">
        <w:t xml:space="preserve"> </w:t>
      </w:r>
      <w:r>
        <w:t>jointly;</w:t>
      </w:r>
      <w:r w:rsidR="00A03629">
        <w:t xml:space="preserve"> </w:t>
      </w:r>
      <w:r>
        <w:t>its</w:t>
      </w:r>
      <w:r w:rsidR="00A03629">
        <w:t xml:space="preserve"> </w:t>
      </w:r>
      <w:r>
        <w:t>liabilities,</w:t>
      </w:r>
      <w:r w:rsidR="00A03629">
        <w:t xml:space="preserve"> </w:t>
      </w:r>
      <w:r>
        <w:t>including</w:t>
      </w:r>
      <w:r w:rsidR="00A03629">
        <w:t xml:space="preserve"> </w:t>
      </w:r>
      <w:r>
        <w:t>its</w:t>
      </w:r>
      <w:r w:rsidR="00A03629">
        <w:t xml:space="preserve"> </w:t>
      </w:r>
      <w:r>
        <w:t>share</w:t>
      </w:r>
      <w:r w:rsidR="00A03629">
        <w:t xml:space="preserve"> </w:t>
      </w:r>
      <w:r>
        <w:t>of</w:t>
      </w:r>
      <w:r w:rsidR="00A03629">
        <w:t xml:space="preserve"> </w:t>
      </w:r>
      <w:r>
        <w:t>any</w:t>
      </w:r>
      <w:r w:rsidR="00A03629">
        <w:t xml:space="preserve"> </w:t>
      </w:r>
      <w:r>
        <w:t>liabilities</w:t>
      </w:r>
      <w:r w:rsidR="00A03629">
        <w:t xml:space="preserve"> </w:t>
      </w:r>
      <w:r>
        <w:t>that</w:t>
      </w:r>
      <w:r w:rsidR="00A03629">
        <w:t xml:space="preserve"> </w:t>
      </w:r>
      <w:r>
        <w:t>it</w:t>
      </w:r>
      <w:r w:rsidR="00A03629">
        <w:t xml:space="preserve"> </w:t>
      </w:r>
      <w:r>
        <w:t>had</w:t>
      </w:r>
      <w:r w:rsidR="00A03629">
        <w:t xml:space="preserve"> </w:t>
      </w:r>
      <w:r>
        <w:t>incurred;</w:t>
      </w:r>
      <w:r w:rsidR="00A03629">
        <w:t xml:space="preserve"> </w:t>
      </w:r>
      <w:r>
        <w:t>its</w:t>
      </w:r>
      <w:r w:rsidR="00A03629">
        <w:t xml:space="preserve"> </w:t>
      </w:r>
      <w:r>
        <w:t>revenue</w:t>
      </w:r>
      <w:r w:rsidR="00A03629">
        <w:t xml:space="preserve"> </w:t>
      </w:r>
      <w:r>
        <w:t>from</w:t>
      </w:r>
      <w:r w:rsidR="00A03629">
        <w:t xml:space="preserve"> </w:t>
      </w:r>
      <w:r>
        <w:t>the</w:t>
      </w:r>
      <w:r w:rsidR="00A03629">
        <w:t xml:space="preserve"> </w:t>
      </w:r>
      <w:r>
        <w:t>sale</w:t>
      </w:r>
      <w:r w:rsidR="00A03629">
        <w:t xml:space="preserve"> </w:t>
      </w:r>
      <w:r>
        <w:t>of</w:t>
      </w:r>
      <w:r w:rsidR="00A03629">
        <w:t xml:space="preserve"> </w:t>
      </w:r>
      <w:r>
        <w:t>its</w:t>
      </w:r>
      <w:r w:rsidR="00A03629">
        <w:t xml:space="preserve"> </w:t>
      </w:r>
      <w:r>
        <w:t>share</w:t>
      </w:r>
      <w:r w:rsidR="00A03629">
        <w:t xml:space="preserve"> </w:t>
      </w:r>
      <w:r>
        <w:t>of</w:t>
      </w:r>
      <w:r w:rsidR="00A03629">
        <w:t xml:space="preserve"> </w:t>
      </w:r>
      <w:r>
        <w:t>the</w:t>
      </w:r>
      <w:r w:rsidR="00A03629">
        <w:t xml:space="preserve"> </w:t>
      </w:r>
      <w:r>
        <w:t>output</w:t>
      </w:r>
      <w:r w:rsidR="00A03629">
        <w:t xml:space="preserve"> </w:t>
      </w:r>
      <w:r>
        <w:t>from</w:t>
      </w:r>
      <w:r w:rsidR="00A03629">
        <w:rPr>
          <w:rFonts w:ascii="Cambria" w:hAnsi="Cambria" w:cs="Cambria"/>
        </w:rPr>
        <w:t xml:space="preserve"> </w:t>
      </w:r>
      <w:r>
        <w:t>the</w:t>
      </w:r>
      <w:r w:rsidR="00A03629">
        <w:t xml:space="preserve"> </w:t>
      </w:r>
      <w:r>
        <w:t>joint</w:t>
      </w:r>
      <w:r w:rsidR="00A03629">
        <w:t xml:space="preserve"> </w:t>
      </w:r>
      <w:r>
        <w:t>operation</w:t>
      </w:r>
      <w:r w:rsidR="00A03629">
        <w:t xml:space="preserve"> </w:t>
      </w:r>
      <w:r>
        <w:t>and</w:t>
      </w:r>
      <w:r w:rsidR="00A03629">
        <w:t xml:space="preserve"> </w:t>
      </w:r>
      <w:r>
        <w:t>its</w:t>
      </w:r>
      <w:r w:rsidR="00A03629">
        <w:t xml:space="preserve"> </w:t>
      </w:r>
      <w:r>
        <w:t>expenses,</w:t>
      </w:r>
      <w:r w:rsidR="00A03629">
        <w:t xml:space="preserve"> </w:t>
      </w:r>
      <w:r>
        <w:t>including</w:t>
      </w:r>
      <w:r w:rsidR="00A03629">
        <w:t xml:space="preserve"> </w:t>
      </w:r>
      <w:r>
        <w:t>its</w:t>
      </w:r>
      <w:r w:rsidR="00A03629">
        <w:t xml:space="preserve"> </w:t>
      </w:r>
      <w:r>
        <w:t>share</w:t>
      </w:r>
      <w:r w:rsidR="00A03629">
        <w:t xml:space="preserve"> </w:t>
      </w:r>
      <w:r>
        <w:t>of</w:t>
      </w:r>
      <w:r w:rsidR="00A03629">
        <w:t xml:space="preserve"> </w:t>
      </w:r>
      <w:r>
        <w:t>any</w:t>
      </w:r>
      <w:r w:rsidR="00A03629">
        <w:t xml:space="preserve"> </w:t>
      </w:r>
      <w:r>
        <w:t>expenses</w:t>
      </w:r>
      <w:r w:rsidR="00A03629">
        <w:t xml:space="preserve"> </w:t>
      </w:r>
      <w:r>
        <w:t>incurred</w:t>
      </w:r>
      <w:r w:rsidR="00A03629">
        <w:t xml:space="preserve"> </w:t>
      </w:r>
      <w:r>
        <w:t>jointly.</w:t>
      </w:r>
    </w:p>
    <w:p w14:paraId="41915D0C" w14:textId="48535FD7" w:rsidR="000756EB" w:rsidRPr="008C43E5" w:rsidRDefault="004A4D88" w:rsidP="008C43E5">
      <w:pPr>
        <w:pStyle w:val="Normalbeforebullets"/>
        <w:rPr>
          <w:b/>
          <w:bCs/>
        </w:rPr>
      </w:pPr>
      <w:r w:rsidRPr="008C43E5">
        <w:rPr>
          <w:b/>
          <w:bCs/>
        </w:rPr>
        <w:t>Additional</w:t>
      </w:r>
      <w:r w:rsidR="00A03629" w:rsidRPr="008C43E5">
        <w:rPr>
          <w:b/>
          <w:bCs/>
        </w:rPr>
        <w:t xml:space="preserve"> </w:t>
      </w:r>
      <w:r w:rsidRPr="008C43E5">
        <w:rPr>
          <w:b/>
          <w:bCs/>
        </w:rPr>
        <w:t>information</w:t>
      </w:r>
      <w:r w:rsidR="00A03629" w:rsidRPr="008C43E5">
        <w:rPr>
          <w:b/>
          <w:bCs/>
        </w:rPr>
        <w:t xml:space="preserve"> </w:t>
      </w:r>
      <w:r w:rsidRPr="008C43E5">
        <w:rPr>
          <w:b/>
          <w:bCs/>
        </w:rPr>
        <w:t>on</w:t>
      </w:r>
      <w:r w:rsidR="00A03629" w:rsidRPr="008C43E5">
        <w:rPr>
          <w:b/>
          <w:bCs/>
        </w:rPr>
        <w:t xml:space="preserve"> </w:t>
      </w:r>
      <w:r w:rsidRPr="008C43E5">
        <w:rPr>
          <w:b/>
          <w:bCs/>
        </w:rPr>
        <w:t>joint</w:t>
      </w:r>
      <w:r w:rsidR="00A03629" w:rsidRPr="008C43E5">
        <w:rPr>
          <w:b/>
          <w:bCs/>
        </w:rPr>
        <w:t xml:space="preserve"> </w:t>
      </w:r>
      <w:r w:rsidRPr="008C43E5">
        <w:rPr>
          <w:b/>
          <w:bCs/>
        </w:rPr>
        <w:t>operations</w:t>
      </w:r>
    </w:p>
    <w:p w14:paraId="00AB6649" w14:textId="7748A1F9" w:rsidR="000756EB" w:rsidRDefault="004A4D88" w:rsidP="008C43E5">
      <w:r>
        <w:t>Due</w:t>
      </w:r>
      <w:r w:rsidR="00A03629">
        <w:t xml:space="preserve"> </w:t>
      </w:r>
      <w:r>
        <w:t>to</w:t>
      </w:r>
      <w:r w:rsidR="00A03629">
        <w:t xml:space="preserve"> </w:t>
      </w:r>
      <w:r>
        <w:t>the</w:t>
      </w:r>
      <w:r w:rsidR="00A03629">
        <w:t xml:space="preserve"> </w:t>
      </w:r>
      <w:r>
        <w:t>recent</w:t>
      </w:r>
      <w:r w:rsidR="00A03629">
        <w:t xml:space="preserve"> </w:t>
      </w:r>
      <w:r>
        <w:t>machinery</w:t>
      </w:r>
      <w:r w:rsidR="00A03629">
        <w:t xml:space="preserve"> </w:t>
      </w:r>
      <w:r>
        <w:t>of</w:t>
      </w:r>
      <w:r w:rsidR="00A03629">
        <w:t xml:space="preserve"> </w:t>
      </w:r>
      <w:r>
        <w:t>government</w:t>
      </w:r>
      <w:r w:rsidR="00A03629">
        <w:t xml:space="preserve"> </w:t>
      </w:r>
      <w:r>
        <w:t>changes,</w:t>
      </w:r>
      <w:r w:rsidR="00A03629">
        <w:t xml:space="preserve"> </w:t>
      </w:r>
      <w:r>
        <w:t>interests</w:t>
      </w:r>
      <w:r w:rsidR="00A03629">
        <w:t xml:space="preserve"> </w:t>
      </w:r>
      <w:r>
        <w:t>in</w:t>
      </w:r>
      <w:r w:rsidR="00A03629">
        <w:t xml:space="preserve"> </w:t>
      </w:r>
      <w:r>
        <w:t>the</w:t>
      </w:r>
      <w:r w:rsidR="00A03629">
        <w:t xml:space="preserve"> </w:t>
      </w:r>
      <w:r>
        <w:t>two</w:t>
      </w:r>
      <w:r w:rsidR="00A03629">
        <w:t xml:space="preserve"> </w:t>
      </w:r>
      <w:r>
        <w:t>joint</w:t>
      </w:r>
      <w:r w:rsidR="00A03629">
        <w:t xml:space="preserve"> </w:t>
      </w:r>
      <w:r>
        <w:t>operations</w:t>
      </w:r>
      <w:r w:rsidR="00A03629">
        <w:t xml:space="preserve"> </w:t>
      </w:r>
      <w:r>
        <w:t>were</w:t>
      </w:r>
      <w:r w:rsidR="00A03629">
        <w:t xml:space="preserve"> </w:t>
      </w:r>
      <w:r>
        <w:t>transferred</w:t>
      </w:r>
      <w:r w:rsidR="00A03629">
        <w:rPr>
          <w:rFonts w:ascii="Cambria" w:hAnsi="Cambria" w:cs="Cambria"/>
        </w:rPr>
        <w:t xml:space="preserve"> </w:t>
      </w:r>
      <w:r>
        <w:t>to</w:t>
      </w:r>
      <w:r w:rsidR="00A03629">
        <w:rPr>
          <w:rFonts w:ascii="Cambria" w:hAnsi="Cambria" w:cs="Cambria"/>
        </w:rPr>
        <w:t xml:space="preserve"> </w:t>
      </w:r>
      <w:r>
        <w:t>the</w:t>
      </w:r>
      <w:r w:rsidR="00A03629">
        <w:t xml:space="preserve"> </w:t>
      </w:r>
      <w:r>
        <w:t>DEECA</w:t>
      </w:r>
      <w:r w:rsidR="00A03629">
        <w:t xml:space="preserve"> </w:t>
      </w:r>
      <w:r>
        <w:t>effective</w:t>
      </w:r>
      <w:r w:rsidR="00A03629">
        <w:t xml:space="preserve"> </w:t>
      </w:r>
      <w:r>
        <w:t>1</w:t>
      </w:r>
      <w:r w:rsidR="00A03629">
        <w:t xml:space="preserve"> </w:t>
      </w:r>
      <w:r>
        <w:t>January</w:t>
      </w:r>
      <w:r w:rsidR="00A03629">
        <w:t xml:space="preserve"> </w:t>
      </w:r>
      <w:r>
        <w:t>2023.</w:t>
      </w:r>
      <w:r w:rsidR="00A03629">
        <w:t xml:space="preserve"> </w:t>
      </w:r>
      <w:r>
        <w:t>The</w:t>
      </w:r>
      <w:r w:rsidR="00A03629">
        <w:t xml:space="preserve"> </w:t>
      </w:r>
      <w:r>
        <w:t>ownership</w:t>
      </w:r>
      <w:r w:rsidR="00A03629">
        <w:t xml:space="preserve"> </w:t>
      </w:r>
      <w:r>
        <w:t>interests</w:t>
      </w:r>
      <w:r w:rsidR="00A03629">
        <w:t xml:space="preserve"> </w:t>
      </w:r>
      <w:r>
        <w:t>are</w:t>
      </w:r>
      <w:r w:rsidR="00A03629">
        <w:t xml:space="preserve"> </w:t>
      </w:r>
      <w:r>
        <w:t>for</w:t>
      </w:r>
      <w:r w:rsidR="00A03629">
        <w:t xml:space="preserve"> </w:t>
      </w:r>
      <w:r>
        <w:t>the</w:t>
      </w:r>
      <w:r w:rsidR="00A03629">
        <w:t xml:space="preserve"> </w:t>
      </w:r>
      <w:r>
        <w:t>period</w:t>
      </w:r>
      <w:r w:rsidR="00A03629">
        <w:t xml:space="preserve"> </w:t>
      </w:r>
      <w:r>
        <w:t>1</w:t>
      </w:r>
      <w:r w:rsidR="00A03629">
        <w:t xml:space="preserve"> </w:t>
      </w:r>
      <w:r>
        <w:t>July</w:t>
      </w:r>
      <w:r w:rsidR="00A03629">
        <w:t xml:space="preserve"> </w:t>
      </w:r>
      <w:r>
        <w:t>2022</w:t>
      </w:r>
      <w:r w:rsidR="00A03629">
        <w:t xml:space="preserve"> </w:t>
      </w:r>
      <w:r>
        <w:t>till</w:t>
      </w:r>
      <w:r w:rsidR="00A03629">
        <w:rPr>
          <w:rFonts w:ascii="Cambria" w:hAnsi="Cambria" w:cs="Cambria"/>
        </w:rPr>
        <w:t xml:space="preserve"> </w:t>
      </w:r>
      <w:r>
        <w:t>31</w:t>
      </w:r>
      <w:r w:rsidR="00A03629">
        <w:rPr>
          <w:rFonts w:ascii="Cambria" w:hAnsi="Cambria" w:cs="Cambria"/>
        </w:rPr>
        <w:t xml:space="preserve"> </w:t>
      </w:r>
      <w:r>
        <w:t>December</w:t>
      </w:r>
      <w:r w:rsidR="00A03629">
        <w:rPr>
          <w:rFonts w:ascii="Cambria" w:hAnsi="Cambria" w:cs="Cambria"/>
        </w:rPr>
        <w:t xml:space="preserve"> </w:t>
      </w:r>
      <w:r>
        <w:t>2022.</w:t>
      </w:r>
    </w:p>
    <w:tbl>
      <w:tblPr>
        <w:tblStyle w:val="TableGrid"/>
        <w:tblW w:w="10196" w:type="dxa"/>
        <w:tblLayout w:type="fixed"/>
        <w:tblLook w:val="0020" w:firstRow="1" w:lastRow="0" w:firstColumn="0" w:lastColumn="0" w:noHBand="0" w:noVBand="0"/>
      </w:tblPr>
      <w:tblGrid>
        <w:gridCol w:w="2570"/>
        <w:gridCol w:w="3095"/>
        <w:gridCol w:w="1810"/>
        <w:gridCol w:w="1360"/>
        <w:gridCol w:w="1361"/>
      </w:tblGrid>
      <w:tr w:rsidR="000756EB" w:rsidRPr="00670204" w14:paraId="228C4909" w14:textId="77777777" w:rsidTr="00670204">
        <w:trPr>
          <w:trHeight w:val="60"/>
        </w:trPr>
        <w:tc>
          <w:tcPr>
            <w:tcW w:w="2570" w:type="dxa"/>
          </w:tcPr>
          <w:p w14:paraId="325FF0DF" w14:textId="22E7059E" w:rsidR="000756EB" w:rsidRPr="00670204" w:rsidRDefault="004A4D88" w:rsidP="00670204">
            <w:pPr>
              <w:pStyle w:val="TableColumnHeading"/>
            </w:pPr>
            <w:bookmarkStart w:id="73" w:name="ColumnTitles_44"/>
            <w:bookmarkEnd w:id="73"/>
            <w:r w:rsidRPr="00670204">
              <w:t>Name</w:t>
            </w:r>
            <w:r w:rsidR="00A03629" w:rsidRPr="00670204">
              <w:t xml:space="preserve"> </w:t>
            </w:r>
            <w:r w:rsidRPr="00670204">
              <w:t>of</w:t>
            </w:r>
            <w:r w:rsidR="00A03629" w:rsidRPr="00670204">
              <w:t xml:space="preserve"> </w:t>
            </w:r>
            <w:r w:rsidRPr="00670204">
              <w:t>entity</w:t>
            </w:r>
          </w:p>
        </w:tc>
        <w:tc>
          <w:tcPr>
            <w:tcW w:w="3095" w:type="dxa"/>
          </w:tcPr>
          <w:p w14:paraId="25A85F33" w14:textId="12C9C13C" w:rsidR="000756EB" w:rsidRPr="00670204" w:rsidRDefault="004A4D88" w:rsidP="00670204">
            <w:pPr>
              <w:pStyle w:val="TableColumnHeading"/>
            </w:pPr>
            <w:r w:rsidRPr="00670204">
              <w:t>Principal</w:t>
            </w:r>
            <w:r w:rsidR="00A03629" w:rsidRPr="00670204">
              <w:t xml:space="preserve"> </w:t>
            </w:r>
            <w:r w:rsidRPr="00670204">
              <w:t>activity</w:t>
            </w:r>
          </w:p>
        </w:tc>
        <w:tc>
          <w:tcPr>
            <w:tcW w:w="1810" w:type="dxa"/>
          </w:tcPr>
          <w:p w14:paraId="4758E63E" w14:textId="03A83D84" w:rsidR="000756EB" w:rsidRPr="00670204" w:rsidRDefault="004A4D88" w:rsidP="00670204">
            <w:pPr>
              <w:pStyle w:val="TableColumnHeading"/>
            </w:pPr>
            <w:r w:rsidRPr="00670204">
              <w:t>Country</w:t>
            </w:r>
            <w:r w:rsidR="00A03629" w:rsidRPr="00670204">
              <w:t xml:space="preserve"> </w:t>
            </w:r>
            <w:r w:rsidRPr="00670204">
              <w:t>of</w:t>
            </w:r>
            <w:r w:rsidR="00A03629" w:rsidRPr="00670204">
              <w:t xml:space="preserve"> </w:t>
            </w:r>
            <w:r w:rsidRPr="00670204">
              <w:t>incorporation</w:t>
            </w:r>
          </w:p>
        </w:tc>
        <w:tc>
          <w:tcPr>
            <w:tcW w:w="1360" w:type="dxa"/>
          </w:tcPr>
          <w:p w14:paraId="3885B3A3" w14:textId="1BA226FE" w:rsidR="000756EB" w:rsidRPr="00670204" w:rsidRDefault="00670204" w:rsidP="00670204">
            <w:pPr>
              <w:pStyle w:val="TableColumnHeading"/>
              <w:jc w:val="right"/>
            </w:pPr>
            <w:r w:rsidRPr="00670204">
              <w:t xml:space="preserve">Ownership interest </w:t>
            </w:r>
            <w:r w:rsidR="004A4D88" w:rsidRPr="00670204">
              <w:t>2023</w:t>
            </w:r>
            <w:r>
              <w:t xml:space="preserve"> </w:t>
            </w:r>
            <w:r w:rsidR="004A4D88" w:rsidRPr="00670204">
              <w:t>%</w:t>
            </w:r>
          </w:p>
        </w:tc>
        <w:tc>
          <w:tcPr>
            <w:tcW w:w="1361" w:type="dxa"/>
          </w:tcPr>
          <w:p w14:paraId="7C494941" w14:textId="477D0956" w:rsidR="000756EB" w:rsidRPr="00670204" w:rsidRDefault="00670204" w:rsidP="00670204">
            <w:pPr>
              <w:pStyle w:val="TableColumnHeading"/>
              <w:jc w:val="right"/>
            </w:pPr>
            <w:r w:rsidRPr="00670204">
              <w:t xml:space="preserve">Ownership interest </w:t>
            </w:r>
            <w:r w:rsidR="004A4D88" w:rsidRPr="00670204">
              <w:t>2022</w:t>
            </w:r>
            <w:r>
              <w:t xml:space="preserve"> </w:t>
            </w:r>
            <w:r w:rsidR="004A4D88" w:rsidRPr="00670204">
              <w:t>%</w:t>
            </w:r>
          </w:p>
        </w:tc>
      </w:tr>
      <w:tr w:rsidR="000756EB" w:rsidRPr="00670204" w14:paraId="4383D1B2" w14:textId="77777777" w:rsidTr="00670204">
        <w:trPr>
          <w:trHeight w:val="60"/>
        </w:trPr>
        <w:tc>
          <w:tcPr>
            <w:tcW w:w="2570" w:type="dxa"/>
          </w:tcPr>
          <w:p w14:paraId="7ADAB303" w14:textId="18B904D0" w:rsidR="000756EB" w:rsidRPr="00670204" w:rsidRDefault="004A4D88" w:rsidP="00670204">
            <w:pPr>
              <w:pStyle w:val="TableCopy"/>
            </w:pPr>
            <w:r w:rsidRPr="00670204">
              <w:t>Royal</w:t>
            </w:r>
            <w:r w:rsidR="00A03629" w:rsidRPr="00670204">
              <w:t xml:space="preserve"> </w:t>
            </w:r>
            <w:r w:rsidRPr="00670204">
              <w:t>Melbourne</w:t>
            </w:r>
            <w:r w:rsidR="00A03629" w:rsidRPr="00670204">
              <w:t xml:space="preserve"> </w:t>
            </w:r>
            <w:r w:rsidRPr="00670204">
              <w:t>Showgrounds</w:t>
            </w:r>
          </w:p>
        </w:tc>
        <w:tc>
          <w:tcPr>
            <w:tcW w:w="3095" w:type="dxa"/>
          </w:tcPr>
          <w:p w14:paraId="331264A4" w14:textId="0254867B" w:rsidR="000756EB" w:rsidRPr="00670204" w:rsidRDefault="004A4D88" w:rsidP="00670204">
            <w:pPr>
              <w:pStyle w:val="TableCopy"/>
            </w:pPr>
            <w:r w:rsidRPr="00670204">
              <w:t>To</w:t>
            </w:r>
            <w:r w:rsidR="00A03629" w:rsidRPr="00670204">
              <w:t xml:space="preserve"> </w:t>
            </w:r>
            <w:r w:rsidRPr="00670204">
              <w:t>host</w:t>
            </w:r>
            <w:r w:rsidR="00A03629" w:rsidRPr="00670204">
              <w:t xml:space="preserve"> </w:t>
            </w:r>
            <w:r w:rsidRPr="00670204">
              <w:t>a</w:t>
            </w:r>
            <w:r w:rsidR="00A03629" w:rsidRPr="00670204">
              <w:t xml:space="preserve"> </w:t>
            </w:r>
            <w:r w:rsidRPr="00670204">
              <w:t>variety</w:t>
            </w:r>
            <w:r w:rsidR="00A03629" w:rsidRPr="00670204">
              <w:t xml:space="preserve"> </w:t>
            </w:r>
            <w:r w:rsidRPr="00670204">
              <w:t>of</w:t>
            </w:r>
            <w:r w:rsidR="00A03629" w:rsidRPr="00670204">
              <w:t xml:space="preserve"> </w:t>
            </w:r>
            <w:r w:rsidRPr="00670204">
              <w:t>events</w:t>
            </w:r>
            <w:r w:rsidR="00A03629" w:rsidRPr="00670204">
              <w:t xml:space="preserve"> </w:t>
            </w:r>
            <w:r w:rsidRPr="00670204">
              <w:t>for</w:t>
            </w:r>
            <w:r w:rsidR="00A03629" w:rsidRPr="00670204">
              <w:t xml:space="preserve"> </w:t>
            </w:r>
            <w:r w:rsidRPr="00670204">
              <w:t>public</w:t>
            </w:r>
            <w:r w:rsidR="00A03629" w:rsidRPr="00670204">
              <w:t xml:space="preserve"> </w:t>
            </w:r>
            <w:r w:rsidRPr="00670204">
              <w:t>at</w:t>
            </w:r>
            <w:r w:rsidR="00A03629" w:rsidRPr="00670204">
              <w:t xml:space="preserve"> </w:t>
            </w:r>
            <w:r w:rsidRPr="00670204">
              <w:t>the</w:t>
            </w:r>
            <w:r w:rsidR="00A03629" w:rsidRPr="00670204">
              <w:t xml:space="preserve"> </w:t>
            </w:r>
            <w:r w:rsidRPr="00670204">
              <w:t>Showgrounds</w:t>
            </w:r>
          </w:p>
        </w:tc>
        <w:tc>
          <w:tcPr>
            <w:tcW w:w="1810" w:type="dxa"/>
          </w:tcPr>
          <w:p w14:paraId="63ABA671" w14:textId="77777777" w:rsidR="000756EB" w:rsidRPr="00670204" w:rsidRDefault="004A4D88" w:rsidP="00670204">
            <w:pPr>
              <w:pStyle w:val="TableCopy"/>
            </w:pPr>
            <w:r w:rsidRPr="00670204">
              <w:t>Australia</w:t>
            </w:r>
          </w:p>
        </w:tc>
        <w:tc>
          <w:tcPr>
            <w:tcW w:w="1360" w:type="dxa"/>
          </w:tcPr>
          <w:p w14:paraId="4B1D261A" w14:textId="60CEAF1E" w:rsidR="000756EB" w:rsidRPr="00670204" w:rsidRDefault="004A4D88" w:rsidP="00670204">
            <w:pPr>
              <w:pStyle w:val="TableCopy"/>
              <w:jc w:val="right"/>
            </w:pPr>
            <w:r w:rsidRPr="00670204">
              <w:t>50.0</w:t>
            </w:r>
          </w:p>
        </w:tc>
        <w:tc>
          <w:tcPr>
            <w:tcW w:w="1361" w:type="dxa"/>
          </w:tcPr>
          <w:p w14:paraId="384B803F" w14:textId="31F455CF" w:rsidR="000756EB" w:rsidRPr="00670204" w:rsidRDefault="004A4D88" w:rsidP="00670204">
            <w:pPr>
              <w:pStyle w:val="TableCopy"/>
              <w:jc w:val="right"/>
            </w:pPr>
            <w:r w:rsidRPr="00670204">
              <w:t>50.0</w:t>
            </w:r>
          </w:p>
        </w:tc>
      </w:tr>
      <w:tr w:rsidR="000756EB" w:rsidRPr="00670204" w14:paraId="1994C2C7" w14:textId="77777777" w:rsidTr="00670204">
        <w:trPr>
          <w:trHeight w:val="60"/>
        </w:trPr>
        <w:tc>
          <w:tcPr>
            <w:tcW w:w="2570" w:type="dxa"/>
          </w:tcPr>
          <w:p w14:paraId="33106737" w14:textId="0CFA4E3F" w:rsidR="000756EB" w:rsidRPr="00670204" w:rsidRDefault="004A4D88" w:rsidP="00670204">
            <w:pPr>
              <w:pStyle w:val="TableCopy"/>
            </w:pPr>
            <w:r w:rsidRPr="00670204">
              <w:t>Biosciences</w:t>
            </w:r>
            <w:r w:rsidR="00A03629" w:rsidRPr="00670204">
              <w:t xml:space="preserve"> </w:t>
            </w:r>
            <w:r w:rsidRPr="00670204">
              <w:t>Research</w:t>
            </w:r>
            <w:r w:rsidR="00A03629" w:rsidRPr="00670204">
              <w:t xml:space="preserve"> </w:t>
            </w:r>
            <w:r w:rsidRPr="00670204">
              <w:t>Centre</w:t>
            </w:r>
          </w:p>
        </w:tc>
        <w:tc>
          <w:tcPr>
            <w:tcW w:w="3095" w:type="dxa"/>
          </w:tcPr>
          <w:p w14:paraId="175482BF" w14:textId="7AE0AF7B" w:rsidR="000756EB" w:rsidRPr="00670204" w:rsidRDefault="004A4D88" w:rsidP="00670204">
            <w:pPr>
              <w:pStyle w:val="TableCopy"/>
            </w:pPr>
            <w:r w:rsidRPr="00670204">
              <w:t>To</w:t>
            </w:r>
            <w:r w:rsidR="00A03629" w:rsidRPr="00670204">
              <w:t xml:space="preserve"> </w:t>
            </w:r>
            <w:r w:rsidRPr="00670204">
              <w:t>continue</w:t>
            </w:r>
            <w:r w:rsidR="00A03629" w:rsidRPr="00670204">
              <w:t xml:space="preserve"> </w:t>
            </w:r>
            <w:r w:rsidRPr="00670204">
              <w:t>to</w:t>
            </w:r>
            <w:r w:rsidR="00A03629" w:rsidRPr="00670204">
              <w:t xml:space="preserve"> </w:t>
            </w:r>
            <w:r w:rsidRPr="00670204">
              <w:t>provide</w:t>
            </w:r>
            <w:r w:rsidR="00A03629" w:rsidRPr="00670204">
              <w:t xml:space="preserve"> </w:t>
            </w:r>
            <w:r w:rsidRPr="00670204">
              <w:t>a</w:t>
            </w:r>
            <w:r w:rsidR="00A03629" w:rsidRPr="00670204">
              <w:t xml:space="preserve"> </w:t>
            </w:r>
            <w:r w:rsidRPr="00670204">
              <w:t>world-class</w:t>
            </w:r>
            <w:r w:rsidR="00A03629" w:rsidRPr="00670204">
              <w:t xml:space="preserve"> </w:t>
            </w:r>
            <w:r w:rsidRPr="00670204">
              <w:t>research</w:t>
            </w:r>
            <w:r w:rsidR="00A03629" w:rsidRPr="00670204">
              <w:t xml:space="preserve"> </w:t>
            </w:r>
            <w:r w:rsidRPr="00670204">
              <w:t>facility</w:t>
            </w:r>
          </w:p>
        </w:tc>
        <w:tc>
          <w:tcPr>
            <w:tcW w:w="1810" w:type="dxa"/>
          </w:tcPr>
          <w:p w14:paraId="2028A418" w14:textId="77777777" w:rsidR="000756EB" w:rsidRPr="00670204" w:rsidRDefault="004A4D88" w:rsidP="00670204">
            <w:pPr>
              <w:pStyle w:val="TableCopy"/>
            </w:pPr>
            <w:r w:rsidRPr="00670204">
              <w:t>Australia</w:t>
            </w:r>
          </w:p>
        </w:tc>
        <w:tc>
          <w:tcPr>
            <w:tcW w:w="1360" w:type="dxa"/>
          </w:tcPr>
          <w:p w14:paraId="522BE3DD" w14:textId="7421061C" w:rsidR="000756EB" w:rsidRPr="00670204" w:rsidRDefault="004A4D88" w:rsidP="00670204">
            <w:pPr>
              <w:pStyle w:val="TableCopy"/>
              <w:jc w:val="right"/>
            </w:pPr>
            <w:r w:rsidRPr="00670204">
              <w:t>75.0</w:t>
            </w:r>
          </w:p>
        </w:tc>
        <w:tc>
          <w:tcPr>
            <w:tcW w:w="1361" w:type="dxa"/>
          </w:tcPr>
          <w:p w14:paraId="78D1897F" w14:textId="058CC6EF" w:rsidR="000756EB" w:rsidRPr="00670204" w:rsidRDefault="004A4D88" w:rsidP="00670204">
            <w:pPr>
              <w:pStyle w:val="TableCopy"/>
              <w:jc w:val="right"/>
            </w:pPr>
            <w:r w:rsidRPr="00670204">
              <w:t>75.0</w:t>
            </w:r>
          </w:p>
        </w:tc>
      </w:tr>
    </w:tbl>
    <w:p w14:paraId="7B0106A9" w14:textId="77777777" w:rsidR="000756EB" w:rsidRDefault="000756EB" w:rsidP="00670204"/>
    <w:p w14:paraId="74BADDA3" w14:textId="217419D9" w:rsidR="000756EB" w:rsidRPr="00670204" w:rsidRDefault="004A4D88" w:rsidP="00670204">
      <w:pPr>
        <w:pStyle w:val="Normalbeforebullets"/>
        <w:rPr>
          <w:b/>
          <w:bCs/>
        </w:rPr>
      </w:pPr>
      <w:r w:rsidRPr="00670204">
        <w:rPr>
          <w:b/>
          <w:bCs/>
        </w:rPr>
        <w:t>Royal</w:t>
      </w:r>
      <w:r w:rsidR="00A03629" w:rsidRPr="00670204">
        <w:rPr>
          <w:b/>
          <w:bCs/>
        </w:rPr>
        <w:t xml:space="preserve"> </w:t>
      </w:r>
      <w:r w:rsidRPr="00670204">
        <w:rPr>
          <w:b/>
          <w:bCs/>
        </w:rPr>
        <w:t>Melbourne</w:t>
      </w:r>
      <w:r w:rsidR="00A03629" w:rsidRPr="00670204">
        <w:rPr>
          <w:b/>
          <w:bCs/>
        </w:rPr>
        <w:t xml:space="preserve"> </w:t>
      </w:r>
      <w:r w:rsidRPr="00670204">
        <w:rPr>
          <w:b/>
          <w:bCs/>
        </w:rPr>
        <w:t>Showgrounds</w:t>
      </w:r>
      <w:r w:rsidR="00A03629" w:rsidRPr="00670204">
        <w:rPr>
          <w:b/>
          <w:bCs/>
        </w:rPr>
        <w:t xml:space="preserve"> </w:t>
      </w:r>
    </w:p>
    <w:p w14:paraId="3FD5B4EB" w14:textId="14CB5296" w:rsidR="000756EB" w:rsidRDefault="004A4D88" w:rsidP="00670204">
      <w:r>
        <w:t>The</w:t>
      </w:r>
      <w:r w:rsidR="00A03629">
        <w:t xml:space="preserve"> </w:t>
      </w:r>
      <w:r>
        <w:t>State</w:t>
      </w:r>
      <w:r w:rsidR="00A03629">
        <w:t xml:space="preserve"> </w:t>
      </w:r>
      <w:proofErr w:type="gramStart"/>
      <w:r>
        <w:t>entered</w:t>
      </w:r>
      <w:r w:rsidR="00A03629">
        <w:t xml:space="preserve"> </w:t>
      </w:r>
      <w:r>
        <w:t>into</w:t>
      </w:r>
      <w:proofErr w:type="gramEnd"/>
      <w:r w:rsidR="00A03629">
        <w:t xml:space="preserve"> </w:t>
      </w:r>
      <w:r>
        <w:t>a</w:t>
      </w:r>
      <w:r w:rsidR="00A03629">
        <w:t xml:space="preserve"> </w:t>
      </w:r>
      <w:r>
        <w:t>joint</w:t>
      </w:r>
      <w:r w:rsidR="00A03629">
        <w:t xml:space="preserve"> </w:t>
      </w:r>
      <w:r>
        <w:t>operation</w:t>
      </w:r>
      <w:r w:rsidR="00A03629">
        <w:t xml:space="preserve"> </w:t>
      </w:r>
      <w:r>
        <w:t>with</w:t>
      </w:r>
      <w:r w:rsidR="00A03629">
        <w:t xml:space="preserve"> </w:t>
      </w:r>
      <w:r>
        <w:t>the</w:t>
      </w:r>
      <w:r w:rsidR="00A03629">
        <w:rPr>
          <w:rFonts w:ascii="Cambria" w:hAnsi="Cambria" w:cs="Cambria"/>
        </w:rPr>
        <w:t xml:space="preserve"> </w:t>
      </w:r>
      <w:r>
        <w:t>Royal</w:t>
      </w:r>
      <w:r w:rsidR="00A03629">
        <w:t xml:space="preserve"> </w:t>
      </w:r>
      <w:r>
        <w:t>Agricultural</w:t>
      </w:r>
      <w:r w:rsidR="00A03629">
        <w:t xml:space="preserve"> </w:t>
      </w:r>
      <w:r>
        <w:t>Society</w:t>
      </w:r>
      <w:r w:rsidR="00A03629">
        <w:t xml:space="preserve"> </w:t>
      </w:r>
      <w:r>
        <w:t>of</w:t>
      </w:r>
      <w:r w:rsidR="00A03629">
        <w:t xml:space="preserve"> </w:t>
      </w:r>
      <w:r>
        <w:t>Victoria</w:t>
      </w:r>
      <w:r w:rsidR="00A03629">
        <w:t xml:space="preserve"> </w:t>
      </w:r>
      <w:r>
        <w:t>Limited</w:t>
      </w:r>
      <w:r w:rsidR="00A03629">
        <w:t xml:space="preserve"> </w:t>
      </w:r>
      <w:r>
        <w:t>(RASV)</w:t>
      </w:r>
      <w:r w:rsidR="00A03629">
        <w:rPr>
          <w:rFonts w:ascii="Cambria" w:hAnsi="Cambria" w:cs="Cambria"/>
        </w:rPr>
        <w:t xml:space="preserve"> </w:t>
      </w:r>
      <w:r>
        <w:t>in</w:t>
      </w:r>
      <w:r w:rsidR="00A03629">
        <w:t xml:space="preserve"> </w:t>
      </w:r>
      <w:r>
        <w:t>October</w:t>
      </w:r>
      <w:r w:rsidR="00A03629">
        <w:t xml:space="preserve"> </w:t>
      </w:r>
      <w:r>
        <w:t>2003</w:t>
      </w:r>
      <w:r w:rsidR="00A03629">
        <w:t xml:space="preserve"> </w:t>
      </w:r>
      <w:r>
        <w:t>to</w:t>
      </w:r>
      <w:r w:rsidR="00A03629">
        <w:t xml:space="preserve"> </w:t>
      </w:r>
      <w:r>
        <w:t>redevelop</w:t>
      </w:r>
      <w:r w:rsidR="00A03629">
        <w:t xml:space="preserve"> </w:t>
      </w:r>
      <w:r>
        <w:t>the</w:t>
      </w:r>
      <w:r w:rsidR="00A03629">
        <w:t xml:space="preserve"> </w:t>
      </w:r>
      <w:r>
        <w:t>Royal</w:t>
      </w:r>
      <w:r w:rsidR="00A03629">
        <w:t xml:space="preserve"> </w:t>
      </w:r>
      <w:r>
        <w:t>Melbourne</w:t>
      </w:r>
      <w:r w:rsidR="00A03629">
        <w:t xml:space="preserve"> </w:t>
      </w:r>
      <w:r>
        <w:t>Showgrounds.</w:t>
      </w:r>
    </w:p>
    <w:p w14:paraId="048A7B35" w14:textId="0306A4CC" w:rsidR="000756EB" w:rsidRDefault="004A4D88" w:rsidP="00670204">
      <w:r>
        <w:t>Two</w:t>
      </w:r>
      <w:r w:rsidR="00A03629">
        <w:t xml:space="preserve"> </w:t>
      </w:r>
      <w:r>
        <w:t>joint</w:t>
      </w:r>
      <w:r w:rsidR="00A03629">
        <w:t xml:space="preserve"> </w:t>
      </w:r>
      <w:r>
        <w:t>operations</w:t>
      </w:r>
      <w:r w:rsidR="00A03629">
        <w:t xml:space="preserve"> </w:t>
      </w:r>
      <w:r>
        <w:t>structures</w:t>
      </w:r>
      <w:r w:rsidR="00A03629">
        <w:t xml:space="preserve"> </w:t>
      </w:r>
      <w:r>
        <w:t>were</w:t>
      </w:r>
      <w:r w:rsidR="00A03629">
        <w:t xml:space="preserve"> </w:t>
      </w:r>
      <w:r>
        <w:t>established,</w:t>
      </w:r>
      <w:r w:rsidR="00A03629">
        <w:t xml:space="preserve"> </w:t>
      </w:r>
      <w:r>
        <w:t>an</w:t>
      </w:r>
      <w:r w:rsidR="00A03629">
        <w:t xml:space="preserve"> </w:t>
      </w:r>
      <w:r>
        <w:t>unincorporated</w:t>
      </w:r>
      <w:r w:rsidR="00A03629">
        <w:t xml:space="preserve"> </w:t>
      </w:r>
      <w:r>
        <w:t>joint</w:t>
      </w:r>
      <w:r w:rsidR="00A03629">
        <w:t xml:space="preserve"> </w:t>
      </w:r>
      <w:r>
        <w:t>operation</w:t>
      </w:r>
      <w:r w:rsidR="00A03629">
        <w:t xml:space="preserve"> </w:t>
      </w:r>
      <w:r>
        <w:t>to</w:t>
      </w:r>
      <w:r w:rsidR="00A03629">
        <w:t xml:space="preserve"> </w:t>
      </w:r>
      <w:r>
        <w:t>carry</w:t>
      </w:r>
      <w:r w:rsidR="00A03629">
        <w:t xml:space="preserve"> </w:t>
      </w:r>
      <w:r>
        <w:t>out</w:t>
      </w:r>
      <w:r w:rsidR="00A03629">
        <w:t xml:space="preserve"> </w:t>
      </w:r>
      <w:r>
        <w:t>and</w:t>
      </w:r>
      <w:r w:rsidR="00A03629">
        <w:t xml:space="preserve"> </w:t>
      </w:r>
      <w:r>
        <w:t>deliver</w:t>
      </w:r>
      <w:r w:rsidR="00A03629">
        <w:t xml:space="preserve"> </w:t>
      </w:r>
      <w:r>
        <w:t>the</w:t>
      </w:r>
      <w:r w:rsidR="00A03629">
        <w:t xml:space="preserve"> </w:t>
      </w:r>
      <w:r>
        <w:t>joint</w:t>
      </w:r>
      <w:r w:rsidR="00A03629">
        <w:t xml:space="preserve"> </w:t>
      </w:r>
      <w:r>
        <w:t>operations</w:t>
      </w:r>
      <w:r w:rsidR="00A03629">
        <w:t xml:space="preserve"> </w:t>
      </w:r>
      <w:r>
        <w:t>project,</w:t>
      </w:r>
      <w:r w:rsidR="00A03629">
        <w:t xml:space="preserve"> </w:t>
      </w:r>
      <w:r>
        <w:t>and</w:t>
      </w:r>
      <w:r w:rsidR="00A03629">
        <w:t xml:space="preserve"> </w:t>
      </w:r>
      <w:r>
        <w:t>an</w:t>
      </w:r>
      <w:r w:rsidR="00A03629">
        <w:t xml:space="preserve"> </w:t>
      </w:r>
      <w:r>
        <w:t>incorporated</w:t>
      </w:r>
      <w:r w:rsidR="00A03629">
        <w:t xml:space="preserve"> </w:t>
      </w:r>
      <w:r>
        <w:t>joint</w:t>
      </w:r>
      <w:r w:rsidR="00A03629">
        <w:t xml:space="preserve"> </w:t>
      </w:r>
      <w:r>
        <w:t>operation</w:t>
      </w:r>
      <w:r w:rsidR="00A03629">
        <w:t xml:space="preserve"> </w:t>
      </w:r>
      <w:r>
        <w:t>entity,</w:t>
      </w:r>
      <w:r w:rsidR="00A03629">
        <w:t xml:space="preserve"> </w:t>
      </w:r>
      <w:r>
        <w:t>Showgrounds</w:t>
      </w:r>
      <w:r w:rsidR="00A03629">
        <w:t xml:space="preserve"> </w:t>
      </w:r>
      <w:r>
        <w:t>Nominees</w:t>
      </w:r>
      <w:r w:rsidR="00A03629">
        <w:t xml:space="preserve"> </w:t>
      </w:r>
      <w:r>
        <w:t>Pty</w:t>
      </w:r>
      <w:r w:rsidR="00A03629">
        <w:t xml:space="preserve"> </w:t>
      </w:r>
      <w:r>
        <w:t>Ltd,</w:t>
      </w:r>
      <w:r w:rsidR="00A03629">
        <w:t xml:space="preserve"> </w:t>
      </w:r>
      <w:r>
        <w:t>to</w:t>
      </w:r>
      <w:r w:rsidR="00A03629">
        <w:t xml:space="preserve"> </w:t>
      </w:r>
      <w:r>
        <w:t>hold</w:t>
      </w:r>
      <w:r w:rsidR="00A03629">
        <w:t xml:space="preserve"> </w:t>
      </w:r>
      <w:r>
        <w:t>the</w:t>
      </w:r>
      <w:r w:rsidR="00A03629">
        <w:t xml:space="preserve"> </w:t>
      </w:r>
      <w:r>
        <w:t>assets</w:t>
      </w:r>
      <w:r w:rsidR="00A03629">
        <w:t xml:space="preserve"> </w:t>
      </w:r>
      <w:r>
        <w:t>of</w:t>
      </w:r>
      <w:r w:rsidR="00A03629">
        <w:t xml:space="preserve"> </w:t>
      </w:r>
      <w:r>
        <w:t>the</w:t>
      </w:r>
      <w:r w:rsidR="00A03629">
        <w:t xml:space="preserve"> </w:t>
      </w:r>
      <w:r>
        <w:t>joint</w:t>
      </w:r>
      <w:r w:rsidR="00A03629">
        <w:t xml:space="preserve"> </w:t>
      </w:r>
      <w:r>
        <w:t>operation</w:t>
      </w:r>
      <w:r w:rsidR="00A03629">
        <w:t xml:space="preserve"> </w:t>
      </w:r>
      <w:r>
        <w:t>and</w:t>
      </w:r>
      <w:r w:rsidR="00A03629">
        <w:t xml:space="preserve"> </w:t>
      </w:r>
      <w:r>
        <w:t>to</w:t>
      </w:r>
      <w:r w:rsidR="00A03629">
        <w:t xml:space="preserve"> </w:t>
      </w:r>
      <w:r>
        <w:t>enter</w:t>
      </w:r>
      <w:r w:rsidR="00A03629">
        <w:t xml:space="preserve"> </w:t>
      </w:r>
      <w:r>
        <w:t>into</w:t>
      </w:r>
      <w:r w:rsidR="00A03629">
        <w:t xml:space="preserve"> </w:t>
      </w:r>
      <w:r>
        <w:t>agreements</w:t>
      </w:r>
      <w:r w:rsidR="00A03629">
        <w:t xml:space="preserve"> </w:t>
      </w:r>
      <w:r>
        <w:t>on</w:t>
      </w:r>
      <w:r w:rsidR="00A03629">
        <w:t xml:space="preserve"> </w:t>
      </w:r>
      <w:r>
        <w:t>behalf</w:t>
      </w:r>
      <w:r w:rsidR="00A03629">
        <w:t xml:space="preserve"> </w:t>
      </w:r>
      <w:r>
        <w:t>of</w:t>
      </w:r>
      <w:r w:rsidR="00A03629">
        <w:rPr>
          <w:rFonts w:ascii="Cambria" w:hAnsi="Cambria" w:cs="Cambria"/>
        </w:rPr>
        <w:t xml:space="preserve"> </w:t>
      </w:r>
      <w:r>
        <w:t>the</w:t>
      </w:r>
      <w:r w:rsidR="00A03629">
        <w:t xml:space="preserve"> </w:t>
      </w:r>
      <w:r>
        <w:t>State</w:t>
      </w:r>
      <w:r w:rsidR="00A03629">
        <w:t xml:space="preserve"> </w:t>
      </w:r>
      <w:r>
        <w:t>and</w:t>
      </w:r>
      <w:r w:rsidR="00A03629">
        <w:t xml:space="preserve"> </w:t>
      </w:r>
      <w:r>
        <w:t>RASV.</w:t>
      </w:r>
      <w:r w:rsidR="00A03629">
        <w:t xml:space="preserve"> </w:t>
      </w:r>
    </w:p>
    <w:p w14:paraId="4FA55FF1" w14:textId="4FFCBCAB" w:rsidR="000756EB" w:rsidRDefault="004A4D88" w:rsidP="00670204">
      <w:r>
        <w:lastRenderedPageBreak/>
        <w:t>The</w:t>
      </w:r>
      <w:r w:rsidR="00A03629">
        <w:t xml:space="preserve"> </w:t>
      </w:r>
      <w:r>
        <w:t>State’s</w:t>
      </w:r>
      <w:r w:rsidR="00A03629">
        <w:t xml:space="preserve"> </w:t>
      </w:r>
      <w:r>
        <w:t>contribution</w:t>
      </w:r>
      <w:r w:rsidR="00A03629">
        <w:t xml:space="preserve"> </w:t>
      </w:r>
      <w:r>
        <w:t>to</w:t>
      </w:r>
      <w:r w:rsidR="00A03629">
        <w:t xml:space="preserve"> </w:t>
      </w:r>
      <w:r>
        <w:t>the</w:t>
      </w:r>
      <w:r w:rsidR="00A03629">
        <w:t xml:space="preserve"> </w:t>
      </w:r>
      <w:r>
        <w:t>joint</w:t>
      </w:r>
      <w:r w:rsidR="00A03629">
        <w:t xml:space="preserve"> </w:t>
      </w:r>
      <w:r>
        <w:t>operation</w:t>
      </w:r>
      <w:r w:rsidR="00A03629">
        <w:t xml:space="preserve"> </w:t>
      </w:r>
      <w:r>
        <w:t>is</w:t>
      </w:r>
      <w:r w:rsidR="00A03629">
        <w:t xml:space="preserve"> </w:t>
      </w:r>
      <w:r>
        <w:t>$100.7</w:t>
      </w:r>
      <w:r w:rsidR="00A03629">
        <w:t xml:space="preserve"> </w:t>
      </w:r>
      <w:r>
        <w:t>million</w:t>
      </w:r>
      <w:r w:rsidR="00A03629">
        <w:t xml:space="preserve"> </w:t>
      </w:r>
      <w:r>
        <w:t>(expressed</w:t>
      </w:r>
      <w:r w:rsidR="00A03629">
        <w:t xml:space="preserve"> </w:t>
      </w:r>
      <w:r>
        <w:t>in</w:t>
      </w:r>
      <w:r w:rsidR="00A03629">
        <w:t xml:space="preserve"> </w:t>
      </w:r>
      <w:r>
        <w:t>2004</w:t>
      </w:r>
      <w:r w:rsidR="00A03629">
        <w:t xml:space="preserve"> </w:t>
      </w:r>
      <w:r>
        <w:t>dollars)</w:t>
      </w:r>
      <w:r w:rsidR="00A03629">
        <w:t xml:space="preserve"> </w:t>
      </w:r>
      <w:r>
        <w:t>while</w:t>
      </w:r>
      <w:r w:rsidR="00A03629">
        <w:t xml:space="preserve"> </w:t>
      </w:r>
      <w:r>
        <w:t>RASV</w:t>
      </w:r>
      <w:r w:rsidR="00A03629">
        <w:t xml:space="preserve"> </w:t>
      </w:r>
      <w:r>
        <w:t>has</w:t>
      </w:r>
      <w:r w:rsidR="00A03629">
        <w:t xml:space="preserve"> </w:t>
      </w:r>
      <w:r>
        <w:t>contributed</w:t>
      </w:r>
      <w:r w:rsidR="00A03629">
        <w:t xml:space="preserve"> </w:t>
      </w:r>
      <w:r>
        <w:t>its</w:t>
      </w:r>
      <w:r w:rsidR="00A03629">
        <w:t xml:space="preserve"> </w:t>
      </w:r>
      <w:r>
        <w:t>freehold</w:t>
      </w:r>
      <w:r w:rsidR="00A03629">
        <w:t xml:space="preserve"> </w:t>
      </w:r>
      <w:r>
        <w:t>title</w:t>
      </w:r>
      <w:r w:rsidR="00A03629">
        <w:t xml:space="preserve"> </w:t>
      </w:r>
      <w:r>
        <w:t>to</w:t>
      </w:r>
      <w:r w:rsidR="00A03629">
        <w:t xml:space="preserve"> </w:t>
      </w:r>
      <w:r>
        <w:t>the</w:t>
      </w:r>
      <w:r w:rsidR="00A03629">
        <w:t xml:space="preserve"> </w:t>
      </w:r>
      <w:r>
        <w:t>showgrounds</w:t>
      </w:r>
      <w:r w:rsidR="00A03629">
        <w:t xml:space="preserve"> </w:t>
      </w:r>
      <w:r>
        <w:t>land</w:t>
      </w:r>
      <w:r w:rsidR="00A03629">
        <w:t xml:space="preserve"> </w:t>
      </w:r>
      <w:r>
        <w:t>valued</w:t>
      </w:r>
      <w:r w:rsidR="00A03629">
        <w:t xml:space="preserve"> </w:t>
      </w:r>
      <w:r>
        <w:t>at</w:t>
      </w:r>
      <w:r w:rsidR="00A03629">
        <w:t xml:space="preserve"> </w:t>
      </w:r>
      <w:r>
        <w:t>$51</w:t>
      </w:r>
      <w:r w:rsidR="00A03629">
        <w:t xml:space="preserve"> </w:t>
      </w:r>
      <w:r>
        <w:t>million</w:t>
      </w:r>
      <w:r w:rsidR="00A03629">
        <w:t xml:space="preserve"> </w:t>
      </w:r>
      <w:r>
        <w:t>in</w:t>
      </w:r>
      <w:r w:rsidR="00A03629">
        <w:t xml:space="preserve"> </w:t>
      </w:r>
      <w:r>
        <w:t>June</w:t>
      </w:r>
      <w:r w:rsidR="00A03629">
        <w:t xml:space="preserve"> </w:t>
      </w:r>
      <w:r>
        <w:t>2005.</w:t>
      </w:r>
      <w:r w:rsidR="00A03629">
        <w:t xml:space="preserve"> </w:t>
      </w:r>
      <w:r>
        <w:t>In</w:t>
      </w:r>
      <w:r w:rsidR="00A03629">
        <w:t xml:space="preserve"> </w:t>
      </w:r>
      <w:r>
        <w:t>June</w:t>
      </w:r>
      <w:r w:rsidR="00A03629">
        <w:t xml:space="preserve"> </w:t>
      </w:r>
      <w:r>
        <w:t>2006,</w:t>
      </w:r>
      <w:r w:rsidR="00A03629">
        <w:t xml:space="preserve"> </w:t>
      </w:r>
      <w:r>
        <w:t>Showgrounds</w:t>
      </w:r>
      <w:r w:rsidR="00A03629">
        <w:t xml:space="preserve"> </w:t>
      </w:r>
      <w:r>
        <w:t>Nominees</w:t>
      </w:r>
      <w:r w:rsidR="00A03629">
        <w:t xml:space="preserve"> </w:t>
      </w:r>
      <w:r>
        <w:t>Pty</w:t>
      </w:r>
      <w:r w:rsidR="00A03629">
        <w:t xml:space="preserve"> </w:t>
      </w:r>
      <w:r>
        <w:t>Ltd</w:t>
      </w:r>
      <w:r w:rsidR="00A03629">
        <w:t xml:space="preserve"> </w:t>
      </w:r>
      <w:r>
        <w:t>entered</w:t>
      </w:r>
      <w:r w:rsidR="00A03629">
        <w:t xml:space="preserve"> </w:t>
      </w:r>
      <w:r>
        <w:t>into</w:t>
      </w:r>
      <w:r w:rsidR="00A03629">
        <w:t xml:space="preserve"> </w:t>
      </w:r>
      <w:r>
        <w:t>a</w:t>
      </w:r>
      <w:r w:rsidR="00A03629">
        <w:t xml:space="preserve"> </w:t>
      </w:r>
      <w:r>
        <w:t>Development</w:t>
      </w:r>
      <w:r w:rsidR="00A03629">
        <w:t xml:space="preserve"> </w:t>
      </w:r>
      <w:r>
        <w:t>and</w:t>
      </w:r>
      <w:r w:rsidR="00A03629">
        <w:t xml:space="preserve"> </w:t>
      </w:r>
      <w:r>
        <w:t>Operations</w:t>
      </w:r>
      <w:r w:rsidR="00A03629">
        <w:t xml:space="preserve"> </w:t>
      </w:r>
      <w:r>
        <w:t>Agreement</w:t>
      </w:r>
      <w:r w:rsidR="00A03629">
        <w:t xml:space="preserve"> </w:t>
      </w:r>
      <w:r>
        <w:t>(on</w:t>
      </w:r>
      <w:r w:rsidR="00A03629">
        <w:t xml:space="preserve"> </w:t>
      </w:r>
      <w:r>
        <w:t>behalf</w:t>
      </w:r>
      <w:r w:rsidR="00A03629">
        <w:t xml:space="preserve"> </w:t>
      </w:r>
      <w:r>
        <w:t>of</w:t>
      </w:r>
      <w:r w:rsidR="00A03629">
        <w:t xml:space="preserve"> </w:t>
      </w:r>
      <w:r>
        <w:t>the</w:t>
      </w:r>
      <w:r w:rsidR="00A03629">
        <w:t xml:space="preserve"> </w:t>
      </w:r>
      <w:r>
        <w:t>State</w:t>
      </w:r>
      <w:r w:rsidR="00A03629">
        <w:t xml:space="preserve"> </w:t>
      </w:r>
      <w:r>
        <w:t>and</w:t>
      </w:r>
      <w:r w:rsidR="00A03629">
        <w:t xml:space="preserve"> </w:t>
      </w:r>
      <w:r>
        <w:t>RASV)</w:t>
      </w:r>
      <w:r w:rsidR="00A03629">
        <w:t xml:space="preserve"> </w:t>
      </w:r>
      <w:r>
        <w:t>with</w:t>
      </w:r>
      <w:r w:rsidR="00A03629">
        <w:t xml:space="preserve"> </w:t>
      </w:r>
      <w:r>
        <w:t>the</w:t>
      </w:r>
      <w:r w:rsidR="00A03629">
        <w:t xml:space="preserve"> </w:t>
      </w:r>
      <w:r>
        <w:t>concessionaire,</w:t>
      </w:r>
      <w:r w:rsidR="00A03629">
        <w:t xml:space="preserve"> </w:t>
      </w:r>
      <w:r>
        <w:t>PPP</w:t>
      </w:r>
      <w:r w:rsidR="00A03629">
        <w:t xml:space="preserve"> </w:t>
      </w:r>
      <w:r>
        <w:t>Solutions</w:t>
      </w:r>
      <w:r w:rsidR="00A03629">
        <w:t xml:space="preserve"> </w:t>
      </w:r>
      <w:r>
        <w:t>(Showgrounds)</w:t>
      </w:r>
      <w:r w:rsidR="00A03629">
        <w:t xml:space="preserve"> </w:t>
      </w:r>
      <w:r>
        <w:t>Nominee</w:t>
      </w:r>
      <w:r w:rsidR="00A03629">
        <w:t xml:space="preserve"> </w:t>
      </w:r>
      <w:r>
        <w:t>Pty</w:t>
      </w:r>
      <w:r w:rsidR="00A03629">
        <w:t xml:space="preserve"> </w:t>
      </w:r>
      <w:r>
        <w:t>Ltd,</w:t>
      </w:r>
      <w:r w:rsidR="00A03629">
        <w:t xml:space="preserve"> </w:t>
      </w:r>
      <w:r>
        <w:t>to</w:t>
      </w:r>
      <w:r w:rsidR="00A03629">
        <w:t xml:space="preserve"> </w:t>
      </w:r>
      <w:r>
        <w:t>design,</w:t>
      </w:r>
      <w:r w:rsidR="00A03629">
        <w:t xml:space="preserve"> </w:t>
      </w:r>
      <w:r>
        <w:t>construct,</w:t>
      </w:r>
      <w:r w:rsidR="00A03629">
        <w:t xml:space="preserve"> </w:t>
      </w:r>
      <w:r>
        <w:t>finance</w:t>
      </w:r>
      <w:r w:rsidR="00A03629">
        <w:t xml:space="preserve"> </w:t>
      </w:r>
      <w:r>
        <w:t>and</w:t>
      </w:r>
      <w:r w:rsidR="00A03629">
        <w:t xml:space="preserve"> </w:t>
      </w:r>
      <w:r>
        <w:t>maintain</w:t>
      </w:r>
      <w:r w:rsidR="00A03629">
        <w:t xml:space="preserve"> </w:t>
      </w:r>
      <w:r>
        <w:t>the</w:t>
      </w:r>
      <w:r w:rsidR="00A03629">
        <w:t xml:space="preserve"> </w:t>
      </w:r>
      <w:r>
        <w:t>new</w:t>
      </w:r>
      <w:r w:rsidR="00A03629">
        <w:t xml:space="preserve"> </w:t>
      </w:r>
      <w:r>
        <w:t>facilities</w:t>
      </w:r>
      <w:r w:rsidR="00A03629">
        <w:t xml:space="preserve"> </w:t>
      </w:r>
      <w:r>
        <w:t>at</w:t>
      </w:r>
      <w:r w:rsidR="00A03629">
        <w:t xml:space="preserve"> </w:t>
      </w:r>
      <w:r>
        <w:t>the</w:t>
      </w:r>
      <w:r w:rsidR="00A03629">
        <w:t xml:space="preserve"> </w:t>
      </w:r>
      <w:r>
        <w:t>showgrounds.</w:t>
      </w:r>
      <w:r w:rsidR="00A03629">
        <w:t xml:space="preserve"> </w:t>
      </w:r>
    </w:p>
    <w:p w14:paraId="165E8987" w14:textId="2825FE02" w:rsidR="000756EB" w:rsidRPr="00670204" w:rsidRDefault="004A4D88" w:rsidP="00670204">
      <w:r>
        <w:t>The</w:t>
      </w:r>
      <w:r w:rsidR="00A03629">
        <w:t xml:space="preserve"> </w:t>
      </w:r>
      <w:r>
        <w:t>project</w:t>
      </w:r>
      <w:r w:rsidR="00A03629">
        <w:t xml:space="preserve"> </w:t>
      </w:r>
      <w:r>
        <w:t>operation</w:t>
      </w:r>
      <w:r w:rsidR="00A03629">
        <w:t xml:space="preserve"> </w:t>
      </w:r>
      <w:r>
        <w:t>term</w:t>
      </w:r>
      <w:r w:rsidR="00A03629">
        <w:t xml:space="preserve"> </w:t>
      </w:r>
      <w:r>
        <w:t>is</w:t>
      </w:r>
      <w:r w:rsidR="00A03629">
        <w:t xml:space="preserve"> </w:t>
      </w:r>
      <w:r>
        <w:t>25</w:t>
      </w:r>
      <w:r w:rsidR="00A03629">
        <w:t xml:space="preserve"> </w:t>
      </w:r>
      <w:r>
        <w:t>years</w:t>
      </w:r>
      <w:r w:rsidR="00A03629">
        <w:t xml:space="preserve"> </w:t>
      </w:r>
      <w:r>
        <w:t>from</w:t>
      </w:r>
      <w:r w:rsidR="00A03629">
        <w:t xml:space="preserve"> </w:t>
      </w:r>
      <w:r>
        <w:t>the</w:t>
      </w:r>
      <w:r w:rsidR="00A03629">
        <w:t xml:space="preserve"> </w:t>
      </w:r>
      <w:r>
        <w:t>date</w:t>
      </w:r>
      <w:r w:rsidR="00A03629">
        <w:t xml:space="preserve"> </w:t>
      </w:r>
      <w:r>
        <w:t>of</w:t>
      </w:r>
      <w:r w:rsidR="00A03629">
        <w:t xml:space="preserve"> </w:t>
      </w:r>
      <w:r>
        <w:t>commercial</w:t>
      </w:r>
      <w:r w:rsidR="00A03629">
        <w:t xml:space="preserve"> </w:t>
      </w:r>
      <w:r>
        <w:t>acceptance</w:t>
      </w:r>
      <w:r w:rsidR="00A03629">
        <w:t xml:space="preserve"> </w:t>
      </w:r>
      <w:r>
        <w:t>of</w:t>
      </w:r>
      <w:r w:rsidR="00A03629">
        <w:t xml:space="preserve"> </w:t>
      </w:r>
      <w:r>
        <w:t>completed</w:t>
      </w:r>
      <w:r w:rsidR="00A03629">
        <w:t xml:space="preserve"> </w:t>
      </w:r>
      <w:r>
        <w:t>works</w:t>
      </w:r>
      <w:r w:rsidR="00A03629">
        <w:t xml:space="preserve"> </w:t>
      </w:r>
      <w:r>
        <w:t>which</w:t>
      </w:r>
      <w:r w:rsidR="00A03629">
        <w:t xml:space="preserve"> </w:t>
      </w:r>
      <w:r>
        <w:t>occurred</w:t>
      </w:r>
      <w:r w:rsidR="00A03629">
        <w:t xml:space="preserve"> </w:t>
      </w:r>
      <w:r>
        <w:t>in</w:t>
      </w:r>
      <w:r w:rsidR="00A03629">
        <w:t xml:space="preserve"> </w:t>
      </w:r>
      <w:r>
        <w:t>August</w:t>
      </w:r>
      <w:r w:rsidR="00A03629">
        <w:t xml:space="preserve"> </w:t>
      </w:r>
      <w:r>
        <w:t>2006.</w:t>
      </w:r>
      <w:r w:rsidR="00A03629">
        <w:t xml:space="preserve"> </w:t>
      </w:r>
      <w:r>
        <w:t>The</w:t>
      </w:r>
      <w:r w:rsidR="00A03629">
        <w:t xml:space="preserve"> </w:t>
      </w:r>
      <w:r>
        <w:t>joint</w:t>
      </w:r>
      <w:r w:rsidR="00A03629">
        <w:t xml:space="preserve"> </w:t>
      </w:r>
      <w:r>
        <w:t>operation</w:t>
      </w:r>
      <w:r w:rsidR="00A03629">
        <w:t xml:space="preserve"> </w:t>
      </w:r>
      <w:r>
        <w:t>project</w:t>
      </w:r>
      <w:r w:rsidR="00A03629">
        <w:t xml:space="preserve"> </w:t>
      </w:r>
      <w:r>
        <w:t>is</w:t>
      </w:r>
      <w:r w:rsidR="00A03629">
        <w:t xml:space="preserve"> </w:t>
      </w:r>
      <w:r>
        <w:t>being</w:t>
      </w:r>
      <w:r w:rsidR="00A03629">
        <w:t xml:space="preserve"> </w:t>
      </w:r>
      <w:r>
        <w:t>delivered</w:t>
      </w:r>
      <w:r w:rsidR="00A03629">
        <w:t xml:space="preserve"> </w:t>
      </w:r>
      <w:r>
        <w:t>under</w:t>
      </w:r>
      <w:r w:rsidR="00A03629">
        <w:t xml:space="preserve"> </w:t>
      </w:r>
      <w:r>
        <w:t>the</w:t>
      </w:r>
      <w:r w:rsidR="00A03629">
        <w:t xml:space="preserve"> </w:t>
      </w:r>
      <w:r w:rsidRPr="00670204">
        <w:rPr>
          <w:i/>
          <w:iCs/>
        </w:rPr>
        <w:t>Partnerships</w:t>
      </w:r>
      <w:r w:rsidR="00A03629" w:rsidRPr="00670204">
        <w:rPr>
          <w:i/>
          <w:iCs/>
        </w:rPr>
        <w:t xml:space="preserve"> </w:t>
      </w:r>
      <w:r w:rsidRPr="00670204">
        <w:rPr>
          <w:i/>
          <w:iCs/>
        </w:rPr>
        <w:t>Victoria</w:t>
      </w:r>
      <w:r w:rsidR="00A03629" w:rsidRPr="00670204">
        <w:rPr>
          <w:i/>
          <w:iCs/>
        </w:rPr>
        <w:t xml:space="preserve"> </w:t>
      </w:r>
      <w:r w:rsidRPr="00670204">
        <w:rPr>
          <w:i/>
          <w:iCs/>
        </w:rPr>
        <w:t>Policy</w:t>
      </w:r>
      <w:r w:rsidR="00A03629" w:rsidRPr="00670204">
        <w:rPr>
          <w:i/>
          <w:iCs/>
        </w:rPr>
        <w:t xml:space="preserve"> </w:t>
      </w:r>
      <w:r w:rsidRPr="00670204">
        <w:t>framework.</w:t>
      </w:r>
    </w:p>
    <w:p w14:paraId="43CEC5E0" w14:textId="1F99BC8F" w:rsidR="000756EB" w:rsidRDefault="004A4D88" w:rsidP="00670204">
      <w:r>
        <w:t>In</w:t>
      </w:r>
      <w:r w:rsidR="00A03629">
        <w:t xml:space="preserve"> </w:t>
      </w:r>
      <w:r>
        <w:t>May</w:t>
      </w:r>
      <w:r w:rsidR="00A03629">
        <w:t xml:space="preserve"> </w:t>
      </w:r>
      <w:r>
        <w:t>2020,</w:t>
      </w:r>
      <w:r w:rsidR="00A03629">
        <w:t xml:space="preserve"> </w:t>
      </w:r>
      <w:r>
        <w:t>RASV</w:t>
      </w:r>
      <w:r w:rsidR="00A03629">
        <w:t xml:space="preserve"> </w:t>
      </w:r>
      <w:r>
        <w:t>advised</w:t>
      </w:r>
      <w:r w:rsidR="00A03629">
        <w:t xml:space="preserve"> </w:t>
      </w:r>
      <w:r>
        <w:t>DJSIR</w:t>
      </w:r>
      <w:r w:rsidR="00A03629">
        <w:t xml:space="preserve"> </w:t>
      </w:r>
      <w:r>
        <w:t>that</w:t>
      </w:r>
      <w:r w:rsidR="00A03629">
        <w:t xml:space="preserve"> </w:t>
      </w:r>
      <w:r>
        <w:t>it</w:t>
      </w:r>
      <w:r w:rsidR="00A03629">
        <w:t xml:space="preserve"> </w:t>
      </w:r>
      <w:r>
        <w:t>is</w:t>
      </w:r>
      <w:r w:rsidR="00A03629">
        <w:t xml:space="preserve"> </w:t>
      </w:r>
      <w:r>
        <w:t>unable</w:t>
      </w:r>
      <w:r w:rsidR="00A03629">
        <w:t xml:space="preserve"> </w:t>
      </w:r>
      <w:r>
        <w:t>to</w:t>
      </w:r>
      <w:r w:rsidR="00A03629">
        <w:t xml:space="preserve"> </w:t>
      </w:r>
      <w:r>
        <w:t>meet</w:t>
      </w:r>
      <w:r w:rsidR="00A03629">
        <w:t xml:space="preserve"> </w:t>
      </w:r>
      <w:r>
        <w:t>its</w:t>
      </w:r>
      <w:r w:rsidR="00A03629">
        <w:t xml:space="preserve"> </w:t>
      </w:r>
      <w:r>
        <w:t>share</w:t>
      </w:r>
      <w:r w:rsidR="00A03629">
        <w:t xml:space="preserve"> </w:t>
      </w:r>
      <w:r>
        <w:t>of</w:t>
      </w:r>
      <w:r w:rsidR="00A03629">
        <w:t xml:space="preserve"> </w:t>
      </w:r>
      <w:r>
        <w:t>the</w:t>
      </w:r>
      <w:r w:rsidR="00A03629">
        <w:t xml:space="preserve"> </w:t>
      </w:r>
      <w:r>
        <w:t>quarterly</w:t>
      </w:r>
      <w:r w:rsidR="00A03629">
        <w:t xml:space="preserve"> </w:t>
      </w:r>
      <w:r>
        <w:t>service</w:t>
      </w:r>
      <w:r w:rsidR="00A03629">
        <w:t xml:space="preserve"> </w:t>
      </w:r>
      <w:r>
        <w:t>payments</w:t>
      </w:r>
      <w:r w:rsidR="00A03629">
        <w:t xml:space="preserve"> </w:t>
      </w:r>
      <w:r>
        <w:t>to</w:t>
      </w:r>
      <w:r w:rsidR="00A03629">
        <w:t xml:space="preserve"> </w:t>
      </w:r>
      <w:r>
        <w:t>the</w:t>
      </w:r>
      <w:r w:rsidR="00A03629">
        <w:t xml:space="preserve"> </w:t>
      </w:r>
      <w:r>
        <w:t>Concessionaire.</w:t>
      </w:r>
      <w:r w:rsidR="00A03629">
        <w:t xml:space="preserve"> </w:t>
      </w:r>
      <w:r>
        <w:t>Accordingly,</w:t>
      </w:r>
      <w:r w:rsidR="00A03629">
        <w:t xml:space="preserve"> </w:t>
      </w:r>
      <w:r>
        <w:t>DJSIR</w:t>
      </w:r>
      <w:r w:rsidR="00A03629">
        <w:t xml:space="preserve"> </w:t>
      </w:r>
      <w:r>
        <w:t>has</w:t>
      </w:r>
      <w:r w:rsidR="00A03629">
        <w:t xml:space="preserve"> </w:t>
      </w:r>
      <w:r>
        <w:t>recognised</w:t>
      </w:r>
      <w:r w:rsidR="00A03629">
        <w:t xml:space="preserve"> </w:t>
      </w:r>
      <w:r>
        <w:t>a</w:t>
      </w:r>
      <w:r w:rsidR="00A03629">
        <w:t xml:space="preserve"> </w:t>
      </w:r>
      <w:r>
        <w:t>financial</w:t>
      </w:r>
      <w:r w:rsidR="00A03629">
        <w:t xml:space="preserve"> </w:t>
      </w:r>
      <w:r>
        <w:t>guarantee</w:t>
      </w:r>
      <w:r w:rsidR="00A03629">
        <w:t xml:space="preserve"> </w:t>
      </w:r>
      <w:r>
        <w:t>liability</w:t>
      </w:r>
      <w:r w:rsidR="00A03629">
        <w:t xml:space="preserve"> </w:t>
      </w:r>
      <w:r>
        <w:t>in</w:t>
      </w:r>
      <w:r w:rsidR="00A03629">
        <w:t xml:space="preserve"> </w:t>
      </w:r>
      <w:r>
        <w:t>relation</w:t>
      </w:r>
      <w:r w:rsidR="00A03629">
        <w:t xml:space="preserve"> </w:t>
      </w:r>
      <w:r>
        <w:t>to</w:t>
      </w:r>
      <w:r w:rsidR="00A03629">
        <w:t xml:space="preserve"> </w:t>
      </w:r>
      <w:r>
        <w:t>this</w:t>
      </w:r>
      <w:r w:rsidR="00A03629">
        <w:t xml:space="preserve"> </w:t>
      </w:r>
      <w:r>
        <w:t>obligation</w:t>
      </w:r>
      <w:r w:rsidR="00A03629">
        <w:t xml:space="preserve"> </w:t>
      </w:r>
      <w:r>
        <w:t>as</w:t>
      </w:r>
      <w:r w:rsidR="00A03629">
        <w:t xml:space="preserve"> </w:t>
      </w:r>
      <w:r>
        <w:t>reflected</w:t>
      </w:r>
      <w:r w:rsidR="00A03629">
        <w:t xml:space="preserve"> </w:t>
      </w:r>
      <w:r>
        <w:t>in</w:t>
      </w:r>
      <w:r w:rsidR="00A03629">
        <w:t xml:space="preserve"> </w:t>
      </w:r>
      <w:r>
        <w:t>the</w:t>
      </w:r>
      <w:r w:rsidR="00A03629">
        <w:t xml:space="preserve"> </w:t>
      </w:r>
      <w:r>
        <w:t>prior</w:t>
      </w:r>
      <w:r w:rsidR="00A03629">
        <w:t xml:space="preserve"> </w:t>
      </w:r>
      <w:r>
        <w:t>year.</w:t>
      </w:r>
      <w:r w:rsidR="00A03629">
        <w:t xml:space="preserve"> </w:t>
      </w:r>
      <w:r>
        <w:t>This</w:t>
      </w:r>
      <w:r w:rsidR="00A03629">
        <w:rPr>
          <w:rFonts w:ascii="Cambria" w:hAnsi="Cambria" w:cs="Cambria"/>
        </w:rPr>
        <w:t xml:space="preserve"> </w:t>
      </w:r>
      <w:r>
        <w:t>liability</w:t>
      </w:r>
      <w:r w:rsidR="00A03629">
        <w:t xml:space="preserve"> </w:t>
      </w:r>
      <w:r>
        <w:t>is</w:t>
      </w:r>
      <w:r w:rsidR="00A03629">
        <w:t xml:space="preserve"> </w:t>
      </w:r>
      <w:r>
        <w:t>disclosed</w:t>
      </w:r>
      <w:r w:rsidR="00A03629">
        <w:t xml:space="preserve"> </w:t>
      </w:r>
      <w:r>
        <w:t>in</w:t>
      </w:r>
      <w:r w:rsidR="00A03629">
        <w:t xml:space="preserve"> </w:t>
      </w:r>
      <w:r>
        <w:t>Note</w:t>
      </w:r>
      <w:r w:rsidR="00A03629">
        <w:t xml:space="preserve"> </w:t>
      </w:r>
      <w:r>
        <w:t>6.2.</w:t>
      </w:r>
      <w:r w:rsidR="00A03629">
        <w:t xml:space="preserve"> </w:t>
      </w:r>
      <w:r>
        <w:t>Since</w:t>
      </w:r>
      <w:r w:rsidR="00A03629">
        <w:t xml:space="preserve"> </w:t>
      </w:r>
      <w:r>
        <w:t>June</w:t>
      </w:r>
      <w:r w:rsidR="00A03629">
        <w:t xml:space="preserve"> </w:t>
      </w:r>
      <w:r>
        <w:t>2020,</w:t>
      </w:r>
      <w:r w:rsidR="00A03629">
        <w:t xml:space="preserve"> </w:t>
      </w:r>
      <w:r>
        <w:t>DJSIR</w:t>
      </w:r>
      <w:r w:rsidR="00A03629">
        <w:t xml:space="preserve"> </w:t>
      </w:r>
      <w:r>
        <w:t>has</w:t>
      </w:r>
      <w:r w:rsidR="00A03629">
        <w:t xml:space="preserve"> </w:t>
      </w:r>
      <w:r>
        <w:t>provided</w:t>
      </w:r>
      <w:r w:rsidR="00A03629">
        <w:t xml:space="preserve"> </w:t>
      </w:r>
      <w:r>
        <w:t>RASV</w:t>
      </w:r>
      <w:r w:rsidR="00A03629">
        <w:t xml:space="preserve"> </w:t>
      </w:r>
      <w:r>
        <w:t>with</w:t>
      </w:r>
      <w:r w:rsidR="00A03629">
        <w:t xml:space="preserve"> </w:t>
      </w:r>
      <w:r>
        <w:t>a</w:t>
      </w:r>
      <w:r w:rsidR="00A03629">
        <w:t xml:space="preserve"> </w:t>
      </w:r>
      <w:r>
        <w:t>loan</w:t>
      </w:r>
      <w:r w:rsidR="00A03629">
        <w:t xml:space="preserve"> </w:t>
      </w:r>
      <w:r>
        <w:t>to</w:t>
      </w:r>
      <w:r w:rsidR="00A03629">
        <w:t xml:space="preserve"> </w:t>
      </w:r>
      <w:r>
        <w:t>fulfil</w:t>
      </w:r>
      <w:r w:rsidR="00A03629">
        <w:t xml:space="preserve"> </w:t>
      </w:r>
      <w:r>
        <w:t>its</w:t>
      </w:r>
      <w:r w:rsidR="00A03629">
        <w:t xml:space="preserve"> </w:t>
      </w:r>
      <w:r>
        <w:t>obligation</w:t>
      </w:r>
      <w:r w:rsidR="00A03629">
        <w:t xml:space="preserve"> </w:t>
      </w:r>
      <w:r>
        <w:t>to</w:t>
      </w:r>
      <w:r w:rsidR="00A03629">
        <w:t xml:space="preserve"> </w:t>
      </w:r>
      <w:r>
        <w:t>pay</w:t>
      </w:r>
      <w:r w:rsidR="00A03629">
        <w:t xml:space="preserve"> </w:t>
      </w:r>
      <w:r>
        <w:t>RASV’s</w:t>
      </w:r>
      <w:r w:rsidR="00A03629">
        <w:t xml:space="preserve"> </w:t>
      </w:r>
      <w:r>
        <w:t>proportion</w:t>
      </w:r>
      <w:r w:rsidR="00A03629">
        <w:t xml:space="preserve"> </w:t>
      </w:r>
      <w:r>
        <w:t>of</w:t>
      </w:r>
      <w:r w:rsidR="00A03629">
        <w:t xml:space="preserve"> </w:t>
      </w:r>
      <w:r>
        <w:t>quarterly</w:t>
      </w:r>
      <w:r w:rsidR="00A03629">
        <w:t xml:space="preserve"> </w:t>
      </w:r>
      <w:r>
        <w:t>service</w:t>
      </w:r>
      <w:r w:rsidR="00A03629">
        <w:t xml:space="preserve"> </w:t>
      </w:r>
      <w:r>
        <w:t>fee</w:t>
      </w:r>
      <w:r w:rsidR="00A03629">
        <w:t xml:space="preserve"> </w:t>
      </w:r>
      <w:r>
        <w:t>payments</w:t>
      </w:r>
      <w:r w:rsidR="00A03629">
        <w:t xml:space="preserve"> </w:t>
      </w:r>
      <w:r>
        <w:t>to</w:t>
      </w:r>
      <w:r w:rsidR="00A03629">
        <w:t xml:space="preserve"> </w:t>
      </w:r>
      <w:r>
        <w:t>the</w:t>
      </w:r>
      <w:r w:rsidR="00A03629">
        <w:t xml:space="preserve"> </w:t>
      </w:r>
      <w:r>
        <w:t>Concessionaire.</w:t>
      </w:r>
    </w:p>
    <w:p w14:paraId="6E8A074D" w14:textId="358BBC39" w:rsidR="000756EB" w:rsidRPr="00670204" w:rsidRDefault="004A4D88" w:rsidP="00670204">
      <w:pPr>
        <w:pStyle w:val="Normalbeforebullets"/>
        <w:rPr>
          <w:b/>
          <w:bCs/>
        </w:rPr>
      </w:pPr>
      <w:r w:rsidRPr="00670204">
        <w:rPr>
          <w:b/>
          <w:bCs/>
        </w:rPr>
        <w:t>Biosciences</w:t>
      </w:r>
      <w:r w:rsidR="00A03629" w:rsidRPr="00670204">
        <w:rPr>
          <w:b/>
          <w:bCs/>
        </w:rPr>
        <w:t xml:space="preserve"> </w:t>
      </w:r>
      <w:r w:rsidRPr="00670204">
        <w:rPr>
          <w:b/>
          <w:bCs/>
        </w:rPr>
        <w:t>Research</w:t>
      </w:r>
      <w:r w:rsidR="00A03629" w:rsidRPr="00670204">
        <w:rPr>
          <w:b/>
          <w:bCs/>
        </w:rPr>
        <w:t xml:space="preserve"> </w:t>
      </w:r>
      <w:r w:rsidRPr="00670204">
        <w:rPr>
          <w:b/>
          <w:bCs/>
        </w:rPr>
        <w:t>Centre</w:t>
      </w:r>
    </w:p>
    <w:p w14:paraId="40470883" w14:textId="56CBE4F9" w:rsidR="000756EB" w:rsidRDefault="004A4D88" w:rsidP="00670204">
      <w:r>
        <w:t>In</w:t>
      </w:r>
      <w:r w:rsidR="00A03629">
        <w:t xml:space="preserve"> </w:t>
      </w:r>
      <w:r>
        <w:t>April</w:t>
      </w:r>
      <w:r w:rsidR="00A03629">
        <w:t xml:space="preserve"> </w:t>
      </w:r>
      <w:r>
        <w:t>2008,</w:t>
      </w:r>
      <w:r w:rsidR="00A03629">
        <w:t xml:space="preserve"> </w:t>
      </w:r>
      <w:r>
        <w:t>the</w:t>
      </w:r>
      <w:r w:rsidR="00A03629">
        <w:t xml:space="preserve"> </w:t>
      </w:r>
      <w:r>
        <w:t>State</w:t>
      </w:r>
      <w:r w:rsidR="00A03629">
        <w:t xml:space="preserve"> </w:t>
      </w:r>
      <w:r>
        <w:t>entered</w:t>
      </w:r>
      <w:r w:rsidR="00A03629">
        <w:t xml:space="preserve"> </w:t>
      </w:r>
      <w:r>
        <w:t>into</w:t>
      </w:r>
      <w:r w:rsidR="00A03629">
        <w:t xml:space="preserve"> </w:t>
      </w:r>
      <w:r>
        <w:t>a</w:t>
      </w:r>
      <w:r w:rsidR="00A03629">
        <w:t xml:space="preserve"> </w:t>
      </w:r>
      <w:r>
        <w:t>joint</w:t>
      </w:r>
      <w:r w:rsidR="00A03629">
        <w:t xml:space="preserve"> </w:t>
      </w:r>
      <w:r>
        <w:t>operation</w:t>
      </w:r>
      <w:r w:rsidR="00A03629">
        <w:t xml:space="preserve"> </w:t>
      </w:r>
      <w:r>
        <w:t>agreement</w:t>
      </w:r>
      <w:r w:rsidR="00A03629">
        <w:t xml:space="preserve"> </w:t>
      </w:r>
      <w:r>
        <w:t>with</w:t>
      </w:r>
      <w:r w:rsidR="00A03629">
        <w:t xml:space="preserve"> </w:t>
      </w:r>
      <w:r>
        <w:t>La</w:t>
      </w:r>
      <w:r w:rsidR="00A03629">
        <w:t xml:space="preserve"> </w:t>
      </w:r>
      <w:r>
        <w:t>Trobe</w:t>
      </w:r>
      <w:r w:rsidR="00A03629">
        <w:t xml:space="preserve"> </w:t>
      </w:r>
      <w:r>
        <w:t>University</w:t>
      </w:r>
      <w:r w:rsidR="00A03629">
        <w:t xml:space="preserve"> </w:t>
      </w:r>
      <w:r>
        <w:t>(La</w:t>
      </w:r>
      <w:r w:rsidR="00A03629">
        <w:t xml:space="preserve"> </w:t>
      </w:r>
      <w:r>
        <w:t>Trobe)</w:t>
      </w:r>
      <w:r w:rsidR="00A03629">
        <w:t xml:space="preserve"> </w:t>
      </w:r>
      <w:r>
        <w:t>to</w:t>
      </w:r>
      <w:r w:rsidR="00A03629">
        <w:t xml:space="preserve"> </w:t>
      </w:r>
      <w:r>
        <w:t>establish</w:t>
      </w:r>
      <w:r w:rsidR="00A03629">
        <w:t xml:space="preserve"> </w:t>
      </w:r>
      <w:r>
        <w:t>a</w:t>
      </w:r>
      <w:r w:rsidR="00A03629">
        <w:t xml:space="preserve"> </w:t>
      </w:r>
      <w:r>
        <w:t>world</w:t>
      </w:r>
      <w:r w:rsidR="00A03629">
        <w:t xml:space="preserve"> </w:t>
      </w:r>
      <w:r>
        <w:t>class</w:t>
      </w:r>
      <w:r w:rsidR="00A03629">
        <w:t xml:space="preserve"> </w:t>
      </w:r>
      <w:r>
        <w:t>research</w:t>
      </w:r>
      <w:r w:rsidR="00A03629">
        <w:t xml:space="preserve"> </w:t>
      </w:r>
      <w:r>
        <w:t>facility</w:t>
      </w:r>
      <w:r w:rsidR="00A03629">
        <w:t xml:space="preserve"> </w:t>
      </w:r>
      <w:r>
        <w:t>on</w:t>
      </w:r>
      <w:r w:rsidR="00A03629">
        <w:t xml:space="preserve"> </w:t>
      </w:r>
      <w:r>
        <w:t>the</w:t>
      </w:r>
      <w:r w:rsidR="00A03629">
        <w:t xml:space="preserve"> </w:t>
      </w:r>
      <w:r>
        <w:t>University’s</w:t>
      </w:r>
      <w:r w:rsidR="00A03629">
        <w:t xml:space="preserve"> </w:t>
      </w:r>
      <w:r>
        <w:t>campus</w:t>
      </w:r>
      <w:r w:rsidR="00A03629">
        <w:t xml:space="preserve"> </w:t>
      </w:r>
      <w:r>
        <w:t>in</w:t>
      </w:r>
      <w:r w:rsidR="00A03629">
        <w:t xml:space="preserve"> </w:t>
      </w:r>
      <w:r>
        <w:t>Bundoora,</w:t>
      </w:r>
      <w:r w:rsidR="00A03629">
        <w:t xml:space="preserve"> </w:t>
      </w:r>
      <w:proofErr w:type="spellStart"/>
      <w:r>
        <w:t>AgriBio</w:t>
      </w:r>
      <w:proofErr w:type="spellEnd"/>
      <w:r>
        <w:t>,</w:t>
      </w:r>
      <w:r w:rsidR="00A03629">
        <w:t xml:space="preserve"> </w:t>
      </w:r>
      <w:r>
        <w:t>Centre</w:t>
      </w:r>
      <w:r w:rsidR="00A03629">
        <w:t xml:space="preserve"> </w:t>
      </w:r>
      <w:r>
        <w:t>for</w:t>
      </w:r>
      <w:r w:rsidR="00A03629">
        <w:rPr>
          <w:rFonts w:ascii="Cambria" w:hAnsi="Cambria" w:cs="Cambria"/>
        </w:rPr>
        <w:t xml:space="preserve"> </w:t>
      </w:r>
      <w:proofErr w:type="spellStart"/>
      <w:r>
        <w:t>AgriBioscience</w:t>
      </w:r>
      <w:proofErr w:type="spellEnd"/>
      <w:r>
        <w:t>.</w:t>
      </w:r>
      <w:r w:rsidR="00A03629">
        <w:t xml:space="preserve"> </w:t>
      </w:r>
      <w:r>
        <w:t>The</w:t>
      </w:r>
      <w:r w:rsidR="00A03629">
        <w:t xml:space="preserve"> </w:t>
      </w:r>
      <w:r>
        <w:t>joint</w:t>
      </w:r>
      <w:r w:rsidR="00A03629">
        <w:t xml:space="preserve"> </w:t>
      </w:r>
      <w:r>
        <w:t>operation</w:t>
      </w:r>
      <w:r w:rsidR="00A03629">
        <w:t xml:space="preserve"> </w:t>
      </w:r>
      <w:r>
        <w:t>project</w:t>
      </w:r>
      <w:r w:rsidR="00A03629">
        <w:t xml:space="preserve"> </w:t>
      </w:r>
      <w:r>
        <w:t>is</w:t>
      </w:r>
      <w:r w:rsidR="00A03629">
        <w:t xml:space="preserve"> </w:t>
      </w:r>
      <w:r>
        <w:t>being</w:t>
      </w:r>
      <w:r w:rsidR="00A03629">
        <w:t xml:space="preserve"> </w:t>
      </w:r>
      <w:r>
        <w:t>delivered</w:t>
      </w:r>
      <w:r w:rsidR="00A03629">
        <w:t xml:space="preserve"> </w:t>
      </w:r>
      <w:r>
        <w:t>under</w:t>
      </w:r>
      <w:r w:rsidR="00A03629">
        <w:t xml:space="preserve"> </w:t>
      </w:r>
      <w:r>
        <w:t>the</w:t>
      </w:r>
      <w:r w:rsidR="00A03629">
        <w:t xml:space="preserve"> </w:t>
      </w:r>
      <w:r>
        <w:t>Partnerships</w:t>
      </w:r>
      <w:r w:rsidR="00A03629">
        <w:t xml:space="preserve"> </w:t>
      </w:r>
      <w:r>
        <w:t>Victoria</w:t>
      </w:r>
      <w:r w:rsidR="00A03629">
        <w:t xml:space="preserve"> </w:t>
      </w:r>
      <w:r>
        <w:t>Policy</w:t>
      </w:r>
      <w:r w:rsidR="00A03629">
        <w:t xml:space="preserve"> </w:t>
      </w:r>
      <w:r>
        <w:t>framework</w:t>
      </w:r>
    </w:p>
    <w:p w14:paraId="001E6708" w14:textId="726CBA4C" w:rsidR="000756EB" w:rsidRDefault="004A4D88" w:rsidP="00670204">
      <w:r>
        <w:t>A</w:t>
      </w:r>
      <w:r w:rsidR="00A03629">
        <w:t xml:space="preserve"> </w:t>
      </w:r>
      <w:r>
        <w:t>similar</w:t>
      </w:r>
      <w:r w:rsidR="00A03629">
        <w:t xml:space="preserve"> </w:t>
      </w:r>
      <w:r>
        <w:t>structure</w:t>
      </w:r>
      <w:r w:rsidR="00A03629">
        <w:t xml:space="preserve"> </w:t>
      </w:r>
      <w:r>
        <w:t>to</w:t>
      </w:r>
      <w:r w:rsidR="00A03629">
        <w:t xml:space="preserve"> </w:t>
      </w:r>
      <w:r>
        <w:t>the</w:t>
      </w:r>
      <w:r w:rsidR="00A03629">
        <w:t xml:space="preserve"> </w:t>
      </w:r>
      <w:r>
        <w:t>Showgrounds</w:t>
      </w:r>
      <w:r w:rsidR="00A03629">
        <w:t xml:space="preserve"> </w:t>
      </w:r>
      <w:r>
        <w:t>Joint</w:t>
      </w:r>
      <w:r w:rsidR="00A03629">
        <w:rPr>
          <w:rFonts w:ascii="Cambria" w:hAnsi="Cambria" w:cs="Cambria"/>
        </w:rPr>
        <w:t xml:space="preserve"> </w:t>
      </w:r>
      <w:r>
        <w:t>operation</w:t>
      </w:r>
      <w:r w:rsidR="00A03629">
        <w:t xml:space="preserve"> </w:t>
      </w:r>
      <w:r>
        <w:t>has</w:t>
      </w:r>
      <w:r w:rsidR="00A03629">
        <w:t xml:space="preserve"> </w:t>
      </w:r>
      <w:r>
        <w:t>been</w:t>
      </w:r>
      <w:r w:rsidR="00A03629">
        <w:t xml:space="preserve"> </w:t>
      </w:r>
      <w:r>
        <w:t>adopted</w:t>
      </w:r>
      <w:r w:rsidR="00A03629">
        <w:t xml:space="preserve"> </w:t>
      </w:r>
      <w:r>
        <w:t>comprising</w:t>
      </w:r>
      <w:r w:rsidR="00A03629">
        <w:t xml:space="preserve"> </w:t>
      </w:r>
      <w:r>
        <w:t>an</w:t>
      </w:r>
      <w:r w:rsidR="00A03629">
        <w:t xml:space="preserve"> </w:t>
      </w:r>
      <w:r>
        <w:t>unincorporated</w:t>
      </w:r>
      <w:r w:rsidR="00A03629">
        <w:t xml:space="preserve"> </w:t>
      </w:r>
      <w:r>
        <w:t>joint</w:t>
      </w:r>
      <w:r w:rsidR="00A03629">
        <w:t xml:space="preserve"> </w:t>
      </w:r>
      <w:r>
        <w:t>operation</w:t>
      </w:r>
      <w:r w:rsidR="00A03629">
        <w:t xml:space="preserve"> </w:t>
      </w:r>
      <w:r>
        <w:t>to</w:t>
      </w:r>
      <w:r w:rsidR="00A03629">
        <w:t xml:space="preserve"> </w:t>
      </w:r>
      <w:r>
        <w:t>carry</w:t>
      </w:r>
      <w:r w:rsidR="00A03629">
        <w:t xml:space="preserve"> </w:t>
      </w:r>
      <w:r>
        <w:t>out</w:t>
      </w:r>
      <w:r w:rsidR="00A03629">
        <w:t xml:space="preserve"> </w:t>
      </w:r>
      <w:r>
        <w:t>and</w:t>
      </w:r>
      <w:r w:rsidR="00A03629">
        <w:t xml:space="preserve"> </w:t>
      </w:r>
      <w:r>
        <w:t>deliver</w:t>
      </w:r>
      <w:r w:rsidR="00A03629">
        <w:t xml:space="preserve"> </w:t>
      </w:r>
      <w:r>
        <w:t>the</w:t>
      </w:r>
      <w:r w:rsidR="00A03629">
        <w:t xml:space="preserve"> </w:t>
      </w:r>
      <w:r>
        <w:t>joint</w:t>
      </w:r>
      <w:r w:rsidR="00A03629">
        <w:t xml:space="preserve"> </w:t>
      </w:r>
      <w:r>
        <w:t>operation</w:t>
      </w:r>
      <w:r w:rsidR="00A03629">
        <w:t xml:space="preserve"> </w:t>
      </w:r>
      <w:r>
        <w:t>project.</w:t>
      </w:r>
      <w:r w:rsidR="00A03629">
        <w:t xml:space="preserve"> </w:t>
      </w:r>
      <w:r>
        <w:t>An</w:t>
      </w:r>
      <w:r w:rsidR="00A03629">
        <w:t xml:space="preserve"> </w:t>
      </w:r>
      <w:r>
        <w:t>incorporated</w:t>
      </w:r>
      <w:r w:rsidR="00A03629">
        <w:t xml:space="preserve"> </w:t>
      </w:r>
      <w:r>
        <w:t>joint</w:t>
      </w:r>
      <w:r w:rsidR="00A03629">
        <w:t xml:space="preserve"> </w:t>
      </w:r>
      <w:r>
        <w:t>operation</w:t>
      </w:r>
      <w:r w:rsidR="00A03629">
        <w:t xml:space="preserve"> </w:t>
      </w:r>
      <w:r>
        <w:t>entity,</w:t>
      </w:r>
      <w:r w:rsidR="00A03629">
        <w:t xml:space="preserve"> </w:t>
      </w:r>
      <w:r>
        <w:t>Biosciences</w:t>
      </w:r>
      <w:r w:rsidR="00A03629">
        <w:t xml:space="preserve"> </w:t>
      </w:r>
      <w:r>
        <w:t>Research</w:t>
      </w:r>
      <w:r w:rsidR="00A03629">
        <w:t xml:space="preserve"> </w:t>
      </w:r>
      <w:r>
        <w:t>Centre</w:t>
      </w:r>
      <w:r w:rsidR="00A03629">
        <w:t xml:space="preserve"> </w:t>
      </w:r>
      <w:r>
        <w:t>Pty</w:t>
      </w:r>
      <w:r w:rsidR="00A03629">
        <w:t xml:space="preserve"> </w:t>
      </w:r>
      <w:r>
        <w:t>Ltd</w:t>
      </w:r>
      <w:r w:rsidR="00A03629">
        <w:t xml:space="preserve"> </w:t>
      </w:r>
      <w:r>
        <w:t>holds</w:t>
      </w:r>
      <w:r w:rsidR="00A03629">
        <w:t xml:space="preserve"> </w:t>
      </w:r>
      <w:r>
        <w:t>the</w:t>
      </w:r>
      <w:r w:rsidR="00A03629">
        <w:t xml:space="preserve"> </w:t>
      </w:r>
      <w:r>
        <w:t>assets</w:t>
      </w:r>
      <w:r w:rsidR="00A03629">
        <w:rPr>
          <w:rFonts w:ascii="Cambria" w:hAnsi="Cambria" w:cs="Cambria"/>
        </w:rPr>
        <w:t xml:space="preserve"> </w:t>
      </w:r>
      <w:r>
        <w:t>of</w:t>
      </w:r>
      <w:r w:rsidR="00A03629">
        <w:t xml:space="preserve"> </w:t>
      </w:r>
      <w:r>
        <w:t>the</w:t>
      </w:r>
      <w:r w:rsidR="00A03629">
        <w:t xml:space="preserve"> </w:t>
      </w:r>
      <w:r>
        <w:t>joint</w:t>
      </w:r>
      <w:r w:rsidR="00A03629">
        <w:t xml:space="preserve"> </w:t>
      </w:r>
      <w:r>
        <w:t>operation</w:t>
      </w:r>
      <w:r w:rsidR="00A03629">
        <w:t xml:space="preserve"> </w:t>
      </w:r>
      <w:r>
        <w:t>and</w:t>
      </w:r>
      <w:r w:rsidR="00A03629">
        <w:t xml:space="preserve"> </w:t>
      </w:r>
      <w:r>
        <w:t>enters</w:t>
      </w:r>
      <w:r w:rsidR="00A03629">
        <w:t xml:space="preserve"> </w:t>
      </w:r>
      <w:r>
        <w:t>into</w:t>
      </w:r>
      <w:r w:rsidR="00A03629">
        <w:t xml:space="preserve"> </w:t>
      </w:r>
      <w:r>
        <w:t>agreements</w:t>
      </w:r>
      <w:r w:rsidR="00A03629">
        <w:t xml:space="preserve"> </w:t>
      </w:r>
      <w:r>
        <w:t>on</w:t>
      </w:r>
      <w:r w:rsidR="00A03629">
        <w:t xml:space="preserve"> </w:t>
      </w:r>
      <w:r>
        <w:t>behalf</w:t>
      </w:r>
      <w:r w:rsidR="00A03629">
        <w:t xml:space="preserve"> </w:t>
      </w:r>
      <w:r>
        <w:t>of</w:t>
      </w:r>
      <w:r w:rsidR="00A03629">
        <w:t xml:space="preserve"> </w:t>
      </w:r>
      <w:r>
        <w:t>the</w:t>
      </w:r>
      <w:r w:rsidR="00A03629">
        <w:t xml:space="preserve"> </w:t>
      </w:r>
      <w:r>
        <w:t>State</w:t>
      </w:r>
      <w:r w:rsidR="00A03629">
        <w:t xml:space="preserve"> </w:t>
      </w:r>
      <w:r>
        <w:t>and</w:t>
      </w:r>
      <w:r w:rsidR="00A03629">
        <w:t xml:space="preserve"> </w:t>
      </w:r>
      <w:r>
        <w:t>La</w:t>
      </w:r>
      <w:r w:rsidR="00A03629">
        <w:rPr>
          <w:rFonts w:ascii="Cambria" w:hAnsi="Cambria" w:cs="Cambria"/>
        </w:rPr>
        <w:t xml:space="preserve"> </w:t>
      </w:r>
      <w:r>
        <w:t>Trobe.</w:t>
      </w:r>
      <w:r w:rsidR="00A03629">
        <w:t xml:space="preserve"> </w:t>
      </w:r>
      <w:r>
        <w:t>The</w:t>
      </w:r>
      <w:r w:rsidR="00A03629">
        <w:t xml:space="preserve"> </w:t>
      </w:r>
      <w:r>
        <w:t>State’s</w:t>
      </w:r>
      <w:r w:rsidR="00A03629">
        <w:t xml:space="preserve"> </w:t>
      </w:r>
      <w:r>
        <w:t>contribution</w:t>
      </w:r>
      <w:r w:rsidR="00A03629">
        <w:t xml:space="preserve"> </w:t>
      </w:r>
      <w:r>
        <w:t>to</w:t>
      </w:r>
      <w:r w:rsidR="00A03629">
        <w:t xml:space="preserve"> </w:t>
      </w:r>
      <w:r>
        <w:t>the</w:t>
      </w:r>
      <w:r w:rsidR="00A03629">
        <w:t xml:space="preserve"> </w:t>
      </w:r>
      <w:r>
        <w:t>joint</w:t>
      </w:r>
      <w:r w:rsidR="00A03629">
        <w:t xml:space="preserve"> </w:t>
      </w:r>
      <w:r>
        <w:t>operation</w:t>
      </w:r>
      <w:r w:rsidR="00A03629">
        <w:t xml:space="preserve"> </w:t>
      </w:r>
      <w:r>
        <w:t>is</w:t>
      </w:r>
      <w:r w:rsidR="00A03629">
        <w:t xml:space="preserve"> </w:t>
      </w:r>
      <w:r>
        <w:t>$227.3</w:t>
      </w:r>
      <w:r w:rsidR="00A03629">
        <w:rPr>
          <w:rFonts w:ascii="Cambria" w:hAnsi="Cambria" w:cs="Cambria"/>
        </w:rPr>
        <w:t xml:space="preserve"> </w:t>
      </w:r>
      <w:r>
        <w:t>million</w:t>
      </w:r>
      <w:r w:rsidR="00A03629">
        <w:t xml:space="preserve"> </w:t>
      </w:r>
      <w:r>
        <w:t>(expressed</w:t>
      </w:r>
      <w:r w:rsidR="00A03629">
        <w:t xml:space="preserve"> </w:t>
      </w:r>
      <w:r>
        <w:t>in</w:t>
      </w:r>
      <w:r w:rsidR="00A03629">
        <w:t xml:space="preserve"> </w:t>
      </w:r>
      <w:r>
        <w:t>May</w:t>
      </w:r>
      <w:r w:rsidR="00A03629">
        <w:t xml:space="preserve"> </w:t>
      </w:r>
      <w:r>
        <w:t>2009</w:t>
      </w:r>
      <w:r w:rsidR="00A03629">
        <w:t xml:space="preserve"> </w:t>
      </w:r>
      <w:r>
        <w:t>dollars).</w:t>
      </w:r>
    </w:p>
    <w:p w14:paraId="29633E6D" w14:textId="65D06F52" w:rsidR="000756EB" w:rsidRDefault="004A4D88" w:rsidP="00670204">
      <w:r>
        <w:t>On</w:t>
      </w:r>
      <w:r w:rsidR="00A03629">
        <w:t xml:space="preserve"> </w:t>
      </w:r>
      <w:r>
        <w:t>30</w:t>
      </w:r>
      <w:r w:rsidR="00A03629">
        <w:t xml:space="preserve"> </w:t>
      </w:r>
      <w:r>
        <w:t>April</w:t>
      </w:r>
      <w:r w:rsidR="00A03629">
        <w:t xml:space="preserve"> </w:t>
      </w:r>
      <w:r>
        <w:t>2009,</w:t>
      </w:r>
      <w:r w:rsidR="00A03629">
        <w:t xml:space="preserve"> </w:t>
      </w:r>
      <w:r>
        <w:t>Biosciences</w:t>
      </w:r>
      <w:r w:rsidR="00A03629">
        <w:t xml:space="preserve"> </w:t>
      </w:r>
      <w:r>
        <w:t>Research</w:t>
      </w:r>
      <w:r w:rsidR="00A03629">
        <w:t xml:space="preserve"> </w:t>
      </w:r>
      <w:r>
        <w:t>Centre</w:t>
      </w:r>
      <w:r w:rsidR="00A03629">
        <w:t xml:space="preserve"> </w:t>
      </w:r>
      <w:r>
        <w:t>Pty</w:t>
      </w:r>
      <w:r w:rsidR="00A03629">
        <w:rPr>
          <w:rFonts w:ascii="Cambria" w:hAnsi="Cambria" w:cs="Cambria"/>
        </w:rPr>
        <w:t xml:space="preserve"> </w:t>
      </w:r>
      <w:r>
        <w:t>Ltd</w:t>
      </w:r>
      <w:r w:rsidR="00A03629">
        <w:t xml:space="preserve"> </w:t>
      </w:r>
      <w:r>
        <w:t>entered</w:t>
      </w:r>
      <w:r w:rsidR="00A03629">
        <w:t xml:space="preserve"> </w:t>
      </w:r>
      <w:r>
        <w:t>into</w:t>
      </w:r>
      <w:r w:rsidR="00A03629">
        <w:t xml:space="preserve"> </w:t>
      </w:r>
      <w:r>
        <w:t>a</w:t>
      </w:r>
      <w:r w:rsidR="00A03629">
        <w:t xml:space="preserve"> </w:t>
      </w:r>
      <w:r>
        <w:t>project</w:t>
      </w:r>
      <w:r w:rsidR="00A03629">
        <w:t xml:space="preserve"> </w:t>
      </w:r>
      <w:r>
        <w:t>agreement</w:t>
      </w:r>
      <w:r w:rsidR="00A03629">
        <w:t xml:space="preserve"> </w:t>
      </w:r>
      <w:r>
        <w:t>(on</w:t>
      </w:r>
      <w:r w:rsidR="00A03629">
        <w:t xml:space="preserve"> </w:t>
      </w:r>
      <w:r>
        <w:t>behalf</w:t>
      </w:r>
      <w:r w:rsidR="00A03629">
        <w:t xml:space="preserve"> </w:t>
      </w:r>
      <w:r>
        <w:t>of</w:t>
      </w:r>
      <w:r w:rsidR="00A03629">
        <w:t xml:space="preserve"> </w:t>
      </w:r>
      <w:r>
        <w:t>the</w:t>
      </w:r>
      <w:r w:rsidR="00A03629">
        <w:t xml:space="preserve"> </w:t>
      </w:r>
      <w:r>
        <w:t>State</w:t>
      </w:r>
      <w:r w:rsidR="00A03629">
        <w:t xml:space="preserve"> </w:t>
      </w:r>
      <w:r>
        <w:t>and</w:t>
      </w:r>
      <w:r w:rsidR="00A03629">
        <w:t xml:space="preserve"> </w:t>
      </w:r>
      <w:r>
        <w:t>La</w:t>
      </w:r>
      <w:r w:rsidR="00A03629">
        <w:t xml:space="preserve"> </w:t>
      </w:r>
      <w:r>
        <w:t>Trobe)</w:t>
      </w:r>
      <w:r w:rsidR="00A03629">
        <w:t xml:space="preserve"> </w:t>
      </w:r>
      <w:r>
        <w:t>with</w:t>
      </w:r>
      <w:r w:rsidR="00A03629">
        <w:t xml:space="preserve"> </w:t>
      </w:r>
      <w:r>
        <w:t>Plenary</w:t>
      </w:r>
      <w:r w:rsidR="00A03629">
        <w:t xml:space="preserve"> </w:t>
      </w:r>
      <w:r>
        <w:t>Research</w:t>
      </w:r>
      <w:r w:rsidR="00A03629">
        <w:t xml:space="preserve"> </w:t>
      </w:r>
      <w:r>
        <w:t>Pty</w:t>
      </w:r>
      <w:r w:rsidR="00A03629">
        <w:t xml:space="preserve"> </w:t>
      </w:r>
      <w:r>
        <w:t>Ltd</w:t>
      </w:r>
      <w:r w:rsidR="00A03629">
        <w:t xml:space="preserve"> </w:t>
      </w:r>
      <w:r>
        <w:t>(the</w:t>
      </w:r>
      <w:r w:rsidR="00A03629">
        <w:t xml:space="preserve"> </w:t>
      </w:r>
      <w:r>
        <w:t>Concessionaire)</w:t>
      </w:r>
      <w:r w:rsidR="00A03629">
        <w:t xml:space="preserve"> </w:t>
      </w:r>
      <w:r>
        <w:t>to</w:t>
      </w:r>
      <w:r w:rsidR="00A03629">
        <w:t xml:space="preserve"> </w:t>
      </w:r>
      <w:r>
        <w:t>design,</w:t>
      </w:r>
      <w:r w:rsidR="00A03629">
        <w:t xml:space="preserve"> </w:t>
      </w:r>
      <w:r>
        <w:t>construct,</w:t>
      </w:r>
      <w:r w:rsidR="00A03629">
        <w:t xml:space="preserve"> </w:t>
      </w:r>
      <w:r>
        <w:t>finance</w:t>
      </w:r>
      <w:r w:rsidR="00A03629">
        <w:t xml:space="preserve"> </w:t>
      </w:r>
      <w:r>
        <w:t>and</w:t>
      </w:r>
      <w:r w:rsidR="00A03629">
        <w:t xml:space="preserve"> </w:t>
      </w:r>
      <w:r>
        <w:t>maintain</w:t>
      </w:r>
      <w:r w:rsidR="00A03629">
        <w:t xml:space="preserve"> </w:t>
      </w:r>
      <w:r>
        <w:t>the</w:t>
      </w:r>
      <w:r w:rsidR="00A03629">
        <w:t xml:space="preserve"> </w:t>
      </w:r>
      <w:r>
        <w:t>facility</w:t>
      </w:r>
      <w:r w:rsidR="00A03629">
        <w:t xml:space="preserve"> </w:t>
      </w:r>
      <w:r>
        <w:t>over</w:t>
      </w:r>
      <w:r w:rsidR="00A03629">
        <w:t xml:space="preserve"> </w:t>
      </w:r>
      <w:r>
        <w:t>the</w:t>
      </w:r>
      <w:r w:rsidR="00A03629">
        <w:t xml:space="preserve"> </w:t>
      </w:r>
      <w:r>
        <w:t>project’s</w:t>
      </w:r>
      <w:r w:rsidR="00A03629">
        <w:t xml:space="preserve"> </w:t>
      </w:r>
      <w:r>
        <w:t>operating</w:t>
      </w:r>
      <w:r w:rsidR="00A03629">
        <w:t xml:space="preserve"> </w:t>
      </w:r>
      <w:r>
        <w:t>term.</w:t>
      </w:r>
      <w:r w:rsidR="00A03629">
        <w:t xml:space="preserve"> </w:t>
      </w:r>
      <w:r>
        <w:t>The</w:t>
      </w:r>
      <w:r w:rsidR="00A03629">
        <w:t xml:space="preserve"> </w:t>
      </w:r>
      <w:r>
        <w:t>project’s</w:t>
      </w:r>
      <w:r w:rsidR="00A03629">
        <w:t xml:space="preserve"> </w:t>
      </w:r>
      <w:r>
        <w:t>operating</w:t>
      </w:r>
      <w:r w:rsidR="00A03629">
        <w:t xml:space="preserve"> </w:t>
      </w:r>
      <w:r>
        <w:t>term</w:t>
      </w:r>
      <w:r w:rsidR="00A03629">
        <w:t xml:space="preserve"> </w:t>
      </w:r>
      <w:r>
        <w:t>is</w:t>
      </w:r>
      <w:r w:rsidR="00A03629">
        <w:t xml:space="preserve"> </w:t>
      </w:r>
      <w:r>
        <w:t>25</w:t>
      </w:r>
      <w:r w:rsidR="00A03629">
        <w:rPr>
          <w:rFonts w:ascii="Cambria" w:hAnsi="Cambria" w:cs="Cambria"/>
        </w:rPr>
        <w:t xml:space="preserve"> </w:t>
      </w:r>
      <w:r>
        <w:t>years</w:t>
      </w:r>
      <w:r w:rsidR="00A03629">
        <w:t xml:space="preserve"> </w:t>
      </w:r>
      <w:r>
        <w:t>from</w:t>
      </w:r>
      <w:r w:rsidR="00A03629">
        <w:t xml:space="preserve"> </w:t>
      </w:r>
      <w:r>
        <w:t>the</w:t>
      </w:r>
      <w:r w:rsidR="00A03629">
        <w:t xml:space="preserve"> </w:t>
      </w:r>
      <w:r>
        <w:t>date</w:t>
      </w:r>
      <w:r w:rsidR="00A03629">
        <w:t xml:space="preserve"> </w:t>
      </w:r>
      <w:r>
        <w:t>of</w:t>
      </w:r>
      <w:r w:rsidR="00A03629">
        <w:t xml:space="preserve"> </w:t>
      </w:r>
      <w:r>
        <w:t>commercial</w:t>
      </w:r>
      <w:r w:rsidR="00A03629">
        <w:t xml:space="preserve"> </w:t>
      </w:r>
      <w:r>
        <w:t>acceptance</w:t>
      </w:r>
      <w:r w:rsidR="00A03629">
        <w:t xml:space="preserve"> </w:t>
      </w:r>
      <w:r>
        <w:t>which</w:t>
      </w:r>
      <w:r w:rsidR="00A03629">
        <w:t xml:space="preserve"> </w:t>
      </w:r>
      <w:r>
        <w:t>occurred</w:t>
      </w:r>
      <w:r w:rsidR="00A03629">
        <w:t xml:space="preserve"> </w:t>
      </w:r>
      <w:r>
        <w:t>18</w:t>
      </w:r>
      <w:r w:rsidR="00A03629">
        <w:t xml:space="preserve"> </w:t>
      </w:r>
      <w:r>
        <w:t>July</w:t>
      </w:r>
      <w:r w:rsidR="00A03629">
        <w:t xml:space="preserve"> </w:t>
      </w:r>
      <w:r>
        <w:t>2012.</w:t>
      </w:r>
      <w:r w:rsidR="00A03629">
        <w:t xml:space="preserve"> </w:t>
      </w:r>
      <w:r>
        <w:t>The</w:t>
      </w:r>
      <w:r w:rsidR="00A03629">
        <w:t xml:space="preserve"> </w:t>
      </w:r>
      <w:r>
        <w:t>joint</w:t>
      </w:r>
      <w:r w:rsidR="00A03629">
        <w:t xml:space="preserve"> </w:t>
      </w:r>
      <w:r>
        <w:t>operation</w:t>
      </w:r>
      <w:r w:rsidR="00A03629">
        <w:t xml:space="preserve"> </w:t>
      </w:r>
      <w:r>
        <w:t>project</w:t>
      </w:r>
      <w:r w:rsidR="00A03629">
        <w:t xml:space="preserve"> </w:t>
      </w:r>
      <w:r>
        <w:t>is</w:t>
      </w:r>
      <w:r w:rsidR="00A03629">
        <w:t xml:space="preserve"> </w:t>
      </w:r>
      <w:r>
        <w:t>being</w:t>
      </w:r>
      <w:r w:rsidR="00A03629">
        <w:t xml:space="preserve"> </w:t>
      </w:r>
      <w:r>
        <w:t>delivered</w:t>
      </w:r>
      <w:r w:rsidR="00A03629">
        <w:t xml:space="preserve"> </w:t>
      </w:r>
      <w:r>
        <w:t>under</w:t>
      </w:r>
      <w:r w:rsidR="00A03629">
        <w:t xml:space="preserve"> </w:t>
      </w:r>
      <w:r>
        <w:t>the</w:t>
      </w:r>
      <w:r w:rsidR="00A03629">
        <w:t xml:space="preserve"> </w:t>
      </w:r>
      <w:r>
        <w:t>Partnerships</w:t>
      </w:r>
      <w:r w:rsidR="00A03629">
        <w:t xml:space="preserve"> </w:t>
      </w:r>
      <w:r>
        <w:t>Victoria</w:t>
      </w:r>
      <w:r w:rsidR="00A03629">
        <w:t xml:space="preserve"> </w:t>
      </w:r>
      <w:r>
        <w:t>Policy</w:t>
      </w:r>
      <w:r w:rsidR="00A03629">
        <w:t xml:space="preserve"> </w:t>
      </w:r>
      <w:r>
        <w:t>framework.</w:t>
      </w:r>
      <w:r w:rsidR="00A03629">
        <w:t xml:space="preserve"> </w:t>
      </w:r>
      <w:r>
        <w:t>In</w:t>
      </w:r>
      <w:r w:rsidR="00A03629">
        <w:t xml:space="preserve"> </w:t>
      </w:r>
      <w:r>
        <w:t>accordance</w:t>
      </w:r>
      <w:r w:rsidR="00A03629">
        <w:t xml:space="preserve"> </w:t>
      </w:r>
      <w:r>
        <w:t>with</w:t>
      </w:r>
      <w:r w:rsidR="00A03629">
        <w:t xml:space="preserve"> </w:t>
      </w:r>
      <w:r>
        <w:t>the</w:t>
      </w:r>
      <w:r w:rsidR="00A03629">
        <w:t xml:space="preserve"> </w:t>
      </w:r>
      <w:r>
        <w:t>joint</w:t>
      </w:r>
      <w:r w:rsidR="00A03629">
        <w:t xml:space="preserve"> </w:t>
      </w:r>
      <w:r>
        <w:t>operation</w:t>
      </w:r>
      <w:r w:rsidR="00A03629">
        <w:t xml:space="preserve"> </w:t>
      </w:r>
      <w:r>
        <w:t>agreement,</w:t>
      </w:r>
      <w:r w:rsidR="00A03629">
        <w:t xml:space="preserve"> </w:t>
      </w:r>
      <w:r>
        <w:t>the</w:t>
      </w:r>
      <w:r w:rsidR="00A03629">
        <w:t xml:space="preserve"> </w:t>
      </w:r>
      <w:r>
        <w:t>participants</w:t>
      </w:r>
      <w:r w:rsidR="00A03629">
        <w:t xml:space="preserve"> </w:t>
      </w:r>
      <w:r>
        <w:t>are</w:t>
      </w:r>
      <w:r w:rsidR="00A03629">
        <w:t xml:space="preserve"> </w:t>
      </w:r>
      <w:r>
        <w:t>required</w:t>
      </w:r>
      <w:r w:rsidR="00A03629">
        <w:t xml:space="preserve"> </w:t>
      </w:r>
      <w:r>
        <w:t>to</w:t>
      </w:r>
      <w:r w:rsidR="00A03629">
        <w:t xml:space="preserve"> </w:t>
      </w:r>
      <w:r>
        <w:t>fund</w:t>
      </w:r>
      <w:r w:rsidR="00A03629">
        <w:t xml:space="preserve"> </w:t>
      </w:r>
      <w:r>
        <w:t>the</w:t>
      </w:r>
      <w:r w:rsidR="00A03629">
        <w:t xml:space="preserve"> </w:t>
      </w:r>
      <w:r>
        <w:t>administration</w:t>
      </w:r>
      <w:r w:rsidR="00A03629">
        <w:t xml:space="preserve"> </w:t>
      </w:r>
      <w:r>
        <w:t>expenses</w:t>
      </w:r>
      <w:r w:rsidR="00A03629">
        <w:t xml:space="preserve"> </w:t>
      </w:r>
      <w:r>
        <w:t>of</w:t>
      </w:r>
      <w:r w:rsidR="00A03629">
        <w:t xml:space="preserve"> </w:t>
      </w:r>
      <w:r>
        <w:t>the</w:t>
      </w:r>
      <w:r w:rsidR="00A03629">
        <w:t xml:space="preserve"> </w:t>
      </w:r>
      <w:r>
        <w:t>joint</w:t>
      </w:r>
      <w:r w:rsidR="00A03629">
        <w:t xml:space="preserve"> </w:t>
      </w:r>
      <w:r>
        <w:t>operation</w:t>
      </w:r>
      <w:r w:rsidR="00A03629">
        <w:t xml:space="preserve"> </w:t>
      </w:r>
      <w:r>
        <w:t>in</w:t>
      </w:r>
      <w:r w:rsidR="00A03629">
        <w:t xml:space="preserve"> </w:t>
      </w:r>
      <w:r>
        <w:t>equal</w:t>
      </w:r>
      <w:r w:rsidR="00A03629">
        <w:t xml:space="preserve"> </w:t>
      </w:r>
      <w:r>
        <w:t>shares</w:t>
      </w:r>
      <w:r w:rsidR="00A03629">
        <w:t xml:space="preserve"> </w:t>
      </w:r>
      <w:r>
        <w:t>of</w:t>
      </w:r>
      <w:r w:rsidR="00A03629">
        <w:t xml:space="preserve"> </w:t>
      </w:r>
      <w:r>
        <w:t>50</w:t>
      </w:r>
      <w:r w:rsidR="00A03629">
        <w:t xml:space="preserve"> </w:t>
      </w:r>
      <w:r>
        <w:t>per</w:t>
      </w:r>
      <w:r w:rsidR="00A03629">
        <w:t xml:space="preserve"> </w:t>
      </w:r>
      <w:r>
        <w:t>cent</w:t>
      </w:r>
      <w:r w:rsidR="00A03629">
        <w:t xml:space="preserve"> </w:t>
      </w:r>
      <w:r>
        <w:t>each.</w:t>
      </w:r>
      <w:r w:rsidR="00A03629">
        <w:t xml:space="preserve"> </w:t>
      </w:r>
      <w:r>
        <w:t>In</w:t>
      </w:r>
      <w:r w:rsidR="00A03629">
        <w:t xml:space="preserve"> </w:t>
      </w:r>
      <w:r>
        <w:t>addition,</w:t>
      </w:r>
      <w:r w:rsidR="00A03629">
        <w:t xml:space="preserve"> </w:t>
      </w:r>
      <w:r>
        <w:t>La</w:t>
      </w:r>
      <w:r w:rsidR="00A03629">
        <w:t xml:space="preserve"> </w:t>
      </w:r>
      <w:r>
        <w:t>Trobe</w:t>
      </w:r>
      <w:r w:rsidR="00A03629">
        <w:t xml:space="preserve"> </w:t>
      </w:r>
      <w:r>
        <w:t>contributes</w:t>
      </w:r>
      <w:r w:rsidR="00A03629">
        <w:t xml:space="preserve"> </w:t>
      </w:r>
      <w:r>
        <w:t>on</w:t>
      </w:r>
      <w:r w:rsidR="00A03629">
        <w:t xml:space="preserve"> </w:t>
      </w:r>
      <w:r>
        <w:t>a</w:t>
      </w:r>
      <w:r w:rsidR="00A03629">
        <w:t xml:space="preserve"> </w:t>
      </w:r>
      <w:r>
        <w:t>quarterly</w:t>
      </w:r>
      <w:r w:rsidR="00A03629">
        <w:t xml:space="preserve"> </w:t>
      </w:r>
      <w:r>
        <w:t>basis,</w:t>
      </w:r>
      <w:r w:rsidR="00A03629">
        <w:t xml:space="preserve"> </w:t>
      </w:r>
      <w:r>
        <w:t>25</w:t>
      </w:r>
      <w:r w:rsidR="00A03629">
        <w:t xml:space="preserve"> </w:t>
      </w:r>
      <w:r>
        <w:t>per</w:t>
      </w:r>
      <w:r w:rsidR="00A03629">
        <w:t xml:space="preserve"> </w:t>
      </w:r>
      <w:r>
        <w:t>cent</w:t>
      </w:r>
      <w:r w:rsidR="00A03629">
        <w:t xml:space="preserve"> </w:t>
      </w:r>
      <w:r>
        <w:t>of</w:t>
      </w:r>
      <w:r w:rsidR="00A03629">
        <w:t xml:space="preserve"> </w:t>
      </w:r>
      <w:r>
        <w:t>the</w:t>
      </w:r>
      <w:r w:rsidR="00A03629">
        <w:t xml:space="preserve"> </w:t>
      </w:r>
      <w:r>
        <w:t>general</w:t>
      </w:r>
      <w:r w:rsidR="00A03629">
        <w:t xml:space="preserve"> </w:t>
      </w:r>
      <w:r>
        <w:t>facilities</w:t>
      </w:r>
      <w:r w:rsidR="00A03629">
        <w:t xml:space="preserve"> </w:t>
      </w:r>
      <w:r>
        <w:t>management,</w:t>
      </w:r>
      <w:r w:rsidR="00A03629">
        <w:t xml:space="preserve"> </w:t>
      </w:r>
      <w:r>
        <w:t>maintenance</w:t>
      </w:r>
      <w:r w:rsidR="00A03629">
        <w:t xml:space="preserve"> </w:t>
      </w:r>
      <w:r>
        <w:t>and</w:t>
      </w:r>
      <w:r w:rsidR="00A03629">
        <w:t xml:space="preserve"> </w:t>
      </w:r>
      <w:r>
        <w:t>minor</w:t>
      </w:r>
      <w:r w:rsidR="00A03629">
        <w:t xml:space="preserve"> </w:t>
      </w:r>
      <w:r>
        <w:t>work</w:t>
      </w:r>
      <w:r w:rsidR="00A03629">
        <w:t xml:space="preserve"> </w:t>
      </w:r>
      <w:r>
        <w:t>costs</w:t>
      </w:r>
      <w:r w:rsidR="00A03629">
        <w:t xml:space="preserve"> </w:t>
      </w:r>
      <w:r>
        <w:t>associated</w:t>
      </w:r>
      <w:r w:rsidR="00A03629">
        <w:t xml:space="preserve"> </w:t>
      </w:r>
      <w:r>
        <w:t>with</w:t>
      </w:r>
      <w:r w:rsidR="00A03629">
        <w:t xml:space="preserve"> </w:t>
      </w:r>
      <w:r>
        <w:t>the</w:t>
      </w:r>
      <w:r w:rsidR="00A03629">
        <w:t xml:space="preserve"> </w:t>
      </w:r>
      <w:r>
        <w:t>services.</w:t>
      </w:r>
    </w:p>
    <w:p w14:paraId="5F5EAEFE" w14:textId="62029C8C" w:rsidR="000756EB" w:rsidRDefault="004A4D88" w:rsidP="00670204">
      <w:r>
        <w:t>DJSIR</w:t>
      </w:r>
      <w:r w:rsidR="00A03629">
        <w:t xml:space="preserve"> </w:t>
      </w:r>
      <w:r>
        <w:t>pays</w:t>
      </w:r>
      <w:r w:rsidR="00A03629">
        <w:t xml:space="preserve"> </w:t>
      </w:r>
      <w:r>
        <w:t>quarterly</w:t>
      </w:r>
      <w:r w:rsidR="00A03629">
        <w:t xml:space="preserve"> </w:t>
      </w:r>
      <w:r>
        <w:t>service</w:t>
      </w:r>
      <w:r w:rsidR="00A03629">
        <w:t xml:space="preserve"> </w:t>
      </w:r>
      <w:r>
        <w:t>payments</w:t>
      </w:r>
      <w:r w:rsidR="00A03629">
        <w:t xml:space="preserve"> </w:t>
      </w:r>
      <w:r>
        <w:t>in</w:t>
      </w:r>
      <w:r w:rsidR="00A03629">
        <w:t xml:space="preserve"> </w:t>
      </w:r>
      <w:r>
        <w:t>full</w:t>
      </w:r>
      <w:r w:rsidR="00A03629">
        <w:t xml:space="preserve"> </w:t>
      </w:r>
      <w:r>
        <w:t>each</w:t>
      </w:r>
      <w:r w:rsidR="00A03629">
        <w:t xml:space="preserve"> </w:t>
      </w:r>
      <w:r>
        <w:t>quarter</w:t>
      </w:r>
      <w:r w:rsidR="00A03629">
        <w:t xml:space="preserve"> </w:t>
      </w:r>
      <w:r>
        <w:t>as</w:t>
      </w:r>
      <w:r w:rsidR="00A03629">
        <w:t xml:space="preserve"> </w:t>
      </w:r>
      <w:r>
        <w:t>they</w:t>
      </w:r>
      <w:r w:rsidR="00A03629">
        <w:t xml:space="preserve"> </w:t>
      </w:r>
      <w:r>
        <w:t>fall</w:t>
      </w:r>
      <w:r w:rsidR="00A03629">
        <w:t xml:space="preserve"> </w:t>
      </w:r>
      <w:r>
        <w:t>due.</w:t>
      </w:r>
      <w:r w:rsidR="00A03629">
        <w:t xml:space="preserve"> </w:t>
      </w:r>
      <w:r>
        <w:t>In</w:t>
      </w:r>
      <w:r w:rsidR="00A03629">
        <w:t xml:space="preserve"> </w:t>
      </w:r>
      <w:r>
        <w:t>December</w:t>
      </w:r>
      <w:r w:rsidR="00A03629">
        <w:t xml:space="preserve"> </w:t>
      </w:r>
      <w:r>
        <w:t>2015,</w:t>
      </w:r>
      <w:r w:rsidR="00A03629">
        <w:t xml:space="preserve"> </w:t>
      </w:r>
      <w:r>
        <w:t>La</w:t>
      </w:r>
      <w:r w:rsidR="00A03629">
        <w:t xml:space="preserve"> </w:t>
      </w:r>
      <w:r>
        <w:t>Trobe</w:t>
      </w:r>
      <w:r w:rsidR="00A03629">
        <w:t xml:space="preserve"> </w:t>
      </w:r>
      <w:r>
        <w:t>exercised</w:t>
      </w:r>
      <w:r w:rsidR="00A03629">
        <w:t xml:space="preserve"> </w:t>
      </w:r>
      <w:r>
        <w:t>the</w:t>
      </w:r>
      <w:r w:rsidR="00A03629">
        <w:t xml:space="preserve"> </w:t>
      </w:r>
      <w:r>
        <w:t>right</w:t>
      </w:r>
      <w:r w:rsidR="00A03629">
        <w:t xml:space="preserve"> </w:t>
      </w:r>
      <w:r>
        <w:t>to</w:t>
      </w:r>
      <w:r w:rsidR="00A03629">
        <w:t xml:space="preserve"> </w:t>
      </w:r>
      <w:r>
        <w:t>pay</w:t>
      </w:r>
      <w:r w:rsidR="00A03629">
        <w:t xml:space="preserve"> </w:t>
      </w:r>
      <w:proofErr w:type="gramStart"/>
      <w:r>
        <w:t>all</w:t>
      </w:r>
      <w:r w:rsidR="00A03629">
        <w:t xml:space="preserve"> </w:t>
      </w:r>
      <w:r>
        <w:t>of</w:t>
      </w:r>
      <w:proofErr w:type="gramEnd"/>
      <w:r w:rsidR="00A03629">
        <w:t xml:space="preserve"> </w:t>
      </w:r>
      <w:r>
        <w:t>its</w:t>
      </w:r>
      <w:r w:rsidR="00A03629">
        <w:t xml:space="preserve"> </w:t>
      </w:r>
      <w:r>
        <w:t>remaining</w:t>
      </w:r>
      <w:r w:rsidR="00A03629">
        <w:t xml:space="preserve"> </w:t>
      </w:r>
      <w:r>
        <w:t>service</w:t>
      </w:r>
      <w:r w:rsidR="00A03629">
        <w:t xml:space="preserve"> </w:t>
      </w:r>
      <w:r>
        <w:t>payments,</w:t>
      </w:r>
      <w:r w:rsidR="00A03629">
        <w:t xml:space="preserve"> </w:t>
      </w:r>
      <w:r>
        <w:t>hence</w:t>
      </w:r>
      <w:r w:rsidR="00A03629">
        <w:t xml:space="preserve"> </w:t>
      </w:r>
      <w:r>
        <w:t>its</w:t>
      </w:r>
      <w:r w:rsidR="00A03629">
        <w:t xml:space="preserve"> </w:t>
      </w:r>
      <w:r>
        <w:t>share</w:t>
      </w:r>
      <w:r w:rsidR="00A03629">
        <w:t xml:space="preserve"> </w:t>
      </w:r>
      <w:r>
        <w:t>of</w:t>
      </w:r>
      <w:r w:rsidR="00A03629">
        <w:t xml:space="preserve"> </w:t>
      </w:r>
      <w:r>
        <w:t>funding</w:t>
      </w:r>
      <w:r w:rsidR="00A03629">
        <w:t xml:space="preserve"> </w:t>
      </w:r>
      <w:r>
        <w:t>obligation</w:t>
      </w:r>
      <w:r w:rsidR="00A03629">
        <w:t xml:space="preserve"> </w:t>
      </w:r>
      <w:r>
        <w:t>in</w:t>
      </w:r>
      <w:r w:rsidR="00A03629">
        <w:t xml:space="preserve"> </w:t>
      </w:r>
      <w:r>
        <w:t>full.</w:t>
      </w:r>
      <w:r w:rsidR="00A03629">
        <w:t xml:space="preserve"> </w:t>
      </w:r>
      <w:r>
        <w:t>Accordingly,</w:t>
      </w:r>
      <w:r w:rsidR="00A03629">
        <w:t xml:space="preserve"> </w:t>
      </w:r>
      <w:r>
        <w:t>DJSIR</w:t>
      </w:r>
      <w:r w:rsidR="00A03629">
        <w:t xml:space="preserve"> </w:t>
      </w:r>
      <w:r>
        <w:t>has</w:t>
      </w:r>
      <w:r w:rsidR="00A03629">
        <w:t xml:space="preserve"> </w:t>
      </w:r>
      <w:r>
        <w:t>recognised</w:t>
      </w:r>
      <w:r w:rsidR="00A03629">
        <w:t xml:space="preserve"> </w:t>
      </w:r>
      <w:r>
        <w:t>a</w:t>
      </w:r>
      <w:r w:rsidR="00A03629">
        <w:t xml:space="preserve"> </w:t>
      </w:r>
      <w:r>
        <w:t>100%</w:t>
      </w:r>
      <w:r w:rsidR="00A03629">
        <w:t xml:space="preserve"> </w:t>
      </w:r>
      <w:r>
        <w:t>share</w:t>
      </w:r>
      <w:r w:rsidR="00A03629">
        <w:t xml:space="preserve"> </w:t>
      </w:r>
      <w:r>
        <w:t>in</w:t>
      </w:r>
      <w:r w:rsidR="00A03629">
        <w:t xml:space="preserve"> </w:t>
      </w:r>
      <w:r>
        <w:t>the</w:t>
      </w:r>
      <w:r w:rsidR="00A03629">
        <w:t xml:space="preserve"> </w:t>
      </w:r>
      <w:r>
        <w:t>joint</w:t>
      </w:r>
      <w:r w:rsidR="00A03629">
        <w:t xml:space="preserve"> </w:t>
      </w:r>
      <w:r>
        <w:t>operation’s</w:t>
      </w:r>
      <w:r w:rsidR="00A03629">
        <w:t xml:space="preserve"> </w:t>
      </w:r>
      <w:r>
        <w:t>lease</w:t>
      </w:r>
      <w:r w:rsidR="00A03629">
        <w:t xml:space="preserve"> </w:t>
      </w:r>
      <w:r>
        <w:t>liability</w:t>
      </w:r>
      <w:r w:rsidR="00A03629">
        <w:t xml:space="preserve"> </w:t>
      </w:r>
      <w:r>
        <w:t>in</w:t>
      </w:r>
      <w:r w:rsidR="00A03629">
        <w:t xml:space="preserve"> </w:t>
      </w:r>
      <w:r>
        <w:t>the</w:t>
      </w:r>
      <w:r w:rsidR="00A03629">
        <w:t xml:space="preserve"> </w:t>
      </w:r>
      <w:r>
        <w:t>prior</w:t>
      </w:r>
      <w:r w:rsidR="00A03629">
        <w:t xml:space="preserve"> </w:t>
      </w:r>
      <w:r>
        <w:t>year.</w:t>
      </w:r>
    </w:p>
    <w:p w14:paraId="4E6C34DE" w14:textId="3487DBD7" w:rsidR="000756EB" w:rsidRDefault="004A4D88" w:rsidP="00670204">
      <w:r>
        <w:lastRenderedPageBreak/>
        <w:t>DJSIR’s</w:t>
      </w:r>
      <w:r w:rsidR="00A03629">
        <w:t xml:space="preserve"> </w:t>
      </w:r>
      <w:r>
        <w:t>interest</w:t>
      </w:r>
      <w:r w:rsidR="00A03629">
        <w:t xml:space="preserve"> </w:t>
      </w:r>
      <w:r>
        <w:t>in</w:t>
      </w:r>
      <w:r w:rsidR="00A03629">
        <w:t xml:space="preserve"> </w:t>
      </w:r>
      <w:r>
        <w:t>assets,</w:t>
      </w:r>
      <w:r w:rsidR="00A03629">
        <w:t xml:space="preserve"> </w:t>
      </w:r>
      <w:r>
        <w:t>liabilities,</w:t>
      </w:r>
      <w:r w:rsidR="00A03629">
        <w:t xml:space="preserve"> </w:t>
      </w:r>
      <w:r>
        <w:t>income,</w:t>
      </w:r>
      <w:r w:rsidR="00A03629">
        <w:t xml:space="preserve"> </w:t>
      </w:r>
      <w:r>
        <w:t>and</w:t>
      </w:r>
      <w:r w:rsidR="00A03629">
        <w:t xml:space="preserve"> </w:t>
      </w:r>
      <w:r>
        <w:t>expenses</w:t>
      </w:r>
      <w:r w:rsidR="00A03629">
        <w:t xml:space="preserve"> </w:t>
      </w:r>
      <w:r>
        <w:t>in</w:t>
      </w:r>
      <w:r w:rsidR="00A03629">
        <w:t xml:space="preserve"> </w:t>
      </w:r>
      <w:r>
        <w:t>the</w:t>
      </w:r>
      <w:r w:rsidR="00A03629">
        <w:t xml:space="preserve"> </w:t>
      </w:r>
      <w:r>
        <w:t>above</w:t>
      </w:r>
      <w:r w:rsidR="00A03629">
        <w:t xml:space="preserve"> </w:t>
      </w:r>
      <w:r>
        <w:t>joint</w:t>
      </w:r>
      <w:r w:rsidR="00A03629">
        <w:t xml:space="preserve"> </w:t>
      </w:r>
      <w:r>
        <w:t>operations</w:t>
      </w:r>
      <w:r w:rsidR="00A03629">
        <w:t xml:space="preserve"> </w:t>
      </w:r>
      <w:r>
        <w:t>is</w:t>
      </w:r>
      <w:r w:rsidR="00A03629">
        <w:t xml:space="preserve"> </w:t>
      </w:r>
      <w:r>
        <w:t>detailed</w:t>
      </w:r>
      <w:r w:rsidR="00A03629">
        <w:t xml:space="preserve"> </w:t>
      </w:r>
      <w:r>
        <w:t>below.</w:t>
      </w:r>
      <w:r w:rsidR="00A03629">
        <w:t xml:space="preserve"> </w:t>
      </w:r>
      <w:r>
        <w:t>The</w:t>
      </w:r>
      <w:r w:rsidR="00A03629">
        <w:t xml:space="preserve"> </w:t>
      </w:r>
      <w:r>
        <w:t>amounts</w:t>
      </w:r>
      <w:r w:rsidR="00A03629">
        <w:t xml:space="preserve"> </w:t>
      </w:r>
      <w:r>
        <w:t>are</w:t>
      </w:r>
      <w:r w:rsidR="00A03629">
        <w:t xml:space="preserve"> </w:t>
      </w:r>
      <w:r>
        <w:t>included</w:t>
      </w:r>
      <w:r w:rsidR="00A03629">
        <w:t xml:space="preserve"> </w:t>
      </w:r>
      <w:r>
        <w:t>in</w:t>
      </w:r>
      <w:r w:rsidR="00A03629">
        <w:t xml:space="preserve"> </w:t>
      </w:r>
      <w:r>
        <w:t>the</w:t>
      </w:r>
      <w:r w:rsidR="00A03629">
        <w:t xml:space="preserve"> </w:t>
      </w:r>
      <w:r>
        <w:t>financial</w:t>
      </w:r>
      <w:r w:rsidR="00A03629">
        <w:t xml:space="preserve"> </w:t>
      </w:r>
      <w:r>
        <w:t>statements</w:t>
      </w:r>
      <w:r w:rsidR="00A03629">
        <w:t xml:space="preserve"> </w:t>
      </w:r>
      <w:r>
        <w:t>under</w:t>
      </w:r>
      <w:r w:rsidR="00A03629">
        <w:t xml:space="preserve"> </w:t>
      </w:r>
      <w:r>
        <w:t>their</w:t>
      </w:r>
      <w:r w:rsidR="00A03629">
        <w:t xml:space="preserve"> </w:t>
      </w:r>
      <w:r>
        <w:t>respective</w:t>
      </w:r>
      <w:r w:rsidR="00A03629">
        <w:t xml:space="preserve"> </w:t>
      </w:r>
      <w:r>
        <w:t>categories.</w:t>
      </w:r>
    </w:p>
    <w:p w14:paraId="28350663" w14:textId="4F5F86BC" w:rsidR="000756EB" w:rsidRDefault="004A4D88" w:rsidP="00670204">
      <w:r>
        <w:t>In</w:t>
      </w:r>
      <w:r w:rsidR="00A03629">
        <w:t xml:space="preserve"> </w:t>
      </w:r>
      <w:r>
        <w:t>the</w:t>
      </w:r>
      <w:r w:rsidR="00A03629">
        <w:t xml:space="preserve"> </w:t>
      </w:r>
      <w:r>
        <w:t>prior</w:t>
      </w:r>
      <w:r w:rsidR="00A03629">
        <w:t xml:space="preserve"> </w:t>
      </w:r>
      <w:r>
        <w:t>year,</w:t>
      </w:r>
      <w:r w:rsidR="00A03629">
        <w:t xml:space="preserve"> </w:t>
      </w:r>
      <w:r>
        <w:t>contingent</w:t>
      </w:r>
      <w:r w:rsidR="00A03629">
        <w:t xml:space="preserve"> </w:t>
      </w:r>
      <w:r>
        <w:t>liabilities</w:t>
      </w:r>
      <w:r w:rsidR="00A03629">
        <w:t xml:space="preserve"> </w:t>
      </w:r>
      <w:r>
        <w:t>and</w:t>
      </w:r>
      <w:r w:rsidR="00A03629">
        <w:t xml:space="preserve"> </w:t>
      </w:r>
      <w:r>
        <w:t>commitments</w:t>
      </w:r>
      <w:r w:rsidR="00A03629">
        <w:t xml:space="preserve"> </w:t>
      </w:r>
      <w:r>
        <w:t>arising</w:t>
      </w:r>
      <w:r w:rsidR="00A03629">
        <w:t xml:space="preserve"> </w:t>
      </w:r>
      <w:r>
        <w:t>from</w:t>
      </w:r>
      <w:r w:rsidR="00A03629">
        <w:t xml:space="preserve"> </w:t>
      </w:r>
      <w:r>
        <w:t>DJSIR’s</w:t>
      </w:r>
      <w:r w:rsidR="00A03629">
        <w:t xml:space="preserve"> </w:t>
      </w:r>
      <w:r>
        <w:t>interests</w:t>
      </w:r>
      <w:r w:rsidR="00A03629">
        <w:t xml:space="preserve"> </w:t>
      </w:r>
      <w:r>
        <w:t>in</w:t>
      </w:r>
      <w:r w:rsidR="00A03629">
        <w:t xml:space="preserve"> </w:t>
      </w:r>
      <w:r>
        <w:t>joint</w:t>
      </w:r>
      <w:r w:rsidR="00A03629">
        <w:rPr>
          <w:rFonts w:ascii="Cambria" w:hAnsi="Cambria" w:cs="Cambria"/>
        </w:rPr>
        <w:t xml:space="preserve"> </w:t>
      </w:r>
      <w:r>
        <w:t>operations</w:t>
      </w:r>
      <w:r w:rsidR="00A03629">
        <w:t xml:space="preserve"> </w:t>
      </w:r>
      <w:r>
        <w:t>are</w:t>
      </w:r>
      <w:r w:rsidR="00A03629">
        <w:t xml:space="preserve"> </w:t>
      </w:r>
      <w:r>
        <w:t>disclosed</w:t>
      </w:r>
      <w:r w:rsidR="00A03629">
        <w:t xml:space="preserve"> </w:t>
      </w:r>
      <w:r>
        <w:t>in</w:t>
      </w:r>
      <w:r w:rsidR="00A03629">
        <w:t xml:space="preserve"> </w:t>
      </w:r>
      <w:r>
        <w:t>Note</w:t>
      </w:r>
      <w:r w:rsidR="00A03629">
        <w:t xml:space="preserve"> </w:t>
      </w:r>
      <w:r>
        <w:t>7.5</w:t>
      </w:r>
      <w:r w:rsidR="00A03629">
        <w:t xml:space="preserve"> </w:t>
      </w:r>
      <w:r>
        <w:t>–</w:t>
      </w:r>
      <w:r w:rsidR="00A03629">
        <w:t xml:space="preserve"> </w:t>
      </w:r>
      <w:r>
        <w:t>Commitments</w:t>
      </w:r>
      <w:r w:rsidR="00A03629">
        <w:t xml:space="preserve"> </w:t>
      </w:r>
      <w:r>
        <w:t>for</w:t>
      </w:r>
      <w:r w:rsidR="00A03629">
        <w:t xml:space="preserve"> </w:t>
      </w:r>
      <w:r>
        <w:t>expenditure</w:t>
      </w:r>
      <w:r w:rsidR="00A03629">
        <w:t xml:space="preserve"> </w:t>
      </w:r>
      <w:r>
        <w:t>and</w:t>
      </w:r>
      <w:r w:rsidR="00A03629">
        <w:t xml:space="preserve"> </w:t>
      </w:r>
      <w:r>
        <w:t>Note</w:t>
      </w:r>
      <w:r w:rsidR="00A03629">
        <w:t xml:space="preserve"> </w:t>
      </w:r>
      <w:r>
        <w:t>8.2</w:t>
      </w:r>
      <w:r w:rsidR="00A03629">
        <w:t xml:space="preserve"> </w:t>
      </w:r>
      <w:r>
        <w:t>–</w:t>
      </w:r>
      <w:r w:rsidR="00A03629">
        <w:t xml:space="preserve"> </w:t>
      </w:r>
      <w:r>
        <w:t>Contingent</w:t>
      </w:r>
      <w:r w:rsidR="00A03629">
        <w:t xml:space="preserve"> </w:t>
      </w:r>
      <w:r>
        <w:t>assets</w:t>
      </w:r>
      <w:r w:rsidR="00A03629">
        <w:t xml:space="preserve"> </w:t>
      </w:r>
      <w:r>
        <w:t>and</w:t>
      </w:r>
      <w:r w:rsidR="00A03629">
        <w:t xml:space="preserve"> </w:t>
      </w:r>
      <w:r>
        <w:t>contingent</w:t>
      </w:r>
      <w:r w:rsidR="00A03629">
        <w:t xml:space="preserve"> </w:t>
      </w:r>
      <w:r>
        <w:t>liabilities.</w:t>
      </w:r>
    </w:p>
    <w:p w14:paraId="3CDA4C55" w14:textId="5C90937D" w:rsidR="000756EB" w:rsidRPr="00670204" w:rsidRDefault="004A4D88" w:rsidP="00670204">
      <w:pPr>
        <w:pStyle w:val="Normalbeforebullets"/>
        <w:rPr>
          <w:b/>
          <w:bCs/>
        </w:rPr>
      </w:pPr>
      <w:r w:rsidRPr="00670204">
        <w:rPr>
          <w:b/>
          <w:bCs/>
        </w:rPr>
        <w:t>Summarised</w:t>
      </w:r>
      <w:r w:rsidR="00A03629" w:rsidRPr="00670204">
        <w:rPr>
          <w:b/>
          <w:bCs/>
        </w:rPr>
        <w:t xml:space="preserve"> </w:t>
      </w:r>
      <w:r w:rsidRPr="00670204">
        <w:rPr>
          <w:b/>
          <w:bCs/>
        </w:rPr>
        <w:t>financial</w:t>
      </w:r>
      <w:r w:rsidR="00A03629" w:rsidRPr="00670204">
        <w:rPr>
          <w:b/>
          <w:bCs/>
        </w:rPr>
        <w:t xml:space="preserve"> </w:t>
      </w:r>
      <w:r w:rsidRPr="00670204">
        <w:rPr>
          <w:b/>
          <w:bCs/>
        </w:rPr>
        <w:t>information</w:t>
      </w:r>
    </w:p>
    <w:tbl>
      <w:tblPr>
        <w:tblStyle w:val="TableGrid"/>
        <w:tblW w:w="10343" w:type="dxa"/>
        <w:tblLayout w:type="fixed"/>
        <w:tblLook w:val="0020" w:firstRow="1" w:lastRow="0" w:firstColumn="0" w:lastColumn="0" w:noHBand="0" w:noVBand="0"/>
      </w:tblPr>
      <w:tblGrid>
        <w:gridCol w:w="4531"/>
        <w:gridCol w:w="1361"/>
        <w:gridCol w:w="1361"/>
        <w:gridCol w:w="1545"/>
        <w:gridCol w:w="1545"/>
      </w:tblGrid>
      <w:tr w:rsidR="000756EB" w:rsidRPr="00984138" w14:paraId="6968BDCA" w14:textId="77777777" w:rsidTr="00FF6191">
        <w:trPr>
          <w:trHeight w:val="113"/>
          <w:tblHeader/>
        </w:trPr>
        <w:tc>
          <w:tcPr>
            <w:tcW w:w="4531" w:type="dxa"/>
          </w:tcPr>
          <w:p w14:paraId="77640B6C" w14:textId="77777777" w:rsidR="000756EB" w:rsidRPr="00984138" w:rsidRDefault="000756EB" w:rsidP="00984138">
            <w:pPr>
              <w:pStyle w:val="TableColumnHeading"/>
              <w:rPr>
                <w:rFonts w:asciiTheme="minorHAnsi" w:hAnsiTheme="minorHAnsi" w:cstheme="minorHAnsi"/>
                <w:sz w:val="20"/>
                <w:szCs w:val="28"/>
              </w:rPr>
            </w:pPr>
            <w:bookmarkStart w:id="74" w:name="ColumnTitles_45"/>
            <w:bookmarkEnd w:id="74"/>
          </w:p>
        </w:tc>
        <w:tc>
          <w:tcPr>
            <w:tcW w:w="1361" w:type="dxa"/>
          </w:tcPr>
          <w:p w14:paraId="54172AEA" w14:textId="2053F6ED" w:rsidR="000756EB" w:rsidRPr="00984138" w:rsidRDefault="00984138" w:rsidP="00FF6191">
            <w:pPr>
              <w:pStyle w:val="TableColumnHeading"/>
              <w:jc w:val="right"/>
              <w:rPr>
                <w:rFonts w:asciiTheme="minorHAnsi" w:hAnsiTheme="minorHAnsi" w:cstheme="minorHAnsi"/>
                <w:sz w:val="20"/>
                <w:szCs w:val="28"/>
              </w:rPr>
            </w:pPr>
            <w:r w:rsidRPr="00984138">
              <w:rPr>
                <w:rFonts w:asciiTheme="minorHAnsi" w:hAnsiTheme="minorHAnsi" w:cstheme="minorHAnsi"/>
                <w:sz w:val="20"/>
                <w:szCs w:val="28"/>
              </w:rPr>
              <w:t>Bioscience</w:t>
            </w:r>
            <w:r>
              <w:rPr>
                <w:rFonts w:asciiTheme="minorHAnsi" w:hAnsiTheme="minorHAnsi" w:cstheme="minorHAnsi"/>
                <w:sz w:val="20"/>
                <w:szCs w:val="28"/>
              </w:rPr>
              <w:t xml:space="preserve"> </w:t>
            </w:r>
            <w:r w:rsidRPr="00984138">
              <w:rPr>
                <w:rFonts w:asciiTheme="minorHAnsi" w:hAnsiTheme="minorHAnsi" w:cstheme="minorHAnsi"/>
                <w:sz w:val="20"/>
                <w:szCs w:val="28"/>
              </w:rPr>
              <w:t>Research Centre</w:t>
            </w:r>
            <w:r>
              <w:rPr>
                <w:rFonts w:asciiTheme="minorHAnsi" w:hAnsiTheme="minorHAnsi" w:cstheme="minorHAnsi"/>
                <w:sz w:val="20"/>
                <w:szCs w:val="28"/>
              </w:rPr>
              <w:t xml:space="preserve"> </w:t>
            </w:r>
            <w:r w:rsidR="004A4D88" w:rsidRPr="00984138">
              <w:rPr>
                <w:rFonts w:asciiTheme="minorHAnsi" w:hAnsiTheme="minorHAnsi" w:cstheme="minorHAnsi"/>
                <w:sz w:val="20"/>
                <w:szCs w:val="28"/>
              </w:rPr>
              <w:t>2023</w:t>
            </w:r>
            <w:r w:rsidR="004A4D88" w:rsidRPr="00614829">
              <w:rPr>
                <w:rStyle w:val="FootnotereferencessuperscriptMisc"/>
                <w:sz w:val="20"/>
                <w:szCs w:val="28"/>
              </w:rPr>
              <w:t>(</w:t>
            </w:r>
            <w:proofErr w:type="spellStart"/>
            <w:r w:rsidR="004A4D88" w:rsidRPr="00614829">
              <w:rPr>
                <w:rStyle w:val="FootnotereferencessuperscriptMisc"/>
                <w:sz w:val="20"/>
                <w:szCs w:val="28"/>
              </w:rPr>
              <w:t>i</w:t>
            </w:r>
            <w:proofErr w:type="spellEnd"/>
            <w:r w:rsidR="004A4D88" w:rsidRPr="00614829">
              <w:rPr>
                <w:rStyle w:val="FootnotereferencessuperscriptMisc"/>
                <w:sz w:val="20"/>
                <w:szCs w:val="28"/>
              </w:rPr>
              <w:t>)</w:t>
            </w:r>
            <w:r w:rsidRPr="00614829">
              <w:rPr>
                <w:rStyle w:val="FootnotereferencessuperscriptMisc"/>
                <w:sz w:val="20"/>
                <w:szCs w:val="28"/>
              </w:rPr>
              <w:t xml:space="preserve"> </w:t>
            </w:r>
            <w:r w:rsidRPr="00984138">
              <w:rPr>
                <w:rFonts w:asciiTheme="minorHAnsi" w:hAnsiTheme="minorHAnsi" w:cstheme="minorHAnsi"/>
                <w:sz w:val="20"/>
                <w:szCs w:val="28"/>
              </w:rPr>
              <w:t>($</w:t>
            </w:r>
            <w:r w:rsidR="00FF6191">
              <w:rPr>
                <w:rFonts w:asciiTheme="minorHAnsi" w:hAnsiTheme="minorHAnsi" w:cstheme="minorHAnsi"/>
                <w:sz w:val="20"/>
                <w:szCs w:val="28"/>
              </w:rPr>
              <w:t> </w:t>
            </w:r>
            <w:r w:rsidRPr="00984138">
              <w:rPr>
                <w:rFonts w:asciiTheme="minorHAnsi" w:hAnsiTheme="minorHAnsi" w:cstheme="minorHAnsi"/>
                <w:sz w:val="20"/>
                <w:szCs w:val="28"/>
              </w:rPr>
              <w:t>thousand)</w:t>
            </w:r>
          </w:p>
        </w:tc>
        <w:tc>
          <w:tcPr>
            <w:tcW w:w="1361" w:type="dxa"/>
          </w:tcPr>
          <w:p w14:paraId="17D63671" w14:textId="475DE48D" w:rsidR="000756EB" w:rsidRPr="00984138" w:rsidRDefault="00984138" w:rsidP="00FF6191">
            <w:pPr>
              <w:pStyle w:val="TableColumnHeading"/>
              <w:jc w:val="right"/>
              <w:rPr>
                <w:rFonts w:asciiTheme="minorHAnsi" w:hAnsiTheme="minorHAnsi" w:cstheme="minorHAnsi"/>
                <w:sz w:val="20"/>
                <w:szCs w:val="28"/>
              </w:rPr>
            </w:pPr>
            <w:r w:rsidRPr="00984138">
              <w:rPr>
                <w:rFonts w:asciiTheme="minorHAnsi" w:hAnsiTheme="minorHAnsi" w:cstheme="minorHAnsi"/>
                <w:sz w:val="20"/>
                <w:szCs w:val="28"/>
              </w:rPr>
              <w:t>Bioscience</w:t>
            </w:r>
            <w:r>
              <w:rPr>
                <w:rFonts w:asciiTheme="minorHAnsi" w:hAnsiTheme="minorHAnsi" w:cstheme="minorHAnsi"/>
                <w:sz w:val="20"/>
                <w:szCs w:val="28"/>
              </w:rPr>
              <w:t xml:space="preserve"> </w:t>
            </w:r>
            <w:r w:rsidRPr="00984138">
              <w:rPr>
                <w:rFonts w:asciiTheme="minorHAnsi" w:hAnsiTheme="minorHAnsi" w:cstheme="minorHAnsi"/>
                <w:sz w:val="20"/>
                <w:szCs w:val="28"/>
              </w:rPr>
              <w:t>Research Centre</w:t>
            </w:r>
            <w:r>
              <w:rPr>
                <w:rFonts w:asciiTheme="minorHAnsi" w:hAnsiTheme="minorHAnsi" w:cstheme="minorHAnsi"/>
                <w:sz w:val="20"/>
                <w:szCs w:val="28"/>
              </w:rPr>
              <w:t xml:space="preserve"> </w:t>
            </w:r>
            <w:r w:rsidR="004A4D88" w:rsidRPr="00984138">
              <w:rPr>
                <w:rFonts w:asciiTheme="minorHAnsi" w:hAnsiTheme="minorHAnsi" w:cstheme="minorHAnsi"/>
                <w:sz w:val="20"/>
                <w:szCs w:val="28"/>
              </w:rPr>
              <w:t>2022</w:t>
            </w:r>
            <w:r>
              <w:rPr>
                <w:rFonts w:asciiTheme="minorHAnsi" w:hAnsiTheme="minorHAnsi" w:cstheme="minorHAnsi"/>
                <w:sz w:val="20"/>
                <w:szCs w:val="28"/>
              </w:rPr>
              <w:t xml:space="preserve"> </w:t>
            </w:r>
            <w:r w:rsidRPr="00984138">
              <w:rPr>
                <w:rFonts w:asciiTheme="minorHAnsi" w:hAnsiTheme="minorHAnsi" w:cstheme="minorHAnsi"/>
                <w:sz w:val="20"/>
                <w:szCs w:val="28"/>
              </w:rPr>
              <w:t>($ thousand)</w:t>
            </w:r>
          </w:p>
        </w:tc>
        <w:tc>
          <w:tcPr>
            <w:tcW w:w="1545" w:type="dxa"/>
          </w:tcPr>
          <w:p w14:paraId="0FF341F4" w14:textId="1190BE12" w:rsidR="000756EB" w:rsidRPr="00984138" w:rsidRDefault="00984138" w:rsidP="00FF6191">
            <w:pPr>
              <w:pStyle w:val="TableColumnHeading"/>
              <w:jc w:val="right"/>
              <w:rPr>
                <w:rFonts w:asciiTheme="minorHAnsi" w:hAnsiTheme="minorHAnsi" w:cstheme="minorHAnsi"/>
                <w:sz w:val="20"/>
                <w:szCs w:val="28"/>
              </w:rPr>
            </w:pPr>
            <w:r w:rsidRPr="00984138">
              <w:rPr>
                <w:rFonts w:asciiTheme="minorHAnsi" w:hAnsiTheme="minorHAnsi" w:cstheme="minorHAnsi"/>
                <w:sz w:val="20"/>
                <w:szCs w:val="28"/>
              </w:rPr>
              <w:t>Royal Melbourne Showgrounds</w:t>
            </w:r>
            <w:r>
              <w:rPr>
                <w:rFonts w:asciiTheme="minorHAnsi" w:hAnsiTheme="minorHAnsi" w:cstheme="minorHAnsi"/>
                <w:sz w:val="20"/>
                <w:szCs w:val="28"/>
              </w:rPr>
              <w:t xml:space="preserve"> </w:t>
            </w:r>
            <w:r w:rsidR="004A4D88" w:rsidRPr="00984138">
              <w:rPr>
                <w:rFonts w:asciiTheme="minorHAnsi" w:hAnsiTheme="minorHAnsi" w:cstheme="minorHAnsi"/>
                <w:sz w:val="20"/>
                <w:szCs w:val="28"/>
              </w:rPr>
              <w:t>2023</w:t>
            </w:r>
            <w:r w:rsidR="004A4D88" w:rsidRPr="00614829">
              <w:rPr>
                <w:rStyle w:val="FootnotereferencessuperscriptMisc"/>
                <w:sz w:val="20"/>
                <w:szCs w:val="28"/>
              </w:rPr>
              <w:t>(</w:t>
            </w:r>
            <w:proofErr w:type="spellStart"/>
            <w:r w:rsidR="004A4D88" w:rsidRPr="00614829">
              <w:rPr>
                <w:rStyle w:val="FootnotereferencessuperscriptMisc"/>
                <w:sz w:val="20"/>
                <w:szCs w:val="28"/>
              </w:rPr>
              <w:t>i</w:t>
            </w:r>
            <w:proofErr w:type="spellEnd"/>
            <w:r w:rsidR="004A4D88" w:rsidRPr="00614829">
              <w:rPr>
                <w:rStyle w:val="FootnotereferencessuperscriptMisc"/>
                <w:sz w:val="20"/>
                <w:szCs w:val="28"/>
              </w:rPr>
              <w:t>)</w:t>
            </w:r>
            <w:r w:rsidRPr="00614829">
              <w:rPr>
                <w:rStyle w:val="FootnotereferencessuperscriptMisc"/>
                <w:sz w:val="20"/>
                <w:szCs w:val="28"/>
              </w:rPr>
              <w:t xml:space="preserve"> </w:t>
            </w:r>
            <w:r w:rsidRPr="00984138">
              <w:rPr>
                <w:rFonts w:asciiTheme="minorHAnsi" w:hAnsiTheme="minorHAnsi" w:cstheme="minorHAnsi"/>
                <w:sz w:val="20"/>
                <w:szCs w:val="28"/>
              </w:rPr>
              <w:t>($</w:t>
            </w:r>
            <w:r w:rsidR="00FF6191">
              <w:rPr>
                <w:rFonts w:asciiTheme="minorHAnsi" w:hAnsiTheme="minorHAnsi" w:cstheme="minorHAnsi"/>
                <w:sz w:val="20"/>
                <w:szCs w:val="28"/>
              </w:rPr>
              <w:t> </w:t>
            </w:r>
            <w:r w:rsidRPr="00984138">
              <w:rPr>
                <w:rFonts w:asciiTheme="minorHAnsi" w:hAnsiTheme="minorHAnsi" w:cstheme="minorHAnsi"/>
                <w:sz w:val="20"/>
                <w:szCs w:val="28"/>
              </w:rPr>
              <w:t>thousand)</w:t>
            </w:r>
          </w:p>
        </w:tc>
        <w:tc>
          <w:tcPr>
            <w:tcW w:w="1545" w:type="dxa"/>
          </w:tcPr>
          <w:p w14:paraId="0235EA43" w14:textId="22895D8F" w:rsidR="000756EB" w:rsidRPr="00984138" w:rsidRDefault="00984138" w:rsidP="00FF6191">
            <w:pPr>
              <w:pStyle w:val="TableColumnHeading"/>
              <w:jc w:val="right"/>
              <w:rPr>
                <w:rFonts w:asciiTheme="minorHAnsi" w:hAnsiTheme="minorHAnsi" w:cstheme="minorHAnsi"/>
                <w:sz w:val="20"/>
                <w:szCs w:val="28"/>
              </w:rPr>
            </w:pPr>
            <w:r w:rsidRPr="00984138">
              <w:rPr>
                <w:rFonts w:asciiTheme="minorHAnsi" w:hAnsiTheme="minorHAnsi" w:cstheme="minorHAnsi"/>
                <w:sz w:val="20"/>
                <w:szCs w:val="28"/>
              </w:rPr>
              <w:t>Royal Melbourne Showgrounds</w:t>
            </w:r>
            <w:r>
              <w:rPr>
                <w:rFonts w:asciiTheme="minorHAnsi" w:hAnsiTheme="minorHAnsi" w:cstheme="minorHAnsi"/>
                <w:sz w:val="20"/>
                <w:szCs w:val="28"/>
              </w:rPr>
              <w:t xml:space="preserve"> </w:t>
            </w:r>
            <w:r w:rsidR="004A4D88" w:rsidRPr="00984138">
              <w:rPr>
                <w:rFonts w:asciiTheme="minorHAnsi" w:hAnsiTheme="minorHAnsi" w:cstheme="minorHAnsi"/>
                <w:sz w:val="20"/>
                <w:szCs w:val="28"/>
              </w:rPr>
              <w:t>2022</w:t>
            </w:r>
            <w:r>
              <w:rPr>
                <w:rFonts w:asciiTheme="minorHAnsi" w:hAnsiTheme="minorHAnsi" w:cstheme="minorHAnsi"/>
                <w:sz w:val="20"/>
                <w:szCs w:val="28"/>
              </w:rPr>
              <w:t xml:space="preserve"> </w:t>
            </w:r>
            <w:r w:rsidRPr="00984138">
              <w:rPr>
                <w:rFonts w:asciiTheme="minorHAnsi" w:hAnsiTheme="minorHAnsi" w:cstheme="minorHAnsi"/>
                <w:sz w:val="20"/>
                <w:szCs w:val="28"/>
              </w:rPr>
              <w:t>($</w:t>
            </w:r>
            <w:r w:rsidR="00FF6191">
              <w:rPr>
                <w:rFonts w:asciiTheme="minorHAnsi" w:hAnsiTheme="minorHAnsi" w:cstheme="minorHAnsi"/>
                <w:sz w:val="20"/>
                <w:szCs w:val="28"/>
              </w:rPr>
              <w:t> </w:t>
            </w:r>
            <w:r w:rsidRPr="00984138">
              <w:rPr>
                <w:rFonts w:asciiTheme="minorHAnsi" w:hAnsiTheme="minorHAnsi" w:cstheme="minorHAnsi"/>
                <w:sz w:val="20"/>
                <w:szCs w:val="28"/>
              </w:rPr>
              <w:t>thousand)</w:t>
            </w:r>
          </w:p>
        </w:tc>
      </w:tr>
      <w:tr w:rsidR="000756EB" w:rsidRPr="00984138" w14:paraId="2FC14FDD" w14:textId="77777777" w:rsidTr="00984138">
        <w:trPr>
          <w:trHeight w:val="113"/>
        </w:trPr>
        <w:tc>
          <w:tcPr>
            <w:tcW w:w="4531" w:type="dxa"/>
          </w:tcPr>
          <w:p w14:paraId="7245EA17" w14:textId="25C82980" w:rsidR="000756EB" w:rsidRPr="00984138" w:rsidRDefault="004A4D88" w:rsidP="00984138">
            <w:pPr>
              <w:pStyle w:val="TableHeading"/>
            </w:pPr>
            <w:r w:rsidRPr="00984138">
              <w:t>Current</w:t>
            </w:r>
            <w:r w:rsidR="00A03629" w:rsidRPr="00984138">
              <w:t xml:space="preserve"> </w:t>
            </w:r>
            <w:r w:rsidRPr="00984138">
              <w:t>assets</w:t>
            </w:r>
          </w:p>
        </w:tc>
        <w:tc>
          <w:tcPr>
            <w:tcW w:w="1361" w:type="dxa"/>
          </w:tcPr>
          <w:p w14:paraId="7F3260EC" w14:textId="77777777" w:rsidR="000756EB" w:rsidRPr="00984138" w:rsidRDefault="000756EB" w:rsidP="00FF6191">
            <w:pPr>
              <w:pStyle w:val="TableHeading"/>
              <w:jc w:val="right"/>
            </w:pPr>
          </w:p>
        </w:tc>
        <w:tc>
          <w:tcPr>
            <w:tcW w:w="1361" w:type="dxa"/>
          </w:tcPr>
          <w:p w14:paraId="4ABD4594" w14:textId="77777777" w:rsidR="000756EB" w:rsidRPr="00984138" w:rsidRDefault="000756EB" w:rsidP="00FF6191">
            <w:pPr>
              <w:pStyle w:val="TableHeading"/>
              <w:jc w:val="right"/>
            </w:pPr>
          </w:p>
        </w:tc>
        <w:tc>
          <w:tcPr>
            <w:tcW w:w="1545" w:type="dxa"/>
          </w:tcPr>
          <w:p w14:paraId="5A2324BE" w14:textId="77777777" w:rsidR="000756EB" w:rsidRPr="00984138" w:rsidRDefault="000756EB" w:rsidP="00FF6191">
            <w:pPr>
              <w:pStyle w:val="TableHeading"/>
              <w:jc w:val="right"/>
            </w:pPr>
          </w:p>
        </w:tc>
        <w:tc>
          <w:tcPr>
            <w:tcW w:w="1545" w:type="dxa"/>
          </w:tcPr>
          <w:p w14:paraId="11456F08" w14:textId="77777777" w:rsidR="000756EB" w:rsidRPr="00984138" w:rsidRDefault="000756EB" w:rsidP="00FF6191">
            <w:pPr>
              <w:pStyle w:val="TableHeading"/>
              <w:jc w:val="right"/>
            </w:pPr>
          </w:p>
        </w:tc>
      </w:tr>
      <w:tr w:rsidR="000756EB" w14:paraId="788F5105" w14:textId="77777777" w:rsidTr="00984138">
        <w:trPr>
          <w:trHeight w:val="113"/>
        </w:trPr>
        <w:tc>
          <w:tcPr>
            <w:tcW w:w="4531" w:type="dxa"/>
          </w:tcPr>
          <w:p w14:paraId="26218F7A" w14:textId="105FF1D7" w:rsidR="000756EB" w:rsidRDefault="004A4D88" w:rsidP="00984138">
            <w:pPr>
              <w:pStyle w:val="TableCopy"/>
            </w:pPr>
            <w:r>
              <w:t>Cash</w:t>
            </w:r>
            <w:r w:rsidR="00A03629">
              <w:t xml:space="preserve"> </w:t>
            </w:r>
            <w:r>
              <w:t>and</w:t>
            </w:r>
            <w:r w:rsidR="00A03629">
              <w:t xml:space="preserve"> </w:t>
            </w:r>
            <w:r>
              <w:t>deposits</w:t>
            </w:r>
          </w:p>
        </w:tc>
        <w:tc>
          <w:tcPr>
            <w:tcW w:w="1361" w:type="dxa"/>
          </w:tcPr>
          <w:p w14:paraId="708A0C04" w14:textId="04B88569" w:rsidR="000756EB" w:rsidRDefault="004A4D88" w:rsidP="00FF6191">
            <w:pPr>
              <w:pStyle w:val="TableCopy"/>
              <w:jc w:val="right"/>
            </w:pPr>
            <w:r>
              <w:t>–</w:t>
            </w:r>
          </w:p>
        </w:tc>
        <w:tc>
          <w:tcPr>
            <w:tcW w:w="1361" w:type="dxa"/>
          </w:tcPr>
          <w:p w14:paraId="7AFBE757" w14:textId="35E2C4AB" w:rsidR="000756EB" w:rsidRDefault="004A4D88" w:rsidP="00FF6191">
            <w:pPr>
              <w:pStyle w:val="TableCopy"/>
              <w:jc w:val="right"/>
            </w:pPr>
            <w:r>
              <w:t>–</w:t>
            </w:r>
          </w:p>
        </w:tc>
        <w:tc>
          <w:tcPr>
            <w:tcW w:w="1545" w:type="dxa"/>
          </w:tcPr>
          <w:p w14:paraId="2CE6F868" w14:textId="579F9E73" w:rsidR="000756EB" w:rsidRDefault="004A4D88" w:rsidP="00FF6191">
            <w:pPr>
              <w:pStyle w:val="TableCopy"/>
              <w:jc w:val="right"/>
            </w:pPr>
            <w:r>
              <w:t>–</w:t>
            </w:r>
          </w:p>
        </w:tc>
        <w:tc>
          <w:tcPr>
            <w:tcW w:w="1545" w:type="dxa"/>
          </w:tcPr>
          <w:p w14:paraId="33D474BD" w14:textId="218E82D0" w:rsidR="000756EB" w:rsidRDefault="004A4D88" w:rsidP="00FF6191">
            <w:pPr>
              <w:pStyle w:val="TableCopy"/>
              <w:jc w:val="right"/>
            </w:pPr>
            <w:r>
              <w:t>103</w:t>
            </w:r>
          </w:p>
        </w:tc>
      </w:tr>
      <w:tr w:rsidR="000756EB" w14:paraId="19EBFD33" w14:textId="77777777" w:rsidTr="00984138">
        <w:trPr>
          <w:trHeight w:val="113"/>
        </w:trPr>
        <w:tc>
          <w:tcPr>
            <w:tcW w:w="4531" w:type="dxa"/>
          </w:tcPr>
          <w:p w14:paraId="2D242F45" w14:textId="44FC33F5" w:rsidR="000756EB" w:rsidRDefault="004A4D88" w:rsidP="00984138">
            <w:pPr>
              <w:pStyle w:val="TableCopy"/>
            </w:pPr>
            <w:r>
              <w:t>Receivables</w:t>
            </w:r>
            <w:r w:rsidR="00A03629">
              <w:t xml:space="preserve"> </w:t>
            </w:r>
          </w:p>
        </w:tc>
        <w:tc>
          <w:tcPr>
            <w:tcW w:w="1361" w:type="dxa"/>
          </w:tcPr>
          <w:p w14:paraId="603626AF" w14:textId="490FEF30" w:rsidR="000756EB" w:rsidRDefault="004A4D88" w:rsidP="00FF6191">
            <w:pPr>
              <w:pStyle w:val="TableCopy"/>
              <w:jc w:val="right"/>
            </w:pPr>
            <w:r>
              <w:t>–</w:t>
            </w:r>
          </w:p>
        </w:tc>
        <w:tc>
          <w:tcPr>
            <w:tcW w:w="1361" w:type="dxa"/>
          </w:tcPr>
          <w:p w14:paraId="1876DF65" w14:textId="0357D9B6" w:rsidR="000756EB" w:rsidRDefault="004A4D88" w:rsidP="00FF6191">
            <w:pPr>
              <w:pStyle w:val="TableCopy"/>
              <w:jc w:val="right"/>
            </w:pPr>
            <w:r>
              <w:t>7,127</w:t>
            </w:r>
          </w:p>
        </w:tc>
        <w:tc>
          <w:tcPr>
            <w:tcW w:w="1545" w:type="dxa"/>
          </w:tcPr>
          <w:p w14:paraId="2364D4AC" w14:textId="5C47C35A" w:rsidR="000756EB" w:rsidRDefault="004A4D88" w:rsidP="00FF6191">
            <w:pPr>
              <w:pStyle w:val="TableCopy"/>
              <w:jc w:val="right"/>
            </w:pPr>
            <w:r>
              <w:t>–</w:t>
            </w:r>
          </w:p>
        </w:tc>
        <w:tc>
          <w:tcPr>
            <w:tcW w:w="1545" w:type="dxa"/>
          </w:tcPr>
          <w:p w14:paraId="6E3FA00D" w14:textId="481E424A" w:rsidR="000756EB" w:rsidRDefault="004A4D88" w:rsidP="00FF6191">
            <w:pPr>
              <w:pStyle w:val="TableCopy"/>
              <w:jc w:val="right"/>
            </w:pPr>
            <w:r>
              <w:t>247</w:t>
            </w:r>
          </w:p>
        </w:tc>
      </w:tr>
      <w:tr w:rsidR="000756EB" w:rsidRPr="00984138" w14:paraId="0F470782" w14:textId="77777777" w:rsidTr="00984138">
        <w:trPr>
          <w:trHeight w:val="113"/>
        </w:trPr>
        <w:tc>
          <w:tcPr>
            <w:tcW w:w="4531" w:type="dxa"/>
          </w:tcPr>
          <w:p w14:paraId="0D5D455A" w14:textId="107CADE5" w:rsidR="000756EB" w:rsidRPr="00984138" w:rsidRDefault="004A4D88" w:rsidP="00984138">
            <w:pPr>
              <w:pStyle w:val="TableCopy"/>
              <w:rPr>
                <w:b/>
                <w:bCs/>
              </w:rPr>
            </w:pPr>
            <w:r w:rsidRPr="00984138">
              <w:rPr>
                <w:b/>
                <w:bCs/>
              </w:rPr>
              <w:t>Total</w:t>
            </w:r>
            <w:r w:rsidR="00A03629" w:rsidRPr="00984138">
              <w:rPr>
                <w:b/>
                <w:bCs/>
              </w:rPr>
              <w:t xml:space="preserve"> </w:t>
            </w:r>
            <w:r w:rsidRPr="00984138">
              <w:rPr>
                <w:b/>
                <w:bCs/>
              </w:rPr>
              <w:t>current</w:t>
            </w:r>
            <w:r w:rsidR="00A03629" w:rsidRPr="00984138">
              <w:rPr>
                <w:b/>
                <w:bCs/>
              </w:rPr>
              <w:t xml:space="preserve"> </w:t>
            </w:r>
            <w:r w:rsidRPr="00984138">
              <w:rPr>
                <w:b/>
                <w:bCs/>
              </w:rPr>
              <w:t>assets</w:t>
            </w:r>
          </w:p>
        </w:tc>
        <w:tc>
          <w:tcPr>
            <w:tcW w:w="1361" w:type="dxa"/>
          </w:tcPr>
          <w:p w14:paraId="4E3A4D89" w14:textId="4BE1EE9E" w:rsidR="000756EB" w:rsidRPr="00984138" w:rsidRDefault="004A4D88" w:rsidP="00FF6191">
            <w:pPr>
              <w:pStyle w:val="TableCopy"/>
              <w:jc w:val="right"/>
              <w:rPr>
                <w:b/>
                <w:bCs/>
              </w:rPr>
            </w:pPr>
            <w:r w:rsidRPr="00984138">
              <w:rPr>
                <w:b/>
                <w:bCs/>
              </w:rPr>
              <w:t>–</w:t>
            </w:r>
          </w:p>
        </w:tc>
        <w:tc>
          <w:tcPr>
            <w:tcW w:w="1361" w:type="dxa"/>
          </w:tcPr>
          <w:p w14:paraId="2DBD5152" w14:textId="358C0628" w:rsidR="000756EB" w:rsidRPr="00984138" w:rsidRDefault="004A4D88" w:rsidP="00FF6191">
            <w:pPr>
              <w:pStyle w:val="TableCopy"/>
              <w:jc w:val="right"/>
              <w:rPr>
                <w:b/>
                <w:bCs/>
              </w:rPr>
            </w:pPr>
            <w:r w:rsidRPr="00984138">
              <w:rPr>
                <w:b/>
                <w:bCs/>
              </w:rPr>
              <w:t>7,127</w:t>
            </w:r>
          </w:p>
        </w:tc>
        <w:tc>
          <w:tcPr>
            <w:tcW w:w="1545" w:type="dxa"/>
          </w:tcPr>
          <w:p w14:paraId="52E57461" w14:textId="57D4EF71" w:rsidR="000756EB" w:rsidRPr="00984138" w:rsidRDefault="004A4D88" w:rsidP="00FF6191">
            <w:pPr>
              <w:pStyle w:val="TableCopy"/>
              <w:jc w:val="right"/>
              <w:rPr>
                <w:b/>
                <w:bCs/>
              </w:rPr>
            </w:pPr>
            <w:r w:rsidRPr="00984138">
              <w:rPr>
                <w:b/>
                <w:bCs/>
              </w:rPr>
              <w:t>–</w:t>
            </w:r>
          </w:p>
        </w:tc>
        <w:tc>
          <w:tcPr>
            <w:tcW w:w="1545" w:type="dxa"/>
          </w:tcPr>
          <w:p w14:paraId="47AE92EA" w14:textId="1EF2A3C2" w:rsidR="000756EB" w:rsidRPr="00984138" w:rsidRDefault="004A4D88" w:rsidP="00FF6191">
            <w:pPr>
              <w:pStyle w:val="TableCopy"/>
              <w:jc w:val="right"/>
              <w:rPr>
                <w:b/>
                <w:bCs/>
              </w:rPr>
            </w:pPr>
            <w:r w:rsidRPr="00984138">
              <w:rPr>
                <w:b/>
                <w:bCs/>
              </w:rPr>
              <w:t>350</w:t>
            </w:r>
          </w:p>
        </w:tc>
      </w:tr>
      <w:tr w:rsidR="000756EB" w:rsidRPr="00984138" w14:paraId="289D27F9" w14:textId="77777777" w:rsidTr="00984138">
        <w:trPr>
          <w:trHeight w:val="113"/>
        </w:trPr>
        <w:tc>
          <w:tcPr>
            <w:tcW w:w="4531" w:type="dxa"/>
          </w:tcPr>
          <w:p w14:paraId="32F7BA4E" w14:textId="36482553" w:rsidR="000756EB" w:rsidRPr="00984138" w:rsidRDefault="004A4D88" w:rsidP="00984138">
            <w:pPr>
              <w:pStyle w:val="TableHeading"/>
            </w:pPr>
            <w:r w:rsidRPr="00984138">
              <w:t>Non-current</w:t>
            </w:r>
            <w:r w:rsidR="00A03629" w:rsidRPr="00984138">
              <w:t xml:space="preserve"> </w:t>
            </w:r>
            <w:r w:rsidRPr="00984138">
              <w:t>assets</w:t>
            </w:r>
            <w:r w:rsidR="00A03629" w:rsidRPr="00984138">
              <w:t xml:space="preserve"> </w:t>
            </w:r>
          </w:p>
        </w:tc>
        <w:tc>
          <w:tcPr>
            <w:tcW w:w="1361" w:type="dxa"/>
          </w:tcPr>
          <w:p w14:paraId="64B2FF07" w14:textId="77777777" w:rsidR="000756EB" w:rsidRPr="00984138" w:rsidRDefault="000756EB" w:rsidP="00FF6191">
            <w:pPr>
              <w:pStyle w:val="TableHeading"/>
              <w:jc w:val="right"/>
            </w:pPr>
          </w:p>
        </w:tc>
        <w:tc>
          <w:tcPr>
            <w:tcW w:w="1361" w:type="dxa"/>
          </w:tcPr>
          <w:p w14:paraId="41EE8E54" w14:textId="77777777" w:rsidR="000756EB" w:rsidRPr="00984138" w:rsidRDefault="000756EB" w:rsidP="00FF6191">
            <w:pPr>
              <w:pStyle w:val="TableHeading"/>
              <w:jc w:val="right"/>
            </w:pPr>
          </w:p>
        </w:tc>
        <w:tc>
          <w:tcPr>
            <w:tcW w:w="1545" w:type="dxa"/>
          </w:tcPr>
          <w:p w14:paraId="77D6FDBC" w14:textId="77777777" w:rsidR="000756EB" w:rsidRPr="00984138" w:rsidRDefault="000756EB" w:rsidP="00FF6191">
            <w:pPr>
              <w:pStyle w:val="TableHeading"/>
              <w:jc w:val="right"/>
            </w:pPr>
          </w:p>
        </w:tc>
        <w:tc>
          <w:tcPr>
            <w:tcW w:w="1545" w:type="dxa"/>
          </w:tcPr>
          <w:p w14:paraId="0DD1119B" w14:textId="77777777" w:rsidR="000756EB" w:rsidRPr="00984138" w:rsidRDefault="000756EB" w:rsidP="00FF6191">
            <w:pPr>
              <w:pStyle w:val="TableHeading"/>
              <w:jc w:val="right"/>
            </w:pPr>
          </w:p>
        </w:tc>
      </w:tr>
      <w:tr w:rsidR="000756EB" w14:paraId="7D9F110E" w14:textId="77777777" w:rsidTr="00984138">
        <w:trPr>
          <w:trHeight w:val="113"/>
        </w:trPr>
        <w:tc>
          <w:tcPr>
            <w:tcW w:w="4531" w:type="dxa"/>
          </w:tcPr>
          <w:p w14:paraId="30134BEE" w14:textId="27740E6F" w:rsidR="000756EB" w:rsidRDefault="004A4D88" w:rsidP="00984138">
            <w:pPr>
              <w:pStyle w:val="TableCopy"/>
            </w:pPr>
            <w:proofErr w:type="spellStart"/>
            <w:proofErr w:type="gramStart"/>
            <w:r>
              <w:t>Non</w:t>
            </w:r>
            <w:r w:rsidR="00A03629">
              <w:t xml:space="preserve"> </w:t>
            </w:r>
            <w:r>
              <w:t>current</w:t>
            </w:r>
            <w:proofErr w:type="spellEnd"/>
            <w:proofErr w:type="gramEnd"/>
            <w:r w:rsidR="00A03629">
              <w:t xml:space="preserve"> </w:t>
            </w:r>
            <w:r>
              <w:t>receivable</w:t>
            </w:r>
          </w:p>
        </w:tc>
        <w:tc>
          <w:tcPr>
            <w:tcW w:w="1361" w:type="dxa"/>
          </w:tcPr>
          <w:p w14:paraId="6F54C672" w14:textId="5D811DEB" w:rsidR="000756EB" w:rsidRDefault="004A4D88" w:rsidP="00FF6191">
            <w:pPr>
              <w:pStyle w:val="TableCopy"/>
              <w:jc w:val="right"/>
            </w:pPr>
            <w:r>
              <w:t>–</w:t>
            </w:r>
          </w:p>
        </w:tc>
        <w:tc>
          <w:tcPr>
            <w:tcW w:w="1361" w:type="dxa"/>
          </w:tcPr>
          <w:p w14:paraId="224DED37" w14:textId="3D65B569" w:rsidR="000756EB" w:rsidRDefault="004A4D88" w:rsidP="00FF6191">
            <w:pPr>
              <w:pStyle w:val="TableCopy"/>
              <w:jc w:val="right"/>
            </w:pPr>
            <w:r>
              <w:t>6,337</w:t>
            </w:r>
          </w:p>
        </w:tc>
        <w:tc>
          <w:tcPr>
            <w:tcW w:w="1545" w:type="dxa"/>
          </w:tcPr>
          <w:p w14:paraId="22921CBE" w14:textId="01ED4C59" w:rsidR="000756EB" w:rsidRDefault="004A4D88" w:rsidP="00FF6191">
            <w:pPr>
              <w:pStyle w:val="TableCopy"/>
              <w:jc w:val="right"/>
            </w:pPr>
            <w:r>
              <w:t>–</w:t>
            </w:r>
          </w:p>
        </w:tc>
        <w:tc>
          <w:tcPr>
            <w:tcW w:w="1545" w:type="dxa"/>
          </w:tcPr>
          <w:p w14:paraId="5A655C9E" w14:textId="0796A596" w:rsidR="000756EB" w:rsidRDefault="004A4D88" w:rsidP="00FF6191">
            <w:pPr>
              <w:pStyle w:val="TableCopy"/>
              <w:jc w:val="right"/>
            </w:pPr>
            <w:r>
              <w:t>–</w:t>
            </w:r>
          </w:p>
        </w:tc>
      </w:tr>
      <w:tr w:rsidR="000756EB" w14:paraId="477DCA54" w14:textId="77777777" w:rsidTr="00984138">
        <w:trPr>
          <w:trHeight w:val="113"/>
        </w:trPr>
        <w:tc>
          <w:tcPr>
            <w:tcW w:w="4531" w:type="dxa"/>
          </w:tcPr>
          <w:p w14:paraId="5A5E495C" w14:textId="05B233A8" w:rsidR="000756EB" w:rsidRDefault="004A4D88" w:rsidP="00984138">
            <w:pPr>
              <w:pStyle w:val="TableCopy"/>
            </w:pPr>
            <w:r>
              <w:t>Property,</w:t>
            </w:r>
            <w:r w:rsidR="00A03629">
              <w:t xml:space="preserve"> </w:t>
            </w:r>
            <w:proofErr w:type="gramStart"/>
            <w:r>
              <w:t>plant</w:t>
            </w:r>
            <w:proofErr w:type="gramEnd"/>
            <w:r w:rsidR="00A03629">
              <w:t xml:space="preserve"> </w:t>
            </w:r>
            <w:r>
              <w:t>and</w:t>
            </w:r>
            <w:r w:rsidR="00A03629">
              <w:t xml:space="preserve"> </w:t>
            </w:r>
            <w:r>
              <w:t>equipment</w:t>
            </w:r>
          </w:p>
        </w:tc>
        <w:tc>
          <w:tcPr>
            <w:tcW w:w="1361" w:type="dxa"/>
          </w:tcPr>
          <w:p w14:paraId="6E313140" w14:textId="395B2843" w:rsidR="000756EB" w:rsidRDefault="004A4D88" w:rsidP="00FF6191">
            <w:pPr>
              <w:pStyle w:val="TableCopy"/>
              <w:jc w:val="right"/>
            </w:pPr>
            <w:r>
              <w:t>–</w:t>
            </w:r>
          </w:p>
        </w:tc>
        <w:tc>
          <w:tcPr>
            <w:tcW w:w="1361" w:type="dxa"/>
          </w:tcPr>
          <w:p w14:paraId="703B547D" w14:textId="792468B8" w:rsidR="000756EB" w:rsidRDefault="004A4D88" w:rsidP="00FF6191">
            <w:pPr>
              <w:pStyle w:val="TableCopy"/>
              <w:jc w:val="right"/>
            </w:pPr>
            <w:r>
              <w:t>93,706</w:t>
            </w:r>
          </w:p>
        </w:tc>
        <w:tc>
          <w:tcPr>
            <w:tcW w:w="1545" w:type="dxa"/>
          </w:tcPr>
          <w:p w14:paraId="2F254383" w14:textId="04D25C53" w:rsidR="000756EB" w:rsidRDefault="004A4D88" w:rsidP="00FF6191">
            <w:pPr>
              <w:pStyle w:val="TableCopy"/>
              <w:jc w:val="right"/>
            </w:pPr>
            <w:r>
              <w:t>–</w:t>
            </w:r>
          </w:p>
        </w:tc>
        <w:tc>
          <w:tcPr>
            <w:tcW w:w="1545" w:type="dxa"/>
          </w:tcPr>
          <w:p w14:paraId="439BB50F" w14:textId="152C8AD6" w:rsidR="000756EB" w:rsidRDefault="004A4D88" w:rsidP="00FF6191">
            <w:pPr>
              <w:pStyle w:val="TableCopy"/>
              <w:jc w:val="right"/>
            </w:pPr>
            <w:r>
              <w:t>101,307</w:t>
            </w:r>
          </w:p>
        </w:tc>
      </w:tr>
      <w:tr w:rsidR="000756EB" w:rsidRPr="00984138" w14:paraId="4EEE029D" w14:textId="77777777" w:rsidTr="00984138">
        <w:trPr>
          <w:trHeight w:val="113"/>
        </w:trPr>
        <w:tc>
          <w:tcPr>
            <w:tcW w:w="4531" w:type="dxa"/>
          </w:tcPr>
          <w:p w14:paraId="3FC7D61A" w14:textId="1AFFC5FB" w:rsidR="000756EB" w:rsidRPr="00984138" w:rsidRDefault="004A4D88" w:rsidP="00984138">
            <w:pPr>
              <w:pStyle w:val="TableCopy"/>
              <w:rPr>
                <w:b/>
                <w:bCs/>
              </w:rPr>
            </w:pPr>
            <w:r w:rsidRPr="00984138">
              <w:rPr>
                <w:b/>
                <w:bCs/>
              </w:rPr>
              <w:t>Total</w:t>
            </w:r>
            <w:r w:rsidR="00A03629" w:rsidRPr="00984138">
              <w:rPr>
                <w:b/>
                <w:bCs/>
              </w:rPr>
              <w:t xml:space="preserve"> </w:t>
            </w:r>
            <w:r w:rsidRPr="00984138">
              <w:rPr>
                <w:b/>
                <w:bCs/>
              </w:rPr>
              <w:t>non-current</w:t>
            </w:r>
            <w:r w:rsidR="00A03629" w:rsidRPr="00984138">
              <w:rPr>
                <w:b/>
                <w:bCs/>
              </w:rPr>
              <w:t xml:space="preserve"> </w:t>
            </w:r>
            <w:r w:rsidRPr="00984138">
              <w:rPr>
                <w:b/>
                <w:bCs/>
              </w:rPr>
              <w:t>assets</w:t>
            </w:r>
          </w:p>
        </w:tc>
        <w:tc>
          <w:tcPr>
            <w:tcW w:w="1361" w:type="dxa"/>
          </w:tcPr>
          <w:p w14:paraId="706D7843" w14:textId="68D6ED6F" w:rsidR="000756EB" w:rsidRPr="00984138" w:rsidRDefault="004A4D88" w:rsidP="00FF6191">
            <w:pPr>
              <w:pStyle w:val="TableCopy"/>
              <w:jc w:val="right"/>
              <w:rPr>
                <w:b/>
                <w:bCs/>
              </w:rPr>
            </w:pPr>
            <w:r w:rsidRPr="00984138">
              <w:rPr>
                <w:b/>
                <w:bCs/>
              </w:rPr>
              <w:t>–</w:t>
            </w:r>
          </w:p>
        </w:tc>
        <w:tc>
          <w:tcPr>
            <w:tcW w:w="1361" w:type="dxa"/>
          </w:tcPr>
          <w:p w14:paraId="32AB93DB" w14:textId="185FB649" w:rsidR="000756EB" w:rsidRPr="00984138" w:rsidRDefault="004A4D88" w:rsidP="00FF6191">
            <w:pPr>
              <w:pStyle w:val="TableCopy"/>
              <w:jc w:val="right"/>
              <w:rPr>
                <w:b/>
                <w:bCs/>
              </w:rPr>
            </w:pPr>
            <w:r w:rsidRPr="00984138">
              <w:rPr>
                <w:b/>
                <w:bCs/>
              </w:rPr>
              <w:t>100,043</w:t>
            </w:r>
          </w:p>
        </w:tc>
        <w:tc>
          <w:tcPr>
            <w:tcW w:w="1545" w:type="dxa"/>
          </w:tcPr>
          <w:p w14:paraId="7B541996" w14:textId="2AE0C4C5" w:rsidR="000756EB" w:rsidRPr="00984138" w:rsidRDefault="004A4D88" w:rsidP="00FF6191">
            <w:pPr>
              <w:pStyle w:val="TableCopy"/>
              <w:jc w:val="right"/>
              <w:rPr>
                <w:b/>
                <w:bCs/>
              </w:rPr>
            </w:pPr>
            <w:r w:rsidRPr="00984138">
              <w:rPr>
                <w:b/>
                <w:bCs/>
              </w:rPr>
              <w:t>–</w:t>
            </w:r>
          </w:p>
        </w:tc>
        <w:tc>
          <w:tcPr>
            <w:tcW w:w="1545" w:type="dxa"/>
          </w:tcPr>
          <w:p w14:paraId="6466984F" w14:textId="0BE98087" w:rsidR="000756EB" w:rsidRPr="00984138" w:rsidRDefault="004A4D88" w:rsidP="00FF6191">
            <w:pPr>
              <w:pStyle w:val="TableCopy"/>
              <w:jc w:val="right"/>
              <w:rPr>
                <w:b/>
                <w:bCs/>
              </w:rPr>
            </w:pPr>
            <w:r w:rsidRPr="00984138">
              <w:rPr>
                <w:b/>
                <w:bCs/>
              </w:rPr>
              <w:t>101,307</w:t>
            </w:r>
          </w:p>
        </w:tc>
      </w:tr>
      <w:tr w:rsidR="000756EB" w:rsidRPr="00984138" w14:paraId="45E61379" w14:textId="77777777" w:rsidTr="00984138">
        <w:trPr>
          <w:trHeight w:val="113"/>
        </w:trPr>
        <w:tc>
          <w:tcPr>
            <w:tcW w:w="4531" w:type="dxa"/>
          </w:tcPr>
          <w:p w14:paraId="1BE71ACD" w14:textId="01E05A13" w:rsidR="000756EB" w:rsidRPr="00984138" w:rsidRDefault="004A4D88" w:rsidP="00984138">
            <w:pPr>
              <w:pStyle w:val="TableCopy"/>
              <w:rPr>
                <w:b/>
                <w:bCs/>
              </w:rPr>
            </w:pPr>
            <w:r w:rsidRPr="00984138">
              <w:rPr>
                <w:b/>
                <w:bCs/>
              </w:rPr>
              <w:t>Total</w:t>
            </w:r>
            <w:r w:rsidR="00A03629" w:rsidRPr="00984138">
              <w:rPr>
                <w:b/>
                <w:bCs/>
              </w:rPr>
              <w:t xml:space="preserve"> </w:t>
            </w:r>
            <w:r w:rsidRPr="00984138">
              <w:rPr>
                <w:b/>
                <w:bCs/>
              </w:rPr>
              <w:t>assets</w:t>
            </w:r>
          </w:p>
        </w:tc>
        <w:tc>
          <w:tcPr>
            <w:tcW w:w="1361" w:type="dxa"/>
          </w:tcPr>
          <w:p w14:paraId="0BFBF52E" w14:textId="17F46F0C" w:rsidR="000756EB" w:rsidRPr="00984138" w:rsidRDefault="004A4D88" w:rsidP="00FF6191">
            <w:pPr>
              <w:pStyle w:val="TableCopy"/>
              <w:jc w:val="right"/>
              <w:rPr>
                <w:b/>
                <w:bCs/>
              </w:rPr>
            </w:pPr>
            <w:r w:rsidRPr="00984138">
              <w:rPr>
                <w:b/>
                <w:bCs/>
              </w:rPr>
              <w:t>–</w:t>
            </w:r>
          </w:p>
        </w:tc>
        <w:tc>
          <w:tcPr>
            <w:tcW w:w="1361" w:type="dxa"/>
          </w:tcPr>
          <w:p w14:paraId="5BF99CDB" w14:textId="1754D516" w:rsidR="000756EB" w:rsidRPr="00984138" w:rsidRDefault="004A4D88" w:rsidP="00FF6191">
            <w:pPr>
              <w:pStyle w:val="TableCopy"/>
              <w:jc w:val="right"/>
              <w:rPr>
                <w:b/>
                <w:bCs/>
              </w:rPr>
            </w:pPr>
            <w:r w:rsidRPr="00984138">
              <w:rPr>
                <w:b/>
                <w:bCs/>
              </w:rPr>
              <w:t>107,170</w:t>
            </w:r>
          </w:p>
        </w:tc>
        <w:tc>
          <w:tcPr>
            <w:tcW w:w="1545" w:type="dxa"/>
          </w:tcPr>
          <w:p w14:paraId="120371C7" w14:textId="2C7F6989" w:rsidR="000756EB" w:rsidRPr="00984138" w:rsidRDefault="004A4D88" w:rsidP="00FF6191">
            <w:pPr>
              <w:pStyle w:val="TableCopy"/>
              <w:jc w:val="right"/>
              <w:rPr>
                <w:b/>
                <w:bCs/>
              </w:rPr>
            </w:pPr>
            <w:r w:rsidRPr="00984138">
              <w:rPr>
                <w:b/>
                <w:bCs/>
              </w:rPr>
              <w:t>–</w:t>
            </w:r>
          </w:p>
        </w:tc>
        <w:tc>
          <w:tcPr>
            <w:tcW w:w="1545" w:type="dxa"/>
          </w:tcPr>
          <w:p w14:paraId="29308835" w14:textId="2F007D9E" w:rsidR="000756EB" w:rsidRPr="00984138" w:rsidRDefault="004A4D88" w:rsidP="00FF6191">
            <w:pPr>
              <w:pStyle w:val="TableCopy"/>
              <w:jc w:val="right"/>
              <w:rPr>
                <w:b/>
                <w:bCs/>
              </w:rPr>
            </w:pPr>
            <w:r w:rsidRPr="00984138">
              <w:rPr>
                <w:b/>
                <w:bCs/>
              </w:rPr>
              <w:t>101,657</w:t>
            </w:r>
          </w:p>
        </w:tc>
      </w:tr>
      <w:tr w:rsidR="000756EB" w:rsidRPr="00984138" w14:paraId="2CA19831" w14:textId="77777777" w:rsidTr="00984138">
        <w:trPr>
          <w:trHeight w:val="113"/>
        </w:trPr>
        <w:tc>
          <w:tcPr>
            <w:tcW w:w="4531" w:type="dxa"/>
          </w:tcPr>
          <w:p w14:paraId="2685E7F8" w14:textId="33F656BE" w:rsidR="000756EB" w:rsidRPr="00984138" w:rsidRDefault="004A4D88" w:rsidP="00984138">
            <w:pPr>
              <w:pStyle w:val="TableHeading"/>
            </w:pPr>
            <w:r w:rsidRPr="00984138">
              <w:t>Current</w:t>
            </w:r>
            <w:r w:rsidR="00A03629" w:rsidRPr="00984138">
              <w:t xml:space="preserve"> </w:t>
            </w:r>
            <w:r w:rsidRPr="00984138">
              <w:t>liabilities</w:t>
            </w:r>
          </w:p>
        </w:tc>
        <w:tc>
          <w:tcPr>
            <w:tcW w:w="1361" w:type="dxa"/>
          </w:tcPr>
          <w:p w14:paraId="7A20D4DB" w14:textId="77777777" w:rsidR="000756EB" w:rsidRPr="00984138" w:rsidRDefault="000756EB" w:rsidP="00FF6191">
            <w:pPr>
              <w:pStyle w:val="TableHeading"/>
              <w:jc w:val="right"/>
            </w:pPr>
          </w:p>
        </w:tc>
        <w:tc>
          <w:tcPr>
            <w:tcW w:w="1361" w:type="dxa"/>
          </w:tcPr>
          <w:p w14:paraId="5892C580" w14:textId="77777777" w:rsidR="000756EB" w:rsidRPr="00984138" w:rsidRDefault="000756EB" w:rsidP="00FF6191">
            <w:pPr>
              <w:pStyle w:val="TableHeading"/>
              <w:jc w:val="right"/>
            </w:pPr>
          </w:p>
        </w:tc>
        <w:tc>
          <w:tcPr>
            <w:tcW w:w="1545" w:type="dxa"/>
          </w:tcPr>
          <w:p w14:paraId="11AFA7BA" w14:textId="77777777" w:rsidR="000756EB" w:rsidRPr="00984138" w:rsidRDefault="000756EB" w:rsidP="00FF6191">
            <w:pPr>
              <w:pStyle w:val="TableHeading"/>
              <w:jc w:val="right"/>
            </w:pPr>
          </w:p>
        </w:tc>
        <w:tc>
          <w:tcPr>
            <w:tcW w:w="1545" w:type="dxa"/>
          </w:tcPr>
          <w:p w14:paraId="1AC25773" w14:textId="77777777" w:rsidR="000756EB" w:rsidRPr="00984138" w:rsidRDefault="000756EB" w:rsidP="00FF6191">
            <w:pPr>
              <w:pStyle w:val="TableHeading"/>
              <w:jc w:val="right"/>
            </w:pPr>
          </w:p>
        </w:tc>
      </w:tr>
      <w:tr w:rsidR="000756EB" w14:paraId="54C6F552" w14:textId="77777777" w:rsidTr="00984138">
        <w:trPr>
          <w:trHeight w:val="113"/>
        </w:trPr>
        <w:tc>
          <w:tcPr>
            <w:tcW w:w="4531" w:type="dxa"/>
          </w:tcPr>
          <w:p w14:paraId="4E58593B" w14:textId="77777777" w:rsidR="000756EB" w:rsidRDefault="004A4D88" w:rsidP="00984138">
            <w:pPr>
              <w:pStyle w:val="TableCopy"/>
            </w:pPr>
            <w:r>
              <w:t>Payables</w:t>
            </w:r>
          </w:p>
        </w:tc>
        <w:tc>
          <w:tcPr>
            <w:tcW w:w="1361" w:type="dxa"/>
          </w:tcPr>
          <w:p w14:paraId="2E640693" w14:textId="40DFEFDD" w:rsidR="000756EB" w:rsidRDefault="004A4D88" w:rsidP="00FF6191">
            <w:pPr>
              <w:pStyle w:val="TableCopy"/>
              <w:jc w:val="right"/>
            </w:pPr>
            <w:r>
              <w:t>–</w:t>
            </w:r>
          </w:p>
        </w:tc>
        <w:tc>
          <w:tcPr>
            <w:tcW w:w="1361" w:type="dxa"/>
          </w:tcPr>
          <w:p w14:paraId="4E5CFC95" w14:textId="6A01C67A" w:rsidR="000756EB" w:rsidRDefault="004A4D88" w:rsidP="00FF6191">
            <w:pPr>
              <w:pStyle w:val="TableCopy"/>
              <w:jc w:val="right"/>
            </w:pPr>
            <w:r>
              <w:t>6,633</w:t>
            </w:r>
          </w:p>
        </w:tc>
        <w:tc>
          <w:tcPr>
            <w:tcW w:w="1545" w:type="dxa"/>
          </w:tcPr>
          <w:p w14:paraId="6052CF65" w14:textId="61282450" w:rsidR="000756EB" w:rsidRDefault="004A4D88" w:rsidP="00FF6191">
            <w:pPr>
              <w:pStyle w:val="TableCopy"/>
              <w:jc w:val="right"/>
            </w:pPr>
            <w:r>
              <w:t>–</w:t>
            </w:r>
          </w:p>
        </w:tc>
        <w:tc>
          <w:tcPr>
            <w:tcW w:w="1545" w:type="dxa"/>
          </w:tcPr>
          <w:p w14:paraId="63EB4BC7" w14:textId="5C0603C7" w:rsidR="000756EB" w:rsidRDefault="004A4D88" w:rsidP="00FF6191">
            <w:pPr>
              <w:pStyle w:val="TableCopy"/>
              <w:jc w:val="right"/>
            </w:pPr>
            <w:r>
              <w:t>1,744</w:t>
            </w:r>
          </w:p>
        </w:tc>
      </w:tr>
      <w:tr w:rsidR="000756EB" w14:paraId="278E6DAB" w14:textId="77777777" w:rsidTr="00984138">
        <w:trPr>
          <w:trHeight w:val="113"/>
        </w:trPr>
        <w:tc>
          <w:tcPr>
            <w:tcW w:w="4531" w:type="dxa"/>
          </w:tcPr>
          <w:p w14:paraId="6FBE376F" w14:textId="77777777" w:rsidR="000756EB" w:rsidRDefault="004A4D88" w:rsidP="00984138">
            <w:pPr>
              <w:pStyle w:val="TableCopy"/>
            </w:pPr>
            <w:r>
              <w:t>Borrowings</w:t>
            </w:r>
          </w:p>
        </w:tc>
        <w:tc>
          <w:tcPr>
            <w:tcW w:w="1361" w:type="dxa"/>
          </w:tcPr>
          <w:p w14:paraId="6F6185B2" w14:textId="6DCBC6A7" w:rsidR="000756EB" w:rsidRDefault="004A4D88" w:rsidP="00FF6191">
            <w:pPr>
              <w:pStyle w:val="TableCopy"/>
              <w:jc w:val="right"/>
            </w:pPr>
            <w:r>
              <w:t>–</w:t>
            </w:r>
          </w:p>
        </w:tc>
        <w:tc>
          <w:tcPr>
            <w:tcW w:w="1361" w:type="dxa"/>
          </w:tcPr>
          <w:p w14:paraId="0B52FEEB" w14:textId="3D90DAF2" w:rsidR="000756EB" w:rsidRDefault="004A4D88" w:rsidP="00FF6191">
            <w:pPr>
              <w:pStyle w:val="TableCopy"/>
              <w:jc w:val="right"/>
            </w:pPr>
            <w:r>
              <w:t>6,641</w:t>
            </w:r>
          </w:p>
        </w:tc>
        <w:tc>
          <w:tcPr>
            <w:tcW w:w="1545" w:type="dxa"/>
          </w:tcPr>
          <w:p w14:paraId="0A0A3D97" w14:textId="792C4D81" w:rsidR="000756EB" w:rsidRDefault="004A4D88" w:rsidP="00FF6191">
            <w:pPr>
              <w:pStyle w:val="TableCopy"/>
              <w:jc w:val="right"/>
            </w:pPr>
            <w:r>
              <w:t>–</w:t>
            </w:r>
          </w:p>
        </w:tc>
        <w:tc>
          <w:tcPr>
            <w:tcW w:w="1545" w:type="dxa"/>
          </w:tcPr>
          <w:p w14:paraId="45E97085" w14:textId="33A634AA" w:rsidR="000756EB" w:rsidRDefault="004A4D88" w:rsidP="00FF6191">
            <w:pPr>
              <w:pStyle w:val="TableCopy"/>
              <w:jc w:val="right"/>
            </w:pPr>
            <w:r>
              <w:t>2,425</w:t>
            </w:r>
          </w:p>
        </w:tc>
      </w:tr>
      <w:tr w:rsidR="000756EB" w14:paraId="47CC2EAD" w14:textId="77777777" w:rsidTr="00984138">
        <w:trPr>
          <w:trHeight w:val="113"/>
        </w:trPr>
        <w:tc>
          <w:tcPr>
            <w:tcW w:w="4531" w:type="dxa"/>
          </w:tcPr>
          <w:p w14:paraId="1E11FA50" w14:textId="031E3073" w:rsidR="000756EB" w:rsidRDefault="004A4D88" w:rsidP="00984138">
            <w:pPr>
              <w:pStyle w:val="TableCopy"/>
            </w:pPr>
            <w:r>
              <w:t>Other</w:t>
            </w:r>
            <w:r w:rsidR="00A03629">
              <w:t xml:space="preserve"> </w:t>
            </w:r>
            <w:r>
              <w:t>liabilities</w:t>
            </w:r>
          </w:p>
        </w:tc>
        <w:tc>
          <w:tcPr>
            <w:tcW w:w="1361" w:type="dxa"/>
          </w:tcPr>
          <w:p w14:paraId="32BC8397" w14:textId="0A3F3FB1" w:rsidR="000756EB" w:rsidRDefault="004A4D88" w:rsidP="00FF6191">
            <w:pPr>
              <w:pStyle w:val="TableCopy"/>
              <w:jc w:val="right"/>
            </w:pPr>
            <w:r>
              <w:t>–</w:t>
            </w:r>
          </w:p>
        </w:tc>
        <w:tc>
          <w:tcPr>
            <w:tcW w:w="1361" w:type="dxa"/>
          </w:tcPr>
          <w:p w14:paraId="0510F7FF" w14:textId="377B2C4A" w:rsidR="000756EB" w:rsidRDefault="004A4D88" w:rsidP="00FF6191">
            <w:pPr>
              <w:pStyle w:val="TableCopy"/>
              <w:jc w:val="right"/>
            </w:pPr>
            <w:r>
              <w:t>–</w:t>
            </w:r>
          </w:p>
        </w:tc>
        <w:tc>
          <w:tcPr>
            <w:tcW w:w="1545" w:type="dxa"/>
          </w:tcPr>
          <w:p w14:paraId="7706B7B1" w14:textId="0B5ED533" w:rsidR="000756EB" w:rsidRDefault="004A4D88" w:rsidP="00FF6191">
            <w:pPr>
              <w:pStyle w:val="TableCopy"/>
              <w:jc w:val="right"/>
            </w:pPr>
            <w:r>
              <w:t>–</w:t>
            </w:r>
          </w:p>
        </w:tc>
        <w:tc>
          <w:tcPr>
            <w:tcW w:w="1545" w:type="dxa"/>
          </w:tcPr>
          <w:p w14:paraId="57C1FB22" w14:textId="5025AF7D" w:rsidR="000756EB" w:rsidRDefault="004A4D88" w:rsidP="00FF6191">
            <w:pPr>
              <w:pStyle w:val="TableCopy"/>
              <w:jc w:val="right"/>
            </w:pPr>
            <w:r>
              <w:t>55</w:t>
            </w:r>
          </w:p>
        </w:tc>
      </w:tr>
      <w:tr w:rsidR="000756EB" w:rsidRPr="00984138" w14:paraId="62128209" w14:textId="77777777" w:rsidTr="00984138">
        <w:trPr>
          <w:trHeight w:val="113"/>
        </w:trPr>
        <w:tc>
          <w:tcPr>
            <w:tcW w:w="4531" w:type="dxa"/>
          </w:tcPr>
          <w:p w14:paraId="7F278F31" w14:textId="0A676A6B" w:rsidR="000756EB" w:rsidRPr="00984138" w:rsidRDefault="004A4D88" w:rsidP="00984138">
            <w:pPr>
              <w:pStyle w:val="TableCopy"/>
              <w:rPr>
                <w:b/>
                <w:bCs/>
              </w:rPr>
            </w:pPr>
            <w:r w:rsidRPr="00984138">
              <w:rPr>
                <w:b/>
                <w:bCs/>
              </w:rPr>
              <w:t>Total</w:t>
            </w:r>
            <w:r w:rsidR="00A03629" w:rsidRPr="00984138">
              <w:rPr>
                <w:b/>
                <w:bCs/>
              </w:rPr>
              <w:t xml:space="preserve"> </w:t>
            </w:r>
            <w:r w:rsidRPr="00984138">
              <w:rPr>
                <w:b/>
                <w:bCs/>
              </w:rPr>
              <w:t>current</w:t>
            </w:r>
            <w:r w:rsidR="00A03629" w:rsidRPr="00984138">
              <w:rPr>
                <w:b/>
                <w:bCs/>
              </w:rPr>
              <w:t xml:space="preserve"> </w:t>
            </w:r>
            <w:r w:rsidRPr="00984138">
              <w:rPr>
                <w:b/>
                <w:bCs/>
              </w:rPr>
              <w:t>liabilities</w:t>
            </w:r>
          </w:p>
        </w:tc>
        <w:tc>
          <w:tcPr>
            <w:tcW w:w="1361" w:type="dxa"/>
          </w:tcPr>
          <w:p w14:paraId="2BAD3DAB" w14:textId="50CA1D75" w:rsidR="000756EB" w:rsidRPr="00984138" w:rsidRDefault="004A4D88" w:rsidP="00FF6191">
            <w:pPr>
              <w:pStyle w:val="TableCopy"/>
              <w:jc w:val="right"/>
              <w:rPr>
                <w:b/>
                <w:bCs/>
              </w:rPr>
            </w:pPr>
            <w:r w:rsidRPr="00984138">
              <w:rPr>
                <w:b/>
                <w:bCs/>
              </w:rPr>
              <w:t>–</w:t>
            </w:r>
          </w:p>
        </w:tc>
        <w:tc>
          <w:tcPr>
            <w:tcW w:w="1361" w:type="dxa"/>
          </w:tcPr>
          <w:p w14:paraId="30238E22" w14:textId="74D9038B" w:rsidR="000756EB" w:rsidRPr="00984138" w:rsidRDefault="004A4D88" w:rsidP="00FF6191">
            <w:pPr>
              <w:pStyle w:val="TableCopy"/>
              <w:jc w:val="right"/>
              <w:rPr>
                <w:b/>
                <w:bCs/>
              </w:rPr>
            </w:pPr>
            <w:r w:rsidRPr="00984138">
              <w:rPr>
                <w:b/>
                <w:bCs/>
              </w:rPr>
              <w:t>13,274</w:t>
            </w:r>
          </w:p>
        </w:tc>
        <w:tc>
          <w:tcPr>
            <w:tcW w:w="1545" w:type="dxa"/>
          </w:tcPr>
          <w:p w14:paraId="5F106CFD" w14:textId="4469D6DE" w:rsidR="000756EB" w:rsidRPr="00984138" w:rsidRDefault="004A4D88" w:rsidP="00FF6191">
            <w:pPr>
              <w:pStyle w:val="TableCopy"/>
              <w:jc w:val="right"/>
              <w:rPr>
                <w:b/>
                <w:bCs/>
              </w:rPr>
            </w:pPr>
            <w:r w:rsidRPr="00984138">
              <w:rPr>
                <w:b/>
                <w:bCs/>
              </w:rPr>
              <w:t>–</w:t>
            </w:r>
          </w:p>
        </w:tc>
        <w:tc>
          <w:tcPr>
            <w:tcW w:w="1545" w:type="dxa"/>
          </w:tcPr>
          <w:p w14:paraId="1432206C" w14:textId="2B64E7BA" w:rsidR="000756EB" w:rsidRPr="00984138" w:rsidRDefault="004A4D88" w:rsidP="00FF6191">
            <w:pPr>
              <w:pStyle w:val="TableCopy"/>
              <w:jc w:val="right"/>
              <w:rPr>
                <w:b/>
                <w:bCs/>
              </w:rPr>
            </w:pPr>
            <w:r w:rsidRPr="00984138">
              <w:rPr>
                <w:b/>
                <w:bCs/>
              </w:rPr>
              <w:t>4,224</w:t>
            </w:r>
          </w:p>
        </w:tc>
      </w:tr>
      <w:tr w:rsidR="000756EB" w:rsidRPr="00984138" w14:paraId="66A8EAA0" w14:textId="77777777" w:rsidTr="00984138">
        <w:trPr>
          <w:trHeight w:val="113"/>
        </w:trPr>
        <w:tc>
          <w:tcPr>
            <w:tcW w:w="4531" w:type="dxa"/>
          </w:tcPr>
          <w:p w14:paraId="7B1372F3" w14:textId="7D9D59AB" w:rsidR="000756EB" w:rsidRPr="00984138" w:rsidRDefault="004A4D88" w:rsidP="00984138">
            <w:pPr>
              <w:pStyle w:val="TableHeading"/>
            </w:pPr>
            <w:r w:rsidRPr="00984138">
              <w:t>Non-current</w:t>
            </w:r>
            <w:r w:rsidR="00A03629" w:rsidRPr="00984138">
              <w:t xml:space="preserve"> </w:t>
            </w:r>
            <w:r w:rsidRPr="00984138">
              <w:t>liabilities</w:t>
            </w:r>
          </w:p>
        </w:tc>
        <w:tc>
          <w:tcPr>
            <w:tcW w:w="1361" w:type="dxa"/>
          </w:tcPr>
          <w:p w14:paraId="342DD2C2" w14:textId="77777777" w:rsidR="000756EB" w:rsidRPr="00984138" w:rsidRDefault="000756EB" w:rsidP="00FF6191">
            <w:pPr>
              <w:pStyle w:val="TableHeading"/>
              <w:jc w:val="right"/>
            </w:pPr>
          </w:p>
        </w:tc>
        <w:tc>
          <w:tcPr>
            <w:tcW w:w="1361" w:type="dxa"/>
          </w:tcPr>
          <w:p w14:paraId="5CFB2754" w14:textId="77777777" w:rsidR="000756EB" w:rsidRPr="00984138" w:rsidRDefault="000756EB" w:rsidP="00FF6191">
            <w:pPr>
              <w:pStyle w:val="TableHeading"/>
              <w:jc w:val="right"/>
            </w:pPr>
          </w:p>
        </w:tc>
        <w:tc>
          <w:tcPr>
            <w:tcW w:w="1545" w:type="dxa"/>
          </w:tcPr>
          <w:p w14:paraId="2A20ACF7" w14:textId="77777777" w:rsidR="000756EB" w:rsidRPr="00984138" w:rsidRDefault="000756EB" w:rsidP="00FF6191">
            <w:pPr>
              <w:pStyle w:val="TableHeading"/>
              <w:jc w:val="right"/>
            </w:pPr>
          </w:p>
        </w:tc>
        <w:tc>
          <w:tcPr>
            <w:tcW w:w="1545" w:type="dxa"/>
          </w:tcPr>
          <w:p w14:paraId="42984557" w14:textId="77777777" w:rsidR="000756EB" w:rsidRPr="00984138" w:rsidRDefault="000756EB" w:rsidP="00FF6191">
            <w:pPr>
              <w:pStyle w:val="TableHeading"/>
              <w:jc w:val="right"/>
            </w:pPr>
          </w:p>
        </w:tc>
      </w:tr>
      <w:tr w:rsidR="000756EB" w14:paraId="5B29935D" w14:textId="77777777" w:rsidTr="00984138">
        <w:trPr>
          <w:trHeight w:val="113"/>
        </w:trPr>
        <w:tc>
          <w:tcPr>
            <w:tcW w:w="4531" w:type="dxa"/>
          </w:tcPr>
          <w:p w14:paraId="793DFC06" w14:textId="77777777" w:rsidR="000756EB" w:rsidRDefault="004A4D88" w:rsidP="00984138">
            <w:pPr>
              <w:pStyle w:val="TableCopy"/>
            </w:pPr>
            <w:r>
              <w:t>Borrowings</w:t>
            </w:r>
          </w:p>
        </w:tc>
        <w:tc>
          <w:tcPr>
            <w:tcW w:w="1361" w:type="dxa"/>
          </w:tcPr>
          <w:p w14:paraId="59FA74B4" w14:textId="591AA5AF" w:rsidR="000756EB" w:rsidRDefault="004A4D88" w:rsidP="00FF6191">
            <w:pPr>
              <w:pStyle w:val="TableCopy"/>
              <w:jc w:val="right"/>
            </w:pPr>
            <w:r>
              <w:t>–</w:t>
            </w:r>
          </w:p>
        </w:tc>
        <w:tc>
          <w:tcPr>
            <w:tcW w:w="1361" w:type="dxa"/>
          </w:tcPr>
          <w:p w14:paraId="785C0769" w14:textId="6E52FF9E" w:rsidR="000756EB" w:rsidRDefault="004A4D88" w:rsidP="00FF6191">
            <w:pPr>
              <w:pStyle w:val="TableCopy"/>
              <w:jc w:val="right"/>
            </w:pPr>
            <w:r>
              <w:t>234,812</w:t>
            </w:r>
          </w:p>
        </w:tc>
        <w:tc>
          <w:tcPr>
            <w:tcW w:w="1545" w:type="dxa"/>
          </w:tcPr>
          <w:p w14:paraId="7D95482B" w14:textId="01253076" w:rsidR="000756EB" w:rsidRDefault="004A4D88" w:rsidP="00FF6191">
            <w:pPr>
              <w:pStyle w:val="TableCopy"/>
              <w:jc w:val="right"/>
            </w:pPr>
            <w:r>
              <w:t>–</w:t>
            </w:r>
          </w:p>
        </w:tc>
        <w:tc>
          <w:tcPr>
            <w:tcW w:w="1545" w:type="dxa"/>
          </w:tcPr>
          <w:p w14:paraId="62FE91BB" w14:textId="0AC0CD40" w:rsidR="000756EB" w:rsidRDefault="004A4D88" w:rsidP="00FF6191">
            <w:pPr>
              <w:pStyle w:val="TableCopy"/>
              <w:jc w:val="right"/>
            </w:pPr>
            <w:r>
              <w:t>31,704</w:t>
            </w:r>
          </w:p>
        </w:tc>
      </w:tr>
      <w:tr w:rsidR="000756EB" w14:paraId="0F42B52D" w14:textId="77777777" w:rsidTr="00984138">
        <w:trPr>
          <w:trHeight w:val="113"/>
        </w:trPr>
        <w:tc>
          <w:tcPr>
            <w:tcW w:w="4531" w:type="dxa"/>
          </w:tcPr>
          <w:p w14:paraId="65074E38" w14:textId="455BA045" w:rsidR="000756EB" w:rsidRDefault="004A4D88" w:rsidP="00984138">
            <w:pPr>
              <w:pStyle w:val="TableCopy"/>
            </w:pPr>
            <w:r>
              <w:t>Other</w:t>
            </w:r>
            <w:r w:rsidR="00A03629">
              <w:t xml:space="preserve"> </w:t>
            </w:r>
            <w:r>
              <w:t>liabilities</w:t>
            </w:r>
          </w:p>
        </w:tc>
        <w:tc>
          <w:tcPr>
            <w:tcW w:w="1361" w:type="dxa"/>
          </w:tcPr>
          <w:p w14:paraId="6450A8B6" w14:textId="218ED470" w:rsidR="000756EB" w:rsidRDefault="004A4D88" w:rsidP="00FF6191">
            <w:pPr>
              <w:pStyle w:val="TableCopy"/>
              <w:jc w:val="right"/>
            </w:pPr>
            <w:r>
              <w:t>–</w:t>
            </w:r>
          </w:p>
        </w:tc>
        <w:tc>
          <w:tcPr>
            <w:tcW w:w="1361" w:type="dxa"/>
          </w:tcPr>
          <w:p w14:paraId="05653D51" w14:textId="7F7896E7" w:rsidR="000756EB" w:rsidRDefault="004A4D88" w:rsidP="00FF6191">
            <w:pPr>
              <w:pStyle w:val="TableCopy"/>
              <w:jc w:val="right"/>
            </w:pPr>
            <w:r>
              <w:t>–</w:t>
            </w:r>
          </w:p>
        </w:tc>
        <w:tc>
          <w:tcPr>
            <w:tcW w:w="1545" w:type="dxa"/>
          </w:tcPr>
          <w:p w14:paraId="17EDEED2" w14:textId="504205AE" w:rsidR="000756EB" w:rsidRDefault="004A4D88" w:rsidP="00FF6191">
            <w:pPr>
              <w:pStyle w:val="TableCopy"/>
              <w:jc w:val="right"/>
            </w:pPr>
            <w:r>
              <w:t>–</w:t>
            </w:r>
          </w:p>
        </w:tc>
        <w:tc>
          <w:tcPr>
            <w:tcW w:w="1545" w:type="dxa"/>
          </w:tcPr>
          <w:p w14:paraId="1DEFB014" w14:textId="0FE0B9B5" w:rsidR="000756EB" w:rsidRDefault="004A4D88" w:rsidP="00FF6191">
            <w:pPr>
              <w:pStyle w:val="TableCopy"/>
              <w:jc w:val="right"/>
            </w:pPr>
            <w:r>
              <w:t>1,982</w:t>
            </w:r>
          </w:p>
        </w:tc>
      </w:tr>
      <w:tr w:rsidR="000756EB" w:rsidRPr="00984138" w14:paraId="0835F2CD" w14:textId="77777777" w:rsidTr="00984138">
        <w:trPr>
          <w:trHeight w:val="113"/>
        </w:trPr>
        <w:tc>
          <w:tcPr>
            <w:tcW w:w="4531" w:type="dxa"/>
          </w:tcPr>
          <w:p w14:paraId="0D2D44E2" w14:textId="64AA081C" w:rsidR="000756EB" w:rsidRPr="00984138" w:rsidRDefault="004A4D88" w:rsidP="00984138">
            <w:pPr>
              <w:pStyle w:val="TableCopy"/>
              <w:rPr>
                <w:b/>
                <w:bCs/>
              </w:rPr>
            </w:pPr>
            <w:r w:rsidRPr="00984138">
              <w:rPr>
                <w:b/>
                <w:bCs/>
              </w:rPr>
              <w:lastRenderedPageBreak/>
              <w:t>Total</w:t>
            </w:r>
            <w:r w:rsidR="00A03629" w:rsidRPr="00984138">
              <w:rPr>
                <w:b/>
                <w:bCs/>
              </w:rPr>
              <w:t xml:space="preserve"> </w:t>
            </w:r>
            <w:r w:rsidRPr="00984138">
              <w:rPr>
                <w:b/>
                <w:bCs/>
              </w:rPr>
              <w:t>non-current</w:t>
            </w:r>
            <w:r w:rsidR="00A03629" w:rsidRPr="00984138">
              <w:rPr>
                <w:b/>
                <w:bCs/>
              </w:rPr>
              <w:t xml:space="preserve"> </w:t>
            </w:r>
            <w:r w:rsidRPr="00984138">
              <w:rPr>
                <w:b/>
                <w:bCs/>
              </w:rPr>
              <w:t>liabilities</w:t>
            </w:r>
          </w:p>
        </w:tc>
        <w:tc>
          <w:tcPr>
            <w:tcW w:w="1361" w:type="dxa"/>
          </w:tcPr>
          <w:p w14:paraId="1CB85B29" w14:textId="3B4111E5" w:rsidR="000756EB" w:rsidRPr="00984138" w:rsidRDefault="004A4D88" w:rsidP="00FF6191">
            <w:pPr>
              <w:pStyle w:val="TableCopy"/>
              <w:jc w:val="right"/>
              <w:rPr>
                <w:b/>
                <w:bCs/>
              </w:rPr>
            </w:pPr>
            <w:r w:rsidRPr="00984138">
              <w:rPr>
                <w:b/>
                <w:bCs/>
              </w:rPr>
              <w:t>–</w:t>
            </w:r>
          </w:p>
        </w:tc>
        <w:tc>
          <w:tcPr>
            <w:tcW w:w="1361" w:type="dxa"/>
          </w:tcPr>
          <w:p w14:paraId="678DEB31" w14:textId="4A58606C" w:rsidR="000756EB" w:rsidRPr="00984138" w:rsidRDefault="004A4D88" w:rsidP="00FF6191">
            <w:pPr>
              <w:pStyle w:val="TableCopy"/>
              <w:jc w:val="right"/>
              <w:rPr>
                <w:b/>
                <w:bCs/>
              </w:rPr>
            </w:pPr>
            <w:r w:rsidRPr="00984138">
              <w:rPr>
                <w:b/>
                <w:bCs/>
              </w:rPr>
              <w:t>234,812</w:t>
            </w:r>
          </w:p>
        </w:tc>
        <w:tc>
          <w:tcPr>
            <w:tcW w:w="1545" w:type="dxa"/>
          </w:tcPr>
          <w:p w14:paraId="4A849296" w14:textId="3B77EE18" w:rsidR="000756EB" w:rsidRPr="00984138" w:rsidRDefault="004A4D88" w:rsidP="00FF6191">
            <w:pPr>
              <w:pStyle w:val="TableCopy"/>
              <w:jc w:val="right"/>
              <w:rPr>
                <w:b/>
                <w:bCs/>
              </w:rPr>
            </w:pPr>
            <w:r w:rsidRPr="00984138">
              <w:rPr>
                <w:b/>
                <w:bCs/>
              </w:rPr>
              <w:t>–</w:t>
            </w:r>
          </w:p>
        </w:tc>
        <w:tc>
          <w:tcPr>
            <w:tcW w:w="1545" w:type="dxa"/>
          </w:tcPr>
          <w:p w14:paraId="5AF871E3" w14:textId="02F5E6EA" w:rsidR="000756EB" w:rsidRPr="00984138" w:rsidRDefault="004A4D88" w:rsidP="00FF6191">
            <w:pPr>
              <w:pStyle w:val="TableCopy"/>
              <w:jc w:val="right"/>
              <w:rPr>
                <w:b/>
                <w:bCs/>
              </w:rPr>
            </w:pPr>
            <w:r w:rsidRPr="00984138">
              <w:rPr>
                <w:b/>
                <w:bCs/>
              </w:rPr>
              <w:t>33,686</w:t>
            </w:r>
          </w:p>
        </w:tc>
      </w:tr>
      <w:tr w:rsidR="000756EB" w:rsidRPr="00984138" w14:paraId="43E78963" w14:textId="77777777" w:rsidTr="00984138">
        <w:trPr>
          <w:trHeight w:val="113"/>
        </w:trPr>
        <w:tc>
          <w:tcPr>
            <w:tcW w:w="4531" w:type="dxa"/>
          </w:tcPr>
          <w:p w14:paraId="18B05414" w14:textId="3E6383FA" w:rsidR="000756EB" w:rsidRPr="00984138" w:rsidRDefault="004A4D88" w:rsidP="00984138">
            <w:pPr>
              <w:pStyle w:val="TableCopy"/>
              <w:rPr>
                <w:b/>
                <w:bCs/>
              </w:rPr>
            </w:pPr>
            <w:r w:rsidRPr="00984138">
              <w:rPr>
                <w:b/>
                <w:bCs/>
              </w:rPr>
              <w:t>Total</w:t>
            </w:r>
            <w:r w:rsidR="00A03629" w:rsidRPr="00984138">
              <w:rPr>
                <w:b/>
                <w:bCs/>
              </w:rPr>
              <w:t xml:space="preserve"> </w:t>
            </w:r>
            <w:r w:rsidRPr="00984138">
              <w:rPr>
                <w:b/>
                <w:bCs/>
              </w:rPr>
              <w:t>liabilities</w:t>
            </w:r>
          </w:p>
        </w:tc>
        <w:tc>
          <w:tcPr>
            <w:tcW w:w="1361" w:type="dxa"/>
          </w:tcPr>
          <w:p w14:paraId="3F96402F" w14:textId="2EA84A78" w:rsidR="000756EB" w:rsidRPr="00984138" w:rsidRDefault="004A4D88" w:rsidP="00FF6191">
            <w:pPr>
              <w:pStyle w:val="TableCopy"/>
              <w:jc w:val="right"/>
              <w:rPr>
                <w:b/>
                <w:bCs/>
              </w:rPr>
            </w:pPr>
            <w:r w:rsidRPr="00984138">
              <w:rPr>
                <w:b/>
                <w:bCs/>
              </w:rPr>
              <w:t>–</w:t>
            </w:r>
          </w:p>
        </w:tc>
        <w:tc>
          <w:tcPr>
            <w:tcW w:w="1361" w:type="dxa"/>
          </w:tcPr>
          <w:p w14:paraId="02291868" w14:textId="093D9E90" w:rsidR="000756EB" w:rsidRPr="00984138" w:rsidRDefault="004A4D88" w:rsidP="00FF6191">
            <w:pPr>
              <w:pStyle w:val="TableCopy"/>
              <w:jc w:val="right"/>
              <w:rPr>
                <w:b/>
                <w:bCs/>
              </w:rPr>
            </w:pPr>
            <w:r w:rsidRPr="00984138">
              <w:rPr>
                <w:b/>
                <w:bCs/>
              </w:rPr>
              <w:t>248,086</w:t>
            </w:r>
          </w:p>
        </w:tc>
        <w:tc>
          <w:tcPr>
            <w:tcW w:w="1545" w:type="dxa"/>
          </w:tcPr>
          <w:p w14:paraId="7D99EC46" w14:textId="1BF8B0F0" w:rsidR="000756EB" w:rsidRPr="00984138" w:rsidRDefault="004A4D88" w:rsidP="00FF6191">
            <w:pPr>
              <w:pStyle w:val="TableCopy"/>
              <w:jc w:val="right"/>
              <w:rPr>
                <w:b/>
                <w:bCs/>
              </w:rPr>
            </w:pPr>
            <w:r w:rsidRPr="00984138">
              <w:rPr>
                <w:b/>
                <w:bCs/>
              </w:rPr>
              <w:t>–</w:t>
            </w:r>
          </w:p>
        </w:tc>
        <w:tc>
          <w:tcPr>
            <w:tcW w:w="1545" w:type="dxa"/>
          </w:tcPr>
          <w:p w14:paraId="150A36DD" w14:textId="2EA8AAA0" w:rsidR="000756EB" w:rsidRPr="00984138" w:rsidRDefault="004A4D88" w:rsidP="00FF6191">
            <w:pPr>
              <w:pStyle w:val="TableCopy"/>
              <w:jc w:val="right"/>
              <w:rPr>
                <w:b/>
                <w:bCs/>
              </w:rPr>
            </w:pPr>
            <w:r w:rsidRPr="00984138">
              <w:rPr>
                <w:b/>
                <w:bCs/>
              </w:rPr>
              <w:t>37,910</w:t>
            </w:r>
          </w:p>
        </w:tc>
      </w:tr>
      <w:tr w:rsidR="000756EB" w:rsidRPr="00984138" w14:paraId="3A43171D" w14:textId="77777777" w:rsidTr="00984138">
        <w:trPr>
          <w:trHeight w:val="113"/>
        </w:trPr>
        <w:tc>
          <w:tcPr>
            <w:tcW w:w="4531" w:type="dxa"/>
          </w:tcPr>
          <w:p w14:paraId="248E7149" w14:textId="514F9CF8" w:rsidR="000756EB" w:rsidRPr="00984138" w:rsidRDefault="004A4D88" w:rsidP="00984138">
            <w:pPr>
              <w:pStyle w:val="TableCopy"/>
              <w:rPr>
                <w:b/>
                <w:bCs/>
              </w:rPr>
            </w:pPr>
            <w:r w:rsidRPr="00984138">
              <w:rPr>
                <w:b/>
                <w:bCs/>
              </w:rPr>
              <w:t>Net</w:t>
            </w:r>
            <w:r w:rsidR="00A03629" w:rsidRPr="00984138">
              <w:rPr>
                <w:b/>
                <w:bCs/>
              </w:rPr>
              <w:t xml:space="preserve"> </w:t>
            </w:r>
            <w:r w:rsidRPr="00984138">
              <w:rPr>
                <w:b/>
                <w:bCs/>
              </w:rPr>
              <w:t>(liabilities)/assets</w:t>
            </w:r>
          </w:p>
        </w:tc>
        <w:tc>
          <w:tcPr>
            <w:tcW w:w="1361" w:type="dxa"/>
          </w:tcPr>
          <w:p w14:paraId="079CBA97" w14:textId="17A681E3" w:rsidR="000756EB" w:rsidRPr="00984138" w:rsidRDefault="004A4D88" w:rsidP="00FF6191">
            <w:pPr>
              <w:pStyle w:val="TableCopy"/>
              <w:jc w:val="right"/>
              <w:rPr>
                <w:b/>
                <w:bCs/>
              </w:rPr>
            </w:pPr>
            <w:r w:rsidRPr="00984138">
              <w:rPr>
                <w:b/>
                <w:bCs/>
              </w:rPr>
              <w:t>–</w:t>
            </w:r>
          </w:p>
        </w:tc>
        <w:tc>
          <w:tcPr>
            <w:tcW w:w="1361" w:type="dxa"/>
          </w:tcPr>
          <w:p w14:paraId="22AEE7C2" w14:textId="77777777" w:rsidR="000756EB" w:rsidRPr="00984138" w:rsidRDefault="004A4D88" w:rsidP="00FF6191">
            <w:pPr>
              <w:pStyle w:val="TableCopy"/>
              <w:jc w:val="right"/>
              <w:rPr>
                <w:b/>
                <w:bCs/>
              </w:rPr>
            </w:pPr>
            <w:r w:rsidRPr="00984138">
              <w:rPr>
                <w:b/>
                <w:bCs/>
              </w:rPr>
              <w:t>(140,916)</w:t>
            </w:r>
          </w:p>
        </w:tc>
        <w:tc>
          <w:tcPr>
            <w:tcW w:w="1545" w:type="dxa"/>
          </w:tcPr>
          <w:p w14:paraId="2AFDBA18" w14:textId="69D1990F" w:rsidR="000756EB" w:rsidRPr="00984138" w:rsidRDefault="004A4D88" w:rsidP="00FF6191">
            <w:pPr>
              <w:pStyle w:val="TableCopy"/>
              <w:jc w:val="right"/>
              <w:rPr>
                <w:b/>
                <w:bCs/>
              </w:rPr>
            </w:pPr>
            <w:r w:rsidRPr="00984138">
              <w:rPr>
                <w:b/>
                <w:bCs/>
              </w:rPr>
              <w:t>–</w:t>
            </w:r>
          </w:p>
        </w:tc>
        <w:tc>
          <w:tcPr>
            <w:tcW w:w="1545" w:type="dxa"/>
          </w:tcPr>
          <w:p w14:paraId="62D90288" w14:textId="28E9CC1D" w:rsidR="000756EB" w:rsidRPr="00984138" w:rsidRDefault="004A4D88" w:rsidP="00FF6191">
            <w:pPr>
              <w:pStyle w:val="TableCopy"/>
              <w:jc w:val="right"/>
              <w:rPr>
                <w:b/>
                <w:bCs/>
              </w:rPr>
            </w:pPr>
            <w:r w:rsidRPr="00984138">
              <w:rPr>
                <w:b/>
                <w:bCs/>
              </w:rPr>
              <w:t>63,747</w:t>
            </w:r>
          </w:p>
        </w:tc>
      </w:tr>
      <w:tr w:rsidR="000756EB" w:rsidRPr="00FF6191" w14:paraId="26D0B3F1" w14:textId="77777777" w:rsidTr="00984138">
        <w:trPr>
          <w:trHeight w:val="113"/>
        </w:trPr>
        <w:tc>
          <w:tcPr>
            <w:tcW w:w="4531" w:type="dxa"/>
          </w:tcPr>
          <w:p w14:paraId="094A0DE5" w14:textId="77777777" w:rsidR="000756EB" w:rsidRPr="00FF6191" w:rsidRDefault="004A4D88" w:rsidP="00FF6191">
            <w:pPr>
              <w:pStyle w:val="TableCopy"/>
              <w:rPr>
                <w:b/>
                <w:bCs/>
              </w:rPr>
            </w:pPr>
            <w:r w:rsidRPr="00FF6191">
              <w:rPr>
                <w:b/>
                <w:bCs/>
              </w:rPr>
              <w:t>Income</w:t>
            </w:r>
          </w:p>
        </w:tc>
        <w:tc>
          <w:tcPr>
            <w:tcW w:w="1361" w:type="dxa"/>
          </w:tcPr>
          <w:p w14:paraId="7903C588" w14:textId="2C482B16" w:rsidR="000756EB" w:rsidRPr="00FF6191" w:rsidRDefault="004A4D88" w:rsidP="00FF6191">
            <w:pPr>
              <w:pStyle w:val="TableCopy"/>
              <w:jc w:val="right"/>
              <w:rPr>
                <w:b/>
                <w:bCs/>
              </w:rPr>
            </w:pPr>
            <w:r w:rsidRPr="00FF6191">
              <w:rPr>
                <w:b/>
                <w:bCs/>
              </w:rPr>
              <w:t>19,460</w:t>
            </w:r>
          </w:p>
        </w:tc>
        <w:tc>
          <w:tcPr>
            <w:tcW w:w="1361" w:type="dxa"/>
          </w:tcPr>
          <w:p w14:paraId="20BDED37" w14:textId="67A9A775" w:rsidR="000756EB" w:rsidRPr="00FF6191" w:rsidRDefault="004A4D88" w:rsidP="00FF6191">
            <w:pPr>
              <w:pStyle w:val="TableCopy"/>
              <w:jc w:val="right"/>
              <w:rPr>
                <w:b/>
                <w:bCs/>
              </w:rPr>
            </w:pPr>
            <w:r w:rsidRPr="00FF6191">
              <w:rPr>
                <w:b/>
                <w:bCs/>
              </w:rPr>
              <w:t>35,114</w:t>
            </w:r>
          </w:p>
        </w:tc>
        <w:tc>
          <w:tcPr>
            <w:tcW w:w="1545" w:type="dxa"/>
          </w:tcPr>
          <w:p w14:paraId="314225BB" w14:textId="728A23BE" w:rsidR="000756EB" w:rsidRPr="00FF6191" w:rsidRDefault="004A4D88" w:rsidP="00FF6191">
            <w:pPr>
              <w:pStyle w:val="TableCopy"/>
              <w:jc w:val="right"/>
              <w:rPr>
                <w:b/>
                <w:bCs/>
              </w:rPr>
            </w:pPr>
            <w:r w:rsidRPr="00FF6191">
              <w:rPr>
                <w:b/>
                <w:bCs/>
              </w:rPr>
              <w:t>371</w:t>
            </w:r>
          </w:p>
        </w:tc>
        <w:tc>
          <w:tcPr>
            <w:tcW w:w="1545" w:type="dxa"/>
          </w:tcPr>
          <w:p w14:paraId="51AE4D1A" w14:textId="388A33F9" w:rsidR="000756EB" w:rsidRPr="00FF6191" w:rsidRDefault="004A4D88" w:rsidP="00FF6191">
            <w:pPr>
              <w:pStyle w:val="TableCopy"/>
              <w:jc w:val="right"/>
              <w:rPr>
                <w:b/>
                <w:bCs/>
              </w:rPr>
            </w:pPr>
            <w:r w:rsidRPr="00FF6191">
              <w:rPr>
                <w:b/>
                <w:bCs/>
              </w:rPr>
              <w:t>96</w:t>
            </w:r>
          </w:p>
        </w:tc>
      </w:tr>
      <w:tr w:rsidR="000756EB" w:rsidRPr="00FF6191" w14:paraId="1329CE6B" w14:textId="77777777" w:rsidTr="00984138">
        <w:trPr>
          <w:trHeight w:val="113"/>
        </w:trPr>
        <w:tc>
          <w:tcPr>
            <w:tcW w:w="4531" w:type="dxa"/>
          </w:tcPr>
          <w:p w14:paraId="2F93E1B2" w14:textId="77777777" w:rsidR="000756EB" w:rsidRPr="00FF6191" w:rsidRDefault="004A4D88" w:rsidP="00FF6191">
            <w:pPr>
              <w:pStyle w:val="TableCopy"/>
              <w:rPr>
                <w:b/>
                <w:bCs/>
              </w:rPr>
            </w:pPr>
            <w:r w:rsidRPr="00FF6191">
              <w:rPr>
                <w:b/>
                <w:bCs/>
              </w:rPr>
              <w:t>Expenses</w:t>
            </w:r>
          </w:p>
        </w:tc>
        <w:tc>
          <w:tcPr>
            <w:tcW w:w="1361" w:type="dxa"/>
          </w:tcPr>
          <w:p w14:paraId="57462588" w14:textId="77777777" w:rsidR="000756EB" w:rsidRPr="00FF6191" w:rsidRDefault="004A4D88" w:rsidP="00FF6191">
            <w:pPr>
              <w:pStyle w:val="TableCopy"/>
              <w:jc w:val="right"/>
              <w:rPr>
                <w:b/>
                <w:bCs/>
              </w:rPr>
            </w:pPr>
            <w:r w:rsidRPr="00FF6191">
              <w:rPr>
                <w:b/>
                <w:bCs/>
              </w:rPr>
              <w:t>(20,492)</w:t>
            </w:r>
          </w:p>
        </w:tc>
        <w:tc>
          <w:tcPr>
            <w:tcW w:w="1361" w:type="dxa"/>
          </w:tcPr>
          <w:p w14:paraId="391AB144" w14:textId="77777777" w:rsidR="000756EB" w:rsidRPr="00FF6191" w:rsidRDefault="004A4D88" w:rsidP="00FF6191">
            <w:pPr>
              <w:pStyle w:val="TableCopy"/>
              <w:jc w:val="right"/>
              <w:rPr>
                <w:b/>
                <w:bCs/>
              </w:rPr>
            </w:pPr>
            <w:r w:rsidRPr="00FF6191">
              <w:rPr>
                <w:b/>
                <w:bCs/>
              </w:rPr>
              <w:t>(37,644)</w:t>
            </w:r>
          </w:p>
        </w:tc>
        <w:tc>
          <w:tcPr>
            <w:tcW w:w="1545" w:type="dxa"/>
          </w:tcPr>
          <w:p w14:paraId="500F55E5" w14:textId="77777777" w:rsidR="000756EB" w:rsidRPr="00FF6191" w:rsidRDefault="004A4D88" w:rsidP="00FF6191">
            <w:pPr>
              <w:pStyle w:val="TableCopy"/>
              <w:jc w:val="right"/>
              <w:rPr>
                <w:b/>
                <w:bCs/>
              </w:rPr>
            </w:pPr>
            <w:r w:rsidRPr="00FF6191">
              <w:rPr>
                <w:b/>
                <w:bCs/>
              </w:rPr>
              <w:t>(2,785)</w:t>
            </w:r>
          </w:p>
        </w:tc>
        <w:tc>
          <w:tcPr>
            <w:tcW w:w="1545" w:type="dxa"/>
          </w:tcPr>
          <w:p w14:paraId="775F0403" w14:textId="77777777" w:rsidR="000756EB" w:rsidRPr="00FF6191" w:rsidRDefault="004A4D88" w:rsidP="00FF6191">
            <w:pPr>
              <w:pStyle w:val="TableCopy"/>
              <w:jc w:val="right"/>
              <w:rPr>
                <w:b/>
                <w:bCs/>
              </w:rPr>
            </w:pPr>
            <w:r w:rsidRPr="00FF6191">
              <w:rPr>
                <w:b/>
                <w:bCs/>
              </w:rPr>
              <w:t>(5,954)</w:t>
            </w:r>
          </w:p>
        </w:tc>
      </w:tr>
      <w:tr w:rsidR="000756EB" w:rsidRPr="00FF6191" w14:paraId="2E4B9E33" w14:textId="77777777" w:rsidTr="00984138">
        <w:trPr>
          <w:trHeight w:val="113"/>
        </w:trPr>
        <w:tc>
          <w:tcPr>
            <w:tcW w:w="4531" w:type="dxa"/>
          </w:tcPr>
          <w:p w14:paraId="45E0A4EE" w14:textId="66873209" w:rsidR="000756EB" w:rsidRPr="00FF6191" w:rsidRDefault="004A4D88" w:rsidP="00FF6191">
            <w:pPr>
              <w:pStyle w:val="TableCopy"/>
              <w:rPr>
                <w:b/>
                <w:bCs/>
              </w:rPr>
            </w:pPr>
            <w:r w:rsidRPr="00FF6191">
              <w:rPr>
                <w:b/>
                <w:bCs/>
              </w:rPr>
              <w:t>Net</w:t>
            </w:r>
            <w:r w:rsidR="00A03629" w:rsidRPr="00FF6191">
              <w:rPr>
                <w:b/>
                <w:bCs/>
              </w:rPr>
              <w:t xml:space="preserve"> </w:t>
            </w:r>
            <w:r w:rsidRPr="00FF6191">
              <w:rPr>
                <w:b/>
                <w:bCs/>
              </w:rPr>
              <w:t>loss</w:t>
            </w:r>
          </w:p>
        </w:tc>
        <w:tc>
          <w:tcPr>
            <w:tcW w:w="1361" w:type="dxa"/>
          </w:tcPr>
          <w:p w14:paraId="562411EE" w14:textId="77777777" w:rsidR="000756EB" w:rsidRPr="00FF6191" w:rsidRDefault="004A4D88" w:rsidP="00FF6191">
            <w:pPr>
              <w:pStyle w:val="TableCopy"/>
              <w:jc w:val="right"/>
              <w:rPr>
                <w:b/>
                <w:bCs/>
              </w:rPr>
            </w:pPr>
            <w:r w:rsidRPr="00FF6191">
              <w:rPr>
                <w:b/>
                <w:bCs/>
              </w:rPr>
              <w:t>(1,032)</w:t>
            </w:r>
          </w:p>
        </w:tc>
        <w:tc>
          <w:tcPr>
            <w:tcW w:w="1361" w:type="dxa"/>
          </w:tcPr>
          <w:p w14:paraId="40D0BEA3" w14:textId="77777777" w:rsidR="000756EB" w:rsidRPr="00FF6191" w:rsidRDefault="004A4D88" w:rsidP="00FF6191">
            <w:pPr>
              <w:pStyle w:val="TableCopy"/>
              <w:jc w:val="right"/>
              <w:rPr>
                <w:b/>
                <w:bCs/>
              </w:rPr>
            </w:pPr>
            <w:r w:rsidRPr="00FF6191">
              <w:rPr>
                <w:b/>
                <w:bCs/>
              </w:rPr>
              <w:t>(2,530)</w:t>
            </w:r>
          </w:p>
        </w:tc>
        <w:tc>
          <w:tcPr>
            <w:tcW w:w="1545" w:type="dxa"/>
          </w:tcPr>
          <w:p w14:paraId="232E51A0" w14:textId="28F8AC5A" w:rsidR="000756EB" w:rsidRPr="00FF6191" w:rsidRDefault="004A4D88" w:rsidP="00FF6191">
            <w:pPr>
              <w:pStyle w:val="TableCopy"/>
              <w:jc w:val="right"/>
              <w:rPr>
                <w:b/>
                <w:bCs/>
              </w:rPr>
            </w:pPr>
            <w:r w:rsidRPr="00FF6191">
              <w:rPr>
                <w:b/>
                <w:bCs/>
              </w:rPr>
              <w:t>2,414</w:t>
            </w:r>
          </w:p>
        </w:tc>
        <w:tc>
          <w:tcPr>
            <w:tcW w:w="1545" w:type="dxa"/>
          </w:tcPr>
          <w:p w14:paraId="42FE3BDE" w14:textId="77777777" w:rsidR="000756EB" w:rsidRPr="00FF6191" w:rsidRDefault="004A4D88" w:rsidP="00FF6191">
            <w:pPr>
              <w:pStyle w:val="TableCopy"/>
              <w:jc w:val="right"/>
              <w:rPr>
                <w:b/>
                <w:bCs/>
              </w:rPr>
            </w:pPr>
            <w:r w:rsidRPr="00FF6191">
              <w:rPr>
                <w:b/>
                <w:bCs/>
              </w:rPr>
              <w:t>(5,858)</w:t>
            </w:r>
          </w:p>
        </w:tc>
      </w:tr>
    </w:tbl>
    <w:p w14:paraId="1DB18443" w14:textId="59CCB0A6" w:rsidR="000756EB" w:rsidRDefault="00FF6191" w:rsidP="00FF6191">
      <w:pPr>
        <w:pStyle w:val="FootnoteText"/>
        <w:spacing w:before="120" w:after="280"/>
      </w:pPr>
      <w:r>
        <w:t>(</w:t>
      </w:r>
      <w:proofErr w:type="spellStart"/>
      <w:r>
        <w:t>i</w:t>
      </w:r>
      <w:proofErr w:type="spellEnd"/>
      <w:r>
        <w:t>) The income statement information reflects half year results till 31 December 2022. The assets and liabilities were transferred to DEECA as</w:t>
      </w:r>
      <w:r>
        <w:rPr>
          <w:rFonts w:ascii="Cambria" w:hAnsi="Cambria" w:cs="Cambria"/>
        </w:rPr>
        <w:t xml:space="preserve"> </w:t>
      </w:r>
      <w:r>
        <w:t>part of the machinery of government changes effective 1 January 2023.</w:t>
      </w:r>
    </w:p>
    <w:p w14:paraId="2E4005DD" w14:textId="79C60D05" w:rsidR="000756EB" w:rsidRDefault="004A4D88" w:rsidP="00FF6191">
      <w:pPr>
        <w:pStyle w:val="Heading1"/>
      </w:pPr>
      <w:bookmarkStart w:id="75" w:name="_Toc149911817"/>
      <w:r>
        <w:lastRenderedPageBreak/>
        <w:t>6.</w:t>
      </w:r>
      <w:r w:rsidR="00A03629">
        <w:t xml:space="preserve"> </w:t>
      </w:r>
      <w:r>
        <w:t>Other</w:t>
      </w:r>
      <w:r w:rsidR="00A03629">
        <w:t xml:space="preserve"> </w:t>
      </w:r>
      <w:r>
        <w:t>Assets</w:t>
      </w:r>
      <w:r w:rsidR="00A03629">
        <w:t xml:space="preserve"> </w:t>
      </w:r>
      <w:r>
        <w:t>and</w:t>
      </w:r>
      <w:r w:rsidR="00A03629">
        <w:t xml:space="preserve"> </w:t>
      </w:r>
      <w:r>
        <w:t>Liabilities</w:t>
      </w:r>
      <w:bookmarkEnd w:id="75"/>
    </w:p>
    <w:p w14:paraId="692DCBE5" w14:textId="77777777" w:rsidR="000756EB" w:rsidRDefault="004A4D88" w:rsidP="00FF6191">
      <w:pPr>
        <w:pStyle w:val="Heading2"/>
      </w:pPr>
      <w:bookmarkStart w:id="76" w:name="_Toc149911818"/>
      <w:r>
        <w:t>Introduction</w:t>
      </w:r>
      <w:bookmarkEnd w:id="76"/>
    </w:p>
    <w:p w14:paraId="1CF3FD84" w14:textId="053F13AA" w:rsidR="000756EB" w:rsidRDefault="004A4D88" w:rsidP="00FF6191">
      <w:r>
        <w:t>This</w:t>
      </w:r>
      <w:r w:rsidR="00A03629">
        <w:t xml:space="preserve"> </w:t>
      </w:r>
      <w:r>
        <w:t>section</w:t>
      </w:r>
      <w:r w:rsidR="00A03629">
        <w:t xml:space="preserve"> </w:t>
      </w:r>
      <w:r>
        <w:t>sets</w:t>
      </w:r>
      <w:r w:rsidR="00A03629">
        <w:t xml:space="preserve"> </w:t>
      </w:r>
      <w:r>
        <w:t>out</w:t>
      </w:r>
      <w:r w:rsidR="00A03629">
        <w:t xml:space="preserve"> </w:t>
      </w:r>
      <w:r>
        <w:t>those</w:t>
      </w:r>
      <w:r w:rsidR="00A03629">
        <w:t xml:space="preserve"> </w:t>
      </w:r>
      <w:r>
        <w:t>assets</w:t>
      </w:r>
      <w:r w:rsidR="00A03629">
        <w:t xml:space="preserve"> </w:t>
      </w:r>
      <w:r>
        <w:t>and</w:t>
      </w:r>
      <w:r w:rsidR="00A03629">
        <w:t xml:space="preserve"> </w:t>
      </w:r>
      <w:r>
        <w:t>liabilities</w:t>
      </w:r>
      <w:r w:rsidR="00A03629">
        <w:t xml:space="preserve"> </w:t>
      </w:r>
      <w:r>
        <w:t>that</w:t>
      </w:r>
      <w:r w:rsidR="00A03629">
        <w:rPr>
          <w:rFonts w:ascii="Cambria" w:hAnsi="Cambria" w:cs="Cambria"/>
        </w:rPr>
        <w:t xml:space="preserve"> </w:t>
      </w:r>
      <w:r>
        <w:t>arose</w:t>
      </w:r>
      <w:r w:rsidR="00A03629">
        <w:t xml:space="preserve"> </w:t>
      </w:r>
      <w:r>
        <w:t>from</w:t>
      </w:r>
      <w:r w:rsidR="00A03629">
        <w:t xml:space="preserve"> </w:t>
      </w:r>
      <w:r>
        <w:t>DJSIR’s</w:t>
      </w:r>
      <w:r w:rsidR="00A03629">
        <w:t xml:space="preserve"> </w:t>
      </w:r>
      <w:r>
        <w:t>controlled</w:t>
      </w:r>
      <w:r w:rsidR="00A03629">
        <w:t xml:space="preserve"> </w:t>
      </w:r>
      <w:r>
        <w:t>operations.</w:t>
      </w:r>
    </w:p>
    <w:p w14:paraId="689AC0BA" w14:textId="77777777" w:rsidR="000756EB" w:rsidRDefault="004A4D88" w:rsidP="00FF6191">
      <w:pPr>
        <w:pStyle w:val="Heading3"/>
      </w:pPr>
      <w:r>
        <w:t>Structure</w:t>
      </w:r>
    </w:p>
    <w:p w14:paraId="13E0827B" w14:textId="7EF5960D" w:rsidR="000756EB" w:rsidRDefault="004A4D88" w:rsidP="00FF6191">
      <w:r>
        <w:t>6.1</w:t>
      </w:r>
      <w:r>
        <w:tab/>
        <w:t>Receivables</w:t>
      </w:r>
      <w:r w:rsidR="00A03629">
        <w:t xml:space="preserve"> </w:t>
      </w:r>
    </w:p>
    <w:p w14:paraId="26FA532B" w14:textId="77777777" w:rsidR="000756EB" w:rsidRDefault="004A4D88" w:rsidP="00FF6191">
      <w:r>
        <w:t>6.2</w:t>
      </w:r>
      <w:r>
        <w:tab/>
        <w:t>Payables</w:t>
      </w:r>
    </w:p>
    <w:p w14:paraId="6C557215" w14:textId="6B95F050" w:rsidR="000756EB" w:rsidRDefault="004A4D88" w:rsidP="00FF6191">
      <w:r>
        <w:t>6.3</w:t>
      </w:r>
      <w:r>
        <w:tab/>
        <w:t>Other</w:t>
      </w:r>
      <w:r w:rsidR="00A03629">
        <w:t xml:space="preserve"> </w:t>
      </w:r>
      <w:r>
        <w:t>non-financial</w:t>
      </w:r>
      <w:r w:rsidR="00A03629">
        <w:t xml:space="preserve"> </w:t>
      </w:r>
      <w:r>
        <w:t>assets</w:t>
      </w:r>
    </w:p>
    <w:p w14:paraId="25068B30" w14:textId="5F21AF62" w:rsidR="000756EB" w:rsidRDefault="004A4D88" w:rsidP="00FF6191">
      <w:r>
        <w:t>6.4</w:t>
      </w:r>
      <w:r>
        <w:tab/>
        <w:t>Other</w:t>
      </w:r>
      <w:r w:rsidR="00A03629">
        <w:t xml:space="preserve"> </w:t>
      </w:r>
      <w:r>
        <w:t>provisions</w:t>
      </w:r>
    </w:p>
    <w:p w14:paraId="5A067014" w14:textId="0E0C1E49" w:rsidR="000756EB" w:rsidRDefault="004A4D88" w:rsidP="00E86EBC">
      <w:pPr>
        <w:pStyle w:val="Heading2"/>
      </w:pPr>
      <w:bookmarkStart w:id="77" w:name="_Toc149911819"/>
      <w:r>
        <w:t>6.1</w:t>
      </w:r>
      <w:r w:rsidR="00DE38B5">
        <w:t xml:space="preserve"> </w:t>
      </w:r>
      <w:r>
        <w:t>Receivables</w:t>
      </w:r>
      <w:bookmarkEnd w:id="77"/>
    </w:p>
    <w:p w14:paraId="440695EB" w14:textId="483CC421" w:rsidR="000756EB" w:rsidRDefault="004A4D88" w:rsidP="00E86EBC">
      <w:r>
        <w:t>Receivables</w:t>
      </w:r>
      <w:r w:rsidR="00A03629">
        <w:t xml:space="preserve"> </w:t>
      </w:r>
      <w:r>
        <w:t>includes</w:t>
      </w:r>
      <w:r w:rsidR="00A03629">
        <w:t xml:space="preserve"> </w:t>
      </w:r>
      <w:r>
        <w:t>amounts</w:t>
      </w:r>
      <w:r w:rsidR="00A03629">
        <w:t xml:space="preserve"> </w:t>
      </w:r>
      <w:r>
        <w:t>owing</w:t>
      </w:r>
      <w:r w:rsidR="00A03629">
        <w:t xml:space="preserve"> </w:t>
      </w:r>
      <w:r>
        <w:t>from</w:t>
      </w:r>
      <w:r w:rsidR="00A03629">
        <w:t xml:space="preserve"> </w:t>
      </w:r>
      <w:r>
        <w:t>government</w:t>
      </w:r>
      <w:r w:rsidR="00A03629">
        <w:t xml:space="preserve"> </w:t>
      </w:r>
      <w:r>
        <w:t>through</w:t>
      </w:r>
      <w:r w:rsidR="00A03629">
        <w:t xml:space="preserve"> </w:t>
      </w:r>
      <w:r>
        <w:t>appropriation</w:t>
      </w:r>
      <w:r w:rsidR="00A03629">
        <w:t xml:space="preserve"> </w:t>
      </w:r>
      <w:r>
        <w:t>receivable,</w:t>
      </w:r>
      <w:r w:rsidR="00A03629">
        <w:t xml:space="preserve"> </w:t>
      </w:r>
      <w:proofErr w:type="gramStart"/>
      <w:r>
        <w:t>short</w:t>
      </w:r>
      <w:r w:rsidR="00A03629">
        <w:t xml:space="preserve"> </w:t>
      </w:r>
      <w:r>
        <w:t>and</w:t>
      </w:r>
      <w:r w:rsidR="00A03629">
        <w:t xml:space="preserve"> </w:t>
      </w:r>
      <w:r>
        <w:t>long</w:t>
      </w:r>
      <w:r w:rsidR="00A03629">
        <w:t xml:space="preserve"> </w:t>
      </w:r>
      <w:r>
        <w:t>term</w:t>
      </w:r>
      <w:proofErr w:type="gramEnd"/>
      <w:r w:rsidR="00A03629">
        <w:t xml:space="preserve"> </w:t>
      </w:r>
      <w:r>
        <w:t>credit</w:t>
      </w:r>
      <w:r w:rsidR="00A03629">
        <w:t xml:space="preserve"> </w:t>
      </w:r>
      <w:r>
        <w:t>and</w:t>
      </w:r>
      <w:r w:rsidR="00A03629">
        <w:t xml:space="preserve"> </w:t>
      </w:r>
      <w:r>
        <w:t>accounts</w:t>
      </w:r>
      <w:r w:rsidR="00A03629">
        <w:t xml:space="preserve"> </w:t>
      </w:r>
      <w:r>
        <w:t>receivable,</w:t>
      </w:r>
      <w:r w:rsidR="00A03629">
        <w:t xml:space="preserve"> </w:t>
      </w:r>
      <w:r>
        <w:t>accrued</w:t>
      </w:r>
      <w:r w:rsidR="00A03629">
        <w:t xml:space="preserve"> </w:t>
      </w:r>
      <w:r>
        <w:t>investment</w:t>
      </w:r>
      <w:r w:rsidR="00A03629">
        <w:t xml:space="preserve"> </w:t>
      </w:r>
      <w:r>
        <w:t>income,</w:t>
      </w:r>
      <w:r w:rsidR="00A03629">
        <w:t xml:space="preserve"> </w:t>
      </w:r>
      <w:r>
        <w:t>grants,</w:t>
      </w:r>
      <w:r w:rsidR="00A03629">
        <w:t xml:space="preserve"> </w:t>
      </w:r>
      <w:r>
        <w:t>taxes</w:t>
      </w:r>
      <w:r w:rsidR="00A03629">
        <w:t xml:space="preserve"> </w:t>
      </w:r>
      <w:r>
        <w:t>and</w:t>
      </w:r>
      <w:r w:rsidR="00A03629">
        <w:t xml:space="preserve"> </w:t>
      </w:r>
      <w:r>
        <w:t>interest</w:t>
      </w:r>
      <w:r w:rsidR="00A03629">
        <w:t xml:space="preserve"> </w:t>
      </w:r>
      <w:r>
        <w:t>receivable.</w:t>
      </w:r>
    </w:p>
    <w:p w14:paraId="4BB22C5E" w14:textId="77777777" w:rsidR="000756EB" w:rsidRPr="00E86EBC" w:rsidRDefault="004A4D88" w:rsidP="00E86EBC">
      <w:pPr>
        <w:pStyle w:val="Normalbeforebullets"/>
        <w:rPr>
          <w:b/>
          <w:bCs/>
        </w:rPr>
      </w:pPr>
      <w:r w:rsidRPr="00E86EBC">
        <w:rPr>
          <w:b/>
          <w:bCs/>
        </w:rPr>
        <w:t>Receivables</w:t>
      </w:r>
    </w:p>
    <w:tbl>
      <w:tblPr>
        <w:tblStyle w:val="TableGrid"/>
        <w:tblW w:w="10256" w:type="dxa"/>
        <w:tblLayout w:type="fixed"/>
        <w:tblLook w:val="0020" w:firstRow="1" w:lastRow="0" w:firstColumn="0" w:lastColumn="0" w:noHBand="0" w:noVBand="0"/>
      </w:tblPr>
      <w:tblGrid>
        <w:gridCol w:w="6374"/>
        <w:gridCol w:w="1941"/>
        <w:gridCol w:w="1941"/>
      </w:tblGrid>
      <w:tr w:rsidR="000756EB" w:rsidRPr="00E86EBC" w14:paraId="5D8CAFB9" w14:textId="77777777" w:rsidTr="00651E07">
        <w:trPr>
          <w:cantSplit/>
          <w:tblHeader/>
        </w:trPr>
        <w:tc>
          <w:tcPr>
            <w:tcW w:w="6374" w:type="dxa"/>
          </w:tcPr>
          <w:p w14:paraId="0BC16801" w14:textId="77777777" w:rsidR="000756EB" w:rsidRPr="00E86EBC" w:rsidRDefault="000756EB" w:rsidP="00E86EBC">
            <w:pPr>
              <w:pStyle w:val="TableColumnHeading"/>
            </w:pPr>
            <w:bookmarkStart w:id="78" w:name="ColumnTitles_46"/>
            <w:bookmarkEnd w:id="78"/>
          </w:p>
        </w:tc>
        <w:tc>
          <w:tcPr>
            <w:tcW w:w="1941" w:type="dxa"/>
          </w:tcPr>
          <w:p w14:paraId="15BFB65F" w14:textId="02963F4B" w:rsidR="000756EB" w:rsidRPr="00E86EBC" w:rsidRDefault="004A4D88" w:rsidP="00E86EBC">
            <w:pPr>
              <w:pStyle w:val="TableColumnHeading"/>
              <w:jc w:val="right"/>
            </w:pPr>
            <w:r w:rsidRPr="00E86EBC">
              <w:t>2023</w:t>
            </w:r>
            <w:r w:rsidR="00A03629" w:rsidRPr="00E86EBC">
              <w:t xml:space="preserve"> </w:t>
            </w:r>
            <w:r w:rsidR="00E86EBC" w:rsidRPr="00E86EBC">
              <w:t>($</w:t>
            </w:r>
            <w:r w:rsidR="00E86EBC">
              <w:t> </w:t>
            </w:r>
            <w:r w:rsidR="00E86EBC" w:rsidRPr="00E86EBC">
              <w:t>thousand)</w:t>
            </w:r>
          </w:p>
        </w:tc>
        <w:tc>
          <w:tcPr>
            <w:tcW w:w="1941" w:type="dxa"/>
          </w:tcPr>
          <w:p w14:paraId="76C42357" w14:textId="1CC9BB52" w:rsidR="000756EB" w:rsidRPr="00E86EBC" w:rsidRDefault="004A4D88" w:rsidP="00E86EBC">
            <w:pPr>
              <w:pStyle w:val="TableColumnHeading"/>
              <w:jc w:val="right"/>
            </w:pPr>
            <w:r w:rsidRPr="00E86EBC">
              <w:t>2022</w:t>
            </w:r>
            <w:r w:rsidR="00E86EBC">
              <w:t xml:space="preserve"> </w:t>
            </w:r>
            <w:r w:rsidR="00E86EBC" w:rsidRPr="00E86EBC">
              <w:t>($</w:t>
            </w:r>
            <w:r w:rsidR="00E86EBC">
              <w:t> </w:t>
            </w:r>
            <w:r w:rsidR="00E86EBC" w:rsidRPr="00E86EBC">
              <w:t>thousand)</w:t>
            </w:r>
          </w:p>
        </w:tc>
      </w:tr>
      <w:tr w:rsidR="000756EB" w:rsidRPr="00E86EBC" w14:paraId="27434082" w14:textId="77777777" w:rsidTr="00651E07">
        <w:trPr>
          <w:cantSplit/>
        </w:trPr>
        <w:tc>
          <w:tcPr>
            <w:tcW w:w="6374" w:type="dxa"/>
          </w:tcPr>
          <w:p w14:paraId="793E346E" w14:textId="77777777" w:rsidR="000756EB" w:rsidRPr="00E86EBC" w:rsidRDefault="004A4D88" w:rsidP="00E86EBC">
            <w:pPr>
              <w:pStyle w:val="TableHeading"/>
            </w:pPr>
            <w:r w:rsidRPr="00E86EBC">
              <w:t>Contractual</w:t>
            </w:r>
          </w:p>
        </w:tc>
        <w:tc>
          <w:tcPr>
            <w:tcW w:w="1941" w:type="dxa"/>
          </w:tcPr>
          <w:p w14:paraId="626E5333" w14:textId="77777777" w:rsidR="000756EB" w:rsidRPr="00E86EBC" w:rsidRDefault="000756EB" w:rsidP="00E86EBC">
            <w:pPr>
              <w:pStyle w:val="TableHeading"/>
              <w:jc w:val="right"/>
            </w:pPr>
          </w:p>
        </w:tc>
        <w:tc>
          <w:tcPr>
            <w:tcW w:w="1941" w:type="dxa"/>
          </w:tcPr>
          <w:p w14:paraId="3D7AB374" w14:textId="77777777" w:rsidR="000756EB" w:rsidRPr="00E86EBC" w:rsidRDefault="000756EB" w:rsidP="00E86EBC">
            <w:pPr>
              <w:pStyle w:val="TableHeading"/>
              <w:jc w:val="right"/>
            </w:pPr>
          </w:p>
        </w:tc>
      </w:tr>
      <w:tr w:rsidR="000756EB" w:rsidRPr="00E86EBC" w14:paraId="48553784" w14:textId="77777777" w:rsidTr="00651E07">
        <w:trPr>
          <w:cantSplit/>
        </w:trPr>
        <w:tc>
          <w:tcPr>
            <w:tcW w:w="6374" w:type="dxa"/>
          </w:tcPr>
          <w:p w14:paraId="5A0E8D1F" w14:textId="6FA8A441" w:rsidR="000756EB" w:rsidRPr="00E86EBC" w:rsidRDefault="004A4D88" w:rsidP="00E86EBC">
            <w:pPr>
              <w:pStyle w:val="TableCopy"/>
              <w:rPr>
                <w:rFonts w:asciiTheme="minorHAnsi" w:hAnsiTheme="minorHAnsi" w:cstheme="minorHAnsi"/>
              </w:rPr>
            </w:pPr>
            <w:r w:rsidRPr="00E86EBC">
              <w:rPr>
                <w:rFonts w:asciiTheme="minorHAnsi" w:hAnsiTheme="minorHAnsi" w:cstheme="minorHAnsi"/>
              </w:rPr>
              <w:t>Receivables</w:t>
            </w:r>
            <w:r w:rsidR="00A03629" w:rsidRPr="00E86EBC">
              <w:rPr>
                <w:rFonts w:asciiTheme="minorHAnsi" w:hAnsiTheme="minorHAnsi" w:cstheme="minorHAnsi"/>
              </w:rPr>
              <w:t xml:space="preserve"> </w:t>
            </w:r>
            <w:r w:rsidRPr="00E86EBC">
              <w:rPr>
                <w:rFonts w:asciiTheme="minorHAnsi" w:hAnsiTheme="minorHAnsi" w:cstheme="minorHAnsi"/>
              </w:rPr>
              <w:t>–</w:t>
            </w:r>
            <w:r w:rsidR="00A03629" w:rsidRPr="00E86EBC">
              <w:rPr>
                <w:rFonts w:asciiTheme="minorHAnsi" w:hAnsiTheme="minorHAnsi" w:cstheme="minorHAnsi"/>
              </w:rPr>
              <w:t xml:space="preserve"> </w:t>
            </w:r>
            <w:r w:rsidRPr="00E86EBC">
              <w:rPr>
                <w:rFonts w:asciiTheme="minorHAnsi" w:hAnsiTheme="minorHAnsi" w:cstheme="minorHAnsi"/>
              </w:rPr>
              <w:t>government</w:t>
            </w:r>
            <w:r w:rsidR="00A03629" w:rsidRPr="00E86EBC">
              <w:rPr>
                <w:rFonts w:asciiTheme="minorHAnsi" w:hAnsiTheme="minorHAnsi" w:cstheme="minorHAnsi"/>
              </w:rPr>
              <w:t xml:space="preserve"> </w:t>
            </w:r>
          </w:p>
        </w:tc>
        <w:tc>
          <w:tcPr>
            <w:tcW w:w="1941" w:type="dxa"/>
          </w:tcPr>
          <w:p w14:paraId="7B48CC8E" w14:textId="66F8CAD1" w:rsidR="000756EB" w:rsidRPr="00E86EBC" w:rsidRDefault="004A4D88" w:rsidP="00E86EBC">
            <w:pPr>
              <w:pStyle w:val="TableCopy"/>
              <w:jc w:val="right"/>
              <w:rPr>
                <w:rFonts w:asciiTheme="minorHAnsi" w:hAnsiTheme="minorHAnsi" w:cstheme="minorHAnsi"/>
              </w:rPr>
            </w:pPr>
            <w:r w:rsidRPr="00E86EBC">
              <w:rPr>
                <w:rFonts w:asciiTheme="minorHAnsi" w:hAnsiTheme="minorHAnsi" w:cstheme="minorHAnsi"/>
              </w:rPr>
              <w:t>195,211</w:t>
            </w:r>
          </w:p>
        </w:tc>
        <w:tc>
          <w:tcPr>
            <w:tcW w:w="1941" w:type="dxa"/>
          </w:tcPr>
          <w:p w14:paraId="32DC4BD0" w14:textId="718990C2" w:rsidR="000756EB" w:rsidRPr="00E86EBC" w:rsidRDefault="004A4D88" w:rsidP="00E86EBC">
            <w:pPr>
              <w:pStyle w:val="TableCopy"/>
              <w:jc w:val="right"/>
              <w:rPr>
                <w:rFonts w:asciiTheme="minorHAnsi" w:hAnsiTheme="minorHAnsi" w:cstheme="minorHAnsi"/>
              </w:rPr>
            </w:pPr>
            <w:r w:rsidRPr="00E86EBC">
              <w:rPr>
                <w:rFonts w:asciiTheme="minorHAnsi" w:hAnsiTheme="minorHAnsi" w:cstheme="minorHAnsi"/>
              </w:rPr>
              <w:t>71,951</w:t>
            </w:r>
          </w:p>
        </w:tc>
      </w:tr>
      <w:tr w:rsidR="000756EB" w:rsidRPr="00E86EBC" w14:paraId="70C5E451" w14:textId="77777777" w:rsidTr="00651E07">
        <w:trPr>
          <w:cantSplit/>
        </w:trPr>
        <w:tc>
          <w:tcPr>
            <w:tcW w:w="6374" w:type="dxa"/>
          </w:tcPr>
          <w:p w14:paraId="083F8B56" w14:textId="4133969C" w:rsidR="000756EB" w:rsidRPr="00E86EBC" w:rsidRDefault="004A4D88" w:rsidP="00E86EBC">
            <w:pPr>
              <w:pStyle w:val="TableCopy"/>
              <w:rPr>
                <w:rFonts w:asciiTheme="minorHAnsi" w:hAnsiTheme="minorHAnsi" w:cstheme="minorHAnsi"/>
              </w:rPr>
            </w:pPr>
            <w:r w:rsidRPr="00E86EBC">
              <w:rPr>
                <w:rFonts w:asciiTheme="minorHAnsi" w:hAnsiTheme="minorHAnsi" w:cstheme="minorHAnsi"/>
              </w:rPr>
              <w:t>Receivables</w:t>
            </w:r>
            <w:r w:rsidR="00A03629" w:rsidRPr="00E86EBC">
              <w:rPr>
                <w:rFonts w:asciiTheme="minorHAnsi" w:hAnsiTheme="minorHAnsi" w:cstheme="minorHAnsi"/>
              </w:rPr>
              <w:t xml:space="preserve"> </w:t>
            </w:r>
            <w:r w:rsidRPr="00E86EBC">
              <w:rPr>
                <w:rFonts w:asciiTheme="minorHAnsi" w:hAnsiTheme="minorHAnsi" w:cstheme="minorHAnsi"/>
              </w:rPr>
              <w:t>–</w:t>
            </w:r>
            <w:r w:rsidR="00A03629" w:rsidRPr="00E86EBC">
              <w:rPr>
                <w:rFonts w:asciiTheme="minorHAnsi" w:hAnsiTheme="minorHAnsi" w:cstheme="minorHAnsi"/>
              </w:rPr>
              <w:t xml:space="preserve"> </w:t>
            </w:r>
            <w:r w:rsidRPr="00E86EBC">
              <w:rPr>
                <w:rFonts w:asciiTheme="minorHAnsi" w:hAnsiTheme="minorHAnsi" w:cstheme="minorHAnsi"/>
              </w:rPr>
              <w:t>non-government</w:t>
            </w:r>
            <w:r w:rsidR="00A03629" w:rsidRPr="00E86EBC">
              <w:rPr>
                <w:rFonts w:asciiTheme="minorHAnsi" w:hAnsiTheme="minorHAnsi" w:cstheme="minorHAnsi"/>
              </w:rPr>
              <w:t xml:space="preserve"> </w:t>
            </w:r>
            <w:r w:rsidRPr="00614829">
              <w:rPr>
                <w:rStyle w:val="FootnotereferencessuperscriptMisc"/>
              </w:rPr>
              <w:t>(ii)</w:t>
            </w:r>
            <w:r w:rsidR="00A03629" w:rsidRPr="00614829">
              <w:rPr>
                <w:rStyle w:val="FootnotereferencessuperscriptMisc"/>
              </w:rPr>
              <w:t xml:space="preserve"> </w:t>
            </w:r>
            <w:r w:rsidRPr="00614829">
              <w:rPr>
                <w:rStyle w:val="FootnotereferencessuperscriptMisc"/>
              </w:rPr>
              <w:t>(iii)</w:t>
            </w:r>
          </w:p>
        </w:tc>
        <w:tc>
          <w:tcPr>
            <w:tcW w:w="1941" w:type="dxa"/>
          </w:tcPr>
          <w:p w14:paraId="08D1278E" w14:textId="458364B4" w:rsidR="000756EB" w:rsidRPr="00E86EBC" w:rsidRDefault="004A4D88" w:rsidP="00E86EBC">
            <w:pPr>
              <w:pStyle w:val="TableCopy"/>
              <w:jc w:val="right"/>
              <w:rPr>
                <w:rFonts w:asciiTheme="minorHAnsi" w:hAnsiTheme="minorHAnsi" w:cstheme="minorHAnsi"/>
              </w:rPr>
            </w:pPr>
            <w:r w:rsidRPr="00E86EBC">
              <w:rPr>
                <w:rFonts w:asciiTheme="minorHAnsi" w:hAnsiTheme="minorHAnsi" w:cstheme="minorHAnsi"/>
              </w:rPr>
              <w:t>91,339</w:t>
            </w:r>
          </w:p>
        </w:tc>
        <w:tc>
          <w:tcPr>
            <w:tcW w:w="1941" w:type="dxa"/>
          </w:tcPr>
          <w:p w14:paraId="5AE726BC" w14:textId="5CBB1B8A" w:rsidR="000756EB" w:rsidRPr="00E86EBC" w:rsidRDefault="004A4D88" w:rsidP="00E86EBC">
            <w:pPr>
              <w:pStyle w:val="TableCopy"/>
              <w:jc w:val="right"/>
              <w:rPr>
                <w:rFonts w:asciiTheme="minorHAnsi" w:hAnsiTheme="minorHAnsi" w:cstheme="minorHAnsi"/>
              </w:rPr>
            </w:pPr>
            <w:r w:rsidRPr="00E86EBC">
              <w:rPr>
                <w:rFonts w:asciiTheme="minorHAnsi" w:hAnsiTheme="minorHAnsi" w:cstheme="minorHAnsi"/>
              </w:rPr>
              <w:t>215,509</w:t>
            </w:r>
          </w:p>
        </w:tc>
      </w:tr>
      <w:tr w:rsidR="000756EB" w:rsidRPr="00E86EBC" w14:paraId="1C55FFB4" w14:textId="77777777" w:rsidTr="00651E07">
        <w:trPr>
          <w:cantSplit/>
        </w:trPr>
        <w:tc>
          <w:tcPr>
            <w:tcW w:w="6374" w:type="dxa"/>
          </w:tcPr>
          <w:p w14:paraId="72D4F873" w14:textId="50394299" w:rsidR="000756EB" w:rsidRPr="00E86EBC" w:rsidRDefault="004A4D88" w:rsidP="00E86EBC">
            <w:pPr>
              <w:pStyle w:val="TableCopy"/>
              <w:rPr>
                <w:rFonts w:asciiTheme="minorHAnsi" w:hAnsiTheme="minorHAnsi" w:cstheme="minorHAnsi"/>
              </w:rPr>
            </w:pPr>
            <w:r w:rsidRPr="00E86EBC">
              <w:rPr>
                <w:rFonts w:asciiTheme="minorHAnsi" w:hAnsiTheme="minorHAnsi" w:cstheme="minorHAnsi"/>
              </w:rPr>
              <w:t>Less</w:t>
            </w:r>
            <w:r w:rsidR="00A03629" w:rsidRPr="00E86EBC">
              <w:rPr>
                <w:rFonts w:asciiTheme="minorHAnsi" w:hAnsiTheme="minorHAnsi" w:cstheme="minorHAnsi"/>
              </w:rPr>
              <w:t xml:space="preserve"> </w:t>
            </w:r>
            <w:r w:rsidRPr="00E86EBC">
              <w:rPr>
                <w:rFonts w:asciiTheme="minorHAnsi" w:hAnsiTheme="minorHAnsi" w:cstheme="minorHAnsi"/>
              </w:rPr>
              <w:t>allowance</w:t>
            </w:r>
            <w:r w:rsidR="00A03629" w:rsidRPr="00E86EBC">
              <w:rPr>
                <w:rFonts w:asciiTheme="minorHAnsi" w:hAnsiTheme="minorHAnsi" w:cstheme="minorHAnsi"/>
              </w:rPr>
              <w:t xml:space="preserve"> </w:t>
            </w:r>
            <w:r w:rsidRPr="00E86EBC">
              <w:rPr>
                <w:rFonts w:asciiTheme="minorHAnsi" w:hAnsiTheme="minorHAnsi" w:cstheme="minorHAnsi"/>
              </w:rPr>
              <w:t>for</w:t>
            </w:r>
            <w:r w:rsidR="00A03629" w:rsidRPr="00E86EBC">
              <w:rPr>
                <w:rFonts w:asciiTheme="minorHAnsi" w:hAnsiTheme="minorHAnsi" w:cstheme="minorHAnsi"/>
              </w:rPr>
              <w:t xml:space="preserve"> </w:t>
            </w:r>
            <w:r w:rsidRPr="00E86EBC">
              <w:rPr>
                <w:rFonts w:asciiTheme="minorHAnsi" w:hAnsiTheme="minorHAnsi" w:cstheme="minorHAnsi"/>
              </w:rPr>
              <w:t>impairment</w:t>
            </w:r>
            <w:r w:rsidR="00A03629" w:rsidRPr="00E86EBC">
              <w:rPr>
                <w:rFonts w:asciiTheme="minorHAnsi" w:hAnsiTheme="minorHAnsi" w:cstheme="minorHAnsi"/>
              </w:rPr>
              <w:t xml:space="preserve"> </w:t>
            </w:r>
            <w:r w:rsidRPr="00E86EBC">
              <w:rPr>
                <w:rFonts w:asciiTheme="minorHAnsi" w:hAnsiTheme="minorHAnsi" w:cstheme="minorHAnsi"/>
              </w:rPr>
              <w:t>losses</w:t>
            </w:r>
            <w:r w:rsidR="00A03629" w:rsidRPr="00E86EBC">
              <w:rPr>
                <w:rFonts w:asciiTheme="minorHAnsi" w:hAnsiTheme="minorHAnsi" w:cstheme="minorHAnsi"/>
              </w:rPr>
              <w:t xml:space="preserve"> </w:t>
            </w:r>
            <w:r w:rsidRPr="00E86EBC">
              <w:rPr>
                <w:rFonts w:asciiTheme="minorHAnsi" w:hAnsiTheme="minorHAnsi" w:cstheme="minorHAnsi"/>
              </w:rPr>
              <w:t>of</w:t>
            </w:r>
            <w:r w:rsidR="00A03629" w:rsidRPr="00E86EBC">
              <w:rPr>
                <w:rFonts w:asciiTheme="minorHAnsi" w:hAnsiTheme="minorHAnsi" w:cstheme="minorHAnsi"/>
              </w:rPr>
              <w:t xml:space="preserve"> </w:t>
            </w:r>
            <w:r w:rsidRPr="00E86EBC">
              <w:rPr>
                <w:rFonts w:asciiTheme="minorHAnsi" w:hAnsiTheme="minorHAnsi" w:cstheme="minorHAnsi"/>
              </w:rPr>
              <w:t>contractual</w:t>
            </w:r>
            <w:r w:rsidR="00A03629" w:rsidRPr="00E86EBC">
              <w:rPr>
                <w:rFonts w:asciiTheme="minorHAnsi" w:hAnsiTheme="minorHAnsi" w:cstheme="minorHAnsi"/>
              </w:rPr>
              <w:t xml:space="preserve"> </w:t>
            </w:r>
            <w:r w:rsidRPr="00E86EBC">
              <w:rPr>
                <w:rFonts w:asciiTheme="minorHAnsi" w:hAnsiTheme="minorHAnsi" w:cstheme="minorHAnsi"/>
              </w:rPr>
              <w:t>receivables</w:t>
            </w:r>
            <w:r w:rsidR="00A03629" w:rsidRPr="00E86EBC">
              <w:rPr>
                <w:rFonts w:asciiTheme="minorHAnsi" w:hAnsiTheme="minorHAnsi" w:cstheme="minorHAnsi"/>
              </w:rPr>
              <w:t xml:space="preserve"> </w:t>
            </w:r>
            <w:r w:rsidRPr="00614829">
              <w:rPr>
                <w:rStyle w:val="FootnotereferencessuperscriptMisc"/>
              </w:rPr>
              <w:t>(iv)</w:t>
            </w:r>
          </w:p>
        </w:tc>
        <w:tc>
          <w:tcPr>
            <w:tcW w:w="1941" w:type="dxa"/>
          </w:tcPr>
          <w:p w14:paraId="6F4C4BE3" w14:textId="77777777" w:rsidR="000756EB" w:rsidRPr="00E86EBC" w:rsidRDefault="004A4D88" w:rsidP="00E86EBC">
            <w:pPr>
              <w:pStyle w:val="TableCopy"/>
              <w:jc w:val="right"/>
              <w:rPr>
                <w:rFonts w:asciiTheme="minorHAnsi" w:hAnsiTheme="minorHAnsi" w:cstheme="minorHAnsi"/>
              </w:rPr>
            </w:pPr>
            <w:r w:rsidRPr="00E86EBC">
              <w:rPr>
                <w:rFonts w:asciiTheme="minorHAnsi" w:hAnsiTheme="minorHAnsi" w:cstheme="minorHAnsi"/>
              </w:rPr>
              <w:t>(61,203)</w:t>
            </w:r>
          </w:p>
        </w:tc>
        <w:tc>
          <w:tcPr>
            <w:tcW w:w="1941" w:type="dxa"/>
          </w:tcPr>
          <w:p w14:paraId="5D0823E5" w14:textId="77777777" w:rsidR="000756EB" w:rsidRPr="00E86EBC" w:rsidRDefault="004A4D88" w:rsidP="00E86EBC">
            <w:pPr>
              <w:pStyle w:val="TableCopy"/>
              <w:jc w:val="right"/>
              <w:rPr>
                <w:rFonts w:asciiTheme="minorHAnsi" w:hAnsiTheme="minorHAnsi" w:cstheme="minorHAnsi"/>
              </w:rPr>
            </w:pPr>
            <w:r w:rsidRPr="00E86EBC">
              <w:rPr>
                <w:rFonts w:asciiTheme="minorHAnsi" w:hAnsiTheme="minorHAnsi" w:cstheme="minorHAnsi"/>
              </w:rPr>
              <w:t>(22,631)</w:t>
            </w:r>
          </w:p>
        </w:tc>
      </w:tr>
      <w:tr w:rsidR="000756EB" w:rsidRPr="00E86EBC" w14:paraId="1630355B" w14:textId="77777777" w:rsidTr="00651E07">
        <w:trPr>
          <w:cantSplit/>
        </w:trPr>
        <w:tc>
          <w:tcPr>
            <w:tcW w:w="6374" w:type="dxa"/>
          </w:tcPr>
          <w:p w14:paraId="2A3F6B5E" w14:textId="3835A5F0" w:rsidR="000756EB" w:rsidRPr="00E86EBC" w:rsidRDefault="004A4D88" w:rsidP="00E86EBC">
            <w:pPr>
              <w:pStyle w:val="TableCopy"/>
              <w:rPr>
                <w:rFonts w:asciiTheme="minorHAnsi" w:hAnsiTheme="minorHAnsi" w:cstheme="minorHAnsi"/>
              </w:rPr>
            </w:pPr>
            <w:r w:rsidRPr="00E86EBC">
              <w:rPr>
                <w:rFonts w:asciiTheme="minorHAnsi" w:hAnsiTheme="minorHAnsi" w:cstheme="minorHAnsi"/>
              </w:rPr>
              <w:t>Other</w:t>
            </w:r>
            <w:r w:rsidR="00A03629" w:rsidRPr="00E86EBC">
              <w:rPr>
                <w:rFonts w:asciiTheme="minorHAnsi" w:hAnsiTheme="minorHAnsi" w:cstheme="minorHAnsi"/>
              </w:rPr>
              <w:t xml:space="preserve"> </w:t>
            </w:r>
            <w:r w:rsidRPr="00E86EBC">
              <w:rPr>
                <w:rFonts w:asciiTheme="minorHAnsi" w:hAnsiTheme="minorHAnsi" w:cstheme="minorHAnsi"/>
              </w:rPr>
              <w:t>receivables</w:t>
            </w:r>
            <w:r w:rsidR="00A03629" w:rsidRPr="00E86EBC">
              <w:rPr>
                <w:rFonts w:asciiTheme="minorHAnsi" w:hAnsiTheme="minorHAnsi" w:cstheme="minorHAnsi"/>
              </w:rPr>
              <w:t xml:space="preserve"> </w:t>
            </w:r>
          </w:p>
        </w:tc>
        <w:tc>
          <w:tcPr>
            <w:tcW w:w="1941" w:type="dxa"/>
          </w:tcPr>
          <w:p w14:paraId="5E06B9DB" w14:textId="77777777" w:rsidR="000756EB" w:rsidRPr="00E86EBC" w:rsidRDefault="004A4D88" w:rsidP="00E86EBC">
            <w:pPr>
              <w:pStyle w:val="TableCopy"/>
              <w:jc w:val="right"/>
              <w:rPr>
                <w:rFonts w:asciiTheme="minorHAnsi" w:hAnsiTheme="minorHAnsi" w:cstheme="minorHAnsi"/>
              </w:rPr>
            </w:pPr>
            <w:r w:rsidRPr="00E86EBC">
              <w:rPr>
                <w:rFonts w:asciiTheme="minorHAnsi" w:hAnsiTheme="minorHAnsi" w:cstheme="minorHAnsi"/>
              </w:rPr>
              <w:t>2,180</w:t>
            </w:r>
          </w:p>
        </w:tc>
        <w:tc>
          <w:tcPr>
            <w:tcW w:w="1941" w:type="dxa"/>
          </w:tcPr>
          <w:p w14:paraId="4314F60D" w14:textId="77777777" w:rsidR="000756EB" w:rsidRPr="00E86EBC" w:rsidRDefault="004A4D88" w:rsidP="00E86EBC">
            <w:pPr>
              <w:pStyle w:val="TableCopy"/>
              <w:jc w:val="right"/>
              <w:rPr>
                <w:rFonts w:asciiTheme="minorHAnsi" w:hAnsiTheme="minorHAnsi" w:cstheme="minorHAnsi"/>
              </w:rPr>
            </w:pPr>
            <w:r w:rsidRPr="00E86EBC">
              <w:rPr>
                <w:rFonts w:asciiTheme="minorHAnsi" w:hAnsiTheme="minorHAnsi" w:cstheme="minorHAnsi"/>
              </w:rPr>
              <w:t>–</w:t>
            </w:r>
          </w:p>
        </w:tc>
      </w:tr>
      <w:tr w:rsidR="000756EB" w:rsidRPr="00E86EBC" w14:paraId="73402365" w14:textId="77777777" w:rsidTr="00651E07">
        <w:trPr>
          <w:cantSplit/>
        </w:trPr>
        <w:tc>
          <w:tcPr>
            <w:tcW w:w="6374" w:type="dxa"/>
          </w:tcPr>
          <w:p w14:paraId="527B955C" w14:textId="77777777" w:rsidR="000756EB" w:rsidRPr="00E86EBC" w:rsidRDefault="004A4D88" w:rsidP="00E86EBC">
            <w:pPr>
              <w:pStyle w:val="TableHeading"/>
            </w:pPr>
            <w:r w:rsidRPr="00E86EBC">
              <w:t>Statutory</w:t>
            </w:r>
          </w:p>
        </w:tc>
        <w:tc>
          <w:tcPr>
            <w:tcW w:w="1941" w:type="dxa"/>
          </w:tcPr>
          <w:p w14:paraId="6A1DD831" w14:textId="77777777" w:rsidR="000756EB" w:rsidRPr="00E86EBC" w:rsidRDefault="000756EB" w:rsidP="00E86EBC">
            <w:pPr>
              <w:pStyle w:val="TableHeading"/>
              <w:jc w:val="right"/>
            </w:pPr>
          </w:p>
        </w:tc>
        <w:tc>
          <w:tcPr>
            <w:tcW w:w="1941" w:type="dxa"/>
          </w:tcPr>
          <w:p w14:paraId="15FBAD9D" w14:textId="77777777" w:rsidR="000756EB" w:rsidRPr="00E86EBC" w:rsidRDefault="000756EB" w:rsidP="00E86EBC">
            <w:pPr>
              <w:pStyle w:val="TableHeading"/>
              <w:jc w:val="right"/>
            </w:pPr>
          </w:p>
        </w:tc>
      </w:tr>
      <w:tr w:rsidR="000756EB" w14:paraId="531FFF86" w14:textId="77777777" w:rsidTr="00651E07">
        <w:trPr>
          <w:cantSplit/>
        </w:trPr>
        <w:tc>
          <w:tcPr>
            <w:tcW w:w="6374" w:type="dxa"/>
          </w:tcPr>
          <w:p w14:paraId="7E9ABED7" w14:textId="09DB7EC3" w:rsidR="000756EB" w:rsidRDefault="004A4D88" w:rsidP="00E86EBC">
            <w:pPr>
              <w:pStyle w:val="TableCopy"/>
            </w:pPr>
            <w:r>
              <w:t>Amounts</w:t>
            </w:r>
            <w:r w:rsidR="00A03629">
              <w:t xml:space="preserve"> </w:t>
            </w:r>
            <w:r>
              <w:t>owing</w:t>
            </w:r>
            <w:r w:rsidR="00A03629">
              <w:t xml:space="preserve"> </w:t>
            </w:r>
            <w:r>
              <w:t>from</w:t>
            </w:r>
            <w:r w:rsidR="00A03629">
              <w:t xml:space="preserve"> </w:t>
            </w:r>
            <w:r>
              <w:t>Victorian</w:t>
            </w:r>
            <w:r w:rsidR="00A03629">
              <w:t xml:space="preserve"> </w:t>
            </w:r>
            <w:r>
              <w:t>Government</w:t>
            </w:r>
            <w:r w:rsidR="00A03629">
              <w:t xml:space="preserve"> </w:t>
            </w:r>
            <w:r w:rsidRPr="00614829">
              <w:rPr>
                <w:rStyle w:val="FootnotereferencessuperscriptMisc"/>
              </w:rPr>
              <w:t>(</w:t>
            </w:r>
            <w:proofErr w:type="spellStart"/>
            <w:r w:rsidRPr="00614829">
              <w:rPr>
                <w:rStyle w:val="FootnotereferencessuperscriptMisc"/>
              </w:rPr>
              <w:t>i</w:t>
            </w:r>
            <w:proofErr w:type="spellEnd"/>
            <w:r w:rsidRPr="00614829">
              <w:rPr>
                <w:rStyle w:val="FootnotereferencessuperscriptMisc"/>
              </w:rPr>
              <w:t>)</w:t>
            </w:r>
          </w:p>
        </w:tc>
        <w:tc>
          <w:tcPr>
            <w:tcW w:w="1941" w:type="dxa"/>
          </w:tcPr>
          <w:p w14:paraId="119846B4" w14:textId="111C6849" w:rsidR="000756EB" w:rsidRDefault="004A4D88" w:rsidP="00E86EBC">
            <w:pPr>
              <w:pStyle w:val="TableCopy"/>
              <w:jc w:val="right"/>
            </w:pPr>
            <w:r>
              <w:t>324,216</w:t>
            </w:r>
          </w:p>
        </w:tc>
        <w:tc>
          <w:tcPr>
            <w:tcW w:w="1941" w:type="dxa"/>
          </w:tcPr>
          <w:p w14:paraId="19DD1FF7" w14:textId="09D96242" w:rsidR="000756EB" w:rsidRDefault="004A4D88" w:rsidP="00E86EBC">
            <w:pPr>
              <w:pStyle w:val="TableCopy"/>
              <w:jc w:val="right"/>
            </w:pPr>
            <w:r>
              <w:t>535,962</w:t>
            </w:r>
          </w:p>
        </w:tc>
      </w:tr>
      <w:tr w:rsidR="000756EB" w14:paraId="0AD6A22C" w14:textId="77777777" w:rsidTr="00651E07">
        <w:trPr>
          <w:cantSplit/>
        </w:trPr>
        <w:tc>
          <w:tcPr>
            <w:tcW w:w="6374" w:type="dxa"/>
          </w:tcPr>
          <w:p w14:paraId="0D9AABBF" w14:textId="1A153823" w:rsidR="000756EB" w:rsidRDefault="004A4D88" w:rsidP="00E86EBC">
            <w:pPr>
              <w:pStyle w:val="TableCopy"/>
            </w:pPr>
            <w:r>
              <w:t>GST</w:t>
            </w:r>
            <w:r w:rsidR="00A03629">
              <w:t xml:space="preserve"> </w:t>
            </w:r>
            <w:r>
              <w:t>input</w:t>
            </w:r>
            <w:r w:rsidR="00A03629">
              <w:t xml:space="preserve"> </w:t>
            </w:r>
            <w:r>
              <w:t>tax</w:t>
            </w:r>
            <w:r w:rsidR="00A03629">
              <w:t xml:space="preserve"> </w:t>
            </w:r>
            <w:r>
              <w:t>credit</w:t>
            </w:r>
            <w:r w:rsidR="00A03629">
              <w:t xml:space="preserve"> </w:t>
            </w:r>
            <w:r>
              <w:t>recoverable</w:t>
            </w:r>
            <w:r w:rsidR="00A03629">
              <w:t xml:space="preserve"> </w:t>
            </w:r>
            <w:r>
              <w:t>from</w:t>
            </w:r>
            <w:r w:rsidR="00A03629">
              <w:t xml:space="preserve"> </w:t>
            </w:r>
            <w:r>
              <w:t>the</w:t>
            </w:r>
            <w:r w:rsidR="00A03629">
              <w:t xml:space="preserve"> </w:t>
            </w:r>
            <w:r>
              <w:t>ATO</w:t>
            </w:r>
          </w:p>
        </w:tc>
        <w:tc>
          <w:tcPr>
            <w:tcW w:w="1941" w:type="dxa"/>
          </w:tcPr>
          <w:p w14:paraId="01BB7FBA" w14:textId="739B381E" w:rsidR="000756EB" w:rsidRDefault="004A4D88" w:rsidP="00E86EBC">
            <w:pPr>
              <w:pStyle w:val="TableCopy"/>
              <w:jc w:val="right"/>
            </w:pPr>
            <w:r>
              <w:t>30,888</w:t>
            </w:r>
          </w:p>
        </w:tc>
        <w:tc>
          <w:tcPr>
            <w:tcW w:w="1941" w:type="dxa"/>
          </w:tcPr>
          <w:p w14:paraId="111FC509" w14:textId="24C4D54E" w:rsidR="000756EB" w:rsidRDefault="004A4D88" w:rsidP="00E86EBC">
            <w:pPr>
              <w:pStyle w:val="TableCopy"/>
              <w:jc w:val="right"/>
            </w:pPr>
            <w:r>
              <w:t>55,839</w:t>
            </w:r>
          </w:p>
        </w:tc>
      </w:tr>
      <w:tr w:rsidR="000756EB" w14:paraId="4DF8C1A7" w14:textId="77777777" w:rsidTr="00651E07">
        <w:trPr>
          <w:cantSplit/>
        </w:trPr>
        <w:tc>
          <w:tcPr>
            <w:tcW w:w="6374" w:type="dxa"/>
          </w:tcPr>
          <w:p w14:paraId="6718296E" w14:textId="222E1702" w:rsidR="000756EB" w:rsidRDefault="004A4D88" w:rsidP="00E86EBC">
            <w:pPr>
              <w:pStyle w:val="TableCopy"/>
            </w:pPr>
            <w:r>
              <w:lastRenderedPageBreak/>
              <w:t>Other</w:t>
            </w:r>
            <w:r w:rsidR="00A03629">
              <w:t xml:space="preserve"> </w:t>
            </w:r>
            <w:r>
              <w:t>taxes</w:t>
            </w:r>
          </w:p>
        </w:tc>
        <w:tc>
          <w:tcPr>
            <w:tcW w:w="1941" w:type="dxa"/>
          </w:tcPr>
          <w:p w14:paraId="24FA4AB0" w14:textId="2E37D54C" w:rsidR="000756EB" w:rsidRDefault="004A4D88" w:rsidP="00E86EBC">
            <w:pPr>
              <w:pStyle w:val="TableCopy"/>
              <w:jc w:val="right"/>
            </w:pPr>
            <w:r>
              <w:t>44</w:t>
            </w:r>
          </w:p>
        </w:tc>
        <w:tc>
          <w:tcPr>
            <w:tcW w:w="1941" w:type="dxa"/>
          </w:tcPr>
          <w:p w14:paraId="311000BB" w14:textId="2EFE94C9" w:rsidR="000756EB" w:rsidRDefault="004A4D88" w:rsidP="00E86EBC">
            <w:pPr>
              <w:pStyle w:val="TableCopy"/>
              <w:jc w:val="right"/>
            </w:pPr>
            <w:r>
              <w:t>178</w:t>
            </w:r>
          </w:p>
        </w:tc>
      </w:tr>
      <w:tr w:rsidR="000756EB" w:rsidRPr="00E86EBC" w14:paraId="6DB97728" w14:textId="77777777" w:rsidTr="00651E07">
        <w:trPr>
          <w:cantSplit/>
        </w:trPr>
        <w:tc>
          <w:tcPr>
            <w:tcW w:w="6374" w:type="dxa"/>
          </w:tcPr>
          <w:p w14:paraId="5B29F497" w14:textId="1EA3CA43" w:rsidR="000756EB" w:rsidRPr="00E86EBC" w:rsidRDefault="004A4D88" w:rsidP="00E86EBC">
            <w:pPr>
              <w:pStyle w:val="TableCopy"/>
              <w:rPr>
                <w:b/>
                <w:bCs/>
              </w:rPr>
            </w:pPr>
            <w:r w:rsidRPr="00E86EBC">
              <w:rPr>
                <w:b/>
                <w:bCs/>
              </w:rPr>
              <w:t>Total</w:t>
            </w:r>
            <w:r w:rsidR="00A03629" w:rsidRPr="00E86EBC">
              <w:rPr>
                <w:b/>
                <w:bCs/>
              </w:rPr>
              <w:t xml:space="preserve"> </w:t>
            </w:r>
            <w:r w:rsidRPr="00E86EBC">
              <w:rPr>
                <w:b/>
                <w:bCs/>
              </w:rPr>
              <w:t>receivables</w:t>
            </w:r>
          </w:p>
        </w:tc>
        <w:tc>
          <w:tcPr>
            <w:tcW w:w="1941" w:type="dxa"/>
          </w:tcPr>
          <w:p w14:paraId="73992549" w14:textId="779EA421" w:rsidR="000756EB" w:rsidRPr="00E86EBC" w:rsidRDefault="004A4D88" w:rsidP="00E86EBC">
            <w:pPr>
              <w:pStyle w:val="TableCopy"/>
              <w:jc w:val="right"/>
              <w:rPr>
                <w:b/>
                <w:bCs/>
              </w:rPr>
            </w:pPr>
            <w:r w:rsidRPr="00E86EBC">
              <w:rPr>
                <w:b/>
                <w:bCs/>
              </w:rPr>
              <w:t>582,675</w:t>
            </w:r>
          </w:p>
        </w:tc>
        <w:tc>
          <w:tcPr>
            <w:tcW w:w="1941" w:type="dxa"/>
          </w:tcPr>
          <w:p w14:paraId="553858F4" w14:textId="1C0B8046" w:rsidR="000756EB" w:rsidRPr="00E86EBC" w:rsidRDefault="004A4D88" w:rsidP="00E86EBC">
            <w:pPr>
              <w:pStyle w:val="TableCopy"/>
              <w:jc w:val="right"/>
              <w:rPr>
                <w:b/>
                <w:bCs/>
              </w:rPr>
            </w:pPr>
            <w:r w:rsidRPr="00E86EBC">
              <w:rPr>
                <w:b/>
                <w:bCs/>
              </w:rPr>
              <w:t>856,808</w:t>
            </w:r>
          </w:p>
        </w:tc>
      </w:tr>
      <w:tr w:rsidR="000756EB" w:rsidRPr="00E86EBC" w14:paraId="6225179C" w14:textId="77777777" w:rsidTr="00651E07">
        <w:trPr>
          <w:cantSplit/>
        </w:trPr>
        <w:tc>
          <w:tcPr>
            <w:tcW w:w="6374" w:type="dxa"/>
          </w:tcPr>
          <w:p w14:paraId="7F1D36A8" w14:textId="40A3ADAA" w:rsidR="000756EB" w:rsidRPr="00560218" w:rsidRDefault="004A4D88" w:rsidP="00560218">
            <w:r w:rsidRPr="00560218">
              <w:t>Represented</w:t>
            </w:r>
            <w:r w:rsidR="00A03629" w:rsidRPr="00560218">
              <w:t xml:space="preserve"> </w:t>
            </w:r>
            <w:r w:rsidRPr="00560218">
              <w:t>by:</w:t>
            </w:r>
          </w:p>
        </w:tc>
        <w:tc>
          <w:tcPr>
            <w:tcW w:w="1941" w:type="dxa"/>
          </w:tcPr>
          <w:p w14:paraId="1EC6D86C" w14:textId="77777777" w:rsidR="000756EB" w:rsidRPr="00E86EBC" w:rsidRDefault="000756EB" w:rsidP="00E86EBC">
            <w:pPr>
              <w:pStyle w:val="TableHeading"/>
              <w:jc w:val="right"/>
              <w:rPr>
                <w:i/>
                <w:iCs/>
              </w:rPr>
            </w:pPr>
          </w:p>
        </w:tc>
        <w:tc>
          <w:tcPr>
            <w:tcW w:w="1941" w:type="dxa"/>
          </w:tcPr>
          <w:p w14:paraId="4D6977C8" w14:textId="77777777" w:rsidR="000756EB" w:rsidRPr="00E86EBC" w:rsidRDefault="000756EB" w:rsidP="00E86EBC">
            <w:pPr>
              <w:pStyle w:val="TableHeading"/>
              <w:jc w:val="right"/>
              <w:rPr>
                <w:i/>
                <w:iCs/>
              </w:rPr>
            </w:pPr>
          </w:p>
        </w:tc>
      </w:tr>
      <w:tr w:rsidR="000756EB" w14:paraId="7F33FF44" w14:textId="77777777" w:rsidTr="00651E07">
        <w:trPr>
          <w:cantSplit/>
        </w:trPr>
        <w:tc>
          <w:tcPr>
            <w:tcW w:w="6374" w:type="dxa"/>
          </w:tcPr>
          <w:p w14:paraId="4407A15A" w14:textId="503C56AC" w:rsidR="000756EB" w:rsidRDefault="004A4D88" w:rsidP="00E86EBC">
            <w:pPr>
              <w:pStyle w:val="TableCopy"/>
            </w:pPr>
            <w:r>
              <w:t>Current</w:t>
            </w:r>
            <w:r w:rsidR="00A03629">
              <w:t xml:space="preserve"> </w:t>
            </w:r>
            <w:r>
              <w:t>receivables</w:t>
            </w:r>
          </w:p>
        </w:tc>
        <w:tc>
          <w:tcPr>
            <w:tcW w:w="1941" w:type="dxa"/>
          </w:tcPr>
          <w:p w14:paraId="73C5BFD3" w14:textId="77777777" w:rsidR="000756EB" w:rsidRDefault="004A4D88" w:rsidP="00E86EBC">
            <w:pPr>
              <w:pStyle w:val="TableCopy"/>
              <w:jc w:val="right"/>
            </w:pPr>
            <w:r>
              <w:t>520,886</w:t>
            </w:r>
          </w:p>
        </w:tc>
        <w:tc>
          <w:tcPr>
            <w:tcW w:w="1941" w:type="dxa"/>
          </w:tcPr>
          <w:p w14:paraId="045D0275" w14:textId="77777777" w:rsidR="000756EB" w:rsidRDefault="004A4D88" w:rsidP="00E86EBC">
            <w:pPr>
              <w:pStyle w:val="TableCopy"/>
              <w:jc w:val="right"/>
            </w:pPr>
            <w:r>
              <w:t>640,884</w:t>
            </w:r>
          </w:p>
        </w:tc>
      </w:tr>
      <w:tr w:rsidR="000756EB" w14:paraId="390D4327" w14:textId="77777777" w:rsidTr="00651E07">
        <w:trPr>
          <w:cantSplit/>
        </w:trPr>
        <w:tc>
          <w:tcPr>
            <w:tcW w:w="6374" w:type="dxa"/>
          </w:tcPr>
          <w:p w14:paraId="08D4DFD3" w14:textId="6760379A" w:rsidR="000756EB" w:rsidRDefault="004A4D88" w:rsidP="00E86EBC">
            <w:pPr>
              <w:pStyle w:val="TableCopy"/>
            </w:pPr>
            <w:r>
              <w:t>Non-current</w:t>
            </w:r>
            <w:r w:rsidR="00A03629">
              <w:t xml:space="preserve"> </w:t>
            </w:r>
            <w:r>
              <w:t>receivables</w:t>
            </w:r>
          </w:p>
        </w:tc>
        <w:tc>
          <w:tcPr>
            <w:tcW w:w="1941" w:type="dxa"/>
          </w:tcPr>
          <w:p w14:paraId="699B488A" w14:textId="77777777" w:rsidR="000756EB" w:rsidRDefault="004A4D88" w:rsidP="00E86EBC">
            <w:pPr>
              <w:pStyle w:val="TableCopy"/>
              <w:jc w:val="right"/>
            </w:pPr>
            <w:r>
              <w:t>61,789</w:t>
            </w:r>
          </w:p>
        </w:tc>
        <w:tc>
          <w:tcPr>
            <w:tcW w:w="1941" w:type="dxa"/>
          </w:tcPr>
          <w:p w14:paraId="053ABA64" w14:textId="77777777" w:rsidR="000756EB" w:rsidRDefault="004A4D88" w:rsidP="00E86EBC">
            <w:pPr>
              <w:pStyle w:val="TableCopy"/>
              <w:jc w:val="right"/>
            </w:pPr>
            <w:r>
              <w:t>215,924</w:t>
            </w:r>
          </w:p>
        </w:tc>
      </w:tr>
    </w:tbl>
    <w:p w14:paraId="408EDA82" w14:textId="23210F9A" w:rsidR="00651E07" w:rsidRDefault="00651E07" w:rsidP="00651E07">
      <w:pPr>
        <w:pStyle w:val="FootnoteText"/>
        <w:spacing w:before="120"/>
        <w:rPr>
          <w:i/>
          <w:iCs/>
        </w:rPr>
      </w:pPr>
      <w:r>
        <w:t>(</w:t>
      </w:r>
      <w:proofErr w:type="spellStart"/>
      <w:r>
        <w:t>i</w:t>
      </w:r>
      <w:proofErr w:type="spellEnd"/>
      <w:r>
        <w:t>) The amounts recognised from the Victorian Government represent funding for all commitments incurred through the appropriations and</w:t>
      </w:r>
      <w:r>
        <w:rPr>
          <w:rFonts w:ascii="Cambria" w:hAnsi="Cambria" w:cs="Cambria"/>
        </w:rPr>
        <w:t xml:space="preserve"> </w:t>
      </w:r>
      <w:r>
        <w:t xml:space="preserve">are drawn from the Consolidated Fund as the commitments fall due. </w:t>
      </w:r>
    </w:p>
    <w:p w14:paraId="43618A36" w14:textId="45EED7A8" w:rsidR="00651E07" w:rsidRDefault="00651E07" w:rsidP="00651E07">
      <w:pPr>
        <w:pStyle w:val="FootnoteText"/>
        <w:rPr>
          <w:i/>
          <w:iCs/>
        </w:rPr>
      </w:pPr>
      <w:r>
        <w:t xml:space="preserve">(ii) </w:t>
      </w:r>
      <w:r>
        <w:rPr>
          <w:spacing w:val="-4"/>
        </w:rPr>
        <w:t>The prior year amount includes $137 million of rural assistance schemes provided to farmers which is guaranteed by the Commonwealth which has been transferred to DEECA as part of the machinery of government changes. Effective from 30 June 2016, the Rural Assistance Commissioner replaced the former Rural Finance Corporation Victoria. Through an agreement with the Victorian Government, rural assistance schemes such as grants and loans are delivered by Bendigo and Adelaide Bank under the name</w:t>
      </w:r>
      <w:r>
        <w:rPr>
          <w:rFonts w:ascii="Cambria" w:hAnsi="Cambria" w:cs="Cambria"/>
          <w:spacing w:val="-4"/>
        </w:rPr>
        <w:t xml:space="preserve"> </w:t>
      </w:r>
      <w:r>
        <w:rPr>
          <w:spacing w:val="-4"/>
        </w:rPr>
        <w:t xml:space="preserve">Rural Finance. Rural Finance delivers rural assistance schemes, such as drought and dairy concessional loans, on behalf of the Victorian Government. See Note </w:t>
      </w:r>
      <w:r>
        <w:rPr>
          <w:spacing w:val="7"/>
        </w:rPr>
        <w:t>7.1</w:t>
      </w:r>
      <w:r>
        <w:rPr>
          <w:spacing w:val="-4"/>
        </w:rPr>
        <w:t xml:space="preserve"> – Borrowings for advances from Commonwealth relating to the Federal Government’s concessional loan scheme with the Department of Agriculture and Water Resources.</w:t>
      </w:r>
    </w:p>
    <w:p w14:paraId="1000236B" w14:textId="76D42B15" w:rsidR="00651E07" w:rsidRDefault="00651E07" w:rsidP="00651E07">
      <w:pPr>
        <w:pStyle w:val="FootnoteText"/>
        <w:rPr>
          <w:i/>
          <w:iCs/>
        </w:rPr>
      </w:pPr>
      <w:r>
        <w:t>(iii) Includes commercial loans to third parties and other receivables. Amounts are recognised at fair value in accordance with AASB 9 at</w:t>
      </w:r>
      <w:r>
        <w:rPr>
          <w:rFonts w:ascii="Cambria" w:hAnsi="Cambria" w:cs="Cambria"/>
        </w:rPr>
        <w:t xml:space="preserve"> </w:t>
      </w:r>
      <w:r>
        <w:t>initial recognition and subsequently measured on a straight-line basis at amortised cost. Included in the prior year amount is a $40m</w:t>
      </w:r>
      <w:r>
        <w:rPr>
          <w:rFonts w:ascii="Cambria" w:hAnsi="Cambria" w:cs="Cambria"/>
        </w:rPr>
        <w:t xml:space="preserve"> </w:t>
      </w:r>
      <w:r>
        <w:t>loan to a third party, which has been settled in FY22–23 under the terms of the agreement.</w:t>
      </w:r>
    </w:p>
    <w:p w14:paraId="03143818" w14:textId="4485C9C7" w:rsidR="000756EB" w:rsidRDefault="00651E07" w:rsidP="00651E07">
      <w:pPr>
        <w:pStyle w:val="FootnoteText"/>
        <w:spacing w:after="280"/>
      </w:pPr>
      <w:r>
        <w:t>(iv) Included in this amount are impairment allowance of $40m transferred across from DE in the recent machinery of government changes. The remaining balance represents payments that were identified made to ineligible COVID-19 grants recipients which have been recognised as other receivables and an allowance for impairment losses recognised.</w:t>
      </w:r>
    </w:p>
    <w:p w14:paraId="39B897AF" w14:textId="587F647C" w:rsidR="000756EB" w:rsidRDefault="004A4D88" w:rsidP="00E86EBC">
      <w:r w:rsidRPr="00651E07">
        <w:rPr>
          <w:b/>
          <w:bCs/>
        </w:rPr>
        <w:t>Contractual</w:t>
      </w:r>
      <w:r w:rsidR="00A03629" w:rsidRPr="00651E07">
        <w:rPr>
          <w:b/>
          <w:bCs/>
        </w:rPr>
        <w:t xml:space="preserve"> </w:t>
      </w:r>
      <w:r w:rsidRPr="00651E07">
        <w:rPr>
          <w:b/>
          <w:bCs/>
        </w:rPr>
        <w:t>receivables</w:t>
      </w:r>
      <w:r w:rsidR="00A03629">
        <w:t xml:space="preserve"> </w:t>
      </w:r>
      <w:r>
        <w:t>are</w:t>
      </w:r>
      <w:r w:rsidR="00A03629">
        <w:t xml:space="preserve"> </w:t>
      </w:r>
      <w:r>
        <w:t>classified</w:t>
      </w:r>
      <w:r w:rsidR="00A03629">
        <w:t xml:space="preserve"> </w:t>
      </w:r>
      <w:r>
        <w:t>as</w:t>
      </w:r>
      <w:r w:rsidR="00A03629">
        <w:t xml:space="preserve"> </w:t>
      </w:r>
      <w:r>
        <w:t>financial</w:t>
      </w:r>
      <w:r w:rsidR="00A03629">
        <w:t xml:space="preserve"> </w:t>
      </w:r>
      <w:r>
        <w:t>instruments</w:t>
      </w:r>
      <w:r w:rsidR="00A03629">
        <w:t xml:space="preserve"> </w:t>
      </w:r>
      <w:r>
        <w:t>and</w:t>
      </w:r>
      <w:r w:rsidR="00A03629">
        <w:t xml:space="preserve"> </w:t>
      </w:r>
      <w:r>
        <w:t>categorised</w:t>
      </w:r>
      <w:r w:rsidR="00A03629">
        <w:t xml:space="preserve"> </w:t>
      </w:r>
      <w:r>
        <w:t>as</w:t>
      </w:r>
      <w:r w:rsidR="00A03629">
        <w:t xml:space="preserve"> </w:t>
      </w:r>
      <w:r>
        <w:t>‘financial</w:t>
      </w:r>
      <w:r w:rsidR="00A03629">
        <w:t xml:space="preserve"> </w:t>
      </w:r>
      <w:r>
        <w:t>assets</w:t>
      </w:r>
      <w:r w:rsidR="00A03629">
        <w:t xml:space="preserve"> </w:t>
      </w:r>
      <w:r>
        <w:t>at</w:t>
      </w:r>
      <w:r w:rsidR="00A03629">
        <w:t xml:space="preserve"> </w:t>
      </w:r>
      <w:r>
        <w:t>amortised</w:t>
      </w:r>
      <w:r w:rsidR="00A03629">
        <w:t xml:space="preserve"> </w:t>
      </w:r>
      <w:proofErr w:type="gramStart"/>
      <w:r>
        <w:t>costs’</w:t>
      </w:r>
      <w:proofErr w:type="gramEnd"/>
      <w:r>
        <w:t>.</w:t>
      </w:r>
      <w:r w:rsidR="00A03629">
        <w:t xml:space="preserve"> </w:t>
      </w:r>
      <w:r>
        <w:t>They</w:t>
      </w:r>
      <w:r w:rsidR="00A03629">
        <w:t xml:space="preserve"> </w:t>
      </w:r>
      <w:r>
        <w:t>are</w:t>
      </w:r>
      <w:r w:rsidR="00A03629">
        <w:t xml:space="preserve"> </w:t>
      </w:r>
      <w:r>
        <w:t>initially</w:t>
      </w:r>
      <w:r w:rsidR="00A03629">
        <w:t xml:space="preserve"> </w:t>
      </w:r>
      <w:r>
        <w:t>recognised</w:t>
      </w:r>
      <w:r w:rsidR="00A03629">
        <w:t xml:space="preserve"> </w:t>
      </w:r>
      <w:r>
        <w:t>at</w:t>
      </w:r>
      <w:r w:rsidR="00A03629">
        <w:t xml:space="preserve"> </w:t>
      </w:r>
      <w:r>
        <w:t>fair</w:t>
      </w:r>
      <w:r w:rsidR="00A03629">
        <w:t xml:space="preserve"> </w:t>
      </w:r>
      <w:r>
        <w:t>value</w:t>
      </w:r>
      <w:r w:rsidR="00A03629">
        <w:t xml:space="preserve"> </w:t>
      </w:r>
      <w:r>
        <w:t>plus</w:t>
      </w:r>
      <w:r w:rsidR="00A03629">
        <w:t xml:space="preserve"> </w:t>
      </w:r>
      <w:r>
        <w:t>any</w:t>
      </w:r>
      <w:r w:rsidR="00A03629">
        <w:t xml:space="preserve"> </w:t>
      </w:r>
      <w:r>
        <w:t>directly</w:t>
      </w:r>
      <w:r w:rsidR="00A03629">
        <w:t xml:space="preserve"> </w:t>
      </w:r>
      <w:r>
        <w:t>attributable</w:t>
      </w:r>
      <w:r w:rsidR="00A03629">
        <w:t xml:space="preserve"> </w:t>
      </w:r>
      <w:r>
        <w:t>transaction</w:t>
      </w:r>
      <w:r w:rsidR="00A03629">
        <w:t xml:space="preserve"> </w:t>
      </w:r>
      <w:r>
        <w:t>costs.</w:t>
      </w:r>
      <w:r w:rsidR="00A03629">
        <w:t xml:space="preserve"> </w:t>
      </w:r>
      <w:r>
        <w:t>DJSIR</w:t>
      </w:r>
      <w:r w:rsidR="00A03629">
        <w:t xml:space="preserve"> </w:t>
      </w:r>
      <w:r>
        <w:t>holds</w:t>
      </w:r>
      <w:r w:rsidR="00A03629">
        <w:t xml:space="preserve"> </w:t>
      </w:r>
      <w:r>
        <w:t>the</w:t>
      </w:r>
      <w:r w:rsidR="00A03629">
        <w:t xml:space="preserve"> </w:t>
      </w:r>
      <w:r>
        <w:t>contractual</w:t>
      </w:r>
      <w:r w:rsidR="00A03629">
        <w:t xml:space="preserve"> </w:t>
      </w:r>
      <w:r>
        <w:t>receivables</w:t>
      </w:r>
      <w:r w:rsidR="00A03629">
        <w:t xml:space="preserve"> </w:t>
      </w:r>
      <w:r>
        <w:t>with</w:t>
      </w:r>
      <w:r w:rsidR="00A03629">
        <w:t xml:space="preserve"> </w:t>
      </w:r>
      <w:r>
        <w:t>the</w:t>
      </w:r>
      <w:r w:rsidR="00A03629">
        <w:t xml:space="preserve"> </w:t>
      </w:r>
      <w:r>
        <w:t>objective</w:t>
      </w:r>
      <w:r w:rsidR="00A03629">
        <w:t xml:space="preserve"> </w:t>
      </w:r>
      <w:r>
        <w:t>to</w:t>
      </w:r>
      <w:r w:rsidR="00A03629">
        <w:t xml:space="preserve"> </w:t>
      </w:r>
      <w:r>
        <w:t>collect</w:t>
      </w:r>
      <w:r w:rsidR="00A03629">
        <w:t xml:space="preserve"> </w:t>
      </w:r>
      <w:r>
        <w:t>the</w:t>
      </w:r>
      <w:r w:rsidR="00A03629">
        <w:t xml:space="preserve"> </w:t>
      </w:r>
      <w:r>
        <w:t>contractual</w:t>
      </w:r>
      <w:r w:rsidR="00A03629">
        <w:t xml:space="preserve"> </w:t>
      </w:r>
      <w:r>
        <w:t>cash</w:t>
      </w:r>
      <w:r w:rsidR="00A03629">
        <w:t xml:space="preserve"> </w:t>
      </w:r>
      <w:r>
        <w:t>flows</w:t>
      </w:r>
      <w:r w:rsidR="00A03629">
        <w:t xml:space="preserve"> </w:t>
      </w:r>
      <w:r>
        <w:t>and</w:t>
      </w:r>
      <w:r w:rsidR="00A03629">
        <w:t xml:space="preserve"> </w:t>
      </w:r>
      <w:r>
        <w:t>therefore</w:t>
      </w:r>
      <w:r w:rsidR="00A03629">
        <w:t xml:space="preserve"> </w:t>
      </w:r>
      <w:r>
        <w:t>subsequently</w:t>
      </w:r>
      <w:r w:rsidR="00A03629">
        <w:t xml:space="preserve"> </w:t>
      </w:r>
      <w:r>
        <w:t>measured</w:t>
      </w:r>
      <w:r w:rsidR="00A03629">
        <w:t xml:space="preserve"> </w:t>
      </w:r>
      <w:r>
        <w:t>at</w:t>
      </w:r>
      <w:r w:rsidR="00A03629">
        <w:t xml:space="preserve"> </w:t>
      </w:r>
      <w:r>
        <w:t>amortised</w:t>
      </w:r>
      <w:r w:rsidR="00A03629">
        <w:t xml:space="preserve"> </w:t>
      </w:r>
      <w:r>
        <w:t>cost</w:t>
      </w:r>
      <w:r w:rsidR="00A03629">
        <w:t xml:space="preserve"> </w:t>
      </w:r>
      <w:r>
        <w:t>using</w:t>
      </w:r>
      <w:r w:rsidR="00A03629">
        <w:t xml:space="preserve"> </w:t>
      </w:r>
      <w:r>
        <w:t>the</w:t>
      </w:r>
      <w:r w:rsidR="00A03629">
        <w:t xml:space="preserve"> </w:t>
      </w:r>
      <w:r>
        <w:t>effective</w:t>
      </w:r>
      <w:r w:rsidR="00A03629">
        <w:t xml:space="preserve"> </w:t>
      </w:r>
      <w:r>
        <w:t>interest</w:t>
      </w:r>
      <w:r w:rsidR="00A03629">
        <w:t xml:space="preserve"> </w:t>
      </w:r>
      <w:r>
        <w:t>method,</w:t>
      </w:r>
      <w:r w:rsidR="00A03629">
        <w:t xml:space="preserve"> </w:t>
      </w:r>
      <w:r>
        <w:t>less</w:t>
      </w:r>
      <w:r w:rsidR="00A03629">
        <w:t xml:space="preserve"> </w:t>
      </w:r>
      <w:r>
        <w:t>any</w:t>
      </w:r>
      <w:r w:rsidR="00A03629">
        <w:t xml:space="preserve"> </w:t>
      </w:r>
      <w:r>
        <w:t>impairment.</w:t>
      </w:r>
    </w:p>
    <w:p w14:paraId="799FD96F" w14:textId="3BFA0BBE" w:rsidR="000756EB" w:rsidRDefault="004A4D88" w:rsidP="00651E07">
      <w:r w:rsidRPr="00651E07">
        <w:rPr>
          <w:b/>
          <w:bCs/>
        </w:rPr>
        <w:t>Statutory</w:t>
      </w:r>
      <w:r w:rsidR="00A03629" w:rsidRPr="00651E07">
        <w:rPr>
          <w:b/>
          <w:bCs/>
        </w:rPr>
        <w:t xml:space="preserve"> </w:t>
      </w:r>
      <w:r w:rsidRPr="00651E07">
        <w:rPr>
          <w:b/>
          <w:bCs/>
        </w:rPr>
        <w:t>receivables</w:t>
      </w:r>
      <w:r w:rsidR="00A03629">
        <w:t xml:space="preserve"> </w:t>
      </w:r>
      <w:r>
        <w:t>do</w:t>
      </w:r>
      <w:r w:rsidR="00A03629">
        <w:t xml:space="preserve"> </w:t>
      </w:r>
      <w:r>
        <w:t>not</w:t>
      </w:r>
      <w:r w:rsidR="00A03629">
        <w:t xml:space="preserve"> </w:t>
      </w:r>
      <w:r>
        <w:t>arise</w:t>
      </w:r>
      <w:r w:rsidR="00A03629">
        <w:t xml:space="preserve"> </w:t>
      </w:r>
      <w:r>
        <w:t>from</w:t>
      </w:r>
      <w:r w:rsidR="00A03629">
        <w:t xml:space="preserve"> </w:t>
      </w:r>
      <w:r>
        <w:t>contracts</w:t>
      </w:r>
      <w:r w:rsidR="00A03629">
        <w:t xml:space="preserve"> </w:t>
      </w:r>
      <w:r>
        <w:t>and</w:t>
      </w:r>
      <w:r w:rsidR="00A03629">
        <w:t xml:space="preserve"> </w:t>
      </w:r>
      <w:r>
        <w:t>are</w:t>
      </w:r>
      <w:r w:rsidR="00A03629">
        <w:t xml:space="preserve"> </w:t>
      </w:r>
      <w:r>
        <w:t>recognised</w:t>
      </w:r>
      <w:r w:rsidR="00A03629">
        <w:t xml:space="preserve"> </w:t>
      </w:r>
      <w:r>
        <w:t>and</w:t>
      </w:r>
      <w:r w:rsidR="00A03629">
        <w:t xml:space="preserve"> </w:t>
      </w:r>
      <w:r>
        <w:t>measured</w:t>
      </w:r>
      <w:r w:rsidR="00A03629">
        <w:t xml:space="preserve"> </w:t>
      </w:r>
      <w:r>
        <w:t>similarly</w:t>
      </w:r>
      <w:r w:rsidR="00A03629">
        <w:t xml:space="preserve"> </w:t>
      </w:r>
      <w:r>
        <w:t>to</w:t>
      </w:r>
      <w:r w:rsidR="00A03629">
        <w:t xml:space="preserve"> </w:t>
      </w:r>
      <w:r>
        <w:t>contractual</w:t>
      </w:r>
      <w:r w:rsidR="00A03629">
        <w:t xml:space="preserve"> </w:t>
      </w:r>
      <w:r>
        <w:t>receivables</w:t>
      </w:r>
      <w:r w:rsidR="00A03629">
        <w:t xml:space="preserve"> </w:t>
      </w:r>
      <w:r>
        <w:t>(except</w:t>
      </w:r>
      <w:r w:rsidR="00A03629">
        <w:t xml:space="preserve"> </w:t>
      </w:r>
      <w:r>
        <w:t>for</w:t>
      </w:r>
      <w:r w:rsidR="00A03629">
        <w:t xml:space="preserve"> </w:t>
      </w:r>
      <w:r>
        <w:t>impairment</w:t>
      </w:r>
      <w:proofErr w:type="gramStart"/>
      <w:r>
        <w:t>),</w:t>
      </w:r>
      <w:r w:rsidR="00A03629">
        <w:t xml:space="preserve"> </w:t>
      </w:r>
      <w:r>
        <w:t>but</w:t>
      </w:r>
      <w:proofErr w:type="gramEnd"/>
      <w:r w:rsidR="00A03629">
        <w:t xml:space="preserve"> </w:t>
      </w:r>
      <w:r>
        <w:t>are</w:t>
      </w:r>
      <w:r w:rsidR="00A03629">
        <w:t xml:space="preserve"> </w:t>
      </w:r>
      <w:r>
        <w:t>not</w:t>
      </w:r>
      <w:r w:rsidR="00A03629">
        <w:t xml:space="preserve"> </w:t>
      </w:r>
      <w:r>
        <w:t>classified</w:t>
      </w:r>
      <w:r w:rsidR="00A03629">
        <w:t xml:space="preserve"> </w:t>
      </w:r>
      <w:r>
        <w:t>as</w:t>
      </w:r>
      <w:r w:rsidR="00A03629">
        <w:t xml:space="preserve"> </w:t>
      </w:r>
      <w:r>
        <w:t>financial</w:t>
      </w:r>
      <w:r w:rsidR="00A03629">
        <w:t xml:space="preserve"> </w:t>
      </w:r>
      <w:r>
        <w:t>instruments</w:t>
      </w:r>
      <w:r w:rsidR="00A03629">
        <w:t xml:space="preserve"> </w:t>
      </w:r>
      <w:r>
        <w:t>for</w:t>
      </w:r>
      <w:r w:rsidR="00A03629">
        <w:t xml:space="preserve"> </w:t>
      </w:r>
      <w:r>
        <w:t>disclosure</w:t>
      </w:r>
      <w:r w:rsidR="00A03629">
        <w:t xml:space="preserve"> </w:t>
      </w:r>
      <w:r>
        <w:t>purposes.</w:t>
      </w:r>
      <w:r w:rsidR="00A03629">
        <w:t xml:space="preserve"> </w:t>
      </w:r>
      <w:r>
        <w:t>DJSIR</w:t>
      </w:r>
      <w:r w:rsidR="00A03629">
        <w:t xml:space="preserve"> </w:t>
      </w:r>
      <w:r>
        <w:t>applies</w:t>
      </w:r>
      <w:r w:rsidR="00A03629">
        <w:t xml:space="preserve"> </w:t>
      </w:r>
      <w:r>
        <w:t>AASB</w:t>
      </w:r>
      <w:r w:rsidR="00A03629">
        <w:t xml:space="preserve"> </w:t>
      </w:r>
      <w:r>
        <w:t>9</w:t>
      </w:r>
      <w:r w:rsidR="00A03629">
        <w:t xml:space="preserve"> </w:t>
      </w:r>
      <w:r>
        <w:t>for</w:t>
      </w:r>
      <w:r w:rsidR="00A03629">
        <w:t xml:space="preserve"> </w:t>
      </w:r>
      <w:r>
        <w:t>initial</w:t>
      </w:r>
      <w:r w:rsidR="00A03629">
        <w:t xml:space="preserve"> </w:t>
      </w:r>
      <w:r>
        <w:t>measurement</w:t>
      </w:r>
      <w:r w:rsidR="00A03629">
        <w:t xml:space="preserve"> </w:t>
      </w:r>
      <w:r>
        <w:t>of</w:t>
      </w:r>
      <w:r w:rsidR="00A03629">
        <w:t xml:space="preserve"> </w:t>
      </w:r>
      <w:r>
        <w:t>the</w:t>
      </w:r>
      <w:r w:rsidR="00A03629">
        <w:t xml:space="preserve"> </w:t>
      </w:r>
      <w:r>
        <w:t>statutory</w:t>
      </w:r>
      <w:r w:rsidR="00A03629">
        <w:t xml:space="preserve"> </w:t>
      </w:r>
      <w:r>
        <w:t>receivables</w:t>
      </w:r>
      <w:r w:rsidR="00A03629">
        <w:t xml:space="preserve"> </w:t>
      </w:r>
      <w:r>
        <w:t>and</w:t>
      </w:r>
      <w:r w:rsidR="00A03629">
        <w:t xml:space="preserve"> </w:t>
      </w:r>
      <w:r>
        <w:t>as</w:t>
      </w:r>
      <w:r w:rsidR="00A03629">
        <w:t xml:space="preserve"> </w:t>
      </w:r>
      <w:r>
        <w:t>a</w:t>
      </w:r>
      <w:r w:rsidR="00A03629">
        <w:t xml:space="preserve"> </w:t>
      </w:r>
      <w:r>
        <w:t>result</w:t>
      </w:r>
      <w:r w:rsidR="00A03629">
        <w:t xml:space="preserve"> </w:t>
      </w:r>
      <w:r>
        <w:t>statutory</w:t>
      </w:r>
      <w:r w:rsidR="00A03629">
        <w:t xml:space="preserve"> </w:t>
      </w:r>
      <w:r>
        <w:t>receivables</w:t>
      </w:r>
      <w:r w:rsidR="00A03629">
        <w:t xml:space="preserve"> </w:t>
      </w:r>
      <w:r>
        <w:t>are</w:t>
      </w:r>
      <w:r w:rsidR="00A03629">
        <w:t xml:space="preserve"> </w:t>
      </w:r>
      <w:r>
        <w:t>initially</w:t>
      </w:r>
      <w:r w:rsidR="00A03629">
        <w:t xml:space="preserve"> </w:t>
      </w:r>
      <w:r>
        <w:t>recognised</w:t>
      </w:r>
      <w:r w:rsidR="00A03629">
        <w:t xml:space="preserve"> </w:t>
      </w:r>
      <w:r>
        <w:t>at</w:t>
      </w:r>
      <w:r w:rsidR="00A03629">
        <w:t xml:space="preserve"> </w:t>
      </w:r>
      <w:r>
        <w:t>fair</w:t>
      </w:r>
      <w:r w:rsidR="00A03629">
        <w:t xml:space="preserve"> </w:t>
      </w:r>
      <w:r>
        <w:t>value</w:t>
      </w:r>
      <w:r w:rsidR="00A03629">
        <w:t xml:space="preserve"> </w:t>
      </w:r>
      <w:r>
        <w:t>plus</w:t>
      </w:r>
      <w:r w:rsidR="00A03629">
        <w:t xml:space="preserve"> </w:t>
      </w:r>
      <w:r>
        <w:t>any</w:t>
      </w:r>
      <w:r w:rsidR="00A03629">
        <w:t xml:space="preserve"> </w:t>
      </w:r>
      <w:r>
        <w:t>directly</w:t>
      </w:r>
      <w:r w:rsidR="00A03629">
        <w:t xml:space="preserve"> </w:t>
      </w:r>
      <w:r>
        <w:t>attributable</w:t>
      </w:r>
      <w:r w:rsidR="00A03629">
        <w:t xml:space="preserve"> </w:t>
      </w:r>
      <w:r>
        <w:t>transaction</w:t>
      </w:r>
      <w:r w:rsidR="00A03629">
        <w:t xml:space="preserve"> </w:t>
      </w:r>
      <w:r>
        <w:t>cost.</w:t>
      </w:r>
      <w:r w:rsidR="00A03629">
        <w:t xml:space="preserve"> </w:t>
      </w:r>
      <w:r>
        <w:t>Amounts</w:t>
      </w:r>
      <w:r w:rsidR="00A03629">
        <w:t xml:space="preserve"> </w:t>
      </w:r>
      <w:r>
        <w:t>recognised</w:t>
      </w:r>
      <w:r w:rsidR="00A03629">
        <w:t xml:space="preserve"> </w:t>
      </w:r>
      <w:r>
        <w:t>from</w:t>
      </w:r>
      <w:r w:rsidR="00A03629">
        <w:t xml:space="preserve"> </w:t>
      </w:r>
      <w:r>
        <w:t>the</w:t>
      </w:r>
      <w:r w:rsidR="00A03629">
        <w:t xml:space="preserve"> </w:t>
      </w:r>
      <w:r>
        <w:t>Victorian</w:t>
      </w:r>
      <w:r w:rsidR="00A03629">
        <w:t xml:space="preserve"> </w:t>
      </w:r>
      <w:r>
        <w:t>Government</w:t>
      </w:r>
      <w:r w:rsidR="00A03629">
        <w:t xml:space="preserve"> </w:t>
      </w:r>
      <w:r>
        <w:t>represent</w:t>
      </w:r>
      <w:r w:rsidR="00A03629">
        <w:t xml:space="preserve"> </w:t>
      </w:r>
      <w:r>
        <w:t>funding</w:t>
      </w:r>
      <w:r w:rsidR="00A03629">
        <w:t xml:space="preserve"> </w:t>
      </w:r>
      <w:r>
        <w:t>for</w:t>
      </w:r>
      <w:r w:rsidR="00A03629">
        <w:t xml:space="preserve"> </w:t>
      </w:r>
      <w:r>
        <w:t>all</w:t>
      </w:r>
      <w:r w:rsidR="00A03629">
        <w:t xml:space="preserve"> </w:t>
      </w:r>
      <w:r>
        <w:t>commitments</w:t>
      </w:r>
      <w:r w:rsidR="00A03629">
        <w:t xml:space="preserve"> </w:t>
      </w:r>
      <w:r>
        <w:t>incurred</w:t>
      </w:r>
      <w:r w:rsidR="00A03629">
        <w:t xml:space="preserve"> </w:t>
      </w:r>
      <w:r>
        <w:t>and</w:t>
      </w:r>
      <w:r w:rsidR="00A03629">
        <w:t xml:space="preserve"> </w:t>
      </w:r>
      <w:r>
        <w:t>are</w:t>
      </w:r>
      <w:r w:rsidR="00A03629">
        <w:t xml:space="preserve"> </w:t>
      </w:r>
      <w:r>
        <w:t>drawn</w:t>
      </w:r>
      <w:r w:rsidR="00A03629">
        <w:t xml:space="preserve"> </w:t>
      </w:r>
      <w:r>
        <w:t>from</w:t>
      </w:r>
      <w:r w:rsidR="00A03629">
        <w:t xml:space="preserve"> </w:t>
      </w:r>
      <w:r>
        <w:t>the</w:t>
      </w:r>
      <w:r w:rsidR="00A03629">
        <w:t xml:space="preserve"> </w:t>
      </w:r>
      <w:r>
        <w:t>Consolidated</w:t>
      </w:r>
      <w:r w:rsidR="00A03629">
        <w:t xml:space="preserve"> </w:t>
      </w:r>
      <w:r>
        <w:t>Fund</w:t>
      </w:r>
      <w:r w:rsidR="00A03629">
        <w:t xml:space="preserve"> </w:t>
      </w:r>
      <w:r>
        <w:t>as</w:t>
      </w:r>
      <w:r w:rsidR="00A03629">
        <w:t xml:space="preserve"> </w:t>
      </w:r>
      <w:r>
        <w:t>the</w:t>
      </w:r>
      <w:r w:rsidR="00A03629">
        <w:t xml:space="preserve"> </w:t>
      </w:r>
      <w:r>
        <w:t>commitments</w:t>
      </w:r>
      <w:r w:rsidR="00A03629">
        <w:t xml:space="preserve"> </w:t>
      </w:r>
      <w:r>
        <w:t>fall</w:t>
      </w:r>
      <w:r w:rsidR="00A03629">
        <w:t xml:space="preserve"> </w:t>
      </w:r>
      <w:r>
        <w:t>due.</w:t>
      </w:r>
    </w:p>
    <w:p w14:paraId="04656566" w14:textId="2854F1DC" w:rsidR="000756EB" w:rsidRDefault="004A4D88" w:rsidP="00651E07">
      <w:r>
        <w:t>Details</w:t>
      </w:r>
      <w:r w:rsidR="00A03629">
        <w:t xml:space="preserve"> </w:t>
      </w:r>
      <w:r>
        <w:t>about</w:t>
      </w:r>
      <w:r w:rsidR="00A03629">
        <w:t xml:space="preserve"> </w:t>
      </w:r>
      <w:r>
        <w:t>DJSIR’s</w:t>
      </w:r>
      <w:r w:rsidR="00A03629">
        <w:t xml:space="preserve"> </w:t>
      </w:r>
      <w:r>
        <w:t>impairment</w:t>
      </w:r>
      <w:r w:rsidR="00A03629">
        <w:t xml:space="preserve"> </w:t>
      </w:r>
      <w:r>
        <w:t>policies</w:t>
      </w:r>
      <w:r w:rsidR="00A03629">
        <w:t xml:space="preserve"> </w:t>
      </w:r>
      <w:r>
        <w:t>and</w:t>
      </w:r>
      <w:r w:rsidR="00A03629">
        <w:t xml:space="preserve"> </w:t>
      </w:r>
      <w:r>
        <w:t>the</w:t>
      </w:r>
      <w:r w:rsidR="00A03629">
        <w:t xml:space="preserve"> </w:t>
      </w:r>
      <w:r>
        <w:t>exposure</w:t>
      </w:r>
      <w:r w:rsidR="00A03629">
        <w:t xml:space="preserve"> </w:t>
      </w:r>
      <w:r>
        <w:t>to</w:t>
      </w:r>
      <w:r w:rsidR="00A03629">
        <w:t xml:space="preserve"> </w:t>
      </w:r>
      <w:r>
        <w:t>credit</w:t>
      </w:r>
      <w:r w:rsidR="00A03629">
        <w:t xml:space="preserve"> </w:t>
      </w:r>
      <w:r>
        <w:t>risk</w:t>
      </w:r>
      <w:r w:rsidR="00A03629">
        <w:t xml:space="preserve"> </w:t>
      </w:r>
      <w:r>
        <w:t>are</w:t>
      </w:r>
      <w:r w:rsidR="00A03629">
        <w:t xml:space="preserve"> </w:t>
      </w:r>
      <w:r>
        <w:t>set</w:t>
      </w:r>
      <w:r w:rsidR="00A03629">
        <w:t xml:space="preserve"> </w:t>
      </w:r>
      <w:r>
        <w:t>out</w:t>
      </w:r>
      <w:r w:rsidR="00A03629">
        <w:t xml:space="preserve"> </w:t>
      </w:r>
      <w:r>
        <w:t>in</w:t>
      </w:r>
      <w:r w:rsidR="00A03629">
        <w:t xml:space="preserve"> </w:t>
      </w:r>
      <w:r>
        <w:t>Note</w:t>
      </w:r>
      <w:r w:rsidR="00A03629">
        <w:t xml:space="preserve"> </w:t>
      </w:r>
      <w:r>
        <w:t>8.1.3.</w:t>
      </w:r>
    </w:p>
    <w:p w14:paraId="40EFA716" w14:textId="2B050CA3" w:rsidR="000756EB" w:rsidRDefault="004A4D88" w:rsidP="00651E07">
      <w:pPr>
        <w:pStyle w:val="Heading2"/>
      </w:pPr>
      <w:bookmarkStart w:id="79" w:name="_Toc149911820"/>
      <w:r>
        <w:lastRenderedPageBreak/>
        <w:t>6.2</w:t>
      </w:r>
      <w:r w:rsidR="00DE38B5">
        <w:t xml:space="preserve"> </w:t>
      </w:r>
      <w:r>
        <w:t>Payables</w:t>
      </w:r>
      <w:bookmarkEnd w:id="79"/>
    </w:p>
    <w:tbl>
      <w:tblPr>
        <w:tblStyle w:val="TableGrid"/>
        <w:tblW w:w="10201" w:type="dxa"/>
        <w:tblLayout w:type="fixed"/>
        <w:tblLook w:val="0020" w:firstRow="1" w:lastRow="0" w:firstColumn="0" w:lastColumn="0" w:noHBand="0" w:noVBand="0"/>
      </w:tblPr>
      <w:tblGrid>
        <w:gridCol w:w="6236"/>
        <w:gridCol w:w="1982"/>
        <w:gridCol w:w="1983"/>
      </w:tblGrid>
      <w:tr w:rsidR="000756EB" w:rsidRPr="00651E07" w14:paraId="78E24A2C" w14:textId="77777777" w:rsidTr="00DE38B5">
        <w:trPr>
          <w:cantSplit/>
        </w:trPr>
        <w:tc>
          <w:tcPr>
            <w:tcW w:w="6236" w:type="dxa"/>
          </w:tcPr>
          <w:p w14:paraId="0DCA5900" w14:textId="77777777" w:rsidR="000756EB" w:rsidRPr="00651E07" w:rsidRDefault="000756EB" w:rsidP="00651E07">
            <w:pPr>
              <w:pStyle w:val="TableColumnHeading"/>
            </w:pPr>
            <w:bookmarkStart w:id="80" w:name="ColumnTitles_47"/>
            <w:bookmarkEnd w:id="80"/>
          </w:p>
        </w:tc>
        <w:tc>
          <w:tcPr>
            <w:tcW w:w="1982" w:type="dxa"/>
          </w:tcPr>
          <w:p w14:paraId="26C501F5" w14:textId="6A0F903C" w:rsidR="000756EB" w:rsidRPr="00651E07" w:rsidRDefault="004A4D88" w:rsidP="00651E07">
            <w:pPr>
              <w:pStyle w:val="TableColumnHeading"/>
              <w:jc w:val="right"/>
            </w:pPr>
            <w:r w:rsidRPr="00651E07">
              <w:t>2023</w:t>
            </w:r>
            <w:r w:rsidR="00A03629" w:rsidRPr="00651E07">
              <w:t xml:space="preserve"> </w:t>
            </w:r>
            <w:r w:rsidR="00651E07" w:rsidRPr="00651E07">
              <w:t>($</w:t>
            </w:r>
            <w:r w:rsidR="00651E07">
              <w:t> </w:t>
            </w:r>
            <w:r w:rsidR="00651E07" w:rsidRPr="00651E07">
              <w:t>thousand)</w:t>
            </w:r>
          </w:p>
        </w:tc>
        <w:tc>
          <w:tcPr>
            <w:tcW w:w="1983" w:type="dxa"/>
          </w:tcPr>
          <w:p w14:paraId="6EE8ED3E" w14:textId="67F8B6AC" w:rsidR="000756EB" w:rsidRPr="00651E07" w:rsidRDefault="004A4D88" w:rsidP="00651E07">
            <w:pPr>
              <w:pStyle w:val="TableColumnHeading"/>
              <w:jc w:val="right"/>
            </w:pPr>
            <w:r w:rsidRPr="00651E07">
              <w:t>2022</w:t>
            </w:r>
            <w:r w:rsidR="00651E07">
              <w:t xml:space="preserve"> </w:t>
            </w:r>
            <w:r w:rsidR="00651E07" w:rsidRPr="00651E07">
              <w:t>($</w:t>
            </w:r>
            <w:r w:rsidR="00651E07">
              <w:t> </w:t>
            </w:r>
            <w:r w:rsidR="00651E07" w:rsidRPr="00651E07">
              <w:t>thousand)</w:t>
            </w:r>
          </w:p>
        </w:tc>
      </w:tr>
      <w:tr w:rsidR="000756EB" w:rsidRPr="00651E07" w14:paraId="4C27B905" w14:textId="77777777" w:rsidTr="00DE38B5">
        <w:trPr>
          <w:cantSplit/>
        </w:trPr>
        <w:tc>
          <w:tcPr>
            <w:tcW w:w="6236" w:type="dxa"/>
          </w:tcPr>
          <w:p w14:paraId="1C44747F" w14:textId="77777777" w:rsidR="000756EB" w:rsidRPr="00651E07" w:rsidRDefault="004A4D88" w:rsidP="00651E07">
            <w:pPr>
              <w:pStyle w:val="TableHeading"/>
            </w:pPr>
            <w:r w:rsidRPr="00651E07">
              <w:t>Contractual</w:t>
            </w:r>
          </w:p>
        </w:tc>
        <w:tc>
          <w:tcPr>
            <w:tcW w:w="1982" w:type="dxa"/>
          </w:tcPr>
          <w:p w14:paraId="0935DF04" w14:textId="77777777" w:rsidR="000756EB" w:rsidRPr="00651E07" w:rsidRDefault="000756EB" w:rsidP="00651E07">
            <w:pPr>
              <w:pStyle w:val="TableHeading"/>
              <w:jc w:val="right"/>
            </w:pPr>
          </w:p>
        </w:tc>
        <w:tc>
          <w:tcPr>
            <w:tcW w:w="1983" w:type="dxa"/>
          </w:tcPr>
          <w:p w14:paraId="72B95CBD" w14:textId="77777777" w:rsidR="000756EB" w:rsidRPr="00651E07" w:rsidRDefault="000756EB" w:rsidP="00651E07">
            <w:pPr>
              <w:pStyle w:val="TableHeading"/>
              <w:jc w:val="right"/>
            </w:pPr>
          </w:p>
        </w:tc>
      </w:tr>
      <w:tr w:rsidR="000756EB" w14:paraId="4AFCBD8B" w14:textId="77777777" w:rsidTr="00DE38B5">
        <w:trPr>
          <w:cantSplit/>
        </w:trPr>
        <w:tc>
          <w:tcPr>
            <w:tcW w:w="6236" w:type="dxa"/>
          </w:tcPr>
          <w:p w14:paraId="2AF1C01F" w14:textId="36844AD3" w:rsidR="000756EB" w:rsidRDefault="004A4D88" w:rsidP="00651E07">
            <w:pPr>
              <w:pStyle w:val="TableCopy"/>
            </w:pPr>
            <w:r>
              <w:t>Supplies</w:t>
            </w:r>
            <w:r w:rsidR="00A03629">
              <w:t xml:space="preserve"> </w:t>
            </w:r>
            <w:r>
              <w:t>and</w:t>
            </w:r>
            <w:r w:rsidR="00A03629">
              <w:t xml:space="preserve"> </w:t>
            </w:r>
            <w:r>
              <w:t>services</w:t>
            </w:r>
          </w:p>
        </w:tc>
        <w:tc>
          <w:tcPr>
            <w:tcW w:w="1982" w:type="dxa"/>
          </w:tcPr>
          <w:p w14:paraId="17642DCC" w14:textId="0044C1B2" w:rsidR="000756EB" w:rsidRDefault="004A4D88" w:rsidP="00651E07">
            <w:pPr>
              <w:pStyle w:val="TableCopy"/>
              <w:jc w:val="right"/>
            </w:pPr>
            <w:r>
              <w:t>52,719</w:t>
            </w:r>
          </w:p>
        </w:tc>
        <w:tc>
          <w:tcPr>
            <w:tcW w:w="1983" w:type="dxa"/>
          </w:tcPr>
          <w:p w14:paraId="793D97FD" w14:textId="68C768FB" w:rsidR="000756EB" w:rsidRDefault="004A4D88" w:rsidP="00651E07">
            <w:pPr>
              <w:pStyle w:val="TableCopy"/>
              <w:jc w:val="right"/>
            </w:pPr>
            <w:r>
              <w:t>86,024</w:t>
            </w:r>
          </w:p>
        </w:tc>
      </w:tr>
      <w:tr w:rsidR="000756EB" w14:paraId="5F438E95" w14:textId="77777777" w:rsidTr="00DE38B5">
        <w:trPr>
          <w:cantSplit/>
        </w:trPr>
        <w:tc>
          <w:tcPr>
            <w:tcW w:w="6236" w:type="dxa"/>
          </w:tcPr>
          <w:p w14:paraId="5D00686B" w14:textId="0555523B" w:rsidR="000756EB" w:rsidRDefault="004A4D88" w:rsidP="00651E07">
            <w:pPr>
              <w:pStyle w:val="TableCopy"/>
            </w:pPr>
            <w:r>
              <w:t>Amounts</w:t>
            </w:r>
            <w:r w:rsidR="00A03629">
              <w:t xml:space="preserve"> </w:t>
            </w:r>
            <w:r>
              <w:t>payable</w:t>
            </w:r>
            <w:r w:rsidR="00A03629">
              <w:t xml:space="preserve"> </w:t>
            </w:r>
            <w:r>
              <w:t>to</w:t>
            </w:r>
            <w:r w:rsidR="00A03629">
              <w:t xml:space="preserve"> </w:t>
            </w:r>
            <w:r>
              <w:t>government</w:t>
            </w:r>
            <w:r w:rsidR="00A03629">
              <w:t xml:space="preserve"> </w:t>
            </w:r>
            <w:r>
              <w:t>and</w:t>
            </w:r>
            <w:r w:rsidR="00A03629">
              <w:t xml:space="preserve"> </w:t>
            </w:r>
            <w:r>
              <w:t>agencies</w:t>
            </w:r>
          </w:p>
        </w:tc>
        <w:tc>
          <w:tcPr>
            <w:tcW w:w="1982" w:type="dxa"/>
          </w:tcPr>
          <w:p w14:paraId="73B2B26D" w14:textId="4513628A" w:rsidR="000756EB" w:rsidRDefault="004A4D88" w:rsidP="00651E07">
            <w:pPr>
              <w:pStyle w:val="TableCopy"/>
              <w:jc w:val="right"/>
            </w:pPr>
            <w:r>
              <w:t>64,242</w:t>
            </w:r>
          </w:p>
        </w:tc>
        <w:tc>
          <w:tcPr>
            <w:tcW w:w="1983" w:type="dxa"/>
          </w:tcPr>
          <w:p w14:paraId="2973EC78" w14:textId="13B82BF1" w:rsidR="000756EB" w:rsidRDefault="004A4D88" w:rsidP="00651E07">
            <w:pPr>
              <w:pStyle w:val="TableCopy"/>
              <w:jc w:val="right"/>
            </w:pPr>
            <w:r>
              <w:t>47,639</w:t>
            </w:r>
          </w:p>
        </w:tc>
      </w:tr>
      <w:tr w:rsidR="000756EB" w14:paraId="6781BB4C" w14:textId="77777777" w:rsidTr="00DE38B5">
        <w:trPr>
          <w:cantSplit/>
        </w:trPr>
        <w:tc>
          <w:tcPr>
            <w:tcW w:w="6236" w:type="dxa"/>
          </w:tcPr>
          <w:p w14:paraId="3DC1E5E9" w14:textId="7A046E60" w:rsidR="000756EB" w:rsidRDefault="004A4D88" w:rsidP="00651E07">
            <w:pPr>
              <w:pStyle w:val="TableCopy"/>
            </w:pPr>
            <w:r>
              <w:t>Financial</w:t>
            </w:r>
            <w:r w:rsidR="00A03629">
              <w:t xml:space="preserve"> </w:t>
            </w:r>
            <w:r>
              <w:t>guarantees</w:t>
            </w:r>
          </w:p>
        </w:tc>
        <w:tc>
          <w:tcPr>
            <w:tcW w:w="1982" w:type="dxa"/>
          </w:tcPr>
          <w:p w14:paraId="529DF82E" w14:textId="42D811D6" w:rsidR="000756EB" w:rsidRDefault="004A4D88" w:rsidP="00651E07">
            <w:pPr>
              <w:pStyle w:val="TableCopy"/>
              <w:jc w:val="right"/>
            </w:pPr>
            <w:r>
              <w:t>–</w:t>
            </w:r>
          </w:p>
        </w:tc>
        <w:tc>
          <w:tcPr>
            <w:tcW w:w="1983" w:type="dxa"/>
          </w:tcPr>
          <w:p w14:paraId="1146E311" w14:textId="7631186E" w:rsidR="000756EB" w:rsidRDefault="004A4D88" w:rsidP="00651E07">
            <w:pPr>
              <w:pStyle w:val="TableCopy"/>
              <w:jc w:val="right"/>
            </w:pPr>
            <w:r>
              <w:t>48,036</w:t>
            </w:r>
          </w:p>
        </w:tc>
      </w:tr>
      <w:tr w:rsidR="000756EB" w14:paraId="3D0EA6C9" w14:textId="77777777" w:rsidTr="00DE38B5">
        <w:trPr>
          <w:cantSplit/>
        </w:trPr>
        <w:tc>
          <w:tcPr>
            <w:tcW w:w="6236" w:type="dxa"/>
          </w:tcPr>
          <w:p w14:paraId="76FB2E52" w14:textId="26E0E94E" w:rsidR="000756EB" w:rsidRDefault="004A4D88" w:rsidP="00651E07">
            <w:pPr>
              <w:pStyle w:val="TableCopy"/>
            </w:pPr>
            <w:r>
              <w:t>Accrued</w:t>
            </w:r>
            <w:r w:rsidR="00A03629">
              <w:t xml:space="preserve"> </w:t>
            </w:r>
            <w:r>
              <w:t>grants</w:t>
            </w:r>
          </w:p>
        </w:tc>
        <w:tc>
          <w:tcPr>
            <w:tcW w:w="1982" w:type="dxa"/>
          </w:tcPr>
          <w:p w14:paraId="1D2CE638" w14:textId="54831E0F" w:rsidR="000756EB" w:rsidRDefault="004A4D88" w:rsidP="00651E07">
            <w:pPr>
              <w:pStyle w:val="TableCopy"/>
              <w:jc w:val="right"/>
            </w:pPr>
            <w:r>
              <w:t>285,138</w:t>
            </w:r>
          </w:p>
        </w:tc>
        <w:tc>
          <w:tcPr>
            <w:tcW w:w="1983" w:type="dxa"/>
          </w:tcPr>
          <w:p w14:paraId="5E88B182" w14:textId="45250715" w:rsidR="000756EB" w:rsidRDefault="004A4D88" w:rsidP="00651E07">
            <w:pPr>
              <w:pStyle w:val="TableCopy"/>
              <w:jc w:val="right"/>
            </w:pPr>
            <w:r>
              <w:t>184,968</w:t>
            </w:r>
          </w:p>
        </w:tc>
      </w:tr>
      <w:tr w:rsidR="000756EB" w14:paraId="60B075E6" w14:textId="77777777" w:rsidTr="00DE38B5">
        <w:trPr>
          <w:cantSplit/>
        </w:trPr>
        <w:tc>
          <w:tcPr>
            <w:tcW w:w="6236" w:type="dxa"/>
          </w:tcPr>
          <w:p w14:paraId="76214FB2" w14:textId="00220CDA" w:rsidR="000756EB" w:rsidRDefault="004A4D88" w:rsidP="00651E07">
            <w:pPr>
              <w:pStyle w:val="TableCopy"/>
            </w:pPr>
            <w:r>
              <w:t>Other</w:t>
            </w:r>
            <w:r w:rsidR="00A03629">
              <w:t xml:space="preserve"> </w:t>
            </w:r>
            <w:r>
              <w:t>payables</w:t>
            </w:r>
          </w:p>
        </w:tc>
        <w:tc>
          <w:tcPr>
            <w:tcW w:w="1982" w:type="dxa"/>
          </w:tcPr>
          <w:p w14:paraId="76FB6855" w14:textId="388D7E1B" w:rsidR="000756EB" w:rsidRDefault="004A4D88" w:rsidP="00651E07">
            <w:pPr>
              <w:pStyle w:val="TableCopy"/>
              <w:jc w:val="right"/>
            </w:pPr>
            <w:r>
              <w:t>2,045</w:t>
            </w:r>
          </w:p>
        </w:tc>
        <w:tc>
          <w:tcPr>
            <w:tcW w:w="1983" w:type="dxa"/>
          </w:tcPr>
          <w:p w14:paraId="25DE6AB5" w14:textId="272BA49B" w:rsidR="000756EB" w:rsidRDefault="004A4D88" w:rsidP="00651E07">
            <w:pPr>
              <w:pStyle w:val="TableCopy"/>
              <w:jc w:val="right"/>
            </w:pPr>
            <w:r>
              <w:t>15,557</w:t>
            </w:r>
          </w:p>
        </w:tc>
      </w:tr>
      <w:tr w:rsidR="000756EB" w:rsidRPr="00651E07" w14:paraId="19664DB2" w14:textId="77777777" w:rsidTr="00DE38B5">
        <w:trPr>
          <w:cantSplit/>
        </w:trPr>
        <w:tc>
          <w:tcPr>
            <w:tcW w:w="6236" w:type="dxa"/>
          </w:tcPr>
          <w:p w14:paraId="6CA7D1B8" w14:textId="77777777" w:rsidR="000756EB" w:rsidRPr="00651E07" w:rsidRDefault="004A4D88" w:rsidP="00651E07">
            <w:pPr>
              <w:pStyle w:val="TableHeading"/>
            </w:pPr>
            <w:r w:rsidRPr="00651E07">
              <w:t>Statutory</w:t>
            </w:r>
          </w:p>
        </w:tc>
        <w:tc>
          <w:tcPr>
            <w:tcW w:w="1982" w:type="dxa"/>
          </w:tcPr>
          <w:p w14:paraId="7D255F86" w14:textId="77777777" w:rsidR="000756EB" w:rsidRPr="00651E07" w:rsidRDefault="000756EB" w:rsidP="00651E07">
            <w:pPr>
              <w:pStyle w:val="TableHeading"/>
              <w:jc w:val="right"/>
            </w:pPr>
          </w:p>
        </w:tc>
        <w:tc>
          <w:tcPr>
            <w:tcW w:w="1983" w:type="dxa"/>
          </w:tcPr>
          <w:p w14:paraId="1DCE963C" w14:textId="77777777" w:rsidR="000756EB" w:rsidRPr="00651E07" w:rsidRDefault="000756EB" w:rsidP="00651E07">
            <w:pPr>
              <w:pStyle w:val="TableHeading"/>
              <w:jc w:val="right"/>
            </w:pPr>
          </w:p>
        </w:tc>
      </w:tr>
      <w:tr w:rsidR="000756EB" w14:paraId="189BA0A9" w14:textId="77777777" w:rsidTr="00DE38B5">
        <w:trPr>
          <w:cantSplit/>
        </w:trPr>
        <w:tc>
          <w:tcPr>
            <w:tcW w:w="6236" w:type="dxa"/>
          </w:tcPr>
          <w:p w14:paraId="04BF6D99" w14:textId="2BD4FBE7" w:rsidR="000756EB" w:rsidRDefault="004A4D88" w:rsidP="00651E07">
            <w:pPr>
              <w:pStyle w:val="TableCopy"/>
            </w:pPr>
            <w:r>
              <w:t>Other</w:t>
            </w:r>
            <w:r w:rsidR="00A03629">
              <w:t xml:space="preserve"> </w:t>
            </w:r>
            <w:r>
              <w:t>taxes</w:t>
            </w:r>
            <w:r w:rsidR="00A03629">
              <w:t xml:space="preserve"> </w:t>
            </w:r>
            <w:r>
              <w:t>payable</w:t>
            </w:r>
          </w:p>
        </w:tc>
        <w:tc>
          <w:tcPr>
            <w:tcW w:w="1982" w:type="dxa"/>
          </w:tcPr>
          <w:p w14:paraId="3EDC4872" w14:textId="50569D22" w:rsidR="000756EB" w:rsidRDefault="004A4D88" w:rsidP="00651E07">
            <w:pPr>
              <w:pStyle w:val="TableCopy"/>
              <w:jc w:val="right"/>
            </w:pPr>
            <w:r>
              <w:t>880</w:t>
            </w:r>
          </w:p>
        </w:tc>
        <w:tc>
          <w:tcPr>
            <w:tcW w:w="1983" w:type="dxa"/>
          </w:tcPr>
          <w:p w14:paraId="23D40A4B" w14:textId="25D6FE7D" w:rsidR="000756EB" w:rsidRDefault="004A4D88" w:rsidP="00651E07">
            <w:pPr>
              <w:pStyle w:val="TableCopy"/>
              <w:jc w:val="right"/>
            </w:pPr>
            <w:r>
              <w:t>559</w:t>
            </w:r>
          </w:p>
        </w:tc>
      </w:tr>
      <w:tr w:rsidR="000756EB" w:rsidRPr="00651E07" w14:paraId="2BDC015E" w14:textId="77777777" w:rsidTr="00DE38B5">
        <w:trPr>
          <w:cantSplit/>
        </w:trPr>
        <w:tc>
          <w:tcPr>
            <w:tcW w:w="6236" w:type="dxa"/>
          </w:tcPr>
          <w:p w14:paraId="256F3CD4" w14:textId="266FC5D5" w:rsidR="000756EB" w:rsidRPr="00651E07" w:rsidRDefault="004A4D88" w:rsidP="00651E07">
            <w:pPr>
              <w:pStyle w:val="TableCopy"/>
              <w:rPr>
                <w:b/>
                <w:bCs/>
              </w:rPr>
            </w:pPr>
            <w:r w:rsidRPr="00651E07">
              <w:rPr>
                <w:b/>
                <w:bCs/>
              </w:rPr>
              <w:t>Total</w:t>
            </w:r>
            <w:r w:rsidR="00A03629" w:rsidRPr="00651E07">
              <w:rPr>
                <w:b/>
                <w:bCs/>
              </w:rPr>
              <w:t xml:space="preserve"> </w:t>
            </w:r>
            <w:r w:rsidRPr="00651E07">
              <w:rPr>
                <w:b/>
                <w:bCs/>
              </w:rPr>
              <w:t>payables</w:t>
            </w:r>
          </w:p>
        </w:tc>
        <w:tc>
          <w:tcPr>
            <w:tcW w:w="1982" w:type="dxa"/>
          </w:tcPr>
          <w:p w14:paraId="377D44CB" w14:textId="43EDD2C8" w:rsidR="000756EB" w:rsidRPr="00651E07" w:rsidRDefault="004A4D88" w:rsidP="00651E07">
            <w:pPr>
              <w:pStyle w:val="TableCopy"/>
              <w:jc w:val="right"/>
              <w:rPr>
                <w:b/>
                <w:bCs/>
              </w:rPr>
            </w:pPr>
            <w:r w:rsidRPr="00651E07">
              <w:rPr>
                <w:b/>
                <w:bCs/>
              </w:rPr>
              <w:t>405,024</w:t>
            </w:r>
          </w:p>
        </w:tc>
        <w:tc>
          <w:tcPr>
            <w:tcW w:w="1983" w:type="dxa"/>
          </w:tcPr>
          <w:p w14:paraId="5BC4E6ED" w14:textId="15BC268A" w:rsidR="000756EB" w:rsidRPr="00651E07" w:rsidRDefault="004A4D88" w:rsidP="00651E07">
            <w:pPr>
              <w:pStyle w:val="TableCopy"/>
              <w:jc w:val="right"/>
              <w:rPr>
                <w:b/>
                <w:bCs/>
              </w:rPr>
            </w:pPr>
            <w:r w:rsidRPr="00651E07">
              <w:rPr>
                <w:b/>
                <w:bCs/>
              </w:rPr>
              <w:t>382,783</w:t>
            </w:r>
          </w:p>
        </w:tc>
      </w:tr>
      <w:tr w:rsidR="000756EB" w:rsidRPr="00651E07" w14:paraId="487E192B" w14:textId="77777777" w:rsidTr="00DE38B5">
        <w:trPr>
          <w:cantSplit/>
        </w:trPr>
        <w:tc>
          <w:tcPr>
            <w:tcW w:w="6236" w:type="dxa"/>
          </w:tcPr>
          <w:p w14:paraId="322D42E0" w14:textId="66ECFC6A" w:rsidR="000756EB" w:rsidRPr="00560218" w:rsidRDefault="004A4D88" w:rsidP="00560218">
            <w:r w:rsidRPr="00560218">
              <w:t>Represented</w:t>
            </w:r>
            <w:r w:rsidR="00A03629" w:rsidRPr="00560218">
              <w:t xml:space="preserve"> </w:t>
            </w:r>
            <w:r w:rsidRPr="00560218">
              <w:t>by:</w:t>
            </w:r>
          </w:p>
        </w:tc>
        <w:tc>
          <w:tcPr>
            <w:tcW w:w="1982" w:type="dxa"/>
          </w:tcPr>
          <w:p w14:paraId="0D6B490B" w14:textId="77777777" w:rsidR="000756EB" w:rsidRPr="00651E07" w:rsidRDefault="000756EB" w:rsidP="00651E07">
            <w:pPr>
              <w:pStyle w:val="TableHeading"/>
              <w:jc w:val="right"/>
              <w:rPr>
                <w:i/>
                <w:iCs/>
              </w:rPr>
            </w:pPr>
          </w:p>
        </w:tc>
        <w:tc>
          <w:tcPr>
            <w:tcW w:w="1983" w:type="dxa"/>
          </w:tcPr>
          <w:p w14:paraId="67DDF147" w14:textId="77777777" w:rsidR="000756EB" w:rsidRPr="00651E07" w:rsidRDefault="000756EB" w:rsidP="00651E07">
            <w:pPr>
              <w:pStyle w:val="TableHeading"/>
              <w:jc w:val="right"/>
              <w:rPr>
                <w:i/>
                <w:iCs/>
              </w:rPr>
            </w:pPr>
          </w:p>
        </w:tc>
      </w:tr>
      <w:tr w:rsidR="000756EB" w14:paraId="60A560B0" w14:textId="77777777" w:rsidTr="00DE38B5">
        <w:trPr>
          <w:cantSplit/>
        </w:trPr>
        <w:tc>
          <w:tcPr>
            <w:tcW w:w="6236" w:type="dxa"/>
          </w:tcPr>
          <w:p w14:paraId="28986170" w14:textId="081F2FFE" w:rsidR="000756EB" w:rsidRDefault="004A4D88" w:rsidP="00651E07">
            <w:pPr>
              <w:pStyle w:val="TableCopy"/>
            </w:pPr>
            <w:r>
              <w:t>Current</w:t>
            </w:r>
            <w:r w:rsidR="00A03629">
              <w:t xml:space="preserve"> </w:t>
            </w:r>
            <w:r>
              <w:t>payables</w:t>
            </w:r>
          </w:p>
        </w:tc>
        <w:tc>
          <w:tcPr>
            <w:tcW w:w="1982" w:type="dxa"/>
          </w:tcPr>
          <w:p w14:paraId="78DEBEDB" w14:textId="6E1F347A" w:rsidR="000756EB" w:rsidRDefault="004A4D88" w:rsidP="00651E07">
            <w:pPr>
              <w:pStyle w:val="TableCopy"/>
              <w:jc w:val="right"/>
            </w:pPr>
            <w:r>
              <w:t>405,024</w:t>
            </w:r>
          </w:p>
        </w:tc>
        <w:tc>
          <w:tcPr>
            <w:tcW w:w="1983" w:type="dxa"/>
          </w:tcPr>
          <w:p w14:paraId="144CC81B" w14:textId="3E2D1CF0" w:rsidR="000756EB" w:rsidRDefault="004A4D88" w:rsidP="00651E07">
            <w:pPr>
              <w:pStyle w:val="TableCopy"/>
              <w:jc w:val="right"/>
            </w:pPr>
            <w:r>
              <w:t>331,503</w:t>
            </w:r>
          </w:p>
        </w:tc>
      </w:tr>
      <w:tr w:rsidR="000756EB" w14:paraId="3241F7D3" w14:textId="77777777" w:rsidTr="00DE38B5">
        <w:trPr>
          <w:cantSplit/>
        </w:trPr>
        <w:tc>
          <w:tcPr>
            <w:tcW w:w="6236" w:type="dxa"/>
          </w:tcPr>
          <w:p w14:paraId="437B3892" w14:textId="2A71C46D" w:rsidR="000756EB" w:rsidRDefault="004A4D88" w:rsidP="00651E07">
            <w:pPr>
              <w:pStyle w:val="TableCopy"/>
            </w:pPr>
            <w:r>
              <w:t>Non-current</w:t>
            </w:r>
            <w:r w:rsidR="00A03629">
              <w:t xml:space="preserve"> </w:t>
            </w:r>
            <w:r>
              <w:t>payables</w:t>
            </w:r>
          </w:p>
        </w:tc>
        <w:tc>
          <w:tcPr>
            <w:tcW w:w="1982" w:type="dxa"/>
          </w:tcPr>
          <w:p w14:paraId="693623CF" w14:textId="3DF246B3" w:rsidR="000756EB" w:rsidRDefault="004A4D88" w:rsidP="00651E07">
            <w:pPr>
              <w:pStyle w:val="TableCopy"/>
              <w:jc w:val="right"/>
            </w:pPr>
            <w:r>
              <w:t>–</w:t>
            </w:r>
          </w:p>
        </w:tc>
        <w:tc>
          <w:tcPr>
            <w:tcW w:w="1983" w:type="dxa"/>
          </w:tcPr>
          <w:p w14:paraId="5D08B62E" w14:textId="128F09F0" w:rsidR="000756EB" w:rsidRDefault="004A4D88" w:rsidP="00651E07">
            <w:pPr>
              <w:pStyle w:val="TableCopy"/>
              <w:jc w:val="right"/>
            </w:pPr>
            <w:r>
              <w:t>51,280</w:t>
            </w:r>
          </w:p>
        </w:tc>
      </w:tr>
    </w:tbl>
    <w:p w14:paraId="27CD2FD2" w14:textId="77777777" w:rsidR="000756EB" w:rsidRDefault="000756EB" w:rsidP="00651E07"/>
    <w:p w14:paraId="05B060C9" w14:textId="67586A0A" w:rsidR="000756EB" w:rsidRDefault="004A4D88" w:rsidP="00651E07">
      <w:r w:rsidRPr="00651E07">
        <w:rPr>
          <w:b/>
          <w:bCs/>
        </w:rPr>
        <w:t>Contractual</w:t>
      </w:r>
      <w:r w:rsidR="00A03629" w:rsidRPr="00651E07">
        <w:rPr>
          <w:b/>
          <w:bCs/>
        </w:rPr>
        <w:t xml:space="preserve"> </w:t>
      </w:r>
      <w:r w:rsidRPr="00651E07">
        <w:rPr>
          <w:b/>
          <w:bCs/>
        </w:rPr>
        <w:t>payables:</w:t>
      </w:r>
      <w:r w:rsidR="00A03629">
        <w:t xml:space="preserve"> </w:t>
      </w:r>
      <w:r>
        <w:t>classified</w:t>
      </w:r>
      <w:r w:rsidR="00A03629">
        <w:t xml:space="preserve"> </w:t>
      </w:r>
      <w:r>
        <w:t>as</w:t>
      </w:r>
      <w:r w:rsidR="00A03629">
        <w:t xml:space="preserve"> </w:t>
      </w:r>
      <w:r>
        <w:t>financial</w:t>
      </w:r>
      <w:r w:rsidR="00A03629">
        <w:t xml:space="preserve"> </w:t>
      </w:r>
      <w:r>
        <w:t>instruments</w:t>
      </w:r>
      <w:r w:rsidR="00A03629">
        <w:t xml:space="preserve"> </w:t>
      </w:r>
      <w:r>
        <w:t>and</w:t>
      </w:r>
      <w:r w:rsidR="00A03629">
        <w:t xml:space="preserve"> </w:t>
      </w:r>
      <w:r>
        <w:t>measured</w:t>
      </w:r>
      <w:r w:rsidR="00A03629">
        <w:t xml:space="preserve"> </w:t>
      </w:r>
      <w:r>
        <w:t>at</w:t>
      </w:r>
      <w:r w:rsidR="00A03629">
        <w:t xml:space="preserve"> </w:t>
      </w:r>
      <w:r>
        <w:t>amortised</w:t>
      </w:r>
      <w:r w:rsidR="00A03629">
        <w:t xml:space="preserve"> </w:t>
      </w:r>
      <w:r>
        <w:t>cost.</w:t>
      </w:r>
      <w:r w:rsidR="00A03629">
        <w:t xml:space="preserve"> </w:t>
      </w:r>
      <w:r>
        <w:t>Accounts</w:t>
      </w:r>
      <w:r w:rsidR="00A03629">
        <w:t xml:space="preserve"> </w:t>
      </w:r>
      <w:r>
        <w:t>payable</w:t>
      </w:r>
      <w:r w:rsidR="00A03629">
        <w:rPr>
          <w:rFonts w:ascii="Cambria" w:hAnsi="Cambria" w:cs="Cambria"/>
        </w:rPr>
        <w:t xml:space="preserve"> </w:t>
      </w:r>
      <w:r>
        <w:t>represents</w:t>
      </w:r>
      <w:r w:rsidR="00A03629">
        <w:t xml:space="preserve"> </w:t>
      </w:r>
      <w:r>
        <w:t>liabilities</w:t>
      </w:r>
      <w:r w:rsidR="00A03629">
        <w:t xml:space="preserve"> </w:t>
      </w:r>
      <w:r>
        <w:t>for</w:t>
      </w:r>
      <w:r w:rsidR="00A03629">
        <w:t xml:space="preserve"> </w:t>
      </w:r>
      <w:r>
        <w:t>goods</w:t>
      </w:r>
      <w:r w:rsidR="00A03629">
        <w:t xml:space="preserve"> </w:t>
      </w:r>
      <w:r>
        <w:t>and</w:t>
      </w:r>
      <w:r w:rsidR="00A03629">
        <w:t xml:space="preserve"> </w:t>
      </w:r>
      <w:r>
        <w:t>services</w:t>
      </w:r>
      <w:r w:rsidR="00A03629">
        <w:t xml:space="preserve"> </w:t>
      </w:r>
      <w:r>
        <w:t>provided</w:t>
      </w:r>
      <w:r w:rsidR="00A03629">
        <w:t xml:space="preserve"> </w:t>
      </w:r>
      <w:r>
        <w:t>to</w:t>
      </w:r>
      <w:r w:rsidR="00A03629">
        <w:t xml:space="preserve"> </w:t>
      </w:r>
      <w:r>
        <w:t>DJSIR</w:t>
      </w:r>
      <w:r w:rsidR="00A03629">
        <w:t xml:space="preserve"> </w:t>
      </w:r>
      <w:r>
        <w:t>prior</w:t>
      </w:r>
      <w:r w:rsidR="00A03629">
        <w:t xml:space="preserve"> </w:t>
      </w:r>
      <w:r>
        <w:t>to</w:t>
      </w:r>
      <w:r w:rsidR="00A03629">
        <w:t xml:space="preserve"> </w:t>
      </w:r>
      <w:r>
        <w:t>the</w:t>
      </w:r>
      <w:r w:rsidR="00A03629">
        <w:t xml:space="preserve"> </w:t>
      </w:r>
      <w:r>
        <w:t>end</w:t>
      </w:r>
      <w:r w:rsidR="00A03629">
        <w:t xml:space="preserve"> </w:t>
      </w:r>
      <w:r>
        <w:t>of</w:t>
      </w:r>
      <w:r w:rsidR="00A03629">
        <w:t xml:space="preserve"> </w:t>
      </w:r>
      <w:r>
        <w:t>the</w:t>
      </w:r>
      <w:r w:rsidR="00A03629">
        <w:t xml:space="preserve"> </w:t>
      </w:r>
      <w:r>
        <w:t>financial</w:t>
      </w:r>
      <w:r w:rsidR="00A03629">
        <w:t xml:space="preserve"> </w:t>
      </w:r>
      <w:r>
        <w:t>year</w:t>
      </w:r>
      <w:r w:rsidR="00A03629">
        <w:rPr>
          <w:rFonts w:ascii="Cambria" w:hAnsi="Cambria" w:cs="Cambria"/>
        </w:rPr>
        <w:t xml:space="preserve"> </w:t>
      </w:r>
      <w:r>
        <w:t>that</w:t>
      </w:r>
      <w:r w:rsidR="00A03629">
        <w:t xml:space="preserve"> </w:t>
      </w:r>
      <w:r>
        <w:t>are</w:t>
      </w:r>
      <w:r w:rsidR="00A03629">
        <w:t xml:space="preserve"> </w:t>
      </w:r>
      <w:r>
        <w:t>unpaid.</w:t>
      </w:r>
    </w:p>
    <w:p w14:paraId="5A7DBC29" w14:textId="53F33BDF" w:rsidR="000756EB" w:rsidRDefault="004A4D88" w:rsidP="00651E07">
      <w:r>
        <w:t>Payables</w:t>
      </w:r>
      <w:r w:rsidR="00A03629">
        <w:t xml:space="preserve"> </w:t>
      </w:r>
      <w:r>
        <w:t>for</w:t>
      </w:r>
      <w:r w:rsidR="00A03629">
        <w:t xml:space="preserve"> </w:t>
      </w:r>
      <w:r>
        <w:t>supplies</w:t>
      </w:r>
      <w:r w:rsidR="00A03629">
        <w:t xml:space="preserve"> </w:t>
      </w:r>
      <w:r>
        <w:t>and</w:t>
      </w:r>
      <w:r w:rsidR="00A03629">
        <w:t xml:space="preserve"> </w:t>
      </w:r>
      <w:r>
        <w:t>services</w:t>
      </w:r>
      <w:r w:rsidR="00A03629">
        <w:t xml:space="preserve"> </w:t>
      </w:r>
      <w:r>
        <w:t>have</w:t>
      </w:r>
      <w:r w:rsidR="00A03629">
        <w:t xml:space="preserve"> </w:t>
      </w:r>
      <w:r>
        <w:t>an</w:t>
      </w:r>
      <w:r w:rsidR="00A03629">
        <w:t xml:space="preserve"> </w:t>
      </w:r>
      <w:r>
        <w:t>average</w:t>
      </w:r>
      <w:r w:rsidR="00A03629">
        <w:t xml:space="preserve"> </w:t>
      </w:r>
      <w:r>
        <w:t>credit</w:t>
      </w:r>
      <w:r w:rsidR="00A03629">
        <w:t xml:space="preserve"> </w:t>
      </w:r>
      <w:r>
        <w:t>period</w:t>
      </w:r>
      <w:r w:rsidR="00A03629">
        <w:t xml:space="preserve"> </w:t>
      </w:r>
      <w:r>
        <w:t>of</w:t>
      </w:r>
      <w:r w:rsidR="00A03629">
        <w:t xml:space="preserve"> </w:t>
      </w:r>
      <w:r>
        <w:t>30</w:t>
      </w:r>
      <w:r w:rsidR="00A03629">
        <w:t xml:space="preserve"> </w:t>
      </w:r>
      <w:r>
        <w:t>days.</w:t>
      </w:r>
    </w:p>
    <w:p w14:paraId="24A85321" w14:textId="0BF8504B" w:rsidR="000756EB" w:rsidRDefault="004A4D88" w:rsidP="00651E07">
      <w:pPr>
        <w:rPr>
          <w:spacing w:val="-1"/>
        </w:rPr>
      </w:pPr>
      <w:r w:rsidRPr="00651E07">
        <w:rPr>
          <w:b/>
          <w:bCs/>
        </w:rPr>
        <w:t>Statutory</w:t>
      </w:r>
      <w:r w:rsidR="00A03629" w:rsidRPr="00651E07">
        <w:rPr>
          <w:b/>
          <w:bCs/>
        </w:rPr>
        <w:t xml:space="preserve"> </w:t>
      </w:r>
      <w:r w:rsidRPr="00651E07">
        <w:rPr>
          <w:b/>
          <w:bCs/>
        </w:rPr>
        <w:t>payables:</w:t>
      </w:r>
      <w:r w:rsidR="00A03629" w:rsidRPr="00D05F44">
        <w:t xml:space="preserve"> </w:t>
      </w:r>
      <w:r>
        <w:t>recognised</w:t>
      </w:r>
      <w:r w:rsidR="00A03629">
        <w:t xml:space="preserve"> </w:t>
      </w:r>
      <w:r>
        <w:t>and</w:t>
      </w:r>
      <w:r w:rsidR="00A03629">
        <w:t xml:space="preserve"> </w:t>
      </w:r>
      <w:r>
        <w:t>measured</w:t>
      </w:r>
      <w:r w:rsidR="00A03629">
        <w:t xml:space="preserve"> </w:t>
      </w:r>
      <w:r>
        <w:t>similarly</w:t>
      </w:r>
      <w:r w:rsidR="00A03629">
        <w:t xml:space="preserve"> </w:t>
      </w:r>
      <w:r>
        <w:t>to</w:t>
      </w:r>
      <w:r w:rsidR="00A03629">
        <w:t xml:space="preserve"> </w:t>
      </w:r>
      <w:r>
        <w:t>contractual</w:t>
      </w:r>
      <w:r w:rsidR="00A03629">
        <w:t xml:space="preserve"> </w:t>
      </w:r>
      <w:proofErr w:type="gramStart"/>
      <w:r>
        <w:t>payables,</w:t>
      </w:r>
      <w:r w:rsidR="00A03629">
        <w:t xml:space="preserve"> </w:t>
      </w:r>
      <w:r>
        <w:t>but</w:t>
      </w:r>
      <w:proofErr w:type="gramEnd"/>
      <w:r w:rsidR="00A03629">
        <w:t xml:space="preserve"> </w:t>
      </w:r>
      <w:r>
        <w:t>are</w:t>
      </w:r>
      <w:r w:rsidR="00A03629">
        <w:t xml:space="preserve"> </w:t>
      </w:r>
      <w:r>
        <w:t>not</w:t>
      </w:r>
      <w:r w:rsidR="00A03629">
        <w:t xml:space="preserve"> </w:t>
      </w:r>
      <w:r>
        <w:t>classified</w:t>
      </w:r>
      <w:r w:rsidR="00A03629">
        <w:t xml:space="preserve"> </w:t>
      </w:r>
      <w:r>
        <w:t>as</w:t>
      </w:r>
      <w:r w:rsidR="00A03629">
        <w:rPr>
          <w:rFonts w:ascii="Cambria" w:hAnsi="Cambria" w:cs="Cambria"/>
        </w:rPr>
        <w:t xml:space="preserve"> </w:t>
      </w:r>
      <w:r>
        <w:t>financial</w:t>
      </w:r>
      <w:r w:rsidR="00A03629">
        <w:t xml:space="preserve"> </w:t>
      </w:r>
      <w:r>
        <w:t>instruments</w:t>
      </w:r>
      <w:r w:rsidR="00A03629">
        <w:t xml:space="preserve"> </w:t>
      </w:r>
      <w:r>
        <w:t>and</w:t>
      </w:r>
      <w:r w:rsidR="00A03629">
        <w:t xml:space="preserve"> </w:t>
      </w:r>
      <w:r>
        <w:t>not</w:t>
      </w:r>
      <w:r w:rsidR="00A03629">
        <w:t xml:space="preserve"> </w:t>
      </w:r>
      <w:r>
        <w:t>included</w:t>
      </w:r>
      <w:r w:rsidR="00A03629">
        <w:t xml:space="preserve"> </w:t>
      </w:r>
      <w:r>
        <w:t>in</w:t>
      </w:r>
      <w:r w:rsidR="00A03629">
        <w:t xml:space="preserve"> </w:t>
      </w:r>
      <w:r>
        <w:t>the</w:t>
      </w:r>
      <w:r w:rsidR="00A03629">
        <w:t xml:space="preserve"> </w:t>
      </w:r>
      <w:r>
        <w:t>category</w:t>
      </w:r>
      <w:r w:rsidR="00A03629">
        <w:t xml:space="preserve"> </w:t>
      </w:r>
      <w:r>
        <w:t>of</w:t>
      </w:r>
      <w:r w:rsidR="00A03629">
        <w:t xml:space="preserve"> </w:t>
      </w:r>
      <w:r>
        <w:t>financial</w:t>
      </w:r>
      <w:r w:rsidR="00A03629">
        <w:t xml:space="preserve"> </w:t>
      </w:r>
      <w:r>
        <w:t>liabilities</w:t>
      </w:r>
      <w:r w:rsidR="00A03629">
        <w:t xml:space="preserve"> </w:t>
      </w:r>
      <w:r>
        <w:t>at</w:t>
      </w:r>
      <w:r w:rsidR="00A03629">
        <w:t xml:space="preserve"> </w:t>
      </w:r>
      <w:r>
        <w:t>amortised</w:t>
      </w:r>
      <w:r w:rsidR="00A03629">
        <w:t xml:space="preserve"> </w:t>
      </w:r>
      <w:r>
        <w:t>cost,</w:t>
      </w:r>
      <w:r w:rsidR="00A03629">
        <w:t xml:space="preserve"> </w:t>
      </w:r>
      <w:r>
        <w:t>because</w:t>
      </w:r>
      <w:r w:rsidR="00A03629">
        <w:t xml:space="preserve"> </w:t>
      </w:r>
      <w:r>
        <w:t>they</w:t>
      </w:r>
      <w:r w:rsidR="00A03629">
        <w:rPr>
          <w:rFonts w:ascii="Cambria" w:hAnsi="Cambria" w:cs="Cambria"/>
        </w:rPr>
        <w:t xml:space="preserve"> </w:t>
      </w:r>
      <w:r>
        <w:t>do</w:t>
      </w:r>
      <w:r w:rsidR="00A03629">
        <w:t xml:space="preserve"> </w:t>
      </w:r>
      <w:r>
        <w:t>not</w:t>
      </w:r>
      <w:r w:rsidR="00A03629">
        <w:t xml:space="preserve"> </w:t>
      </w:r>
      <w:r>
        <w:t>arise</w:t>
      </w:r>
      <w:r w:rsidR="00A03629">
        <w:t xml:space="preserve"> </w:t>
      </w:r>
      <w:r>
        <w:t>from</w:t>
      </w:r>
      <w:r w:rsidR="00A03629">
        <w:t xml:space="preserve"> </w:t>
      </w:r>
      <w:r>
        <w:t>contracts.</w:t>
      </w:r>
    </w:p>
    <w:p w14:paraId="6889D17B" w14:textId="409B5734" w:rsidR="000756EB" w:rsidRDefault="004A4D88" w:rsidP="00651E07">
      <w:r w:rsidRPr="00651E07">
        <w:rPr>
          <w:b/>
          <w:bCs/>
        </w:rPr>
        <w:t>Financial</w:t>
      </w:r>
      <w:r w:rsidR="00A03629" w:rsidRPr="00651E07">
        <w:rPr>
          <w:b/>
          <w:bCs/>
        </w:rPr>
        <w:t xml:space="preserve"> </w:t>
      </w:r>
      <w:r w:rsidRPr="00651E07">
        <w:rPr>
          <w:b/>
          <w:bCs/>
        </w:rPr>
        <w:t>guarantees:</w:t>
      </w:r>
      <w:r w:rsidR="00A03629">
        <w:t xml:space="preserve"> </w:t>
      </w:r>
      <w:r>
        <w:t>Payments</w:t>
      </w:r>
      <w:r w:rsidR="00A03629">
        <w:t xml:space="preserve"> </w:t>
      </w:r>
      <w:r>
        <w:t>that</w:t>
      </w:r>
      <w:r w:rsidR="00A03629">
        <w:t xml:space="preserve"> </w:t>
      </w:r>
      <w:r>
        <w:t>are</w:t>
      </w:r>
      <w:r w:rsidR="00A03629">
        <w:t xml:space="preserve"> </w:t>
      </w:r>
      <w:r>
        <w:t>contingent</w:t>
      </w:r>
      <w:r w:rsidR="00A03629">
        <w:t xml:space="preserve"> </w:t>
      </w:r>
      <w:r>
        <w:t>under</w:t>
      </w:r>
      <w:r w:rsidR="00A03629">
        <w:t xml:space="preserve"> </w:t>
      </w:r>
      <w:r>
        <w:t>financial</w:t>
      </w:r>
      <w:r w:rsidR="00A03629">
        <w:t xml:space="preserve"> </w:t>
      </w:r>
      <w:proofErr w:type="gramStart"/>
      <w:r>
        <w:t>guarantee</w:t>
      </w:r>
      <w:proofErr w:type="gramEnd"/>
      <w:r w:rsidR="00A03629">
        <w:t xml:space="preserve"> </w:t>
      </w:r>
      <w:r>
        <w:t>contracts</w:t>
      </w:r>
      <w:r w:rsidR="00A03629">
        <w:t xml:space="preserve"> </w:t>
      </w:r>
      <w:r>
        <w:t>in</w:t>
      </w:r>
      <w:r w:rsidR="00A03629">
        <w:t xml:space="preserve"> </w:t>
      </w:r>
      <w:r>
        <w:t>the</w:t>
      </w:r>
      <w:r w:rsidR="00A03629">
        <w:t xml:space="preserve"> </w:t>
      </w:r>
      <w:r>
        <w:t>prior</w:t>
      </w:r>
      <w:r w:rsidR="00A03629">
        <w:t xml:space="preserve"> </w:t>
      </w:r>
      <w:r>
        <w:t>year,</w:t>
      </w:r>
      <w:r w:rsidR="00A03629">
        <w:t xml:space="preserve"> </w:t>
      </w:r>
      <w:r>
        <w:t>are</w:t>
      </w:r>
      <w:r w:rsidR="00A03629">
        <w:t xml:space="preserve"> </w:t>
      </w:r>
      <w:r>
        <w:t>recognised</w:t>
      </w:r>
      <w:r w:rsidR="00A03629">
        <w:t xml:space="preserve"> </w:t>
      </w:r>
      <w:r>
        <w:t>as</w:t>
      </w:r>
      <w:r w:rsidR="00A03629">
        <w:t xml:space="preserve"> </w:t>
      </w:r>
      <w:r>
        <w:t>a</w:t>
      </w:r>
      <w:r w:rsidR="00A03629">
        <w:t xml:space="preserve"> </w:t>
      </w:r>
      <w:r>
        <w:t>liability,</w:t>
      </w:r>
      <w:r w:rsidR="00A03629">
        <w:t xml:space="preserve"> </w:t>
      </w:r>
      <w:r>
        <w:t>at</w:t>
      </w:r>
      <w:r w:rsidR="00A03629">
        <w:t xml:space="preserve"> </w:t>
      </w:r>
      <w:r>
        <w:t>fair</w:t>
      </w:r>
      <w:r w:rsidR="00A03629">
        <w:t xml:space="preserve"> </w:t>
      </w:r>
      <w:r>
        <w:t>value,</w:t>
      </w:r>
      <w:r w:rsidR="00A03629">
        <w:t xml:space="preserve"> </w:t>
      </w:r>
      <w:r>
        <w:t>at</w:t>
      </w:r>
      <w:r w:rsidR="00A03629">
        <w:t xml:space="preserve"> </w:t>
      </w:r>
      <w:r>
        <w:t>the</w:t>
      </w:r>
      <w:r w:rsidR="00A03629">
        <w:t xml:space="preserve"> </w:t>
      </w:r>
      <w:r>
        <w:t>time</w:t>
      </w:r>
      <w:r w:rsidR="00A03629">
        <w:t xml:space="preserve"> </w:t>
      </w:r>
      <w:r>
        <w:t>the</w:t>
      </w:r>
      <w:r w:rsidR="00A03629">
        <w:t xml:space="preserve"> </w:t>
      </w:r>
      <w:r>
        <w:t>guarantee</w:t>
      </w:r>
      <w:r w:rsidR="00A03629">
        <w:t xml:space="preserve"> </w:t>
      </w:r>
      <w:r>
        <w:t>is</w:t>
      </w:r>
      <w:r w:rsidR="00A03629">
        <w:t xml:space="preserve"> </w:t>
      </w:r>
      <w:r>
        <w:t>issued</w:t>
      </w:r>
      <w:r w:rsidR="00A03629">
        <w:t xml:space="preserve"> </w:t>
      </w:r>
      <w:r>
        <w:t>and</w:t>
      </w:r>
      <w:r w:rsidR="00A03629">
        <w:t xml:space="preserve"> </w:t>
      </w:r>
      <w:r>
        <w:t>assessed</w:t>
      </w:r>
      <w:r w:rsidR="00A03629">
        <w:t xml:space="preserve"> </w:t>
      </w:r>
      <w:r>
        <w:t>annually</w:t>
      </w:r>
      <w:r w:rsidR="00A03629">
        <w:t xml:space="preserve"> </w:t>
      </w:r>
      <w:r>
        <w:t>in</w:t>
      </w:r>
      <w:r w:rsidR="00A03629">
        <w:t xml:space="preserve"> </w:t>
      </w:r>
      <w:r>
        <w:t>accordance</w:t>
      </w:r>
      <w:r w:rsidR="00A03629">
        <w:t xml:space="preserve"> </w:t>
      </w:r>
      <w:r>
        <w:t>with</w:t>
      </w:r>
      <w:r w:rsidR="00A03629">
        <w:t xml:space="preserve"> </w:t>
      </w:r>
      <w:r>
        <w:t>the</w:t>
      </w:r>
      <w:r w:rsidR="00A03629">
        <w:t xml:space="preserve"> </w:t>
      </w:r>
      <w:r>
        <w:t>expected</w:t>
      </w:r>
      <w:r w:rsidR="00A03629">
        <w:t xml:space="preserve"> </w:t>
      </w:r>
      <w:r>
        <w:t>credit</w:t>
      </w:r>
      <w:r w:rsidR="00A03629">
        <w:t xml:space="preserve"> </w:t>
      </w:r>
      <w:r>
        <w:t>loss</w:t>
      </w:r>
      <w:r w:rsidR="00A03629">
        <w:t xml:space="preserve"> </w:t>
      </w:r>
      <w:r>
        <w:t>model</w:t>
      </w:r>
      <w:r w:rsidR="00A03629">
        <w:t xml:space="preserve"> </w:t>
      </w:r>
      <w:r>
        <w:t>under</w:t>
      </w:r>
      <w:r w:rsidR="00A03629">
        <w:t xml:space="preserve"> </w:t>
      </w:r>
      <w:r>
        <w:t>AASB</w:t>
      </w:r>
      <w:r w:rsidR="00A03629">
        <w:t xml:space="preserve"> </w:t>
      </w:r>
      <w:r>
        <w:t>9</w:t>
      </w:r>
      <w:r w:rsidR="00A03629">
        <w:t xml:space="preserve"> </w:t>
      </w:r>
      <w:r>
        <w:t>Financial</w:t>
      </w:r>
      <w:r w:rsidR="00A03629">
        <w:t xml:space="preserve"> </w:t>
      </w:r>
      <w:r>
        <w:t>Instruments</w:t>
      </w:r>
      <w:r w:rsidR="00A03629">
        <w:t xml:space="preserve"> </w:t>
      </w:r>
      <w:r>
        <w:t>and</w:t>
      </w:r>
      <w:r w:rsidR="00A03629">
        <w:t xml:space="preserve"> </w:t>
      </w:r>
      <w:r>
        <w:t>the</w:t>
      </w:r>
      <w:r w:rsidR="00A03629">
        <w:t xml:space="preserve"> </w:t>
      </w:r>
      <w:r>
        <w:t>amount</w:t>
      </w:r>
      <w:r w:rsidR="00A03629">
        <w:t xml:space="preserve"> </w:t>
      </w:r>
      <w:r>
        <w:t>initially</w:t>
      </w:r>
      <w:r w:rsidR="00A03629">
        <w:rPr>
          <w:rFonts w:ascii="Cambria" w:hAnsi="Cambria" w:cs="Cambria"/>
        </w:rPr>
        <w:t xml:space="preserve"> </w:t>
      </w:r>
      <w:r>
        <w:t>recognised</w:t>
      </w:r>
      <w:r w:rsidR="00A03629">
        <w:t xml:space="preserve"> </w:t>
      </w:r>
      <w:r>
        <w:t>less,</w:t>
      </w:r>
      <w:r w:rsidR="00A03629">
        <w:t xml:space="preserve"> </w:t>
      </w:r>
      <w:r>
        <w:t>when</w:t>
      </w:r>
      <w:r w:rsidR="00A03629">
        <w:t xml:space="preserve"> </w:t>
      </w:r>
      <w:r>
        <w:t>appropriate,</w:t>
      </w:r>
      <w:r w:rsidR="00A03629">
        <w:t xml:space="preserve"> </w:t>
      </w:r>
      <w:r>
        <w:t>cumulative</w:t>
      </w:r>
      <w:r w:rsidR="00A03629">
        <w:t xml:space="preserve"> </w:t>
      </w:r>
      <w:r>
        <w:t>amortisation</w:t>
      </w:r>
      <w:r w:rsidR="00A03629">
        <w:t xml:space="preserve"> </w:t>
      </w:r>
      <w:r>
        <w:t>recognised</w:t>
      </w:r>
      <w:r w:rsidR="00A03629">
        <w:t xml:space="preserve"> </w:t>
      </w:r>
      <w:r>
        <w:t>in</w:t>
      </w:r>
      <w:r w:rsidR="00A03629">
        <w:t xml:space="preserve"> </w:t>
      </w:r>
      <w:r>
        <w:t>accordance</w:t>
      </w:r>
      <w:r w:rsidR="00A03629">
        <w:t xml:space="preserve"> </w:t>
      </w:r>
      <w:r>
        <w:t>with</w:t>
      </w:r>
      <w:r w:rsidR="00A03629">
        <w:t xml:space="preserve"> </w:t>
      </w:r>
      <w:r>
        <w:t>AASB</w:t>
      </w:r>
      <w:r w:rsidR="00A03629">
        <w:t xml:space="preserve"> </w:t>
      </w:r>
      <w:r>
        <w:t>15.</w:t>
      </w:r>
      <w:r w:rsidR="00A03629">
        <w:t xml:space="preserve"> </w:t>
      </w:r>
      <w:r>
        <w:t>These</w:t>
      </w:r>
      <w:r w:rsidR="00A03629">
        <w:t xml:space="preserve"> </w:t>
      </w:r>
      <w:r>
        <w:t>have</w:t>
      </w:r>
      <w:r w:rsidR="00A03629">
        <w:t xml:space="preserve"> </w:t>
      </w:r>
      <w:r>
        <w:t>been</w:t>
      </w:r>
      <w:r w:rsidR="00A03629">
        <w:t xml:space="preserve"> </w:t>
      </w:r>
      <w:r>
        <w:t>transferred</w:t>
      </w:r>
      <w:r w:rsidR="00A03629">
        <w:t xml:space="preserve"> </w:t>
      </w:r>
      <w:r>
        <w:t>to</w:t>
      </w:r>
      <w:r w:rsidR="00A03629">
        <w:t xml:space="preserve"> </w:t>
      </w:r>
      <w:r>
        <w:t>DEECA</w:t>
      </w:r>
      <w:r w:rsidR="00A03629">
        <w:t xml:space="preserve"> </w:t>
      </w:r>
      <w:r>
        <w:t>as</w:t>
      </w:r>
      <w:r w:rsidR="00A03629">
        <w:t xml:space="preserve"> </w:t>
      </w:r>
      <w:r>
        <w:t>part</w:t>
      </w:r>
      <w:r w:rsidR="00A03629">
        <w:t xml:space="preserve"> </w:t>
      </w:r>
      <w:r>
        <w:t>of</w:t>
      </w:r>
      <w:r w:rsidR="00A03629">
        <w:t xml:space="preserve"> </w:t>
      </w:r>
      <w:r>
        <w:t>the</w:t>
      </w:r>
      <w:r w:rsidR="00A03629">
        <w:t xml:space="preserve"> </w:t>
      </w:r>
      <w:r>
        <w:t>machinery</w:t>
      </w:r>
      <w:r w:rsidR="00A03629">
        <w:t xml:space="preserve"> </w:t>
      </w:r>
      <w:r>
        <w:t>of</w:t>
      </w:r>
      <w:r w:rsidR="00A03629">
        <w:t xml:space="preserve"> </w:t>
      </w:r>
      <w:r>
        <w:t>government</w:t>
      </w:r>
      <w:r w:rsidR="00A03629">
        <w:t xml:space="preserve"> </w:t>
      </w:r>
      <w:r>
        <w:t>changes.</w:t>
      </w:r>
      <w:r w:rsidR="00A03629">
        <w:t xml:space="preserve"> </w:t>
      </w:r>
    </w:p>
    <w:p w14:paraId="0A365A3E" w14:textId="0DA8F3D3" w:rsidR="000756EB" w:rsidRDefault="004A4D88" w:rsidP="00651E07">
      <w:r>
        <w:lastRenderedPageBreak/>
        <w:t>In</w:t>
      </w:r>
      <w:r w:rsidR="00A03629">
        <w:t xml:space="preserve"> </w:t>
      </w:r>
      <w:r>
        <w:t>the</w:t>
      </w:r>
      <w:r w:rsidR="00A03629">
        <w:t xml:space="preserve"> </w:t>
      </w:r>
      <w:r>
        <w:t>determination</w:t>
      </w:r>
      <w:r w:rsidR="00A03629">
        <w:t xml:space="preserve"> </w:t>
      </w:r>
      <w:r>
        <w:t>of</w:t>
      </w:r>
      <w:r w:rsidR="00A03629">
        <w:t xml:space="preserve"> </w:t>
      </w:r>
      <w:r>
        <w:t>fair</w:t>
      </w:r>
      <w:r w:rsidR="00A03629">
        <w:t xml:space="preserve"> </w:t>
      </w:r>
      <w:r>
        <w:t>value,</w:t>
      </w:r>
      <w:r w:rsidR="00A03629">
        <w:t xml:space="preserve"> </w:t>
      </w:r>
      <w:r>
        <w:t>consideration</w:t>
      </w:r>
      <w:r w:rsidR="00A03629">
        <w:t xml:space="preserve"> </w:t>
      </w:r>
      <w:r>
        <w:t>is</w:t>
      </w:r>
      <w:r w:rsidR="00A03629">
        <w:t xml:space="preserve"> </w:t>
      </w:r>
      <w:r>
        <w:t>given</w:t>
      </w:r>
      <w:r w:rsidR="00A03629">
        <w:t xml:space="preserve"> </w:t>
      </w:r>
      <w:r>
        <w:t>to</w:t>
      </w:r>
      <w:r w:rsidR="00A03629">
        <w:t xml:space="preserve"> </w:t>
      </w:r>
      <w:r>
        <w:t>factors</w:t>
      </w:r>
      <w:r w:rsidR="00A03629">
        <w:t xml:space="preserve"> </w:t>
      </w:r>
      <w:r>
        <w:t>including</w:t>
      </w:r>
      <w:r w:rsidR="00A03629">
        <w:t xml:space="preserve"> </w:t>
      </w:r>
      <w:r>
        <w:t>the</w:t>
      </w:r>
      <w:r w:rsidR="00A03629">
        <w:t xml:space="preserve"> </w:t>
      </w:r>
      <w:r>
        <w:t>overall</w:t>
      </w:r>
      <w:r w:rsidR="00A03629">
        <w:t xml:space="preserve"> </w:t>
      </w:r>
      <w:r>
        <w:t>capital</w:t>
      </w:r>
      <w:r w:rsidR="00A03629">
        <w:t xml:space="preserve"> </w:t>
      </w:r>
      <w:r>
        <w:t>management/prudential</w:t>
      </w:r>
      <w:r w:rsidR="00A03629">
        <w:t xml:space="preserve"> </w:t>
      </w:r>
      <w:r>
        <w:t>supervision</w:t>
      </w:r>
      <w:r w:rsidR="00A03629">
        <w:t xml:space="preserve"> </w:t>
      </w:r>
      <w:r>
        <w:t>framework</w:t>
      </w:r>
      <w:r w:rsidR="00A03629">
        <w:t xml:space="preserve"> </w:t>
      </w:r>
      <w:r>
        <w:t>in</w:t>
      </w:r>
      <w:r w:rsidR="00A03629">
        <w:t xml:space="preserve"> </w:t>
      </w:r>
      <w:r>
        <w:t>operation,</w:t>
      </w:r>
      <w:r w:rsidR="00A03629">
        <w:t xml:space="preserve"> </w:t>
      </w:r>
      <w:r>
        <w:t>the</w:t>
      </w:r>
      <w:r w:rsidR="00A03629">
        <w:t xml:space="preserve"> </w:t>
      </w:r>
      <w:r>
        <w:t>protection</w:t>
      </w:r>
      <w:r w:rsidR="00A03629">
        <w:t xml:space="preserve"> </w:t>
      </w:r>
      <w:r>
        <w:t>provided</w:t>
      </w:r>
      <w:r w:rsidR="00A03629">
        <w:t xml:space="preserve"> </w:t>
      </w:r>
      <w:r>
        <w:t>by</w:t>
      </w:r>
      <w:r w:rsidR="00A03629">
        <w:t xml:space="preserve"> </w:t>
      </w:r>
      <w:r>
        <w:t>the</w:t>
      </w:r>
      <w:r w:rsidR="00A03629">
        <w:t xml:space="preserve"> </w:t>
      </w:r>
      <w:r>
        <w:t>State</w:t>
      </w:r>
      <w:r w:rsidR="00A03629">
        <w:t xml:space="preserve"> </w:t>
      </w:r>
      <w:r>
        <w:t>Government</w:t>
      </w:r>
      <w:r w:rsidR="00A03629">
        <w:t xml:space="preserve"> </w:t>
      </w:r>
      <w:r>
        <w:t>by</w:t>
      </w:r>
      <w:r w:rsidR="00A03629">
        <w:t xml:space="preserve"> </w:t>
      </w:r>
      <w:r>
        <w:t>way</w:t>
      </w:r>
      <w:r w:rsidR="00A03629">
        <w:t xml:space="preserve"> </w:t>
      </w:r>
      <w:r>
        <w:t>of</w:t>
      </w:r>
      <w:r w:rsidR="00A03629">
        <w:t xml:space="preserve"> </w:t>
      </w:r>
      <w:r>
        <w:t>funding</w:t>
      </w:r>
      <w:r w:rsidR="00A03629">
        <w:t xml:space="preserve"> </w:t>
      </w:r>
      <w:r>
        <w:t>should</w:t>
      </w:r>
      <w:r w:rsidR="00A03629">
        <w:t xml:space="preserve"> </w:t>
      </w:r>
      <w:r>
        <w:t>the</w:t>
      </w:r>
      <w:r w:rsidR="00A03629">
        <w:t xml:space="preserve"> </w:t>
      </w:r>
      <w:r>
        <w:t>probability</w:t>
      </w:r>
      <w:r w:rsidR="00A03629">
        <w:t xml:space="preserve"> </w:t>
      </w:r>
      <w:r>
        <w:t>of</w:t>
      </w:r>
      <w:r w:rsidR="00A03629">
        <w:t xml:space="preserve"> </w:t>
      </w:r>
      <w:r>
        <w:t>default</w:t>
      </w:r>
      <w:r w:rsidR="00A03629">
        <w:t xml:space="preserve"> </w:t>
      </w:r>
      <w:r>
        <w:t>increase,</w:t>
      </w:r>
      <w:r w:rsidR="00A03629">
        <w:t xml:space="preserve"> </w:t>
      </w:r>
      <w:r>
        <w:t>probability</w:t>
      </w:r>
      <w:r w:rsidR="00A03629">
        <w:t xml:space="preserve"> </w:t>
      </w:r>
      <w:r>
        <w:t>of</w:t>
      </w:r>
      <w:r w:rsidR="00A03629">
        <w:t xml:space="preserve"> </w:t>
      </w:r>
      <w:r>
        <w:t>default</w:t>
      </w:r>
      <w:r w:rsidR="00A03629">
        <w:t xml:space="preserve"> </w:t>
      </w:r>
      <w:r>
        <w:t>by</w:t>
      </w:r>
      <w:r w:rsidR="00A03629">
        <w:t xml:space="preserve"> </w:t>
      </w:r>
      <w:r>
        <w:t>the</w:t>
      </w:r>
      <w:r w:rsidR="00A03629">
        <w:t xml:space="preserve"> </w:t>
      </w:r>
      <w:r>
        <w:t>guaranteed</w:t>
      </w:r>
      <w:r w:rsidR="00A03629">
        <w:t xml:space="preserve"> </w:t>
      </w:r>
      <w:r>
        <w:t>party</w:t>
      </w:r>
      <w:r w:rsidR="00A03629">
        <w:t xml:space="preserve"> </w:t>
      </w:r>
      <w:r>
        <w:t>and</w:t>
      </w:r>
      <w:r w:rsidR="00A03629">
        <w:t xml:space="preserve"> </w:t>
      </w:r>
      <w:r>
        <w:t>the</w:t>
      </w:r>
      <w:r w:rsidR="00A03629">
        <w:t xml:space="preserve"> </w:t>
      </w:r>
      <w:r>
        <w:t>likely</w:t>
      </w:r>
      <w:r w:rsidR="00A03629">
        <w:t xml:space="preserve"> </w:t>
      </w:r>
      <w:r>
        <w:t>loss</w:t>
      </w:r>
      <w:r w:rsidR="00A03629">
        <w:t xml:space="preserve"> </w:t>
      </w:r>
      <w:r>
        <w:t>to</w:t>
      </w:r>
      <w:r w:rsidR="00A03629">
        <w:t xml:space="preserve"> </w:t>
      </w:r>
      <w:r>
        <w:t>DJSIR</w:t>
      </w:r>
      <w:r w:rsidR="00A03629">
        <w:t xml:space="preserve"> </w:t>
      </w:r>
      <w:r>
        <w:t>in</w:t>
      </w:r>
      <w:r w:rsidR="00A03629">
        <w:t xml:space="preserve"> </w:t>
      </w:r>
      <w:r>
        <w:t>the</w:t>
      </w:r>
      <w:r w:rsidR="00A03629">
        <w:t xml:space="preserve"> </w:t>
      </w:r>
      <w:r>
        <w:t>event</w:t>
      </w:r>
      <w:r w:rsidR="00A03629">
        <w:t xml:space="preserve"> </w:t>
      </w:r>
      <w:r>
        <w:t>of</w:t>
      </w:r>
      <w:r w:rsidR="00A03629">
        <w:t xml:space="preserve"> </w:t>
      </w:r>
      <w:r>
        <w:t>default.</w:t>
      </w:r>
    </w:p>
    <w:p w14:paraId="6230A7FB" w14:textId="0C7F4993" w:rsidR="000756EB" w:rsidRDefault="004A4D88" w:rsidP="00651E07">
      <w:r>
        <w:t>The</w:t>
      </w:r>
      <w:r w:rsidR="00A03629">
        <w:t xml:space="preserve"> </w:t>
      </w:r>
      <w:r>
        <w:t>value</w:t>
      </w:r>
      <w:r w:rsidR="00A03629">
        <w:t xml:space="preserve"> </w:t>
      </w:r>
      <w:r>
        <w:t>of</w:t>
      </w:r>
      <w:r w:rsidR="00A03629">
        <w:t xml:space="preserve"> </w:t>
      </w:r>
      <w:r>
        <w:t>loans</w:t>
      </w:r>
      <w:r w:rsidR="00A03629">
        <w:t xml:space="preserve"> </w:t>
      </w:r>
      <w:r>
        <w:t>and</w:t>
      </w:r>
      <w:r w:rsidR="00A03629">
        <w:t xml:space="preserve"> </w:t>
      </w:r>
      <w:r>
        <w:t>other</w:t>
      </w:r>
      <w:r w:rsidR="00A03629">
        <w:t xml:space="preserve"> </w:t>
      </w:r>
      <w:r>
        <w:t>amounts</w:t>
      </w:r>
      <w:r w:rsidR="00A03629">
        <w:t xml:space="preserve"> </w:t>
      </w:r>
      <w:r>
        <w:t>guaranteed</w:t>
      </w:r>
      <w:r w:rsidR="00A03629">
        <w:t xml:space="preserve"> </w:t>
      </w:r>
      <w:r>
        <w:t>by</w:t>
      </w:r>
      <w:r w:rsidR="00A03629">
        <w:t xml:space="preserve"> </w:t>
      </w:r>
      <w:r>
        <w:t>the</w:t>
      </w:r>
      <w:r w:rsidR="00A03629">
        <w:t xml:space="preserve"> </w:t>
      </w:r>
      <w:r>
        <w:t>Treasurer</w:t>
      </w:r>
      <w:r w:rsidR="00A03629">
        <w:t xml:space="preserve"> </w:t>
      </w:r>
      <w:r>
        <w:t>is</w:t>
      </w:r>
      <w:r w:rsidR="00A03629">
        <w:t xml:space="preserve"> </w:t>
      </w:r>
      <w:r>
        <w:t>disclosed</w:t>
      </w:r>
      <w:r w:rsidR="00A03629">
        <w:t xml:space="preserve"> </w:t>
      </w:r>
      <w:r>
        <w:t>as</w:t>
      </w:r>
      <w:r w:rsidR="00A03629">
        <w:t xml:space="preserve"> </w:t>
      </w:r>
      <w:r>
        <w:t>contingent</w:t>
      </w:r>
      <w:r w:rsidR="00A03629">
        <w:t xml:space="preserve"> </w:t>
      </w:r>
      <w:r>
        <w:t>liabilities.</w:t>
      </w:r>
    </w:p>
    <w:p w14:paraId="18907A93" w14:textId="6F84FEB3" w:rsidR="000756EB" w:rsidRPr="00651E07" w:rsidRDefault="004A4D88" w:rsidP="00651E07">
      <w:pPr>
        <w:pStyle w:val="Normalbeforebullets"/>
        <w:rPr>
          <w:b/>
          <w:bCs/>
        </w:rPr>
      </w:pPr>
      <w:r w:rsidRPr="00651E07">
        <w:rPr>
          <w:b/>
          <w:bCs/>
        </w:rPr>
        <w:t>Maturity</w:t>
      </w:r>
      <w:r w:rsidR="00A03629" w:rsidRPr="00651E07">
        <w:rPr>
          <w:b/>
          <w:bCs/>
        </w:rPr>
        <w:t xml:space="preserve"> </w:t>
      </w:r>
      <w:r w:rsidRPr="00651E07">
        <w:rPr>
          <w:b/>
          <w:bCs/>
        </w:rPr>
        <w:t>analysis</w:t>
      </w:r>
      <w:r w:rsidR="00A03629" w:rsidRPr="00651E07">
        <w:rPr>
          <w:b/>
          <w:bCs/>
        </w:rPr>
        <w:t xml:space="preserve"> </w:t>
      </w:r>
      <w:r w:rsidRPr="00651E07">
        <w:rPr>
          <w:b/>
          <w:bCs/>
        </w:rPr>
        <w:t>of</w:t>
      </w:r>
      <w:r w:rsidR="00A03629" w:rsidRPr="00651E07">
        <w:rPr>
          <w:b/>
          <w:bCs/>
        </w:rPr>
        <w:t xml:space="preserve"> </w:t>
      </w:r>
      <w:r w:rsidRPr="00651E07">
        <w:rPr>
          <w:b/>
          <w:bCs/>
        </w:rPr>
        <w:t>contractual</w:t>
      </w:r>
      <w:r w:rsidR="00A03629" w:rsidRPr="00651E07">
        <w:rPr>
          <w:b/>
          <w:bCs/>
        </w:rPr>
        <w:t xml:space="preserve"> </w:t>
      </w:r>
      <w:r w:rsidRPr="00651E07">
        <w:rPr>
          <w:b/>
          <w:bCs/>
        </w:rPr>
        <w:t>payables</w:t>
      </w:r>
      <w:r w:rsidR="00A03629" w:rsidRPr="00651E07">
        <w:rPr>
          <w:b/>
          <w:bCs/>
        </w:rPr>
        <w:t xml:space="preserve"> </w:t>
      </w:r>
      <w:r w:rsidRPr="00614829">
        <w:rPr>
          <w:rStyle w:val="FootnotereferencessuperscriptMisc"/>
          <w:b/>
          <w:bCs/>
        </w:rPr>
        <w:t>(</w:t>
      </w:r>
      <w:proofErr w:type="spellStart"/>
      <w:r w:rsidRPr="00614829">
        <w:rPr>
          <w:rStyle w:val="FootnotereferencessuperscriptMisc"/>
          <w:b/>
          <w:bCs/>
        </w:rPr>
        <w:t>i</w:t>
      </w:r>
      <w:proofErr w:type="spellEnd"/>
      <w:r w:rsidRPr="00614829">
        <w:rPr>
          <w:rStyle w:val="FootnotereferencessuperscriptMisc"/>
          <w:b/>
          <w:bCs/>
        </w:rPr>
        <w:t>)</w:t>
      </w:r>
    </w:p>
    <w:tbl>
      <w:tblPr>
        <w:tblStyle w:val="TableGrid"/>
        <w:tblW w:w="10485" w:type="dxa"/>
        <w:tblLayout w:type="fixed"/>
        <w:tblLook w:val="0020" w:firstRow="1" w:lastRow="0" w:firstColumn="0" w:lastColumn="0" w:noHBand="0" w:noVBand="0"/>
      </w:tblPr>
      <w:tblGrid>
        <w:gridCol w:w="2547"/>
        <w:gridCol w:w="1109"/>
        <w:gridCol w:w="1148"/>
        <w:gridCol w:w="1176"/>
        <w:gridCol w:w="1134"/>
        <w:gridCol w:w="1134"/>
        <w:gridCol w:w="1103"/>
        <w:gridCol w:w="1134"/>
      </w:tblGrid>
      <w:tr w:rsidR="000756EB" w:rsidRPr="00A10646" w14:paraId="599F1B27" w14:textId="77777777" w:rsidTr="00C41F1F">
        <w:trPr>
          <w:trHeight w:val="114"/>
          <w:tblHeader/>
        </w:trPr>
        <w:tc>
          <w:tcPr>
            <w:tcW w:w="2547" w:type="dxa"/>
          </w:tcPr>
          <w:p w14:paraId="78DBD24E" w14:textId="77777777" w:rsidR="000756EB" w:rsidRPr="00A10646" w:rsidRDefault="000756EB" w:rsidP="00A10646">
            <w:pPr>
              <w:pStyle w:val="TableColumnHeading"/>
              <w:rPr>
                <w:sz w:val="20"/>
                <w:szCs w:val="28"/>
              </w:rPr>
            </w:pPr>
            <w:bookmarkStart w:id="81" w:name="ColumnTitles_48"/>
            <w:bookmarkEnd w:id="81"/>
          </w:p>
        </w:tc>
        <w:tc>
          <w:tcPr>
            <w:tcW w:w="1109" w:type="dxa"/>
          </w:tcPr>
          <w:p w14:paraId="241FF020" w14:textId="48721C8E" w:rsidR="000756EB" w:rsidRPr="00A10646" w:rsidRDefault="004A4D88" w:rsidP="00C41F1F">
            <w:pPr>
              <w:pStyle w:val="TableColumnHeading"/>
              <w:jc w:val="right"/>
              <w:rPr>
                <w:sz w:val="20"/>
                <w:szCs w:val="28"/>
              </w:rPr>
            </w:pPr>
            <w:r w:rsidRPr="00A10646">
              <w:rPr>
                <w:sz w:val="20"/>
                <w:szCs w:val="28"/>
              </w:rPr>
              <w:t>Carrying</w:t>
            </w:r>
            <w:r w:rsidR="00A03629" w:rsidRPr="00A10646">
              <w:rPr>
                <w:sz w:val="20"/>
                <w:szCs w:val="28"/>
              </w:rPr>
              <w:t xml:space="preserve"> </w:t>
            </w:r>
            <w:r w:rsidRPr="00A10646">
              <w:rPr>
                <w:sz w:val="20"/>
                <w:szCs w:val="28"/>
              </w:rPr>
              <w:t>amount</w:t>
            </w:r>
            <w:r w:rsidR="00A10646">
              <w:rPr>
                <w:sz w:val="20"/>
                <w:szCs w:val="28"/>
              </w:rPr>
              <w:t xml:space="preserve"> </w:t>
            </w:r>
            <w:r w:rsidR="00A10646" w:rsidRPr="00A10646">
              <w:rPr>
                <w:sz w:val="20"/>
                <w:szCs w:val="28"/>
              </w:rPr>
              <w:t>($ thousand)</w:t>
            </w:r>
          </w:p>
        </w:tc>
        <w:tc>
          <w:tcPr>
            <w:tcW w:w="1148" w:type="dxa"/>
          </w:tcPr>
          <w:p w14:paraId="784BC3C7" w14:textId="4411658F" w:rsidR="000756EB" w:rsidRPr="00A10646" w:rsidRDefault="004A4D88" w:rsidP="00C41F1F">
            <w:pPr>
              <w:pStyle w:val="TableColumnHeading"/>
              <w:jc w:val="right"/>
              <w:rPr>
                <w:sz w:val="20"/>
                <w:szCs w:val="28"/>
              </w:rPr>
            </w:pPr>
            <w:r w:rsidRPr="00A10646">
              <w:rPr>
                <w:sz w:val="20"/>
                <w:szCs w:val="28"/>
              </w:rPr>
              <w:t>Nominal</w:t>
            </w:r>
            <w:r w:rsidR="00A03629" w:rsidRPr="00A10646">
              <w:rPr>
                <w:sz w:val="20"/>
                <w:szCs w:val="28"/>
              </w:rPr>
              <w:t xml:space="preserve"> </w:t>
            </w:r>
            <w:r w:rsidRPr="00A10646">
              <w:rPr>
                <w:sz w:val="20"/>
                <w:szCs w:val="28"/>
              </w:rPr>
              <w:t>amount</w:t>
            </w:r>
            <w:r w:rsidR="00A10646">
              <w:rPr>
                <w:sz w:val="20"/>
                <w:szCs w:val="28"/>
              </w:rPr>
              <w:t xml:space="preserve"> </w:t>
            </w:r>
            <w:r w:rsidR="00A10646" w:rsidRPr="00A10646">
              <w:rPr>
                <w:sz w:val="20"/>
                <w:szCs w:val="28"/>
              </w:rPr>
              <w:t>($ thousand)</w:t>
            </w:r>
          </w:p>
        </w:tc>
        <w:tc>
          <w:tcPr>
            <w:tcW w:w="1176" w:type="dxa"/>
          </w:tcPr>
          <w:p w14:paraId="0DA2A66D" w14:textId="79874DC2" w:rsidR="000756EB" w:rsidRPr="00A10646" w:rsidRDefault="004A4D88" w:rsidP="00C41F1F">
            <w:pPr>
              <w:pStyle w:val="TableColumnHeading"/>
              <w:jc w:val="right"/>
              <w:rPr>
                <w:sz w:val="20"/>
                <w:szCs w:val="28"/>
              </w:rPr>
            </w:pPr>
            <w:r w:rsidRPr="00A10646">
              <w:rPr>
                <w:sz w:val="20"/>
                <w:szCs w:val="28"/>
              </w:rPr>
              <w:t>Less</w:t>
            </w:r>
            <w:r w:rsidR="00A03629" w:rsidRPr="00A10646">
              <w:rPr>
                <w:sz w:val="20"/>
                <w:szCs w:val="28"/>
              </w:rPr>
              <w:t xml:space="preserve"> </w:t>
            </w:r>
            <w:r w:rsidRPr="00A10646">
              <w:rPr>
                <w:sz w:val="20"/>
                <w:szCs w:val="28"/>
              </w:rPr>
              <w:t>than</w:t>
            </w:r>
            <w:r w:rsidR="00A03629" w:rsidRPr="00A10646">
              <w:rPr>
                <w:sz w:val="20"/>
                <w:szCs w:val="28"/>
              </w:rPr>
              <w:t xml:space="preserve"> </w:t>
            </w:r>
            <w:r w:rsidRPr="00A10646">
              <w:rPr>
                <w:sz w:val="20"/>
                <w:szCs w:val="28"/>
              </w:rPr>
              <w:t>1</w:t>
            </w:r>
            <w:r w:rsidR="00A03629" w:rsidRPr="00A10646">
              <w:rPr>
                <w:sz w:val="20"/>
                <w:szCs w:val="28"/>
              </w:rPr>
              <w:t xml:space="preserve"> </w:t>
            </w:r>
            <w:r w:rsidRPr="00A10646">
              <w:rPr>
                <w:sz w:val="20"/>
                <w:szCs w:val="28"/>
              </w:rPr>
              <w:t>month</w:t>
            </w:r>
            <w:r w:rsidR="00A10646" w:rsidRPr="00A10646">
              <w:rPr>
                <w:sz w:val="20"/>
                <w:szCs w:val="28"/>
              </w:rPr>
              <w:t xml:space="preserve"> Maturity</w:t>
            </w:r>
            <w:r w:rsidR="00A10646">
              <w:rPr>
                <w:sz w:val="20"/>
                <w:szCs w:val="28"/>
              </w:rPr>
              <w:t xml:space="preserve"> </w:t>
            </w:r>
            <w:r w:rsidR="00A10646" w:rsidRPr="00A10646">
              <w:rPr>
                <w:sz w:val="20"/>
                <w:szCs w:val="28"/>
              </w:rPr>
              <w:t>($ thousand)</w:t>
            </w:r>
          </w:p>
        </w:tc>
        <w:tc>
          <w:tcPr>
            <w:tcW w:w="1134" w:type="dxa"/>
          </w:tcPr>
          <w:p w14:paraId="33D76443" w14:textId="6885A032" w:rsidR="000756EB" w:rsidRPr="00A10646" w:rsidRDefault="004A4D88" w:rsidP="00C41F1F">
            <w:pPr>
              <w:pStyle w:val="TableColumnHeading"/>
              <w:jc w:val="right"/>
              <w:rPr>
                <w:sz w:val="20"/>
                <w:szCs w:val="28"/>
              </w:rPr>
            </w:pPr>
            <w:r w:rsidRPr="00A10646">
              <w:rPr>
                <w:sz w:val="20"/>
                <w:szCs w:val="28"/>
              </w:rPr>
              <w:t>1–3</w:t>
            </w:r>
            <w:r w:rsidR="00A03629" w:rsidRPr="00A10646">
              <w:rPr>
                <w:sz w:val="20"/>
                <w:szCs w:val="28"/>
              </w:rPr>
              <w:t xml:space="preserve"> </w:t>
            </w:r>
            <w:r w:rsidRPr="00A10646">
              <w:rPr>
                <w:sz w:val="20"/>
                <w:szCs w:val="28"/>
              </w:rPr>
              <w:t>months</w:t>
            </w:r>
            <w:r w:rsidR="00A10646" w:rsidRPr="00A10646">
              <w:rPr>
                <w:sz w:val="20"/>
                <w:szCs w:val="28"/>
              </w:rPr>
              <w:t xml:space="preserve"> Maturity</w:t>
            </w:r>
            <w:r w:rsidR="00A10646">
              <w:rPr>
                <w:sz w:val="20"/>
                <w:szCs w:val="28"/>
              </w:rPr>
              <w:t xml:space="preserve"> </w:t>
            </w:r>
            <w:r w:rsidR="00A10646" w:rsidRPr="00A10646">
              <w:rPr>
                <w:sz w:val="20"/>
                <w:szCs w:val="28"/>
              </w:rPr>
              <w:t>($ thousand)</w:t>
            </w:r>
          </w:p>
        </w:tc>
        <w:tc>
          <w:tcPr>
            <w:tcW w:w="1134" w:type="dxa"/>
          </w:tcPr>
          <w:p w14:paraId="692E2ED0" w14:textId="083976BF" w:rsidR="000756EB" w:rsidRPr="00A10646" w:rsidRDefault="004A4D88" w:rsidP="00C41F1F">
            <w:pPr>
              <w:pStyle w:val="TableColumnHeading"/>
              <w:jc w:val="right"/>
              <w:rPr>
                <w:sz w:val="20"/>
                <w:szCs w:val="28"/>
              </w:rPr>
            </w:pPr>
            <w:r w:rsidRPr="00A10646">
              <w:rPr>
                <w:sz w:val="20"/>
                <w:szCs w:val="28"/>
              </w:rPr>
              <w:t>3</w:t>
            </w:r>
            <w:r w:rsidR="00A03629" w:rsidRPr="00A10646">
              <w:rPr>
                <w:sz w:val="20"/>
                <w:szCs w:val="28"/>
              </w:rPr>
              <w:t xml:space="preserve"> </w:t>
            </w:r>
            <w:r w:rsidRPr="00A10646">
              <w:rPr>
                <w:sz w:val="20"/>
                <w:szCs w:val="28"/>
              </w:rPr>
              <w:t>months</w:t>
            </w:r>
            <w:r w:rsidR="00A03629" w:rsidRPr="00A10646">
              <w:rPr>
                <w:sz w:val="20"/>
                <w:szCs w:val="28"/>
              </w:rPr>
              <w:t xml:space="preserve"> </w:t>
            </w:r>
            <w:r w:rsidRPr="00A10646">
              <w:rPr>
                <w:sz w:val="20"/>
                <w:szCs w:val="28"/>
              </w:rPr>
              <w:t>–</w:t>
            </w:r>
            <w:r w:rsidR="00A03629" w:rsidRPr="00A10646">
              <w:rPr>
                <w:sz w:val="20"/>
                <w:szCs w:val="28"/>
              </w:rPr>
              <w:t xml:space="preserve"> </w:t>
            </w:r>
            <w:r w:rsidRPr="00A10646">
              <w:rPr>
                <w:sz w:val="20"/>
                <w:szCs w:val="28"/>
              </w:rPr>
              <w:t>1</w:t>
            </w:r>
            <w:r w:rsidR="00A03629" w:rsidRPr="00A10646">
              <w:rPr>
                <w:sz w:val="20"/>
                <w:szCs w:val="28"/>
              </w:rPr>
              <w:t xml:space="preserve"> </w:t>
            </w:r>
            <w:r w:rsidRPr="00A10646">
              <w:rPr>
                <w:sz w:val="20"/>
                <w:szCs w:val="28"/>
              </w:rPr>
              <w:t>year</w:t>
            </w:r>
            <w:r w:rsidR="00A10646" w:rsidRPr="00A10646">
              <w:rPr>
                <w:sz w:val="20"/>
                <w:szCs w:val="28"/>
              </w:rPr>
              <w:t xml:space="preserve"> Maturity</w:t>
            </w:r>
            <w:r w:rsidR="00A10646">
              <w:rPr>
                <w:sz w:val="20"/>
                <w:szCs w:val="28"/>
              </w:rPr>
              <w:t xml:space="preserve"> </w:t>
            </w:r>
            <w:r w:rsidR="00A10646" w:rsidRPr="00A10646">
              <w:rPr>
                <w:sz w:val="20"/>
                <w:szCs w:val="28"/>
              </w:rPr>
              <w:t>($ thousand)</w:t>
            </w:r>
          </w:p>
        </w:tc>
        <w:tc>
          <w:tcPr>
            <w:tcW w:w="1103" w:type="dxa"/>
          </w:tcPr>
          <w:p w14:paraId="2BC6BE8D" w14:textId="5D93D742" w:rsidR="000756EB" w:rsidRPr="00A10646" w:rsidRDefault="004A4D88" w:rsidP="00C41F1F">
            <w:pPr>
              <w:pStyle w:val="TableColumnHeading"/>
              <w:jc w:val="right"/>
              <w:rPr>
                <w:sz w:val="20"/>
                <w:szCs w:val="28"/>
              </w:rPr>
            </w:pPr>
            <w:r w:rsidRPr="00A10646">
              <w:rPr>
                <w:sz w:val="20"/>
                <w:szCs w:val="28"/>
              </w:rPr>
              <w:t>1–5</w:t>
            </w:r>
            <w:r w:rsidR="00A03629" w:rsidRPr="00A10646">
              <w:rPr>
                <w:sz w:val="20"/>
                <w:szCs w:val="28"/>
              </w:rPr>
              <w:t xml:space="preserve"> </w:t>
            </w:r>
            <w:r w:rsidRPr="00A10646">
              <w:rPr>
                <w:sz w:val="20"/>
                <w:szCs w:val="28"/>
              </w:rPr>
              <w:t>years</w:t>
            </w:r>
            <w:r w:rsidR="00A10646" w:rsidRPr="00A10646">
              <w:rPr>
                <w:sz w:val="20"/>
                <w:szCs w:val="28"/>
              </w:rPr>
              <w:t xml:space="preserve"> Maturity</w:t>
            </w:r>
            <w:r w:rsidR="00A10646">
              <w:rPr>
                <w:sz w:val="20"/>
                <w:szCs w:val="28"/>
              </w:rPr>
              <w:t xml:space="preserve"> </w:t>
            </w:r>
            <w:r w:rsidR="00A10646" w:rsidRPr="00A10646">
              <w:rPr>
                <w:sz w:val="20"/>
                <w:szCs w:val="28"/>
              </w:rPr>
              <w:t>($ thousand)</w:t>
            </w:r>
          </w:p>
        </w:tc>
        <w:tc>
          <w:tcPr>
            <w:tcW w:w="1134" w:type="dxa"/>
          </w:tcPr>
          <w:p w14:paraId="0288EAAA" w14:textId="4CD68AB3" w:rsidR="000756EB" w:rsidRPr="00A10646" w:rsidRDefault="004A4D88" w:rsidP="00C41F1F">
            <w:pPr>
              <w:pStyle w:val="TableColumnHeading"/>
              <w:jc w:val="right"/>
              <w:rPr>
                <w:sz w:val="20"/>
                <w:szCs w:val="28"/>
              </w:rPr>
            </w:pPr>
            <w:r w:rsidRPr="00A10646">
              <w:rPr>
                <w:sz w:val="20"/>
                <w:szCs w:val="28"/>
              </w:rPr>
              <w:t>5+</w:t>
            </w:r>
            <w:r w:rsidR="00A03629" w:rsidRPr="00A10646">
              <w:rPr>
                <w:sz w:val="20"/>
                <w:szCs w:val="28"/>
              </w:rPr>
              <w:t xml:space="preserve"> </w:t>
            </w:r>
            <w:r w:rsidRPr="00A10646">
              <w:rPr>
                <w:sz w:val="20"/>
                <w:szCs w:val="28"/>
              </w:rPr>
              <w:t>years</w:t>
            </w:r>
            <w:r w:rsidR="00A10646" w:rsidRPr="00A10646">
              <w:rPr>
                <w:sz w:val="20"/>
                <w:szCs w:val="28"/>
              </w:rPr>
              <w:t xml:space="preserve"> Maturity</w:t>
            </w:r>
            <w:r w:rsidR="00A10646">
              <w:rPr>
                <w:sz w:val="20"/>
                <w:szCs w:val="28"/>
              </w:rPr>
              <w:t xml:space="preserve"> </w:t>
            </w:r>
            <w:r w:rsidR="00A10646" w:rsidRPr="00A10646">
              <w:rPr>
                <w:sz w:val="20"/>
                <w:szCs w:val="28"/>
              </w:rPr>
              <w:t>($ thousand)</w:t>
            </w:r>
          </w:p>
        </w:tc>
      </w:tr>
      <w:tr w:rsidR="000756EB" w:rsidRPr="00A10646" w14:paraId="3F2A54F5" w14:textId="77777777" w:rsidTr="00C41F1F">
        <w:trPr>
          <w:trHeight w:val="335"/>
        </w:trPr>
        <w:tc>
          <w:tcPr>
            <w:tcW w:w="2547" w:type="dxa"/>
          </w:tcPr>
          <w:p w14:paraId="47E18521" w14:textId="77777777" w:rsidR="000756EB" w:rsidRPr="00A10646" w:rsidRDefault="004A4D88" w:rsidP="00A10646">
            <w:pPr>
              <w:pStyle w:val="TableHeading"/>
            </w:pPr>
            <w:r w:rsidRPr="00A10646">
              <w:t>2023</w:t>
            </w:r>
          </w:p>
        </w:tc>
        <w:tc>
          <w:tcPr>
            <w:tcW w:w="1109" w:type="dxa"/>
          </w:tcPr>
          <w:p w14:paraId="31BD2B4A" w14:textId="77777777" w:rsidR="000756EB" w:rsidRPr="00A10646" w:rsidRDefault="000756EB" w:rsidP="00C41F1F">
            <w:pPr>
              <w:pStyle w:val="TableHeading"/>
              <w:jc w:val="right"/>
            </w:pPr>
          </w:p>
        </w:tc>
        <w:tc>
          <w:tcPr>
            <w:tcW w:w="1148" w:type="dxa"/>
          </w:tcPr>
          <w:p w14:paraId="413289BA" w14:textId="77777777" w:rsidR="000756EB" w:rsidRPr="00A10646" w:rsidRDefault="000756EB" w:rsidP="00C41F1F">
            <w:pPr>
              <w:pStyle w:val="TableHeading"/>
              <w:jc w:val="right"/>
            </w:pPr>
          </w:p>
        </w:tc>
        <w:tc>
          <w:tcPr>
            <w:tcW w:w="1176" w:type="dxa"/>
          </w:tcPr>
          <w:p w14:paraId="4ADA8839" w14:textId="77777777" w:rsidR="000756EB" w:rsidRPr="00A10646" w:rsidRDefault="000756EB" w:rsidP="00C41F1F">
            <w:pPr>
              <w:pStyle w:val="TableHeading"/>
              <w:jc w:val="right"/>
            </w:pPr>
          </w:p>
        </w:tc>
        <w:tc>
          <w:tcPr>
            <w:tcW w:w="1134" w:type="dxa"/>
          </w:tcPr>
          <w:p w14:paraId="3CA8E2E0" w14:textId="77777777" w:rsidR="000756EB" w:rsidRPr="00A10646" w:rsidRDefault="000756EB" w:rsidP="00C41F1F">
            <w:pPr>
              <w:pStyle w:val="TableHeading"/>
              <w:jc w:val="right"/>
            </w:pPr>
          </w:p>
        </w:tc>
        <w:tc>
          <w:tcPr>
            <w:tcW w:w="1134" w:type="dxa"/>
          </w:tcPr>
          <w:p w14:paraId="361481FE" w14:textId="77777777" w:rsidR="000756EB" w:rsidRPr="00A10646" w:rsidRDefault="000756EB" w:rsidP="00C41F1F">
            <w:pPr>
              <w:pStyle w:val="TableHeading"/>
              <w:jc w:val="right"/>
            </w:pPr>
          </w:p>
        </w:tc>
        <w:tc>
          <w:tcPr>
            <w:tcW w:w="1103" w:type="dxa"/>
          </w:tcPr>
          <w:p w14:paraId="4BCBC637" w14:textId="77777777" w:rsidR="000756EB" w:rsidRPr="00A10646" w:rsidRDefault="000756EB" w:rsidP="00C41F1F">
            <w:pPr>
              <w:pStyle w:val="TableHeading"/>
              <w:jc w:val="right"/>
            </w:pPr>
          </w:p>
        </w:tc>
        <w:tc>
          <w:tcPr>
            <w:tcW w:w="1134" w:type="dxa"/>
          </w:tcPr>
          <w:p w14:paraId="637FF6C2" w14:textId="77777777" w:rsidR="000756EB" w:rsidRPr="00A10646" w:rsidRDefault="000756EB" w:rsidP="00C41F1F">
            <w:pPr>
              <w:pStyle w:val="TableHeading"/>
              <w:jc w:val="right"/>
            </w:pPr>
          </w:p>
        </w:tc>
      </w:tr>
      <w:tr w:rsidR="000756EB" w14:paraId="06F8494F" w14:textId="77777777" w:rsidTr="00C41F1F">
        <w:trPr>
          <w:trHeight w:val="114"/>
        </w:trPr>
        <w:tc>
          <w:tcPr>
            <w:tcW w:w="2547" w:type="dxa"/>
          </w:tcPr>
          <w:p w14:paraId="560A04BB" w14:textId="65A61488" w:rsidR="000756EB" w:rsidRDefault="004A4D88" w:rsidP="00A10646">
            <w:pPr>
              <w:pStyle w:val="TableCopy"/>
            </w:pPr>
            <w:r>
              <w:t>Supplies</w:t>
            </w:r>
            <w:r w:rsidR="00A03629">
              <w:t xml:space="preserve"> </w:t>
            </w:r>
            <w:r>
              <w:t>and</w:t>
            </w:r>
            <w:r w:rsidR="00A03629">
              <w:t xml:space="preserve"> </w:t>
            </w:r>
            <w:r>
              <w:t>services</w:t>
            </w:r>
          </w:p>
        </w:tc>
        <w:tc>
          <w:tcPr>
            <w:tcW w:w="1109" w:type="dxa"/>
          </w:tcPr>
          <w:p w14:paraId="59646FF2" w14:textId="147CE58D" w:rsidR="000756EB" w:rsidRDefault="004A4D88" w:rsidP="00C41F1F">
            <w:pPr>
              <w:pStyle w:val="TableCopy"/>
              <w:jc w:val="right"/>
            </w:pPr>
            <w:r>
              <w:t>52,719</w:t>
            </w:r>
          </w:p>
        </w:tc>
        <w:tc>
          <w:tcPr>
            <w:tcW w:w="1148" w:type="dxa"/>
          </w:tcPr>
          <w:p w14:paraId="7D2773F9" w14:textId="167F0FE4" w:rsidR="000756EB" w:rsidRDefault="004A4D88" w:rsidP="00C41F1F">
            <w:pPr>
              <w:pStyle w:val="TableCopy"/>
              <w:jc w:val="right"/>
            </w:pPr>
            <w:r>
              <w:t>52,719</w:t>
            </w:r>
          </w:p>
        </w:tc>
        <w:tc>
          <w:tcPr>
            <w:tcW w:w="1176" w:type="dxa"/>
          </w:tcPr>
          <w:p w14:paraId="6D990839" w14:textId="2391641D" w:rsidR="000756EB" w:rsidRDefault="004A4D88" w:rsidP="00C41F1F">
            <w:pPr>
              <w:pStyle w:val="TableCopy"/>
              <w:jc w:val="right"/>
            </w:pPr>
            <w:r>
              <w:t>52,719</w:t>
            </w:r>
          </w:p>
        </w:tc>
        <w:tc>
          <w:tcPr>
            <w:tcW w:w="1134" w:type="dxa"/>
          </w:tcPr>
          <w:p w14:paraId="22DD5AC9" w14:textId="5A2FCBAC" w:rsidR="000756EB" w:rsidRDefault="004A4D88" w:rsidP="00C41F1F">
            <w:pPr>
              <w:pStyle w:val="TableCopy"/>
              <w:jc w:val="right"/>
            </w:pPr>
            <w:r>
              <w:t>–</w:t>
            </w:r>
          </w:p>
        </w:tc>
        <w:tc>
          <w:tcPr>
            <w:tcW w:w="1134" w:type="dxa"/>
          </w:tcPr>
          <w:p w14:paraId="20F09009" w14:textId="42213AFF" w:rsidR="000756EB" w:rsidRDefault="004A4D88" w:rsidP="00C41F1F">
            <w:pPr>
              <w:pStyle w:val="TableCopy"/>
              <w:jc w:val="right"/>
            </w:pPr>
            <w:r>
              <w:t>–</w:t>
            </w:r>
          </w:p>
        </w:tc>
        <w:tc>
          <w:tcPr>
            <w:tcW w:w="1103" w:type="dxa"/>
          </w:tcPr>
          <w:p w14:paraId="47D279E4" w14:textId="49F77F5F" w:rsidR="000756EB" w:rsidRDefault="004A4D88" w:rsidP="00C41F1F">
            <w:pPr>
              <w:pStyle w:val="TableCopy"/>
              <w:jc w:val="right"/>
            </w:pPr>
            <w:r>
              <w:t>–</w:t>
            </w:r>
          </w:p>
        </w:tc>
        <w:tc>
          <w:tcPr>
            <w:tcW w:w="1134" w:type="dxa"/>
          </w:tcPr>
          <w:p w14:paraId="709B0AC0" w14:textId="08D4A625" w:rsidR="000756EB" w:rsidRDefault="004A4D88" w:rsidP="00C41F1F">
            <w:pPr>
              <w:pStyle w:val="TableCopy"/>
              <w:jc w:val="right"/>
            </w:pPr>
            <w:r>
              <w:t>–</w:t>
            </w:r>
          </w:p>
        </w:tc>
      </w:tr>
      <w:tr w:rsidR="000756EB" w14:paraId="32579447" w14:textId="77777777" w:rsidTr="00C41F1F">
        <w:trPr>
          <w:trHeight w:val="114"/>
        </w:trPr>
        <w:tc>
          <w:tcPr>
            <w:tcW w:w="2547" w:type="dxa"/>
          </w:tcPr>
          <w:p w14:paraId="7E21225A" w14:textId="492EB47C" w:rsidR="000756EB" w:rsidRDefault="004A4D88" w:rsidP="00A10646">
            <w:pPr>
              <w:pStyle w:val="TableCopy"/>
            </w:pPr>
            <w:r>
              <w:t>Amounts</w:t>
            </w:r>
            <w:r w:rsidR="00A03629">
              <w:t xml:space="preserve"> </w:t>
            </w:r>
            <w:r>
              <w:t>payable</w:t>
            </w:r>
            <w:r w:rsidR="00A03629">
              <w:t xml:space="preserve"> </w:t>
            </w:r>
            <w:r>
              <w:t>to</w:t>
            </w:r>
            <w:r w:rsidR="00A03629">
              <w:t xml:space="preserve"> </w:t>
            </w:r>
            <w:r>
              <w:t>government</w:t>
            </w:r>
            <w:r w:rsidR="00A03629">
              <w:rPr>
                <w:rFonts w:ascii="Cambria" w:hAnsi="Cambria" w:cs="Cambria"/>
              </w:rPr>
              <w:t xml:space="preserve"> </w:t>
            </w:r>
            <w:r>
              <w:t>and</w:t>
            </w:r>
            <w:r w:rsidR="00A03629">
              <w:rPr>
                <w:rFonts w:ascii="Cambria" w:hAnsi="Cambria" w:cs="Cambria"/>
              </w:rPr>
              <w:t xml:space="preserve"> </w:t>
            </w:r>
            <w:r>
              <w:t>agencies</w:t>
            </w:r>
          </w:p>
        </w:tc>
        <w:tc>
          <w:tcPr>
            <w:tcW w:w="1109" w:type="dxa"/>
          </w:tcPr>
          <w:p w14:paraId="582FE1E9" w14:textId="60F681D3" w:rsidR="000756EB" w:rsidRDefault="004A4D88" w:rsidP="00C41F1F">
            <w:pPr>
              <w:pStyle w:val="TableCopy"/>
              <w:jc w:val="right"/>
            </w:pPr>
            <w:r>
              <w:t>64,242</w:t>
            </w:r>
          </w:p>
        </w:tc>
        <w:tc>
          <w:tcPr>
            <w:tcW w:w="1148" w:type="dxa"/>
          </w:tcPr>
          <w:p w14:paraId="3FFA945E" w14:textId="6BDF782E" w:rsidR="000756EB" w:rsidRDefault="004A4D88" w:rsidP="00C41F1F">
            <w:pPr>
              <w:pStyle w:val="TableCopy"/>
              <w:jc w:val="right"/>
            </w:pPr>
            <w:r>
              <w:t>64,242</w:t>
            </w:r>
          </w:p>
        </w:tc>
        <w:tc>
          <w:tcPr>
            <w:tcW w:w="1176" w:type="dxa"/>
          </w:tcPr>
          <w:p w14:paraId="0B1AA322" w14:textId="77127890" w:rsidR="000756EB" w:rsidRDefault="004A4D88" w:rsidP="00C41F1F">
            <w:pPr>
              <w:pStyle w:val="TableCopy"/>
              <w:jc w:val="right"/>
            </w:pPr>
            <w:r>
              <w:t>64,242</w:t>
            </w:r>
          </w:p>
        </w:tc>
        <w:tc>
          <w:tcPr>
            <w:tcW w:w="1134" w:type="dxa"/>
          </w:tcPr>
          <w:p w14:paraId="17F0FFAF" w14:textId="423644E3" w:rsidR="000756EB" w:rsidRDefault="004A4D88" w:rsidP="00C41F1F">
            <w:pPr>
              <w:pStyle w:val="TableCopy"/>
              <w:jc w:val="right"/>
            </w:pPr>
            <w:r>
              <w:t>–</w:t>
            </w:r>
          </w:p>
        </w:tc>
        <w:tc>
          <w:tcPr>
            <w:tcW w:w="1134" w:type="dxa"/>
          </w:tcPr>
          <w:p w14:paraId="138D961F" w14:textId="3A105E6E" w:rsidR="000756EB" w:rsidRDefault="004A4D88" w:rsidP="00C41F1F">
            <w:pPr>
              <w:pStyle w:val="TableCopy"/>
              <w:jc w:val="right"/>
            </w:pPr>
            <w:r>
              <w:t>–</w:t>
            </w:r>
          </w:p>
        </w:tc>
        <w:tc>
          <w:tcPr>
            <w:tcW w:w="1103" w:type="dxa"/>
          </w:tcPr>
          <w:p w14:paraId="39C4E9EB" w14:textId="1C04EC6B" w:rsidR="000756EB" w:rsidRDefault="004A4D88" w:rsidP="00C41F1F">
            <w:pPr>
              <w:pStyle w:val="TableCopy"/>
              <w:jc w:val="right"/>
            </w:pPr>
            <w:r>
              <w:t>–</w:t>
            </w:r>
          </w:p>
        </w:tc>
        <w:tc>
          <w:tcPr>
            <w:tcW w:w="1134" w:type="dxa"/>
          </w:tcPr>
          <w:p w14:paraId="524EC139" w14:textId="6E832064" w:rsidR="000756EB" w:rsidRDefault="004A4D88" w:rsidP="00C41F1F">
            <w:pPr>
              <w:pStyle w:val="TableCopy"/>
              <w:jc w:val="right"/>
            </w:pPr>
            <w:r>
              <w:t>–</w:t>
            </w:r>
          </w:p>
        </w:tc>
      </w:tr>
      <w:tr w:rsidR="000756EB" w14:paraId="226D64F7" w14:textId="77777777" w:rsidTr="00C41F1F">
        <w:trPr>
          <w:trHeight w:val="114"/>
        </w:trPr>
        <w:tc>
          <w:tcPr>
            <w:tcW w:w="2547" w:type="dxa"/>
          </w:tcPr>
          <w:p w14:paraId="64E04933" w14:textId="0BB73A6B" w:rsidR="000756EB" w:rsidRDefault="004A4D88" w:rsidP="00A10646">
            <w:pPr>
              <w:pStyle w:val="TableCopy"/>
            </w:pPr>
            <w:r>
              <w:t>Financial</w:t>
            </w:r>
            <w:r w:rsidR="00A03629">
              <w:t xml:space="preserve"> </w:t>
            </w:r>
            <w:r>
              <w:t>guarantees</w:t>
            </w:r>
          </w:p>
        </w:tc>
        <w:tc>
          <w:tcPr>
            <w:tcW w:w="1109" w:type="dxa"/>
          </w:tcPr>
          <w:p w14:paraId="0B650877" w14:textId="0B512CE2" w:rsidR="000756EB" w:rsidRDefault="004A4D88" w:rsidP="00C41F1F">
            <w:pPr>
              <w:pStyle w:val="TableCopy"/>
              <w:jc w:val="right"/>
            </w:pPr>
            <w:r>
              <w:t>–</w:t>
            </w:r>
          </w:p>
        </w:tc>
        <w:tc>
          <w:tcPr>
            <w:tcW w:w="1148" w:type="dxa"/>
          </w:tcPr>
          <w:p w14:paraId="3E027607" w14:textId="0A5AC677" w:rsidR="000756EB" w:rsidRDefault="004A4D88" w:rsidP="00C41F1F">
            <w:pPr>
              <w:pStyle w:val="TableCopy"/>
              <w:jc w:val="right"/>
            </w:pPr>
            <w:r>
              <w:t>–</w:t>
            </w:r>
          </w:p>
        </w:tc>
        <w:tc>
          <w:tcPr>
            <w:tcW w:w="1176" w:type="dxa"/>
          </w:tcPr>
          <w:p w14:paraId="7F76B83D" w14:textId="5D362BAD" w:rsidR="000756EB" w:rsidRDefault="004A4D88" w:rsidP="00C41F1F">
            <w:pPr>
              <w:pStyle w:val="TableCopy"/>
              <w:jc w:val="right"/>
            </w:pPr>
            <w:r>
              <w:t>–</w:t>
            </w:r>
          </w:p>
        </w:tc>
        <w:tc>
          <w:tcPr>
            <w:tcW w:w="1134" w:type="dxa"/>
          </w:tcPr>
          <w:p w14:paraId="08870A3A" w14:textId="7B2D0B03" w:rsidR="000756EB" w:rsidRDefault="004A4D88" w:rsidP="00C41F1F">
            <w:pPr>
              <w:pStyle w:val="TableCopy"/>
              <w:jc w:val="right"/>
            </w:pPr>
            <w:r>
              <w:t>–</w:t>
            </w:r>
          </w:p>
        </w:tc>
        <w:tc>
          <w:tcPr>
            <w:tcW w:w="1134" w:type="dxa"/>
          </w:tcPr>
          <w:p w14:paraId="3FA01588" w14:textId="1A5E71F0" w:rsidR="000756EB" w:rsidRDefault="004A4D88" w:rsidP="00C41F1F">
            <w:pPr>
              <w:pStyle w:val="TableCopy"/>
              <w:jc w:val="right"/>
            </w:pPr>
            <w:r>
              <w:t>–</w:t>
            </w:r>
          </w:p>
        </w:tc>
        <w:tc>
          <w:tcPr>
            <w:tcW w:w="1103" w:type="dxa"/>
          </w:tcPr>
          <w:p w14:paraId="7B66E0AA" w14:textId="74C5C258" w:rsidR="000756EB" w:rsidRDefault="004A4D88" w:rsidP="00C41F1F">
            <w:pPr>
              <w:pStyle w:val="TableCopy"/>
              <w:jc w:val="right"/>
            </w:pPr>
            <w:r>
              <w:t>–</w:t>
            </w:r>
          </w:p>
        </w:tc>
        <w:tc>
          <w:tcPr>
            <w:tcW w:w="1134" w:type="dxa"/>
          </w:tcPr>
          <w:p w14:paraId="34C5C6EE" w14:textId="44500A7E" w:rsidR="000756EB" w:rsidRDefault="004A4D88" w:rsidP="00C41F1F">
            <w:pPr>
              <w:pStyle w:val="TableCopy"/>
              <w:jc w:val="right"/>
            </w:pPr>
            <w:r>
              <w:t>–</w:t>
            </w:r>
          </w:p>
        </w:tc>
      </w:tr>
      <w:tr w:rsidR="000756EB" w14:paraId="561A27F2" w14:textId="77777777" w:rsidTr="00C41F1F">
        <w:trPr>
          <w:trHeight w:val="114"/>
        </w:trPr>
        <w:tc>
          <w:tcPr>
            <w:tcW w:w="2547" w:type="dxa"/>
          </w:tcPr>
          <w:p w14:paraId="59C71CAA" w14:textId="02652B99" w:rsidR="000756EB" w:rsidRDefault="004A4D88" w:rsidP="00A10646">
            <w:pPr>
              <w:pStyle w:val="TableCopy"/>
            </w:pPr>
            <w:r>
              <w:t>Unearned</w:t>
            </w:r>
            <w:r w:rsidR="00A03629">
              <w:t xml:space="preserve"> </w:t>
            </w:r>
            <w:r>
              <w:t>income</w:t>
            </w:r>
          </w:p>
        </w:tc>
        <w:tc>
          <w:tcPr>
            <w:tcW w:w="1109" w:type="dxa"/>
          </w:tcPr>
          <w:p w14:paraId="46A383CB" w14:textId="77777777" w:rsidR="000756EB" w:rsidRDefault="004A4D88" w:rsidP="00C41F1F">
            <w:pPr>
              <w:pStyle w:val="TableCopy"/>
              <w:jc w:val="right"/>
            </w:pPr>
            <w:r>
              <w:t>–</w:t>
            </w:r>
          </w:p>
        </w:tc>
        <w:tc>
          <w:tcPr>
            <w:tcW w:w="1148" w:type="dxa"/>
          </w:tcPr>
          <w:p w14:paraId="0A03DB04" w14:textId="4DAF5E70" w:rsidR="000756EB" w:rsidRDefault="004A4D88" w:rsidP="00C41F1F">
            <w:pPr>
              <w:pStyle w:val="TableCopy"/>
              <w:jc w:val="right"/>
            </w:pPr>
            <w:r>
              <w:t>–</w:t>
            </w:r>
          </w:p>
        </w:tc>
        <w:tc>
          <w:tcPr>
            <w:tcW w:w="1176" w:type="dxa"/>
          </w:tcPr>
          <w:p w14:paraId="50F5DAE1" w14:textId="5BC6C048" w:rsidR="000756EB" w:rsidRDefault="004A4D88" w:rsidP="00C41F1F">
            <w:pPr>
              <w:pStyle w:val="TableCopy"/>
              <w:jc w:val="right"/>
            </w:pPr>
            <w:r>
              <w:t>–</w:t>
            </w:r>
          </w:p>
        </w:tc>
        <w:tc>
          <w:tcPr>
            <w:tcW w:w="1134" w:type="dxa"/>
          </w:tcPr>
          <w:p w14:paraId="02DACCF3" w14:textId="046B29E7" w:rsidR="000756EB" w:rsidRDefault="004A4D88" w:rsidP="00C41F1F">
            <w:pPr>
              <w:pStyle w:val="TableCopy"/>
              <w:jc w:val="right"/>
            </w:pPr>
            <w:r>
              <w:t>–</w:t>
            </w:r>
          </w:p>
        </w:tc>
        <w:tc>
          <w:tcPr>
            <w:tcW w:w="1134" w:type="dxa"/>
          </w:tcPr>
          <w:p w14:paraId="1EF52646" w14:textId="2B92AB32" w:rsidR="000756EB" w:rsidRDefault="004A4D88" w:rsidP="00C41F1F">
            <w:pPr>
              <w:pStyle w:val="TableCopy"/>
              <w:jc w:val="right"/>
            </w:pPr>
            <w:r>
              <w:t>–</w:t>
            </w:r>
          </w:p>
        </w:tc>
        <w:tc>
          <w:tcPr>
            <w:tcW w:w="1103" w:type="dxa"/>
          </w:tcPr>
          <w:p w14:paraId="3DCA146A" w14:textId="07AF0CA5" w:rsidR="000756EB" w:rsidRDefault="004A4D88" w:rsidP="00C41F1F">
            <w:pPr>
              <w:pStyle w:val="TableCopy"/>
              <w:jc w:val="right"/>
            </w:pPr>
            <w:r>
              <w:t>–</w:t>
            </w:r>
          </w:p>
        </w:tc>
        <w:tc>
          <w:tcPr>
            <w:tcW w:w="1134" w:type="dxa"/>
          </w:tcPr>
          <w:p w14:paraId="0C7DEDD8" w14:textId="3FAB4E79" w:rsidR="000756EB" w:rsidRDefault="004A4D88" w:rsidP="00C41F1F">
            <w:pPr>
              <w:pStyle w:val="TableCopy"/>
              <w:jc w:val="right"/>
            </w:pPr>
            <w:r>
              <w:t>–</w:t>
            </w:r>
          </w:p>
        </w:tc>
      </w:tr>
      <w:tr w:rsidR="000756EB" w14:paraId="1E8BAA4E" w14:textId="77777777" w:rsidTr="00C41F1F">
        <w:trPr>
          <w:trHeight w:val="114"/>
        </w:trPr>
        <w:tc>
          <w:tcPr>
            <w:tcW w:w="2547" w:type="dxa"/>
          </w:tcPr>
          <w:p w14:paraId="447B5CC2" w14:textId="2432D591" w:rsidR="000756EB" w:rsidRDefault="004A4D88" w:rsidP="00A10646">
            <w:pPr>
              <w:pStyle w:val="TableCopy"/>
            </w:pPr>
            <w:r>
              <w:t>Accrued</w:t>
            </w:r>
            <w:r w:rsidR="00A03629">
              <w:t xml:space="preserve"> </w:t>
            </w:r>
            <w:r>
              <w:t>grants</w:t>
            </w:r>
          </w:p>
        </w:tc>
        <w:tc>
          <w:tcPr>
            <w:tcW w:w="1109" w:type="dxa"/>
          </w:tcPr>
          <w:p w14:paraId="4BA26341" w14:textId="29EE4A74" w:rsidR="000756EB" w:rsidRDefault="004A4D88" w:rsidP="00C41F1F">
            <w:pPr>
              <w:pStyle w:val="TableCopy"/>
              <w:jc w:val="right"/>
            </w:pPr>
            <w:r>
              <w:t>285,138</w:t>
            </w:r>
          </w:p>
        </w:tc>
        <w:tc>
          <w:tcPr>
            <w:tcW w:w="1148" w:type="dxa"/>
          </w:tcPr>
          <w:p w14:paraId="2FC69A38" w14:textId="35AB1D75" w:rsidR="000756EB" w:rsidRDefault="004A4D88" w:rsidP="00C41F1F">
            <w:pPr>
              <w:pStyle w:val="TableCopy"/>
              <w:jc w:val="right"/>
            </w:pPr>
            <w:r>
              <w:t>285,138</w:t>
            </w:r>
          </w:p>
        </w:tc>
        <w:tc>
          <w:tcPr>
            <w:tcW w:w="1176" w:type="dxa"/>
          </w:tcPr>
          <w:p w14:paraId="71171581" w14:textId="0095D8C4" w:rsidR="000756EB" w:rsidRDefault="004A4D88" w:rsidP="00C41F1F">
            <w:pPr>
              <w:pStyle w:val="TableCopy"/>
              <w:jc w:val="right"/>
            </w:pPr>
            <w:r>
              <w:t>285,138</w:t>
            </w:r>
          </w:p>
        </w:tc>
        <w:tc>
          <w:tcPr>
            <w:tcW w:w="1134" w:type="dxa"/>
          </w:tcPr>
          <w:p w14:paraId="1DA0FACA" w14:textId="74BBB815" w:rsidR="000756EB" w:rsidRDefault="004A4D88" w:rsidP="00C41F1F">
            <w:pPr>
              <w:pStyle w:val="TableCopy"/>
              <w:jc w:val="right"/>
            </w:pPr>
            <w:r>
              <w:t>–</w:t>
            </w:r>
          </w:p>
        </w:tc>
        <w:tc>
          <w:tcPr>
            <w:tcW w:w="1134" w:type="dxa"/>
          </w:tcPr>
          <w:p w14:paraId="43C1D3DA" w14:textId="59527237" w:rsidR="000756EB" w:rsidRDefault="004A4D88" w:rsidP="00C41F1F">
            <w:pPr>
              <w:pStyle w:val="TableCopy"/>
              <w:jc w:val="right"/>
            </w:pPr>
            <w:r>
              <w:t>–</w:t>
            </w:r>
          </w:p>
        </w:tc>
        <w:tc>
          <w:tcPr>
            <w:tcW w:w="1103" w:type="dxa"/>
          </w:tcPr>
          <w:p w14:paraId="7DE91C12" w14:textId="23B1A99B" w:rsidR="000756EB" w:rsidRDefault="004A4D88" w:rsidP="00C41F1F">
            <w:pPr>
              <w:pStyle w:val="TableCopy"/>
              <w:jc w:val="right"/>
            </w:pPr>
            <w:r>
              <w:t>–</w:t>
            </w:r>
          </w:p>
        </w:tc>
        <w:tc>
          <w:tcPr>
            <w:tcW w:w="1134" w:type="dxa"/>
          </w:tcPr>
          <w:p w14:paraId="72E6E27C" w14:textId="1720F2BC" w:rsidR="000756EB" w:rsidRDefault="004A4D88" w:rsidP="00C41F1F">
            <w:pPr>
              <w:pStyle w:val="TableCopy"/>
              <w:jc w:val="right"/>
            </w:pPr>
            <w:r>
              <w:t>–</w:t>
            </w:r>
          </w:p>
        </w:tc>
      </w:tr>
      <w:tr w:rsidR="000756EB" w14:paraId="19D31580" w14:textId="77777777" w:rsidTr="00C41F1F">
        <w:trPr>
          <w:trHeight w:val="114"/>
        </w:trPr>
        <w:tc>
          <w:tcPr>
            <w:tcW w:w="2547" w:type="dxa"/>
          </w:tcPr>
          <w:p w14:paraId="6F114488" w14:textId="14961464" w:rsidR="000756EB" w:rsidRDefault="004A4D88" w:rsidP="00A10646">
            <w:pPr>
              <w:pStyle w:val="TableCopy"/>
            </w:pPr>
            <w:r>
              <w:t>Other</w:t>
            </w:r>
            <w:r w:rsidR="00A03629">
              <w:t xml:space="preserve"> </w:t>
            </w:r>
            <w:r>
              <w:t>payables</w:t>
            </w:r>
          </w:p>
        </w:tc>
        <w:tc>
          <w:tcPr>
            <w:tcW w:w="1109" w:type="dxa"/>
          </w:tcPr>
          <w:p w14:paraId="047EF937" w14:textId="77777777" w:rsidR="000756EB" w:rsidRDefault="004A4D88" w:rsidP="00C41F1F">
            <w:pPr>
              <w:pStyle w:val="TableCopy"/>
              <w:jc w:val="right"/>
            </w:pPr>
            <w:r>
              <w:t>2,045</w:t>
            </w:r>
          </w:p>
        </w:tc>
        <w:tc>
          <w:tcPr>
            <w:tcW w:w="1148" w:type="dxa"/>
          </w:tcPr>
          <w:p w14:paraId="162B645C" w14:textId="77777777" w:rsidR="000756EB" w:rsidRDefault="004A4D88" w:rsidP="00C41F1F">
            <w:pPr>
              <w:pStyle w:val="TableCopy"/>
              <w:jc w:val="right"/>
            </w:pPr>
            <w:r>
              <w:t>2,045</w:t>
            </w:r>
          </w:p>
        </w:tc>
        <w:tc>
          <w:tcPr>
            <w:tcW w:w="1176" w:type="dxa"/>
          </w:tcPr>
          <w:p w14:paraId="19B5EBCD" w14:textId="77777777" w:rsidR="000756EB" w:rsidRDefault="004A4D88" w:rsidP="00C41F1F">
            <w:pPr>
              <w:pStyle w:val="TableCopy"/>
              <w:jc w:val="right"/>
            </w:pPr>
            <w:r>
              <w:t>2,045</w:t>
            </w:r>
          </w:p>
        </w:tc>
        <w:tc>
          <w:tcPr>
            <w:tcW w:w="1134" w:type="dxa"/>
          </w:tcPr>
          <w:p w14:paraId="7323CACC" w14:textId="127A900E" w:rsidR="000756EB" w:rsidRDefault="004A4D88" w:rsidP="00C41F1F">
            <w:pPr>
              <w:pStyle w:val="TableCopy"/>
              <w:jc w:val="right"/>
            </w:pPr>
            <w:r>
              <w:t>–</w:t>
            </w:r>
          </w:p>
        </w:tc>
        <w:tc>
          <w:tcPr>
            <w:tcW w:w="1134" w:type="dxa"/>
          </w:tcPr>
          <w:p w14:paraId="3F27DE35" w14:textId="11414762" w:rsidR="000756EB" w:rsidRDefault="004A4D88" w:rsidP="00C41F1F">
            <w:pPr>
              <w:pStyle w:val="TableCopy"/>
              <w:jc w:val="right"/>
            </w:pPr>
            <w:r>
              <w:t>–</w:t>
            </w:r>
          </w:p>
        </w:tc>
        <w:tc>
          <w:tcPr>
            <w:tcW w:w="1103" w:type="dxa"/>
          </w:tcPr>
          <w:p w14:paraId="778478E2" w14:textId="3C69120B" w:rsidR="000756EB" w:rsidRDefault="004A4D88" w:rsidP="00C41F1F">
            <w:pPr>
              <w:pStyle w:val="TableCopy"/>
              <w:jc w:val="right"/>
            </w:pPr>
            <w:r>
              <w:t>–</w:t>
            </w:r>
          </w:p>
        </w:tc>
        <w:tc>
          <w:tcPr>
            <w:tcW w:w="1134" w:type="dxa"/>
          </w:tcPr>
          <w:p w14:paraId="301E69F1" w14:textId="04539115" w:rsidR="000756EB" w:rsidRDefault="004A4D88" w:rsidP="00C41F1F">
            <w:pPr>
              <w:pStyle w:val="TableCopy"/>
              <w:jc w:val="right"/>
            </w:pPr>
            <w:r>
              <w:t>–</w:t>
            </w:r>
          </w:p>
        </w:tc>
      </w:tr>
      <w:tr w:rsidR="000756EB" w:rsidRPr="00A10646" w14:paraId="75A65F86" w14:textId="77777777" w:rsidTr="00C41F1F">
        <w:trPr>
          <w:trHeight w:val="114"/>
        </w:trPr>
        <w:tc>
          <w:tcPr>
            <w:tcW w:w="2547" w:type="dxa"/>
          </w:tcPr>
          <w:p w14:paraId="51EC85E6" w14:textId="5B336F80" w:rsidR="000756EB" w:rsidRPr="00A10646" w:rsidRDefault="004A4D88" w:rsidP="00A10646">
            <w:pPr>
              <w:pStyle w:val="TableCopy"/>
              <w:rPr>
                <w:b/>
                <w:bCs/>
              </w:rPr>
            </w:pPr>
            <w:r w:rsidRPr="00A10646">
              <w:rPr>
                <w:b/>
                <w:bCs/>
              </w:rPr>
              <w:t>Total</w:t>
            </w:r>
            <w:r w:rsidR="00A03629" w:rsidRPr="00A10646">
              <w:rPr>
                <w:b/>
                <w:bCs/>
              </w:rPr>
              <w:t xml:space="preserve"> </w:t>
            </w:r>
          </w:p>
        </w:tc>
        <w:tc>
          <w:tcPr>
            <w:tcW w:w="1109" w:type="dxa"/>
          </w:tcPr>
          <w:p w14:paraId="79D99D72" w14:textId="14F18D3A" w:rsidR="000756EB" w:rsidRPr="00A10646" w:rsidRDefault="004A4D88" w:rsidP="00C41F1F">
            <w:pPr>
              <w:pStyle w:val="TableCopy"/>
              <w:jc w:val="right"/>
              <w:rPr>
                <w:b/>
                <w:bCs/>
              </w:rPr>
            </w:pPr>
            <w:r w:rsidRPr="00A10646">
              <w:rPr>
                <w:b/>
                <w:bCs/>
              </w:rPr>
              <w:t>404,145</w:t>
            </w:r>
          </w:p>
        </w:tc>
        <w:tc>
          <w:tcPr>
            <w:tcW w:w="1148" w:type="dxa"/>
          </w:tcPr>
          <w:p w14:paraId="2C7A16E6" w14:textId="11C39F33" w:rsidR="000756EB" w:rsidRPr="00A10646" w:rsidRDefault="004A4D88" w:rsidP="00C41F1F">
            <w:pPr>
              <w:pStyle w:val="TableCopy"/>
              <w:jc w:val="right"/>
              <w:rPr>
                <w:b/>
                <w:bCs/>
              </w:rPr>
            </w:pPr>
            <w:r w:rsidRPr="00A10646">
              <w:rPr>
                <w:b/>
                <w:bCs/>
              </w:rPr>
              <w:t>404,145</w:t>
            </w:r>
          </w:p>
        </w:tc>
        <w:tc>
          <w:tcPr>
            <w:tcW w:w="1176" w:type="dxa"/>
          </w:tcPr>
          <w:p w14:paraId="62CD5264" w14:textId="18BF12B0" w:rsidR="000756EB" w:rsidRPr="00A10646" w:rsidRDefault="004A4D88" w:rsidP="00C41F1F">
            <w:pPr>
              <w:pStyle w:val="TableCopy"/>
              <w:jc w:val="right"/>
              <w:rPr>
                <w:b/>
                <w:bCs/>
              </w:rPr>
            </w:pPr>
            <w:r w:rsidRPr="00A10646">
              <w:rPr>
                <w:b/>
                <w:bCs/>
              </w:rPr>
              <w:t>404,145</w:t>
            </w:r>
          </w:p>
        </w:tc>
        <w:tc>
          <w:tcPr>
            <w:tcW w:w="1134" w:type="dxa"/>
          </w:tcPr>
          <w:p w14:paraId="79DEA230" w14:textId="350793CC" w:rsidR="000756EB" w:rsidRPr="00A10646" w:rsidRDefault="004A4D88" w:rsidP="00C41F1F">
            <w:pPr>
              <w:pStyle w:val="TableCopy"/>
              <w:jc w:val="right"/>
              <w:rPr>
                <w:b/>
                <w:bCs/>
              </w:rPr>
            </w:pPr>
            <w:r w:rsidRPr="00A10646">
              <w:rPr>
                <w:b/>
                <w:bCs/>
              </w:rPr>
              <w:t>–</w:t>
            </w:r>
          </w:p>
        </w:tc>
        <w:tc>
          <w:tcPr>
            <w:tcW w:w="1134" w:type="dxa"/>
          </w:tcPr>
          <w:p w14:paraId="6D00FFCC" w14:textId="511F1F4C" w:rsidR="000756EB" w:rsidRPr="00A10646" w:rsidRDefault="004A4D88" w:rsidP="00C41F1F">
            <w:pPr>
              <w:pStyle w:val="TableCopy"/>
              <w:jc w:val="right"/>
              <w:rPr>
                <w:b/>
                <w:bCs/>
              </w:rPr>
            </w:pPr>
            <w:r w:rsidRPr="00A10646">
              <w:rPr>
                <w:b/>
                <w:bCs/>
              </w:rPr>
              <w:t>–</w:t>
            </w:r>
          </w:p>
        </w:tc>
        <w:tc>
          <w:tcPr>
            <w:tcW w:w="1103" w:type="dxa"/>
          </w:tcPr>
          <w:p w14:paraId="5A6238C2" w14:textId="58918A58" w:rsidR="000756EB" w:rsidRPr="00A10646" w:rsidRDefault="004A4D88" w:rsidP="00C41F1F">
            <w:pPr>
              <w:pStyle w:val="TableCopy"/>
              <w:jc w:val="right"/>
              <w:rPr>
                <w:b/>
                <w:bCs/>
              </w:rPr>
            </w:pPr>
            <w:r w:rsidRPr="00A10646">
              <w:rPr>
                <w:b/>
                <w:bCs/>
              </w:rPr>
              <w:t>–</w:t>
            </w:r>
          </w:p>
        </w:tc>
        <w:tc>
          <w:tcPr>
            <w:tcW w:w="1134" w:type="dxa"/>
          </w:tcPr>
          <w:p w14:paraId="052849DD" w14:textId="467A1AB6" w:rsidR="000756EB" w:rsidRPr="00A10646" w:rsidRDefault="004A4D88" w:rsidP="00C41F1F">
            <w:pPr>
              <w:pStyle w:val="TableCopy"/>
              <w:jc w:val="right"/>
              <w:rPr>
                <w:b/>
                <w:bCs/>
              </w:rPr>
            </w:pPr>
            <w:r w:rsidRPr="00A10646">
              <w:rPr>
                <w:b/>
                <w:bCs/>
              </w:rPr>
              <w:t>–</w:t>
            </w:r>
          </w:p>
        </w:tc>
      </w:tr>
      <w:tr w:rsidR="000756EB" w14:paraId="5ACC2040" w14:textId="77777777" w:rsidTr="00C41F1F">
        <w:trPr>
          <w:trHeight w:val="114"/>
        </w:trPr>
        <w:tc>
          <w:tcPr>
            <w:tcW w:w="2547" w:type="dxa"/>
          </w:tcPr>
          <w:p w14:paraId="0AAB9962" w14:textId="77777777" w:rsidR="000756EB" w:rsidRDefault="004A4D88" w:rsidP="00A10646">
            <w:pPr>
              <w:pStyle w:val="TableHeading"/>
            </w:pPr>
            <w:r>
              <w:t>2022</w:t>
            </w:r>
          </w:p>
        </w:tc>
        <w:tc>
          <w:tcPr>
            <w:tcW w:w="1109" w:type="dxa"/>
          </w:tcPr>
          <w:p w14:paraId="74280842" w14:textId="77777777" w:rsidR="000756EB" w:rsidRPr="00A10646" w:rsidRDefault="000756EB" w:rsidP="00C41F1F">
            <w:pPr>
              <w:pStyle w:val="TableHeading"/>
              <w:jc w:val="right"/>
            </w:pPr>
          </w:p>
        </w:tc>
        <w:tc>
          <w:tcPr>
            <w:tcW w:w="1148" w:type="dxa"/>
          </w:tcPr>
          <w:p w14:paraId="3ED1CD01" w14:textId="77777777" w:rsidR="000756EB" w:rsidRPr="00A10646" w:rsidRDefault="000756EB" w:rsidP="00C41F1F">
            <w:pPr>
              <w:pStyle w:val="TableHeading"/>
              <w:jc w:val="right"/>
            </w:pPr>
          </w:p>
        </w:tc>
        <w:tc>
          <w:tcPr>
            <w:tcW w:w="1176" w:type="dxa"/>
          </w:tcPr>
          <w:p w14:paraId="11B2711D" w14:textId="77777777" w:rsidR="000756EB" w:rsidRPr="00A10646" w:rsidRDefault="000756EB" w:rsidP="00C41F1F">
            <w:pPr>
              <w:pStyle w:val="TableHeading"/>
              <w:jc w:val="right"/>
            </w:pPr>
          </w:p>
        </w:tc>
        <w:tc>
          <w:tcPr>
            <w:tcW w:w="1134" w:type="dxa"/>
          </w:tcPr>
          <w:p w14:paraId="05AA1F89" w14:textId="77777777" w:rsidR="000756EB" w:rsidRPr="00A10646" w:rsidRDefault="000756EB" w:rsidP="00C41F1F">
            <w:pPr>
              <w:pStyle w:val="TableHeading"/>
              <w:jc w:val="right"/>
            </w:pPr>
          </w:p>
        </w:tc>
        <w:tc>
          <w:tcPr>
            <w:tcW w:w="1134" w:type="dxa"/>
          </w:tcPr>
          <w:p w14:paraId="6A886E82" w14:textId="77777777" w:rsidR="000756EB" w:rsidRPr="00A10646" w:rsidRDefault="000756EB" w:rsidP="00C41F1F">
            <w:pPr>
              <w:pStyle w:val="TableHeading"/>
              <w:jc w:val="right"/>
            </w:pPr>
          </w:p>
        </w:tc>
        <w:tc>
          <w:tcPr>
            <w:tcW w:w="1103" w:type="dxa"/>
          </w:tcPr>
          <w:p w14:paraId="0F0463B8" w14:textId="77777777" w:rsidR="000756EB" w:rsidRPr="00A10646" w:rsidRDefault="000756EB" w:rsidP="00C41F1F">
            <w:pPr>
              <w:pStyle w:val="TableHeading"/>
              <w:jc w:val="right"/>
            </w:pPr>
          </w:p>
        </w:tc>
        <w:tc>
          <w:tcPr>
            <w:tcW w:w="1134" w:type="dxa"/>
          </w:tcPr>
          <w:p w14:paraId="3672524D" w14:textId="77777777" w:rsidR="000756EB" w:rsidRPr="00A10646" w:rsidRDefault="000756EB" w:rsidP="00C41F1F">
            <w:pPr>
              <w:pStyle w:val="TableHeading"/>
              <w:jc w:val="right"/>
            </w:pPr>
          </w:p>
        </w:tc>
      </w:tr>
      <w:tr w:rsidR="000756EB" w14:paraId="088F8123" w14:textId="77777777" w:rsidTr="00C41F1F">
        <w:trPr>
          <w:trHeight w:val="114"/>
        </w:trPr>
        <w:tc>
          <w:tcPr>
            <w:tcW w:w="2547" w:type="dxa"/>
          </w:tcPr>
          <w:p w14:paraId="63FE0DA4" w14:textId="20177B9B" w:rsidR="000756EB" w:rsidRDefault="004A4D88" w:rsidP="00C41F1F">
            <w:pPr>
              <w:pStyle w:val="TableCopy"/>
            </w:pPr>
            <w:r>
              <w:t>Supplies</w:t>
            </w:r>
            <w:r w:rsidR="00A03629">
              <w:t xml:space="preserve"> </w:t>
            </w:r>
            <w:r>
              <w:t>and</w:t>
            </w:r>
            <w:r w:rsidR="00A03629">
              <w:t xml:space="preserve"> </w:t>
            </w:r>
            <w:r>
              <w:t>services</w:t>
            </w:r>
          </w:p>
        </w:tc>
        <w:tc>
          <w:tcPr>
            <w:tcW w:w="1109" w:type="dxa"/>
          </w:tcPr>
          <w:p w14:paraId="245E36FA" w14:textId="555FA271" w:rsidR="000756EB" w:rsidRDefault="004A4D88" w:rsidP="00C41F1F">
            <w:pPr>
              <w:pStyle w:val="TableCopy"/>
              <w:jc w:val="right"/>
            </w:pPr>
            <w:r>
              <w:t>86,024</w:t>
            </w:r>
          </w:p>
        </w:tc>
        <w:tc>
          <w:tcPr>
            <w:tcW w:w="1148" w:type="dxa"/>
          </w:tcPr>
          <w:p w14:paraId="4D6FEBF6" w14:textId="50E79939" w:rsidR="000756EB" w:rsidRDefault="004A4D88" w:rsidP="00C41F1F">
            <w:pPr>
              <w:pStyle w:val="TableCopy"/>
              <w:jc w:val="right"/>
            </w:pPr>
            <w:r>
              <w:t>86,024</w:t>
            </w:r>
          </w:p>
        </w:tc>
        <w:tc>
          <w:tcPr>
            <w:tcW w:w="1176" w:type="dxa"/>
          </w:tcPr>
          <w:p w14:paraId="59BC1FB9" w14:textId="5FEE072E" w:rsidR="000756EB" w:rsidRDefault="004A4D88" w:rsidP="00C41F1F">
            <w:pPr>
              <w:pStyle w:val="TableCopy"/>
              <w:jc w:val="right"/>
            </w:pPr>
            <w:r>
              <w:t>86,024</w:t>
            </w:r>
          </w:p>
        </w:tc>
        <w:tc>
          <w:tcPr>
            <w:tcW w:w="1134" w:type="dxa"/>
          </w:tcPr>
          <w:p w14:paraId="2119D081" w14:textId="2A6D1FE6" w:rsidR="000756EB" w:rsidRDefault="004A4D88" w:rsidP="00C41F1F">
            <w:pPr>
              <w:pStyle w:val="TableCopy"/>
              <w:jc w:val="right"/>
            </w:pPr>
            <w:r>
              <w:t>–</w:t>
            </w:r>
          </w:p>
        </w:tc>
        <w:tc>
          <w:tcPr>
            <w:tcW w:w="1134" w:type="dxa"/>
          </w:tcPr>
          <w:p w14:paraId="7660A599" w14:textId="7EDD7B26" w:rsidR="000756EB" w:rsidRDefault="004A4D88" w:rsidP="00C41F1F">
            <w:pPr>
              <w:pStyle w:val="TableCopy"/>
              <w:jc w:val="right"/>
            </w:pPr>
            <w:r>
              <w:t>–</w:t>
            </w:r>
          </w:p>
        </w:tc>
        <w:tc>
          <w:tcPr>
            <w:tcW w:w="1103" w:type="dxa"/>
          </w:tcPr>
          <w:p w14:paraId="74BDDC62" w14:textId="1B4EC308" w:rsidR="000756EB" w:rsidRDefault="004A4D88" w:rsidP="00C41F1F">
            <w:pPr>
              <w:pStyle w:val="TableCopy"/>
              <w:jc w:val="right"/>
            </w:pPr>
            <w:r>
              <w:t>–</w:t>
            </w:r>
          </w:p>
        </w:tc>
        <w:tc>
          <w:tcPr>
            <w:tcW w:w="1134" w:type="dxa"/>
          </w:tcPr>
          <w:p w14:paraId="32BC9AE8" w14:textId="14FA34AE" w:rsidR="000756EB" w:rsidRDefault="004A4D88" w:rsidP="00C41F1F">
            <w:pPr>
              <w:pStyle w:val="TableCopy"/>
              <w:jc w:val="right"/>
            </w:pPr>
            <w:r>
              <w:t>–</w:t>
            </w:r>
          </w:p>
        </w:tc>
      </w:tr>
      <w:tr w:rsidR="000756EB" w14:paraId="33EDC69F" w14:textId="77777777" w:rsidTr="00C41F1F">
        <w:trPr>
          <w:trHeight w:val="114"/>
        </w:trPr>
        <w:tc>
          <w:tcPr>
            <w:tcW w:w="2547" w:type="dxa"/>
          </w:tcPr>
          <w:p w14:paraId="0459E0CD" w14:textId="4514EEEF" w:rsidR="000756EB" w:rsidRDefault="004A4D88" w:rsidP="00C41F1F">
            <w:pPr>
              <w:pStyle w:val="TableCopy"/>
            </w:pPr>
            <w:r>
              <w:t>Amounts</w:t>
            </w:r>
            <w:r w:rsidR="00A03629">
              <w:t xml:space="preserve"> </w:t>
            </w:r>
            <w:r>
              <w:t>payable</w:t>
            </w:r>
            <w:r w:rsidR="00A03629">
              <w:t xml:space="preserve"> </w:t>
            </w:r>
            <w:r>
              <w:t>to</w:t>
            </w:r>
            <w:r w:rsidR="00A03629">
              <w:t xml:space="preserve"> </w:t>
            </w:r>
            <w:r>
              <w:t>government</w:t>
            </w:r>
            <w:r w:rsidR="00A03629">
              <w:rPr>
                <w:rFonts w:ascii="Cambria" w:hAnsi="Cambria" w:cs="Cambria"/>
              </w:rPr>
              <w:t xml:space="preserve"> </w:t>
            </w:r>
            <w:r>
              <w:t>and</w:t>
            </w:r>
            <w:r w:rsidR="00A03629">
              <w:rPr>
                <w:rFonts w:ascii="Cambria" w:hAnsi="Cambria" w:cs="Cambria"/>
              </w:rPr>
              <w:t xml:space="preserve"> </w:t>
            </w:r>
            <w:r>
              <w:t>agencies</w:t>
            </w:r>
          </w:p>
        </w:tc>
        <w:tc>
          <w:tcPr>
            <w:tcW w:w="1109" w:type="dxa"/>
          </w:tcPr>
          <w:p w14:paraId="0711DE16" w14:textId="5DC3AC8F" w:rsidR="000756EB" w:rsidRDefault="004A4D88" w:rsidP="00C41F1F">
            <w:pPr>
              <w:pStyle w:val="TableCopy"/>
              <w:jc w:val="right"/>
            </w:pPr>
            <w:r>
              <w:t>47,639</w:t>
            </w:r>
          </w:p>
        </w:tc>
        <w:tc>
          <w:tcPr>
            <w:tcW w:w="1148" w:type="dxa"/>
          </w:tcPr>
          <w:p w14:paraId="53819BA7" w14:textId="36BFD061" w:rsidR="000756EB" w:rsidRDefault="004A4D88" w:rsidP="00C41F1F">
            <w:pPr>
              <w:pStyle w:val="TableCopy"/>
              <w:jc w:val="right"/>
            </w:pPr>
            <w:r>
              <w:t>47,639</w:t>
            </w:r>
          </w:p>
        </w:tc>
        <w:tc>
          <w:tcPr>
            <w:tcW w:w="1176" w:type="dxa"/>
          </w:tcPr>
          <w:p w14:paraId="2E3D2F35" w14:textId="77A9D853" w:rsidR="000756EB" w:rsidRDefault="004A4D88" w:rsidP="00C41F1F">
            <w:pPr>
              <w:pStyle w:val="TableCopy"/>
              <w:jc w:val="right"/>
            </w:pPr>
            <w:r>
              <w:t>47,639</w:t>
            </w:r>
          </w:p>
        </w:tc>
        <w:tc>
          <w:tcPr>
            <w:tcW w:w="1134" w:type="dxa"/>
          </w:tcPr>
          <w:p w14:paraId="7C48E06A" w14:textId="3A7480B0" w:rsidR="000756EB" w:rsidRDefault="004A4D88" w:rsidP="00C41F1F">
            <w:pPr>
              <w:pStyle w:val="TableCopy"/>
              <w:jc w:val="right"/>
            </w:pPr>
            <w:r>
              <w:t>–</w:t>
            </w:r>
          </w:p>
        </w:tc>
        <w:tc>
          <w:tcPr>
            <w:tcW w:w="1134" w:type="dxa"/>
          </w:tcPr>
          <w:p w14:paraId="12D62C62" w14:textId="2F5AE130" w:rsidR="000756EB" w:rsidRDefault="004A4D88" w:rsidP="00C41F1F">
            <w:pPr>
              <w:pStyle w:val="TableCopy"/>
              <w:jc w:val="right"/>
            </w:pPr>
            <w:r>
              <w:t>–</w:t>
            </w:r>
          </w:p>
        </w:tc>
        <w:tc>
          <w:tcPr>
            <w:tcW w:w="1103" w:type="dxa"/>
          </w:tcPr>
          <w:p w14:paraId="3D717867" w14:textId="0D00E56E" w:rsidR="000756EB" w:rsidRDefault="004A4D88" w:rsidP="00C41F1F">
            <w:pPr>
              <w:pStyle w:val="TableCopy"/>
              <w:jc w:val="right"/>
            </w:pPr>
            <w:r>
              <w:t>–</w:t>
            </w:r>
          </w:p>
        </w:tc>
        <w:tc>
          <w:tcPr>
            <w:tcW w:w="1134" w:type="dxa"/>
          </w:tcPr>
          <w:p w14:paraId="4524E83A" w14:textId="0481CE56" w:rsidR="000756EB" w:rsidRDefault="004A4D88" w:rsidP="00C41F1F">
            <w:pPr>
              <w:pStyle w:val="TableCopy"/>
              <w:jc w:val="right"/>
            </w:pPr>
            <w:r>
              <w:t>–</w:t>
            </w:r>
          </w:p>
        </w:tc>
      </w:tr>
      <w:tr w:rsidR="000756EB" w14:paraId="656CAA7A" w14:textId="77777777" w:rsidTr="00C41F1F">
        <w:trPr>
          <w:trHeight w:val="114"/>
        </w:trPr>
        <w:tc>
          <w:tcPr>
            <w:tcW w:w="2547" w:type="dxa"/>
          </w:tcPr>
          <w:p w14:paraId="43E99B87" w14:textId="6DE088DB" w:rsidR="000756EB" w:rsidRDefault="004A4D88" w:rsidP="00C41F1F">
            <w:pPr>
              <w:pStyle w:val="TableCopy"/>
            </w:pPr>
            <w:r>
              <w:t>Financial</w:t>
            </w:r>
            <w:r w:rsidR="00A03629">
              <w:t xml:space="preserve"> </w:t>
            </w:r>
            <w:r>
              <w:t>guarantees</w:t>
            </w:r>
          </w:p>
        </w:tc>
        <w:tc>
          <w:tcPr>
            <w:tcW w:w="1109" w:type="dxa"/>
          </w:tcPr>
          <w:p w14:paraId="740054BE" w14:textId="02D56CB9" w:rsidR="000756EB" w:rsidRDefault="004A4D88" w:rsidP="00C41F1F">
            <w:pPr>
              <w:pStyle w:val="TableCopy"/>
              <w:jc w:val="right"/>
            </w:pPr>
            <w:r>
              <w:t>48,036</w:t>
            </w:r>
          </w:p>
        </w:tc>
        <w:tc>
          <w:tcPr>
            <w:tcW w:w="1148" w:type="dxa"/>
          </w:tcPr>
          <w:p w14:paraId="4BC000E6" w14:textId="50B8A084" w:rsidR="000756EB" w:rsidRDefault="004A4D88" w:rsidP="00C41F1F">
            <w:pPr>
              <w:pStyle w:val="TableCopy"/>
              <w:jc w:val="right"/>
            </w:pPr>
            <w:r>
              <w:t>57,171</w:t>
            </w:r>
          </w:p>
        </w:tc>
        <w:tc>
          <w:tcPr>
            <w:tcW w:w="1176" w:type="dxa"/>
          </w:tcPr>
          <w:p w14:paraId="1FEF4568" w14:textId="55F2C158" w:rsidR="000756EB" w:rsidRDefault="004A4D88" w:rsidP="00C41F1F">
            <w:pPr>
              <w:pStyle w:val="TableCopy"/>
              <w:jc w:val="right"/>
            </w:pPr>
            <w:r>
              <w:t>575</w:t>
            </w:r>
          </w:p>
        </w:tc>
        <w:tc>
          <w:tcPr>
            <w:tcW w:w="1134" w:type="dxa"/>
          </w:tcPr>
          <w:p w14:paraId="3946760E" w14:textId="5CF03232" w:rsidR="000756EB" w:rsidRDefault="004A4D88" w:rsidP="00C41F1F">
            <w:pPr>
              <w:pStyle w:val="TableCopy"/>
              <w:jc w:val="right"/>
            </w:pPr>
            <w:r>
              <w:t>1,150</w:t>
            </w:r>
          </w:p>
        </w:tc>
        <w:tc>
          <w:tcPr>
            <w:tcW w:w="1134" w:type="dxa"/>
          </w:tcPr>
          <w:p w14:paraId="5F2BD7AB" w14:textId="05C29138" w:rsidR="000756EB" w:rsidRDefault="004A4D88" w:rsidP="00C41F1F">
            <w:pPr>
              <w:pStyle w:val="TableCopy"/>
              <w:jc w:val="right"/>
            </w:pPr>
            <w:r>
              <w:t>5,186</w:t>
            </w:r>
          </w:p>
        </w:tc>
        <w:tc>
          <w:tcPr>
            <w:tcW w:w="1103" w:type="dxa"/>
          </w:tcPr>
          <w:p w14:paraId="2FFD9A22" w14:textId="1449B7C9" w:rsidR="000756EB" w:rsidRDefault="004A4D88" w:rsidP="00C41F1F">
            <w:pPr>
              <w:pStyle w:val="TableCopy"/>
              <w:jc w:val="right"/>
            </w:pPr>
            <w:r>
              <w:t>24,000</w:t>
            </w:r>
          </w:p>
        </w:tc>
        <w:tc>
          <w:tcPr>
            <w:tcW w:w="1134" w:type="dxa"/>
          </w:tcPr>
          <w:p w14:paraId="2F0ECA1E" w14:textId="6B1C5476" w:rsidR="000756EB" w:rsidRDefault="004A4D88" w:rsidP="00C41F1F">
            <w:pPr>
              <w:pStyle w:val="TableCopy"/>
              <w:jc w:val="right"/>
            </w:pPr>
            <w:r>
              <w:t>26,260</w:t>
            </w:r>
          </w:p>
        </w:tc>
      </w:tr>
      <w:tr w:rsidR="000756EB" w14:paraId="09F0B801" w14:textId="77777777" w:rsidTr="00C41F1F">
        <w:trPr>
          <w:trHeight w:val="114"/>
        </w:trPr>
        <w:tc>
          <w:tcPr>
            <w:tcW w:w="2547" w:type="dxa"/>
          </w:tcPr>
          <w:p w14:paraId="14D4F266" w14:textId="53ADB13C" w:rsidR="000756EB" w:rsidRDefault="004A4D88" w:rsidP="00C41F1F">
            <w:pPr>
              <w:pStyle w:val="TableCopy"/>
            </w:pPr>
            <w:r>
              <w:t>Unearned</w:t>
            </w:r>
            <w:r w:rsidR="00A03629">
              <w:t xml:space="preserve"> </w:t>
            </w:r>
            <w:r>
              <w:t>income</w:t>
            </w:r>
          </w:p>
        </w:tc>
        <w:tc>
          <w:tcPr>
            <w:tcW w:w="1109" w:type="dxa"/>
          </w:tcPr>
          <w:p w14:paraId="4863F1FF" w14:textId="38E126C8" w:rsidR="000756EB" w:rsidRDefault="004A4D88" w:rsidP="00C41F1F">
            <w:pPr>
              <w:pStyle w:val="TableCopy"/>
              <w:jc w:val="right"/>
            </w:pPr>
            <w:r>
              <w:t>2,354</w:t>
            </w:r>
          </w:p>
        </w:tc>
        <w:tc>
          <w:tcPr>
            <w:tcW w:w="1148" w:type="dxa"/>
          </w:tcPr>
          <w:p w14:paraId="3D478D4B" w14:textId="3099A07F" w:rsidR="000756EB" w:rsidRDefault="004A4D88" w:rsidP="00C41F1F">
            <w:pPr>
              <w:pStyle w:val="TableCopy"/>
              <w:jc w:val="right"/>
            </w:pPr>
            <w:r>
              <w:t>2,409</w:t>
            </w:r>
          </w:p>
        </w:tc>
        <w:tc>
          <w:tcPr>
            <w:tcW w:w="1176" w:type="dxa"/>
          </w:tcPr>
          <w:p w14:paraId="7D043EEC" w14:textId="10AEF9D0" w:rsidR="000756EB" w:rsidRDefault="004A4D88" w:rsidP="00C41F1F">
            <w:pPr>
              <w:pStyle w:val="TableCopy"/>
              <w:jc w:val="right"/>
            </w:pPr>
            <w:r>
              <w:t>2,409</w:t>
            </w:r>
          </w:p>
        </w:tc>
        <w:tc>
          <w:tcPr>
            <w:tcW w:w="1134" w:type="dxa"/>
          </w:tcPr>
          <w:p w14:paraId="26EEEB48" w14:textId="0B3D9616" w:rsidR="000756EB" w:rsidRDefault="004A4D88" w:rsidP="00C41F1F">
            <w:pPr>
              <w:pStyle w:val="TableCopy"/>
              <w:jc w:val="right"/>
            </w:pPr>
            <w:r>
              <w:t>–</w:t>
            </w:r>
          </w:p>
        </w:tc>
        <w:tc>
          <w:tcPr>
            <w:tcW w:w="1134" w:type="dxa"/>
          </w:tcPr>
          <w:p w14:paraId="36C4F343" w14:textId="02C4CE95" w:rsidR="000756EB" w:rsidRDefault="004A4D88" w:rsidP="00C41F1F">
            <w:pPr>
              <w:pStyle w:val="TableCopy"/>
              <w:jc w:val="right"/>
            </w:pPr>
            <w:r>
              <w:t>–</w:t>
            </w:r>
          </w:p>
        </w:tc>
        <w:tc>
          <w:tcPr>
            <w:tcW w:w="1103" w:type="dxa"/>
          </w:tcPr>
          <w:p w14:paraId="3CB51D78" w14:textId="559188D3" w:rsidR="000756EB" w:rsidRDefault="004A4D88" w:rsidP="00C41F1F">
            <w:pPr>
              <w:pStyle w:val="TableCopy"/>
              <w:jc w:val="right"/>
            </w:pPr>
            <w:r>
              <w:t>–</w:t>
            </w:r>
          </w:p>
        </w:tc>
        <w:tc>
          <w:tcPr>
            <w:tcW w:w="1134" w:type="dxa"/>
          </w:tcPr>
          <w:p w14:paraId="0B384D0E" w14:textId="2F9492FC" w:rsidR="000756EB" w:rsidRDefault="004A4D88" w:rsidP="00C41F1F">
            <w:pPr>
              <w:pStyle w:val="TableCopy"/>
              <w:jc w:val="right"/>
            </w:pPr>
            <w:r>
              <w:t>–</w:t>
            </w:r>
          </w:p>
        </w:tc>
      </w:tr>
      <w:tr w:rsidR="000756EB" w14:paraId="5CC4B9F0" w14:textId="77777777" w:rsidTr="00C41F1F">
        <w:trPr>
          <w:trHeight w:val="114"/>
        </w:trPr>
        <w:tc>
          <w:tcPr>
            <w:tcW w:w="2547" w:type="dxa"/>
          </w:tcPr>
          <w:p w14:paraId="72CFAE64" w14:textId="774ECAF5" w:rsidR="000756EB" w:rsidRDefault="004A4D88" w:rsidP="00C41F1F">
            <w:pPr>
              <w:pStyle w:val="TableCopy"/>
            </w:pPr>
            <w:r>
              <w:t>Accrued</w:t>
            </w:r>
            <w:r w:rsidR="00A03629">
              <w:t xml:space="preserve"> </w:t>
            </w:r>
            <w:r>
              <w:t>grants</w:t>
            </w:r>
          </w:p>
        </w:tc>
        <w:tc>
          <w:tcPr>
            <w:tcW w:w="1109" w:type="dxa"/>
          </w:tcPr>
          <w:p w14:paraId="24621CBA" w14:textId="71D7A85B" w:rsidR="000756EB" w:rsidRDefault="004A4D88" w:rsidP="00C41F1F">
            <w:pPr>
              <w:pStyle w:val="TableCopy"/>
              <w:jc w:val="right"/>
            </w:pPr>
            <w:r>
              <w:t>184,968</w:t>
            </w:r>
          </w:p>
        </w:tc>
        <w:tc>
          <w:tcPr>
            <w:tcW w:w="1148" w:type="dxa"/>
          </w:tcPr>
          <w:p w14:paraId="62F4E2B6" w14:textId="7962B0F4" w:rsidR="000756EB" w:rsidRDefault="004A4D88" w:rsidP="00C41F1F">
            <w:pPr>
              <w:pStyle w:val="TableCopy"/>
              <w:jc w:val="right"/>
            </w:pPr>
            <w:r>
              <w:t>184,968</w:t>
            </w:r>
          </w:p>
        </w:tc>
        <w:tc>
          <w:tcPr>
            <w:tcW w:w="1176" w:type="dxa"/>
          </w:tcPr>
          <w:p w14:paraId="67AA4378" w14:textId="5A2B7142" w:rsidR="000756EB" w:rsidRDefault="004A4D88" w:rsidP="00C41F1F">
            <w:pPr>
              <w:pStyle w:val="TableCopy"/>
              <w:jc w:val="right"/>
            </w:pPr>
            <w:r>
              <w:t>184,968</w:t>
            </w:r>
          </w:p>
        </w:tc>
        <w:tc>
          <w:tcPr>
            <w:tcW w:w="1134" w:type="dxa"/>
          </w:tcPr>
          <w:p w14:paraId="09EB4D41" w14:textId="00110516" w:rsidR="000756EB" w:rsidRDefault="004A4D88" w:rsidP="00C41F1F">
            <w:pPr>
              <w:pStyle w:val="TableCopy"/>
              <w:jc w:val="right"/>
            </w:pPr>
            <w:r>
              <w:t>–</w:t>
            </w:r>
          </w:p>
        </w:tc>
        <w:tc>
          <w:tcPr>
            <w:tcW w:w="1134" w:type="dxa"/>
          </w:tcPr>
          <w:p w14:paraId="22FF775A" w14:textId="264CBA7F" w:rsidR="000756EB" w:rsidRDefault="004A4D88" w:rsidP="00C41F1F">
            <w:pPr>
              <w:pStyle w:val="TableCopy"/>
              <w:jc w:val="right"/>
            </w:pPr>
            <w:r>
              <w:t>–</w:t>
            </w:r>
          </w:p>
        </w:tc>
        <w:tc>
          <w:tcPr>
            <w:tcW w:w="1103" w:type="dxa"/>
          </w:tcPr>
          <w:p w14:paraId="3D928F23" w14:textId="2C8F6895" w:rsidR="000756EB" w:rsidRDefault="004A4D88" w:rsidP="00C41F1F">
            <w:pPr>
              <w:pStyle w:val="TableCopy"/>
              <w:jc w:val="right"/>
            </w:pPr>
            <w:r>
              <w:t>–</w:t>
            </w:r>
          </w:p>
        </w:tc>
        <w:tc>
          <w:tcPr>
            <w:tcW w:w="1134" w:type="dxa"/>
          </w:tcPr>
          <w:p w14:paraId="3A8A0A95" w14:textId="230B0826" w:rsidR="000756EB" w:rsidRDefault="004A4D88" w:rsidP="00C41F1F">
            <w:pPr>
              <w:pStyle w:val="TableCopy"/>
              <w:jc w:val="right"/>
            </w:pPr>
            <w:r>
              <w:t>–</w:t>
            </w:r>
          </w:p>
        </w:tc>
      </w:tr>
      <w:tr w:rsidR="000756EB" w14:paraId="781D5D0E" w14:textId="77777777" w:rsidTr="00C41F1F">
        <w:trPr>
          <w:trHeight w:val="114"/>
        </w:trPr>
        <w:tc>
          <w:tcPr>
            <w:tcW w:w="2547" w:type="dxa"/>
          </w:tcPr>
          <w:p w14:paraId="021E14CB" w14:textId="3C906C8D" w:rsidR="000756EB" w:rsidRDefault="004A4D88" w:rsidP="00C41F1F">
            <w:pPr>
              <w:pStyle w:val="TableCopy"/>
              <w:keepNext/>
            </w:pPr>
            <w:r>
              <w:lastRenderedPageBreak/>
              <w:t>Other</w:t>
            </w:r>
            <w:r w:rsidR="00A03629">
              <w:t xml:space="preserve"> </w:t>
            </w:r>
            <w:r>
              <w:t>payables</w:t>
            </w:r>
          </w:p>
        </w:tc>
        <w:tc>
          <w:tcPr>
            <w:tcW w:w="1109" w:type="dxa"/>
          </w:tcPr>
          <w:p w14:paraId="571052BD" w14:textId="79445E36" w:rsidR="000756EB" w:rsidRDefault="004A4D88" w:rsidP="00C41F1F">
            <w:pPr>
              <w:pStyle w:val="TableCopy"/>
              <w:keepNext/>
              <w:jc w:val="right"/>
            </w:pPr>
            <w:r>
              <w:t>13,203</w:t>
            </w:r>
          </w:p>
        </w:tc>
        <w:tc>
          <w:tcPr>
            <w:tcW w:w="1148" w:type="dxa"/>
          </w:tcPr>
          <w:p w14:paraId="2842EFD6" w14:textId="4EDF379A" w:rsidR="000756EB" w:rsidRDefault="004A4D88" w:rsidP="00C41F1F">
            <w:pPr>
              <w:pStyle w:val="TableCopy"/>
              <w:keepNext/>
              <w:jc w:val="right"/>
            </w:pPr>
            <w:r>
              <w:t>13,203</w:t>
            </w:r>
          </w:p>
        </w:tc>
        <w:tc>
          <w:tcPr>
            <w:tcW w:w="1176" w:type="dxa"/>
          </w:tcPr>
          <w:p w14:paraId="2AF7A0B0" w14:textId="6464DDB1" w:rsidR="000756EB" w:rsidRDefault="004A4D88" w:rsidP="00C41F1F">
            <w:pPr>
              <w:pStyle w:val="TableCopy"/>
              <w:keepNext/>
              <w:jc w:val="right"/>
            </w:pPr>
            <w:r>
              <w:t>12,183</w:t>
            </w:r>
          </w:p>
        </w:tc>
        <w:tc>
          <w:tcPr>
            <w:tcW w:w="1134" w:type="dxa"/>
          </w:tcPr>
          <w:p w14:paraId="78DC3F66" w14:textId="032D7FE0" w:rsidR="000756EB" w:rsidRDefault="004A4D88" w:rsidP="00C41F1F">
            <w:pPr>
              <w:pStyle w:val="TableCopy"/>
              <w:keepNext/>
              <w:jc w:val="right"/>
            </w:pPr>
            <w:r>
              <w:t>–</w:t>
            </w:r>
          </w:p>
        </w:tc>
        <w:tc>
          <w:tcPr>
            <w:tcW w:w="1134" w:type="dxa"/>
          </w:tcPr>
          <w:p w14:paraId="3479267D" w14:textId="3102B730" w:rsidR="000756EB" w:rsidRDefault="004A4D88" w:rsidP="00C41F1F">
            <w:pPr>
              <w:pStyle w:val="TableCopy"/>
              <w:keepNext/>
              <w:jc w:val="right"/>
            </w:pPr>
            <w:r>
              <w:t>–</w:t>
            </w:r>
          </w:p>
        </w:tc>
        <w:tc>
          <w:tcPr>
            <w:tcW w:w="1103" w:type="dxa"/>
          </w:tcPr>
          <w:p w14:paraId="26C65BC2" w14:textId="503A7BED" w:rsidR="000756EB" w:rsidRDefault="004A4D88" w:rsidP="00C41F1F">
            <w:pPr>
              <w:pStyle w:val="TableCopy"/>
              <w:keepNext/>
              <w:jc w:val="right"/>
            </w:pPr>
            <w:r>
              <w:t>1,020</w:t>
            </w:r>
          </w:p>
        </w:tc>
        <w:tc>
          <w:tcPr>
            <w:tcW w:w="1134" w:type="dxa"/>
          </w:tcPr>
          <w:p w14:paraId="22BAECDB" w14:textId="1B25DF7F" w:rsidR="000756EB" w:rsidRDefault="004A4D88" w:rsidP="00C41F1F">
            <w:pPr>
              <w:pStyle w:val="TableCopy"/>
              <w:keepNext/>
              <w:jc w:val="right"/>
            </w:pPr>
            <w:r>
              <w:t>–</w:t>
            </w:r>
          </w:p>
        </w:tc>
      </w:tr>
      <w:tr w:rsidR="000756EB" w:rsidRPr="00C41F1F" w14:paraId="2949E79E" w14:textId="77777777" w:rsidTr="00C41F1F">
        <w:trPr>
          <w:trHeight w:val="114"/>
        </w:trPr>
        <w:tc>
          <w:tcPr>
            <w:tcW w:w="2547" w:type="dxa"/>
          </w:tcPr>
          <w:p w14:paraId="1987D793" w14:textId="6CD25D81" w:rsidR="000756EB" w:rsidRPr="00C41F1F" w:rsidRDefault="004A4D88" w:rsidP="00C41F1F">
            <w:pPr>
              <w:pStyle w:val="TableCopy"/>
              <w:rPr>
                <w:b/>
                <w:bCs/>
              </w:rPr>
            </w:pPr>
            <w:r w:rsidRPr="00C41F1F">
              <w:rPr>
                <w:b/>
                <w:bCs/>
              </w:rPr>
              <w:t>Total</w:t>
            </w:r>
            <w:r w:rsidR="00A03629" w:rsidRPr="00C41F1F">
              <w:rPr>
                <w:b/>
                <w:bCs/>
              </w:rPr>
              <w:t xml:space="preserve"> </w:t>
            </w:r>
          </w:p>
        </w:tc>
        <w:tc>
          <w:tcPr>
            <w:tcW w:w="1109" w:type="dxa"/>
          </w:tcPr>
          <w:p w14:paraId="0B65F50D" w14:textId="16FBCA4E" w:rsidR="000756EB" w:rsidRPr="00C41F1F" w:rsidRDefault="004A4D88" w:rsidP="00C41F1F">
            <w:pPr>
              <w:pStyle w:val="TableCopy"/>
              <w:jc w:val="right"/>
              <w:rPr>
                <w:b/>
                <w:bCs/>
              </w:rPr>
            </w:pPr>
            <w:r w:rsidRPr="00C41F1F">
              <w:rPr>
                <w:b/>
                <w:bCs/>
              </w:rPr>
              <w:t>382,224</w:t>
            </w:r>
          </w:p>
        </w:tc>
        <w:tc>
          <w:tcPr>
            <w:tcW w:w="1148" w:type="dxa"/>
          </w:tcPr>
          <w:p w14:paraId="6176B49C" w14:textId="548CCA88" w:rsidR="000756EB" w:rsidRPr="00C41F1F" w:rsidRDefault="004A4D88" w:rsidP="00C41F1F">
            <w:pPr>
              <w:pStyle w:val="TableCopy"/>
              <w:jc w:val="right"/>
              <w:rPr>
                <w:b/>
                <w:bCs/>
              </w:rPr>
            </w:pPr>
            <w:r w:rsidRPr="00C41F1F">
              <w:rPr>
                <w:b/>
                <w:bCs/>
              </w:rPr>
              <w:t>391,414</w:t>
            </w:r>
          </w:p>
        </w:tc>
        <w:tc>
          <w:tcPr>
            <w:tcW w:w="1176" w:type="dxa"/>
          </w:tcPr>
          <w:p w14:paraId="21FBAA0D" w14:textId="3842A616" w:rsidR="000756EB" w:rsidRPr="00C41F1F" w:rsidRDefault="004A4D88" w:rsidP="00C41F1F">
            <w:pPr>
              <w:pStyle w:val="TableCopy"/>
              <w:jc w:val="right"/>
              <w:rPr>
                <w:b/>
                <w:bCs/>
              </w:rPr>
            </w:pPr>
            <w:r w:rsidRPr="00C41F1F">
              <w:rPr>
                <w:b/>
                <w:bCs/>
              </w:rPr>
              <w:t>333,798</w:t>
            </w:r>
          </w:p>
        </w:tc>
        <w:tc>
          <w:tcPr>
            <w:tcW w:w="1134" w:type="dxa"/>
          </w:tcPr>
          <w:p w14:paraId="4EB78558" w14:textId="6FEA7C4C" w:rsidR="000756EB" w:rsidRPr="00C41F1F" w:rsidRDefault="004A4D88" w:rsidP="00C41F1F">
            <w:pPr>
              <w:pStyle w:val="TableCopy"/>
              <w:jc w:val="right"/>
              <w:rPr>
                <w:b/>
                <w:bCs/>
              </w:rPr>
            </w:pPr>
            <w:r w:rsidRPr="00C41F1F">
              <w:rPr>
                <w:b/>
                <w:bCs/>
              </w:rPr>
              <w:t>1,150</w:t>
            </w:r>
          </w:p>
        </w:tc>
        <w:tc>
          <w:tcPr>
            <w:tcW w:w="1134" w:type="dxa"/>
          </w:tcPr>
          <w:p w14:paraId="71836BE4" w14:textId="11AF5571" w:rsidR="000756EB" w:rsidRPr="00C41F1F" w:rsidRDefault="004A4D88" w:rsidP="00C41F1F">
            <w:pPr>
              <w:pStyle w:val="TableCopy"/>
              <w:jc w:val="right"/>
              <w:rPr>
                <w:b/>
                <w:bCs/>
              </w:rPr>
            </w:pPr>
            <w:r w:rsidRPr="00C41F1F">
              <w:rPr>
                <w:b/>
                <w:bCs/>
              </w:rPr>
              <w:t>5,186</w:t>
            </w:r>
          </w:p>
        </w:tc>
        <w:tc>
          <w:tcPr>
            <w:tcW w:w="1103" w:type="dxa"/>
          </w:tcPr>
          <w:p w14:paraId="59CEEB62" w14:textId="0E6D7DD6" w:rsidR="000756EB" w:rsidRPr="00C41F1F" w:rsidRDefault="004A4D88" w:rsidP="00C41F1F">
            <w:pPr>
              <w:pStyle w:val="TableCopy"/>
              <w:jc w:val="right"/>
              <w:rPr>
                <w:b/>
                <w:bCs/>
              </w:rPr>
            </w:pPr>
            <w:r w:rsidRPr="00C41F1F">
              <w:rPr>
                <w:b/>
                <w:bCs/>
              </w:rPr>
              <w:t>25,020</w:t>
            </w:r>
          </w:p>
        </w:tc>
        <w:tc>
          <w:tcPr>
            <w:tcW w:w="1134" w:type="dxa"/>
          </w:tcPr>
          <w:p w14:paraId="7228FB9F" w14:textId="19812D8C" w:rsidR="000756EB" w:rsidRPr="00C41F1F" w:rsidRDefault="004A4D88" w:rsidP="00C41F1F">
            <w:pPr>
              <w:pStyle w:val="TableCopy"/>
              <w:jc w:val="right"/>
              <w:rPr>
                <w:b/>
                <w:bCs/>
              </w:rPr>
            </w:pPr>
            <w:r w:rsidRPr="00C41F1F">
              <w:rPr>
                <w:b/>
                <w:bCs/>
              </w:rPr>
              <w:t>26,260</w:t>
            </w:r>
          </w:p>
        </w:tc>
      </w:tr>
    </w:tbl>
    <w:p w14:paraId="1D655E6A" w14:textId="77777777" w:rsidR="00C41F1F" w:rsidRPr="00D05F44" w:rsidRDefault="00C41F1F" w:rsidP="00D05F44">
      <w:pPr>
        <w:pStyle w:val="FootnoteText"/>
        <w:spacing w:before="120"/>
      </w:pPr>
      <w:r w:rsidRPr="00D05F44">
        <w:t xml:space="preserve">Note: </w:t>
      </w:r>
    </w:p>
    <w:p w14:paraId="3297AA13" w14:textId="665EF3B8" w:rsidR="000756EB" w:rsidRDefault="00C41F1F" w:rsidP="00C41F1F">
      <w:pPr>
        <w:pStyle w:val="FootnoteText"/>
        <w:spacing w:after="280"/>
      </w:pPr>
      <w:r>
        <w:t>(</w:t>
      </w:r>
      <w:proofErr w:type="spellStart"/>
      <w:r>
        <w:t>i</w:t>
      </w:r>
      <w:proofErr w:type="spellEnd"/>
      <w:r>
        <w:t>) Maturity analysis is presented using the contractual undiscounted cash flows.</w:t>
      </w:r>
    </w:p>
    <w:p w14:paraId="48FF8FCD" w14:textId="78C312C1" w:rsidR="000756EB" w:rsidRDefault="004A4D88" w:rsidP="00C41F1F">
      <w:pPr>
        <w:pStyle w:val="Heading2"/>
      </w:pPr>
      <w:bookmarkStart w:id="82" w:name="_Toc149911821"/>
      <w:r>
        <w:t>6.3</w:t>
      </w:r>
      <w:r w:rsidR="00DE38B5">
        <w:t xml:space="preserve"> </w:t>
      </w:r>
      <w:r>
        <w:t>Other</w:t>
      </w:r>
      <w:r w:rsidR="00A03629">
        <w:t xml:space="preserve"> </w:t>
      </w:r>
      <w:r>
        <w:t>non-financial</w:t>
      </w:r>
      <w:r w:rsidR="00A03629">
        <w:t xml:space="preserve"> </w:t>
      </w:r>
      <w:r>
        <w:t>assets</w:t>
      </w:r>
      <w:bookmarkEnd w:id="82"/>
      <w:r w:rsidR="00A03629">
        <w:t xml:space="preserve"> </w:t>
      </w:r>
    </w:p>
    <w:p w14:paraId="0F3C9832" w14:textId="0470AF45" w:rsidR="000756EB" w:rsidRPr="00C41F1F" w:rsidRDefault="004A4D88" w:rsidP="00C41F1F">
      <w:pPr>
        <w:pStyle w:val="Normalbeforebullets"/>
        <w:rPr>
          <w:b/>
          <w:bCs/>
        </w:rPr>
      </w:pPr>
      <w:r w:rsidRPr="00C41F1F">
        <w:rPr>
          <w:b/>
          <w:bCs/>
        </w:rPr>
        <w:t>Current</w:t>
      </w:r>
      <w:r w:rsidR="00A03629" w:rsidRPr="00C41F1F">
        <w:rPr>
          <w:b/>
          <w:bCs/>
        </w:rPr>
        <w:t xml:space="preserve"> </w:t>
      </w:r>
      <w:r w:rsidRPr="00C41F1F">
        <w:rPr>
          <w:b/>
          <w:bCs/>
        </w:rPr>
        <w:t>other</w:t>
      </w:r>
      <w:r w:rsidR="00A03629" w:rsidRPr="00C41F1F">
        <w:rPr>
          <w:b/>
          <w:bCs/>
        </w:rPr>
        <w:t xml:space="preserve"> </w:t>
      </w:r>
      <w:r w:rsidRPr="00C41F1F">
        <w:rPr>
          <w:b/>
          <w:bCs/>
        </w:rPr>
        <w:t>non-financial</w:t>
      </w:r>
      <w:r w:rsidR="00A03629" w:rsidRPr="00C41F1F">
        <w:rPr>
          <w:b/>
          <w:bCs/>
        </w:rPr>
        <w:t xml:space="preserve"> </w:t>
      </w:r>
      <w:r w:rsidRPr="00C41F1F">
        <w:rPr>
          <w:b/>
          <w:bCs/>
        </w:rPr>
        <w:t>assets</w:t>
      </w:r>
    </w:p>
    <w:tbl>
      <w:tblPr>
        <w:tblStyle w:val="TableGrid"/>
        <w:tblW w:w="10343" w:type="dxa"/>
        <w:tblLayout w:type="fixed"/>
        <w:tblLook w:val="0020" w:firstRow="1" w:lastRow="0" w:firstColumn="0" w:lastColumn="0" w:noHBand="0" w:noVBand="0"/>
      </w:tblPr>
      <w:tblGrid>
        <w:gridCol w:w="5556"/>
        <w:gridCol w:w="1361"/>
        <w:gridCol w:w="1713"/>
        <w:gridCol w:w="1713"/>
      </w:tblGrid>
      <w:tr w:rsidR="000756EB" w:rsidRPr="00C41F1F" w14:paraId="60A0422D" w14:textId="77777777" w:rsidTr="00C41F1F">
        <w:trPr>
          <w:trHeight w:val="114"/>
        </w:trPr>
        <w:tc>
          <w:tcPr>
            <w:tcW w:w="5556" w:type="dxa"/>
          </w:tcPr>
          <w:p w14:paraId="1B53FC7E" w14:textId="77777777" w:rsidR="000756EB" w:rsidRPr="00C41F1F" w:rsidRDefault="000756EB" w:rsidP="00C41F1F">
            <w:pPr>
              <w:pStyle w:val="TableColumnHeading"/>
            </w:pPr>
            <w:bookmarkStart w:id="83" w:name="ColumnTitles_49"/>
            <w:bookmarkEnd w:id="83"/>
          </w:p>
        </w:tc>
        <w:tc>
          <w:tcPr>
            <w:tcW w:w="1361" w:type="dxa"/>
          </w:tcPr>
          <w:p w14:paraId="000A33FC" w14:textId="77777777" w:rsidR="000756EB" w:rsidRPr="00C41F1F" w:rsidRDefault="004A4D88" w:rsidP="00C41F1F">
            <w:pPr>
              <w:pStyle w:val="TableColumnHeading"/>
              <w:jc w:val="right"/>
            </w:pPr>
            <w:r w:rsidRPr="00C41F1F">
              <w:t>Note</w:t>
            </w:r>
          </w:p>
        </w:tc>
        <w:tc>
          <w:tcPr>
            <w:tcW w:w="1713" w:type="dxa"/>
          </w:tcPr>
          <w:p w14:paraId="22790598" w14:textId="16A1D5D4" w:rsidR="000756EB" w:rsidRPr="00C41F1F" w:rsidRDefault="004A4D88" w:rsidP="00C41F1F">
            <w:pPr>
              <w:pStyle w:val="TableColumnHeading"/>
              <w:jc w:val="right"/>
            </w:pPr>
            <w:r w:rsidRPr="00C41F1F">
              <w:t>2023</w:t>
            </w:r>
            <w:r w:rsidR="00A03629" w:rsidRPr="00C41F1F">
              <w:t xml:space="preserve"> </w:t>
            </w:r>
            <w:r w:rsidR="00C41F1F" w:rsidRPr="00C41F1F">
              <w:t>($</w:t>
            </w:r>
            <w:r w:rsidR="00C41F1F">
              <w:t> </w:t>
            </w:r>
            <w:r w:rsidR="00C41F1F" w:rsidRPr="00C41F1F">
              <w:t>thousand)</w:t>
            </w:r>
          </w:p>
        </w:tc>
        <w:tc>
          <w:tcPr>
            <w:tcW w:w="1713" w:type="dxa"/>
          </w:tcPr>
          <w:p w14:paraId="17D850CB" w14:textId="3D93D204" w:rsidR="000756EB" w:rsidRPr="00C41F1F" w:rsidRDefault="004A4D88" w:rsidP="00C41F1F">
            <w:pPr>
              <w:pStyle w:val="TableColumnHeading"/>
              <w:jc w:val="right"/>
            </w:pPr>
            <w:r w:rsidRPr="00C41F1F">
              <w:t>2022</w:t>
            </w:r>
            <w:r w:rsidR="00C41F1F">
              <w:t xml:space="preserve"> </w:t>
            </w:r>
            <w:r w:rsidR="00C41F1F" w:rsidRPr="00C41F1F">
              <w:t>($</w:t>
            </w:r>
            <w:r w:rsidR="00C41F1F">
              <w:t> </w:t>
            </w:r>
            <w:r w:rsidR="00C41F1F" w:rsidRPr="00C41F1F">
              <w:t>thousand)</w:t>
            </w:r>
          </w:p>
        </w:tc>
      </w:tr>
      <w:tr w:rsidR="000756EB" w14:paraId="6FB07BE2" w14:textId="77777777" w:rsidTr="00C41F1F">
        <w:trPr>
          <w:trHeight w:val="114"/>
        </w:trPr>
        <w:tc>
          <w:tcPr>
            <w:tcW w:w="5556" w:type="dxa"/>
          </w:tcPr>
          <w:p w14:paraId="7F17AEA8" w14:textId="77777777" w:rsidR="000756EB" w:rsidRDefault="004A4D88" w:rsidP="00C41F1F">
            <w:pPr>
              <w:pStyle w:val="TableCopy"/>
            </w:pPr>
            <w:r>
              <w:t>Prepayments</w:t>
            </w:r>
          </w:p>
        </w:tc>
        <w:tc>
          <w:tcPr>
            <w:tcW w:w="1361" w:type="dxa"/>
          </w:tcPr>
          <w:p w14:paraId="4A945BF7" w14:textId="77777777" w:rsidR="000756EB" w:rsidRDefault="000756EB" w:rsidP="00C41F1F">
            <w:pPr>
              <w:pStyle w:val="TableCopy"/>
              <w:jc w:val="right"/>
              <w:rPr>
                <w:rFonts w:cstheme="minorBidi"/>
                <w:lang w:val="en-AU"/>
              </w:rPr>
            </w:pPr>
          </w:p>
        </w:tc>
        <w:tc>
          <w:tcPr>
            <w:tcW w:w="1713" w:type="dxa"/>
          </w:tcPr>
          <w:p w14:paraId="3898F32A" w14:textId="0BBD0D2F" w:rsidR="000756EB" w:rsidRDefault="004A4D88" w:rsidP="00C41F1F">
            <w:pPr>
              <w:pStyle w:val="TableCopy"/>
              <w:jc w:val="right"/>
            </w:pPr>
            <w:r>
              <w:t>2,898</w:t>
            </w:r>
          </w:p>
        </w:tc>
        <w:tc>
          <w:tcPr>
            <w:tcW w:w="1713" w:type="dxa"/>
          </w:tcPr>
          <w:p w14:paraId="5EB56354" w14:textId="6EAF75D3" w:rsidR="000756EB" w:rsidRDefault="004A4D88" w:rsidP="00C41F1F">
            <w:pPr>
              <w:pStyle w:val="TableCopy"/>
              <w:jc w:val="right"/>
            </w:pPr>
            <w:r>
              <w:t>6,440</w:t>
            </w:r>
          </w:p>
        </w:tc>
      </w:tr>
      <w:tr w:rsidR="000756EB" w14:paraId="27E0149E" w14:textId="77777777" w:rsidTr="00C41F1F">
        <w:trPr>
          <w:trHeight w:val="114"/>
        </w:trPr>
        <w:tc>
          <w:tcPr>
            <w:tcW w:w="5556" w:type="dxa"/>
          </w:tcPr>
          <w:p w14:paraId="608D7C4B" w14:textId="77777777" w:rsidR="000756EB" w:rsidRDefault="004A4D88" w:rsidP="00C41F1F">
            <w:pPr>
              <w:pStyle w:val="TableCopy"/>
            </w:pPr>
            <w:r>
              <w:t>Inventories</w:t>
            </w:r>
          </w:p>
        </w:tc>
        <w:tc>
          <w:tcPr>
            <w:tcW w:w="1361" w:type="dxa"/>
          </w:tcPr>
          <w:p w14:paraId="2EE6385E" w14:textId="77777777" w:rsidR="000756EB" w:rsidRDefault="000756EB" w:rsidP="00C41F1F">
            <w:pPr>
              <w:pStyle w:val="TableCopy"/>
              <w:jc w:val="right"/>
              <w:rPr>
                <w:rFonts w:cstheme="minorBidi"/>
                <w:lang w:val="en-AU"/>
              </w:rPr>
            </w:pPr>
          </w:p>
        </w:tc>
        <w:tc>
          <w:tcPr>
            <w:tcW w:w="1713" w:type="dxa"/>
          </w:tcPr>
          <w:p w14:paraId="510D2FEF" w14:textId="53BC002B" w:rsidR="000756EB" w:rsidRDefault="004A4D88" w:rsidP="00C41F1F">
            <w:pPr>
              <w:pStyle w:val="TableCopy"/>
              <w:jc w:val="right"/>
            </w:pPr>
            <w:r>
              <w:t>–</w:t>
            </w:r>
          </w:p>
        </w:tc>
        <w:tc>
          <w:tcPr>
            <w:tcW w:w="1713" w:type="dxa"/>
          </w:tcPr>
          <w:p w14:paraId="01F4D01A" w14:textId="6E5F648F" w:rsidR="000756EB" w:rsidRDefault="004A4D88" w:rsidP="00C41F1F">
            <w:pPr>
              <w:pStyle w:val="TableCopy"/>
              <w:jc w:val="right"/>
            </w:pPr>
            <w:r>
              <w:t>369</w:t>
            </w:r>
          </w:p>
        </w:tc>
      </w:tr>
      <w:tr w:rsidR="000756EB" w14:paraId="729A8217" w14:textId="77777777" w:rsidTr="00C41F1F">
        <w:trPr>
          <w:trHeight w:val="114"/>
        </w:trPr>
        <w:tc>
          <w:tcPr>
            <w:tcW w:w="5556" w:type="dxa"/>
          </w:tcPr>
          <w:p w14:paraId="5A83BA74" w14:textId="7DE46F17" w:rsidR="000756EB" w:rsidRDefault="004A4D88" w:rsidP="00C41F1F">
            <w:pPr>
              <w:pStyle w:val="TableCopy"/>
            </w:pPr>
            <w:r>
              <w:t>Non-financial</w:t>
            </w:r>
            <w:r w:rsidR="00A03629">
              <w:t xml:space="preserve"> </w:t>
            </w:r>
            <w:r>
              <w:t>assets</w:t>
            </w:r>
            <w:r w:rsidR="00A03629">
              <w:t xml:space="preserve"> </w:t>
            </w:r>
            <w:r>
              <w:t>held</w:t>
            </w:r>
            <w:r w:rsidR="00A03629">
              <w:t xml:space="preserve"> </w:t>
            </w:r>
            <w:r>
              <w:t>for</w:t>
            </w:r>
            <w:r w:rsidR="00A03629">
              <w:t xml:space="preserve"> </w:t>
            </w:r>
            <w:r>
              <w:t>sale</w:t>
            </w:r>
          </w:p>
        </w:tc>
        <w:tc>
          <w:tcPr>
            <w:tcW w:w="1361" w:type="dxa"/>
          </w:tcPr>
          <w:p w14:paraId="0A94E8CF" w14:textId="77777777" w:rsidR="000756EB" w:rsidRDefault="004A4D88" w:rsidP="00C41F1F">
            <w:pPr>
              <w:pStyle w:val="TableCopy"/>
              <w:jc w:val="right"/>
            </w:pPr>
            <w:r>
              <w:t>9.3</w:t>
            </w:r>
          </w:p>
        </w:tc>
        <w:tc>
          <w:tcPr>
            <w:tcW w:w="1713" w:type="dxa"/>
          </w:tcPr>
          <w:p w14:paraId="0DB3F98F" w14:textId="5CA1B437" w:rsidR="000756EB" w:rsidRDefault="004A4D88" w:rsidP="00C41F1F">
            <w:pPr>
              <w:pStyle w:val="TableCopy"/>
              <w:jc w:val="right"/>
            </w:pPr>
            <w:r>
              <w:t>231</w:t>
            </w:r>
          </w:p>
        </w:tc>
        <w:tc>
          <w:tcPr>
            <w:tcW w:w="1713" w:type="dxa"/>
          </w:tcPr>
          <w:p w14:paraId="4C79AACE" w14:textId="428B7BF8" w:rsidR="000756EB" w:rsidRDefault="004A4D88" w:rsidP="00C41F1F">
            <w:pPr>
              <w:pStyle w:val="TableCopy"/>
              <w:jc w:val="right"/>
            </w:pPr>
            <w:r>
              <w:t>434</w:t>
            </w:r>
          </w:p>
        </w:tc>
      </w:tr>
      <w:tr w:rsidR="000756EB" w14:paraId="39E4C31B" w14:textId="77777777" w:rsidTr="00C41F1F">
        <w:trPr>
          <w:trHeight w:val="114"/>
        </w:trPr>
        <w:tc>
          <w:tcPr>
            <w:tcW w:w="5556" w:type="dxa"/>
          </w:tcPr>
          <w:p w14:paraId="2C7DA3B8" w14:textId="195F1F03" w:rsidR="000756EB" w:rsidRDefault="004A4D88" w:rsidP="00C41F1F">
            <w:pPr>
              <w:pStyle w:val="TableCopy"/>
            </w:pPr>
            <w:r>
              <w:t>Biological</w:t>
            </w:r>
            <w:r w:rsidR="00A03629">
              <w:t xml:space="preserve"> </w:t>
            </w:r>
            <w:r>
              <w:t>assets</w:t>
            </w:r>
          </w:p>
        </w:tc>
        <w:tc>
          <w:tcPr>
            <w:tcW w:w="1361" w:type="dxa"/>
          </w:tcPr>
          <w:p w14:paraId="6AFE8AF4" w14:textId="77777777" w:rsidR="000756EB" w:rsidRDefault="004A4D88" w:rsidP="00C41F1F">
            <w:pPr>
              <w:pStyle w:val="TableCopy"/>
              <w:jc w:val="right"/>
            </w:pPr>
            <w:r>
              <w:t>8.3.2</w:t>
            </w:r>
          </w:p>
        </w:tc>
        <w:tc>
          <w:tcPr>
            <w:tcW w:w="1713" w:type="dxa"/>
          </w:tcPr>
          <w:p w14:paraId="4225ACEC" w14:textId="67FDA289" w:rsidR="000756EB" w:rsidRDefault="004A4D88" w:rsidP="00C41F1F">
            <w:pPr>
              <w:pStyle w:val="TableCopy"/>
              <w:jc w:val="right"/>
            </w:pPr>
            <w:r>
              <w:t>–</w:t>
            </w:r>
          </w:p>
        </w:tc>
        <w:tc>
          <w:tcPr>
            <w:tcW w:w="1713" w:type="dxa"/>
          </w:tcPr>
          <w:p w14:paraId="3A67C45C" w14:textId="08515730" w:rsidR="000756EB" w:rsidRDefault="004A4D88" w:rsidP="00C41F1F">
            <w:pPr>
              <w:pStyle w:val="TableCopy"/>
              <w:jc w:val="right"/>
            </w:pPr>
            <w:r>
              <w:t>5,110</w:t>
            </w:r>
          </w:p>
        </w:tc>
      </w:tr>
      <w:tr w:rsidR="000756EB" w14:paraId="43622433" w14:textId="77777777" w:rsidTr="00C41F1F">
        <w:trPr>
          <w:trHeight w:val="114"/>
        </w:trPr>
        <w:tc>
          <w:tcPr>
            <w:tcW w:w="5556" w:type="dxa"/>
          </w:tcPr>
          <w:p w14:paraId="181DB9CE" w14:textId="57E47204" w:rsidR="000756EB" w:rsidRDefault="004A4D88" w:rsidP="00C41F1F">
            <w:pPr>
              <w:pStyle w:val="TableCopy"/>
            </w:pPr>
            <w:r>
              <w:t>Intangible</w:t>
            </w:r>
            <w:r w:rsidR="00A03629">
              <w:t xml:space="preserve"> </w:t>
            </w:r>
            <w:r>
              <w:t>assets</w:t>
            </w:r>
          </w:p>
        </w:tc>
        <w:tc>
          <w:tcPr>
            <w:tcW w:w="1361" w:type="dxa"/>
          </w:tcPr>
          <w:p w14:paraId="476DC2E4" w14:textId="77777777" w:rsidR="000756EB" w:rsidRDefault="000756EB" w:rsidP="00C41F1F">
            <w:pPr>
              <w:pStyle w:val="TableCopy"/>
              <w:jc w:val="right"/>
              <w:rPr>
                <w:rFonts w:cstheme="minorBidi"/>
                <w:lang w:val="en-AU"/>
              </w:rPr>
            </w:pPr>
          </w:p>
        </w:tc>
        <w:tc>
          <w:tcPr>
            <w:tcW w:w="1713" w:type="dxa"/>
          </w:tcPr>
          <w:p w14:paraId="58DA815D" w14:textId="613ABE1F" w:rsidR="000756EB" w:rsidRDefault="004A4D88" w:rsidP="00C41F1F">
            <w:pPr>
              <w:pStyle w:val="TableCopy"/>
              <w:jc w:val="right"/>
            </w:pPr>
            <w:r>
              <w:t>–</w:t>
            </w:r>
          </w:p>
        </w:tc>
        <w:tc>
          <w:tcPr>
            <w:tcW w:w="1713" w:type="dxa"/>
          </w:tcPr>
          <w:p w14:paraId="51A1B323" w14:textId="259C9044" w:rsidR="000756EB" w:rsidRDefault="004A4D88" w:rsidP="00C41F1F">
            <w:pPr>
              <w:pStyle w:val="TableCopy"/>
              <w:jc w:val="right"/>
            </w:pPr>
            <w:r>
              <w:t>892</w:t>
            </w:r>
          </w:p>
        </w:tc>
      </w:tr>
      <w:tr w:rsidR="000756EB" w:rsidRPr="00C41F1F" w14:paraId="57A7A7AA" w14:textId="77777777" w:rsidTr="00C41F1F">
        <w:trPr>
          <w:trHeight w:val="114"/>
        </w:trPr>
        <w:tc>
          <w:tcPr>
            <w:tcW w:w="5556" w:type="dxa"/>
          </w:tcPr>
          <w:p w14:paraId="2713943E" w14:textId="00F0F87C" w:rsidR="000756EB" w:rsidRPr="00C41F1F" w:rsidRDefault="004A4D88" w:rsidP="00C41F1F">
            <w:pPr>
              <w:pStyle w:val="TableCopy"/>
              <w:rPr>
                <w:b/>
                <w:bCs/>
              </w:rPr>
            </w:pPr>
            <w:r w:rsidRPr="00C41F1F">
              <w:rPr>
                <w:b/>
                <w:bCs/>
              </w:rPr>
              <w:t>Total</w:t>
            </w:r>
            <w:r w:rsidR="00A03629" w:rsidRPr="00C41F1F">
              <w:rPr>
                <w:b/>
                <w:bCs/>
              </w:rPr>
              <w:t xml:space="preserve"> </w:t>
            </w:r>
            <w:r w:rsidRPr="00C41F1F">
              <w:rPr>
                <w:b/>
                <w:bCs/>
              </w:rPr>
              <w:t>current</w:t>
            </w:r>
            <w:r w:rsidR="00A03629" w:rsidRPr="00C41F1F">
              <w:rPr>
                <w:b/>
                <w:bCs/>
              </w:rPr>
              <w:t xml:space="preserve"> </w:t>
            </w:r>
            <w:r w:rsidRPr="00C41F1F">
              <w:rPr>
                <w:b/>
                <w:bCs/>
              </w:rPr>
              <w:t>other</w:t>
            </w:r>
            <w:r w:rsidR="00A03629" w:rsidRPr="00C41F1F">
              <w:rPr>
                <w:b/>
                <w:bCs/>
              </w:rPr>
              <w:t xml:space="preserve"> </w:t>
            </w:r>
            <w:r w:rsidRPr="00C41F1F">
              <w:rPr>
                <w:b/>
                <w:bCs/>
              </w:rPr>
              <w:t>non-financial</w:t>
            </w:r>
            <w:r w:rsidR="00A03629" w:rsidRPr="00C41F1F">
              <w:rPr>
                <w:b/>
                <w:bCs/>
              </w:rPr>
              <w:t xml:space="preserve"> </w:t>
            </w:r>
            <w:r w:rsidRPr="00C41F1F">
              <w:rPr>
                <w:b/>
                <w:bCs/>
              </w:rPr>
              <w:t>assets</w:t>
            </w:r>
          </w:p>
        </w:tc>
        <w:tc>
          <w:tcPr>
            <w:tcW w:w="1361" w:type="dxa"/>
          </w:tcPr>
          <w:p w14:paraId="352ACE97" w14:textId="77777777" w:rsidR="000756EB" w:rsidRPr="00C41F1F" w:rsidRDefault="000756EB" w:rsidP="00C41F1F">
            <w:pPr>
              <w:pStyle w:val="TableCopy"/>
              <w:jc w:val="right"/>
              <w:rPr>
                <w:b/>
                <w:bCs/>
              </w:rPr>
            </w:pPr>
          </w:p>
        </w:tc>
        <w:tc>
          <w:tcPr>
            <w:tcW w:w="1713" w:type="dxa"/>
          </w:tcPr>
          <w:p w14:paraId="464435F2" w14:textId="025754DA" w:rsidR="000756EB" w:rsidRPr="00C41F1F" w:rsidRDefault="004A4D88" w:rsidP="00C41F1F">
            <w:pPr>
              <w:pStyle w:val="TableCopy"/>
              <w:jc w:val="right"/>
              <w:rPr>
                <w:b/>
                <w:bCs/>
              </w:rPr>
            </w:pPr>
            <w:r w:rsidRPr="00C41F1F">
              <w:rPr>
                <w:b/>
                <w:bCs/>
              </w:rPr>
              <w:t>3,129</w:t>
            </w:r>
          </w:p>
        </w:tc>
        <w:tc>
          <w:tcPr>
            <w:tcW w:w="1713" w:type="dxa"/>
          </w:tcPr>
          <w:p w14:paraId="41D65C81" w14:textId="6B5EE1FF" w:rsidR="000756EB" w:rsidRPr="00C41F1F" w:rsidRDefault="004A4D88" w:rsidP="00C41F1F">
            <w:pPr>
              <w:pStyle w:val="TableCopy"/>
              <w:jc w:val="right"/>
              <w:rPr>
                <w:b/>
                <w:bCs/>
              </w:rPr>
            </w:pPr>
            <w:r w:rsidRPr="00C41F1F">
              <w:rPr>
                <w:b/>
                <w:bCs/>
              </w:rPr>
              <w:t>13,246</w:t>
            </w:r>
          </w:p>
        </w:tc>
      </w:tr>
    </w:tbl>
    <w:p w14:paraId="55D806B0" w14:textId="77777777" w:rsidR="000756EB" w:rsidRDefault="000756EB" w:rsidP="00C41F1F"/>
    <w:p w14:paraId="5B857749" w14:textId="49F56282" w:rsidR="000756EB" w:rsidRDefault="004A4D88" w:rsidP="00C41F1F">
      <w:r>
        <w:t>Prepayments</w:t>
      </w:r>
      <w:r w:rsidR="00A03629">
        <w:t xml:space="preserve"> </w:t>
      </w:r>
      <w:r>
        <w:t>represent</w:t>
      </w:r>
      <w:r w:rsidR="00A03629">
        <w:t xml:space="preserve"> </w:t>
      </w:r>
      <w:r>
        <w:t>payments</w:t>
      </w:r>
      <w:r w:rsidR="00A03629">
        <w:t xml:space="preserve"> </w:t>
      </w:r>
      <w:r>
        <w:t>in</w:t>
      </w:r>
      <w:r w:rsidR="00A03629">
        <w:t xml:space="preserve"> </w:t>
      </w:r>
      <w:r>
        <w:t>advance</w:t>
      </w:r>
      <w:r w:rsidR="00A03629">
        <w:t xml:space="preserve"> </w:t>
      </w:r>
      <w:r>
        <w:t>of</w:t>
      </w:r>
      <w:r w:rsidR="00A03629">
        <w:t xml:space="preserve"> </w:t>
      </w:r>
      <w:r>
        <w:t>receipt</w:t>
      </w:r>
      <w:r w:rsidR="00A03629">
        <w:t xml:space="preserve"> </w:t>
      </w:r>
      <w:r>
        <w:t>of</w:t>
      </w:r>
      <w:r w:rsidR="00A03629">
        <w:t xml:space="preserve"> </w:t>
      </w:r>
      <w:r>
        <w:t>goods</w:t>
      </w:r>
      <w:r w:rsidR="00A03629">
        <w:t xml:space="preserve"> </w:t>
      </w:r>
      <w:r>
        <w:t>or</w:t>
      </w:r>
      <w:r w:rsidR="00A03629">
        <w:t xml:space="preserve"> </w:t>
      </w:r>
      <w:proofErr w:type="gramStart"/>
      <w:r>
        <w:t>services</w:t>
      </w:r>
      <w:proofErr w:type="gramEnd"/>
      <w:r w:rsidR="00A03629">
        <w:t xml:space="preserve"> </w:t>
      </w:r>
      <w:r>
        <w:t>or</w:t>
      </w:r>
      <w:r w:rsidR="00A03629">
        <w:t xml:space="preserve"> </w:t>
      </w:r>
      <w:r>
        <w:t>the</w:t>
      </w:r>
      <w:r w:rsidR="00A03629">
        <w:t xml:space="preserve"> </w:t>
      </w:r>
      <w:r>
        <w:t>payments</w:t>
      </w:r>
      <w:r w:rsidR="00A03629">
        <w:t xml:space="preserve"> </w:t>
      </w:r>
      <w:r>
        <w:t>made</w:t>
      </w:r>
      <w:r w:rsidR="00A03629">
        <w:t xml:space="preserve"> </w:t>
      </w:r>
      <w:r>
        <w:t>for</w:t>
      </w:r>
      <w:r w:rsidR="00A03629">
        <w:rPr>
          <w:rFonts w:ascii="Cambria" w:hAnsi="Cambria" w:cs="Cambria"/>
        </w:rPr>
        <w:t xml:space="preserve"> </w:t>
      </w:r>
      <w:r>
        <w:t>services</w:t>
      </w:r>
      <w:r w:rsidR="00A03629">
        <w:t xml:space="preserve"> </w:t>
      </w:r>
      <w:r>
        <w:t>covering</w:t>
      </w:r>
      <w:r w:rsidR="00A03629">
        <w:t xml:space="preserve"> </w:t>
      </w:r>
      <w:r>
        <w:t>a</w:t>
      </w:r>
      <w:r w:rsidR="00A03629">
        <w:t xml:space="preserve"> </w:t>
      </w:r>
      <w:r>
        <w:t>term</w:t>
      </w:r>
      <w:r w:rsidR="00A03629">
        <w:t xml:space="preserve"> </w:t>
      </w:r>
      <w:r>
        <w:t>extending</w:t>
      </w:r>
      <w:r w:rsidR="00A03629">
        <w:t xml:space="preserve"> </w:t>
      </w:r>
      <w:r>
        <w:t>beyond</w:t>
      </w:r>
      <w:r w:rsidR="00A03629">
        <w:t xml:space="preserve"> </w:t>
      </w:r>
      <w:r>
        <w:t>that</w:t>
      </w:r>
      <w:r w:rsidR="00A03629">
        <w:t xml:space="preserve"> </w:t>
      </w:r>
      <w:r>
        <w:t>financial</w:t>
      </w:r>
      <w:r w:rsidR="00A03629">
        <w:t xml:space="preserve"> </w:t>
      </w:r>
      <w:r>
        <w:t>accounting</w:t>
      </w:r>
      <w:r w:rsidR="00A03629">
        <w:t xml:space="preserve"> </w:t>
      </w:r>
      <w:r>
        <w:t>period.</w:t>
      </w:r>
    </w:p>
    <w:p w14:paraId="2A3E1432" w14:textId="54E1A39B" w:rsidR="000756EB" w:rsidRDefault="004A4D88" w:rsidP="00C41F1F">
      <w:r>
        <w:t>In</w:t>
      </w:r>
      <w:r w:rsidR="00A03629">
        <w:t xml:space="preserve"> </w:t>
      </w:r>
      <w:r>
        <w:t>prior</w:t>
      </w:r>
      <w:r w:rsidR="00A03629">
        <w:t xml:space="preserve"> </w:t>
      </w:r>
      <w:r>
        <w:t>year,</w:t>
      </w:r>
      <w:r w:rsidR="00A03629">
        <w:t xml:space="preserve"> </w:t>
      </w:r>
      <w:r>
        <w:t>inventories</w:t>
      </w:r>
      <w:r w:rsidR="00A03629">
        <w:t xml:space="preserve"> </w:t>
      </w:r>
      <w:r>
        <w:t>refer</w:t>
      </w:r>
      <w:r w:rsidR="00A03629">
        <w:t xml:space="preserve"> </w:t>
      </w:r>
      <w:r>
        <w:t>to</w:t>
      </w:r>
      <w:r w:rsidR="00A03629">
        <w:t xml:space="preserve"> </w:t>
      </w:r>
      <w:r>
        <w:t>consumables</w:t>
      </w:r>
      <w:r w:rsidR="00A03629">
        <w:t xml:space="preserve"> </w:t>
      </w:r>
      <w:r>
        <w:t>and</w:t>
      </w:r>
      <w:r w:rsidR="00A03629">
        <w:t xml:space="preserve"> </w:t>
      </w:r>
      <w:r>
        <w:t>farm</w:t>
      </w:r>
      <w:r w:rsidR="00A03629">
        <w:t xml:space="preserve"> </w:t>
      </w:r>
      <w:r>
        <w:t>produce</w:t>
      </w:r>
      <w:r w:rsidR="00A03629">
        <w:t xml:space="preserve"> </w:t>
      </w:r>
      <w:r>
        <w:t>of</w:t>
      </w:r>
      <w:r w:rsidR="00A03629">
        <w:t xml:space="preserve"> </w:t>
      </w:r>
      <w:r>
        <w:t>consumable</w:t>
      </w:r>
      <w:r w:rsidR="00A03629">
        <w:t xml:space="preserve"> </w:t>
      </w:r>
      <w:r>
        <w:t>stores</w:t>
      </w:r>
      <w:r w:rsidR="00A03629">
        <w:t xml:space="preserve"> </w:t>
      </w:r>
      <w:r>
        <w:t>relating</w:t>
      </w:r>
      <w:r w:rsidR="00A03629">
        <w:t xml:space="preserve"> </w:t>
      </w:r>
      <w:r>
        <w:t>to</w:t>
      </w:r>
      <w:r w:rsidR="00A03629">
        <w:t xml:space="preserve"> </w:t>
      </w:r>
      <w:r>
        <w:t>the</w:t>
      </w:r>
      <w:r w:rsidR="00A03629">
        <w:t xml:space="preserve"> </w:t>
      </w:r>
      <w:r>
        <w:t>Agriculture</w:t>
      </w:r>
      <w:r w:rsidR="00A03629">
        <w:t xml:space="preserve"> </w:t>
      </w:r>
      <w:r>
        <w:t>Victoria</w:t>
      </w:r>
      <w:r w:rsidR="00A03629">
        <w:t xml:space="preserve"> </w:t>
      </w:r>
      <w:r>
        <w:t>group</w:t>
      </w:r>
      <w:r w:rsidR="00A03629">
        <w:t xml:space="preserve"> </w:t>
      </w:r>
      <w:r>
        <w:t>and</w:t>
      </w:r>
      <w:r w:rsidR="00A03629">
        <w:t xml:space="preserve"> </w:t>
      </w:r>
      <w:proofErr w:type="gramStart"/>
      <w:r>
        <w:t>Biological</w:t>
      </w:r>
      <w:proofErr w:type="gramEnd"/>
      <w:r w:rsidR="00A03629">
        <w:t xml:space="preserve"> </w:t>
      </w:r>
      <w:r>
        <w:t>assets</w:t>
      </w:r>
      <w:r w:rsidR="00A03629">
        <w:t xml:space="preserve"> </w:t>
      </w:r>
      <w:r>
        <w:t>comprises</w:t>
      </w:r>
      <w:r w:rsidR="00A03629">
        <w:t xml:space="preserve"> </w:t>
      </w:r>
      <w:r>
        <w:t>of</w:t>
      </w:r>
      <w:r w:rsidR="00A03629">
        <w:t xml:space="preserve"> </w:t>
      </w:r>
      <w:r>
        <w:t>livestock.</w:t>
      </w:r>
      <w:r w:rsidR="00A03629">
        <w:t xml:space="preserve"> </w:t>
      </w:r>
      <w:r>
        <w:t>These</w:t>
      </w:r>
      <w:r w:rsidR="00A03629">
        <w:t xml:space="preserve"> </w:t>
      </w:r>
      <w:r>
        <w:t>have</w:t>
      </w:r>
      <w:r w:rsidR="00A03629">
        <w:t xml:space="preserve"> </w:t>
      </w:r>
      <w:r>
        <w:t>been</w:t>
      </w:r>
      <w:r w:rsidR="00A03629">
        <w:t xml:space="preserve"> </w:t>
      </w:r>
      <w:r>
        <w:t>transferred</w:t>
      </w:r>
      <w:r w:rsidR="00A03629">
        <w:t xml:space="preserve"> </w:t>
      </w:r>
      <w:r>
        <w:t>out</w:t>
      </w:r>
      <w:r w:rsidR="00A03629">
        <w:rPr>
          <w:rFonts w:ascii="Cambria" w:hAnsi="Cambria" w:cs="Cambria"/>
        </w:rPr>
        <w:t xml:space="preserve"> </w:t>
      </w:r>
      <w:r>
        <w:t>to</w:t>
      </w:r>
      <w:r w:rsidR="00A03629">
        <w:rPr>
          <w:rFonts w:ascii="Cambria" w:hAnsi="Cambria" w:cs="Cambria"/>
        </w:rPr>
        <w:t xml:space="preserve"> </w:t>
      </w:r>
      <w:r>
        <w:t>DEECA</w:t>
      </w:r>
      <w:r w:rsidR="00A03629">
        <w:t xml:space="preserve"> </w:t>
      </w:r>
      <w:r>
        <w:t>due</w:t>
      </w:r>
      <w:r w:rsidR="00A03629">
        <w:t xml:space="preserve"> </w:t>
      </w:r>
      <w:r>
        <w:t>to</w:t>
      </w:r>
      <w:r w:rsidR="00A03629">
        <w:t xml:space="preserve"> </w:t>
      </w:r>
      <w:r>
        <w:t>the</w:t>
      </w:r>
      <w:r w:rsidR="00A03629">
        <w:t xml:space="preserve"> </w:t>
      </w:r>
      <w:r>
        <w:t>machinery</w:t>
      </w:r>
      <w:r w:rsidR="00A03629">
        <w:t xml:space="preserve"> </w:t>
      </w:r>
      <w:r>
        <w:t>of</w:t>
      </w:r>
      <w:r w:rsidR="00A03629">
        <w:t xml:space="preserve"> </w:t>
      </w:r>
      <w:r>
        <w:t>government</w:t>
      </w:r>
      <w:r w:rsidR="00A03629">
        <w:t xml:space="preserve"> </w:t>
      </w:r>
      <w:r>
        <w:t>change</w:t>
      </w:r>
      <w:r w:rsidR="00A03629">
        <w:t xml:space="preserve"> </w:t>
      </w:r>
      <w:r>
        <w:t>effective</w:t>
      </w:r>
      <w:r w:rsidR="00A03629">
        <w:t xml:space="preserve"> </w:t>
      </w:r>
      <w:r>
        <w:t>1</w:t>
      </w:r>
      <w:r w:rsidR="00A03629">
        <w:t xml:space="preserve"> </w:t>
      </w:r>
      <w:r>
        <w:t>January</w:t>
      </w:r>
      <w:r w:rsidR="00A03629">
        <w:t xml:space="preserve"> </w:t>
      </w:r>
      <w:r>
        <w:t>2023.</w:t>
      </w:r>
    </w:p>
    <w:p w14:paraId="2A99927D" w14:textId="40B35F56" w:rsidR="000756EB" w:rsidRDefault="004A4D88" w:rsidP="00C41F1F">
      <w:r>
        <w:t>In</w:t>
      </w:r>
      <w:r w:rsidR="00A03629">
        <w:t xml:space="preserve"> </w:t>
      </w:r>
      <w:r>
        <w:t>prior</w:t>
      </w:r>
      <w:r w:rsidR="00A03629">
        <w:t xml:space="preserve"> </w:t>
      </w:r>
      <w:r>
        <w:t>year,</w:t>
      </w:r>
      <w:r w:rsidR="00A03629">
        <w:t xml:space="preserve"> </w:t>
      </w:r>
      <w:r>
        <w:t>intangible</w:t>
      </w:r>
      <w:r w:rsidR="00A03629">
        <w:t xml:space="preserve"> </w:t>
      </w:r>
      <w:r>
        <w:t>produced</w:t>
      </w:r>
      <w:r w:rsidR="00A03629">
        <w:t xml:space="preserve"> </w:t>
      </w:r>
      <w:r>
        <w:t>and</w:t>
      </w:r>
      <w:r w:rsidR="00A03629">
        <w:t xml:space="preserve"> </w:t>
      </w:r>
      <w:r>
        <w:t>non-produced</w:t>
      </w:r>
      <w:r w:rsidR="00A03629">
        <w:t xml:space="preserve"> </w:t>
      </w:r>
      <w:r>
        <w:t>assets</w:t>
      </w:r>
      <w:r w:rsidR="00A03629">
        <w:t xml:space="preserve"> </w:t>
      </w:r>
      <w:r>
        <w:t>with</w:t>
      </w:r>
      <w:r w:rsidR="00A03629">
        <w:t xml:space="preserve"> </w:t>
      </w:r>
      <w:r>
        <w:t>finite</w:t>
      </w:r>
      <w:r w:rsidR="00A03629">
        <w:t xml:space="preserve"> </w:t>
      </w:r>
      <w:r>
        <w:t>useful</w:t>
      </w:r>
      <w:r w:rsidR="00A03629">
        <w:t xml:space="preserve"> </w:t>
      </w:r>
      <w:r>
        <w:t>lives</w:t>
      </w:r>
      <w:r w:rsidR="00A03629">
        <w:t xml:space="preserve"> </w:t>
      </w:r>
      <w:r>
        <w:t>are</w:t>
      </w:r>
      <w:r w:rsidR="00A03629">
        <w:t xml:space="preserve"> </w:t>
      </w:r>
      <w:r>
        <w:t>amortised</w:t>
      </w:r>
      <w:r w:rsidR="00A03629">
        <w:t xml:space="preserve"> </w:t>
      </w:r>
      <w:r>
        <w:t>on</w:t>
      </w:r>
      <w:r w:rsidR="00A03629">
        <w:t xml:space="preserve"> </w:t>
      </w:r>
      <w:r>
        <w:t>a</w:t>
      </w:r>
      <w:r w:rsidR="00A03629">
        <w:t xml:space="preserve"> </w:t>
      </w:r>
      <w:r>
        <w:t>straight-line</w:t>
      </w:r>
      <w:r w:rsidR="00A03629">
        <w:t xml:space="preserve"> </w:t>
      </w:r>
      <w:r>
        <w:t>basis</w:t>
      </w:r>
      <w:r w:rsidR="00A03629">
        <w:t xml:space="preserve"> </w:t>
      </w:r>
      <w:r>
        <w:t>over</w:t>
      </w:r>
      <w:r w:rsidR="00A03629">
        <w:t xml:space="preserve"> </w:t>
      </w:r>
      <w:r>
        <w:t>their</w:t>
      </w:r>
      <w:r w:rsidR="00A03629">
        <w:t xml:space="preserve"> </w:t>
      </w:r>
      <w:r>
        <w:t>useful</w:t>
      </w:r>
      <w:r w:rsidR="00A03629">
        <w:t xml:space="preserve"> </w:t>
      </w:r>
      <w:r>
        <w:t>lives</w:t>
      </w:r>
      <w:r w:rsidR="00A03629">
        <w:t xml:space="preserve"> </w:t>
      </w:r>
      <w:r>
        <w:t>of</w:t>
      </w:r>
      <w:r w:rsidR="00A03629">
        <w:t xml:space="preserve"> </w:t>
      </w:r>
      <w:r>
        <w:t>4</w:t>
      </w:r>
      <w:r w:rsidR="00A03629">
        <w:t xml:space="preserve"> </w:t>
      </w:r>
      <w:r>
        <w:t>to</w:t>
      </w:r>
      <w:r w:rsidR="00A03629">
        <w:t xml:space="preserve"> </w:t>
      </w:r>
      <w:r>
        <w:t>7</w:t>
      </w:r>
      <w:r w:rsidR="00A03629">
        <w:t xml:space="preserve"> </w:t>
      </w:r>
      <w:r>
        <w:t>years.</w:t>
      </w:r>
      <w:r w:rsidR="00A03629">
        <w:t xml:space="preserve"> </w:t>
      </w:r>
      <w:r>
        <w:t>These</w:t>
      </w:r>
      <w:r w:rsidR="00A03629">
        <w:t xml:space="preserve"> </w:t>
      </w:r>
      <w:r>
        <w:t>have</w:t>
      </w:r>
      <w:r w:rsidR="00A03629">
        <w:t xml:space="preserve"> </w:t>
      </w:r>
      <w:r>
        <w:t>been</w:t>
      </w:r>
      <w:r w:rsidR="00A03629">
        <w:t xml:space="preserve"> </w:t>
      </w:r>
      <w:r>
        <w:t>transferred</w:t>
      </w:r>
      <w:r w:rsidR="00A03629">
        <w:t xml:space="preserve"> </w:t>
      </w:r>
      <w:r>
        <w:t>out</w:t>
      </w:r>
      <w:r w:rsidR="00A03629">
        <w:t xml:space="preserve"> </w:t>
      </w:r>
      <w:r>
        <w:t>to</w:t>
      </w:r>
      <w:r w:rsidR="00A03629">
        <w:t xml:space="preserve"> </w:t>
      </w:r>
      <w:r>
        <w:t>DEECA</w:t>
      </w:r>
      <w:r w:rsidR="00A03629">
        <w:t xml:space="preserve"> </w:t>
      </w:r>
      <w:r>
        <w:t>due</w:t>
      </w:r>
      <w:r w:rsidR="00A03629">
        <w:t xml:space="preserve"> </w:t>
      </w:r>
      <w:r>
        <w:t>to</w:t>
      </w:r>
      <w:r w:rsidR="00A03629">
        <w:rPr>
          <w:rFonts w:ascii="Cambria" w:hAnsi="Cambria" w:cs="Cambria"/>
        </w:rPr>
        <w:t xml:space="preserve"> </w:t>
      </w:r>
      <w:r>
        <w:t>the</w:t>
      </w:r>
      <w:r w:rsidR="00A03629">
        <w:rPr>
          <w:rFonts w:ascii="Cambria" w:hAnsi="Cambria" w:cs="Cambria"/>
        </w:rPr>
        <w:t xml:space="preserve"> </w:t>
      </w:r>
      <w:r>
        <w:t>machinery</w:t>
      </w:r>
      <w:r w:rsidR="00A03629">
        <w:t xml:space="preserve"> </w:t>
      </w:r>
      <w:r>
        <w:t>of</w:t>
      </w:r>
      <w:r w:rsidR="00A03629">
        <w:t xml:space="preserve"> </w:t>
      </w:r>
      <w:r>
        <w:t>government</w:t>
      </w:r>
      <w:r w:rsidR="00A03629">
        <w:t xml:space="preserve"> </w:t>
      </w:r>
      <w:r>
        <w:t>change</w:t>
      </w:r>
      <w:r w:rsidR="00A03629">
        <w:t xml:space="preserve"> </w:t>
      </w:r>
      <w:r>
        <w:t>effective</w:t>
      </w:r>
      <w:r w:rsidR="00A03629">
        <w:t xml:space="preserve"> </w:t>
      </w:r>
      <w:r>
        <w:t>1</w:t>
      </w:r>
      <w:r w:rsidR="00A03629">
        <w:t xml:space="preserve"> </w:t>
      </w:r>
      <w:r>
        <w:t>January</w:t>
      </w:r>
      <w:r w:rsidR="00A03629">
        <w:t xml:space="preserve"> </w:t>
      </w:r>
      <w:r>
        <w:t>2023.</w:t>
      </w:r>
    </w:p>
    <w:p w14:paraId="656D3E8B" w14:textId="64F4E44D" w:rsidR="000756EB" w:rsidRDefault="004A4D88" w:rsidP="00C41F1F">
      <w:pPr>
        <w:pStyle w:val="Heading2"/>
      </w:pPr>
      <w:bookmarkStart w:id="84" w:name="_Toc149911822"/>
      <w:r>
        <w:lastRenderedPageBreak/>
        <w:t>6.4</w:t>
      </w:r>
      <w:r w:rsidR="00DE38B5">
        <w:t xml:space="preserve"> </w:t>
      </w:r>
      <w:r>
        <w:t>Other</w:t>
      </w:r>
      <w:r w:rsidR="00A03629">
        <w:t xml:space="preserve"> </w:t>
      </w:r>
      <w:r>
        <w:t>provisions</w:t>
      </w:r>
      <w:bookmarkEnd w:id="84"/>
    </w:p>
    <w:tbl>
      <w:tblPr>
        <w:tblStyle w:val="TableGrid"/>
        <w:tblW w:w="10170" w:type="dxa"/>
        <w:tblLayout w:type="fixed"/>
        <w:tblLook w:val="0020" w:firstRow="1" w:lastRow="0" w:firstColumn="0" w:lastColumn="0" w:noHBand="0" w:noVBand="0"/>
      </w:tblPr>
      <w:tblGrid>
        <w:gridCol w:w="6917"/>
        <w:gridCol w:w="1626"/>
        <w:gridCol w:w="1627"/>
      </w:tblGrid>
      <w:tr w:rsidR="000756EB" w:rsidRPr="00105BB0" w14:paraId="30105C71" w14:textId="77777777" w:rsidTr="00DE38B5">
        <w:tc>
          <w:tcPr>
            <w:tcW w:w="6917" w:type="dxa"/>
          </w:tcPr>
          <w:p w14:paraId="6CCDC0BA" w14:textId="77777777" w:rsidR="000756EB" w:rsidRPr="00105BB0" w:rsidRDefault="000756EB" w:rsidP="00105BB0">
            <w:pPr>
              <w:pStyle w:val="TableColumnHeading"/>
            </w:pPr>
            <w:bookmarkStart w:id="85" w:name="ColumnTitles_50"/>
            <w:bookmarkEnd w:id="85"/>
          </w:p>
        </w:tc>
        <w:tc>
          <w:tcPr>
            <w:tcW w:w="1626" w:type="dxa"/>
          </w:tcPr>
          <w:p w14:paraId="2C677F68" w14:textId="299E4055" w:rsidR="000756EB" w:rsidRPr="00105BB0" w:rsidRDefault="004A4D88" w:rsidP="004616AC">
            <w:pPr>
              <w:pStyle w:val="TableColumnHeading"/>
              <w:jc w:val="right"/>
            </w:pPr>
            <w:r w:rsidRPr="00105BB0">
              <w:t>2023</w:t>
            </w:r>
            <w:r w:rsidR="00A03629" w:rsidRPr="00105BB0">
              <w:t xml:space="preserve"> </w:t>
            </w:r>
            <w:r w:rsidR="00105BB0" w:rsidRPr="00105BB0">
              <w:t>($</w:t>
            </w:r>
            <w:r w:rsidR="00105BB0">
              <w:t> </w:t>
            </w:r>
            <w:r w:rsidR="00105BB0" w:rsidRPr="00105BB0">
              <w:t>thousand)</w:t>
            </w:r>
          </w:p>
        </w:tc>
        <w:tc>
          <w:tcPr>
            <w:tcW w:w="1627" w:type="dxa"/>
          </w:tcPr>
          <w:p w14:paraId="198F788C" w14:textId="3B208A89" w:rsidR="000756EB" w:rsidRPr="00105BB0" w:rsidRDefault="004A4D88" w:rsidP="004616AC">
            <w:pPr>
              <w:pStyle w:val="TableColumnHeading"/>
              <w:jc w:val="right"/>
            </w:pPr>
            <w:r w:rsidRPr="00105BB0">
              <w:t>2022</w:t>
            </w:r>
            <w:r w:rsidR="00105BB0">
              <w:t xml:space="preserve"> </w:t>
            </w:r>
            <w:r w:rsidR="00105BB0" w:rsidRPr="00105BB0">
              <w:t>($</w:t>
            </w:r>
            <w:r w:rsidR="00105BB0">
              <w:t> </w:t>
            </w:r>
            <w:r w:rsidR="00105BB0" w:rsidRPr="00105BB0">
              <w:t>thousand)</w:t>
            </w:r>
          </w:p>
        </w:tc>
      </w:tr>
      <w:tr w:rsidR="000756EB" w:rsidRPr="004616AC" w14:paraId="130282C4" w14:textId="77777777" w:rsidTr="00DE38B5">
        <w:tc>
          <w:tcPr>
            <w:tcW w:w="6917" w:type="dxa"/>
          </w:tcPr>
          <w:p w14:paraId="7EB71CC2" w14:textId="5132EF78" w:rsidR="000756EB" w:rsidRPr="004616AC" w:rsidRDefault="004A4D88" w:rsidP="004616AC">
            <w:pPr>
              <w:pStyle w:val="TableCopy"/>
            </w:pPr>
            <w:r w:rsidRPr="004616AC">
              <w:t>Mining</w:t>
            </w:r>
            <w:r w:rsidR="00A03629" w:rsidRPr="004616AC">
              <w:t xml:space="preserve"> </w:t>
            </w:r>
            <w:r w:rsidRPr="004616AC">
              <w:t>site</w:t>
            </w:r>
            <w:r w:rsidR="00A03629" w:rsidRPr="004616AC">
              <w:t xml:space="preserve"> </w:t>
            </w:r>
            <w:r w:rsidRPr="004616AC">
              <w:t>rehabilitation</w:t>
            </w:r>
            <w:r w:rsidR="00A03629" w:rsidRPr="004616AC">
              <w:t xml:space="preserve"> </w:t>
            </w:r>
            <w:r w:rsidRPr="00614829">
              <w:rPr>
                <w:rStyle w:val="FootnotereferencessuperscriptMisc"/>
                <w:vertAlign w:val="baseline"/>
              </w:rPr>
              <w:t>(</w:t>
            </w:r>
            <w:proofErr w:type="spellStart"/>
            <w:r w:rsidRPr="00614829">
              <w:rPr>
                <w:rStyle w:val="FootnotereferencessuperscriptMisc"/>
                <w:vertAlign w:val="baseline"/>
              </w:rPr>
              <w:t>i</w:t>
            </w:r>
            <w:proofErr w:type="spellEnd"/>
            <w:r w:rsidRPr="00614829">
              <w:rPr>
                <w:rStyle w:val="FootnotereferencessuperscriptMisc"/>
                <w:vertAlign w:val="baseline"/>
              </w:rPr>
              <w:t>)</w:t>
            </w:r>
          </w:p>
        </w:tc>
        <w:tc>
          <w:tcPr>
            <w:tcW w:w="1626" w:type="dxa"/>
          </w:tcPr>
          <w:p w14:paraId="51D74A24" w14:textId="4A87DFE8" w:rsidR="000756EB" w:rsidRPr="004616AC" w:rsidRDefault="004A4D88" w:rsidP="004616AC">
            <w:pPr>
              <w:pStyle w:val="TableCopy"/>
              <w:jc w:val="right"/>
            </w:pPr>
            <w:r w:rsidRPr="004616AC">
              <w:t>–</w:t>
            </w:r>
          </w:p>
        </w:tc>
        <w:tc>
          <w:tcPr>
            <w:tcW w:w="1627" w:type="dxa"/>
          </w:tcPr>
          <w:p w14:paraId="4B443718" w14:textId="59A5AF6E" w:rsidR="000756EB" w:rsidRPr="004616AC" w:rsidRDefault="004A4D88" w:rsidP="004616AC">
            <w:pPr>
              <w:pStyle w:val="TableCopy"/>
              <w:jc w:val="right"/>
            </w:pPr>
            <w:r w:rsidRPr="004616AC">
              <w:t>11,630</w:t>
            </w:r>
          </w:p>
        </w:tc>
      </w:tr>
      <w:tr w:rsidR="000756EB" w:rsidRPr="004616AC" w14:paraId="54925EF2" w14:textId="77777777" w:rsidTr="00DE38B5">
        <w:tc>
          <w:tcPr>
            <w:tcW w:w="6917" w:type="dxa"/>
          </w:tcPr>
          <w:p w14:paraId="625F5405" w14:textId="69EA97AD" w:rsidR="000756EB" w:rsidRPr="004616AC" w:rsidRDefault="004A4D88" w:rsidP="004616AC">
            <w:pPr>
              <w:pStyle w:val="TableCopy"/>
            </w:pPr>
            <w:r w:rsidRPr="004616AC">
              <w:t>Asset</w:t>
            </w:r>
            <w:r w:rsidR="00A03629" w:rsidRPr="004616AC">
              <w:t xml:space="preserve"> </w:t>
            </w:r>
            <w:r w:rsidRPr="004616AC">
              <w:t>dismantling</w:t>
            </w:r>
            <w:r w:rsidR="00A03629" w:rsidRPr="004616AC">
              <w:t xml:space="preserve"> </w:t>
            </w:r>
            <w:r w:rsidRPr="004616AC">
              <w:t>provision</w:t>
            </w:r>
          </w:p>
        </w:tc>
        <w:tc>
          <w:tcPr>
            <w:tcW w:w="1626" w:type="dxa"/>
          </w:tcPr>
          <w:p w14:paraId="7E273435" w14:textId="4447FB3B" w:rsidR="000756EB" w:rsidRPr="004616AC" w:rsidRDefault="004A4D88" w:rsidP="004616AC">
            <w:pPr>
              <w:pStyle w:val="TableCopy"/>
              <w:jc w:val="right"/>
            </w:pPr>
            <w:r w:rsidRPr="004616AC">
              <w:t>6</w:t>
            </w:r>
          </w:p>
        </w:tc>
        <w:tc>
          <w:tcPr>
            <w:tcW w:w="1627" w:type="dxa"/>
          </w:tcPr>
          <w:p w14:paraId="410AC0C7" w14:textId="187DF255" w:rsidR="000756EB" w:rsidRPr="004616AC" w:rsidRDefault="004A4D88" w:rsidP="004616AC">
            <w:pPr>
              <w:pStyle w:val="TableCopy"/>
              <w:jc w:val="right"/>
            </w:pPr>
            <w:r w:rsidRPr="004616AC">
              <w:t>3,355</w:t>
            </w:r>
          </w:p>
        </w:tc>
      </w:tr>
      <w:tr w:rsidR="000756EB" w:rsidRPr="004616AC" w14:paraId="4C0C3383" w14:textId="77777777" w:rsidTr="00DE38B5">
        <w:tc>
          <w:tcPr>
            <w:tcW w:w="6917" w:type="dxa"/>
          </w:tcPr>
          <w:p w14:paraId="0E513CCA" w14:textId="77777777" w:rsidR="000756EB" w:rsidRPr="004616AC" w:rsidRDefault="004A4D88" w:rsidP="004616AC">
            <w:pPr>
              <w:pStyle w:val="TableCopy"/>
            </w:pPr>
            <w:r w:rsidRPr="004616AC">
              <w:t>Grants</w:t>
            </w:r>
          </w:p>
        </w:tc>
        <w:tc>
          <w:tcPr>
            <w:tcW w:w="1626" w:type="dxa"/>
          </w:tcPr>
          <w:p w14:paraId="5D95C0D0" w14:textId="04B02C9B" w:rsidR="000756EB" w:rsidRPr="004616AC" w:rsidRDefault="004A4D88" w:rsidP="004616AC">
            <w:pPr>
              <w:pStyle w:val="TableCopy"/>
              <w:jc w:val="right"/>
            </w:pPr>
            <w:r w:rsidRPr="004616AC">
              <w:t>–</w:t>
            </w:r>
          </w:p>
        </w:tc>
        <w:tc>
          <w:tcPr>
            <w:tcW w:w="1627" w:type="dxa"/>
          </w:tcPr>
          <w:p w14:paraId="5512C494" w14:textId="75ABF40C" w:rsidR="000756EB" w:rsidRPr="004616AC" w:rsidRDefault="004A4D88" w:rsidP="004616AC">
            <w:pPr>
              <w:pStyle w:val="TableCopy"/>
              <w:jc w:val="right"/>
            </w:pPr>
            <w:r w:rsidRPr="004616AC">
              <w:t>10,705</w:t>
            </w:r>
          </w:p>
        </w:tc>
      </w:tr>
      <w:tr w:rsidR="000756EB" w:rsidRPr="004616AC" w14:paraId="1F517964" w14:textId="77777777" w:rsidTr="00DE38B5">
        <w:tc>
          <w:tcPr>
            <w:tcW w:w="6917" w:type="dxa"/>
          </w:tcPr>
          <w:p w14:paraId="0B2108F4" w14:textId="7221BB46" w:rsidR="000756EB" w:rsidRPr="004616AC" w:rsidRDefault="004A4D88" w:rsidP="004616AC">
            <w:pPr>
              <w:pStyle w:val="TableCopy"/>
            </w:pPr>
            <w:r w:rsidRPr="004616AC">
              <w:t>Other</w:t>
            </w:r>
            <w:r w:rsidR="00A03629" w:rsidRPr="004616AC">
              <w:t xml:space="preserve"> </w:t>
            </w:r>
            <w:r w:rsidRPr="004616AC">
              <w:t>provisions</w:t>
            </w:r>
          </w:p>
        </w:tc>
        <w:tc>
          <w:tcPr>
            <w:tcW w:w="1626" w:type="dxa"/>
          </w:tcPr>
          <w:p w14:paraId="0D611C63" w14:textId="60BE63F9" w:rsidR="000756EB" w:rsidRPr="004616AC" w:rsidRDefault="004A4D88" w:rsidP="004616AC">
            <w:pPr>
              <w:pStyle w:val="TableCopy"/>
              <w:jc w:val="right"/>
            </w:pPr>
            <w:r w:rsidRPr="004616AC">
              <w:t>5</w:t>
            </w:r>
          </w:p>
        </w:tc>
        <w:tc>
          <w:tcPr>
            <w:tcW w:w="1627" w:type="dxa"/>
          </w:tcPr>
          <w:p w14:paraId="618AA7BA" w14:textId="030E2BCA" w:rsidR="000756EB" w:rsidRPr="004616AC" w:rsidRDefault="004A4D88" w:rsidP="004616AC">
            <w:pPr>
              <w:pStyle w:val="TableCopy"/>
              <w:jc w:val="right"/>
            </w:pPr>
            <w:r w:rsidRPr="004616AC">
              <w:t>3,428</w:t>
            </w:r>
          </w:p>
        </w:tc>
      </w:tr>
      <w:tr w:rsidR="000756EB" w:rsidRPr="004616AC" w14:paraId="4AB916BD" w14:textId="77777777" w:rsidTr="00DE38B5">
        <w:tc>
          <w:tcPr>
            <w:tcW w:w="6917" w:type="dxa"/>
          </w:tcPr>
          <w:p w14:paraId="13AABD9C" w14:textId="65F71EA8" w:rsidR="000756EB" w:rsidRPr="004616AC" w:rsidRDefault="004A4D88" w:rsidP="004616AC">
            <w:pPr>
              <w:pStyle w:val="TableCopy"/>
              <w:rPr>
                <w:b/>
                <w:bCs/>
              </w:rPr>
            </w:pPr>
            <w:r w:rsidRPr="004616AC">
              <w:rPr>
                <w:b/>
                <w:bCs/>
              </w:rPr>
              <w:t>Total</w:t>
            </w:r>
            <w:r w:rsidR="00A03629" w:rsidRPr="004616AC">
              <w:rPr>
                <w:b/>
                <w:bCs/>
              </w:rPr>
              <w:t xml:space="preserve"> </w:t>
            </w:r>
            <w:r w:rsidRPr="004616AC">
              <w:rPr>
                <w:b/>
                <w:bCs/>
              </w:rPr>
              <w:t>current</w:t>
            </w:r>
            <w:r w:rsidR="00A03629" w:rsidRPr="004616AC">
              <w:rPr>
                <w:b/>
                <w:bCs/>
              </w:rPr>
              <w:t xml:space="preserve"> </w:t>
            </w:r>
            <w:r w:rsidRPr="004616AC">
              <w:rPr>
                <w:b/>
                <w:bCs/>
              </w:rPr>
              <w:t>provisions</w:t>
            </w:r>
          </w:p>
        </w:tc>
        <w:tc>
          <w:tcPr>
            <w:tcW w:w="1626" w:type="dxa"/>
          </w:tcPr>
          <w:p w14:paraId="1838B9B4" w14:textId="51B2A02D" w:rsidR="000756EB" w:rsidRPr="004616AC" w:rsidRDefault="004A4D88" w:rsidP="004616AC">
            <w:pPr>
              <w:pStyle w:val="TableCopy"/>
              <w:jc w:val="right"/>
              <w:rPr>
                <w:b/>
                <w:bCs/>
              </w:rPr>
            </w:pPr>
            <w:r w:rsidRPr="004616AC">
              <w:rPr>
                <w:b/>
                <w:bCs/>
              </w:rPr>
              <w:t>11</w:t>
            </w:r>
          </w:p>
        </w:tc>
        <w:tc>
          <w:tcPr>
            <w:tcW w:w="1627" w:type="dxa"/>
          </w:tcPr>
          <w:p w14:paraId="5338F26D" w14:textId="4CB7B63E" w:rsidR="000756EB" w:rsidRPr="004616AC" w:rsidRDefault="004A4D88" w:rsidP="004616AC">
            <w:pPr>
              <w:pStyle w:val="TableCopy"/>
              <w:jc w:val="right"/>
              <w:rPr>
                <w:b/>
                <w:bCs/>
              </w:rPr>
            </w:pPr>
            <w:r w:rsidRPr="004616AC">
              <w:rPr>
                <w:b/>
                <w:bCs/>
              </w:rPr>
              <w:t>29,118</w:t>
            </w:r>
          </w:p>
        </w:tc>
      </w:tr>
      <w:tr w:rsidR="000756EB" w:rsidRPr="004616AC" w14:paraId="120FD9DB" w14:textId="77777777" w:rsidTr="00DE38B5">
        <w:tc>
          <w:tcPr>
            <w:tcW w:w="6917" w:type="dxa"/>
          </w:tcPr>
          <w:p w14:paraId="39AA3404" w14:textId="7A557209" w:rsidR="000756EB" w:rsidRPr="004616AC" w:rsidRDefault="004A4D88" w:rsidP="004616AC">
            <w:pPr>
              <w:pStyle w:val="TableHeading"/>
              <w:rPr>
                <w:rFonts w:asciiTheme="minorHAnsi" w:hAnsiTheme="minorHAnsi" w:cstheme="minorHAnsi"/>
              </w:rPr>
            </w:pPr>
            <w:r w:rsidRPr="004616AC">
              <w:rPr>
                <w:rFonts w:asciiTheme="minorHAnsi" w:hAnsiTheme="minorHAnsi" w:cstheme="minorHAnsi"/>
              </w:rPr>
              <w:t>Non-current</w:t>
            </w:r>
            <w:r w:rsidR="00A03629" w:rsidRPr="004616AC">
              <w:rPr>
                <w:rFonts w:asciiTheme="minorHAnsi" w:hAnsiTheme="minorHAnsi" w:cstheme="minorHAnsi"/>
              </w:rPr>
              <w:t xml:space="preserve"> </w:t>
            </w:r>
            <w:r w:rsidRPr="004616AC">
              <w:rPr>
                <w:rFonts w:asciiTheme="minorHAnsi" w:hAnsiTheme="minorHAnsi" w:cstheme="minorHAnsi"/>
              </w:rPr>
              <w:t>provisions</w:t>
            </w:r>
          </w:p>
        </w:tc>
        <w:tc>
          <w:tcPr>
            <w:tcW w:w="1626" w:type="dxa"/>
          </w:tcPr>
          <w:p w14:paraId="519A51BF" w14:textId="77777777" w:rsidR="000756EB" w:rsidRPr="004616AC" w:rsidRDefault="000756EB" w:rsidP="004616AC">
            <w:pPr>
              <w:pStyle w:val="TableHeading"/>
              <w:jc w:val="right"/>
              <w:rPr>
                <w:rFonts w:asciiTheme="minorHAnsi" w:hAnsiTheme="minorHAnsi" w:cstheme="minorHAnsi"/>
                <w:lang w:val="en-AU"/>
              </w:rPr>
            </w:pPr>
          </w:p>
        </w:tc>
        <w:tc>
          <w:tcPr>
            <w:tcW w:w="1627" w:type="dxa"/>
          </w:tcPr>
          <w:p w14:paraId="283EF37D" w14:textId="77777777" w:rsidR="000756EB" w:rsidRPr="004616AC" w:rsidRDefault="000756EB" w:rsidP="004616AC">
            <w:pPr>
              <w:pStyle w:val="TableHeading"/>
              <w:jc w:val="right"/>
              <w:rPr>
                <w:rFonts w:asciiTheme="minorHAnsi" w:hAnsiTheme="minorHAnsi" w:cstheme="minorHAnsi"/>
                <w:lang w:val="en-AU"/>
              </w:rPr>
            </w:pPr>
          </w:p>
        </w:tc>
      </w:tr>
      <w:tr w:rsidR="000756EB" w:rsidRPr="004616AC" w14:paraId="14C9F325" w14:textId="77777777" w:rsidTr="00DE38B5">
        <w:tc>
          <w:tcPr>
            <w:tcW w:w="6917" w:type="dxa"/>
          </w:tcPr>
          <w:p w14:paraId="05255910" w14:textId="09E0601D" w:rsidR="000756EB" w:rsidRPr="004616AC" w:rsidRDefault="004A4D88" w:rsidP="004616AC">
            <w:pPr>
              <w:pStyle w:val="TableCopy"/>
            </w:pPr>
            <w:r w:rsidRPr="004616AC">
              <w:t>Asset</w:t>
            </w:r>
            <w:r w:rsidR="00A03629" w:rsidRPr="004616AC">
              <w:t xml:space="preserve"> </w:t>
            </w:r>
            <w:r w:rsidRPr="004616AC">
              <w:t>dismantling</w:t>
            </w:r>
            <w:r w:rsidR="00A03629" w:rsidRPr="004616AC">
              <w:t xml:space="preserve"> </w:t>
            </w:r>
            <w:r w:rsidRPr="004616AC">
              <w:t>provision</w:t>
            </w:r>
          </w:p>
        </w:tc>
        <w:tc>
          <w:tcPr>
            <w:tcW w:w="1626" w:type="dxa"/>
          </w:tcPr>
          <w:p w14:paraId="04D67EA0" w14:textId="3ED7357A" w:rsidR="000756EB" w:rsidRPr="004616AC" w:rsidRDefault="004A4D88" w:rsidP="004616AC">
            <w:pPr>
              <w:pStyle w:val="TableCopy"/>
              <w:jc w:val="right"/>
            </w:pPr>
            <w:r w:rsidRPr="004616AC">
              <w:t>3,255</w:t>
            </w:r>
          </w:p>
        </w:tc>
        <w:tc>
          <w:tcPr>
            <w:tcW w:w="1627" w:type="dxa"/>
          </w:tcPr>
          <w:p w14:paraId="33C4825D" w14:textId="612B51B3" w:rsidR="000756EB" w:rsidRPr="004616AC" w:rsidRDefault="004A4D88" w:rsidP="004616AC">
            <w:pPr>
              <w:pStyle w:val="TableCopy"/>
              <w:jc w:val="right"/>
            </w:pPr>
            <w:r w:rsidRPr="004616AC">
              <w:t>1,572</w:t>
            </w:r>
          </w:p>
        </w:tc>
      </w:tr>
      <w:tr w:rsidR="000756EB" w:rsidRPr="004616AC" w14:paraId="727D8F24" w14:textId="77777777" w:rsidTr="00DE38B5">
        <w:tc>
          <w:tcPr>
            <w:tcW w:w="6917" w:type="dxa"/>
          </w:tcPr>
          <w:p w14:paraId="22817F40" w14:textId="29C32128" w:rsidR="000756EB" w:rsidRPr="004616AC" w:rsidRDefault="004A4D88" w:rsidP="004616AC">
            <w:pPr>
              <w:pStyle w:val="TableCopy"/>
              <w:rPr>
                <w:b/>
                <w:bCs/>
              </w:rPr>
            </w:pPr>
            <w:r w:rsidRPr="004616AC">
              <w:rPr>
                <w:b/>
                <w:bCs/>
              </w:rPr>
              <w:t>Total</w:t>
            </w:r>
            <w:r w:rsidR="00A03629" w:rsidRPr="004616AC">
              <w:rPr>
                <w:b/>
                <w:bCs/>
              </w:rPr>
              <w:t xml:space="preserve"> </w:t>
            </w:r>
            <w:r w:rsidRPr="004616AC">
              <w:rPr>
                <w:b/>
                <w:bCs/>
              </w:rPr>
              <w:t>non-current</w:t>
            </w:r>
            <w:r w:rsidR="00A03629" w:rsidRPr="004616AC">
              <w:rPr>
                <w:b/>
                <w:bCs/>
              </w:rPr>
              <w:t xml:space="preserve"> </w:t>
            </w:r>
            <w:r w:rsidRPr="004616AC">
              <w:rPr>
                <w:b/>
                <w:bCs/>
              </w:rPr>
              <w:t>provisions</w:t>
            </w:r>
          </w:p>
        </w:tc>
        <w:tc>
          <w:tcPr>
            <w:tcW w:w="1626" w:type="dxa"/>
          </w:tcPr>
          <w:p w14:paraId="5CFB858D" w14:textId="55EA2BB3" w:rsidR="000756EB" w:rsidRPr="004616AC" w:rsidRDefault="004A4D88" w:rsidP="004616AC">
            <w:pPr>
              <w:pStyle w:val="TableCopy"/>
              <w:jc w:val="right"/>
              <w:rPr>
                <w:b/>
                <w:bCs/>
              </w:rPr>
            </w:pPr>
            <w:r w:rsidRPr="004616AC">
              <w:rPr>
                <w:b/>
                <w:bCs/>
              </w:rPr>
              <w:t>3,255</w:t>
            </w:r>
          </w:p>
        </w:tc>
        <w:tc>
          <w:tcPr>
            <w:tcW w:w="1627" w:type="dxa"/>
          </w:tcPr>
          <w:p w14:paraId="383F611E" w14:textId="139B4C8B" w:rsidR="000756EB" w:rsidRPr="004616AC" w:rsidRDefault="004A4D88" w:rsidP="004616AC">
            <w:pPr>
              <w:pStyle w:val="TableCopy"/>
              <w:jc w:val="right"/>
              <w:rPr>
                <w:b/>
                <w:bCs/>
              </w:rPr>
            </w:pPr>
            <w:r w:rsidRPr="004616AC">
              <w:rPr>
                <w:b/>
                <w:bCs/>
              </w:rPr>
              <w:t>1,572</w:t>
            </w:r>
          </w:p>
        </w:tc>
      </w:tr>
      <w:tr w:rsidR="000756EB" w:rsidRPr="004616AC" w14:paraId="037D6476" w14:textId="77777777" w:rsidTr="00DE38B5">
        <w:tc>
          <w:tcPr>
            <w:tcW w:w="6917" w:type="dxa"/>
          </w:tcPr>
          <w:p w14:paraId="55E950B6" w14:textId="1EF82409" w:rsidR="000756EB" w:rsidRPr="004616AC" w:rsidRDefault="004A4D88" w:rsidP="004616AC">
            <w:pPr>
              <w:pStyle w:val="TableCopy"/>
              <w:rPr>
                <w:b/>
                <w:bCs/>
              </w:rPr>
            </w:pPr>
            <w:r w:rsidRPr="004616AC">
              <w:rPr>
                <w:b/>
                <w:bCs/>
              </w:rPr>
              <w:t>Total</w:t>
            </w:r>
            <w:r w:rsidR="00A03629" w:rsidRPr="004616AC">
              <w:rPr>
                <w:b/>
                <w:bCs/>
              </w:rPr>
              <w:t xml:space="preserve"> </w:t>
            </w:r>
            <w:r w:rsidRPr="004616AC">
              <w:rPr>
                <w:b/>
                <w:bCs/>
              </w:rPr>
              <w:t>other</w:t>
            </w:r>
            <w:r w:rsidR="00A03629" w:rsidRPr="004616AC">
              <w:rPr>
                <w:b/>
                <w:bCs/>
              </w:rPr>
              <w:t xml:space="preserve"> </w:t>
            </w:r>
            <w:r w:rsidRPr="004616AC">
              <w:rPr>
                <w:b/>
                <w:bCs/>
              </w:rPr>
              <w:t>provisions</w:t>
            </w:r>
          </w:p>
        </w:tc>
        <w:tc>
          <w:tcPr>
            <w:tcW w:w="1626" w:type="dxa"/>
          </w:tcPr>
          <w:p w14:paraId="72CA4109" w14:textId="47D43428" w:rsidR="000756EB" w:rsidRPr="004616AC" w:rsidRDefault="004A4D88" w:rsidP="004616AC">
            <w:pPr>
              <w:pStyle w:val="TableCopy"/>
              <w:jc w:val="right"/>
              <w:rPr>
                <w:b/>
                <w:bCs/>
              </w:rPr>
            </w:pPr>
            <w:r w:rsidRPr="004616AC">
              <w:rPr>
                <w:b/>
                <w:bCs/>
              </w:rPr>
              <w:t>3,266</w:t>
            </w:r>
          </w:p>
        </w:tc>
        <w:tc>
          <w:tcPr>
            <w:tcW w:w="1627" w:type="dxa"/>
          </w:tcPr>
          <w:p w14:paraId="542DFE30" w14:textId="32E1BD32" w:rsidR="000756EB" w:rsidRPr="004616AC" w:rsidRDefault="004A4D88" w:rsidP="004616AC">
            <w:pPr>
              <w:pStyle w:val="TableCopy"/>
              <w:jc w:val="right"/>
              <w:rPr>
                <w:b/>
                <w:bCs/>
              </w:rPr>
            </w:pPr>
            <w:r w:rsidRPr="004616AC">
              <w:rPr>
                <w:b/>
                <w:bCs/>
              </w:rPr>
              <w:t>30,690</w:t>
            </w:r>
          </w:p>
        </w:tc>
      </w:tr>
    </w:tbl>
    <w:p w14:paraId="6CF47DF8" w14:textId="019BAD30" w:rsidR="000756EB" w:rsidRDefault="00C41F1F" w:rsidP="00105BB0">
      <w:pPr>
        <w:pStyle w:val="FootnoteText"/>
        <w:spacing w:before="120" w:after="280"/>
      </w:pPr>
      <w:r>
        <w:t>(</w:t>
      </w:r>
      <w:proofErr w:type="spellStart"/>
      <w:r>
        <w:t>i</w:t>
      </w:r>
      <w:proofErr w:type="spellEnd"/>
      <w:r>
        <w:t>) The mining site rehabilitation provision was transferred out to DEECA due to the machinery of government change effective 1</w:t>
      </w:r>
      <w:r>
        <w:rPr>
          <w:rFonts w:ascii="Cambria" w:hAnsi="Cambria" w:cs="Cambria"/>
        </w:rPr>
        <w:t xml:space="preserve"> </w:t>
      </w:r>
      <w:r>
        <w:t>January</w:t>
      </w:r>
      <w:r>
        <w:rPr>
          <w:rFonts w:ascii="Cambria" w:hAnsi="Cambria" w:cs="Cambria"/>
        </w:rPr>
        <w:t xml:space="preserve"> </w:t>
      </w:r>
      <w:r>
        <w:t>2023.</w:t>
      </w:r>
    </w:p>
    <w:p w14:paraId="7A9178FE" w14:textId="1AEDB30D" w:rsidR="000756EB" w:rsidRDefault="004A4D88" w:rsidP="004616AC">
      <w:r>
        <w:t>Other</w:t>
      </w:r>
      <w:r w:rsidR="00A03629">
        <w:t xml:space="preserve"> </w:t>
      </w:r>
      <w:r>
        <w:t>provisions</w:t>
      </w:r>
      <w:r w:rsidR="00A03629">
        <w:t xml:space="preserve"> </w:t>
      </w:r>
      <w:r>
        <w:t>are</w:t>
      </w:r>
      <w:r w:rsidR="00A03629">
        <w:t xml:space="preserve"> </w:t>
      </w:r>
      <w:r>
        <w:t>recognised</w:t>
      </w:r>
      <w:r w:rsidR="00A03629">
        <w:t xml:space="preserve"> </w:t>
      </w:r>
      <w:r>
        <w:t>when</w:t>
      </w:r>
      <w:r w:rsidR="00A03629">
        <w:t xml:space="preserve"> </w:t>
      </w:r>
      <w:r>
        <w:t>DJSIR</w:t>
      </w:r>
      <w:r w:rsidR="00A03629">
        <w:t xml:space="preserve"> </w:t>
      </w:r>
      <w:r>
        <w:t>has</w:t>
      </w:r>
      <w:r w:rsidR="00A03629">
        <w:t xml:space="preserve"> </w:t>
      </w:r>
      <w:r>
        <w:t>a</w:t>
      </w:r>
      <w:r w:rsidR="00A03629">
        <w:t xml:space="preserve"> </w:t>
      </w:r>
      <w:r>
        <w:t>present</w:t>
      </w:r>
      <w:r w:rsidR="00A03629">
        <w:t xml:space="preserve"> </w:t>
      </w:r>
      <w:r>
        <w:t>obligation,</w:t>
      </w:r>
      <w:r w:rsidR="00A03629">
        <w:t xml:space="preserve"> </w:t>
      </w:r>
      <w:r>
        <w:t>the</w:t>
      </w:r>
      <w:r w:rsidR="00A03629">
        <w:t xml:space="preserve"> </w:t>
      </w:r>
      <w:r>
        <w:t>future</w:t>
      </w:r>
      <w:r w:rsidR="00A03629">
        <w:t xml:space="preserve"> </w:t>
      </w:r>
      <w:r>
        <w:t>sacrifice</w:t>
      </w:r>
      <w:r w:rsidR="00A03629">
        <w:t xml:space="preserve"> </w:t>
      </w:r>
      <w:r>
        <w:t>of</w:t>
      </w:r>
      <w:r w:rsidR="00A03629">
        <w:t xml:space="preserve"> </w:t>
      </w:r>
      <w:r>
        <w:t>economic</w:t>
      </w:r>
      <w:r w:rsidR="00A03629">
        <w:t xml:space="preserve"> </w:t>
      </w:r>
      <w:r>
        <w:t>benefits</w:t>
      </w:r>
      <w:r w:rsidR="00A03629">
        <w:t xml:space="preserve"> </w:t>
      </w:r>
      <w:r>
        <w:t>is</w:t>
      </w:r>
      <w:r w:rsidR="00A03629">
        <w:t xml:space="preserve"> </w:t>
      </w:r>
      <w:r>
        <w:t>probable,</w:t>
      </w:r>
      <w:r w:rsidR="00A03629">
        <w:t xml:space="preserve"> </w:t>
      </w:r>
      <w:r>
        <w:t>and</w:t>
      </w:r>
      <w:r w:rsidR="00A03629">
        <w:t xml:space="preserve"> </w:t>
      </w:r>
      <w:r>
        <w:t>the</w:t>
      </w:r>
      <w:r w:rsidR="00A03629">
        <w:t xml:space="preserve"> </w:t>
      </w:r>
      <w:r>
        <w:t>amount</w:t>
      </w:r>
      <w:r w:rsidR="00A03629">
        <w:t xml:space="preserve"> </w:t>
      </w:r>
      <w:r>
        <w:t>of</w:t>
      </w:r>
      <w:r w:rsidR="00A03629">
        <w:t xml:space="preserve"> </w:t>
      </w:r>
      <w:r>
        <w:t>the</w:t>
      </w:r>
      <w:r w:rsidR="00A03629">
        <w:t xml:space="preserve"> </w:t>
      </w:r>
      <w:r>
        <w:t>provision</w:t>
      </w:r>
      <w:r w:rsidR="00A03629">
        <w:t xml:space="preserve"> </w:t>
      </w:r>
      <w:r>
        <w:t>can</w:t>
      </w:r>
      <w:r w:rsidR="00A03629">
        <w:t xml:space="preserve"> </w:t>
      </w:r>
      <w:r>
        <w:t>be</w:t>
      </w:r>
      <w:r w:rsidR="00A03629">
        <w:t xml:space="preserve"> </w:t>
      </w:r>
      <w:r>
        <w:t>measured</w:t>
      </w:r>
      <w:r w:rsidR="00A03629">
        <w:t xml:space="preserve"> </w:t>
      </w:r>
      <w:r>
        <w:t>reliably.</w:t>
      </w:r>
      <w:r w:rsidR="00A03629">
        <w:t xml:space="preserve"> </w:t>
      </w:r>
      <w:r>
        <w:t>The</w:t>
      </w:r>
      <w:r w:rsidR="00A03629">
        <w:t xml:space="preserve"> </w:t>
      </w:r>
      <w:r>
        <w:t>amount</w:t>
      </w:r>
      <w:r w:rsidR="00A03629">
        <w:t xml:space="preserve"> </w:t>
      </w:r>
      <w:r>
        <w:t>recognised</w:t>
      </w:r>
      <w:r w:rsidR="00A03629">
        <w:t xml:space="preserve"> </w:t>
      </w:r>
      <w:r>
        <w:t>as</w:t>
      </w:r>
      <w:r w:rsidR="00A03629">
        <w:t xml:space="preserve"> </w:t>
      </w:r>
      <w:r>
        <w:t>a</w:t>
      </w:r>
      <w:r w:rsidR="00A03629">
        <w:t xml:space="preserve"> </w:t>
      </w:r>
      <w:r>
        <w:t>provision</w:t>
      </w:r>
      <w:r w:rsidR="00A03629">
        <w:t xml:space="preserve"> </w:t>
      </w:r>
      <w:r>
        <w:t>is</w:t>
      </w:r>
      <w:r w:rsidR="00A03629">
        <w:t xml:space="preserve"> </w:t>
      </w:r>
      <w:r>
        <w:t>the</w:t>
      </w:r>
      <w:r w:rsidR="00A03629">
        <w:t xml:space="preserve"> </w:t>
      </w:r>
      <w:r>
        <w:t>best</w:t>
      </w:r>
      <w:r w:rsidR="00A03629">
        <w:t xml:space="preserve"> </w:t>
      </w:r>
      <w:r>
        <w:t>estimate</w:t>
      </w:r>
      <w:r w:rsidR="00A03629">
        <w:t xml:space="preserve"> </w:t>
      </w:r>
      <w:r>
        <w:t>of</w:t>
      </w:r>
      <w:r w:rsidR="00A03629">
        <w:t xml:space="preserve"> </w:t>
      </w:r>
      <w:r>
        <w:t>the</w:t>
      </w:r>
      <w:r w:rsidR="00A03629">
        <w:t xml:space="preserve"> </w:t>
      </w:r>
      <w:r>
        <w:t>consideration</w:t>
      </w:r>
      <w:r w:rsidR="00A03629">
        <w:t xml:space="preserve"> </w:t>
      </w:r>
      <w:r>
        <w:t>required</w:t>
      </w:r>
      <w:r w:rsidR="00A03629">
        <w:t xml:space="preserve"> </w:t>
      </w:r>
      <w:r>
        <w:t>to</w:t>
      </w:r>
      <w:r w:rsidR="00A03629">
        <w:t xml:space="preserve"> </w:t>
      </w:r>
      <w:r>
        <w:t>settle</w:t>
      </w:r>
      <w:r w:rsidR="00A03629">
        <w:t xml:space="preserve"> </w:t>
      </w:r>
      <w:r>
        <w:t>the</w:t>
      </w:r>
      <w:r w:rsidR="00A03629">
        <w:t xml:space="preserve"> </w:t>
      </w:r>
      <w:r>
        <w:t>present</w:t>
      </w:r>
      <w:r w:rsidR="00A03629">
        <w:t xml:space="preserve"> </w:t>
      </w:r>
      <w:r>
        <w:t>obligation</w:t>
      </w:r>
      <w:r w:rsidR="00A03629">
        <w:t xml:space="preserve"> </w:t>
      </w:r>
      <w:r>
        <w:t>at</w:t>
      </w:r>
      <w:r w:rsidR="00A03629">
        <w:t xml:space="preserve"> </w:t>
      </w:r>
      <w:r>
        <w:t>reporting</w:t>
      </w:r>
      <w:r w:rsidR="00A03629">
        <w:t xml:space="preserve"> </w:t>
      </w:r>
      <w:r>
        <w:t>date,</w:t>
      </w:r>
      <w:r w:rsidR="00A03629">
        <w:t xml:space="preserve"> </w:t>
      </w:r>
      <w:proofErr w:type="gramStart"/>
      <w:r>
        <w:t>taking</w:t>
      </w:r>
      <w:r w:rsidR="00A03629">
        <w:t xml:space="preserve"> </w:t>
      </w:r>
      <w:r>
        <w:t>into</w:t>
      </w:r>
      <w:r w:rsidR="00A03629">
        <w:t xml:space="preserve"> </w:t>
      </w:r>
      <w:r>
        <w:t>account</w:t>
      </w:r>
      <w:proofErr w:type="gramEnd"/>
      <w:r w:rsidR="00A03629">
        <w:t xml:space="preserve"> </w:t>
      </w:r>
      <w:r>
        <w:t>the</w:t>
      </w:r>
      <w:r w:rsidR="00A03629">
        <w:t xml:space="preserve"> </w:t>
      </w:r>
      <w:r>
        <w:t>risks</w:t>
      </w:r>
      <w:r w:rsidR="00A03629">
        <w:t xml:space="preserve"> </w:t>
      </w:r>
      <w:r>
        <w:t>and</w:t>
      </w:r>
      <w:r w:rsidR="00A03629">
        <w:t xml:space="preserve"> </w:t>
      </w:r>
      <w:r>
        <w:t>uncertainties</w:t>
      </w:r>
      <w:r w:rsidR="00A03629">
        <w:t xml:space="preserve"> </w:t>
      </w:r>
      <w:r>
        <w:t>surrounding</w:t>
      </w:r>
      <w:r w:rsidR="00A03629">
        <w:t xml:space="preserve"> </w:t>
      </w:r>
      <w:r>
        <w:t>the</w:t>
      </w:r>
      <w:r w:rsidR="00A03629">
        <w:t xml:space="preserve"> </w:t>
      </w:r>
      <w:r>
        <w:t>obligation.</w:t>
      </w:r>
    </w:p>
    <w:p w14:paraId="39DBA9AD" w14:textId="315E9D06" w:rsidR="000756EB" w:rsidRDefault="004A4D88" w:rsidP="004616AC">
      <w:r>
        <w:t>Where</w:t>
      </w:r>
      <w:r w:rsidR="00A03629">
        <w:t xml:space="preserve"> </w:t>
      </w:r>
      <w:r>
        <w:t>a</w:t>
      </w:r>
      <w:r w:rsidR="00A03629">
        <w:t xml:space="preserve"> </w:t>
      </w:r>
      <w:r>
        <w:t>provision</w:t>
      </w:r>
      <w:r w:rsidR="00A03629">
        <w:t xml:space="preserve"> </w:t>
      </w:r>
      <w:r>
        <w:t>is</w:t>
      </w:r>
      <w:r w:rsidR="00A03629">
        <w:t xml:space="preserve"> </w:t>
      </w:r>
      <w:r>
        <w:t>measured</w:t>
      </w:r>
      <w:r w:rsidR="00A03629">
        <w:t xml:space="preserve"> </w:t>
      </w:r>
      <w:r>
        <w:t>using</w:t>
      </w:r>
      <w:r w:rsidR="00A03629">
        <w:t xml:space="preserve"> </w:t>
      </w:r>
      <w:r>
        <w:t>the</w:t>
      </w:r>
      <w:r w:rsidR="00A03629">
        <w:t xml:space="preserve"> </w:t>
      </w:r>
      <w:r>
        <w:t>cash</w:t>
      </w:r>
      <w:r w:rsidR="00A03629">
        <w:t xml:space="preserve"> </w:t>
      </w:r>
      <w:r>
        <w:t>flows</w:t>
      </w:r>
      <w:r w:rsidR="00A03629">
        <w:t xml:space="preserve"> </w:t>
      </w:r>
      <w:r>
        <w:t>estimated</w:t>
      </w:r>
      <w:r w:rsidR="00A03629">
        <w:t xml:space="preserve"> </w:t>
      </w:r>
      <w:r>
        <w:t>to</w:t>
      </w:r>
      <w:r w:rsidR="00A03629">
        <w:t xml:space="preserve"> </w:t>
      </w:r>
      <w:r>
        <w:t>settle</w:t>
      </w:r>
      <w:r w:rsidR="00A03629">
        <w:t xml:space="preserve"> </w:t>
      </w:r>
      <w:r>
        <w:t>the</w:t>
      </w:r>
      <w:r w:rsidR="00A03629">
        <w:t xml:space="preserve"> </w:t>
      </w:r>
      <w:r>
        <w:t>present</w:t>
      </w:r>
      <w:r w:rsidR="00A03629">
        <w:t xml:space="preserve"> </w:t>
      </w:r>
      <w:r>
        <w:t>obligation,</w:t>
      </w:r>
      <w:r w:rsidR="00A03629">
        <w:t xml:space="preserve"> </w:t>
      </w:r>
      <w:proofErr w:type="gramStart"/>
      <w:r>
        <w:t>its</w:t>
      </w:r>
      <w:proofErr w:type="gramEnd"/>
      <w:r w:rsidR="00A03629">
        <w:t xml:space="preserve"> </w:t>
      </w:r>
      <w:r>
        <w:t>carrying</w:t>
      </w:r>
      <w:r w:rsidR="00A03629">
        <w:t xml:space="preserve"> </w:t>
      </w:r>
      <w:r>
        <w:t>amount</w:t>
      </w:r>
      <w:r w:rsidR="00A03629">
        <w:t xml:space="preserve"> </w:t>
      </w:r>
      <w:r>
        <w:t>is</w:t>
      </w:r>
      <w:r w:rsidR="00A03629">
        <w:t xml:space="preserve"> </w:t>
      </w:r>
      <w:r>
        <w:t>the</w:t>
      </w:r>
      <w:r w:rsidR="00A03629">
        <w:t xml:space="preserve"> </w:t>
      </w:r>
      <w:r>
        <w:t>present</w:t>
      </w:r>
      <w:r w:rsidR="00A03629">
        <w:t xml:space="preserve"> </w:t>
      </w:r>
      <w:r>
        <w:t>value</w:t>
      </w:r>
      <w:r w:rsidR="00A03629">
        <w:t xml:space="preserve"> </w:t>
      </w:r>
      <w:r>
        <w:t>of</w:t>
      </w:r>
      <w:r w:rsidR="00A03629">
        <w:t xml:space="preserve"> </w:t>
      </w:r>
      <w:r>
        <w:t>those</w:t>
      </w:r>
      <w:r w:rsidR="00A03629">
        <w:t xml:space="preserve"> </w:t>
      </w:r>
      <w:r>
        <w:t>cash</w:t>
      </w:r>
      <w:r w:rsidR="00A03629">
        <w:t xml:space="preserve"> </w:t>
      </w:r>
      <w:r>
        <w:t>flows,</w:t>
      </w:r>
      <w:r w:rsidR="00A03629">
        <w:t xml:space="preserve"> </w:t>
      </w:r>
      <w:r>
        <w:t>using</w:t>
      </w:r>
      <w:r w:rsidR="00A03629">
        <w:t xml:space="preserve"> </w:t>
      </w:r>
      <w:r>
        <w:t>a</w:t>
      </w:r>
      <w:r w:rsidR="00A03629">
        <w:t xml:space="preserve"> </w:t>
      </w:r>
      <w:r>
        <w:t>discount</w:t>
      </w:r>
      <w:r w:rsidR="00A03629">
        <w:t xml:space="preserve"> </w:t>
      </w:r>
      <w:r>
        <w:t>rate</w:t>
      </w:r>
      <w:r w:rsidR="00A03629">
        <w:t xml:space="preserve"> </w:t>
      </w:r>
      <w:r>
        <w:t>that</w:t>
      </w:r>
      <w:r w:rsidR="00A03629">
        <w:t xml:space="preserve"> </w:t>
      </w:r>
      <w:r>
        <w:t>reflects</w:t>
      </w:r>
      <w:r w:rsidR="00A03629">
        <w:t xml:space="preserve"> </w:t>
      </w:r>
      <w:r>
        <w:t>the</w:t>
      </w:r>
      <w:r w:rsidR="00A03629">
        <w:t xml:space="preserve"> </w:t>
      </w:r>
      <w:r>
        <w:t>time,</w:t>
      </w:r>
      <w:r w:rsidR="00A03629">
        <w:t xml:space="preserve"> </w:t>
      </w:r>
      <w:r>
        <w:t>value</w:t>
      </w:r>
      <w:r w:rsidR="00A03629">
        <w:t xml:space="preserve"> </w:t>
      </w:r>
      <w:r>
        <w:t>of</w:t>
      </w:r>
      <w:r w:rsidR="00A03629">
        <w:t xml:space="preserve"> </w:t>
      </w:r>
      <w:r>
        <w:t>money</w:t>
      </w:r>
      <w:r w:rsidR="00A03629">
        <w:t xml:space="preserve"> </w:t>
      </w:r>
      <w:r>
        <w:t>and</w:t>
      </w:r>
      <w:r w:rsidR="00A03629">
        <w:t xml:space="preserve"> </w:t>
      </w:r>
      <w:r>
        <w:t>risks</w:t>
      </w:r>
      <w:r w:rsidR="00A03629">
        <w:t xml:space="preserve"> </w:t>
      </w:r>
      <w:r>
        <w:t>specific</w:t>
      </w:r>
      <w:r w:rsidR="00A03629">
        <w:t xml:space="preserve"> </w:t>
      </w:r>
      <w:r>
        <w:t>to</w:t>
      </w:r>
      <w:r w:rsidR="00A03629">
        <w:t xml:space="preserve"> </w:t>
      </w:r>
      <w:r>
        <w:t>the</w:t>
      </w:r>
      <w:r w:rsidR="00A03629">
        <w:t xml:space="preserve"> </w:t>
      </w:r>
      <w:r>
        <w:t>provision.</w:t>
      </w:r>
    </w:p>
    <w:p w14:paraId="3B092000" w14:textId="1D97C4C9" w:rsidR="000756EB" w:rsidRPr="004616AC" w:rsidRDefault="004A4D88" w:rsidP="004616AC">
      <w:pPr>
        <w:pStyle w:val="Normalbeforebullets"/>
        <w:rPr>
          <w:b/>
          <w:bCs/>
        </w:rPr>
      </w:pPr>
      <w:r w:rsidRPr="004616AC">
        <w:rPr>
          <w:b/>
          <w:bCs/>
        </w:rPr>
        <w:lastRenderedPageBreak/>
        <w:t>Reconciliation</w:t>
      </w:r>
      <w:r w:rsidR="00A03629" w:rsidRPr="004616AC">
        <w:rPr>
          <w:b/>
          <w:bCs/>
        </w:rPr>
        <w:t xml:space="preserve"> </w:t>
      </w:r>
      <w:r w:rsidRPr="004616AC">
        <w:rPr>
          <w:b/>
          <w:bCs/>
        </w:rPr>
        <w:t>of</w:t>
      </w:r>
      <w:r w:rsidR="00A03629" w:rsidRPr="004616AC">
        <w:rPr>
          <w:b/>
          <w:bCs/>
        </w:rPr>
        <w:t xml:space="preserve"> </w:t>
      </w:r>
      <w:r w:rsidRPr="004616AC">
        <w:rPr>
          <w:b/>
          <w:bCs/>
        </w:rPr>
        <w:t>movement</w:t>
      </w:r>
      <w:r w:rsidR="00A03629" w:rsidRPr="004616AC">
        <w:rPr>
          <w:b/>
          <w:bCs/>
        </w:rPr>
        <w:t xml:space="preserve"> </w:t>
      </w:r>
      <w:r w:rsidRPr="004616AC">
        <w:rPr>
          <w:b/>
          <w:bCs/>
        </w:rPr>
        <w:t>in</w:t>
      </w:r>
      <w:r w:rsidR="00A03629" w:rsidRPr="004616AC">
        <w:rPr>
          <w:b/>
          <w:bCs/>
        </w:rPr>
        <w:t xml:space="preserve"> </w:t>
      </w:r>
      <w:r w:rsidRPr="004616AC">
        <w:rPr>
          <w:b/>
          <w:bCs/>
        </w:rPr>
        <w:t>other</w:t>
      </w:r>
      <w:r w:rsidR="00A03629" w:rsidRPr="004616AC">
        <w:rPr>
          <w:b/>
          <w:bCs/>
        </w:rPr>
        <w:t xml:space="preserve"> </w:t>
      </w:r>
      <w:r w:rsidRPr="004616AC">
        <w:rPr>
          <w:b/>
          <w:bCs/>
        </w:rPr>
        <w:t>provisions</w:t>
      </w:r>
    </w:p>
    <w:tbl>
      <w:tblPr>
        <w:tblStyle w:val="TableGrid"/>
        <w:tblW w:w="10201" w:type="dxa"/>
        <w:tblLayout w:type="fixed"/>
        <w:tblLook w:val="0020" w:firstRow="1" w:lastRow="0" w:firstColumn="0" w:lastColumn="0" w:noHBand="0" w:noVBand="0"/>
      </w:tblPr>
      <w:tblGrid>
        <w:gridCol w:w="6917"/>
        <w:gridCol w:w="1642"/>
        <w:gridCol w:w="1642"/>
      </w:tblGrid>
      <w:tr w:rsidR="000756EB" w:rsidRPr="004616AC" w14:paraId="733FB5A6" w14:textId="77777777" w:rsidTr="004616AC">
        <w:trPr>
          <w:cantSplit/>
        </w:trPr>
        <w:tc>
          <w:tcPr>
            <w:tcW w:w="6917" w:type="dxa"/>
          </w:tcPr>
          <w:p w14:paraId="043DE18B" w14:textId="77777777" w:rsidR="000756EB" w:rsidRPr="004616AC" w:rsidRDefault="000756EB" w:rsidP="004616AC">
            <w:pPr>
              <w:pStyle w:val="TableColumnHeading"/>
            </w:pPr>
            <w:bookmarkStart w:id="86" w:name="ColumnTitles_51"/>
            <w:bookmarkEnd w:id="86"/>
          </w:p>
        </w:tc>
        <w:tc>
          <w:tcPr>
            <w:tcW w:w="1642" w:type="dxa"/>
          </w:tcPr>
          <w:p w14:paraId="55023456" w14:textId="07367061" w:rsidR="000756EB" w:rsidRPr="004616AC" w:rsidRDefault="004A4D88" w:rsidP="004616AC">
            <w:pPr>
              <w:pStyle w:val="TableColumnHeading"/>
              <w:jc w:val="right"/>
            </w:pPr>
            <w:r w:rsidRPr="004616AC">
              <w:t>2023</w:t>
            </w:r>
            <w:r w:rsidR="00A03629" w:rsidRPr="004616AC">
              <w:t xml:space="preserve"> </w:t>
            </w:r>
            <w:r w:rsidR="004616AC" w:rsidRPr="004616AC">
              <w:t>($</w:t>
            </w:r>
            <w:r w:rsidR="004616AC">
              <w:t> </w:t>
            </w:r>
            <w:r w:rsidR="004616AC" w:rsidRPr="004616AC">
              <w:t>thousand)</w:t>
            </w:r>
          </w:p>
        </w:tc>
        <w:tc>
          <w:tcPr>
            <w:tcW w:w="1642" w:type="dxa"/>
          </w:tcPr>
          <w:p w14:paraId="509EB2D7" w14:textId="6BDB5DB3" w:rsidR="000756EB" w:rsidRPr="004616AC" w:rsidRDefault="004A4D88" w:rsidP="004616AC">
            <w:pPr>
              <w:pStyle w:val="TableColumnHeading"/>
              <w:jc w:val="right"/>
            </w:pPr>
            <w:r w:rsidRPr="004616AC">
              <w:t>2022</w:t>
            </w:r>
            <w:r w:rsidR="004616AC">
              <w:t xml:space="preserve"> </w:t>
            </w:r>
            <w:r w:rsidR="004616AC" w:rsidRPr="004616AC">
              <w:t>($</w:t>
            </w:r>
            <w:r w:rsidR="004616AC">
              <w:t> </w:t>
            </w:r>
            <w:r w:rsidR="004616AC" w:rsidRPr="004616AC">
              <w:t>thousand)</w:t>
            </w:r>
          </w:p>
        </w:tc>
      </w:tr>
      <w:tr w:rsidR="000756EB" w:rsidRPr="004616AC" w14:paraId="330425ED" w14:textId="77777777" w:rsidTr="004616AC">
        <w:trPr>
          <w:cantSplit/>
        </w:trPr>
        <w:tc>
          <w:tcPr>
            <w:tcW w:w="6917" w:type="dxa"/>
          </w:tcPr>
          <w:p w14:paraId="6E288F72" w14:textId="62E2AAAC" w:rsidR="000756EB" w:rsidRPr="004616AC" w:rsidRDefault="004A4D88" w:rsidP="004616AC">
            <w:pPr>
              <w:pStyle w:val="TableHeading"/>
              <w:rPr>
                <w:rFonts w:asciiTheme="minorHAnsi" w:hAnsiTheme="minorHAnsi" w:cstheme="minorHAnsi"/>
                <w:szCs w:val="24"/>
              </w:rPr>
            </w:pPr>
            <w:r w:rsidRPr="004616AC">
              <w:rPr>
                <w:rFonts w:asciiTheme="minorHAnsi" w:hAnsiTheme="minorHAnsi" w:cstheme="minorHAnsi"/>
                <w:szCs w:val="24"/>
              </w:rPr>
              <w:t>Current</w:t>
            </w:r>
            <w:r w:rsidR="00A03629" w:rsidRPr="004616AC">
              <w:rPr>
                <w:rFonts w:asciiTheme="minorHAnsi" w:hAnsiTheme="minorHAnsi" w:cstheme="minorHAnsi"/>
                <w:szCs w:val="24"/>
              </w:rPr>
              <w:t xml:space="preserve"> </w:t>
            </w:r>
          </w:p>
        </w:tc>
        <w:tc>
          <w:tcPr>
            <w:tcW w:w="1642" w:type="dxa"/>
          </w:tcPr>
          <w:p w14:paraId="25140938" w14:textId="77777777" w:rsidR="000756EB" w:rsidRPr="004616AC" w:rsidRDefault="000756EB" w:rsidP="004616AC">
            <w:pPr>
              <w:pStyle w:val="TableHeading"/>
              <w:jc w:val="right"/>
              <w:rPr>
                <w:rFonts w:asciiTheme="minorHAnsi" w:hAnsiTheme="minorHAnsi" w:cstheme="minorHAnsi"/>
                <w:szCs w:val="24"/>
                <w:lang w:val="en-AU"/>
              </w:rPr>
            </w:pPr>
          </w:p>
        </w:tc>
        <w:tc>
          <w:tcPr>
            <w:tcW w:w="1642" w:type="dxa"/>
          </w:tcPr>
          <w:p w14:paraId="0CB2661D" w14:textId="77777777" w:rsidR="000756EB" w:rsidRPr="004616AC" w:rsidRDefault="000756EB" w:rsidP="004616AC">
            <w:pPr>
              <w:pStyle w:val="TableHeading"/>
              <w:jc w:val="right"/>
              <w:rPr>
                <w:rFonts w:asciiTheme="minorHAnsi" w:hAnsiTheme="minorHAnsi" w:cstheme="minorHAnsi"/>
                <w:szCs w:val="24"/>
                <w:lang w:val="en-AU"/>
              </w:rPr>
            </w:pPr>
          </w:p>
        </w:tc>
      </w:tr>
      <w:tr w:rsidR="000756EB" w:rsidRPr="004616AC" w14:paraId="14EA83D2" w14:textId="77777777" w:rsidTr="004616AC">
        <w:trPr>
          <w:cantSplit/>
        </w:trPr>
        <w:tc>
          <w:tcPr>
            <w:tcW w:w="6917" w:type="dxa"/>
          </w:tcPr>
          <w:p w14:paraId="412FC233" w14:textId="0823BBC1" w:rsidR="000756EB" w:rsidRPr="004616AC" w:rsidRDefault="004A4D88" w:rsidP="004616AC">
            <w:pPr>
              <w:pStyle w:val="TableCopy"/>
              <w:keepNext/>
              <w:rPr>
                <w:b/>
                <w:bCs/>
              </w:rPr>
            </w:pPr>
            <w:r w:rsidRPr="004616AC">
              <w:rPr>
                <w:b/>
                <w:bCs/>
              </w:rPr>
              <w:t>Opening</w:t>
            </w:r>
            <w:r w:rsidR="00A03629" w:rsidRPr="004616AC">
              <w:rPr>
                <w:b/>
                <w:bCs/>
              </w:rPr>
              <w:t xml:space="preserve"> </w:t>
            </w:r>
            <w:r w:rsidRPr="004616AC">
              <w:rPr>
                <w:b/>
                <w:bCs/>
              </w:rPr>
              <w:t>balance</w:t>
            </w:r>
          </w:p>
        </w:tc>
        <w:tc>
          <w:tcPr>
            <w:tcW w:w="1642" w:type="dxa"/>
          </w:tcPr>
          <w:p w14:paraId="6039F4D8" w14:textId="1923F8C3" w:rsidR="000756EB" w:rsidRPr="004616AC" w:rsidRDefault="004A4D88" w:rsidP="004616AC">
            <w:pPr>
              <w:pStyle w:val="TableCopy"/>
              <w:keepNext/>
              <w:jc w:val="right"/>
              <w:rPr>
                <w:b/>
                <w:bCs/>
              </w:rPr>
            </w:pPr>
            <w:r w:rsidRPr="004616AC">
              <w:rPr>
                <w:b/>
                <w:bCs/>
              </w:rPr>
              <w:t>30,690</w:t>
            </w:r>
          </w:p>
        </w:tc>
        <w:tc>
          <w:tcPr>
            <w:tcW w:w="1642" w:type="dxa"/>
          </w:tcPr>
          <w:p w14:paraId="2A72E5E6" w14:textId="140B2344" w:rsidR="000756EB" w:rsidRPr="004616AC" w:rsidRDefault="004A4D88" w:rsidP="004616AC">
            <w:pPr>
              <w:pStyle w:val="TableCopy"/>
              <w:keepNext/>
              <w:jc w:val="right"/>
              <w:rPr>
                <w:b/>
                <w:bCs/>
              </w:rPr>
            </w:pPr>
            <w:r w:rsidRPr="004616AC">
              <w:rPr>
                <w:b/>
                <w:bCs/>
              </w:rPr>
              <w:t>23,791</w:t>
            </w:r>
          </w:p>
        </w:tc>
      </w:tr>
      <w:tr w:rsidR="000756EB" w14:paraId="034F622B" w14:textId="77777777" w:rsidTr="004616AC">
        <w:trPr>
          <w:cantSplit/>
        </w:trPr>
        <w:tc>
          <w:tcPr>
            <w:tcW w:w="6917" w:type="dxa"/>
          </w:tcPr>
          <w:p w14:paraId="03CFCBE9" w14:textId="65E46C58" w:rsidR="000756EB" w:rsidRDefault="004A4D88" w:rsidP="00560A4F">
            <w:pPr>
              <w:pStyle w:val="TableCopy"/>
              <w:keepNext/>
            </w:pPr>
            <w:r>
              <w:t>Additional</w:t>
            </w:r>
            <w:r w:rsidR="00A03629">
              <w:t xml:space="preserve"> </w:t>
            </w:r>
            <w:r>
              <w:t>provisions</w:t>
            </w:r>
            <w:r w:rsidR="00A03629">
              <w:t xml:space="preserve"> </w:t>
            </w:r>
            <w:r>
              <w:t>recognised</w:t>
            </w:r>
          </w:p>
        </w:tc>
        <w:tc>
          <w:tcPr>
            <w:tcW w:w="1642" w:type="dxa"/>
          </w:tcPr>
          <w:p w14:paraId="55CE5B19" w14:textId="69B29250" w:rsidR="000756EB" w:rsidRDefault="004A4D88" w:rsidP="00560A4F">
            <w:pPr>
              <w:pStyle w:val="TableCopy"/>
              <w:keepNext/>
              <w:jc w:val="right"/>
            </w:pPr>
            <w:r>
              <w:t>–</w:t>
            </w:r>
          </w:p>
        </w:tc>
        <w:tc>
          <w:tcPr>
            <w:tcW w:w="1642" w:type="dxa"/>
          </w:tcPr>
          <w:p w14:paraId="6889A36C" w14:textId="02A3FCEE" w:rsidR="000756EB" w:rsidRDefault="004A4D88" w:rsidP="00560A4F">
            <w:pPr>
              <w:pStyle w:val="TableCopy"/>
              <w:keepNext/>
              <w:jc w:val="right"/>
            </w:pPr>
            <w:r>
              <w:t>15,297</w:t>
            </w:r>
          </w:p>
        </w:tc>
      </w:tr>
      <w:tr w:rsidR="000756EB" w14:paraId="56008466" w14:textId="77777777" w:rsidTr="004616AC">
        <w:trPr>
          <w:cantSplit/>
        </w:trPr>
        <w:tc>
          <w:tcPr>
            <w:tcW w:w="6917" w:type="dxa"/>
          </w:tcPr>
          <w:p w14:paraId="1775CFBC" w14:textId="7FD9F16E" w:rsidR="000756EB" w:rsidRDefault="004A4D88" w:rsidP="004616AC">
            <w:pPr>
              <w:pStyle w:val="TableCopy"/>
            </w:pPr>
            <w:r>
              <w:t>Reductions</w:t>
            </w:r>
            <w:r w:rsidR="00A03629">
              <w:t xml:space="preserve"> </w:t>
            </w:r>
            <w:r>
              <w:t>arising</w:t>
            </w:r>
            <w:r w:rsidR="00A03629">
              <w:t xml:space="preserve"> </w:t>
            </w:r>
            <w:r>
              <w:t>from</w:t>
            </w:r>
            <w:r w:rsidR="00A03629">
              <w:t xml:space="preserve"> </w:t>
            </w:r>
            <w:r>
              <w:t>payments/other</w:t>
            </w:r>
            <w:r w:rsidR="00A03629">
              <w:t xml:space="preserve"> </w:t>
            </w:r>
            <w:r>
              <w:t>sacrifices</w:t>
            </w:r>
            <w:r w:rsidR="00A03629">
              <w:t xml:space="preserve"> </w:t>
            </w:r>
            <w:r>
              <w:t>of</w:t>
            </w:r>
            <w:r w:rsidR="00A03629">
              <w:t xml:space="preserve"> </w:t>
            </w:r>
            <w:r>
              <w:t>future</w:t>
            </w:r>
            <w:r w:rsidR="00A03629">
              <w:t xml:space="preserve"> </w:t>
            </w:r>
            <w:r>
              <w:t>economic</w:t>
            </w:r>
            <w:r w:rsidR="00A03629">
              <w:t xml:space="preserve"> </w:t>
            </w:r>
            <w:r>
              <w:t>benefits</w:t>
            </w:r>
          </w:p>
        </w:tc>
        <w:tc>
          <w:tcPr>
            <w:tcW w:w="1642" w:type="dxa"/>
          </w:tcPr>
          <w:p w14:paraId="1DAF170C" w14:textId="77777777" w:rsidR="000756EB" w:rsidRDefault="004A4D88" w:rsidP="004616AC">
            <w:pPr>
              <w:pStyle w:val="TableCopy"/>
              <w:jc w:val="right"/>
            </w:pPr>
            <w:r>
              <w:t>(15,794)</w:t>
            </w:r>
          </w:p>
        </w:tc>
        <w:tc>
          <w:tcPr>
            <w:tcW w:w="1642" w:type="dxa"/>
          </w:tcPr>
          <w:p w14:paraId="6113F73B" w14:textId="77777777" w:rsidR="000756EB" w:rsidRDefault="004A4D88" w:rsidP="004616AC">
            <w:pPr>
              <w:pStyle w:val="TableCopy"/>
              <w:jc w:val="right"/>
            </w:pPr>
            <w:r>
              <w:t>(8,398)</w:t>
            </w:r>
          </w:p>
        </w:tc>
      </w:tr>
      <w:tr w:rsidR="000756EB" w14:paraId="144EA289" w14:textId="77777777" w:rsidTr="004616AC">
        <w:trPr>
          <w:cantSplit/>
        </w:trPr>
        <w:tc>
          <w:tcPr>
            <w:tcW w:w="6917" w:type="dxa"/>
          </w:tcPr>
          <w:p w14:paraId="6CE42175" w14:textId="425F4C27" w:rsidR="000756EB" w:rsidRDefault="004A4D88" w:rsidP="004616AC">
            <w:pPr>
              <w:pStyle w:val="TableCopy"/>
            </w:pPr>
            <w:r>
              <w:t>Reduction</w:t>
            </w:r>
            <w:r w:rsidR="00A03629">
              <w:t xml:space="preserve"> </w:t>
            </w:r>
            <w:r>
              <w:t>due</w:t>
            </w:r>
            <w:r w:rsidR="00A03629">
              <w:t xml:space="preserve"> </w:t>
            </w:r>
            <w:r>
              <w:t>to</w:t>
            </w:r>
            <w:r w:rsidR="00A03629">
              <w:t xml:space="preserve"> </w:t>
            </w:r>
            <w:r>
              <w:t>machinery</w:t>
            </w:r>
            <w:r w:rsidR="00A03629">
              <w:t xml:space="preserve"> </w:t>
            </w:r>
            <w:r>
              <w:t>of</w:t>
            </w:r>
            <w:r w:rsidR="00A03629">
              <w:t xml:space="preserve"> </w:t>
            </w:r>
            <w:r>
              <w:t>government</w:t>
            </w:r>
            <w:r w:rsidR="00A03629">
              <w:t xml:space="preserve"> </w:t>
            </w:r>
            <w:r>
              <w:t>transfer</w:t>
            </w:r>
            <w:r w:rsidR="00A03629">
              <w:t xml:space="preserve"> </w:t>
            </w:r>
            <w:r>
              <w:t>out</w:t>
            </w:r>
          </w:p>
        </w:tc>
        <w:tc>
          <w:tcPr>
            <w:tcW w:w="1642" w:type="dxa"/>
          </w:tcPr>
          <w:p w14:paraId="06E46EA2" w14:textId="77777777" w:rsidR="000756EB" w:rsidRDefault="004A4D88" w:rsidP="004616AC">
            <w:pPr>
              <w:pStyle w:val="TableCopy"/>
              <w:jc w:val="right"/>
            </w:pPr>
            <w:r>
              <w:t>(11,630)</w:t>
            </w:r>
          </w:p>
        </w:tc>
        <w:tc>
          <w:tcPr>
            <w:tcW w:w="1642" w:type="dxa"/>
          </w:tcPr>
          <w:p w14:paraId="0474EA56" w14:textId="4FC2605B" w:rsidR="000756EB" w:rsidRDefault="004A4D88" w:rsidP="004616AC">
            <w:pPr>
              <w:pStyle w:val="TableCopy"/>
              <w:jc w:val="right"/>
            </w:pPr>
            <w:r>
              <w:t>–</w:t>
            </w:r>
          </w:p>
        </w:tc>
      </w:tr>
      <w:tr w:rsidR="000756EB" w:rsidRPr="004616AC" w14:paraId="6B3F3A41" w14:textId="77777777" w:rsidTr="004616AC">
        <w:trPr>
          <w:cantSplit/>
        </w:trPr>
        <w:tc>
          <w:tcPr>
            <w:tcW w:w="6917" w:type="dxa"/>
          </w:tcPr>
          <w:p w14:paraId="27BE2B93" w14:textId="3C601056" w:rsidR="000756EB" w:rsidRPr="004616AC" w:rsidRDefault="004A4D88" w:rsidP="004616AC">
            <w:pPr>
              <w:pStyle w:val="TableCopy"/>
              <w:rPr>
                <w:b/>
                <w:bCs/>
              </w:rPr>
            </w:pPr>
            <w:r w:rsidRPr="004616AC">
              <w:rPr>
                <w:b/>
                <w:bCs/>
              </w:rPr>
              <w:t>Closing</w:t>
            </w:r>
            <w:r w:rsidR="00A03629" w:rsidRPr="004616AC">
              <w:rPr>
                <w:b/>
                <w:bCs/>
              </w:rPr>
              <w:t xml:space="preserve"> </w:t>
            </w:r>
            <w:r w:rsidRPr="004616AC">
              <w:rPr>
                <w:b/>
                <w:bCs/>
              </w:rPr>
              <w:t>balance</w:t>
            </w:r>
          </w:p>
        </w:tc>
        <w:tc>
          <w:tcPr>
            <w:tcW w:w="1642" w:type="dxa"/>
          </w:tcPr>
          <w:p w14:paraId="459A7D05" w14:textId="6EF75AF2" w:rsidR="000756EB" w:rsidRPr="004616AC" w:rsidRDefault="004A4D88" w:rsidP="004616AC">
            <w:pPr>
              <w:pStyle w:val="TableCopy"/>
              <w:jc w:val="right"/>
              <w:rPr>
                <w:b/>
                <w:bCs/>
              </w:rPr>
            </w:pPr>
            <w:r w:rsidRPr="004616AC">
              <w:rPr>
                <w:b/>
                <w:bCs/>
              </w:rPr>
              <w:t>3,266</w:t>
            </w:r>
          </w:p>
        </w:tc>
        <w:tc>
          <w:tcPr>
            <w:tcW w:w="1642" w:type="dxa"/>
          </w:tcPr>
          <w:p w14:paraId="52BB01C1" w14:textId="2268F897" w:rsidR="000756EB" w:rsidRPr="004616AC" w:rsidRDefault="004A4D88" w:rsidP="004616AC">
            <w:pPr>
              <w:pStyle w:val="TableCopy"/>
              <w:jc w:val="right"/>
              <w:rPr>
                <w:b/>
                <w:bCs/>
              </w:rPr>
            </w:pPr>
            <w:r w:rsidRPr="004616AC">
              <w:rPr>
                <w:b/>
                <w:bCs/>
              </w:rPr>
              <w:t>30,690</w:t>
            </w:r>
          </w:p>
        </w:tc>
      </w:tr>
    </w:tbl>
    <w:p w14:paraId="73AAB417" w14:textId="77777777" w:rsidR="000756EB" w:rsidRDefault="000756EB" w:rsidP="004616AC"/>
    <w:p w14:paraId="76CBC685" w14:textId="53FEBBE6" w:rsidR="000756EB" w:rsidRDefault="004A4D88" w:rsidP="004616AC">
      <w:pPr>
        <w:pStyle w:val="Heading1"/>
      </w:pPr>
      <w:bookmarkStart w:id="87" w:name="_Toc149911823"/>
      <w:r>
        <w:lastRenderedPageBreak/>
        <w:t>7.</w:t>
      </w:r>
      <w:r w:rsidR="00A03629">
        <w:t xml:space="preserve"> </w:t>
      </w:r>
      <w:r>
        <w:t>How</w:t>
      </w:r>
      <w:r w:rsidR="00A03629">
        <w:t xml:space="preserve"> </w:t>
      </w:r>
      <w:r>
        <w:t>We</w:t>
      </w:r>
      <w:r w:rsidR="00A03629">
        <w:t xml:space="preserve"> </w:t>
      </w:r>
      <w:r>
        <w:t>Financed</w:t>
      </w:r>
      <w:r w:rsidR="00A03629">
        <w:t xml:space="preserve"> </w:t>
      </w:r>
      <w:r>
        <w:t>Our</w:t>
      </w:r>
      <w:r w:rsidR="00A03629">
        <w:t xml:space="preserve"> </w:t>
      </w:r>
      <w:r>
        <w:t>Operations</w:t>
      </w:r>
      <w:bookmarkEnd w:id="87"/>
    </w:p>
    <w:p w14:paraId="028BD960" w14:textId="77777777" w:rsidR="000756EB" w:rsidRDefault="004A4D88" w:rsidP="004616AC">
      <w:pPr>
        <w:pStyle w:val="Heading2"/>
      </w:pPr>
      <w:bookmarkStart w:id="88" w:name="_Toc149911824"/>
      <w:r>
        <w:t>Introduction</w:t>
      </w:r>
      <w:bookmarkEnd w:id="88"/>
    </w:p>
    <w:p w14:paraId="4A1EF17F" w14:textId="169E2908" w:rsidR="000756EB" w:rsidRDefault="004A4D88" w:rsidP="004616AC">
      <w:r>
        <w:t>This</w:t>
      </w:r>
      <w:r w:rsidR="00A03629">
        <w:t xml:space="preserve"> </w:t>
      </w:r>
      <w:r>
        <w:t>section</w:t>
      </w:r>
      <w:r w:rsidR="00A03629">
        <w:t xml:space="preserve"> </w:t>
      </w:r>
      <w:r>
        <w:t>provides</w:t>
      </w:r>
      <w:r w:rsidR="00A03629">
        <w:t xml:space="preserve"> </w:t>
      </w:r>
      <w:r>
        <w:t>information</w:t>
      </w:r>
      <w:r w:rsidR="00A03629">
        <w:t xml:space="preserve"> </w:t>
      </w:r>
      <w:r>
        <w:t>on</w:t>
      </w:r>
      <w:r w:rsidR="00A03629">
        <w:t xml:space="preserve"> </w:t>
      </w:r>
      <w:r>
        <w:t>the</w:t>
      </w:r>
      <w:r w:rsidR="00A03629">
        <w:t xml:space="preserve"> </w:t>
      </w:r>
      <w:r>
        <w:t>sources</w:t>
      </w:r>
      <w:r w:rsidR="00A03629">
        <w:t xml:space="preserve"> </w:t>
      </w:r>
      <w:r>
        <w:t>of</w:t>
      </w:r>
      <w:r w:rsidR="00A03629">
        <w:rPr>
          <w:rFonts w:ascii="Cambria" w:hAnsi="Cambria" w:cs="Cambria"/>
        </w:rPr>
        <w:t xml:space="preserve"> </w:t>
      </w:r>
      <w:r>
        <w:t>finance</w:t>
      </w:r>
      <w:r w:rsidR="00A03629">
        <w:t xml:space="preserve"> </w:t>
      </w:r>
      <w:r>
        <w:t>utilised</w:t>
      </w:r>
      <w:r w:rsidR="00A03629">
        <w:t xml:space="preserve"> </w:t>
      </w:r>
      <w:r>
        <w:t>by</w:t>
      </w:r>
      <w:r w:rsidR="00A03629">
        <w:t xml:space="preserve"> </w:t>
      </w:r>
      <w:r>
        <w:t>DJSIR</w:t>
      </w:r>
      <w:r w:rsidR="00A03629">
        <w:t xml:space="preserve"> </w:t>
      </w:r>
      <w:r>
        <w:t>during</w:t>
      </w:r>
      <w:r w:rsidR="00A03629">
        <w:t xml:space="preserve"> </w:t>
      </w:r>
      <w:r>
        <w:t>its</w:t>
      </w:r>
      <w:r w:rsidR="00A03629">
        <w:t xml:space="preserve"> </w:t>
      </w:r>
      <w:r>
        <w:t>operations,</w:t>
      </w:r>
      <w:r w:rsidR="00A03629">
        <w:t xml:space="preserve"> </w:t>
      </w:r>
      <w:r>
        <w:t>along</w:t>
      </w:r>
      <w:r w:rsidR="00A03629">
        <w:t xml:space="preserve"> </w:t>
      </w:r>
      <w:r>
        <w:t>with</w:t>
      </w:r>
      <w:r w:rsidR="00A03629">
        <w:t xml:space="preserve"> </w:t>
      </w:r>
      <w:r>
        <w:t>interest</w:t>
      </w:r>
      <w:r w:rsidR="00A03629">
        <w:t xml:space="preserve"> </w:t>
      </w:r>
      <w:r>
        <w:t>expenses</w:t>
      </w:r>
      <w:r w:rsidR="00A03629">
        <w:t xml:space="preserve"> </w:t>
      </w:r>
      <w:r>
        <w:t>(the</w:t>
      </w:r>
      <w:r w:rsidR="00A03629">
        <w:t xml:space="preserve"> </w:t>
      </w:r>
      <w:r>
        <w:t>c</w:t>
      </w:r>
      <w:r w:rsidRPr="004616AC">
        <w:t>o</w:t>
      </w:r>
      <w:r>
        <w:t>st</w:t>
      </w:r>
      <w:r w:rsidR="00A03629">
        <w:t xml:space="preserve"> </w:t>
      </w:r>
      <w:r>
        <w:t>of</w:t>
      </w:r>
      <w:r w:rsidR="00A03629">
        <w:t xml:space="preserve"> </w:t>
      </w:r>
      <w:r>
        <w:t>borrowings)</w:t>
      </w:r>
      <w:r w:rsidR="00A03629">
        <w:t xml:space="preserve"> </w:t>
      </w:r>
      <w:r>
        <w:t>and</w:t>
      </w:r>
      <w:r w:rsidR="00A03629">
        <w:t xml:space="preserve"> </w:t>
      </w:r>
      <w:r>
        <w:t>other</w:t>
      </w:r>
      <w:r w:rsidR="00A03629">
        <w:t xml:space="preserve"> </w:t>
      </w:r>
      <w:r>
        <w:t>information</w:t>
      </w:r>
      <w:r w:rsidR="00A03629">
        <w:t xml:space="preserve"> </w:t>
      </w:r>
      <w:r>
        <w:t>related</w:t>
      </w:r>
      <w:r w:rsidR="00A03629">
        <w:t xml:space="preserve"> </w:t>
      </w:r>
      <w:r>
        <w:t>to</w:t>
      </w:r>
      <w:r w:rsidR="00A03629">
        <w:t xml:space="preserve"> </w:t>
      </w:r>
      <w:r>
        <w:t>financing</w:t>
      </w:r>
      <w:r w:rsidR="00A03629">
        <w:t xml:space="preserve"> </w:t>
      </w:r>
      <w:r>
        <w:t>activities</w:t>
      </w:r>
      <w:r w:rsidR="00A03629">
        <w:t xml:space="preserve"> </w:t>
      </w:r>
      <w:r>
        <w:t>of</w:t>
      </w:r>
      <w:r w:rsidR="00A03629">
        <w:t xml:space="preserve"> </w:t>
      </w:r>
      <w:r>
        <w:t>DJSIR.</w:t>
      </w:r>
    </w:p>
    <w:p w14:paraId="202362C4" w14:textId="005E342E" w:rsidR="000756EB" w:rsidRDefault="004A4D88" w:rsidP="004616AC">
      <w:r>
        <w:t>This</w:t>
      </w:r>
      <w:r w:rsidR="00A03629">
        <w:t xml:space="preserve"> </w:t>
      </w:r>
      <w:r>
        <w:t>section</w:t>
      </w:r>
      <w:r w:rsidR="00A03629">
        <w:t xml:space="preserve"> </w:t>
      </w:r>
      <w:r>
        <w:t>includes</w:t>
      </w:r>
      <w:r w:rsidR="00A03629">
        <w:t xml:space="preserve"> </w:t>
      </w:r>
      <w:r>
        <w:t>disclosures</w:t>
      </w:r>
      <w:r w:rsidR="00A03629">
        <w:t xml:space="preserve"> </w:t>
      </w:r>
      <w:r>
        <w:t>of</w:t>
      </w:r>
      <w:r w:rsidR="00A03629">
        <w:t xml:space="preserve"> </w:t>
      </w:r>
      <w:r>
        <w:t>balances</w:t>
      </w:r>
      <w:r w:rsidR="00A03629">
        <w:t xml:space="preserve"> </w:t>
      </w:r>
      <w:r>
        <w:t>that</w:t>
      </w:r>
      <w:r w:rsidR="00A03629">
        <w:t xml:space="preserve"> </w:t>
      </w:r>
      <w:r>
        <w:t>are</w:t>
      </w:r>
      <w:r w:rsidR="00A03629">
        <w:t xml:space="preserve"> </w:t>
      </w:r>
      <w:r>
        <w:t>financial</w:t>
      </w:r>
      <w:r w:rsidR="00A03629">
        <w:t xml:space="preserve"> </w:t>
      </w:r>
      <w:r>
        <w:t>instruments</w:t>
      </w:r>
      <w:r w:rsidR="00A03629">
        <w:t xml:space="preserve"> </w:t>
      </w:r>
      <w:r>
        <w:t>(such</w:t>
      </w:r>
      <w:r w:rsidR="00A03629">
        <w:t xml:space="preserve"> </w:t>
      </w:r>
      <w:r>
        <w:t>as</w:t>
      </w:r>
      <w:r w:rsidR="00A03629">
        <w:t xml:space="preserve"> </w:t>
      </w:r>
      <w:r>
        <w:t>borrowings</w:t>
      </w:r>
      <w:r w:rsidR="00A03629">
        <w:t xml:space="preserve"> </w:t>
      </w:r>
      <w:r>
        <w:t>and</w:t>
      </w:r>
      <w:r w:rsidR="00A03629">
        <w:t xml:space="preserve"> </w:t>
      </w:r>
      <w:r>
        <w:t>cash</w:t>
      </w:r>
      <w:r w:rsidR="00A03629">
        <w:t xml:space="preserve"> </w:t>
      </w:r>
      <w:r>
        <w:t>balances).</w:t>
      </w:r>
      <w:r w:rsidR="00A03629">
        <w:t xml:space="preserve"> </w:t>
      </w:r>
      <w:r>
        <w:t>Notes</w:t>
      </w:r>
      <w:r w:rsidR="00A03629">
        <w:t xml:space="preserve"> </w:t>
      </w:r>
      <w:r>
        <w:t>8.1</w:t>
      </w:r>
      <w:r w:rsidR="00A03629">
        <w:t xml:space="preserve"> </w:t>
      </w:r>
      <w:r>
        <w:t>and</w:t>
      </w:r>
      <w:r w:rsidR="00A03629">
        <w:t xml:space="preserve"> </w:t>
      </w:r>
      <w:r>
        <w:t>8.3</w:t>
      </w:r>
      <w:r w:rsidR="00A03629">
        <w:t xml:space="preserve"> </w:t>
      </w:r>
      <w:r>
        <w:t>provide</w:t>
      </w:r>
      <w:r w:rsidR="00A03629">
        <w:t xml:space="preserve"> </w:t>
      </w:r>
      <w:r>
        <w:t>additional,</w:t>
      </w:r>
      <w:r w:rsidR="00A03629">
        <w:t xml:space="preserve"> </w:t>
      </w:r>
      <w:r>
        <w:t>specific</w:t>
      </w:r>
      <w:r w:rsidR="00A03629">
        <w:t xml:space="preserve"> </w:t>
      </w:r>
      <w:r>
        <w:t>financial</w:t>
      </w:r>
      <w:r w:rsidR="00A03629">
        <w:t xml:space="preserve"> </w:t>
      </w:r>
      <w:r>
        <w:t>instrument</w:t>
      </w:r>
      <w:r w:rsidR="00A03629">
        <w:t xml:space="preserve"> </w:t>
      </w:r>
      <w:r>
        <w:t>disclosures.</w:t>
      </w:r>
    </w:p>
    <w:p w14:paraId="0890CA94" w14:textId="5D6F3650" w:rsidR="000756EB" w:rsidRPr="004616AC" w:rsidRDefault="004A4D88" w:rsidP="004616AC">
      <w:pPr>
        <w:pStyle w:val="Normalbeforebullets"/>
        <w:rPr>
          <w:i/>
          <w:iCs/>
        </w:rPr>
      </w:pPr>
      <w:r w:rsidRPr="004616AC">
        <w:rPr>
          <w:i/>
          <w:iCs/>
        </w:rPr>
        <w:t>Significant</w:t>
      </w:r>
      <w:r w:rsidR="00A03629" w:rsidRPr="004616AC">
        <w:rPr>
          <w:i/>
          <w:iCs/>
        </w:rPr>
        <w:t xml:space="preserve"> </w:t>
      </w:r>
      <w:r w:rsidRPr="004616AC">
        <w:rPr>
          <w:i/>
          <w:iCs/>
        </w:rPr>
        <w:t>judgement:</w:t>
      </w:r>
      <w:r w:rsidR="00A03629" w:rsidRPr="004616AC">
        <w:rPr>
          <w:i/>
          <w:iCs/>
        </w:rPr>
        <w:t xml:space="preserve"> </w:t>
      </w:r>
      <w:r w:rsidRPr="004616AC">
        <w:rPr>
          <w:i/>
          <w:iCs/>
        </w:rPr>
        <w:t>Commitments</w:t>
      </w:r>
      <w:r w:rsidR="00A03629" w:rsidRPr="004616AC">
        <w:rPr>
          <w:i/>
          <w:iCs/>
        </w:rPr>
        <w:t xml:space="preserve"> </w:t>
      </w:r>
      <w:r w:rsidRPr="004616AC">
        <w:rPr>
          <w:i/>
          <w:iCs/>
        </w:rPr>
        <w:t>for</w:t>
      </w:r>
      <w:r w:rsidR="00A03629" w:rsidRPr="004616AC">
        <w:rPr>
          <w:i/>
          <w:iCs/>
        </w:rPr>
        <w:t xml:space="preserve"> </w:t>
      </w:r>
      <w:r w:rsidRPr="004616AC">
        <w:rPr>
          <w:i/>
          <w:iCs/>
        </w:rPr>
        <w:t>expenditure</w:t>
      </w:r>
      <w:r w:rsidR="00A03629" w:rsidRPr="004616AC">
        <w:rPr>
          <w:i/>
          <w:iCs/>
        </w:rPr>
        <w:t xml:space="preserve"> </w:t>
      </w:r>
    </w:p>
    <w:p w14:paraId="35B84D48" w14:textId="3576B7B3" w:rsidR="000756EB" w:rsidRDefault="004A4D88" w:rsidP="004616AC">
      <w:r>
        <w:t>Due</w:t>
      </w:r>
      <w:r w:rsidR="00A03629">
        <w:t xml:space="preserve"> </w:t>
      </w:r>
      <w:r>
        <w:t>to</w:t>
      </w:r>
      <w:r w:rsidR="00A03629">
        <w:t xml:space="preserve"> </w:t>
      </w:r>
      <w:r>
        <w:t>the</w:t>
      </w:r>
      <w:r w:rsidR="00A03629">
        <w:t xml:space="preserve"> </w:t>
      </w:r>
      <w:r>
        <w:t>recent</w:t>
      </w:r>
      <w:r w:rsidR="00A03629">
        <w:t xml:space="preserve"> </w:t>
      </w:r>
      <w:r>
        <w:t>machinery</w:t>
      </w:r>
      <w:r w:rsidR="00A03629">
        <w:t xml:space="preserve"> </w:t>
      </w:r>
      <w:r>
        <w:t>of</w:t>
      </w:r>
      <w:r w:rsidR="00A03629">
        <w:t xml:space="preserve"> </w:t>
      </w:r>
      <w:r>
        <w:t>government</w:t>
      </w:r>
      <w:r w:rsidR="00A03629">
        <w:t xml:space="preserve"> </w:t>
      </w:r>
      <w:r>
        <w:t>changes,</w:t>
      </w:r>
      <w:r w:rsidR="00A03629">
        <w:t xml:space="preserve"> </w:t>
      </w:r>
      <w:r>
        <w:t>DJSIR</w:t>
      </w:r>
      <w:r w:rsidR="00A03629">
        <w:t xml:space="preserve"> </w:t>
      </w:r>
      <w:r>
        <w:t>is</w:t>
      </w:r>
      <w:r w:rsidR="00A03629">
        <w:t xml:space="preserve"> </w:t>
      </w:r>
      <w:r>
        <w:t>currently</w:t>
      </w:r>
      <w:r w:rsidR="00A03629">
        <w:t xml:space="preserve"> </w:t>
      </w:r>
      <w:r>
        <w:t>reviewing</w:t>
      </w:r>
      <w:r w:rsidR="00A03629">
        <w:t xml:space="preserve"> </w:t>
      </w:r>
      <w:r>
        <w:t>an</w:t>
      </w:r>
      <w:r w:rsidR="00A03629">
        <w:t xml:space="preserve"> </w:t>
      </w:r>
      <w:r>
        <w:t>updated</w:t>
      </w:r>
      <w:r w:rsidR="00A03629">
        <w:t xml:space="preserve"> </w:t>
      </w:r>
      <w:r>
        <w:t>occupancy</w:t>
      </w:r>
      <w:r w:rsidR="00A03629">
        <w:t xml:space="preserve"> </w:t>
      </w:r>
      <w:r>
        <w:t>agreement</w:t>
      </w:r>
      <w:r w:rsidR="00A03629">
        <w:t xml:space="preserve"> </w:t>
      </w:r>
      <w:r>
        <w:t>with</w:t>
      </w:r>
      <w:r w:rsidR="00A03629">
        <w:t xml:space="preserve"> </w:t>
      </w:r>
      <w:r>
        <w:t>the</w:t>
      </w:r>
      <w:r w:rsidR="00A03629">
        <w:t xml:space="preserve"> </w:t>
      </w:r>
      <w:r>
        <w:t>Department</w:t>
      </w:r>
      <w:r w:rsidR="00A03629">
        <w:t xml:space="preserve"> </w:t>
      </w:r>
      <w:r>
        <w:t>of</w:t>
      </w:r>
      <w:r w:rsidR="00A03629">
        <w:t xml:space="preserve"> </w:t>
      </w:r>
      <w:r>
        <w:t>Treasury</w:t>
      </w:r>
      <w:r w:rsidR="00A03629">
        <w:t xml:space="preserve"> </w:t>
      </w:r>
      <w:r>
        <w:t>and</w:t>
      </w:r>
      <w:r w:rsidR="00A03629">
        <w:t xml:space="preserve"> </w:t>
      </w:r>
      <w:r>
        <w:t>Finance</w:t>
      </w:r>
      <w:r w:rsidR="00A03629">
        <w:t xml:space="preserve"> </w:t>
      </w:r>
      <w:r>
        <w:t>Shared</w:t>
      </w:r>
      <w:r w:rsidR="00A03629">
        <w:t xml:space="preserve"> </w:t>
      </w:r>
      <w:r>
        <w:t>Service</w:t>
      </w:r>
      <w:r w:rsidR="00A03629">
        <w:t xml:space="preserve"> </w:t>
      </w:r>
      <w:r>
        <w:t>Provider</w:t>
      </w:r>
      <w:r w:rsidR="00A03629">
        <w:t xml:space="preserve"> </w:t>
      </w:r>
      <w:r>
        <w:t>for</w:t>
      </w:r>
      <w:r w:rsidR="00A03629">
        <w:t xml:space="preserve"> </w:t>
      </w:r>
      <w:r>
        <w:t>office</w:t>
      </w:r>
      <w:r w:rsidR="00A03629">
        <w:t xml:space="preserve"> </w:t>
      </w:r>
      <w:r>
        <w:t>accommodation</w:t>
      </w:r>
      <w:r w:rsidR="00A03629">
        <w:t xml:space="preserve"> </w:t>
      </w:r>
      <w:r>
        <w:t>across</w:t>
      </w:r>
      <w:r w:rsidR="00A03629">
        <w:t xml:space="preserve"> </w:t>
      </w:r>
      <w:r>
        <w:t>multiple</w:t>
      </w:r>
      <w:r w:rsidR="00A03629">
        <w:t xml:space="preserve"> </w:t>
      </w:r>
      <w:r>
        <w:t>CBD,</w:t>
      </w:r>
      <w:r w:rsidR="00A03629">
        <w:t xml:space="preserve"> </w:t>
      </w:r>
      <w:r>
        <w:t>Metropolitan</w:t>
      </w:r>
      <w:r w:rsidR="00A03629">
        <w:t xml:space="preserve"> </w:t>
      </w:r>
      <w:r>
        <w:t>and</w:t>
      </w:r>
      <w:r w:rsidR="00A03629">
        <w:t xml:space="preserve"> </w:t>
      </w:r>
      <w:r>
        <w:t>Regional</w:t>
      </w:r>
      <w:r w:rsidR="00A03629">
        <w:t xml:space="preserve"> </w:t>
      </w:r>
      <w:proofErr w:type="gramStart"/>
      <w:r>
        <w:t>locations</w:t>
      </w:r>
      <w:proofErr w:type="gramEnd"/>
      <w:r w:rsidR="00A03629">
        <w:t xml:space="preserve"> </w:t>
      </w:r>
      <w:r>
        <w:t>and</w:t>
      </w:r>
      <w:r w:rsidR="00A03629">
        <w:t xml:space="preserve"> </w:t>
      </w:r>
      <w:r>
        <w:t>other</w:t>
      </w:r>
      <w:r w:rsidR="00A03629">
        <w:t xml:space="preserve"> </w:t>
      </w:r>
      <w:r>
        <w:t>related</w:t>
      </w:r>
      <w:r w:rsidR="00A03629">
        <w:t xml:space="preserve"> </w:t>
      </w:r>
      <w:r>
        <w:t>services,</w:t>
      </w:r>
      <w:r w:rsidR="00A03629">
        <w:t xml:space="preserve"> </w:t>
      </w:r>
      <w:r>
        <w:t>including</w:t>
      </w:r>
      <w:r w:rsidR="00A03629">
        <w:t xml:space="preserve"> </w:t>
      </w:r>
      <w:r>
        <w:t>management</w:t>
      </w:r>
      <w:r w:rsidR="00A03629">
        <w:t xml:space="preserve"> </w:t>
      </w:r>
      <w:r>
        <w:t>fee,</w:t>
      </w:r>
      <w:r w:rsidR="00A03629">
        <w:t xml:space="preserve"> </w:t>
      </w:r>
      <w:r>
        <w:t>maintenance,</w:t>
      </w:r>
      <w:r w:rsidR="00A03629">
        <w:t xml:space="preserve"> </w:t>
      </w:r>
      <w:r>
        <w:t>cleaning,</w:t>
      </w:r>
      <w:r w:rsidR="00A03629">
        <w:t xml:space="preserve"> </w:t>
      </w:r>
      <w:r>
        <w:t>utility</w:t>
      </w:r>
      <w:r w:rsidR="00A03629">
        <w:t xml:space="preserve"> </w:t>
      </w:r>
      <w:r>
        <w:t>costs,</w:t>
      </w:r>
      <w:r w:rsidR="00A03629">
        <w:t xml:space="preserve"> </w:t>
      </w:r>
      <w:r>
        <w:t>security,</w:t>
      </w:r>
      <w:r w:rsidR="00A03629">
        <w:t xml:space="preserve"> </w:t>
      </w:r>
      <w:r>
        <w:t>waste,</w:t>
      </w:r>
      <w:r w:rsidR="00A03629">
        <w:rPr>
          <w:rFonts w:ascii="Cambria" w:hAnsi="Cambria" w:cs="Cambria"/>
        </w:rPr>
        <w:t xml:space="preserve"> </w:t>
      </w:r>
      <w:r>
        <w:t>rates</w:t>
      </w:r>
      <w:r w:rsidR="00A03629">
        <w:t xml:space="preserve"> </w:t>
      </w:r>
      <w:r>
        <w:t>and</w:t>
      </w:r>
      <w:r w:rsidR="00A03629">
        <w:t xml:space="preserve"> </w:t>
      </w:r>
      <w:r>
        <w:t>taxes</w:t>
      </w:r>
      <w:r w:rsidR="00A03629">
        <w:t xml:space="preserve"> </w:t>
      </w:r>
      <w:r>
        <w:t>and</w:t>
      </w:r>
      <w:r w:rsidR="00A03629">
        <w:t xml:space="preserve"> </w:t>
      </w:r>
      <w:r>
        <w:t>other</w:t>
      </w:r>
      <w:r w:rsidR="00A03629">
        <w:t xml:space="preserve"> </w:t>
      </w:r>
      <w:r>
        <w:t>statutory</w:t>
      </w:r>
      <w:r w:rsidR="00A03629">
        <w:t xml:space="preserve"> </w:t>
      </w:r>
      <w:r>
        <w:t>outgoings.</w:t>
      </w:r>
      <w:r w:rsidR="00A03629">
        <w:t xml:space="preserve"> </w:t>
      </w:r>
      <w:r>
        <w:t>A</w:t>
      </w:r>
      <w:r w:rsidR="00A03629">
        <w:rPr>
          <w:rFonts w:ascii="Cambria" w:hAnsi="Cambria" w:cs="Cambria"/>
        </w:rPr>
        <w:t xml:space="preserve"> </w:t>
      </w:r>
      <w:r>
        <w:t>significant</w:t>
      </w:r>
      <w:r w:rsidR="00A03629">
        <w:t xml:space="preserve"> </w:t>
      </w:r>
      <w:r>
        <w:t>judgement</w:t>
      </w:r>
      <w:r w:rsidR="00A03629">
        <w:t xml:space="preserve"> </w:t>
      </w:r>
      <w:r>
        <w:t>was</w:t>
      </w:r>
      <w:r w:rsidR="00A03629">
        <w:t xml:space="preserve"> </w:t>
      </w:r>
      <w:r>
        <w:t>made</w:t>
      </w:r>
      <w:r w:rsidR="00A03629">
        <w:t xml:space="preserve"> </w:t>
      </w:r>
      <w:r>
        <w:t>that</w:t>
      </w:r>
      <w:r w:rsidR="00A03629">
        <w:t xml:space="preserve"> </w:t>
      </w:r>
      <w:r>
        <w:t>the</w:t>
      </w:r>
      <w:r w:rsidR="00A03629">
        <w:t xml:space="preserve"> </w:t>
      </w:r>
      <w:r>
        <w:t>occupancy</w:t>
      </w:r>
      <w:r w:rsidR="00A03629">
        <w:t xml:space="preserve"> </w:t>
      </w:r>
      <w:r>
        <w:t>agreement</w:t>
      </w:r>
      <w:r w:rsidR="00A03629">
        <w:t xml:space="preserve"> </w:t>
      </w:r>
      <w:r>
        <w:t>is</w:t>
      </w:r>
      <w:r w:rsidR="00A03629">
        <w:t xml:space="preserve"> </w:t>
      </w:r>
      <w:r>
        <w:t>a</w:t>
      </w:r>
      <w:r w:rsidR="00A03629">
        <w:t xml:space="preserve"> </w:t>
      </w:r>
      <w:r>
        <w:t>service</w:t>
      </w:r>
      <w:r w:rsidR="00A03629">
        <w:t xml:space="preserve"> </w:t>
      </w:r>
      <w:r>
        <w:t>contract</w:t>
      </w:r>
      <w:r w:rsidR="00A03629">
        <w:t xml:space="preserve"> </w:t>
      </w:r>
      <w:r>
        <w:t>(rather</w:t>
      </w:r>
      <w:r w:rsidR="00A03629">
        <w:t xml:space="preserve"> </w:t>
      </w:r>
      <w:r>
        <w:t>than</w:t>
      </w:r>
      <w:r w:rsidR="00A03629">
        <w:t xml:space="preserve"> </w:t>
      </w:r>
      <w:r>
        <w:t>a</w:t>
      </w:r>
      <w:r w:rsidR="00A03629">
        <w:t xml:space="preserve"> </w:t>
      </w:r>
      <w:r>
        <w:t>‘lease’</w:t>
      </w:r>
      <w:r w:rsidR="00A03629">
        <w:t xml:space="preserve"> </w:t>
      </w:r>
      <w:r>
        <w:t>as</w:t>
      </w:r>
      <w:r w:rsidR="00A03629">
        <w:t xml:space="preserve"> </w:t>
      </w:r>
      <w:r>
        <w:t>defined</w:t>
      </w:r>
      <w:r w:rsidR="00A03629">
        <w:t xml:space="preserve"> </w:t>
      </w:r>
      <w:r>
        <w:t>in</w:t>
      </w:r>
      <w:r w:rsidR="00A03629">
        <w:t xml:space="preserve"> </w:t>
      </w:r>
      <w:r>
        <w:t>AASB</w:t>
      </w:r>
      <w:r w:rsidR="00A03629">
        <w:t xml:space="preserve"> </w:t>
      </w:r>
      <w:r>
        <w:t>16</w:t>
      </w:r>
      <w:r w:rsidR="00A03629">
        <w:t xml:space="preserve"> </w:t>
      </w:r>
      <w:r>
        <w:t>Leases).</w:t>
      </w:r>
      <w:r w:rsidR="00A03629">
        <w:t xml:space="preserve"> </w:t>
      </w:r>
      <w:r>
        <w:t>The</w:t>
      </w:r>
      <w:r w:rsidR="00A03629">
        <w:t xml:space="preserve"> </w:t>
      </w:r>
      <w:r>
        <w:t>cost</w:t>
      </w:r>
      <w:r w:rsidR="00A03629">
        <w:t xml:space="preserve"> </w:t>
      </w:r>
      <w:r>
        <w:t>for</w:t>
      </w:r>
      <w:r w:rsidR="00A03629">
        <w:t xml:space="preserve"> </w:t>
      </w:r>
      <w:r>
        <w:t>the</w:t>
      </w:r>
      <w:r w:rsidR="00A03629">
        <w:t xml:space="preserve"> </w:t>
      </w:r>
      <w:r>
        <w:t>accommodation</w:t>
      </w:r>
      <w:r w:rsidR="00A03629">
        <w:t xml:space="preserve"> </w:t>
      </w:r>
      <w:r>
        <w:t>and</w:t>
      </w:r>
      <w:r w:rsidR="00A03629">
        <w:t xml:space="preserve"> </w:t>
      </w:r>
      <w:r>
        <w:t>other</w:t>
      </w:r>
      <w:r w:rsidR="00A03629">
        <w:t xml:space="preserve"> </w:t>
      </w:r>
      <w:r>
        <w:t>related</w:t>
      </w:r>
      <w:r w:rsidR="00A03629">
        <w:t xml:space="preserve"> </w:t>
      </w:r>
      <w:r>
        <w:t>services</w:t>
      </w:r>
      <w:r w:rsidR="00A03629">
        <w:t xml:space="preserve"> </w:t>
      </w:r>
      <w:r>
        <w:t>are</w:t>
      </w:r>
      <w:r w:rsidR="00A03629">
        <w:t xml:space="preserve"> </w:t>
      </w:r>
      <w:r>
        <w:t>expensed</w:t>
      </w:r>
      <w:r w:rsidR="00A03629">
        <w:t xml:space="preserve"> </w:t>
      </w:r>
      <w:r>
        <w:t>(Note</w:t>
      </w:r>
      <w:r w:rsidR="00A03629">
        <w:t xml:space="preserve"> </w:t>
      </w:r>
      <w:r>
        <w:t>3.5</w:t>
      </w:r>
      <w:r w:rsidR="00A03629">
        <w:t xml:space="preserve"> </w:t>
      </w:r>
      <w:r>
        <w:t>Other</w:t>
      </w:r>
      <w:r w:rsidR="00A03629">
        <w:t xml:space="preserve"> </w:t>
      </w:r>
      <w:r>
        <w:t>operating</w:t>
      </w:r>
      <w:r w:rsidR="00A03629">
        <w:t xml:space="preserve"> </w:t>
      </w:r>
      <w:r>
        <w:t>expenses).</w:t>
      </w:r>
      <w:r w:rsidR="00A03629">
        <w:t xml:space="preserve"> </w:t>
      </w:r>
    </w:p>
    <w:p w14:paraId="27438BE7" w14:textId="77777777" w:rsidR="000756EB" w:rsidRDefault="004A4D88" w:rsidP="004616AC">
      <w:pPr>
        <w:pStyle w:val="Heading3"/>
      </w:pPr>
      <w:r>
        <w:t>Structure</w:t>
      </w:r>
    </w:p>
    <w:p w14:paraId="655AF70E" w14:textId="77777777" w:rsidR="000756EB" w:rsidRDefault="004A4D88" w:rsidP="004616AC">
      <w:r>
        <w:t>7.1</w:t>
      </w:r>
      <w:r>
        <w:tab/>
        <w:t>Borrowings</w:t>
      </w:r>
    </w:p>
    <w:p w14:paraId="6DC4C1A1" w14:textId="77777777" w:rsidR="000756EB" w:rsidRDefault="004A4D88" w:rsidP="004616AC">
      <w:r>
        <w:t>7.2</w:t>
      </w:r>
      <w:r>
        <w:tab/>
        <w:t>Leases</w:t>
      </w:r>
    </w:p>
    <w:p w14:paraId="30452CC2" w14:textId="705859A1" w:rsidR="000756EB" w:rsidRDefault="004A4D88" w:rsidP="004616AC">
      <w:r>
        <w:t>7.3</w:t>
      </w:r>
      <w:r>
        <w:tab/>
        <w:t>Cash</w:t>
      </w:r>
      <w:r w:rsidR="00A03629">
        <w:t xml:space="preserve"> </w:t>
      </w:r>
      <w:r>
        <w:t>flow</w:t>
      </w:r>
      <w:r w:rsidR="00A03629">
        <w:t xml:space="preserve"> </w:t>
      </w:r>
      <w:r>
        <w:t>information</w:t>
      </w:r>
      <w:r w:rsidR="00A03629">
        <w:t xml:space="preserve"> </w:t>
      </w:r>
      <w:r>
        <w:t>and</w:t>
      </w:r>
      <w:r w:rsidR="00A03629">
        <w:t xml:space="preserve"> </w:t>
      </w:r>
      <w:r>
        <w:t>balances</w:t>
      </w:r>
    </w:p>
    <w:p w14:paraId="68D2DE46" w14:textId="70F5E26D" w:rsidR="000756EB" w:rsidRDefault="004A4D88" w:rsidP="004616AC">
      <w:r>
        <w:t>7.4</w:t>
      </w:r>
      <w:r>
        <w:tab/>
        <w:t>Trust</w:t>
      </w:r>
      <w:r w:rsidR="00A03629">
        <w:t xml:space="preserve"> </w:t>
      </w:r>
      <w:r>
        <w:t>account</w:t>
      </w:r>
      <w:r w:rsidR="00A03629">
        <w:t xml:space="preserve"> </w:t>
      </w:r>
      <w:r>
        <w:t>balances</w:t>
      </w:r>
    </w:p>
    <w:p w14:paraId="7CA60E6D" w14:textId="02EC3F54" w:rsidR="000756EB" w:rsidRDefault="004A4D88" w:rsidP="004616AC">
      <w:r>
        <w:t>7.5</w:t>
      </w:r>
      <w:r>
        <w:tab/>
        <w:t>Commitments</w:t>
      </w:r>
      <w:r w:rsidR="00A03629">
        <w:t xml:space="preserve"> </w:t>
      </w:r>
      <w:r>
        <w:t>for</w:t>
      </w:r>
      <w:r w:rsidR="00A03629">
        <w:t xml:space="preserve"> </w:t>
      </w:r>
      <w:r>
        <w:t>expenditure</w:t>
      </w:r>
    </w:p>
    <w:p w14:paraId="09845420" w14:textId="115A7402" w:rsidR="000756EB" w:rsidRDefault="004A4D88" w:rsidP="004616AC">
      <w:pPr>
        <w:pStyle w:val="Heading2"/>
      </w:pPr>
      <w:bookmarkStart w:id="89" w:name="_Toc149911825"/>
      <w:r>
        <w:lastRenderedPageBreak/>
        <w:t>7.1</w:t>
      </w:r>
      <w:r w:rsidR="00DE38B5">
        <w:t xml:space="preserve"> </w:t>
      </w:r>
      <w:r>
        <w:t>Borrowings</w:t>
      </w:r>
      <w:bookmarkEnd w:id="89"/>
    </w:p>
    <w:p w14:paraId="349C1216" w14:textId="77777777" w:rsidR="000756EB" w:rsidRPr="004616AC" w:rsidRDefault="004A4D88" w:rsidP="004616AC">
      <w:pPr>
        <w:pStyle w:val="Normalbeforebullets"/>
        <w:rPr>
          <w:b/>
          <w:bCs/>
        </w:rPr>
      </w:pPr>
      <w:r w:rsidRPr="004616AC">
        <w:rPr>
          <w:b/>
          <w:bCs/>
        </w:rPr>
        <w:t>Borrowings</w:t>
      </w:r>
    </w:p>
    <w:tbl>
      <w:tblPr>
        <w:tblStyle w:val="TableGrid"/>
        <w:tblW w:w="10201" w:type="dxa"/>
        <w:tblLayout w:type="fixed"/>
        <w:tblLook w:val="0020" w:firstRow="1" w:lastRow="0" w:firstColumn="0" w:lastColumn="0" w:noHBand="0" w:noVBand="0"/>
      </w:tblPr>
      <w:tblGrid>
        <w:gridCol w:w="6236"/>
        <w:gridCol w:w="1982"/>
        <w:gridCol w:w="1983"/>
      </w:tblGrid>
      <w:tr w:rsidR="000756EB" w:rsidRPr="004616AC" w14:paraId="2AF08D29" w14:textId="77777777" w:rsidTr="004616AC">
        <w:trPr>
          <w:cantSplit/>
        </w:trPr>
        <w:tc>
          <w:tcPr>
            <w:tcW w:w="6236" w:type="dxa"/>
          </w:tcPr>
          <w:p w14:paraId="66DA8EB9" w14:textId="77777777" w:rsidR="000756EB" w:rsidRPr="004616AC" w:rsidRDefault="000756EB" w:rsidP="004616AC">
            <w:pPr>
              <w:pStyle w:val="TableColumnHeading"/>
            </w:pPr>
            <w:bookmarkStart w:id="90" w:name="ColumnTitles_52"/>
            <w:bookmarkEnd w:id="90"/>
          </w:p>
        </w:tc>
        <w:tc>
          <w:tcPr>
            <w:tcW w:w="1982" w:type="dxa"/>
          </w:tcPr>
          <w:p w14:paraId="69A2315C" w14:textId="098453BA" w:rsidR="000756EB" w:rsidRPr="004616AC" w:rsidRDefault="004A4D88" w:rsidP="00381751">
            <w:pPr>
              <w:pStyle w:val="TableColumnHeading"/>
              <w:jc w:val="right"/>
            </w:pPr>
            <w:r w:rsidRPr="004616AC">
              <w:t>2023</w:t>
            </w:r>
            <w:r w:rsidR="00A03629" w:rsidRPr="004616AC">
              <w:t xml:space="preserve"> </w:t>
            </w:r>
            <w:r w:rsidR="004616AC" w:rsidRPr="004616AC">
              <w:t>($</w:t>
            </w:r>
            <w:r w:rsidR="004616AC">
              <w:t> </w:t>
            </w:r>
            <w:r w:rsidR="004616AC" w:rsidRPr="004616AC">
              <w:t>thousand)</w:t>
            </w:r>
          </w:p>
        </w:tc>
        <w:tc>
          <w:tcPr>
            <w:tcW w:w="1983" w:type="dxa"/>
          </w:tcPr>
          <w:p w14:paraId="0E4C94AE" w14:textId="502734E0" w:rsidR="000756EB" w:rsidRPr="004616AC" w:rsidRDefault="004A4D88" w:rsidP="00381751">
            <w:pPr>
              <w:pStyle w:val="TableColumnHeading"/>
              <w:jc w:val="right"/>
            </w:pPr>
            <w:r w:rsidRPr="004616AC">
              <w:t>2022</w:t>
            </w:r>
            <w:r w:rsidR="004616AC">
              <w:t xml:space="preserve"> </w:t>
            </w:r>
            <w:r w:rsidR="004616AC" w:rsidRPr="004616AC">
              <w:t>($</w:t>
            </w:r>
            <w:r w:rsidR="004616AC">
              <w:t> </w:t>
            </w:r>
            <w:r w:rsidR="004616AC" w:rsidRPr="004616AC">
              <w:t>thousand)</w:t>
            </w:r>
          </w:p>
        </w:tc>
      </w:tr>
      <w:tr w:rsidR="000756EB" w14:paraId="7F3E1B8F" w14:textId="77777777" w:rsidTr="004616AC">
        <w:trPr>
          <w:cantSplit/>
        </w:trPr>
        <w:tc>
          <w:tcPr>
            <w:tcW w:w="6236" w:type="dxa"/>
          </w:tcPr>
          <w:p w14:paraId="69642F57" w14:textId="4935C512" w:rsidR="000756EB" w:rsidRDefault="004A4D88" w:rsidP="004616AC">
            <w:pPr>
              <w:pStyle w:val="TableHeading"/>
            </w:pPr>
            <w:r>
              <w:t>Current</w:t>
            </w:r>
            <w:r w:rsidR="00A03629">
              <w:t xml:space="preserve"> </w:t>
            </w:r>
            <w:r>
              <w:t>borrowings</w:t>
            </w:r>
          </w:p>
        </w:tc>
        <w:tc>
          <w:tcPr>
            <w:tcW w:w="1982" w:type="dxa"/>
          </w:tcPr>
          <w:p w14:paraId="43790774" w14:textId="77777777" w:rsidR="000756EB" w:rsidRPr="004616AC" w:rsidRDefault="000756EB" w:rsidP="00381751">
            <w:pPr>
              <w:pStyle w:val="TableHeading"/>
              <w:jc w:val="right"/>
            </w:pPr>
          </w:p>
        </w:tc>
        <w:tc>
          <w:tcPr>
            <w:tcW w:w="1983" w:type="dxa"/>
          </w:tcPr>
          <w:p w14:paraId="151FC7BB" w14:textId="77777777" w:rsidR="000756EB" w:rsidRPr="004616AC" w:rsidRDefault="000756EB" w:rsidP="00381751">
            <w:pPr>
              <w:pStyle w:val="TableHeading"/>
              <w:jc w:val="right"/>
            </w:pPr>
          </w:p>
        </w:tc>
      </w:tr>
      <w:tr w:rsidR="000756EB" w:rsidRPr="004616AC" w14:paraId="7DC6867A" w14:textId="77777777" w:rsidTr="004616AC">
        <w:trPr>
          <w:cantSplit/>
        </w:trPr>
        <w:tc>
          <w:tcPr>
            <w:tcW w:w="6236" w:type="dxa"/>
          </w:tcPr>
          <w:p w14:paraId="0CB439DC" w14:textId="58140F36" w:rsidR="000756EB" w:rsidRPr="004616AC" w:rsidRDefault="004A4D88" w:rsidP="004616AC">
            <w:pPr>
              <w:pStyle w:val="TableCopy"/>
              <w:rPr>
                <w:rFonts w:asciiTheme="minorHAnsi" w:hAnsiTheme="minorHAnsi" w:cstheme="minorHAnsi"/>
              </w:rPr>
            </w:pPr>
            <w:r w:rsidRPr="004616AC">
              <w:rPr>
                <w:rFonts w:asciiTheme="minorHAnsi" w:hAnsiTheme="minorHAnsi" w:cstheme="minorHAnsi"/>
              </w:rPr>
              <w:t>Lease</w:t>
            </w:r>
            <w:r w:rsidR="00A03629" w:rsidRPr="004616AC">
              <w:rPr>
                <w:rFonts w:asciiTheme="minorHAnsi" w:hAnsiTheme="minorHAnsi" w:cstheme="minorHAnsi"/>
              </w:rPr>
              <w:t xml:space="preserve"> </w:t>
            </w:r>
            <w:r w:rsidRPr="004616AC">
              <w:rPr>
                <w:rFonts w:asciiTheme="minorHAnsi" w:hAnsiTheme="minorHAnsi" w:cstheme="minorHAnsi"/>
              </w:rPr>
              <w:t>liabilities</w:t>
            </w:r>
            <w:r w:rsidR="00A03629" w:rsidRPr="004616AC">
              <w:rPr>
                <w:rFonts w:asciiTheme="minorHAnsi" w:hAnsiTheme="minorHAnsi" w:cstheme="minorHAnsi"/>
              </w:rPr>
              <w:t xml:space="preserve"> </w:t>
            </w:r>
            <w:r w:rsidRPr="00614829">
              <w:rPr>
                <w:rStyle w:val="FootnotereferencessuperscriptMisc"/>
              </w:rPr>
              <w:t>(</w:t>
            </w:r>
            <w:proofErr w:type="spellStart"/>
            <w:r w:rsidRPr="00614829">
              <w:rPr>
                <w:rStyle w:val="FootnotereferencessuperscriptMisc"/>
              </w:rPr>
              <w:t>i</w:t>
            </w:r>
            <w:proofErr w:type="spellEnd"/>
            <w:r w:rsidRPr="00614829">
              <w:rPr>
                <w:rStyle w:val="FootnotereferencessuperscriptMisc"/>
              </w:rPr>
              <w:t>)</w:t>
            </w:r>
          </w:p>
        </w:tc>
        <w:tc>
          <w:tcPr>
            <w:tcW w:w="1982" w:type="dxa"/>
          </w:tcPr>
          <w:p w14:paraId="791C589A" w14:textId="77777777" w:rsidR="000756EB" w:rsidRPr="004616AC" w:rsidRDefault="000756EB" w:rsidP="00381751">
            <w:pPr>
              <w:pStyle w:val="TableCopy"/>
              <w:jc w:val="right"/>
              <w:rPr>
                <w:rFonts w:asciiTheme="minorHAnsi" w:hAnsiTheme="minorHAnsi" w:cstheme="minorHAnsi"/>
                <w:lang w:val="en-AU"/>
              </w:rPr>
            </w:pPr>
          </w:p>
        </w:tc>
        <w:tc>
          <w:tcPr>
            <w:tcW w:w="1983" w:type="dxa"/>
          </w:tcPr>
          <w:p w14:paraId="4F80082D" w14:textId="77777777" w:rsidR="000756EB" w:rsidRPr="004616AC" w:rsidRDefault="000756EB" w:rsidP="00381751">
            <w:pPr>
              <w:pStyle w:val="TableCopy"/>
              <w:jc w:val="right"/>
              <w:rPr>
                <w:rFonts w:asciiTheme="minorHAnsi" w:hAnsiTheme="minorHAnsi" w:cstheme="minorHAnsi"/>
                <w:lang w:val="en-AU"/>
              </w:rPr>
            </w:pPr>
          </w:p>
        </w:tc>
      </w:tr>
      <w:tr w:rsidR="000756EB" w:rsidRPr="004616AC" w14:paraId="5449C4A9" w14:textId="77777777" w:rsidTr="004616AC">
        <w:trPr>
          <w:cantSplit/>
        </w:trPr>
        <w:tc>
          <w:tcPr>
            <w:tcW w:w="6236" w:type="dxa"/>
          </w:tcPr>
          <w:p w14:paraId="4421F83F" w14:textId="7CD85F7F" w:rsidR="000756EB" w:rsidRPr="004616AC" w:rsidRDefault="004A4D88" w:rsidP="004616AC">
            <w:pPr>
              <w:pStyle w:val="TableCopy"/>
              <w:rPr>
                <w:rFonts w:asciiTheme="minorHAnsi" w:hAnsiTheme="minorHAnsi" w:cstheme="minorHAnsi"/>
              </w:rPr>
            </w:pPr>
            <w:r w:rsidRPr="004616AC">
              <w:rPr>
                <w:rFonts w:asciiTheme="minorHAnsi" w:hAnsiTheme="minorHAnsi" w:cstheme="minorHAnsi"/>
              </w:rPr>
              <w:t>–</w:t>
            </w:r>
            <w:r w:rsidR="00A03629" w:rsidRPr="004616AC">
              <w:rPr>
                <w:rFonts w:asciiTheme="minorHAnsi" w:hAnsiTheme="minorHAnsi" w:cstheme="minorHAnsi"/>
              </w:rPr>
              <w:t xml:space="preserve"> </w:t>
            </w:r>
            <w:r w:rsidRPr="004616AC">
              <w:rPr>
                <w:rFonts w:asciiTheme="minorHAnsi" w:hAnsiTheme="minorHAnsi" w:cstheme="minorHAnsi"/>
              </w:rPr>
              <w:t>Public</w:t>
            </w:r>
            <w:r w:rsidR="00A03629" w:rsidRPr="004616AC">
              <w:rPr>
                <w:rFonts w:asciiTheme="minorHAnsi" w:hAnsiTheme="minorHAnsi" w:cstheme="minorHAnsi"/>
              </w:rPr>
              <w:t xml:space="preserve"> </w:t>
            </w:r>
            <w:r w:rsidRPr="004616AC">
              <w:rPr>
                <w:rFonts w:asciiTheme="minorHAnsi" w:hAnsiTheme="minorHAnsi" w:cstheme="minorHAnsi"/>
              </w:rPr>
              <w:t>private</w:t>
            </w:r>
            <w:r w:rsidR="00A03629" w:rsidRPr="004616AC">
              <w:rPr>
                <w:rFonts w:asciiTheme="minorHAnsi" w:hAnsiTheme="minorHAnsi" w:cstheme="minorHAnsi"/>
              </w:rPr>
              <w:t xml:space="preserve"> </w:t>
            </w:r>
            <w:r w:rsidRPr="004616AC">
              <w:rPr>
                <w:rFonts w:asciiTheme="minorHAnsi" w:hAnsiTheme="minorHAnsi" w:cstheme="minorHAnsi"/>
              </w:rPr>
              <w:t>partnership</w:t>
            </w:r>
            <w:r w:rsidR="00A03629" w:rsidRPr="004616AC">
              <w:rPr>
                <w:rFonts w:asciiTheme="minorHAnsi" w:hAnsiTheme="minorHAnsi" w:cstheme="minorHAnsi"/>
              </w:rPr>
              <w:t xml:space="preserve"> </w:t>
            </w:r>
            <w:r w:rsidRPr="004616AC">
              <w:rPr>
                <w:rFonts w:asciiTheme="minorHAnsi" w:hAnsiTheme="minorHAnsi" w:cstheme="minorHAnsi"/>
              </w:rPr>
              <w:t>(PPP)</w:t>
            </w:r>
            <w:r w:rsidR="00A03629" w:rsidRPr="004616AC">
              <w:rPr>
                <w:rFonts w:asciiTheme="minorHAnsi" w:hAnsiTheme="minorHAnsi" w:cstheme="minorHAnsi"/>
              </w:rPr>
              <w:t xml:space="preserve"> </w:t>
            </w:r>
            <w:r w:rsidRPr="004616AC">
              <w:rPr>
                <w:rFonts w:asciiTheme="minorHAnsi" w:hAnsiTheme="minorHAnsi" w:cstheme="minorHAnsi"/>
              </w:rPr>
              <w:t>related</w:t>
            </w:r>
            <w:r w:rsidR="00A03629" w:rsidRPr="004616AC">
              <w:rPr>
                <w:rFonts w:asciiTheme="minorHAnsi" w:hAnsiTheme="minorHAnsi" w:cstheme="minorHAnsi"/>
              </w:rPr>
              <w:t xml:space="preserve"> </w:t>
            </w:r>
            <w:r w:rsidRPr="004616AC">
              <w:rPr>
                <w:rFonts w:asciiTheme="minorHAnsi" w:hAnsiTheme="minorHAnsi" w:cstheme="minorHAnsi"/>
              </w:rPr>
              <w:t>lease</w:t>
            </w:r>
            <w:r w:rsidR="00A03629" w:rsidRPr="004616AC">
              <w:rPr>
                <w:rFonts w:asciiTheme="minorHAnsi" w:hAnsiTheme="minorHAnsi" w:cstheme="minorHAnsi"/>
              </w:rPr>
              <w:t xml:space="preserve"> </w:t>
            </w:r>
            <w:r w:rsidRPr="004616AC">
              <w:rPr>
                <w:rFonts w:asciiTheme="minorHAnsi" w:hAnsiTheme="minorHAnsi" w:cstheme="minorHAnsi"/>
              </w:rPr>
              <w:t>liabilities</w:t>
            </w:r>
          </w:p>
        </w:tc>
        <w:tc>
          <w:tcPr>
            <w:tcW w:w="1982" w:type="dxa"/>
          </w:tcPr>
          <w:p w14:paraId="663D6186" w14:textId="734E3658" w:rsidR="000756EB" w:rsidRPr="004616AC" w:rsidRDefault="004A4D88" w:rsidP="00381751">
            <w:pPr>
              <w:pStyle w:val="TableCopy"/>
              <w:jc w:val="right"/>
              <w:rPr>
                <w:rFonts w:asciiTheme="minorHAnsi" w:hAnsiTheme="minorHAnsi" w:cstheme="minorHAnsi"/>
              </w:rPr>
            </w:pPr>
            <w:r w:rsidRPr="004616AC">
              <w:rPr>
                <w:rFonts w:asciiTheme="minorHAnsi" w:hAnsiTheme="minorHAnsi" w:cstheme="minorHAnsi"/>
              </w:rPr>
              <w:t>–</w:t>
            </w:r>
          </w:p>
        </w:tc>
        <w:tc>
          <w:tcPr>
            <w:tcW w:w="1983" w:type="dxa"/>
          </w:tcPr>
          <w:p w14:paraId="5BD34D4F" w14:textId="6664E6A9" w:rsidR="000756EB" w:rsidRPr="004616AC" w:rsidRDefault="004A4D88" w:rsidP="00381751">
            <w:pPr>
              <w:pStyle w:val="TableCopy"/>
              <w:jc w:val="right"/>
              <w:rPr>
                <w:rFonts w:asciiTheme="minorHAnsi" w:hAnsiTheme="minorHAnsi" w:cstheme="minorHAnsi"/>
              </w:rPr>
            </w:pPr>
            <w:r w:rsidRPr="004616AC">
              <w:rPr>
                <w:rFonts w:asciiTheme="minorHAnsi" w:hAnsiTheme="minorHAnsi" w:cstheme="minorHAnsi"/>
              </w:rPr>
              <w:t>9,066</w:t>
            </w:r>
          </w:p>
        </w:tc>
      </w:tr>
      <w:tr w:rsidR="000756EB" w:rsidRPr="004616AC" w14:paraId="595EC9F0" w14:textId="77777777" w:rsidTr="004616AC">
        <w:trPr>
          <w:cantSplit/>
        </w:trPr>
        <w:tc>
          <w:tcPr>
            <w:tcW w:w="6236" w:type="dxa"/>
          </w:tcPr>
          <w:p w14:paraId="2D0A75FD" w14:textId="51EF8456" w:rsidR="000756EB" w:rsidRPr="004616AC" w:rsidRDefault="004A4D88" w:rsidP="004616AC">
            <w:pPr>
              <w:pStyle w:val="TableCopy"/>
              <w:rPr>
                <w:rFonts w:asciiTheme="minorHAnsi" w:hAnsiTheme="minorHAnsi" w:cstheme="minorHAnsi"/>
              </w:rPr>
            </w:pPr>
            <w:r w:rsidRPr="004616AC">
              <w:rPr>
                <w:rFonts w:asciiTheme="minorHAnsi" w:hAnsiTheme="minorHAnsi" w:cstheme="minorHAnsi"/>
              </w:rPr>
              <w:t>–</w:t>
            </w:r>
            <w:r w:rsidR="00A03629" w:rsidRPr="004616AC">
              <w:rPr>
                <w:rFonts w:asciiTheme="minorHAnsi" w:hAnsiTheme="minorHAnsi" w:cstheme="minorHAnsi"/>
              </w:rPr>
              <w:t xml:space="preserve"> </w:t>
            </w:r>
            <w:r w:rsidRPr="004616AC">
              <w:rPr>
                <w:rFonts w:asciiTheme="minorHAnsi" w:hAnsiTheme="minorHAnsi" w:cstheme="minorHAnsi"/>
              </w:rPr>
              <w:t>Non-PPP</w:t>
            </w:r>
            <w:r w:rsidR="00A03629" w:rsidRPr="004616AC">
              <w:rPr>
                <w:rFonts w:asciiTheme="minorHAnsi" w:hAnsiTheme="minorHAnsi" w:cstheme="minorHAnsi"/>
              </w:rPr>
              <w:t xml:space="preserve"> </w:t>
            </w:r>
            <w:r w:rsidRPr="004616AC">
              <w:rPr>
                <w:rFonts w:asciiTheme="minorHAnsi" w:hAnsiTheme="minorHAnsi" w:cstheme="minorHAnsi"/>
              </w:rPr>
              <w:t>related</w:t>
            </w:r>
            <w:r w:rsidR="00A03629" w:rsidRPr="004616AC">
              <w:rPr>
                <w:rFonts w:asciiTheme="minorHAnsi" w:hAnsiTheme="minorHAnsi" w:cstheme="minorHAnsi"/>
              </w:rPr>
              <w:t xml:space="preserve"> </w:t>
            </w:r>
            <w:r w:rsidRPr="004616AC">
              <w:rPr>
                <w:rFonts w:asciiTheme="minorHAnsi" w:hAnsiTheme="minorHAnsi" w:cstheme="minorHAnsi"/>
              </w:rPr>
              <w:t>lease</w:t>
            </w:r>
            <w:r w:rsidR="00A03629" w:rsidRPr="004616AC">
              <w:rPr>
                <w:rFonts w:asciiTheme="minorHAnsi" w:hAnsiTheme="minorHAnsi" w:cstheme="minorHAnsi"/>
              </w:rPr>
              <w:t xml:space="preserve"> </w:t>
            </w:r>
            <w:r w:rsidRPr="004616AC">
              <w:rPr>
                <w:rFonts w:asciiTheme="minorHAnsi" w:hAnsiTheme="minorHAnsi" w:cstheme="minorHAnsi"/>
              </w:rPr>
              <w:t>liabilities</w:t>
            </w:r>
          </w:p>
        </w:tc>
        <w:tc>
          <w:tcPr>
            <w:tcW w:w="1982" w:type="dxa"/>
          </w:tcPr>
          <w:p w14:paraId="055D48A6" w14:textId="47F1BCF5" w:rsidR="000756EB" w:rsidRPr="004616AC" w:rsidRDefault="004A4D88" w:rsidP="00381751">
            <w:pPr>
              <w:pStyle w:val="TableCopy"/>
              <w:jc w:val="right"/>
              <w:rPr>
                <w:rFonts w:asciiTheme="minorHAnsi" w:hAnsiTheme="minorHAnsi" w:cstheme="minorHAnsi"/>
              </w:rPr>
            </w:pPr>
            <w:r w:rsidRPr="004616AC">
              <w:rPr>
                <w:rFonts w:asciiTheme="minorHAnsi" w:hAnsiTheme="minorHAnsi" w:cstheme="minorHAnsi"/>
              </w:rPr>
              <w:t>2,617</w:t>
            </w:r>
          </w:p>
        </w:tc>
        <w:tc>
          <w:tcPr>
            <w:tcW w:w="1983" w:type="dxa"/>
          </w:tcPr>
          <w:p w14:paraId="66B8C4B2" w14:textId="0FF35E79" w:rsidR="000756EB" w:rsidRPr="004616AC" w:rsidRDefault="004A4D88" w:rsidP="00381751">
            <w:pPr>
              <w:pStyle w:val="TableCopy"/>
              <w:jc w:val="right"/>
              <w:rPr>
                <w:rFonts w:asciiTheme="minorHAnsi" w:hAnsiTheme="minorHAnsi" w:cstheme="minorHAnsi"/>
              </w:rPr>
            </w:pPr>
            <w:r w:rsidRPr="004616AC">
              <w:rPr>
                <w:rFonts w:asciiTheme="minorHAnsi" w:hAnsiTheme="minorHAnsi" w:cstheme="minorHAnsi"/>
              </w:rPr>
              <w:t>11,416</w:t>
            </w:r>
          </w:p>
        </w:tc>
      </w:tr>
      <w:tr w:rsidR="000756EB" w:rsidRPr="004616AC" w14:paraId="31C1C707" w14:textId="77777777" w:rsidTr="004616AC">
        <w:trPr>
          <w:cantSplit/>
        </w:trPr>
        <w:tc>
          <w:tcPr>
            <w:tcW w:w="6236" w:type="dxa"/>
          </w:tcPr>
          <w:p w14:paraId="2475DDE5" w14:textId="13DFB939" w:rsidR="000756EB" w:rsidRPr="004616AC" w:rsidRDefault="004A4D88" w:rsidP="004616AC">
            <w:pPr>
              <w:pStyle w:val="TableCopy"/>
              <w:rPr>
                <w:rFonts w:asciiTheme="minorHAnsi" w:hAnsiTheme="minorHAnsi" w:cstheme="minorHAnsi"/>
              </w:rPr>
            </w:pPr>
            <w:r w:rsidRPr="004616AC">
              <w:rPr>
                <w:rFonts w:asciiTheme="minorHAnsi" w:hAnsiTheme="minorHAnsi" w:cstheme="minorHAnsi"/>
              </w:rPr>
              <w:t>Advances</w:t>
            </w:r>
            <w:r w:rsidR="00A03629" w:rsidRPr="004616AC">
              <w:rPr>
                <w:rFonts w:asciiTheme="minorHAnsi" w:hAnsiTheme="minorHAnsi" w:cstheme="minorHAnsi"/>
              </w:rPr>
              <w:t xml:space="preserve"> </w:t>
            </w:r>
            <w:r w:rsidRPr="004616AC">
              <w:rPr>
                <w:rFonts w:asciiTheme="minorHAnsi" w:hAnsiTheme="minorHAnsi" w:cstheme="minorHAnsi"/>
              </w:rPr>
              <w:t>from</w:t>
            </w:r>
            <w:r w:rsidR="00A03629" w:rsidRPr="004616AC">
              <w:rPr>
                <w:rFonts w:asciiTheme="minorHAnsi" w:hAnsiTheme="minorHAnsi" w:cstheme="minorHAnsi"/>
              </w:rPr>
              <w:t xml:space="preserve"> </w:t>
            </w:r>
            <w:r w:rsidRPr="004616AC">
              <w:rPr>
                <w:rFonts w:asciiTheme="minorHAnsi" w:hAnsiTheme="minorHAnsi" w:cstheme="minorHAnsi"/>
              </w:rPr>
              <w:t>government</w:t>
            </w:r>
            <w:r w:rsidR="00A03629" w:rsidRPr="004616AC">
              <w:rPr>
                <w:rFonts w:asciiTheme="minorHAnsi" w:hAnsiTheme="minorHAnsi" w:cstheme="minorHAnsi"/>
              </w:rPr>
              <w:t xml:space="preserve"> </w:t>
            </w:r>
            <w:r w:rsidRPr="00614829">
              <w:rPr>
                <w:rStyle w:val="FootnotereferencessuperscriptMisc"/>
              </w:rPr>
              <w:t>(ii)</w:t>
            </w:r>
          </w:p>
        </w:tc>
        <w:tc>
          <w:tcPr>
            <w:tcW w:w="1982" w:type="dxa"/>
          </w:tcPr>
          <w:p w14:paraId="58CE6EA2" w14:textId="067BF871" w:rsidR="000756EB" w:rsidRPr="004616AC" w:rsidRDefault="004A4D88" w:rsidP="00381751">
            <w:pPr>
              <w:pStyle w:val="TableCopy"/>
              <w:jc w:val="right"/>
              <w:rPr>
                <w:rFonts w:asciiTheme="minorHAnsi" w:hAnsiTheme="minorHAnsi" w:cstheme="minorHAnsi"/>
              </w:rPr>
            </w:pPr>
            <w:r w:rsidRPr="004616AC">
              <w:rPr>
                <w:rFonts w:asciiTheme="minorHAnsi" w:hAnsiTheme="minorHAnsi" w:cstheme="minorHAnsi"/>
              </w:rPr>
              <w:t>43,549</w:t>
            </w:r>
          </w:p>
        </w:tc>
        <w:tc>
          <w:tcPr>
            <w:tcW w:w="1983" w:type="dxa"/>
          </w:tcPr>
          <w:p w14:paraId="027731E5" w14:textId="7D9E5E65" w:rsidR="000756EB" w:rsidRPr="004616AC" w:rsidRDefault="004A4D88" w:rsidP="00381751">
            <w:pPr>
              <w:pStyle w:val="TableCopy"/>
              <w:jc w:val="right"/>
              <w:rPr>
                <w:rFonts w:asciiTheme="minorHAnsi" w:hAnsiTheme="minorHAnsi" w:cstheme="minorHAnsi"/>
              </w:rPr>
            </w:pPr>
            <w:r w:rsidRPr="004616AC">
              <w:rPr>
                <w:rFonts w:asciiTheme="minorHAnsi" w:hAnsiTheme="minorHAnsi" w:cstheme="minorHAnsi"/>
              </w:rPr>
              <w:t>58,366</w:t>
            </w:r>
          </w:p>
        </w:tc>
      </w:tr>
      <w:tr w:rsidR="000756EB" w:rsidRPr="004616AC" w14:paraId="5F0B8E14" w14:textId="77777777" w:rsidTr="004616AC">
        <w:trPr>
          <w:cantSplit/>
        </w:trPr>
        <w:tc>
          <w:tcPr>
            <w:tcW w:w="6236" w:type="dxa"/>
          </w:tcPr>
          <w:p w14:paraId="71FD3128" w14:textId="7D5330FE" w:rsidR="000756EB" w:rsidRPr="004616AC" w:rsidRDefault="004A4D88" w:rsidP="004616AC">
            <w:pPr>
              <w:pStyle w:val="TableCopy"/>
              <w:rPr>
                <w:rFonts w:asciiTheme="minorHAnsi" w:hAnsiTheme="minorHAnsi" w:cstheme="minorHAnsi"/>
              </w:rPr>
            </w:pPr>
            <w:r w:rsidRPr="004616AC">
              <w:rPr>
                <w:rFonts w:asciiTheme="minorHAnsi" w:hAnsiTheme="minorHAnsi" w:cstheme="minorHAnsi"/>
              </w:rPr>
              <w:t>Advances</w:t>
            </w:r>
            <w:r w:rsidR="00A03629" w:rsidRPr="004616AC">
              <w:rPr>
                <w:rFonts w:asciiTheme="minorHAnsi" w:hAnsiTheme="minorHAnsi" w:cstheme="minorHAnsi"/>
              </w:rPr>
              <w:t xml:space="preserve"> </w:t>
            </w:r>
            <w:r w:rsidRPr="004616AC">
              <w:rPr>
                <w:rFonts w:asciiTheme="minorHAnsi" w:hAnsiTheme="minorHAnsi" w:cstheme="minorHAnsi"/>
              </w:rPr>
              <w:t>from</w:t>
            </w:r>
            <w:r w:rsidR="00A03629" w:rsidRPr="004616AC">
              <w:rPr>
                <w:rFonts w:asciiTheme="minorHAnsi" w:hAnsiTheme="minorHAnsi" w:cstheme="minorHAnsi"/>
              </w:rPr>
              <w:t xml:space="preserve"> </w:t>
            </w:r>
            <w:r w:rsidRPr="004616AC">
              <w:rPr>
                <w:rFonts w:asciiTheme="minorHAnsi" w:hAnsiTheme="minorHAnsi" w:cstheme="minorHAnsi"/>
              </w:rPr>
              <w:t>Commonwealth</w:t>
            </w:r>
            <w:r w:rsidR="00A03629" w:rsidRPr="004616AC">
              <w:rPr>
                <w:rFonts w:asciiTheme="minorHAnsi" w:hAnsiTheme="minorHAnsi" w:cstheme="minorHAnsi"/>
              </w:rPr>
              <w:t xml:space="preserve"> </w:t>
            </w:r>
            <w:r w:rsidRPr="00614829">
              <w:rPr>
                <w:rStyle w:val="FootnotereferencessuperscriptMisc"/>
              </w:rPr>
              <w:t>(iii)</w:t>
            </w:r>
          </w:p>
        </w:tc>
        <w:tc>
          <w:tcPr>
            <w:tcW w:w="1982" w:type="dxa"/>
          </w:tcPr>
          <w:p w14:paraId="1953C5AB" w14:textId="51F4968F" w:rsidR="000756EB" w:rsidRPr="004616AC" w:rsidRDefault="004A4D88" w:rsidP="00381751">
            <w:pPr>
              <w:pStyle w:val="TableCopy"/>
              <w:jc w:val="right"/>
              <w:rPr>
                <w:rFonts w:asciiTheme="minorHAnsi" w:hAnsiTheme="minorHAnsi" w:cstheme="minorHAnsi"/>
              </w:rPr>
            </w:pPr>
            <w:r w:rsidRPr="004616AC">
              <w:rPr>
                <w:rFonts w:asciiTheme="minorHAnsi" w:hAnsiTheme="minorHAnsi" w:cstheme="minorHAnsi"/>
              </w:rPr>
              <w:t>–</w:t>
            </w:r>
          </w:p>
        </w:tc>
        <w:tc>
          <w:tcPr>
            <w:tcW w:w="1983" w:type="dxa"/>
          </w:tcPr>
          <w:p w14:paraId="3DD2E798" w14:textId="63A5BFE8" w:rsidR="000756EB" w:rsidRPr="004616AC" w:rsidRDefault="004A4D88" w:rsidP="00381751">
            <w:pPr>
              <w:pStyle w:val="TableCopy"/>
              <w:jc w:val="right"/>
              <w:rPr>
                <w:rFonts w:asciiTheme="minorHAnsi" w:hAnsiTheme="minorHAnsi" w:cstheme="minorHAnsi"/>
              </w:rPr>
            </w:pPr>
            <w:r w:rsidRPr="004616AC">
              <w:rPr>
                <w:rFonts w:asciiTheme="minorHAnsi" w:hAnsiTheme="minorHAnsi" w:cstheme="minorHAnsi"/>
              </w:rPr>
              <w:t>6,604</w:t>
            </w:r>
          </w:p>
        </w:tc>
      </w:tr>
      <w:tr w:rsidR="000756EB" w:rsidRPr="00454018" w14:paraId="027266E9" w14:textId="77777777" w:rsidTr="004616AC">
        <w:trPr>
          <w:cantSplit/>
        </w:trPr>
        <w:tc>
          <w:tcPr>
            <w:tcW w:w="6236" w:type="dxa"/>
          </w:tcPr>
          <w:p w14:paraId="595689A1" w14:textId="11BC9F8A" w:rsidR="000756EB" w:rsidRPr="00454018" w:rsidRDefault="004A4D88" w:rsidP="00454018">
            <w:pPr>
              <w:pStyle w:val="TableCopy"/>
              <w:rPr>
                <w:b/>
                <w:bCs/>
              </w:rPr>
            </w:pPr>
            <w:r w:rsidRPr="00454018">
              <w:rPr>
                <w:b/>
                <w:bCs/>
              </w:rPr>
              <w:t>Total</w:t>
            </w:r>
            <w:r w:rsidR="00A03629" w:rsidRPr="00454018">
              <w:rPr>
                <w:b/>
                <w:bCs/>
              </w:rPr>
              <w:t xml:space="preserve"> </w:t>
            </w:r>
            <w:r w:rsidRPr="00454018">
              <w:rPr>
                <w:b/>
                <w:bCs/>
              </w:rPr>
              <w:t>current</w:t>
            </w:r>
            <w:r w:rsidR="00A03629" w:rsidRPr="00454018">
              <w:rPr>
                <w:b/>
                <w:bCs/>
              </w:rPr>
              <w:t xml:space="preserve"> </w:t>
            </w:r>
            <w:r w:rsidRPr="00454018">
              <w:rPr>
                <w:b/>
                <w:bCs/>
              </w:rPr>
              <w:t>borrowings</w:t>
            </w:r>
          </w:p>
        </w:tc>
        <w:tc>
          <w:tcPr>
            <w:tcW w:w="1982" w:type="dxa"/>
          </w:tcPr>
          <w:p w14:paraId="67EAC2B2" w14:textId="68C00996" w:rsidR="000756EB" w:rsidRPr="00454018" w:rsidRDefault="004A4D88" w:rsidP="00381751">
            <w:pPr>
              <w:pStyle w:val="TableCopy"/>
              <w:jc w:val="right"/>
              <w:rPr>
                <w:b/>
                <w:bCs/>
              </w:rPr>
            </w:pPr>
            <w:r w:rsidRPr="00454018">
              <w:rPr>
                <w:b/>
                <w:bCs/>
              </w:rPr>
              <w:t>46,166</w:t>
            </w:r>
          </w:p>
        </w:tc>
        <w:tc>
          <w:tcPr>
            <w:tcW w:w="1983" w:type="dxa"/>
          </w:tcPr>
          <w:p w14:paraId="343C255E" w14:textId="2A3CA552" w:rsidR="000756EB" w:rsidRPr="00454018" w:rsidRDefault="004A4D88" w:rsidP="00381751">
            <w:pPr>
              <w:pStyle w:val="TableCopy"/>
              <w:jc w:val="right"/>
              <w:rPr>
                <w:b/>
                <w:bCs/>
              </w:rPr>
            </w:pPr>
            <w:r w:rsidRPr="00454018">
              <w:rPr>
                <w:b/>
                <w:bCs/>
              </w:rPr>
              <w:t>85,452</w:t>
            </w:r>
          </w:p>
        </w:tc>
      </w:tr>
      <w:tr w:rsidR="000756EB" w14:paraId="09F31692" w14:textId="77777777" w:rsidTr="004616AC">
        <w:trPr>
          <w:cantSplit/>
        </w:trPr>
        <w:tc>
          <w:tcPr>
            <w:tcW w:w="6236" w:type="dxa"/>
          </w:tcPr>
          <w:p w14:paraId="79E2B15D" w14:textId="1A79AEB8" w:rsidR="000756EB" w:rsidRDefault="004A4D88" w:rsidP="00454018">
            <w:pPr>
              <w:pStyle w:val="TableHeading"/>
            </w:pPr>
            <w:r>
              <w:t>Non-current</w:t>
            </w:r>
            <w:r w:rsidR="00A03629">
              <w:t xml:space="preserve"> </w:t>
            </w:r>
            <w:r>
              <w:t>borrowings</w:t>
            </w:r>
          </w:p>
        </w:tc>
        <w:tc>
          <w:tcPr>
            <w:tcW w:w="1982" w:type="dxa"/>
          </w:tcPr>
          <w:p w14:paraId="08BB29E3" w14:textId="77777777" w:rsidR="000756EB" w:rsidRPr="00454018" w:rsidRDefault="000756EB" w:rsidP="00381751">
            <w:pPr>
              <w:pStyle w:val="TableHeading"/>
              <w:jc w:val="right"/>
            </w:pPr>
          </w:p>
        </w:tc>
        <w:tc>
          <w:tcPr>
            <w:tcW w:w="1983" w:type="dxa"/>
          </w:tcPr>
          <w:p w14:paraId="0F429FA4" w14:textId="77777777" w:rsidR="000756EB" w:rsidRPr="00454018" w:rsidRDefault="000756EB" w:rsidP="00381751">
            <w:pPr>
              <w:pStyle w:val="TableHeading"/>
              <w:jc w:val="right"/>
            </w:pPr>
          </w:p>
        </w:tc>
      </w:tr>
      <w:tr w:rsidR="000756EB" w:rsidRPr="00454018" w14:paraId="7477A4BF" w14:textId="77777777" w:rsidTr="004616AC">
        <w:trPr>
          <w:cantSplit/>
        </w:trPr>
        <w:tc>
          <w:tcPr>
            <w:tcW w:w="6236" w:type="dxa"/>
          </w:tcPr>
          <w:p w14:paraId="4DB59729" w14:textId="1F1593EF" w:rsidR="000756EB" w:rsidRPr="00454018" w:rsidRDefault="004A4D88" w:rsidP="00454018">
            <w:pPr>
              <w:pStyle w:val="TableCopy"/>
              <w:rPr>
                <w:rFonts w:asciiTheme="minorHAnsi" w:hAnsiTheme="minorHAnsi" w:cstheme="minorHAnsi"/>
              </w:rPr>
            </w:pPr>
            <w:r w:rsidRPr="00454018">
              <w:rPr>
                <w:rFonts w:asciiTheme="minorHAnsi" w:hAnsiTheme="minorHAnsi" w:cstheme="minorHAnsi"/>
              </w:rPr>
              <w:t>Lease</w:t>
            </w:r>
            <w:r w:rsidR="00A03629" w:rsidRPr="00454018">
              <w:rPr>
                <w:rFonts w:asciiTheme="minorHAnsi" w:hAnsiTheme="minorHAnsi" w:cstheme="minorHAnsi"/>
              </w:rPr>
              <w:t xml:space="preserve"> </w:t>
            </w:r>
            <w:r w:rsidRPr="00454018">
              <w:rPr>
                <w:rFonts w:asciiTheme="minorHAnsi" w:hAnsiTheme="minorHAnsi" w:cstheme="minorHAnsi"/>
              </w:rPr>
              <w:t>liabilities</w:t>
            </w:r>
            <w:r w:rsidR="00A03629" w:rsidRPr="00454018">
              <w:rPr>
                <w:rFonts w:asciiTheme="minorHAnsi" w:hAnsiTheme="minorHAnsi" w:cstheme="minorHAnsi"/>
              </w:rPr>
              <w:t xml:space="preserve"> </w:t>
            </w:r>
            <w:r w:rsidRPr="00614829">
              <w:rPr>
                <w:rStyle w:val="FootnotereferencessuperscriptMisc"/>
              </w:rPr>
              <w:t>(</w:t>
            </w:r>
            <w:proofErr w:type="spellStart"/>
            <w:r w:rsidRPr="00614829">
              <w:rPr>
                <w:rStyle w:val="FootnotereferencessuperscriptMisc"/>
              </w:rPr>
              <w:t>i</w:t>
            </w:r>
            <w:proofErr w:type="spellEnd"/>
            <w:r w:rsidRPr="00614829">
              <w:rPr>
                <w:rStyle w:val="FootnotereferencessuperscriptMisc"/>
              </w:rPr>
              <w:t>)</w:t>
            </w:r>
          </w:p>
        </w:tc>
        <w:tc>
          <w:tcPr>
            <w:tcW w:w="1982" w:type="dxa"/>
          </w:tcPr>
          <w:p w14:paraId="4A74DB9B" w14:textId="77777777" w:rsidR="000756EB" w:rsidRPr="00454018" w:rsidRDefault="000756EB" w:rsidP="00381751">
            <w:pPr>
              <w:pStyle w:val="TableCopy"/>
              <w:jc w:val="right"/>
              <w:rPr>
                <w:rFonts w:asciiTheme="minorHAnsi" w:hAnsiTheme="minorHAnsi" w:cstheme="minorHAnsi"/>
                <w:lang w:val="en-AU"/>
              </w:rPr>
            </w:pPr>
          </w:p>
        </w:tc>
        <w:tc>
          <w:tcPr>
            <w:tcW w:w="1983" w:type="dxa"/>
          </w:tcPr>
          <w:p w14:paraId="0019AFBD" w14:textId="77777777" w:rsidR="000756EB" w:rsidRPr="00454018" w:rsidRDefault="000756EB" w:rsidP="00381751">
            <w:pPr>
              <w:pStyle w:val="TableCopy"/>
              <w:jc w:val="right"/>
              <w:rPr>
                <w:rFonts w:asciiTheme="minorHAnsi" w:hAnsiTheme="minorHAnsi" w:cstheme="minorHAnsi"/>
                <w:lang w:val="en-AU"/>
              </w:rPr>
            </w:pPr>
          </w:p>
        </w:tc>
      </w:tr>
      <w:tr w:rsidR="000756EB" w:rsidRPr="00454018" w14:paraId="2A2D8176" w14:textId="77777777" w:rsidTr="004616AC">
        <w:trPr>
          <w:cantSplit/>
        </w:trPr>
        <w:tc>
          <w:tcPr>
            <w:tcW w:w="6236" w:type="dxa"/>
          </w:tcPr>
          <w:p w14:paraId="2CF83158" w14:textId="41BB68D8" w:rsidR="000756EB" w:rsidRPr="00454018" w:rsidRDefault="004A4D88" w:rsidP="00454018">
            <w:pPr>
              <w:pStyle w:val="TableCopy"/>
              <w:rPr>
                <w:rFonts w:asciiTheme="minorHAnsi" w:hAnsiTheme="minorHAnsi" w:cstheme="minorHAnsi"/>
              </w:rPr>
            </w:pPr>
            <w:r w:rsidRPr="00454018">
              <w:rPr>
                <w:rFonts w:asciiTheme="minorHAnsi" w:hAnsiTheme="minorHAnsi" w:cstheme="minorHAnsi"/>
              </w:rPr>
              <w:t>–</w:t>
            </w:r>
            <w:r w:rsidR="00A03629" w:rsidRPr="00454018">
              <w:rPr>
                <w:rFonts w:asciiTheme="minorHAnsi" w:hAnsiTheme="minorHAnsi" w:cstheme="minorHAnsi"/>
              </w:rPr>
              <w:t xml:space="preserve"> </w:t>
            </w:r>
            <w:r w:rsidRPr="00454018">
              <w:rPr>
                <w:rFonts w:asciiTheme="minorHAnsi" w:hAnsiTheme="minorHAnsi" w:cstheme="minorHAnsi"/>
              </w:rPr>
              <w:t>PPP</w:t>
            </w:r>
            <w:r w:rsidR="00A03629" w:rsidRPr="00454018">
              <w:rPr>
                <w:rFonts w:asciiTheme="minorHAnsi" w:hAnsiTheme="minorHAnsi" w:cstheme="minorHAnsi"/>
              </w:rPr>
              <w:t xml:space="preserve"> </w:t>
            </w:r>
            <w:r w:rsidRPr="00454018">
              <w:rPr>
                <w:rFonts w:asciiTheme="minorHAnsi" w:hAnsiTheme="minorHAnsi" w:cstheme="minorHAnsi"/>
              </w:rPr>
              <w:t>related</w:t>
            </w:r>
            <w:r w:rsidR="00A03629" w:rsidRPr="00454018">
              <w:rPr>
                <w:rFonts w:asciiTheme="minorHAnsi" w:hAnsiTheme="minorHAnsi" w:cstheme="minorHAnsi"/>
              </w:rPr>
              <w:t xml:space="preserve"> </w:t>
            </w:r>
            <w:r w:rsidRPr="00454018">
              <w:rPr>
                <w:rFonts w:asciiTheme="minorHAnsi" w:hAnsiTheme="minorHAnsi" w:cstheme="minorHAnsi"/>
              </w:rPr>
              <w:t>lease</w:t>
            </w:r>
            <w:r w:rsidR="00A03629" w:rsidRPr="00454018">
              <w:rPr>
                <w:rFonts w:asciiTheme="minorHAnsi" w:hAnsiTheme="minorHAnsi" w:cstheme="minorHAnsi"/>
              </w:rPr>
              <w:t xml:space="preserve"> </w:t>
            </w:r>
            <w:r w:rsidRPr="00454018">
              <w:rPr>
                <w:rFonts w:asciiTheme="minorHAnsi" w:hAnsiTheme="minorHAnsi" w:cstheme="minorHAnsi"/>
              </w:rPr>
              <w:t>liabilities</w:t>
            </w:r>
          </w:p>
        </w:tc>
        <w:tc>
          <w:tcPr>
            <w:tcW w:w="1982" w:type="dxa"/>
          </w:tcPr>
          <w:p w14:paraId="4889CB1E" w14:textId="3809E01E" w:rsidR="000756EB" w:rsidRPr="00454018" w:rsidRDefault="004A4D88" w:rsidP="00381751">
            <w:pPr>
              <w:pStyle w:val="TableCopy"/>
              <w:jc w:val="right"/>
              <w:rPr>
                <w:rFonts w:asciiTheme="minorHAnsi" w:hAnsiTheme="minorHAnsi" w:cstheme="minorHAnsi"/>
              </w:rPr>
            </w:pPr>
            <w:r w:rsidRPr="00454018">
              <w:rPr>
                <w:rFonts w:asciiTheme="minorHAnsi" w:hAnsiTheme="minorHAnsi" w:cstheme="minorHAnsi"/>
              </w:rPr>
              <w:t>–</w:t>
            </w:r>
          </w:p>
        </w:tc>
        <w:tc>
          <w:tcPr>
            <w:tcW w:w="1983" w:type="dxa"/>
          </w:tcPr>
          <w:p w14:paraId="6942290B" w14:textId="6DE7C2C6" w:rsidR="000756EB" w:rsidRPr="00454018" w:rsidRDefault="004A4D88" w:rsidP="00381751">
            <w:pPr>
              <w:pStyle w:val="TableCopy"/>
              <w:jc w:val="right"/>
              <w:rPr>
                <w:rFonts w:asciiTheme="minorHAnsi" w:hAnsiTheme="minorHAnsi" w:cstheme="minorHAnsi"/>
              </w:rPr>
            </w:pPr>
            <w:r w:rsidRPr="00454018">
              <w:rPr>
                <w:rFonts w:asciiTheme="minorHAnsi" w:hAnsiTheme="minorHAnsi" w:cstheme="minorHAnsi"/>
              </w:rPr>
              <w:t>258,851</w:t>
            </w:r>
          </w:p>
        </w:tc>
      </w:tr>
      <w:tr w:rsidR="000756EB" w:rsidRPr="00454018" w14:paraId="4CB71A84" w14:textId="77777777" w:rsidTr="004616AC">
        <w:trPr>
          <w:cantSplit/>
        </w:trPr>
        <w:tc>
          <w:tcPr>
            <w:tcW w:w="6236" w:type="dxa"/>
          </w:tcPr>
          <w:p w14:paraId="2ECC4603" w14:textId="2C08198F" w:rsidR="000756EB" w:rsidRPr="00454018" w:rsidRDefault="004A4D88" w:rsidP="00454018">
            <w:pPr>
              <w:pStyle w:val="TableCopy"/>
              <w:rPr>
                <w:rFonts w:asciiTheme="minorHAnsi" w:hAnsiTheme="minorHAnsi" w:cstheme="minorHAnsi"/>
              </w:rPr>
            </w:pPr>
            <w:r w:rsidRPr="00454018">
              <w:rPr>
                <w:rFonts w:asciiTheme="minorHAnsi" w:hAnsiTheme="minorHAnsi" w:cstheme="minorHAnsi"/>
              </w:rPr>
              <w:t>–</w:t>
            </w:r>
            <w:r w:rsidR="00A03629" w:rsidRPr="00454018">
              <w:rPr>
                <w:rFonts w:asciiTheme="minorHAnsi" w:hAnsiTheme="minorHAnsi" w:cstheme="minorHAnsi"/>
              </w:rPr>
              <w:t xml:space="preserve"> </w:t>
            </w:r>
            <w:r w:rsidRPr="00454018">
              <w:rPr>
                <w:rFonts w:asciiTheme="minorHAnsi" w:hAnsiTheme="minorHAnsi" w:cstheme="minorHAnsi"/>
              </w:rPr>
              <w:t>Non-PPP</w:t>
            </w:r>
            <w:r w:rsidR="00A03629" w:rsidRPr="00454018">
              <w:rPr>
                <w:rFonts w:asciiTheme="minorHAnsi" w:hAnsiTheme="minorHAnsi" w:cstheme="minorHAnsi"/>
              </w:rPr>
              <w:t xml:space="preserve"> </w:t>
            </w:r>
            <w:r w:rsidRPr="00454018">
              <w:rPr>
                <w:rFonts w:asciiTheme="minorHAnsi" w:hAnsiTheme="minorHAnsi" w:cstheme="minorHAnsi"/>
              </w:rPr>
              <w:t>related</w:t>
            </w:r>
            <w:r w:rsidR="00A03629" w:rsidRPr="00454018">
              <w:rPr>
                <w:rFonts w:asciiTheme="minorHAnsi" w:hAnsiTheme="minorHAnsi" w:cstheme="minorHAnsi"/>
              </w:rPr>
              <w:t xml:space="preserve"> </w:t>
            </w:r>
            <w:r w:rsidRPr="00454018">
              <w:rPr>
                <w:rFonts w:asciiTheme="minorHAnsi" w:hAnsiTheme="minorHAnsi" w:cstheme="minorHAnsi"/>
              </w:rPr>
              <w:t>lease</w:t>
            </w:r>
            <w:r w:rsidR="00A03629" w:rsidRPr="00454018">
              <w:rPr>
                <w:rFonts w:asciiTheme="minorHAnsi" w:hAnsiTheme="minorHAnsi" w:cstheme="minorHAnsi"/>
              </w:rPr>
              <w:t xml:space="preserve"> </w:t>
            </w:r>
            <w:r w:rsidRPr="00454018">
              <w:rPr>
                <w:rFonts w:asciiTheme="minorHAnsi" w:hAnsiTheme="minorHAnsi" w:cstheme="minorHAnsi"/>
              </w:rPr>
              <w:t>liabilities</w:t>
            </w:r>
          </w:p>
        </w:tc>
        <w:tc>
          <w:tcPr>
            <w:tcW w:w="1982" w:type="dxa"/>
          </w:tcPr>
          <w:p w14:paraId="6DA6B921" w14:textId="6F282B00" w:rsidR="000756EB" w:rsidRPr="00454018" w:rsidRDefault="004A4D88" w:rsidP="00381751">
            <w:pPr>
              <w:pStyle w:val="TableCopy"/>
              <w:jc w:val="right"/>
              <w:rPr>
                <w:rFonts w:asciiTheme="minorHAnsi" w:hAnsiTheme="minorHAnsi" w:cstheme="minorHAnsi"/>
              </w:rPr>
            </w:pPr>
            <w:r w:rsidRPr="00454018">
              <w:rPr>
                <w:rFonts w:asciiTheme="minorHAnsi" w:hAnsiTheme="minorHAnsi" w:cstheme="minorHAnsi"/>
              </w:rPr>
              <w:t>11,724</w:t>
            </w:r>
          </w:p>
        </w:tc>
        <w:tc>
          <w:tcPr>
            <w:tcW w:w="1983" w:type="dxa"/>
          </w:tcPr>
          <w:p w14:paraId="3019113D" w14:textId="73068F9D" w:rsidR="000756EB" w:rsidRPr="00454018" w:rsidRDefault="004A4D88" w:rsidP="00381751">
            <w:pPr>
              <w:pStyle w:val="TableCopy"/>
              <w:jc w:val="right"/>
              <w:rPr>
                <w:rFonts w:asciiTheme="minorHAnsi" w:hAnsiTheme="minorHAnsi" w:cstheme="minorHAnsi"/>
              </w:rPr>
            </w:pPr>
            <w:r w:rsidRPr="00454018">
              <w:rPr>
                <w:rFonts w:asciiTheme="minorHAnsi" w:hAnsiTheme="minorHAnsi" w:cstheme="minorHAnsi"/>
              </w:rPr>
              <w:t>20,653</w:t>
            </w:r>
          </w:p>
        </w:tc>
      </w:tr>
      <w:tr w:rsidR="000756EB" w:rsidRPr="00454018" w14:paraId="21F25485" w14:textId="77777777" w:rsidTr="004616AC">
        <w:trPr>
          <w:cantSplit/>
        </w:trPr>
        <w:tc>
          <w:tcPr>
            <w:tcW w:w="6236" w:type="dxa"/>
          </w:tcPr>
          <w:p w14:paraId="27810D20" w14:textId="520EB890" w:rsidR="000756EB" w:rsidRPr="00454018" w:rsidRDefault="004A4D88" w:rsidP="00454018">
            <w:pPr>
              <w:pStyle w:val="TableCopy"/>
              <w:rPr>
                <w:rFonts w:asciiTheme="minorHAnsi" w:hAnsiTheme="minorHAnsi" w:cstheme="minorHAnsi"/>
              </w:rPr>
            </w:pPr>
            <w:r w:rsidRPr="00454018">
              <w:rPr>
                <w:rFonts w:asciiTheme="minorHAnsi" w:hAnsiTheme="minorHAnsi" w:cstheme="minorHAnsi"/>
              </w:rPr>
              <w:t>Advances</w:t>
            </w:r>
            <w:r w:rsidR="00A03629" w:rsidRPr="00454018">
              <w:rPr>
                <w:rFonts w:asciiTheme="minorHAnsi" w:hAnsiTheme="minorHAnsi" w:cstheme="minorHAnsi"/>
              </w:rPr>
              <w:t xml:space="preserve"> </w:t>
            </w:r>
            <w:r w:rsidRPr="00454018">
              <w:rPr>
                <w:rFonts w:asciiTheme="minorHAnsi" w:hAnsiTheme="minorHAnsi" w:cstheme="minorHAnsi"/>
              </w:rPr>
              <w:t>from</w:t>
            </w:r>
            <w:r w:rsidR="00A03629" w:rsidRPr="00454018">
              <w:rPr>
                <w:rFonts w:asciiTheme="minorHAnsi" w:hAnsiTheme="minorHAnsi" w:cstheme="minorHAnsi"/>
              </w:rPr>
              <w:t xml:space="preserve"> </w:t>
            </w:r>
            <w:r w:rsidRPr="00454018">
              <w:rPr>
                <w:rFonts w:asciiTheme="minorHAnsi" w:hAnsiTheme="minorHAnsi" w:cstheme="minorHAnsi"/>
              </w:rPr>
              <w:t>government</w:t>
            </w:r>
            <w:r w:rsidR="00A03629" w:rsidRPr="00454018">
              <w:rPr>
                <w:rFonts w:asciiTheme="minorHAnsi" w:hAnsiTheme="minorHAnsi" w:cstheme="minorHAnsi"/>
              </w:rPr>
              <w:t xml:space="preserve"> </w:t>
            </w:r>
            <w:r w:rsidRPr="00614829">
              <w:rPr>
                <w:rStyle w:val="FootnotereferencessuperscriptMisc"/>
              </w:rPr>
              <w:t>(ii)</w:t>
            </w:r>
          </w:p>
        </w:tc>
        <w:tc>
          <w:tcPr>
            <w:tcW w:w="1982" w:type="dxa"/>
          </w:tcPr>
          <w:p w14:paraId="1CE14FEE" w14:textId="5DC07A89" w:rsidR="000756EB" w:rsidRPr="00454018" w:rsidRDefault="004A4D88" w:rsidP="00381751">
            <w:pPr>
              <w:pStyle w:val="TableCopy"/>
              <w:jc w:val="right"/>
              <w:rPr>
                <w:rFonts w:asciiTheme="minorHAnsi" w:hAnsiTheme="minorHAnsi" w:cstheme="minorHAnsi"/>
              </w:rPr>
            </w:pPr>
            <w:r w:rsidRPr="00454018">
              <w:rPr>
                <w:rFonts w:asciiTheme="minorHAnsi" w:hAnsiTheme="minorHAnsi" w:cstheme="minorHAnsi"/>
              </w:rPr>
              <w:t>16,140</w:t>
            </w:r>
          </w:p>
        </w:tc>
        <w:tc>
          <w:tcPr>
            <w:tcW w:w="1983" w:type="dxa"/>
          </w:tcPr>
          <w:p w14:paraId="0AC425FF" w14:textId="3C29C764" w:rsidR="000756EB" w:rsidRPr="00454018" w:rsidRDefault="004A4D88" w:rsidP="00381751">
            <w:pPr>
              <w:pStyle w:val="TableCopy"/>
              <w:jc w:val="right"/>
              <w:rPr>
                <w:rFonts w:asciiTheme="minorHAnsi" w:hAnsiTheme="minorHAnsi" w:cstheme="minorHAnsi"/>
              </w:rPr>
            </w:pPr>
            <w:r w:rsidRPr="00454018">
              <w:rPr>
                <w:rFonts w:asciiTheme="minorHAnsi" w:hAnsiTheme="minorHAnsi" w:cstheme="minorHAnsi"/>
              </w:rPr>
              <w:t>4,385</w:t>
            </w:r>
          </w:p>
        </w:tc>
      </w:tr>
      <w:tr w:rsidR="000756EB" w:rsidRPr="00454018" w14:paraId="3CAF53E7" w14:textId="77777777" w:rsidTr="004616AC">
        <w:trPr>
          <w:cantSplit/>
        </w:trPr>
        <w:tc>
          <w:tcPr>
            <w:tcW w:w="6236" w:type="dxa"/>
          </w:tcPr>
          <w:p w14:paraId="68A14496" w14:textId="2ADD6894" w:rsidR="000756EB" w:rsidRPr="00454018" w:rsidRDefault="004A4D88" w:rsidP="00454018">
            <w:pPr>
              <w:pStyle w:val="TableCopy"/>
              <w:rPr>
                <w:rFonts w:asciiTheme="minorHAnsi" w:hAnsiTheme="minorHAnsi" w:cstheme="minorHAnsi"/>
              </w:rPr>
            </w:pPr>
            <w:r w:rsidRPr="00454018">
              <w:rPr>
                <w:rFonts w:asciiTheme="minorHAnsi" w:hAnsiTheme="minorHAnsi" w:cstheme="minorHAnsi"/>
              </w:rPr>
              <w:t>Advances</w:t>
            </w:r>
            <w:r w:rsidR="00A03629" w:rsidRPr="00454018">
              <w:rPr>
                <w:rFonts w:asciiTheme="minorHAnsi" w:hAnsiTheme="minorHAnsi" w:cstheme="minorHAnsi"/>
              </w:rPr>
              <w:t xml:space="preserve"> </w:t>
            </w:r>
            <w:r w:rsidRPr="00454018">
              <w:rPr>
                <w:rFonts w:asciiTheme="minorHAnsi" w:hAnsiTheme="minorHAnsi" w:cstheme="minorHAnsi"/>
              </w:rPr>
              <w:t>from</w:t>
            </w:r>
            <w:r w:rsidR="00A03629" w:rsidRPr="00454018">
              <w:rPr>
                <w:rFonts w:asciiTheme="minorHAnsi" w:hAnsiTheme="minorHAnsi" w:cstheme="minorHAnsi"/>
              </w:rPr>
              <w:t xml:space="preserve"> </w:t>
            </w:r>
            <w:r w:rsidRPr="00454018">
              <w:rPr>
                <w:rFonts w:asciiTheme="minorHAnsi" w:hAnsiTheme="minorHAnsi" w:cstheme="minorHAnsi"/>
              </w:rPr>
              <w:t>Commonwealth</w:t>
            </w:r>
            <w:r w:rsidR="00A03629" w:rsidRPr="00454018">
              <w:rPr>
                <w:rFonts w:asciiTheme="minorHAnsi" w:hAnsiTheme="minorHAnsi" w:cstheme="minorHAnsi"/>
              </w:rPr>
              <w:t xml:space="preserve"> </w:t>
            </w:r>
            <w:r w:rsidRPr="00614829">
              <w:rPr>
                <w:rStyle w:val="FootnotereferencessuperscriptMisc"/>
              </w:rPr>
              <w:t>(iii)</w:t>
            </w:r>
          </w:p>
        </w:tc>
        <w:tc>
          <w:tcPr>
            <w:tcW w:w="1982" w:type="dxa"/>
          </w:tcPr>
          <w:p w14:paraId="0DD11945" w14:textId="222DF17F" w:rsidR="000756EB" w:rsidRPr="00454018" w:rsidRDefault="004A4D88" w:rsidP="00381751">
            <w:pPr>
              <w:pStyle w:val="TableCopy"/>
              <w:jc w:val="right"/>
              <w:rPr>
                <w:rFonts w:asciiTheme="minorHAnsi" w:hAnsiTheme="minorHAnsi" w:cstheme="minorHAnsi"/>
              </w:rPr>
            </w:pPr>
            <w:r w:rsidRPr="00454018">
              <w:rPr>
                <w:rFonts w:asciiTheme="minorHAnsi" w:hAnsiTheme="minorHAnsi" w:cstheme="minorHAnsi"/>
              </w:rPr>
              <w:t>–</w:t>
            </w:r>
          </w:p>
        </w:tc>
        <w:tc>
          <w:tcPr>
            <w:tcW w:w="1983" w:type="dxa"/>
          </w:tcPr>
          <w:p w14:paraId="29C31953" w14:textId="5796532D" w:rsidR="000756EB" w:rsidRPr="00454018" w:rsidRDefault="004A4D88" w:rsidP="00381751">
            <w:pPr>
              <w:pStyle w:val="TableCopy"/>
              <w:jc w:val="right"/>
              <w:rPr>
                <w:rFonts w:asciiTheme="minorHAnsi" w:hAnsiTheme="minorHAnsi" w:cstheme="minorHAnsi"/>
              </w:rPr>
            </w:pPr>
            <w:r w:rsidRPr="00454018">
              <w:rPr>
                <w:rFonts w:asciiTheme="minorHAnsi" w:hAnsiTheme="minorHAnsi" w:cstheme="minorHAnsi"/>
              </w:rPr>
              <w:t>136,163</w:t>
            </w:r>
          </w:p>
        </w:tc>
      </w:tr>
      <w:tr w:rsidR="000756EB" w:rsidRPr="00454018" w14:paraId="147C8B75" w14:textId="77777777" w:rsidTr="004616AC">
        <w:trPr>
          <w:cantSplit/>
        </w:trPr>
        <w:tc>
          <w:tcPr>
            <w:tcW w:w="6236" w:type="dxa"/>
          </w:tcPr>
          <w:p w14:paraId="2D329B16" w14:textId="0ADB4BCB" w:rsidR="000756EB" w:rsidRPr="00454018" w:rsidRDefault="004A4D88" w:rsidP="00454018">
            <w:pPr>
              <w:pStyle w:val="TableCopy"/>
              <w:rPr>
                <w:b/>
                <w:bCs/>
              </w:rPr>
            </w:pPr>
            <w:r w:rsidRPr="00454018">
              <w:rPr>
                <w:b/>
                <w:bCs/>
              </w:rPr>
              <w:t>Total</w:t>
            </w:r>
            <w:r w:rsidR="00A03629" w:rsidRPr="00454018">
              <w:rPr>
                <w:b/>
                <w:bCs/>
              </w:rPr>
              <w:t xml:space="preserve"> </w:t>
            </w:r>
            <w:r w:rsidRPr="00454018">
              <w:rPr>
                <w:b/>
                <w:bCs/>
              </w:rPr>
              <w:t>non-current</w:t>
            </w:r>
            <w:r w:rsidR="00A03629" w:rsidRPr="00454018">
              <w:rPr>
                <w:b/>
                <w:bCs/>
              </w:rPr>
              <w:t xml:space="preserve"> </w:t>
            </w:r>
            <w:r w:rsidRPr="00454018">
              <w:rPr>
                <w:b/>
                <w:bCs/>
              </w:rPr>
              <w:t>borrowings</w:t>
            </w:r>
          </w:p>
        </w:tc>
        <w:tc>
          <w:tcPr>
            <w:tcW w:w="1982" w:type="dxa"/>
          </w:tcPr>
          <w:p w14:paraId="0974707D" w14:textId="3D01CE79" w:rsidR="000756EB" w:rsidRPr="00454018" w:rsidRDefault="004A4D88" w:rsidP="00381751">
            <w:pPr>
              <w:pStyle w:val="TableCopy"/>
              <w:jc w:val="right"/>
              <w:rPr>
                <w:b/>
                <w:bCs/>
              </w:rPr>
            </w:pPr>
            <w:r w:rsidRPr="00454018">
              <w:rPr>
                <w:b/>
                <w:bCs/>
              </w:rPr>
              <w:t>27,865</w:t>
            </w:r>
          </w:p>
        </w:tc>
        <w:tc>
          <w:tcPr>
            <w:tcW w:w="1983" w:type="dxa"/>
          </w:tcPr>
          <w:p w14:paraId="530C288D" w14:textId="095ACBBB" w:rsidR="000756EB" w:rsidRPr="00454018" w:rsidRDefault="004A4D88" w:rsidP="00381751">
            <w:pPr>
              <w:pStyle w:val="TableCopy"/>
              <w:jc w:val="right"/>
              <w:rPr>
                <w:b/>
                <w:bCs/>
              </w:rPr>
            </w:pPr>
            <w:r w:rsidRPr="00454018">
              <w:rPr>
                <w:b/>
                <w:bCs/>
              </w:rPr>
              <w:t>420,052</w:t>
            </w:r>
          </w:p>
        </w:tc>
      </w:tr>
      <w:tr w:rsidR="000756EB" w:rsidRPr="00454018" w14:paraId="4314F817" w14:textId="77777777" w:rsidTr="004616AC">
        <w:trPr>
          <w:cantSplit/>
        </w:trPr>
        <w:tc>
          <w:tcPr>
            <w:tcW w:w="6236" w:type="dxa"/>
          </w:tcPr>
          <w:p w14:paraId="08FEC001" w14:textId="61E87A55" w:rsidR="000756EB" w:rsidRPr="00454018" w:rsidRDefault="004A4D88" w:rsidP="00454018">
            <w:pPr>
              <w:pStyle w:val="TableCopy"/>
              <w:rPr>
                <w:b/>
                <w:bCs/>
              </w:rPr>
            </w:pPr>
            <w:r w:rsidRPr="00454018">
              <w:rPr>
                <w:b/>
                <w:bCs/>
              </w:rPr>
              <w:t>Total</w:t>
            </w:r>
            <w:r w:rsidR="00A03629" w:rsidRPr="00454018">
              <w:rPr>
                <w:b/>
                <w:bCs/>
              </w:rPr>
              <w:t xml:space="preserve"> </w:t>
            </w:r>
            <w:r w:rsidRPr="00454018">
              <w:rPr>
                <w:b/>
                <w:bCs/>
              </w:rPr>
              <w:t>borrowings</w:t>
            </w:r>
          </w:p>
        </w:tc>
        <w:tc>
          <w:tcPr>
            <w:tcW w:w="1982" w:type="dxa"/>
          </w:tcPr>
          <w:p w14:paraId="30189831" w14:textId="7B467B41" w:rsidR="000756EB" w:rsidRPr="00454018" w:rsidRDefault="004A4D88" w:rsidP="00381751">
            <w:pPr>
              <w:pStyle w:val="TableCopy"/>
              <w:jc w:val="right"/>
              <w:rPr>
                <w:b/>
                <w:bCs/>
              </w:rPr>
            </w:pPr>
            <w:r w:rsidRPr="00454018">
              <w:rPr>
                <w:b/>
                <w:bCs/>
              </w:rPr>
              <w:t>74,031</w:t>
            </w:r>
          </w:p>
        </w:tc>
        <w:tc>
          <w:tcPr>
            <w:tcW w:w="1983" w:type="dxa"/>
          </w:tcPr>
          <w:p w14:paraId="3A9361A0" w14:textId="59F360E7" w:rsidR="000756EB" w:rsidRPr="00454018" w:rsidRDefault="004A4D88" w:rsidP="00381751">
            <w:pPr>
              <w:pStyle w:val="TableCopy"/>
              <w:jc w:val="right"/>
              <w:rPr>
                <w:b/>
                <w:bCs/>
              </w:rPr>
            </w:pPr>
            <w:r w:rsidRPr="00454018">
              <w:rPr>
                <w:b/>
                <w:bCs/>
              </w:rPr>
              <w:t>505,504</w:t>
            </w:r>
          </w:p>
        </w:tc>
      </w:tr>
    </w:tbl>
    <w:p w14:paraId="1B9C0C32" w14:textId="0E095C32" w:rsidR="00454018" w:rsidRDefault="00454018" w:rsidP="00454018">
      <w:pPr>
        <w:pStyle w:val="FootnoteText"/>
        <w:spacing w:before="120"/>
        <w:rPr>
          <w:i/>
          <w:iCs/>
        </w:rPr>
      </w:pPr>
      <w:r>
        <w:t>(</w:t>
      </w:r>
      <w:proofErr w:type="spellStart"/>
      <w:r>
        <w:t>i</w:t>
      </w:r>
      <w:proofErr w:type="spellEnd"/>
      <w:r>
        <w:t>) Secured by the leased assets.</w:t>
      </w:r>
    </w:p>
    <w:p w14:paraId="4C8CAC6F" w14:textId="7665973B" w:rsidR="00454018" w:rsidRDefault="00454018" w:rsidP="00454018">
      <w:pPr>
        <w:pStyle w:val="FootnoteText"/>
        <w:rPr>
          <w:i/>
          <w:iCs/>
        </w:rPr>
      </w:pPr>
      <w:r>
        <w:t>(ii) Advances from government are unsecured loans which bear no interest. The terms of the loans are generally agreed by</w:t>
      </w:r>
      <w:r>
        <w:rPr>
          <w:rFonts w:ascii="Cambria" w:hAnsi="Cambria" w:cs="Cambria"/>
        </w:rPr>
        <w:t xml:space="preserve"> </w:t>
      </w:r>
      <w:r>
        <w:t>the</w:t>
      </w:r>
      <w:r>
        <w:rPr>
          <w:rFonts w:ascii="Cambria" w:hAnsi="Cambria" w:cs="Cambria"/>
        </w:rPr>
        <w:t xml:space="preserve"> </w:t>
      </w:r>
      <w:r>
        <w:t>Minister</w:t>
      </w:r>
      <w:r>
        <w:rPr>
          <w:rFonts w:ascii="Cambria" w:hAnsi="Cambria" w:cs="Cambria"/>
        </w:rPr>
        <w:t xml:space="preserve"> </w:t>
      </w:r>
      <w:r>
        <w:t>at</w:t>
      </w:r>
      <w:r>
        <w:rPr>
          <w:rFonts w:ascii="Cambria" w:hAnsi="Cambria" w:cs="Cambria"/>
        </w:rPr>
        <w:t xml:space="preserve"> </w:t>
      </w:r>
      <w:r>
        <w:t>the time the advance is provided.</w:t>
      </w:r>
    </w:p>
    <w:p w14:paraId="4A9548BC" w14:textId="3267A29A" w:rsidR="000756EB" w:rsidRDefault="00454018" w:rsidP="00454018">
      <w:pPr>
        <w:pStyle w:val="FootnoteText"/>
        <w:spacing w:after="280"/>
      </w:pPr>
      <w:r>
        <w:t>(iii) Prior year advances from Commonwealth relate to Federal Government’s concessional loan scheme with the Department of Agriculture and Water Resources. Through an agreement with the Victorian Government, rural assistance schemes such as grants and loans are delivered by Bendigo and Adelaide Bank under the name Rural Finance. Rural Finance delivers rural assistance schemes, such as drought and dairy concessional loans, on behalf of the Victorian Government. This has been transferred to DEECA as part of the machinery of government changes effective 1 January 2023.</w:t>
      </w:r>
    </w:p>
    <w:p w14:paraId="0D128833" w14:textId="66D5B810" w:rsidR="000756EB" w:rsidRDefault="004A4D88" w:rsidP="00454018">
      <w:r>
        <w:t>Borrowings</w:t>
      </w:r>
      <w:r w:rsidR="00A03629">
        <w:t xml:space="preserve"> </w:t>
      </w:r>
      <w:r>
        <w:t>are</w:t>
      </w:r>
      <w:r w:rsidR="00A03629">
        <w:t xml:space="preserve"> </w:t>
      </w:r>
      <w:r>
        <w:t>classified</w:t>
      </w:r>
      <w:r w:rsidR="00A03629">
        <w:t xml:space="preserve"> </w:t>
      </w:r>
      <w:r>
        <w:t>as</w:t>
      </w:r>
      <w:r w:rsidR="00A03629">
        <w:t xml:space="preserve"> </w:t>
      </w:r>
      <w:r>
        <w:t>financial</w:t>
      </w:r>
      <w:r w:rsidR="00A03629">
        <w:t xml:space="preserve"> </w:t>
      </w:r>
      <w:r>
        <w:t>instruments.</w:t>
      </w:r>
      <w:r w:rsidR="00A03629">
        <w:t xml:space="preserve"> </w:t>
      </w:r>
      <w:r>
        <w:t>The</w:t>
      </w:r>
      <w:r w:rsidR="00A03629">
        <w:t xml:space="preserve"> </w:t>
      </w:r>
      <w:r>
        <w:t>measurement</w:t>
      </w:r>
      <w:r w:rsidR="00A03629">
        <w:t xml:space="preserve"> </w:t>
      </w:r>
      <w:r>
        <w:t>basis</w:t>
      </w:r>
      <w:r w:rsidR="00A03629">
        <w:t xml:space="preserve"> </w:t>
      </w:r>
      <w:r>
        <w:t>depends</w:t>
      </w:r>
      <w:r w:rsidR="00A03629">
        <w:t xml:space="preserve"> </w:t>
      </w:r>
      <w:r>
        <w:t>on</w:t>
      </w:r>
      <w:r w:rsidR="00A03629">
        <w:t xml:space="preserve"> </w:t>
      </w:r>
      <w:r>
        <w:t>whether</w:t>
      </w:r>
      <w:r w:rsidR="00A03629">
        <w:t xml:space="preserve"> </w:t>
      </w:r>
      <w:r>
        <w:t>DJSIR</w:t>
      </w:r>
      <w:r w:rsidR="00A03629">
        <w:t xml:space="preserve"> </w:t>
      </w:r>
      <w:r>
        <w:t>has</w:t>
      </w:r>
      <w:r w:rsidR="00A03629">
        <w:t xml:space="preserve"> </w:t>
      </w:r>
      <w:r>
        <w:t>categorised</w:t>
      </w:r>
      <w:r w:rsidR="00A03629">
        <w:t xml:space="preserve"> </w:t>
      </w:r>
      <w:r>
        <w:t>its</w:t>
      </w:r>
      <w:r w:rsidR="00A03629">
        <w:t xml:space="preserve"> </w:t>
      </w:r>
      <w:proofErr w:type="gramStart"/>
      <w:r>
        <w:t>interest</w:t>
      </w:r>
      <w:r w:rsidR="00A03629">
        <w:t xml:space="preserve"> </w:t>
      </w:r>
      <w:r>
        <w:t>bearing</w:t>
      </w:r>
      <w:proofErr w:type="gramEnd"/>
      <w:r w:rsidR="00A03629">
        <w:t xml:space="preserve"> </w:t>
      </w:r>
      <w:r>
        <w:t>liabilities</w:t>
      </w:r>
      <w:r w:rsidR="00A03629">
        <w:t xml:space="preserve"> </w:t>
      </w:r>
      <w:r>
        <w:t>as</w:t>
      </w:r>
      <w:r w:rsidR="00A03629">
        <w:t xml:space="preserve"> </w:t>
      </w:r>
      <w:r>
        <w:t>either</w:t>
      </w:r>
      <w:r w:rsidR="00A03629">
        <w:t xml:space="preserve"> </w:t>
      </w:r>
      <w:r>
        <w:t>‘financial</w:t>
      </w:r>
      <w:r w:rsidR="00A03629">
        <w:t xml:space="preserve"> </w:t>
      </w:r>
      <w:r>
        <w:t>liabilities</w:t>
      </w:r>
      <w:r w:rsidR="00A03629">
        <w:t xml:space="preserve"> </w:t>
      </w:r>
      <w:r>
        <w:t>designated</w:t>
      </w:r>
      <w:r w:rsidR="00A03629">
        <w:t xml:space="preserve"> </w:t>
      </w:r>
      <w:r>
        <w:t>at</w:t>
      </w:r>
      <w:r w:rsidR="00A03629">
        <w:t xml:space="preserve"> </w:t>
      </w:r>
      <w:r>
        <w:t>fair</w:t>
      </w:r>
      <w:r w:rsidR="00A03629">
        <w:t xml:space="preserve"> </w:t>
      </w:r>
      <w:r>
        <w:t>value</w:t>
      </w:r>
      <w:r w:rsidR="00A03629">
        <w:t xml:space="preserve"> </w:t>
      </w:r>
      <w:r>
        <w:t>through</w:t>
      </w:r>
      <w:r w:rsidR="00A03629">
        <w:t xml:space="preserve"> </w:t>
      </w:r>
      <w:r>
        <w:t>net</w:t>
      </w:r>
      <w:r w:rsidR="00A03629">
        <w:t xml:space="preserve"> </w:t>
      </w:r>
      <w:r>
        <w:t>result’,</w:t>
      </w:r>
      <w:r w:rsidR="00A03629">
        <w:t xml:space="preserve"> </w:t>
      </w:r>
      <w:r>
        <w:t>or</w:t>
      </w:r>
      <w:r w:rsidR="00A03629">
        <w:t xml:space="preserve"> </w:t>
      </w:r>
      <w:r>
        <w:t>financial</w:t>
      </w:r>
      <w:r w:rsidR="00A03629">
        <w:t xml:space="preserve"> </w:t>
      </w:r>
      <w:r>
        <w:t>liabilities</w:t>
      </w:r>
      <w:r w:rsidR="00A03629">
        <w:t xml:space="preserve"> </w:t>
      </w:r>
      <w:r>
        <w:t>at</w:t>
      </w:r>
      <w:r w:rsidR="00A03629">
        <w:t xml:space="preserve"> </w:t>
      </w:r>
      <w:r>
        <w:t>‘amortised</w:t>
      </w:r>
      <w:r w:rsidR="00A03629">
        <w:t xml:space="preserve"> </w:t>
      </w:r>
      <w:r>
        <w:t>cost’.</w:t>
      </w:r>
      <w:r w:rsidR="00A03629">
        <w:t xml:space="preserve"> </w:t>
      </w:r>
      <w:r>
        <w:t>The</w:t>
      </w:r>
      <w:r w:rsidR="00A03629">
        <w:t xml:space="preserve"> </w:t>
      </w:r>
      <w:r>
        <w:t>classification</w:t>
      </w:r>
      <w:r w:rsidR="00A03629">
        <w:t xml:space="preserve"> </w:t>
      </w:r>
      <w:r>
        <w:t>depends</w:t>
      </w:r>
      <w:r w:rsidR="00A03629">
        <w:t xml:space="preserve"> </w:t>
      </w:r>
      <w:r>
        <w:lastRenderedPageBreak/>
        <w:t>on</w:t>
      </w:r>
      <w:r w:rsidR="00A03629">
        <w:t xml:space="preserve"> </w:t>
      </w:r>
      <w:r>
        <w:t>the</w:t>
      </w:r>
      <w:r w:rsidR="00A03629">
        <w:t xml:space="preserve"> </w:t>
      </w:r>
      <w:r>
        <w:t>nature</w:t>
      </w:r>
      <w:r w:rsidR="00A03629">
        <w:t xml:space="preserve"> </w:t>
      </w:r>
      <w:r>
        <w:t>and</w:t>
      </w:r>
      <w:r w:rsidR="00A03629">
        <w:t xml:space="preserve"> </w:t>
      </w:r>
      <w:r>
        <w:t>purpose</w:t>
      </w:r>
      <w:r w:rsidR="00A03629">
        <w:t xml:space="preserve"> </w:t>
      </w:r>
      <w:r>
        <w:t>of</w:t>
      </w:r>
      <w:r w:rsidR="00A03629">
        <w:t xml:space="preserve"> </w:t>
      </w:r>
      <w:r>
        <w:t>the</w:t>
      </w:r>
      <w:r w:rsidR="00A03629">
        <w:t xml:space="preserve"> </w:t>
      </w:r>
      <w:proofErr w:type="gramStart"/>
      <w:r>
        <w:t>interest</w:t>
      </w:r>
      <w:r w:rsidR="00A03629">
        <w:t xml:space="preserve"> </w:t>
      </w:r>
      <w:r>
        <w:t>bearing</w:t>
      </w:r>
      <w:proofErr w:type="gramEnd"/>
      <w:r w:rsidR="00A03629">
        <w:t xml:space="preserve"> </w:t>
      </w:r>
      <w:r>
        <w:t>liabilities.</w:t>
      </w:r>
      <w:r w:rsidR="00A03629">
        <w:t xml:space="preserve"> </w:t>
      </w:r>
      <w:r>
        <w:t>DJSIR</w:t>
      </w:r>
      <w:r w:rsidR="00A03629">
        <w:t xml:space="preserve"> </w:t>
      </w:r>
      <w:r>
        <w:t>determines</w:t>
      </w:r>
      <w:r w:rsidR="00A03629">
        <w:t xml:space="preserve"> </w:t>
      </w:r>
      <w:r>
        <w:t>the</w:t>
      </w:r>
      <w:r w:rsidR="00A03629">
        <w:t xml:space="preserve"> </w:t>
      </w:r>
      <w:r>
        <w:t>classification</w:t>
      </w:r>
      <w:r w:rsidR="00A03629">
        <w:t xml:space="preserve"> </w:t>
      </w:r>
      <w:r>
        <w:t>of</w:t>
      </w:r>
      <w:r w:rsidR="00A03629">
        <w:t xml:space="preserve"> </w:t>
      </w:r>
      <w:r>
        <w:t>its</w:t>
      </w:r>
      <w:r w:rsidR="00A03629">
        <w:t xml:space="preserve"> </w:t>
      </w:r>
      <w:proofErr w:type="gramStart"/>
      <w:r>
        <w:t>interest</w:t>
      </w:r>
      <w:r w:rsidR="00A03629">
        <w:t xml:space="preserve"> </w:t>
      </w:r>
      <w:r>
        <w:t>bearing</w:t>
      </w:r>
      <w:proofErr w:type="gramEnd"/>
      <w:r w:rsidR="00A03629">
        <w:t xml:space="preserve"> </w:t>
      </w:r>
      <w:r>
        <w:t>liabilities</w:t>
      </w:r>
      <w:r w:rsidR="00A03629">
        <w:t xml:space="preserve"> </w:t>
      </w:r>
      <w:r>
        <w:t>at</w:t>
      </w:r>
      <w:r w:rsidR="00A03629">
        <w:t xml:space="preserve"> </w:t>
      </w:r>
      <w:r>
        <w:t>initial</w:t>
      </w:r>
      <w:r w:rsidR="00A03629">
        <w:t xml:space="preserve"> </w:t>
      </w:r>
      <w:r>
        <w:t>recognition.</w:t>
      </w:r>
    </w:p>
    <w:p w14:paraId="1AFFD2E3" w14:textId="71090B6A" w:rsidR="000756EB" w:rsidRDefault="004A4D88" w:rsidP="00454018">
      <w:r>
        <w:t>DJSIR</w:t>
      </w:r>
      <w:r w:rsidR="00A03629">
        <w:t xml:space="preserve"> </w:t>
      </w:r>
      <w:r>
        <w:t>has</w:t>
      </w:r>
      <w:r w:rsidR="00A03629">
        <w:t xml:space="preserve"> </w:t>
      </w:r>
      <w:r>
        <w:t>designated</w:t>
      </w:r>
      <w:r w:rsidR="00A03629">
        <w:t xml:space="preserve"> </w:t>
      </w:r>
      <w:r>
        <w:t>certain</w:t>
      </w:r>
      <w:r w:rsidR="00A03629">
        <w:t xml:space="preserve"> </w:t>
      </w:r>
      <w:r>
        <w:t>financial</w:t>
      </w:r>
      <w:r w:rsidR="00A03629">
        <w:t xml:space="preserve"> </w:t>
      </w:r>
      <w:r>
        <w:t>liability</w:t>
      </w:r>
      <w:r w:rsidR="00A03629">
        <w:t xml:space="preserve"> </w:t>
      </w:r>
      <w:r>
        <w:t>at</w:t>
      </w:r>
      <w:r w:rsidR="00A03629">
        <w:t xml:space="preserve"> </w:t>
      </w:r>
      <w:r>
        <w:t>fair</w:t>
      </w:r>
      <w:r w:rsidR="00A03629">
        <w:t xml:space="preserve"> </w:t>
      </w:r>
      <w:r>
        <w:t>value</w:t>
      </w:r>
      <w:r w:rsidR="00A03629">
        <w:t xml:space="preserve"> </w:t>
      </w:r>
      <w:r>
        <w:t>through</w:t>
      </w:r>
      <w:r w:rsidR="00A03629">
        <w:t xml:space="preserve"> </w:t>
      </w:r>
      <w:r>
        <w:t>net</w:t>
      </w:r>
      <w:r w:rsidR="00A03629">
        <w:t xml:space="preserve"> </w:t>
      </w:r>
      <w:r>
        <w:t>result</w:t>
      </w:r>
      <w:r w:rsidR="00A03629">
        <w:t xml:space="preserve"> </w:t>
      </w:r>
      <w:r>
        <w:t>to</w:t>
      </w:r>
      <w:r w:rsidR="00A03629">
        <w:t xml:space="preserve"> </w:t>
      </w:r>
      <w:r>
        <w:t>eliminate</w:t>
      </w:r>
      <w:r w:rsidR="00A03629">
        <w:t xml:space="preserve"> </w:t>
      </w:r>
      <w:r>
        <w:t>or</w:t>
      </w:r>
      <w:r w:rsidR="00A03629">
        <w:t xml:space="preserve"> </w:t>
      </w:r>
      <w:r>
        <w:t>significantly</w:t>
      </w:r>
      <w:r w:rsidR="00A03629">
        <w:t xml:space="preserve"> </w:t>
      </w:r>
      <w:r>
        <w:t>reduce</w:t>
      </w:r>
      <w:r w:rsidR="00A03629">
        <w:t xml:space="preserve"> </w:t>
      </w:r>
      <w:r>
        <w:t>the</w:t>
      </w:r>
      <w:r w:rsidR="00A03629">
        <w:t xml:space="preserve"> </w:t>
      </w:r>
      <w:r>
        <w:t>accounting</w:t>
      </w:r>
      <w:r w:rsidR="00A03629">
        <w:t xml:space="preserve"> </w:t>
      </w:r>
      <w:r>
        <w:t>mismatch</w:t>
      </w:r>
      <w:r w:rsidR="00A03629">
        <w:t xml:space="preserve"> </w:t>
      </w:r>
      <w:r>
        <w:t>that</w:t>
      </w:r>
      <w:r w:rsidR="00A03629">
        <w:t xml:space="preserve"> </w:t>
      </w:r>
      <w:r>
        <w:t>would</w:t>
      </w:r>
      <w:r w:rsidR="00A03629">
        <w:t xml:space="preserve"> </w:t>
      </w:r>
      <w:r>
        <w:t>otherwise</w:t>
      </w:r>
      <w:r w:rsidR="00A03629">
        <w:t xml:space="preserve"> </w:t>
      </w:r>
      <w:r>
        <w:t>arise.</w:t>
      </w:r>
      <w:r w:rsidR="00A03629">
        <w:t xml:space="preserve"> </w:t>
      </w:r>
      <w:r>
        <w:t>All</w:t>
      </w:r>
      <w:r w:rsidR="00A03629">
        <w:t xml:space="preserve"> </w:t>
      </w:r>
      <w:r>
        <w:t>other</w:t>
      </w:r>
      <w:r w:rsidR="00A03629">
        <w:t xml:space="preserve"> </w:t>
      </w:r>
      <w:proofErr w:type="gramStart"/>
      <w:r>
        <w:t>interest</w:t>
      </w:r>
      <w:r w:rsidR="00A03629">
        <w:t xml:space="preserve"> </w:t>
      </w:r>
      <w:r>
        <w:t>bearing</w:t>
      </w:r>
      <w:proofErr w:type="gramEnd"/>
      <w:r w:rsidR="00A03629">
        <w:t xml:space="preserve"> </w:t>
      </w:r>
      <w:r>
        <w:t>borrowings</w:t>
      </w:r>
      <w:r w:rsidR="00A03629">
        <w:t xml:space="preserve"> </w:t>
      </w:r>
      <w:r>
        <w:t>are</w:t>
      </w:r>
      <w:r w:rsidR="00A03629">
        <w:t xml:space="preserve"> </w:t>
      </w:r>
      <w:r>
        <w:t>initially</w:t>
      </w:r>
      <w:r w:rsidR="00A03629">
        <w:t xml:space="preserve"> </w:t>
      </w:r>
      <w:r>
        <w:t>recognised</w:t>
      </w:r>
      <w:r w:rsidR="00A03629">
        <w:t xml:space="preserve"> </w:t>
      </w:r>
      <w:r>
        <w:t>at</w:t>
      </w:r>
      <w:r w:rsidR="00A03629">
        <w:t xml:space="preserve"> </w:t>
      </w:r>
      <w:r>
        <w:t>the</w:t>
      </w:r>
      <w:r w:rsidR="00A03629">
        <w:t xml:space="preserve"> </w:t>
      </w:r>
      <w:r>
        <w:t>fair</w:t>
      </w:r>
      <w:r w:rsidR="00A03629">
        <w:t xml:space="preserve"> </w:t>
      </w:r>
      <w:r>
        <w:t>value</w:t>
      </w:r>
      <w:r w:rsidR="00A03629">
        <w:t xml:space="preserve"> </w:t>
      </w:r>
      <w:r>
        <w:t>of</w:t>
      </w:r>
      <w:r w:rsidR="00A03629">
        <w:rPr>
          <w:rFonts w:ascii="Cambria" w:hAnsi="Cambria" w:cs="Cambria"/>
        </w:rPr>
        <w:t xml:space="preserve"> </w:t>
      </w:r>
      <w:r>
        <w:t>the</w:t>
      </w:r>
      <w:r w:rsidR="00A03629">
        <w:t xml:space="preserve"> </w:t>
      </w:r>
      <w:r>
        <w:t>consideration</w:t>
      </w:r>
      <w:r w:rsidR="00A03629">
        <w:t xml:space="preserve"> </w:t>
      </w:r>
      <w:r>
        <w:t>received</w:t>
      </w:r>
      <w:r w:rsidR="00A03629">
        <w:t xml:space="preserve"> </w:t>
      </w:r>
      <w:r>
        <w:t>less</w:t>
      </w:r>
      <w:r w:rsidR="00A03629">
        <w:t xml:space="preserve"> </w:t>
      </w:r>
      <w:r>
        <w:t>directly</w:t>
      </w:r>
      <w:r w:rsidR="00A03629">
        <w:t xml:space="preserve"> </w:t>
      </w:r>
      <w:r>
        <w:t>attributable</w:t>
      </w:r>
      <w:r w:rsidR="00A03629">
        <w:t xml:space="preserve"> </w:t>
      </w:r>
      <w:r>
        <w:t>transaction</w:t>
      </w:r>
      <w:r w:rsidR="00A03629">
        <w:t xml:space="preserve"> </w:t>
      </w:r>
      <w:r>
        <w:t>costs</w:t>
      </w:r>
      <w:r w:rsidR="00A03629">
        <w:t xml:space="preserve"> </w:t>
      </w:r>
      <w:r>
        <w:t>and</w:t>
      </w:r>
      <w:r w:rsidR="00A03629">
        <w:t xml:space="preserve"> </w:t>
      </w:r>
      <w:r>
        <w:t>subsequently</w:t>
      </w:r>
      <w:r w:rsidR="00A03629">
        <w:t xml:space="preserve"> </w:t>
      </w:r>
      <w:r>
        <w:t>measured</w:t>
      </w:r>
      <w:r w:rsidR="00A03629">
        <w:t xml:space="preserve"> </w:t>
      </w:r>
      <w:r>
        <w:t>at</w:t>
      </w:r>
      <w:r w:rsidR="00A03629">
        <w:t xml:space="preserve"> </w:t>
      </w:r>
      <w:r>
        <w:t>amortised</w:t>
      </w:r>
      <w:r w:rsidR="00A03629">
        <w:t xml:space="preserve"> </w:t>
      </w:r>
      <w:r>
        <w:t>cost</w:t>
      </w:r>
      <w:r w:rsidR="00A03629">
        <w:t xml:space="preserve"> </w:t>
      </w:r>
      <w:r>
        <w:t>using</w:t>
      </w:r>
      <w:r w:rsidR="00A03629">
        <w:t xml:space="preserve"> </w:t>
      </w:r>
      <w:r>
        <w:t>the</w:t>
      </w:r>
      <w:r w:rsidR="00A03629">
        <w:t xml:space="preserve"> </w:t>
      </w:r>
      <w:r>
        <w:t>effective</w:t>
      </w:r>
      <w:r w:rsidR="00A03629">
        <w:t xml:space="preserve"> </w:t>
      </w:r>
      <w:r>
        <w:t>interest</w:t>
      </w:r>
      <w:r w:rsidR="00A03629">
        <w:t xml:space="preserve"> </w:t>
      </w:r>
      <w:r>
        <w:t>method.</w:t>
      </w:r>
      <w:r w:rsidR="00A03629">
        <w:t xml:space="preserve"> </w:t>
      </w:r>
      <w:r>
        <w:t>For</w:t>
      </w:r>
      <w:r w:rsidR="00A03629">
        <w:t xml:space="preserve"> </w:t>
      </w:r>
      <w:r>
        <w:t>financial</w:t>
      </w:r>
      <w:r w:rsidR="00A03629">
        <w:t xml:space="preserve"> </w:t>
      </w:r>
      <w:r>
        <w:t>liabilities</w:t>
      </w:r>
      <w:r w:rsidR="00A03629">
        <w:t xml:space="preserve"> </w:t>
      </w:r>
      <w:r>
        <w:t>designated</w:t>
      </w:r>
      <w:r w:rsidR="00A03629">
        <w:t xml:space="preserve"> </w:t>
      </w:r>
      <w:r>
        <w:t>at</w:t>
      </w:r>
      <w:r w:rsidR="00A03629">
        <w:t xml:space="preserve"> </w:t>
      </w:r>
      <w:r>
        <w:t>fair</w:t>
      </w:r>
      <w:r w:rsidR="00A03629">
        <w:t xml:space="preserve"> </w:t>
      </w:r>
      <w:r>
        <w:t>value</w:t>
      </w:r>
      <w:r w:rsidR="00A03629">
        <w:t xml:space="preserve"> </w:t>
      </w:r>
      <w:r>
        <w:t>through</w:t>
      </w:r>
      <w:r w:rsidR="00A03629">
        <w:t xml:space="preserve"> </w:t>
      </w:r>
      <w:r>
        <w:t>net</w:t>
      </w:r>
      <w:r w:rsidR="00A03629">
        <w:t xml:space="preserve"> </w:t>
      </w:r>
      <w:r>
        <w:t>result,</w:t>
      </w:r>
      <w:r w:rsidR="00A03629">
        <w:t xml:space="preserve"> </w:t>
      </w:r>
      <w:r>
        <w:t>all</w:t>
      </w:r>
      <w:r w:rsidR="00A03629">
        <w:t xml:space="preserve"> </w:t>
      </w:r>
      <w:r>
        <w:t>transaction</w:t>
      </w:r>
      <w:r w:rsidR="00A03629">
        <w:t xml:space="preserve"> </w:t>
      </w:r>
      <w:r>
        <w:t>costs</w:t>
      </w:r>
      <w:r w:rsidR="00A03629">
        <w:t xml:space="preserve"> </w:t>
      </w:r>
      <w:r>
        <w:t>are</w:t>
      </w:r>
      <w:r w:rsidR="00A03629">
        <w:t xml:space="preserve"> </w:t>
      </w:r>
      <w:r>
        <w:t>expensed</w:t>
      </w:r>
      <w:r w:rsidR="00A03629">
        <w:t xml:space="preserve"> </w:t>
      </w:r>
      <w:r>
        <w:t>as</w:t>
      </w:r>
      <w:r w:rsidR="00A03629">
        <w:t xml:space="preserve"> </w:t>
      </w:r>
      <w:r>
        <w:t>incurred.</w:t>
      </w:r>
      <w:r w:rsidR="00A03629">
        <w:t xml:space="preserve"> </w:t>
      </w:r>
      <w:r>
        <w:t>And</w:t>
      </w:r>
      <w:r w:rsidR="00A03629">
        <w:t xml:space="preserve"> </w:t>
      </w:r>
      <w:r>
        <w:t>they</w:t>
      </w:r>
      <w:r w:rsidR="00A03629">
        <w:t xml:space="preserve"> </w:t>
      </w:r>
      <w:r>
        <w:t>are</w:t>
      </w:r>
      <w:r w:rsidR="00A03629">
        <w:t xml:space="preserve"> </w:t>
      </w:r>
      <w:r>
        <w:t>subsequently</w:t>
      </w:r>
      <w:r w:rsidR="00A03629">
        <w:t xml:space="preserve"> </w:t>
      </w:r>
      <w:r>
        <w:t>measured</w:t>
      </w:r>
      <w:r w:rsidR="00A03629">
        <w:t xml:space="preserve"> </w:t>
      </w:r>
      <w:r>
        <w:t>at</w:t>
      </w:r>
      <w:r w:rsidR="00A03629">
        <w:t xml:space="preserve"> </w:t>
      </w:r>
      <w:r>
        <w:t>fair</w:t>
      </w:r>
      <w:r w:rsidR="00A03629">
        <w:t xml:space="preserve"> </w:t>
      </w:r>
      <w:r>
        <w:t>value</w:t>
      </w:r>
      <w:r w:rsidR="00A03629">
        <w:t xml:space="preserve"> </w:t>
      </w:r>
      <w:r>
        <w:t>with</w:t>
      </w:r>
      <w:r w:rsidR="00A03629">
        <w:t xml:space="preserve"> </w:t>
      </w:r>
      <w:r>
        <w:t>changes</w:t>
      </w:r>
      <w:r w:rsidR="00A03629">
        <w:t xml:space="preserve"> </w:t>
      </w:r>
      <w:r>
        <w:t>in</w:t>
      </w:r>
      <w:r w:rsidR="00A03629">
        <w:t xml:space="preserve"> </w:t>
      </w:r>
      <w:r>
        <w:t>fair</w:t>
      </w:r>
      <w:r w:rsidR="00A03629">
        <w:t xml:space="preserve"> </w:t>
      </w:r>
      <w:r>
        <w:t>value</w:t>
      </w:r>
      <w:r w:rsidR="00A03629">
        <w:t xml:space="preserve"> </w:t>
      </w:r>
      <w:r>
        <w:t>relating</w:t>
      </w:r>
      <w:r w:rsidR="00A03629">
        <w:t xml:space="preserve"> </w:t>
      </w:r>
      <w:r>
        <w:t>to</w:t>
      </w:r>
      <w:r w:rsidR="00A03629">
        <w:t xml:space="preserve"> </w:t>
      </w:r>
      <w:r>
        <w:t>DJSIR’s</w:t>
      </w:r>
      <w:r w:rsidR="00A03629">
        <w:t xml:space="preserve"> </w:t>
      </w:r>
      <w:r>
        <w:t>own</w:t>
      </w:r>
      <w:r w:rsidR="00A03629">
        <w:t xml:space="preserve"> </w:t>
      </w:r>
      <w:r>
        <w:t>credit</w:t>
      </w:r>
      <w:r w:rsidR="00A03629">
        <w:t xml:space="preserve"> </w:t>
      </w:r>
      <w:r>
        <w:t>risk</w:t>
      </w:r>
      <w:r w:rsidR="00A03629">
        <w:t xml:space="preserve"> </w:t>
      </w:r>
      <w:r>
        <w:t>recognised</w:t>
      </w:r>
      <w:r w:rsidR="00A03629">
        <w:t xml:space="preserve"> </w:t>
      </w:r>
      <w:r>
        <w:t>in</w:t>
      </w:r>
      <w:r w:rsidR="00A03629">
        <w:rPr>
          <w:rFonts w:ascii="Cambria" w:hAnsi="Cambria" w:cs="Cambria"/>
        </w:rPr>
        <w:t xml:space="preserve"> </w:t>
      </w:r>
      <w:r>
        <w:t>other</w:t>
      </w:r>
      <w:r w:rsidR="00A03629">
        <w:t xml:space="preserve"> </w:t>
      </w:r>
      <w:r>
        <w:t>comprehensive</w:t>
      </w:r>
      <w:r w:rsidR="00A03629">
        <w:t xml:space="preserve"> </w:t>
      </w:r>
      <w:r>
        <w:t>income</w:t>
      </w:r>
      <w:r w:rsidR="00A03629">
        <w:t xml:space="preserve"> </w:t>
      </w:r>
      <w:r>
        <w:t>and</w:t>
      </w:r>
      <w:r w:rsidR="00A03629">
        <w:t xml:space="preserve"> </w:t>
      </w:r>
      <w:r>
        <w:t>the</w:t>
      </w:r>
      <w:r w:rsidR="00A03629">
        <w:t xml:space="preserve"> </w:t>
      </w:r>
      <w:r>
        <w:t>remaining</w:t>
      </w:r>
      <w:r w:rsidR="00A03629">
        <w:t xml:space="preserve"> </w:t>
      </w:r>
      <w:r>
        <w:t>amount</w:t>
      </w:r>
      <w:r w:rsidR="00A03629">
        <w:t xml:space="preserve"> </w:t>
      </w:r>
      <w:r>
        <w:t>of</w:t>
      </w:r>
      <w:r w:rsidR="00A03629">
        <w:rPr>
          <w:rFonts w:ascii="Cambria" w:hAnsi="Cambria" w:cs="Cambria"/>
        </w:rPr>
        <w:t xml:space="preserve"> </w:t>
      </w:r>
      <w:r>
        <w:t>changes</w:t>
      </w:r>
      <w:r w:rsidR="00A03629">
        <w:t xml:space="preserve"> </w:t>
      </w:r>
      <w:r>
        <w:t>in</w:t>
      </w:r>
      <w:r w:rsidR="00A03629">
        <w:t xml:space="preserve"> </w:t>
      </w:r>
      <w:r>
        <w:t>fair</w:t>
      </w:r>
      <w:r w:rsidR="00A03629">
        <w:t xml:space="preserve"> </w:t>
      </w:r>
      <w:r>
        <w:t>value</w:t>
      </w:r>
      <w:r w:rsidR="00A03629">
        <w:t xml:space="preserve"> </w:t>
      </w:r>
      <w:r>
        <w:t>recognised</w:t>
      </w:r>
      <w:r w:rsidR="00A03629">
        <w:t xml:space="preserve"> </w:t>
      </w:r>
      <w:r>
        <w:t>in</w:t>
      </w:r>
      <w:r w:rsidR="00A03629">
        <w:t xml:space="preserve"> </w:t>
      </w:r>
      <w:r>
        <w:t>net</w:t>
      </w:r>
      <w:r w:rsidR="00A03629">
        <w:t xml:space="preserve"> </w:t>
      </w:r>
      <w:r>
        <w:t>result.</w:t>
      </w:r>
    </w:p>
    <w:p w14:paraId="634A1771" w14:textId="777BF76B" w:rsidR="000756EB" w:rsidRDefault="004A4D88" w:rsidP="00454018">
      <w:r>
        <w:t>During</w:t>
      </w:r>
      <w:r w:rsidR="00A03629">
        <w:t xml:space="preserve"> </w:t>
      </w:r>
      <w:r>
        <w:t>the</w:t>
      </w:r>
      <w:r w:rsidR="00A03629">
        <w:t xml:space="preserve"> </w:t>
      </w:r>
      <w:r>
        <w:t>current</w:t>
      </w:r>
      <w:r w:rsidR="00A03629">
        <w:t xml:space="preserve"> </w:t>
      </w:r>
      <w:r>
        <w:t>year,</w:t>
      </w:r>
      <w:r w:rsidR="00A03629">
        <w:t xml:space="preserve"> </w:t>
      </w:r>
      <w:r>
        <w:t>there</w:t>
      </w:r>
      <w:r w:rsidR="00A03629">
        <w:t xml:space="preserve"> </w:t>
      </w:r>
      <w:r>
        <w:t>were</w:t>
      </w:r>
      <w:r w:rsidR="00A03629">
        <w:t xml:space="preserve"> </w:t>
      </w:r>
      <w:r>
        <w:t>no</w:t>
      </w:r>
      <w:r w:rsidR="00A03629">
        <w:t xml:space="preserve"> </w:t>
      </w:r>
      <w:r>
        <w:t>defaults</w:t>
      </w:r>
      <w:r w:rsidR="00A03629">
        <w:t xml:space="preserve"> </w:t>
      </w:r>
      <w:r>
        <w:t>and</w:t>
      </w:r>
      <w:r w:rsidR="00A03629">
        <w:rPr>
          <w:rFonts w:ascii="Cambria" w:hAnsi="Cambria" w:cs="Cambria"/>
        </w:rPr>
        <w:t xml:space="preserve"> </w:t>
      </w:r>
      <w:r>
        <w:t>breaches</w:t>
      </w:r>
      <w:r w:rsidR="00A03629">
        <w:t xml:space="preserve"> </w:t>
      </w:r>
      <w:r>
        <w:t>of</w:t>
      </w:r>
      <w:r w:rsidR="00A03629">
        <w:t xml:space="preserve"> </w:t>
      </w:r>
      <w:r>
        <w:t>loans.</w:t>
      </w:r>
    </w:p>
    <w:p w14:paraId="2C72471C" w14:textId="51282872" w:rsidR="000756EB" w:rsidRDefault="004A4D88" w:rsidP="00454018">
      <w:pPr>
        <w:pStyle w:val="Heading3"/>
      </w:pPr>
      <w:r>
        <w:t>7.1.1</w:t>
      </w:r>
      <w:r w:rsidR="00DE38B5">
        <w:t xml:space="preserve"> </w:t>
      </w:r>
      <w:r>
        <w:t>Maturity</w:t>
      </w:r>
      <w:r w:rsidR="00A03629">
        <w:t xml:space="preserve"> </w:t>
      </w:r>
      <w:r>
        <w:t>analysis</w:t>
      </w:r>
      <w:r w:rsidR="00A03629">
        <w:t xml:space="preserve"> </w:t>
      </w:r>
      <w:r>
        <w:t>of</w:t>
      </w:r>
      <w:r w:rsidR="00A03629">
        <w:t xml:space="preserve"> </w:t>
      </w:r>
      <w:r>
        <w:t>borrowings</w:t>
      </w:r>
      <w:r w:rsidR="00A03629" w:rsidRPr="00614829">
        <w:rPr>
          <w:rStyle w:val="FootnotereferencessuperscriptMisc"/>
          <w:b w:val="0"/>
          <w:bCs w:val="0"/>
        </w:rPr>
        <w:t xml:space="preserve"> </w:t>
      </w:r>
      <w:r w:rsidRPr="00614829">
        <w:rPr>
          <w:rStyle w:val="FootnotereferencessuperscriptMisc"/>
          <w:b w:val="0"/>
          <w:bCs w:val="0"/>
        </w:rPr>
        <w:t>(</w:t>
      </w:r>
      <w:proofErr w:type="spellStart"/>
      <w:r w:rsidRPr="00614829">
        <w:rPr>
          <w:rStyle w:val="FootnotereferencessuperscriptMisc"/>
          <w:b w:val="0"/>
          <w:bCs w:val="0"/>
        </w:rPr>
        <w:t>i</w:t>
      </w:r>
      <w:proofErr w:type="spellEnd"/>
      <w:r w:rsidRPr="00614829">
        <w:rPr>
          <w:rStyle w:val="FootnotereferencessuperscriptMisc"/>
          <w:b w:val="0"/>
          <w:bCs w:val="0"/>
        </w:rPr>
        <w:t>)</w:t>
      </w:r>
    </w:p>
    <w:p w14:paraId="371EB6B8" w14:textId="72698D61" w:rsidR="000756EB" w:rsidRPr="00454018" w:rsidRDefault="004A4D88" w:rsidP="00454018">
      <w:pPr>
        <w:pStyle w:val="Normalbeforebullets"/>
        <w:rPr>
          <w:b/>
          <w:bCs/>
        </w:rPr>
      </w:pPr>
      <w:r w:rsidRPr="00454018">
        <w:rPr>
          <w:b/>
          <w:bCs/>
        </w:rPr>
        <w:t>Maturity</w:t>
      </w:r>
      <w:r w:rsidR="00A03629" w:rsidRPr="00454018">
        <w:rPr>
          <w:b/>
          <w:bCs/>
        </w:rPr>
        <w:t xml:space="preserve"> </w:t>
      </w:r>
      <w:r w:rsidRPr="00454018">
        <w:rPr>
          <w:b/>
          <w:bCs/>
        </w:rPr>
        <w:t>analysis</w:t>
      </w:r>
      <w:r w:rsidR="00A03629" w:rsidRPr="00454018">
        <w:rPr>
          <w:b/>
          <w:bCs/>
        </w:rPr>
        <w:t xml:space="preserve"> </w:t>
      </w:r>
      <w:r w:rsidRPr="00454018">
        <w:rPr>
          <w:b/>
          <w:bCs/>
        </w:rPr>
        <w:t>of</w:t>
      </w:r>
      <w:r w:rsidR="00A03629" w:rsidRPr="00454018">
        <w:rPr>
          <w:b/>
          <w:bCs/>
        </w:rPr>
        <w:t xml:space="preserve"> </w:t>
      </w:r>
      <w:r w:rsidRPr="00454018">
        <w:rPr>
          <w:b/>
          <w:bCs/>
        </w:rPr>
        <w:t>borrowings</w:t>
      </w:r>
    </w:p>
    <w:tbl>
      <w:tblPr>
        <w:tblStyle w:val="TableGrid"/>
        <w:tblW w:w="10386" w:type="dxa"/>
        <w:tblLayout w:type="fixed"/>
        <w:tblLook w:val="0020" w:firstRow="1" w:lastRow="0" w:firstColumn="0" w:lastColumn="0" w:noHBand="0" w:noVBand="0"/>
      </w:tblPr>
      <w:tblGrid>
        <w:gridCol w:w="2689"/>
        <w:gridCol w:w="1104"/>
        <w:gridCol w:w="1092"/>
        <w:gridCol w:w="1105"/>
        <w:gridCol w:w="1106"/>
        <w:gridCol w:w="1092"/>
        <w:gridCol w:w="1092"/>
        <w:gridCol w:w="1106"/>
      </w:tblGrid>
      <w:tr w:rsidR="000756EB" w:rsidRPr="00454018" w14:paraId="4BD58860" w14:textId="77777777" w:rsidTr="00381751">
        <w:trPr>
          <w:trHeight w:val="113"/>
        </w:trPr>
        <w:tc>
          <w:tcPr>
            <w:tcW w:w="2689" w:type="dxa"/>
          </w:tcPr>
          <w:p w14:paraId="332DB81D" w14:textId="77777777" w:rsidR="000756EB" w:rsidRPr="00454018" w:rsidRDefault="000756EB" w:rsidP="00454018">
            <w:pPr>
              <w:pStyle w:val="TableColumnHeading"/>
              <w:rPr>
                <w:sz w:val="20"/>
                <w:szCs w:val="28"/>
              </w:rPr>
            </w:pPr>
            <w:bookmarkStart w:id="91" w:name="ColumnTitles_53"/>
            <w:bookmarkEnd w:id="91"/>
          </w:p>
        </w:tc>
        <w:tc>
          <w:tcPr>
            <w:tcW w:w="1104" w:type="dxa"/>
          </w:tcPr>
          <w:p w14:paraId="7BFCEFC5" w14:textId="59D2C82A" w:rsidR="000756EB" w:rsidRPr="00454018" w:rsidRDefault="004A4D88" w:rsidP="00381751">
            <w:pPr>
              <w:pStyle w:val="TableColumnHeading"/>
              <w:jc w:val="right"/>
              <w:rPr>
                <w:sz w:val="20"/>
                <w:szCs w:val="28"/>
              </w:rPr>
            </w:pPr>
            <w:r w:rsidRPr="00454018">
              <w:rPr>
                <w:sz w:val="20"/>
                <w:szCs w:val="28"/>
              </w:rPr>
              <w:t>Carrying</w:t>
            </w:r>
            <w:r w:rsidR="00454018">
              <w:rPr>
                <w:sz w:val="20"/>
                <w:szCs w:val="28"/>
              </w:rPr>
              <w:t xml:space="preserve"> </w:t>
            </w:r>
            <w:r w:rsidRPr="00454018">
              <w:rPr>
                <w:sz w:val="20"/>
                <w:szCs w:val="28"/>
              </w:rPr>
              <w:t>amount</w:t>
            </w:r>
            <w:r w:rsidR="00454018">
              <w:rPr>
                <w:sz w:val="20"/>
                <w:szCs w:val="28"/>
              </w:rPr>
              <w:t xml:space="preserve"> </w:t>
            </w:r>
            <w:r w:rsidR="00454018" w:rsidRPr="00454018">
              <w:rPr>
                <w:sz w:val="20"/>
                <w:szCs w:val="28"/>
              </w:rPr>
              <w:t>($ thousand)</w:t>
            </w:r>
          </w:p>
        </w:tc>
        <w:tc>
          <w:tcPr>
            <w:tcW w:w="1092" w:type="dxa"/>
          </w:tcPr>
          <w:p w14:paraId="31876475" w14:textId="3BBBEEDC" w:rsidR="000756EB" w:rsidRPr="00454018" w:rsidRDefault="004A4D88" w:rsidP="00381751">
            <w:pPr>
              <w:pStyle w:val="TableColumnHeading"/>
              <w:jc w:val="right"/>
              <w:rPr>
                <w:sz w:val="20"/>
                <w:szCs w:val="28"/>
              </w:rPr>
            </w:pPr>
            <w:r w:rsidRPr="00454018">
              <w:rPr>
                <w:sz w:val="20"/>
                <w:szCs w:val="28"/>
              </w:rPr>
              <w:t>Nominal</w:t>
            </w:r>
            <w:r w:rsidR="00454018">
              <w:rPr>
                <w:sz w:val="20"/>
                <w:szCs w:val="28"/>
              </w:rPr>
              <w:t xml:space="preserve"> </w:t>
            </w:r>
            <w:r w:rsidRPr="00454018">
              <w:rPr>
                <w:sz w:val="20"/>
                <w:szCs w:val="28"/>
              </w:rPr>
              <w:t>amount</w:t>
            </w:r>
            <w:r w:rsidR="00454018">
              <w:rPr>
                <w:sz w:val="20"/>
                <w:szCs w:val="28"/>
              </w:rPr>
              <w:t xml:space="preserve"> </w:t>
            </w:r>
            <w:r w:rsidR="00454018" w:rsidRPr="00454018">
              <w:rPr>
                <w:sz w:val="20"/>
                <w:szCs w:val="28"/>
              </w:rPr>
              <w:t>($ thousand)</w:t>
            </w:r>
          </w:p>
        </w:tc>
        <w:tc>
          <w:tcPr>
            <w:tcW w:w="1105" w:type="dxa"/>
          </w:tcPr>
          <w:p w14:paraId="3225BB24" w14:textId="0F18C7F2" w:rsidR="000756EB" w:rsidRPr="00454018" w:rsidRDefault="004A4D88" w:rsidP="00381751">
            <w:pPr>
              <w:pStyle w:val="TableColumnHeading"/>
              <w:jc w:val="right"/>
              <w:rPr>
                <w:sz w:val="20"/>
                <w:szCs w:val="28"/>
              </w:rPr>
            </w:pPr>
            <w:r w:rsidRPr="00454018">
              <w:rPr>
                <w:sz w:val="20"/>
                <w:szCs w:val="28"/>
              </w:rPr>
              <w:t>Less</w:t>
            </w:r>
            <w:r w:rsidR="00A03629" w:rsidRPr="00454018">
              <w:rPr>
                <w:sz w:val="20"/>
                <w:szCs w:val="28"/>
              </w:rPr>
              <w:t xml:space="preserve"> </w:t>
            </w:r>
            <w:r w:rsidRPr="00454018">
              <w:rPr>
                <w:sz w:val="20"/>
                <w:szCs w:val="28"/>
              </w:rPr>
              <w:t>than</w:t>
            </w:r>
            <w:r w:rsidR="00454018">
              <w:rPr>
                <w:sz w:val="20"/>
                <w:szCs w:val="28"/>
              </w:rPr>
              <w:t xml:space="preserve"> </w:t>
            </w:r>
            <w:r w:rsidRPr="00454018">
              <w:rPr>
                <w:sz w:val="20"/>
                <w:szCs w:val="28"/>
              </w:rPr>
              <w:t>1</w:t>
            </w:r>
            <w:r w:rsidR="00A03629" w:rsidRPr="00454018">
              <w:rPr>
                <w:sz w:val="20"/>
                <w:szCs w:val="28"/>
              </w:rPr>
              <w:t xml:space="preserve"> </w:t>
            </w:r>
            <w:r w:rsidRPr="00454018">
              <w:rPr>
                <w:sz w:val="20"/>
                <w:szCs w:val="28"/>
              </w:rPr>
              <w:t>Month</w:t>
            </w:r>
            <w:r w:rsidR="00454018" w:rsidRPr="00454018">
              <w:rPr>
                <w:sz w:val="20"/>
                <w:szCs w:val="28"/>
              </w:rPr>
              <w:t xml:space="preserve"> Maturity</w:t>
            </w:r>
            <w:r w:rsidR="00454018">
              <w:rPr>
                <w:sz w:val="20"/>
                <w:szCs w:val="28"/>
              </w:rPr>
              <w:t xml:space="preserve"> </w:t>
            </w:r>
            <w:r w:rsidR="00454018" w:rsidRPr="00454018">
              <w:rPr>
                <w:sz w:val="20"/>
                <w:szCs w:val="28"/>
              </w:rPr>
              <w:t>($ thousand)</w:t>
            </w:r>
          </w:p>
        </w:tc>
        <w:tc>
          <w:tcPr>
            <w:tcW w:w="1106" w:type="dxa"/>
          </w:tcPr>
          <w:p w14:paraId="6C89175D" w14:textId="7B6DCBA3" w:rsidR="000756EB" w:rsidRPr="00454018" w:rsidRDefault="004A4D88" w:rsidP="00381751">
            <w:pPr>
              <w:pStyle w:val="TableColumnHeading"/>
              <w:jc w:val="right"/>
              <w:rPr>
                <w:sz w:val="20"/>
                <w:szCs w:val="28"/>
              </w:rPr>
            </w:pPr>
            <w:r w:rsidRPr="00454018">
              <w:rPr>
                <w:sz w:val="20"/>
                <w:szCs w:val="28"/>
              </w:rPr>
              <w:t>1–3</w:t>
            </w:r>
            <w:r w:rsidR="00A03629" w:rsidRPr="00454018">
              <w:rPr>
                <w:sz w:val="20"/>
                <w:szCs w:val="28"/>
              </w:rPr>
              <w:t xml:space="preserve"> </w:t>
            </w:r>
            <w:r w:rsidRPr="00454018">
              <w:rPr>
                <w:sz w:val="20"/>
                <w:szCs w:val="28"/>
              </w:rPr>
              <w:t>Months</w:t>
            </w:r>
            <w:r w:rsidR="00454018" w:rsidRPr="00454018">
              <w:rPr>
                <w:sz w:val="20"/>
                <w:szCs w:val="28"/>
              </w:rPr>
              <w:t xml:space="preserve"> Maturity</w:t>
            </w:r>
            <w:r w:rsidR="00454018">
              <w:rPr>
                <w:sz w:val="20"/>
                <w:szCs w:val="28"/>
              </w:rPr>
              <w:t xml:space="preserve"> </w:t>
            </w:r>
            <w:r w:rsidR="00454018" w:rsidRPr="00454018">
              <w:rPr>
                <w:sz w:val="20"/>
                <w:szCs w:val="28"/>
              </w:rPr>
              <w:t>($ thousand)</w:t>
            </w:r>
          </w:p>
        </w:tc>
        <w:tc>
          <w:tcPr>
            <w:tcW w:w="1092" w:type="dxa"/>
          </w:tcPr>
          <w:p w14:paraId="625228F8" w14:textId="3C5DDCE9" w:rsidR="000756EB" w:rsidRPr="00454018" w:rsidRDefault="004A4D88" w:rsidP="00381751">
            <w:pPr>
              <w:pStyle w:val="TableColumnHeading"/>
              <w:jc w:val="right"/>
              <w:rPr>
                <w:sz w:val="20"/>
                <w:szCs w:val="28"/>
              </w:rPr>
            </w:pPr>
            <w:r w:rsidRPr="00454018">
              <w:rPr>
                <w:sz w:val="20"/>
                <w:szCs w:val="28"/>
              </w:rPr>
              <w:t>3–12</w:t>
            </w:r>
            <w:r w:rsidR="00A03629" w:rsidRPr="00454018">
              <w:rPr>
                <w:sz w:val="20"/>
                <w:szCs w:val="28"/>
              </w:rPr>
              <w:t xml:space="preserve"> </w:t>
            </w:r>
            <w:r w:rsidRPr="00454018">
              <w:rPr>
                <w:sz w:val="20"/>
                <w:szCs w:val="28"/>
              </w:rPr>
              <w:t>Months</w:t>
            </w:r>
            <w:r w:rsidR="00454018" w:rsidRPr="00454018">
              <w:rPr>
                <w:sz w:val="20"/>
                <w:szCs w:val="28"/>
              </w:rPr>
              <w:t xml:space="preserve"> Maturity</w:t>
            </w:r>
            <w:r w:rsidR="00454018">
              <w:rPr>
                <w:sz w:val="20"/>
                <w:szCs w:val="28"/>
              </w:rPr>
              <w:t xml:space="preserve"> </w:t>
            </w:r>
            <w:r w:rsidR="00454018" w:rsidRPr="00454018">
              <w:rPr>
                <w:sz w:val="20"/>
                <w:szCs w:val="28"/>
              </w:rPr>
              <w:t>($ thousand)</w:t>
            </w:r>
          </w:p>
        </w:tc>
        <w:tc>
          <w:tcPr>
            <w:tcW w:w="1092" w:type="dxa"/>
          </w:tcPr>
          <w:p w14:paraId="04FA9860" w14:textId="0756284A" w:rsidR="000756EB" w:rsidRPr="00454018" w:rsidRDefault="004A4D88" w:rsidP="00381751">
            <w:pPr>
              <w:pStyle w:val="TableColumnHeading"/>
              <w:jc w:val="right"/>
              <w:rPr>
                <w:sz w:val="20"/>
                <w:szCs w:val="28"/>
              </w:rPr>
            </w:pPr>
            <w:r w:rsidRPr="00454018">
              <w:rPr>
                <w:sz w:val="20"/>
                <w:szCs w:val="28"/>
              </w:rPr>
              <w:t>1–5</w:t>
            </w:r>
            <w:r w:rsidR="00454018">
              <w:rPr>
                <w:sz w:val="20"/>
                <w:szCs w:val="28"/>
              </w:rPr>
              <w:t xml:space="preserve"> </w:t>
            </w:r>
            <w:r w:rsidRPr="00454018">
              <w:rPr>
                <w:sz w:val="20"/>
                <w:szCs w:val="28"/>
              </w:rPr>
              <w:t>years</w:t>
            </w:r>
            <w:r w:rsidR="00454018" w:rsidRPr="00454018">
              <w:rPr>
                <w:sz w:val="20"/>
                <w:szCs w:val="28"/>
              </w:rPr>
              <w:t xml:space="preserve"> Maturity</w:t>
            </w:r>
            <w:r w:rsidR="00454018">
              <w:rPr>
                <w:sz w:val="20"/>
                <w:szCs w:val="28"/>
              </w:rPr>
              <w:t xml:space="preserve"> </w:t>
            </w:r>
            <w:r w:rsidR="00454018" w:rsidRPr="00454018">
              <w:rPr>
                <w:sz w:val="20"/>
                <w:szCs w:val="28"/>
              </w:rPr>
              <w:t>($ thousand)</w:t>
            </w:r>
          </w:p>
        </w:tc>
        <w:tc>
          <w:tcPr>
            <w:tcW w:w="1106" w:type="dxa"/>
          </w:tcPr>
          <w:p w14:paraId="1CB44C08" w14:textId="685A9566" w:rsidR="000756EB" w:rsidRPr="00454018" w:rsidRDefault="004A4D88" w:rsidP="00381751">
            <w:pPr>
              <w:pStyle w:val="TableColumnHeading"/>
              <w:jc w:val="right"/>
              <w:rPr>
                <w:sz w:val="20"/>
                <w:szCs w:val="28"/>
              </w:rPr>
            </w:pPr>
            <w:r w:rsidRPr="00454018">
              <w:rPr>
                <w:sz w:val="20"/>
                <w:szCs w:val="28"/>
              </w:rPr>
              <w:t>5+</w:t>
            </w:r>
            <w:r w:rsidR="00454018">
              <w:rPr>
                <w:sz w:val="20"/>
                <w:szCs w:val="28"/>
              </w:rPr>
              <w:t xml:space="preserve"> </w:t>
            </w:r>
            <w:r w:rsidRPr="00454018">
              <w:rPr>
                <w:sz w:val="20"/>
                <w:szCs w:val="28"/>
              </w:rPr>
              <w:t>years</w:t>
            </w:r>
            <w:r w:rsidR="00454018" w:rsidRPr="00454018">
              <w:rPr>
                <w:sz w:val="20"/>
                <w:szCs w:val="28"/>
              </w:rPr>
              <w:t xml:space="preserve"> Maturity</w:t>
            </w:r>
            <w:r w:rsidR="00454018">
              <w:rPr>
                <w:sz w:val="20"/>
                <w:szCs w:val="28"/>
              </w:rPr>
              <w:t xml:space="preserve"> </w:t>
            </w:r>
            <w:r w:rsidR="00454018" w:rsidRPr="00454018">
              <w:rPr>
                <w:sz w:val="20"/>
                <w:szCs w:val="28"/>
              </w:rPr>
              <w:t>($ thousand)</w:t>
            </w:r>
          </w:p>
        </w:tc>
      </w:tr>
      <w:tr w:rsidR="000756EB" w14:paraId="53757E73" w14:textId="77777777" w:rsidTr="00381751">
        <w:trPr>
          <w:trHeight w:val="113"/>
        </w:trPr>
        <w:tc>
          <w:tcPr>
            <w:tcW w:w="2689" w:type="dxa"/>
          </w:tcPr>
          <w:p w14:paraId="59DDB0ED" w14:textId="77777777" w:rsidR="000756EB" w:rsidRDefault="004A4D88" w:rsidP="00381751">
            <w:pPr>
              <w:pStyle w:val="TableHeading"/>
            </w:pPr>
            <w:r>
              <w:t>2023</w:t>
            </w:r>
          </w:p>
        </w:tc>
        <w:tc>
          <w:tcPr>
            <w:tcW w:w="1104" w:type="dxa"/>
          </w:tcPr>
          <w:p w14:paraId="28D95D13" w14:textId="77777777" w:rsidR="000756EB" w:rsidRPr="00381751" w:rsidRDefault="000756EB" w:rsidP="00381751">
            <w:pPr>
              <w:pStyle w:val="TableHeading"/>
              <w:jc w:val="right"/>
            </w:pPr>
          </w:p>
        </w:tc>
        <w:tc>
          <w:tcPr>
            <w:tcW w:w="1092" w:type="dxa"/>
          </w:tcPr>
          <w:p w14:paraId="35D467BD" w14:textId="77777777" w:rsidR="000756EB" w:rsidRPr="00381751" w:rsidRDefault="000756EB" w:rsidP="00381751">
            <w:pPr>
              <w:pStyle w:val="TableHeading"/>
              <w:jc w:val="right"/>
            </w:pPr>
          </w:p>
        </w:tc>
        <w:tc>
          <w:tcPr>
            <w:tcW w:w="1105" w:type="dxa"/>
          </w:tcPr>
          <w:p w14:paraId="309C7C3A" w14:textId="77777777" w:rsidR="000756EB" w:rsidRPr="00381751" w:rsidRDefault="000756EB" w:rsidP="00381751">
            <w:pPr>
              <w:pStyle w:val="TableHeading"/>
              <w:jc w:val="right"/>
            </w:pPr>
          </w:p>
        </w:tc>
        <w:tc>
          <w:tcPr>
            <w:tcW w:w="1106" w:type="dxa"/>
          </w:tcPr>
          <w:p w14:paraId="7E568A3E" w14:textId="77777777" w:rsidR="000756EB" w:rsidRPr="00381751" w:rsidRDefault="000756EB" w:rsidP="00381751">
            <w:pPr>
              <w:pStyle w:val="TableHeading"/>
              <w:jc w:val="right"/>
            </w:pPr>
          </w:p>
        </w:tc>
        <w:tc>
          <w:tcPr>
            <w:tcW w:w="1092" w:type="dxa"/>
          </w:tcPr>
          <w:p w14:paraId="5902702C" w14:textId="77777777" w:rsidR="000756EB" w:rsidRPr="00381751" w:rsidRDefault="000756EB" w:rsidP="00381751">
            <w:pPr>
              <w:pStyle w:val="TableHeading"/>
              <w:jc w:val="right"/>
            </w:pPr>
          </w:p>
        </w:tc>
        <w:tc>
          <w:tcPr>
            <w:tcW w:w="1092" w:type="dxa"/>
          </w:tcPr>
          <w:p w14:paraId="4D96275E" w14:textId="77777777" w:rsidR="000756EB" w:rsidRPr="00381751" w:rsidRDefault="000756EB" w:rsidP="00381751">
            <w:pPr>
              <w:pStyle w:val="TableHeading"/>
              <w:jc w:val="right"/>
            </w:pPr>
          </w:p>
        </w:tc>
        <w:tc>
          <w:tcPr>
            <w:tcW w:w="1106" w:type="dxa"/>
          </w:tcPr>
          <w:p w14:paraId="147123C2" w14:textId="77777777" w:rsidR="000756EB" w:rsidRPr="00381751" w:rsidRDefault="000756EB" w:rsidP="00381751">
            <w:pPr>
              <w:pStyle w:val="TableHeading"/>
              <w:jc w:val="right"/>
            </w:pPr>
          </w:p>
        </w:tc>
      </w:tr>
      <w:tr w:rsidR="000756EB" w14:paraId="4A82DC7A" w14:textId="77777777" w:rsidTr="00381751">
        <w:trPr>
          <w:trHeight w:val="113"/>
        </w:trPr>
        <w:tc>
          <w:tcPr>
            <w:tcW w:w="2689" w:type="dxa"/>
          </w:tcPr>
          <w:p w14:paraId="5D80EBB9" w14:textId="3125C921" w:rsidR="000756EB" w:rsidRDefault="004A4D88" w:rsidP="00381751">
            <w:pPr>
              <w:pStyle w:val="TableCopy"/>
            </w:pPr>
            <w:r>
              <w:t>Lease</w:t>
            </w:r>
            <w:r w:rsidR="00A03629">
              <w:t xml:space="preserve"> </w:t>
            </w:r>
            <w:r>
              <w:t>liabilities</w:t>
            </w:r>
          </w:p>
        </w:tc>
        <w:tc>
          <w:tcPr>
            <w:tcW w:w="1104" w:type="dxa"/>
          </w:tcPr>
          <w:p w14:paraId="35E01244" w14:textId="68D95429" w:rsidR="000756EB" w:rsidRDefault="004A4D88" w:rsidP="00381751">
            <w:pPr>
              <w:pStyle w:val="TableCopy"/>
              <w:jc w:val="right"/>
            </w:pPr>
            <w:r>
              <w:t>14,342</w:t>
            </w:r>
          </w:p>
        </w:tc>
        <w:tc>
          <w:tcPr>
            <w:tcW w:w="1092" w:type="dxa"/>
          </w:tcPr>
          <w:p w14:paraId="7029906B" w14:textId="747E855A" w:rsidR="000756EB" w:rsidRDefault="004A4D88" w:rsidP="00381751">
            <w:pPr>
              <w:pStyle w:val="TableCopy"/>
              <w:jc w:val="right"/>
            </w:pPr>
            <w:r>
              <w:t>14,904</w:t>
            </w:r>
          </w:p>
        </w:tc>
        <w:tc>
          <w:tcPr>
            <w:tcW w:w="1105" w:type="dxa"/>
          </w:tcPr>
          <w:p w14:paraId="05965149" w14:textId="34CED371" w:rsidR="000756EB" w:rsidRDefault="004A4D88" w:rsidP="00381751">
            <w:pPr>
              <w:pStyle w:val="TableCopy"/>
              <w:jc w:val="right"/>
            </w:pPr>
            <w:r>
              <w:t>415</w:t>
            </w:r>
          </w:p>
        </w:tc>
        <w:tc>
          <w:tcPr>
            <w:tcW w:w="1106" w:type="dxa"/>
          </w:tcPr>
          <w:p w14:paraId="72B90D19" w14:textId="7D9278BA" w:rsidR="000756EB" w:rsidRDefault="004A4D88" w:rsidP="00381751">
            <w:pPr>
              <w:pStyle w:val="TableCopy"/>
              <w:jc w:val="right"/>
            </w:pPr>
            <w:r>
              <w:t>797</w:t>
            </w:r>
          </w:p>
        </w:tc>
        <w:tc>
          <w:tcPr>
            <w:tcW w:w="1092" w:type="dxa"/>
          </w:tcPr>
          <w:p w14:paraId="40385F09" w14:textId="772E803D" w:rsidR="000756EB" w:rsidRDefault="004A4D88" w:rsidP="00381751">
            <w:pPr>
              <w:pStyle w:val="TableCopy"/>
              <w:jc w:val="right"/>
            </w:pPr>
            <w:r>
              <w:t>3,350</w:t>
            </w:r>
          </w:p>
        </w:tc>
        <w:tc>
          <w:tcPr>
            <w:tcW w:w="1092" w:type="dxa"/>
          </w:tcPr>
          <w:p w14:paraId="4DA2A5EC" w14:textId="4DFA89FD" w:rsidR="000756EB" w:rsidRDefault="004A4D88" w:rsidP="00381751">
            <w:pPr>
              <w:pStyle w:val="TableCopy"/>
              <w:jc w:val="right"/>
            </w:pPr>
            <w:r>
              <w:t>8,999</w:t>
            </w:r>
          </w:p>
        </w:tc>
        <w:tc>
          <w:tcPr>
            <w:tcW w:w="1106" w:type="dxa"/>
          </w:tcPr>
          <w:p w14:paraId="73C43DC6" w14:textId="6C8C8940" w:rsidR="000756EB" w:rsidRDefault="004A4D88" w:rsidP="00381751">
            <w:pPr>
              <w:pStyle w:val="TableCopy"/>
              <w:jc w:val="right"/>
            </w:pPr>
            <w:r>
              <w:t>1,342</w:t>
            </w:r>
          </w:p>
        </w:tc>
      </w:tr>
      <w:tr w:rsidR="000756EB" w14:paraId="3248515A" w14:textId="77777777" w:rsidTr="00381751">
        <w:trPr>
          <w:trHeight w:val="113"/>
        </w:trPr>
        <w:tc>
          <w:tcPr>
            <w:tcW w:w="2689" w:type="dxa"/>
          </w:tcPr>
          <w:p w14:paraId="1950FE6D" w14:textId="3C009168" w:rsidR="000756EB" w:rsidRDefault="004A4D88" w:rsidP="00381751">
            <w:pPr>
              <w:pStyle w:val="TableCopy"/>
            </w:pPr>
            <w:r>
              <w:t>Advances</w:t>
            </w:r>
            <w:r w:rsidR="00A03629">
              <w:t xml:space="preserve"> </w:t>
            </w:r>
            <w:r>
              <w:t>from</w:t>
            </w:r>
            <w:r w:rsidR="00A03629">
              <w:t xml:space="preserve"> </w:t>
            </w:r>
            <w:r>
              <w:t>government</w:t>
            </w:r>
          </w:p>
        </w:tc>
        <w:tc>
          <w:tcPr>
            <w:tcW w:w="1104" w:type="dxa"/>
          </w:tcPr>
          <w:p w14:paraId="533D67B9" w14:textId="667A3BEE" w:rsidR="000756EB" w:rsidRDefault="004A4D88" w:rsidP="00381751">
            <w:pPr>
              <w:pStyle w:val="TableCopy"/>
              <w:jc w:val="right"/>
            </w:pPr>
            <w:r>
              <w:t>59,689</w:t>
            </w:r>
          </w:p>
        </w:tc>
        <w:tc>
          <w:tcPr>
            <w:tcW w:w="1092" w:type="dxa"/>
          </w:tcPr>
          <w:p w14:paraId="75C11306" w14:textId="7A5A1803" w:rsidR="000756EB" w:rsidRDefault="004A4D88" w:rsidP="00381751">
            <w:pPr>
              <w:pStyle w:val="TableCopy"/>
              <w:jc w:val="right"/>
            </w:pPr>
            <w:r>
              <w:t>60,504</w:t>
            </w:r>
          </w:p>
        </w:tc>
        <w:tc>
          <w:tcPr>
            <w:tcW w:w="1105" w:type="dxa"/>
          </w:tcPr>
          <w:p w14:paraId="0B03BFD3" w14:textId="6D582346" w:rsidR="000756EB" w:rsidRDefault="004A4D88" w:rsidP="00381751">
            <w:pPr>
              <w:pStyle w:val="TableCopy"/>
              <w:jc w:val="right"/>
            </w:pPr>
            <w:r>
              <w:t>31,066</w:t>
            </w:r>
          </w:p>
        </w:tc>
        <w:tc>
          <w:tcPr>
            <w:tcW w:w="1106" w:type="dxa"/>
          </w:tcPr>
          <w:p w14:paraId="29E2B1D5" w14:textId="748BA788" w:rsidR="000756EB" w:rsidRDefault="004A4D88" w:rsidP="00381751">
            <w:pPr>
              <w:pStyle w:val="TableCopy"/>
              <w:jc w:val="right"/>
            </w:pPr>
            <w:r>
              <w:t>–</w:t>
            </w:r>
          </w:p>
        </w:tc>
        <w:tc>
          <w:tcPr>
            <w:tcW w:w="1092" w:type="dxa"/>
          </w:tcPr>
          <w:p w14:paraId="78CD0A59" w14:textId="2CA7063E" w:rsidR="000756EB" w:rsidRDefault="004A4D88" w:rsidP="00381751">
            <w:pPr>
              <w:pStyle w:val="TableCopy"/>
              <w:jc w:val="right"/>
            </w:pPr>
            <w:r>
              <w:t>13,298</w:t>
            </w:r>
          </w:p>
        </w:tc>
        <w:tc>
          <w:tcPr>
            <w:tcW w:w="1092" w:type="dxa"/>
          </w:tcPr>
          <w:p w14:paraId="6D12ED98" w14:textId="1EA7397D" w:rsidR="000756EB" w:rsidRDefault="004A4D88" w:rsidP="00381751">
            <w:pPr>
              <w:pStyle w:val="TableCopy"/>
              <w:jc w:val="right"/>
            </w:pPr>
            <w:r>
              <w:t>15,515</w:t>
            </w:r>
          </w:p>
        </w:tc>
        <w:tc>
          <w:tcPr>
            <w:tcW w:w="1106" w:type="dxa"/>
          </w:tcPr>
          <w:p w14:paraId="0A31C467" w14:textId="10553665" w:rsidR="000756EB" w:rsidRDefault="004A4D88" w:rsidP="00381751">
            <w:pPr>
              <w:pStyle w:val="TableCopy"/>
              <w:jc w:val="right"/>
            </w:pPr>
            <w:r>
              <w:t>625</w:t>
            </w:r>
          </w:p>
        </w:tc>
      </w:tr>
      <w:tr w:rsidR="000756EB" w14:paraId="36169F50" w14:textId="77777777" w:rsidTr="00381751">
        <w:trPr>
          <w:trHeight w:val="113"/>
        </w:trPr>
        <w:tc>
          <w:tcPr>
            <w:tcW w:w="2689" w:type="dxa"/>
          </w:tcPr>
          <w:p w14:paraId="1B65AA70" w14:textId="7261531D" w:rsidR="000756EB" w:rsidRDefault="004A4D88" w:rsidP="00381751">
            <w:pPr>
              <w:pStyle w:val="TableCopy"/>
            </w:pPr>
            <w:r>
              <w:t>Advances</w:t>
            </w:r>
            <w:r w:rsidR="00A03629">
              <w:t xml:space="preserve"> </w:t>
            </w:r>
            <w:r>
              <w:t>from</w:t>
            </w:r>
            <w:r w:rsidR="00A03629">
              <w:t xml:space="preserve"> </w:t>
            </w:r>
            <w:r>
              <w:t>Commonwealth</w:t>
            </w:r>
          </w:p>
        </w:tc>
        <w:tc>
          <w:tcPr>
            <w:tcW w:w="1104" w:type="dxa"/>
          </w:tcPr>
          <w:p w14:paraId="26483BC4" w14:textId="1F797C1A" w:rsidR="000756EB" w:rsidRDefault="004A4D88" w:rsidP="00381751">
            <w:pPr>
              <w:pStyle w:val="TableCopy"/>
              <w:jc w:val="right"/>
            </w:pPr>
            <w:r>
              <w:t>–</w:t>
            </w:r>
          </w:p>
        </w:tc>
        <w:tc>
          <w:tcPr>
            <w:tcW w:w="1092" w:type="dxa"/>
          </w:tcPr>
          <w:p w14:paraId="3C29A712" w14:textId="5256BC2A" w:rsidR="000756EB" w:rsidRDefault="004A4D88" w:rsidP="00381751">
            <w:pPr>
              <w:pStyle w:val="TableCopy"/>
              <w:jc w:val="right"/>
            </w:pPr>
            <w:r>
              <w:t>–</w:t>
            </w:r>
          </w:p>
        </w:tc>
        <w:tc>
          <w:tcPr>
            <w:tcW w:w="1105" w:type="dxa"/>
          </w:tcPr>
          <w:p w14:paraId="24FB215A" w14:textId="647D700C" w:rsidR="000756EB" w:rsidRDefault="004A4D88" w:rsidP="00381751">
            <w:pPr>
              <w:pStyle w:val="TableCopy"/>
              <w:jc w:val="right"/>
            </w:pPr>
            <w:r>
              <w:t>–</w:t>
            </w:r>
          </w:p>
        </w:tc>
        <w:tc>
          <w:tcPr>
            <w:tcW w:w="1106" w:type="dxa"/>
          </w:tcPr>
          <w:p w14:paraId="513B3BEE" w14:textId="3B405F91" w:rsidR="000756EB" w:rsidRDefault="004A4D88" w:rsidP="00381751">
            <w:pPr>
              <w:pStyle w:val="TableCopy"/>
              <w:jc w:val="right"/>
            </w:pPr>
            <w:r>
              <w:t>–</w:t>
            </w:r>
          </w:p>
        </w:tc>
        <w:tc>
          <w:tcPr>
            <w:tcW w:w="1092" w:type="dxa"/>
          </w:tcPr>
          <w:p w14:paraId="6877092D" w14:textId="2F9F0409" w:rsidR="000756EB" w:rsidRDefault="004A4D88" w:rsidP="00381751">
            <w:pPr>
              <w:pStyle w:val="TableCopy"/>
              <w:jc w:val="right"/>
            </w:pPr>
            <w:r>
              <w:t>–</w:t>
            </w:r>
          </w:p>
        </w:tc>
        <w:tc>
          <w:tcPr>
            <w:tcW w:w="1092" w:type="dxa"/>
          </w:tcPr>
          <w:p w14:paraId="39A7FCE2" w14:textId="026A9641" w:rsidR="000756EB" w:rsidRDefault="004A4D88" w:rsidP="00381751">
            <w:pPr>
              <w:pStyle w:val="TableCopy"/>
              <w:jc w:val="right"/>
            </w:pPr>
            <w:r>
              <w:t>–</w:t>
            </w:r>
          </w:p>
        </w:tc>
        <w:tc>
          <w:tcPr>
            <w:tcW w:w="1106" w:type="dxa"/>
          </w:tcPr>
          <w:p w14:paraId="7C9D3567" w14:textId="4E12EBF1" w:rsidR="000756EB" w:rsidRDefault="004A4D88" w:rsidP="00381751">
            <w:pPr>
              <w:pStyle w:val="TableCopy"/>
              <w:jc w:val="right"/>
            </w:pPr>
            <w:r>
              <w:t>–</w:t>
            </w:r>
          </w:p>
        </w:tc>
      </w:tr>
      <w:tr w:rsidR="000756EB" w:rsidRPr="00381751" w14:paraId="7236BB65" w14:textId="77777777" w:rsidTr="00381751">
        <w:trPr>
          <w:trHeight w:val="113"/>
        </w:trPr>
        <w:tc>
          <w:tcPr>
            <w:tcW w:w="2689" w:type="dxa"/>
          </w:tcPr>
          <w:p w14:paraId="1CEA934F" w14:textId="77777777" w:rsidR="000756EB" w:rsidRPr="00381751" w:rsidRDefault="004A4D88" w:rsidP="00381751">
            <w:pPr>
              <w:pStyle w:val="TableCopy"/>
              <w:rPr>
                <w:b/>
                <w:bCs/>
              </w:rPr>
            </w:pPr>
            <w:r w:rsidRPr="00381751">
              <w:rPr>
                <w:b/>
                <w:bCs/>
              </w:rPr>
              <w:t>Total</w:t>
            </w:r>
          </w:p>
        </w:tc>
        <w:tc>
          <w:tcPr>
            <w:tcW w:w="1104" w:type="dxa"/>
          </w:tcPr>
          <w:p w14:paraId="6E220FF8" w14:textId="46F25C76" w:rsidR="000756EB" w:rsidRPr="00381751" w:rsidRDefault="004A4D88" w:rsidP="00381751">
            <w:pPr>
              <w:pStyle w:val="TableCopy"/>
              <w:jc w:val="right"/>
              <w:rPr>
                <w:b/>
                <w:bCs/>
              </w:rPr>
            </w:pPr>
            <w:r w:rsidRPr="00381751">
              <w:rPr>
                <w:b/>
                <w:bCs/>
              </w:rPr>
              <w:t>74,031</w:t>
            </w:r>
          </w:p>
        </w:tc>
        <w:tc>
          <w:tcPr>
            <w:tcW w:w="1092" w:type="dxa"/>
          </w:tcPr>
          <w:p w14:paraId="2BCB87DE" w14:textId="5AD1F887" w:rsidR="000756EB" w:rsidRPr="00381751" w:rsidRDefault="004A4D88" w:rsidP="00381751">
            <w:pPr>
              <w:pStyle w:val="TableCopy"/>
              <w:jc w:val="right"/>
              <w:rPr>
                <w:b/>
                <w:bCs/>
              </w:rPr>
            </w:pPr>
            <w:r w:rsidRPr="00381751">
              <w:rPr>
                <w:b/>
                <w:bCs/>
              </w:rPr>
              <w:t>75,408</w:t>
            </w:r>
          </w:p>
        </w:tc>
        <w:tc>
          <w:tcPr>
            <w:tcW w:w="1105" w:type="dxa"/>
          </w:tcPr>
          <w:p w14:paraId="3A282358" w14:textId="44382ED5" w:rsidR="000756EB" w:rsidRPr="00381751" w:rsidRDefault="004A4D88" w:rsidP="00381751">
            <w:pPr>
              <w:pStyle w:val="TableCopy"/>
              <w:jc w:val="right"/>
              <w:rPr>
                <w:b/>
                <w:bCs/>
              </w:rPr>
            </w:pPr>
            <w:r w:rsidRPr="00381751">
              <w:rPr>
                <w:b/>
                <w:bCs/>
              </w:rPr>
              <w:t>31,481</w:t>
            </w:r>
          </w:p>
        </w:tc>
        <w:tc>
          <w:tcPr>
            <w:tcW w:w="1106" w:type="dxa"/>
          </w:tcPr>
          <w:p w14:paraId="30E0BCB0" w14:textId="3A696869" w:rsidR="000756EB" w:rsidRPr="00381751" w:rsidRDefault="004A4D88" w:rsidP="00381751">
            <w:pPr>
              <w:pStyle w:val="TableCopy"/>
              <w:jc w:val="right"/>
              <w:rPr>
                <w:b/>
                <w:bCs/>
              </w:rPr>
            </w:pPr>
            <w:r w:rsidRPr="00381751">
              <w:rPr>
                <w:b/>
                <w:bCs/>
              </w:rPr>
              <w:t>797</w:t>
            </w:r>
          </w:p>
        </w:tc>
        <w:tc>
          <w:tcPr>
            <w:tcW w:w="1092" w:type="dxa"/>
          </w:tcPr>
          <w:p w14:paraId="38B37DFC" w14:textId="78D76579" w:rsidR="000756EB" w:rsidRPr="00381751" w:rsidRDefault="004A4D88" w:rsidP="00381751">
            <w:pPr>
              <w:pStyle w:val="TableCopy"/>
              <w:jc w:val="right"/>
              <w:rPr>
                <w:b/>
                <w:bCs/>
              </w:rPr>
            </w:pPr>
            <w:r w:rsidRPr="00381751">
              <w:rPr>
                <w:b/>
                <w:bCs/>
              </w:rPr>
              <w:t>16,648</w:t>
            </w:r>
          </w:p>
        </w:tc>
        <w:tc>
          <w:tcPr>
            <w:tcW w:w="1092" w:type="dxa"/>
          </w:tcPr>
          <w:p w14:paraId="58F5026A" w14:textId="7A5CD148" w:rsidR="000756EB" w:rsidRPr="00381751" w:rsidRDefault="004A4D88" w:rsidP="00381751">
            <w:pPr>
              <w:pStyle w:val="TableCopy"/>
              <w:jc w:val="right"/>
              <w:rPr>
                <w:b/>
                <w:bCs/>
              </w:rPr>
            </w:pPr>
            <w:r w:rsidRPr="00381751">
              <w:rPr>
                <w:b/>
                <w:bCs/>
              </w:rPr>
              <w:t>24,514</w:t>
            </w:r>
          </w:p>
        </w:tc>
        <w:tc>
          <w:tcPr>
            <w:tcW w:w="1106" w:type="dxa"/>
          </w:tcPr>
          <w:p w14:paraId="4A6A7C7E" w14:textId="55D5C0F3" w:rsidR="000756EB" w:rsidRPr="00381751" w:rsidRDefault="004A4D88" w:rsidP="00381751">
            <w:pPr>
              <w:pStyle w:val="TableCopy"/>
              <w:jc w:val="right"/>
              <w:rPr>
                <w:b/>
                <w:bCs/>
              </w:rPr>
            </w:pPr>
            <w:r w:rsidRPr="00381751">
              <w:rPr>
                <w:b/>
                <w:bCs/>
              </w:rPr>
              <w:t>1,967</w:t>
            </w:r>
          </w:p>
        </w:tc>
      </w:tr>
      <w:tr w:rsidR="000756EB" w:rsidRPr="00381751" w14:paraId="2DFE7FC5" w14:textId="77777777" w:rsidTr="00381751">
        <w:trPr>
          <w:trHeight w:val="113"/>
        </w:trPr>
        <w:tc>
          <w:tcPr>
            <w:tcW w:w="2689" w:type="dxa"/>
          </w:tcPr>
          <w:p w14:paraId="38C018CA" w14:textId="77777777" w:rsidR="000756EB" w:rsidRPr="00381751" w:rsidRDefault="004A4D88" w:rsidP="00381751">
            <w:pPr>
              <w:pStyle w:val="TableHeading"/>
              <w:rPr>
                <w:rFonts w:asciiTheme="minorHAnsi" w:hAnsiTheme="minorHAnsi" w:cstheme="minorHAnsi"/>
              </w:rPr>
            </w:pPr>
            <w:r w:rsidRPr="00381751">
              <w:rPr>
                <w:rFonts w:asciiTheme="minorHAnsi" w:hAnsiTheme="minorHAnsi" w:cstheme="minorHAnsi"/>
              </w:rPr>
              <w:t>2022</w:t>
            </w:r>
          </w:p>
        </w:tc>
        <w:tc>
          <w:tcPr>
            <w:tcW w:w="1104" w:type="dxa"/>
          </w:tcPr>
          <w:p w14:paraId="3C83C40A" w14:textId="77777777" w:rsidR="000756EB" w:rsidRPr="00381751" w:rsidRDefault="000756EB" w:rsidP="00381751">
            <w:pPr>
              <w:pStyle w:val="TableHeading"/>
              <w:jc w:val="right"/>
              <w:rPr>
                <w:rFonts w:asciiTheme="minorHAnsi" w:hAnsiTheme="minorHAnsi" w:cstheme="minorHAnsi"/>
                <w:lang w:val="en-AU"/>
              </w:rPr>
            </w:pPr>
          </w:p>
        </w:tc>
        <w:tc>
          <w:tcPr>
            <w:tcW w:w="1092" w:type="dxa"/>
          </w:tcPr>
          <w:p w14:paraId="2604987D" w14:textId="77777777" w:rsidR="000756EB" w:rsidRPr="00381751" w:rsidRDefault="000756EB" w:rsidP="00381751">
            <w:pPr>
              <w:pStyle w:val="TableHeading"/>
              <w:jc w:val="right"/>
              <w:rPr>
                <w:rFonts w:asciiTheme="minorHAnsi" w:hAnsiTheme="minorHAnsi" w:cstheme="minorHAnsi"/>
                <w:lang w:val="en-AU"/>
              </w:rPr>
            </w:pPr>
          </w:p>
        </w:tc>
        <w:tc>
          <w:tcPr>
            <w:tcW w:w="1105" w:type="dxa"/>
          </w:tcPr>
          <w:p w14:paraId="195AB99F" w14:textId="77777777" w:rsidR="000756EB" w:rsidRPr="00381751" w:rsidRDefault="000756EB" w:rsidP="00381751">
            <w:pPr>
              <w:pStyle w:val="TableHeading"/>
              <w:jc w:val="right"/>
              <w:rPr>
                <w:rFonts w:asciiTheme="minorHAnsi" w:hAnsiTheme="minorHAnsi" w:cstheme="minorHAnsi"/>
                <w:lang w:val="en-AU"/>
              </w:rPr>
            </w:pPr>
          </w:p>
        </w:tc>
        <w:tc>
          <w:tcPr>
            <w:tcW w:w="1106" w:type="dxa"/>
          </w:tcPr>
          <w:p w14:paraId="488FC3CE" w14:textId="77777777" w:rsidR="000756EB" w:rsidRPr="00381751" w:rsidRDefault="000756EB" w:rsidP="00381751">
            <w:pPr>
              <w:pStyle w:val="TableHeading"/>
              <w:jc w:val="right"/>
              <w:rPr>
                <w:rFonts w:asciiTheme="minorHAnsi" w:hAnsiTheme="minorHAnsi" w:cstheme="minorHAnsi"/>
                <w:lang w:val="en-AU"/>
              </w:rPr>
            </w:pPr>
          </w:p>
        </w:tc>
        <w:tc>
          <w:tcPr>
            <w:tcW w:w="1092" w:type="dxa"/>
          </w:tcPr>
          <w:p w14:paraId="4E5794C5" w14:textId="77777777" w:rsidR="000756EB" w:rsidRPr="00381751" w:rsidRDefault="000756EB" w:rsidP="00381751">
            <w:pPr>
              <w:pStyle w:val="TableHeading"/>
              <w:jc w:val="right"/>
              <w:rPr>
                <w:rFonts w:asciiTheme="minorHAnsi" w:hAnsiTheme="minorHAnsi" w:cstheme="minorHAnsi"/>
                <w:lang w:val="en-AU"/>
              </w:rPr>
            </w:pPr>
          </w:p>
        </w:tc>
        <w:tc>
          <w:tcPr>
            <w:tcW w:w="1092" w:type="dxa"/>
          </w:tcPr>
          <w:p w14:paraId="10F328BB" w14:textId="77777777" w:rsidR="000756EB" w:rsidRPr="00381751" w:rsidRDefault="000756EB" w:rsidP="00381751">
            <w:pPr>
              <w:pStyle w:val="TableHeading"/>
              <w:jc w:val="right"/>
              <w:rPr>
                <w:rFonts w:asciiTheme="minorHAnsi" w:hAnsiTheme="minorHAnsi" w:cstheme="minorHAnsi"/>
                <w:lang w:val="en-AU"/>
              </w:rPr>
            </w:pPr>
          </w:p>
        </w:tc>
        <w:tc>
          <w:tcPr>
            <w:tcW w:w="1106" w:type="dxa"/>
          </w:tcPr>
          <w:p w14:paraId="5B6E3545" w14:textId="77777777" w:rsidR="000756EB" w:rsidRPr="00381751" w:rsidRDefault="000756EB" w:rsidP="00381751">
            <w:pPr>
              <w:pStyle w:val="TableHeading"/>
              <w:jc w:val="right"/>
              <w:rPr>
                <w:rFonts w:asciiTheme="minorHAnsi" w:hAnsiTheme="minorHAnsi" w:cstheme="minorHAnsi"/>
                <w:lang w:val="en-AU"/>
              </w:rPr>
            </w:pPr>
          </w:p>
        </w:tc>
      </w:tr>
      <w:tr w:rsidR="000756EB" w14:paraId="7CF52714" w14:textId="77777777" w:rsidTr="00381751">
        <w:trPr>
          <w:trHeight w:val="113"/>
        </w:trPr>
        <w:tc>
          <w:tcPr>
            <w:tcW w:w="2689" w:type="dxa"/>
          </w:tcPr>
          <w:p w14:paraId="17786B08" w14:textId="1FA392C2" w:rsidR="000756EB" w:rsidRDefault="004A4D88" w:rsidP="00381751">
            <w:pPr>
              <w:pStyle w:val="TableCopy"/>
            </w:pPr>
            <w:r>
              <w:t>Lease</w:t>
            </w:r>
            <w:r w:rsidR="00A03629">
              <w:t xml:space="preserve"> </w:t>
            </w:r>
            <w:r>
              <w:t>liabilities</w:t>
            </w:r>
          </w:p>
        </w:tc>
        <w:tc>
          <w:tcPr>
            <w:tcW w:w="1104" w:type="dxa"/>
          </w:tcPr>
          <w:p w14:paraId="01AEC9CF" w14:textId="0458059E" w:rsidR="000756EB" w:rsidRDefault="004A4D88" w:rsidP="00381751">
            <w:pPr>
              <w:pStyle w:val="TableCopy"/>
              <w:jc w:val="right"/>
            </w:pPr>
            <w:r>
              <w:t>299,985</w:t>
            </w:r>
          </w:p>
        </w:tc>
        <w:tc>
          <w:tcPr>
            <w:tcW w:w="1092" w:type="dxa"/>
          </w:tcPr>
          <w:p w14:paraId="2980AAA5" w14:textId="3FDC41FC" w:rsidR="000756EB" w:rsidRDefault="004A4D88" w:rsidP="00381751">
            <w:pPr>
              <w:pStyle w:val="TableCopy"/>
              <w:jc w:val="right"/>
            </w:pPr>
            <w:r>
              <w:t>493,117</w:t>
            </w:r>
          </w:p>
        </w:tc>
        <w:tc>
          <w:tcPr>
            <w:tcW w:w="1105" w:type="dxa"/>
          </w:tcPr>
          <w:p w14:paraId="481F485F" w14:textId="7FDC343D" w:rsidR="000756EB" w:rsidRDefault="004A4D88" w:rsidP="00381751">
            <w:pPr>
              <w:pStyle w:val="TableCopy"/>
              <w:jc w:val="right"/>
            </w:pPr>
            <w:r>
              <w:t>7,142</w:t>
            </w:r>
          </w:p>
        </w:tc>
        <w:tc>
          <w:tcPr>
            <w:tcW w:w="1106" w:type="dxa"/>
          </w:tcPr>
          <w:p w14:paraId="7328397A" w14:textId="3DCD043E" w:rsidR="000756EB" w:rsidRDefault="004A4D88" w:rsidP="00381751">
            <w:pPr>
              <w:pStyle w:val="TableCopy"/>
              <w:jc w:val="right"/>
            </w:pPr>
            <w:r>
              <w:t>6,998</w:t>
            </w:r>
          </w:p>
        </w:tc>
        <w:tc>
          <w:tcPr>
            <w:tcW w:w="1092" w:type="dxa"/>
          </w:tcPr>
          <w:p w14:paraId="6931FCC5" w14:textId="7D289091" w:rsidR="000756EB" w:rsidRDefault="004A4D88" w:rsidP="00381751">
            <w:pPr>
              <w:pStyle w:val="TableCopy"/>
              <w:jc w:val="right"/>
            </w:pPr>
            <w:r>
              <w:t>28,173</w:t>
            </w:r>
          </w:p>
        </w:tc>
        <w:tc>
          <w:tcPr>
            <w:tcW w:w="1092" w:type="dxa"/>
          </w:tcPr>
          <w:p w14:paraId="3DBB10B8" w14:textId="183F06E9" w:rsidR="000756EB" w:rsidRDefault="004A4D88" w:rsidP="00381751">
            <w:pPr>
              <w:pStyle w:val="TableCopy"/>
              <w:jc w:val="right"/>
            </w:pPr>
            <w:r>
              <w:t>144,143</w:t>
            </w:r>
          </w:p>
        </w:tc>
        <w:tc>
          <w:tcPr>
            <w:tcW w:w="1106" w:type="dxa"/>
          </w:tcPr>
          <w:p w14:paraId="4C7D460C" w14:textId="44F8D26A" w:rsidR="000756EB" w:rsidRDefault="004A4D88" w:rsidP="00381751">
            <w:pPr>
              <w:pStyle w:val="TableCopy"/>
              <w:jc w:val="right"/>
            </w:pPr>
            <w:r>
              <w:t>306,662</w:t>
            </w:r>
          </w:p>
        </w:tc>
      </w:tr>
      <w:tr w:rsidR="000756EB" w14:paraId="73389681" w14:textId="77777777" w:rsidTr="00381751">
        <w:trPr>
          <w:trHeight w:val="113"/>
        </w:trPr>
        <w:tc>
          <w:tcPr>
            <w:tcW w:w="2689" w:type="dxa"/>
          </w:tcPr>
          <w:p w14:paraId="63E9199B" w14:textId="1A821723" w:rsidR="000756EB" w:rsidRDefault="004A4D88" w:rsidP="00381751">
            <w:pPr>
              <w:pStyle w:val="TableCopy"/>
            </w:pPr>
            <w:r>
              <w:t>Advances</w:t>
            </w:r>
            <w:r w:rsidR="00A03629">
              <w:t xml:space="preserve"> </w:t>
            </w:r>
            <w:r>
              <w:t>from</w:t>
            </w:r>
            <w:r w:rsidR="00A03629">
              <w:t xml:space="preserve"> </w:t>
            </w:r>
            <w:r>
              <w:t>government</w:t>
            </w:r>
          </w:p>
        </w:tc>
        <w:tc>
          <w:tcPr>
            <w:tcW w:w="1104" w:type="dxa"/>
          </w:tcPr>
          <w:p w14:paraId="00884C85" w14:textId="18AD0813" w:rsidR="000756EB" w:rsidRDefault="004A4D88" w:rsidP="00381751">
            <w:pPr>
              <w:pStyle w:val="TableCopy"/>
              <w:jc w:val="right"/>
            </w:pPr>
            <w:r>
              <w:t>62,752</w:t>
            </w:r>
          </w:p>
        </w:tc>
        <w:tc>
          <w:tcPr>
            <w:tcW w:w="1092" w:type="dxa"/>
          </w:tcPr>
          <w:p w14:paraId="07EC2B70" w14:textId="411B7308" w:rsidR="000756EB" w:rsidRDefault="004A4D88" w:rsidP="00381751">
            <w:pPr>
              <w:pStyle w:val="TableCopy"/>
              <w:jc w:val="right"/>
            </w:pPr>
            <w:r>
              <w:t>62,752</w:t>
            </w:r>
          </w:p>
        </w:tc>
        <w:tc>
          <w:tcPr>
            <w:tcW w:w="1105" w:type="dxa"/>
          </w:tcPr>
          <w:p w14:paraId="0A4B261C" w14:textId="5518C13D" w:rsidR="000756EB" w:rsidRDefault="004A4D88" w:rsidP="00381751">
            <w:pPr>
              <w:pStyle w:val="TableCopy"/>
              <w:jc w:val="right"/>
            </w:pPr>
            <w:r>
              <w:t>55,807</w:t>
            </w:r>
          </w:p>
        </w:tc>
        <w:tc>
          <w:tcPr>
            <w:tcW w:w="1106" w:type="dxa"/>
          </w:tcPr>
          <w:p w14:paraId="0001A48E" w14:textId="4B37A5D8" w:rsidR="000756EB" w:rsidRDefault="004A4D88" w:rsidP="00381751">
            <w:pPr>
              <w:pStyle w:val="TableCopy"/>
              <w:jc w:val="right"/>
            </w:pPr>
            <w:r>
              <w:t>–</w:t>
            </w:r>
          </w:p>
        </w:tc>
        <w:tc>
          <w:tcPr>
            <w:tcW w:w="1092" w:type="dxa"/>
          </w:tcPr>
          <w:p w14:paraId="5A128309" w14:textId="30E23440" w:rsidR="000756EB" w:rsidRDefault="004A4D88" w:rsidP="00381751">
            <w:pPr>
              <w:pStyle w:val="TableCopy"/>
              <w:jc w:val="right"/>
            </w:pPr>
            <w:r>
              <w:t>2,559</w:t>
            </w:r>
          </w:p>
        </w:tc>
        <w:tc>
          <w:tcPr>
            <w:tcW w:w="1092" w:type="dxa"/>
          </w:tcPr>
          <w:p w14:paraId="1339CF3F" w14:textId="70FB3A7D" w:rsidR="000756EB" w:rsidRDefault="004A4D88" w:rsidP="00381751">
            <w:pPr>
              <w:pStyle w:val="TableCopy"/>
              <w:jc w:val="right"/>
            </w:pPr>
            <w:r>
              <w:t>4,386</w:t>
            </w:r>
          </w:p>
        </w:tc>
        <w:tc>
          <w:tcPr>
            <w:tcW w:w="1106" w:type="dxa"/>
          </w:tcPr>
          <w:p w14:paraId="2BD05AD0" w14:textId="1C807FD3" w:rsidR="000756EB" w:rsidRDefault="004A4D88" w:rsidP="00381751">
            <w:pPr>
              <w:pStyle w:val="TableCopy"/>
              <w:jc w:val="right"/>
            </w:pPr>
            <w:r>
              <w:t>–</w:t>
            </w:r>
          </w:p>
        </w:tc>
      </w:tr>
      <w:tr w:rsidR="000756EB" w14:paraId="59529800" w14:textId="77777777" w:rsidTr="00381751">
        <w:trPr>
          <w:trHeight w:val="113"/>
        </w:trPr>
        <w:tc>
          <w:tcPr>
            <w:tcW w:w="2689" w:type="dxa"/>
          </w:tcPr>
          <w:p w14:paraId="5CF2D4DD" w14:textId="72CF5343" w:rsidR="000756EB" w:rsidRDefault="004A4D88" w:rsidP="00381751">
            <w:pPr>
              <w:pStyle w:val="TableCopy"/>
            </w:pPr>
            <w:r>
              <w:t>Advances</w:t>
            </w:r>
            <w:r w:rsidR="00A03629">
              <w:t xml:space="preserve"> </w:t>
            </w:r>
            <w:r>
              <w:t>from</w:t>
            </w:r>
            <w:r w:rsidR="00A03629">
              <w:t xml:space="preserve"> </w:t>
            </w:r>
            <w:r>
              <w:t>Commonwealth</w:t>
            </w:r>
          </w:p>
        </w:tc>
        <w:tc>
          <w:tcPr>
            <w:tcW w:w="1104" w:type="dxa"/>
          </w:tcPr>
          <w:p w14:paraId="6ADD01D1" w14:textId="08B48504" w:rsidR="000756EB" w:rsidRDefault="004A4D88" w:rsidP="00381751">
            <w:pPr>
              <w:pStyle w:val="TableCopy"/>
              <w:jc w:val="right"/>
            </w:pPr>
            <w:r>
              <w:t>142,767</w:t>
            </w:r>
          </w:p>
        </w:tc>
        <w:tc>
          <w:tcPr>
            <w:tcW w:w="1092" w:type="dxa"/>
          </w:tcPr>
          <w:p w14:paraId="3B9B9F78" w14:textId="105FA93F" w:rsidR="000756EB" w:rsidRDefault="004A4D88" w:rsidP="00381751">
            <w:pPr>
              <w:pStyle w:val="TableCopy"/>
              <w:jc w:val="right"/>
            </w:pPr>
            <w:r>
              <w:t>142,767</w:t>
            </w:r>
          </w:p>
        </w:tc>
        <w:tc>
          <w:tcPr>
            <w:tcW w:w="1105" w:type="dxa"/>
          </w:tcPr>
          <w:p w14:paraId="5C4191D6" w14:textId="40EC919B" w:rsidR="000756EB" w:rsidRDefault="004A4D88" w:rsidP="00381751">
            <w:pPr>
              <w:pStyle w:val="TableCopy"/>
              <w:jc w:val="right"/>
            </w:pPr>
            <w:r>
              <w:t>5,350</w:t>
            </w:r>
          </w:p>
        </w:tc>
        <w:tc>
          <w:tcPr>
            <w:tcW w:w="1106" w:type="dxa"/>
          </w:tcPr>
          <w:p w14:paraId="5A84B760" w14:textId="4E9AB83B" w:rsidR="000756EB" w:rsidRDefault="004A4D88" w:rsidP="00381751">
            <w:pPr>
              <w:pStyle w:val="TableCopy"/>
              <w:jc w:val="right"/>
            </w:pPr>
            <w:r>
              <w:t>633</w:t>
            </w:r>
          </w:p>
        </w:tc>
        <w:tc>
          <w:tcPr>
            <w:tcW w:w="1092" w:type="dxa"/>
          </w:tcPr>
          <w:p w14:paraId="307BC8A6" w14:textId="209A8FDE" w:rsidR="000756EB" w:rsidRDefault="004A4D88" w:rsidP="00381751">
            <w:pPr>
              <w:pStyle w:val="TableCopy"/>
              <w:jc w:val="right"/>
            </w:pPr>
            <w:r>
              <w:t>621</w:t>
            </w:r>
          </w:p>
        </w:tc>
        <w:tc>
          <w:tcPr>
            <w:tcW w:w="1092" w:type="dxa"/>
          </w:tcPr>
          <w:p w14:paraId="17CD5BED" w14:textId="648E08B8" w:rsidR="000756EB" w:rsidRDefault="004A4D88" w:rsidP="00381751">
            <w:pPr>
              <w:pStyle w:val="TableCopy"/>
              <w:jc w:val="right"/>
            </w:pPr>
            <w:r>
              <w:t>51,133</w:t>
            </w:r>
          </w:p>
        </w:tc>
        <w:tc>
          <w:tcPr>
            <w:tcW w:w="1106" w:type="dxa"/>
          </w:tcPr>
          <w:p w14:paraId="3C4C61D9" w14:textId="37F16937" w:rsidR="000756EB" w:rsidRDefault="004A4D88" w:rsidP="00381751">
            <w:pPr>
              <w:pStyle w:val="TableCopy"/>
              <w:jc w:val="right"/>
            </w:pPr>
            <w:r>
              <w:t>85,030</w:t>
            </w:r>
          </w:p>
        </w:tc>
      </w:tr>
      <w:tr w:rsidR="000756EB" w:rsidRPr="00381751" w14:paraId="3B80A492" w14:textId="77777777" w:rsidTr="00381751">
        <w:trPr>
          <w:trHeight w:val="113"/>
        </w:trPr>
        <w:tc>
          <w:tcPr>
            <w:tcW w:w="2689" w:type="dxa"/>
          </w:tcPr>
          <w:p w14:paraId="509E0D7E" w14:textId="77777777" w:rsidR="000756EB" w:rsidRPr="00381751" w:rsidRDefault="004A4D88" w:rsidP="00381751">
            <w:pPr>
              <w:pStyle w:val="TableCopy"/>
              <w:rPr>
                <w:b/>
                <w:bCs/>
              </w:rPr>
            </w:pPr>
            <w:r w:rsidRPr="00381751">
              <w:rPr>
                <w:b/>
                <w:bCs/>
              </w:rPr>
              <w:t>Total</w:t>
            </w:r>
          </w:p>
        </w:tc>
        <w:tc>
          <w:tcPr>
            <w:tcW w:w="1104" w:type="dxa"/>
          </w:tcPr>
          <w:p w14:paraId="5A787E47" w14:textId="435E2BD0" w:rsidR="000756EB" w:rsidRPr="00381751" w:rsidRDefault="004A4D88" w:rsidP="00381751">
            <w:pPr>
              <w:pStyle w:val="TableCopy"/>
              <w:jc w:val="right"/>
              <w:rPr>
                <w:b/>
                <w:bCs/>
              </w:rPr>
            </w:pPr>
            <w:r w:rsidRPr="00381751">
              <w:rPr>
                <w:b/>
                <w:bCs/>
              </w:rPr>
              <w:t>505,504</w:t>
            </w:r>
          </w:p>
        </w:tc>
        <w:tc>
          <w:tcPr>
            <w:tcW w:w="1092" w:type="dxa"/>
          </w:tcPr>
          <w:p w14:paraId="5B914C06" w14:textId="0EC39352" w:rsidR="000756EB" w:rsidRPr="00381751" w:rsidRDefault="004A4D88" w:rsidP="00381751">
            <w:pPr>
              <w:pStyle w:val="TableCopy"/>
              <w:jc w:val="right"/>
              <w:rPr>
                <w:b/>
                <w:bCs/>
              </w:rPr>
            </w:pPr>
            <w:r w:rsidRPr="00381751">
              <w:rPr>
                <w:b/>
                <w:bCs/>
              </w:rPr>
              <w:t>698,636</w:t>
            </w:r>
          </w:p>
        </w:tc>
        <w:tc>
          <w:tcPr>
            <w:tcW w:w="1105" w:type="dxa"/>
          </w:tcPr>
          <w:p w14:paraId="701E6109" w14:textId="7FF77293" w:rsidR="000756EB" w:rsidRPr="00381751" w:rsidRDefault="004A4D88" w:rsidP="00381751">
            <w:pPr>
              <w:pStyle w:val="TableCopy"/>
              <w:jc w:val="right"/>
              <w:rPr>
                <w:b/>
                <w:bCs/>
              </w:rPr>
            </w:pPr>
            <w:r w:rsidRPr="00381751">
              <w:rPr>
                <w:b/>
                <w:bCs/>
              </w:rPr>
              <w:t>68,299</w:t>
            </w:r>
          </w:p>
        </w:tc>
        <w:tc>
          <w:tcPr>
            <w:tcW w:w="1106" w:type="dxa"/>
          </w:tcPr>
          <w:p w14:paraId="587D94D2" w14:textId="52F35DAC" w:rsidR="000756EB" w:rsidRPr="00381751" w:rsidRDefault="004A4D88" w:rsidP="00381751">
            <w:pPr>
              <w:pStyle w:val="TableCopy"/>
              <w:jc w:val="right"/>
              <w:rPr>
                <w:b/>
                <w:bCs/>
              </w:rPr>
            </w:pPr>
            <w:r w:rsidRPr="00381751">
              <w:rPr>
                <w:b/>
                <w:bCs/>
              </w:rPr>
              <w:t>7,631</w:t>
            </w:r>
          </w:p>
        </w:tc>
        <w:tc>
          <w:tcPr>
            <w:tcW w:w="1092" w:type="dxa"/>
          </w:tcPr>
          <w:p w14:paraId="64C3348C" w14:textId="5D5D7B74" w:rsidR="000756EB" w:rsidRPr="00381751" w:rsidRDefault="004A4D88" w:rsidP="00381751">
            <w:pPr>
              <w:pStyle w:val="TableCopy"/>
              <w:jc w:val="right"/>
              <w:rPr>
                <w:b/>
                <w:bCs/>
              </w:rPr>
            </w:pPr>
            <w:r w:rsidRPr="00381751">
              <w:rPr>
                <w:b/>
                <w:bCs/>
              </w:rPr>
              <w:t>31,353</w:t>
            </w:r>
          </w:p>
        </w:tc>
        <w:tc>
          <w:tcPr>
            <w:tcW w:w="1092" w:type="dxa"/>
          </w:tcPr>
          <w:p w14:paraId="2FC3CD28" w14:textId="66560786" w:rsidR="000756EB" w:rsidRPr="00381751" w:rsidRDefault="004A4D88" w:rsidP="00381751">
            <w:pPr>
              <w:pStyle w:val="TableCopy"/>
              <w:jc w:val="right"/>
              <w:rPr>
                <w:b/>
                <w:bCs/>
              </w:rPr>
            </w:pPr>
            <w:r w:rsidRPr="00381751">
              <w:rPr>
                <w:b/>
                <w:bCs/>
              </w:rPr>
              <w:t>199,662</w:t>
            </w:r>
          </w:p>
        </w:tc>
        <w:tc>
          <w:tcPr>
            <w:tcW w:w="1106" w:type="dxa"/>
          </w:tcPr>
          <w:p w14:paraId="05A23966" w14:textId="0D6B9F96" w:rsidR="000756EB" w:rsidRPr="00381751" w:rsidRDefault="004A4D88" w:rsidP="00381751">
            <w:pPr>
              <w:pStyle w:val="TableCopy"/>
              <w:jc w:val="right"/>
              <w:rPr>
                <w:b/>
                <w:bCs/>
              </w:rPr>
            </w:pPr>
            <w:r w:rsidRPr="00381751">
              <w:rPr>
                <w:b/>
                <w:bCs/>
              </w:rPr>
              <w:t>391,692</w:t>
            </w:r>
          </w:p>
        </w:tc>
      </w:tr>
    </w:tbl>
    <w:p w14:paraId="02E8C02F" w14:textId="31048C57" w:rsidR="000756EB" w:rsidRDefault="00381751" w:rsidP="00381751">
      <w:pPr>
        <w:pStyle w:val="FootnoteText"/>
        <w:spacing w:before="120" w:after="280"/>
      </w:pPr>
      <w:r w:rsidRPr="00381751">
        <w:t>(</w:t>
      </w:r>
      <w:proofErr w:type="spellStart"/>
      <w:r w:rsidRPr="00381751">
        <w:t>i</w:t>
      </w:r>
      <w:proofErr w:type="spellEnd"/>
      <w:r>
        <w:t>) Maturity analysis is presented using the contractual and discounted cash flow.</w:t>
      </w:r>
    </w:p>
    <w:p w14:paraId="3B34F919" w14:textId="1CDEA605" w:rsidR="000756EB" w:rsidRDefault="004A4D88" w:rsidP="00381751">
      <w:pPr>
        <w:pStyle w:val="Heading2"/>
      </w:pPr>
      <w:bookmarkStart w:id="92" w:name="_Toc149911826"/>
      <w:r>
        <w:lastRenderedPageBreak/>
        <w:t>7.2</w:t>
      </w:r>
      <w:r w:rsidR="00DE38B5">
        <w:t xml:space="preserve"> </w:t>
      </w:r>
      <w:r>
        <w:t>Leases</w:t>
      </w:r>
      <w:bookmarkEnd w:id="92"/>
    </w:p>
    <w:p w14:paraId="7A451ACE" w14:textId="2A1B831B" w:rsidR="000756EB" w:rsidRDefault="004A4D88" w:rsidP="00381751">
      <w:pPr>
        <w:pStyle w:val="Heading3"/>
      </w:pPr>
      <w:r>
        <w:t>7.2.1</w:t>
      </w:r>
      <w:r w:rsidR="00DE38B5">
        <w:t xml:space="preserve"> </w:t>
      </w:r>
      <w:r>
        <w:t>Leases</w:t>
      </w:r>
    </w:p>
    <w:p w14:paraId="48225229" w14:textId="42767C15" w:rsidR="000756EB" w:rsidRDefault="004A4D88" w:rsidP="00381751">
      <w:r>
        <w:t>Information</w:t>
      </w:r>
      <w:r w:rsidR="00A03629">
        <w:t xml:space="preserve"> </w:t>
      </w:r>
      <w:r>
        <w:t>about</w:t>
      </w:r>
      <w:r w:rsidR="00A03629">
        <w:t xml:space="preserve"> </w:t>
      </w:r>
      <w:r>
        <w:t>leases</w:t>
      </w:r>
      <w:r w:rsidR="00A03629">
        <w:t xml:space="preserve"> </w:t>
      </w:r>
      <w:r>
        <w:t>for</w:t>
      </w:r>
      <w:r w:rsidR="00A03629">
        <w:t xml:space="preserve"> </w:t>
      </w:r>
      <w:r>
        <w:t>which</w:t>
      </w:r>
      <w:r w:rsidR="00A03629">
        <w:t xml:space="preserve"> </w:t>
      </w:r>
      <w:r>
        <w:t>DJSIR</w:t>
      </w:r>
      <w:r w:rsidR="00A03629">
        <w:t xml:space="preserve"> </w:t>
      </w:r>
      <w:r>
        <w:t>is</w:t>
      </w:r>
      <w:r w:rsidR="00A03629">
        <w:t xml:space="preserve"> </w:t>
      </w:r>
      <w:r>
        <w:t>a</w:t>
      </w:r>
      <w:r w:rsidR="00A03629">
        <w:t xml:space="preserve"> </w:t>
      </w:r>
      <w:r>
        <w:t>lessee</w:t>
      </w:r>
      <w:r w:rsidR="00A03629">
        <w:t xml:space="preserve"> </w:t>
      </w:r>
      <w:r>
        <w:t>is</w:t>
      </w:r>
      <w:r w:rsidR="00A03629">
        <w:t xml:space="preserve"> </w:t>
      </w:r>
      <w:r>
        <w:t>presented</w:t>
      </w:r>
      <w:r w:rsidR="00A03629">
        <w:t xml:space="preserve"> </w:t>
      </w:r>
      <w:r>
        <w:t>below.</w:t>
      </w:r>
    </w:p>
    <w:p w14:paraId="67B6DC83" w14:textId="6BBCDBE9" w:rsidR="000756EB" w:rsidRPr="00381751" w:rsidRDefault="004A4D88" w:rsidP="00381751">
      <w:pPr>
        <w:pStyle w:val="Normalbeforebullets"/>
        <w:rPr>
          <w:b/>
          <w:bCs/>
        </w:rPr>
      </w:pPr>
      <w:r w:rsidRPr="00381751">
        <w:rPr>
          <w:b/>
          <w:bCs/>
        </w:rPr>
        <w:t>DJSIR’s</w:t>
      </w:r>
      <w:r w:rsidR="00A03629" w:rsidRPr="00381751">
        <w:rPr>
          <w:b/>
          <w:bCs/>
        </w:rPr>
        <w:t xml:space="preserve"> </w:t>
      </w:r>
      <w:r w:rsidRPr="00381751">
        <w:rPr>
          <w:b/>
          <w:bCs/>
        </w:rPr>
        <w:t>leasing</w:t>
      </w:r>
      <w:r w:rsidR="00A03629" w:rsidRPr="00381751">
        <w:rPr>
          <w:b/>
          <w:bCs/>
        </w:rPr>
        <w:t xml:space="preserve"> </w:t>
      </w:r>
      <w:r w:rsidRPr="00381751">
        <w:rPr>
          <w:b/>
          <w:bCs/>
        </w:rPr>
        <w:t>activities</w:t>
      </w:r>
    </w:p>
    <w:p w14:paraId="6D3683D3" w14:textId="7C678E0E" w:rsidR="000756EB" w:rsidRDefault="004A4D88" w:rsidP="00381751">
      <w:r>
        <w:t>DJSIR</w:t>
      </w:r>
      <w:r w:rsidR="00A03629">
        <w:t xml:space="preserve"> </w:t>
      </w:r>
      <w:r>
        <w:t>leases</w:t>
      </w:r>
      <w:r w:rsidR="00A03629">
        <w:t xml:space="preserve"> </w:t>
      </w:r>
      <w:r>
        <w:t>various</w:t>
      </w:r>
      <w:r w:rsidR="00A03629">
        <w:t xml:space="preserve"> </w:t>
      </w:r>
      <w:r>
        <w:t>properties</w:t>
      </w:r>
      <w:r w:rsidR="00A03629">
        <w:t xml:space="preserve"> </w:t>
      </w:r>
      <w:r>
        <w:t>and</w:t>
      </w:r>
      <w:r w:rsidR="00A03629">
        <w:t xml:space="preserve"> </w:t>
      </w:r>
      <w:r>
        <w:t>motor</w:t>
      </w:r>
      <w:r w:rsidR="00A03629">
        <w:t xml:space="preserve"> </w:t>
      </w:r>
      <w:r>
        <w:t>vehicles.</w:t>
      </w:r>
      <w:r w:rsidR="00A03629">
        <w:t xml:space="preserve"> </w:t>
      </w:r>
      <w:r>
        <w:t>The</w:t>
      </w:r>
      <w:r w:rsidR="00A03629">
        <w:t xml:space="preserve"> </w:t>
      </w:r>
      <w:r>
        <w:t>lease</w:t>
      </w:r>
      <w:r w:rsidR="00A03629">
        <w:t xml:space="preserve"> </w:t>
      </w:r>
      <w:r>
        <w:t>contract</w:t>
      </w:r>
      <w:r w:rsidR="00A03629">
        <w:t xml:space="preserve"> </w:t>
      </w:r>
      <w:proofErr w:type="gramStart"/>
      <w:r>
        <w:t>are</w:t>
      </w:r>
      <w:proofErr w:type="gramEnd"/>
      <w:r w:rsidR="00A03629">
        <w:t xml:space="preserve"> </w:t>
      </w:r>
      <w:r>
        <w:t>typically</w:t>
      </w:r>
      <w:r w:rsidR="00A03629">
        <w:t xml:space="preserve"> </w:t>
      </w:r>
      <w:r>
        <w:t>made</w:t>
      </w:r>
      <w:r w:rsidR="00A03629">
        <w:t xml:space="preserve"> </w:t>
      </w:r>
      <w:r>
        <w:t>for</w:t>
      </w:r>
      <w:r w:rsidR="00A03629">
        <w:t xml:space="preserve"> </w:t>
      </w:r>
      <w:r>
        <w:t>fixed</w:t>
      </w:r>
      <w:r w:rsidR="00A03629">
        <w:t xml:space="preserve"> </w:t>
      </w:r>
      <w:r>
        <w:t>periods</w:t>
      </w:r>
      <w:r w:rsidR="00A03629">
        <w:t xml:space="preserve"> </w:t>
      </w:r>
      <w:r>
        <w:t>of</w:t>
      </w:r>
      <w:r w:rsidR="00A03629">
        <w:rPr>
          <w:rFonts w:ascii="Cambria" w:hAnsi="Cambria" w:cs="Cambria"/>
        </w:rPr>
        <w:t xml:space="preserve"> </w:t>
      </w:r>
      <w:r>
        <w:t>1-10</w:t>
      </w:r>
      <w:r w:rsidR="00A03629">
        <w:t xml:space="preserve"> </w:t>
      </w:r>
      <w:r>
        <w:t>years</w:t>
      </w:r>
      <w:r w:rsidR="00A03629">
        <w:t xml:space="preserve"> </w:t>
      </w:r>
      <w:r>
        <w:t>with</w:t>
      </w:r>
      <w:r w:rsidR="00A03629">
        <w:t xml:space="preserve"> </w:t>
      </w:r>
      <w:r>
        <w:t>an</w:t>
      </w:r>
      <w:r w:rsidR="00A03629">
        <w:t xml:space="preserve"> </w:t>
      </w:r>
      <w:r>
        <w:t>option</w:t>
      </w:r>
      <w:r w:rsidR="00A03629">
        <w:t xml:space="preserve"> </w:t>
      </w:r>
      <w:r>
        <w:t>to</w:t>
      </w:r>
      <w:r w:rsidR="00A03629">
        <w:t xml:space="preserve"> </w:t>
      </w:r>
      <w:r>
        <w:t>renew</w:t>
      </w:r>
      <w:r w:rsidR="00A03629">
        <w:t xml:space="preserve"> </w:t>
      </w:r>
      <w:r>
        <w:t>the</w:t>
      </w:r>
      <w:r w:rsidR="00A03629">
        <w:t xml:space="preserve"> </w:t>
      </w:r>
      <w:r>
        <w:t>lease</w:t>
      </w:r>
      <w:r w:rsidR="00A03629">
        <w:t xml:space="preserve"> </w:t>
      </w:r>
      <w:r>
        <w:t>after</w:t>
      </w:r>
      <w:r w:rsidR="00A03629">
        <w:t xml:space="preserve"> </w:t>
      </w:r>
      <w:r>
        <w:t>that</w:t>
      </w:r>
      <w:r w:rsidR="00A03629">
        <w:t xml:space="preserve"> </w:t>
      </w:r>
      <w:r>
        <w:t>date.</w:t>
      </w:r>
      <w:r w:rsidR="00A03629">
        <w:t xml:space="preserve"> </w:t>
      </w:r>
      <w:r>
        <w:t>Lease</w:t>
      </w:r>
      <w:r w:rsidR="00A03629">
        <w:t xml:space="preserve"> </w:t>
      </w:r>
      <w:r>
        <w:t>payments</w:t>
      </w:r>
      <w:r w:rsidR="00A03629">
        <w:t xml:space="preserve"> </w:t>
      </w:r>
      <w:r>
        <w:t>are</w:t>
      </w:r>
      <w:r w:rsidR="00A03629">
        <w:t xml:space="preserve"> </w:t>
      </w:r>
      <w:r>
        <w:t>renegotiated</w:t>
      </w:r>
      <w:r w:rsidR="00A03629">
        <w:t xml:space="preserve"> </w:t>
      </w:r>
      <w:r>
        <w:t>every</w:t>
      </w:r>
      <w:r w:rsidR="00A03629">
        <w:t xml:space="preserve"> </w:t>
      </w:r>
      <w:r>
        <w:t>five</w:t>
      </w:r>
      <w:r w:rsidR="00A03629">
        <w:t xml:space="preserve"> </w:t>
      </w:r>
      <w:r>
        <w:t>years</w:t>
      </w:r>
      <w:r w:rsidR="00A03629">
        <w:t xml:space="preserve"> </w:t>
      </w:r>
      <w:r>
        <w:t>to</w:t>
      </w:r>
      <w:r w:rsidR="00A03629">
        <w:t xml:space="preserve"> </w:t>
      </w:r>
      <w:r>
        <w:t>reflect</w:t>
      </w:r>
      <w:r w:rsidR="00A03629">
        <w:t xml:space="preserve"> </w:t>
      </w:r>
      <w:r>
        <w:t>market</w:t>
      </w:r>
      <w:r w:rsidR="00A03629">
        <w:t xml:space="preserve"> </w:t>
      </w:r>
      <w:r>
        <w:t>rentals.</w:t>
      </w:r>
    </w:p>
    <w:p w14:paraId="5F6C279E" w14:textId="0A678E38" w:rsidR="000756EB" w:rsidRDefault="004A4D88" w:rsidP="00381751">
      <w:pPr>
        <w:pStyle w:val="Heading3"/>
      </w:pPr>
      <w:r>
        <w:t>7.2.1</w:t>
      </w:r>
      <w:r w:rsidR="00A03629">
        <w:t xml:space="preserve"> </w:t>
      </w:r>
      <w:r>
        <w:t>(a)</w:t>
      </w:r>
      <w:r w:rsidR="00DE38B5">
        <w:t xml:space="preserve"> </w:t>
      </w:r>
      <w:r>
        <w:t>Right-of-use</w:t>
      </w:r>
      <w:r w:rsidR="00A03629">
        <w:t xml:space="preserve"> </w:t>
      </w:r>
      <w:r>
        <w:t>assets</w:t>
      </w:r>
    </w:p>
    <w:p w14:paraId="5338BCE0" w14:textId="43C1ACE5" w:rsidR="000756EB" w:rsidRDefault="004A4D88" w:rsidP="00381751">
      <w:r>
        <w:t>Right-of-use</w:t>
      </w:r>
      <w:r w:rsidR="00A03629">
        <w:t xml:space="preserve"> </w:t>
      </w:r>
      <w:r>
        <w:t>assets</w:t>
      </w:r>
      <w:r w:rsidR="00A03629">
        <w:t xml:space="preserve"> </w:t>
      </w:r>
      <w:r>
        <w:t>are</w:t>
      </w:r>
      <w:r w:rsidR="00A03629">
        <w:t xml:space="preserve"> </w:t>
      </w:r>
      <w:r>
        <w:t>presented</w:t>
      </w:r>
      <w:r w:rsidR="00A03629">
        <w:t xml:space="preserve"> </w:t>
      </w:r>
      <w:r>
        <w:t>in</w:t>
      </w:r>
      <w:r w:rsidR="00A03629">
        <w:t xml:space="preserve"> </w:t>
      </w:r>
      <w:r>
        <w:t>Note</w:t>
      </w:r>
      <w:r w:rsidR="00A03629">
        <w:t xml:space="preserve"> </w:t>
      </w:r>
      <w:r>
        <w:t>5.1.1</w:t>
      </w:r>
    </w:p>
    <w:p w14:paraId="42B2CD78" w14:textId="24BA5F15" w:rsidR="000756EB" w:rsidRDefault="004A4D88" w:rsidP="00381751">
      <w:pPr>
        <w:pStyle w:val="Heading3"/>
      </w:pPr>
      <w:r>
        <w:t>7.2.1</w:t>
      </w:r>
      <w:r w:rsidR="00A03629">
        <w:t xml:space="preserve"> </w:t>
      </w:r>
      <w:r>
        <w:t>(b)</w:t>
      </w:r>
      <w:r w:rsidR="00DE38B5">
        <w:t xml:space="preserve"> </w:t>
      </w:r>
      <w:r>
        <w:t>Amounts</w:t>
      </w:r>
      <w:r w:rsidR="00A03629">
        <w:t xml:space="preserve"> </w:t>
      </w:r>
      <w:r>
        <w:t>recognised</w:t>
      </w:r>
      <w:r w:rsidR="00A03629">
        <w:t xml:space="preserve"> </w:t>
      </w:r>
      <w:r>
        <w:t>in</w:t>
      </w:r>
      <w:r w:rsidR="00A03629">
        <w:t xml:space="preserve"> </w:t>
      </w:r>
      <w:r>
        <w:t>the</w:t>
      </w:r>
      <w:r w:rsidR="00A03629">
        <w:t xml:space="preserve"> </w:t>
      </w:r>
      <w:r>
        <w:t>comprehensive</w:t>
      </w:r>
      <w:r w:rsidR="00A03629">
        <w:t xml:space="preserve"> </w:t>
      </w:r>
      <w:r>
        <w:t>operating</w:t>
      </w:r>
      <w:r w:rsidR="00A03629">
        <w:t xml:space="preserve"> </w:t>
      </w:r>
      <w:r>
        <w:t>statement</w:t>
      </w:r>
    </w:p>
    <w:p w14:paraId="6081443E" w14:textId="7B78FBAE" w:rsidR="000756EB" w:rsidRDefault="004A4D88" w:rsidP="00381751">
      <w:pPr>
        <w:pStyle w:val="Normalbeforebullets"/>
      </w:pPr>
      <w:r>
        <w:t>The</w:t>
      </w:r>
      <w:r w:rsidR="00A03629">
        <w:t xml:space="preserve"> </w:t>
      </w:r>
      <w:r>
        <w:t>following</w:t>
      </w:r>
      <w:r w:rsidR="00A03629">
        <w:t xml:space="preserve"> </w:t>
      </w:r>
      <w:r>
        <w:t>amounts</w:t>
      </w:r>
      <w:r w:rsidR="00A03629">
        <w:t xml:space="preserve"> </w:t>
      </w:r>
      <w:r>
        <w:t>are</w:t>
      </w:r>
      <w:r w:rsidR="00A03629">
        <w:t xml:space="preserve"> </w:t>
      </w:r>
      <w:r>
        <w:t>recognised</w:t>
      </w:r>
      <w:r w:rsidR="00A03629">
        <w:t xml:space="preserve"> </w:t>
      </w:r>
      <w:r>
        <w:t>in</w:t>
      </w:r>
      <w:r w:rsidR="00A03629">
        <w:t xml:space="preserve"> </w:t>
      </w:r>
      <w:r>
        <w:t>the</w:t>
      </w:r>
      <w:r w:rsidR="00A03629">
        <w:t xml:space="preserve"> </w:t>
      </w:r>
      <w:r>
        <w:t>comprehensive</w:t>
      </w:r>
      <w:r w:rsidR="00A03629">
        <w:t xml:space="preserve"> </w:t>
      </w:r>
      <w:r>
        <w:t>operating</w:t>
      </w:r>
      <w:r w:rsidR="00A03629">
        <w:t xml:space="preserve"> </w:t>
      </w:r>
      <w:r>
        <w:t>statement</w:t>
      </w:r>
      <w:r w:rsidR="00A03629">
        <w:t xml:space="preserve"> </w:t>
      </w:r>
      <w:r>
        <w:t>relating</w:t>
      </w:r>
      <w:r w:rsidR="00A03629">
        <w:t xml:space="preserve"> </w:t>
      </w:r>
      <w:r>
        <w:t>to</w:t>
      </w:r>
      <w:r w:rsidR="00A03629">
        <w:t xml:space="preserve"> </w:t>
      </w:r>
      <w:r>
        <w:t>leases:</w:t>
      </w:r>
    </w:p>
    <w:tbl>
      <w:tblPr>
        <w:tblStyle w:val="TableGrid"/>
        <w:tblW w:w="10201" w:type="dxa"/>
        <w:tblLayout w:type="fixed"/>
        <w:tblLook w:val="0020" w:firstRow="1" w:lastRow="0" w:firstColumn="0" w:lastColumn="0" w:noHBand="0" w:noVBand="0"/>
      </w:tblPr>
      <w:tblGrid>
        <w:gridCol w:w="6236"/>
        <w:gridCol w:w="1967"/>
        <w:gridCol w:w="1998"/>
      </w:tblGrid>
      <w:tr w:rsidR="000756EB" w:rsidRPr="000A356D" w14:paraId="49EBFFF8" w14:textId="77777777" w:rsidTr="000A356D">
        <w:trPr>
          <w:trHeight w:val="113"/>
        </w:trPr>
        <w:tc>
          <w:tcPr>
            <w:tcW w:w="6236" w:type="dxa"/>
          </w:tcPr>
          <w:p w14:paraId="58619622" w14:textId="77777777" w:rsidR="000756EB" w:rsidRPr="000A356D" w:rsidRDefault="000756EB" w:rsidP="000A356D">
            <w:pPr>
              <w:pStyle w:val="TableColumnHeading"/>
            </w:pPr>
            <w:bookmarkStart w:id="93" w:name="ColumnTitles_54"/>
            <w:bookmarkEnd w:id="93"/>
          </w:p>
        </w:tc>
        <w:tc>
          <w:tcPr>
            <w:tcW w:w="1967" w:type="dxa"/>
          </w:tcPr>
          <w:p w14:paraId="32C98A7E" w14:textId="00B05EB6" w:rsidR="000756EB" w:rsidRPr="000A356D" w:rsidRDefault="004A4D88" w:rsidP="000A356D">
            <w:pPr>
              <w:pStyle w:val="TableColumnHeading"/>
              <w:jc w:val="right"/>
            </w:pPr>
            <w:r w:rsidRPr="000A356D">
              <w:t>2023</w:t>
            </w:r>
            <w:r w:rsidR="00A03629" w:rsidRPr="000A356D">
              <w:t xml:space="preserve"> </w:t>
            </w:r>
            <w:r w:rsidR="000A356D" w:rsidRPr="000A356D">
              <w:t>($</w:t>
            </w:r>
            <w:r w:rsidR="000A356D">
              <w:t> </w:t>
            </w:r>
            <w:r w:rsidR="000A356D" w:rsidRPr="000A356D">
              <w:t>thousand)</w:t>
            </w:r>
          </w:p>
        </w:tc>
        <w:tc>
          <w:tcPr>
            <w:tcW w:w="1998" w:type="dxa"/>
          </w:tcPr>
          <w:p w14:paraId="78D2CC13" w14:textId="4B30E85D" w:rsidR="000756EB" w:rsidRPr="000A356D" w:rsidRDefault="004A4D88" w:rsidP="000A356D">
            <w:pPr>
              <w:pStyle w:val="TableColumnHeading"/>
              <w:jc w:val="right"/>
            </w:pPr>
            <w:r w:rsidRPr="000A356D">
              <w:t>2022</w:t>
            </w:r>
            <w:r w:rsidR="000A356D">
              <w:t xml:space="preserve"> </w:t>
            </w:r>
            <w:r w:rsidR="000A356D" w:rsidRPr="000A356D">
              <w:t>($</w:t>
            </w:r>
            <w:r w:rsidR="000A356D">
              <w:t> </w:t>
            </w:r>
            <w:r w:rsidR="000A356D" w:rsidRPr="000A356D">
              <w:t>thousand)</w:t>
            </w:r>
          </w:p>
        </w:tc>
      </w:tr>
      <w:tr w:rsidR="000756EB" w14:paraId="6395030F" w14:textId="77777777" w:rsidTr="000A356D">
        <w:trPr>
          <w:trHeight w:val="113"/>
        </w:trPr>
        <w:tc>
          <w:tcPr>
            <w:tcW w:w="6236" w:type="dxa"/>
          </w:tcPr>
          <w:p w14:paraId="7DC7ABBA" w14:textId="6D72B09A" w:rsidR="000756EB" w:rsidRDefault="004A4D88" w:rsidP="000A356D">
            <w:pPr>
              <w:pStyle w:val="TableCopy"/>
            </w:pPr>
            <w:r>
              <w:t>Interest</w:t>
            </w:r>
            <w:r w:rsidR="00A03629">
              <w:t xml:space="preserve"> </w:t>
            </w:r>
            <w:r>
              <w:t>expense</w:t>
            </w:r>
            <w:r w:rsidR="00A03629">
              <w:t xml:space="preserve"> </w:t>
            </w:r>
            <w:r>
              <w:t>on</w:t>
            </w:r>
            <w:r w:rsidR="00A03629">
              <w:t xml:space="preserve"> </w:t>
            </w:r>
            <w:r>
              <w:t>lease</w:t>
            </w:r>
            <w:r w:rsidR="00A03629">
              <w:t xml:space="preserve"> </w:t>
            </w:r>
            <w:r>
              <w:t>liabilities</w:t>
            </w:r>
          </w:p>
        </w:tc>
        <w:tc>
          <w:tcPr>
            <w:tcW w:w="1967" w:type="dxa"/>
          </w:tcPr>
          <w:p w14:paraId="7013E837" w14:textId="74D5F34A" w:rsidR="000756EB" w:rsidRDefault="004A4D88" w:rsidP="000A356D">
            <w:pPr>
              <w:pStyle w:val="TableCopy"/>
              <w:jc w:val="right"/>
            </w:pPr>
            <w:r>
              <w:t>(13,466)</w:t>
            </w:r>
          </w:p>
        </w:tc>
        <w:tc>
          <w:tcPr>
            <w:tcW w:w="1998" w:type="dxa"/>
          </w:tcPr>
          <w:p w14:paraId="46C08AAE" w14:textId="4EE347C2" w:rsidR="000756EB" w:rsidRDefault="004A4D88" w:rsidP="000A356D">
            <w:pPr>
              <w:pStyle w:val="TableCopy"/>
              <w:jc w:val="right"/>
            </w:pPr>
            <w:r>
              <w:t>(26,221)</w:t>
            </w:r>
          </w:p>
        </w:tc>
      </w:tr>
      <w:tr w:rsidR="000756EB" w:rsidRPr="000A356D" w14:paraId="61AD3845" w14:textId="77777777" w:rsidTr="000A356D">
        <w:trPr>
          <w:trHeight w:val="113"/>
        </w:trPr>
        <w:tc>
          <w:tcPr>
            <w:tcW w:w="6236" w:type="dxa"/>
          </w:tcPr>
          <w:p w14:paraId="66A34C16" w14:textId="12237B8B" w:rsidR="000756EB" w:rsidRPr="000A356D" w:rsidRDefault="004A4D88" w:rsidP="000A356D">
            <w:pPr>
              <w:pStyle w:val="TableCopy"/>
              <w:rPr>
                <w:b/>
                <w:bCs/>
              </w:rPr>
            </w:pPr>
            <w:r w:rsidRPr="000A356D">
              <w:rPr>
                <w:b/>
                <w:bCs/>
              </w:rPr>
              <w:t>Total</w:t>
            </w:r>
            <w:r w:rsidR="00A03629" w:rsidRPr="000A356D">
              <w:rPr>
                <w:b/>
                <w:bCs/>
              </w:rPr>
              <w:t xml:space="preserve"> </w:t>
            </w:r>
            <w:r w:rsidRPr="000A356D">
              <w:rPr>
                <w:b/>
                <w:bCs/>
              </w:rPr>
              <w:t>amount</w:t>
            </w:r>
            <w:r w:rsidR="00A03629" w:rsidRPr="000A356D">
              <w:rPr>
                <w:b/>
                <w:bCs/>
              </w:rPr>
              <w:t xml:space="preserve"> </w:t>
            </w:r>
            <w:r w:rsidRPr="000A356D">
              <w:rPr>
                <w:b/>
                <w:bCs/>
              </w:rPr>
              <w:t>recognised</w:t>
            </w:r>
            <w:r w:rsidR="00A03629" w:rsidRPr="000A356D">
              <w:rPr>
                <w:b/>
                <w:bCs/>
              </w:rPr>
              <w:t xml:space="preserve"> </w:t>
            </w:r>
            <w:r w:rsidRPr="000A356D">
              <w:rPr>
                <w:b/>
                <w:bCs/>
              </w:rPr>
              <w:t>in</w:t>
            </w:r>
            <w:r w:rsidR="00A03629" w:rsidRPr="000A356D">
              <w:rPr>
                <w:b/>
                <w:bCs/>
              </w:rPr>
              <w:t xml:space="preserve"> </w:t>
            </w:r>
            <w:r w:rsidRPr="000A356D">
              <w:rPr>
                <w:b/>
                <w:bCs/>
              </w:rPr>
              <w:t>the</w:t>
            </w:r>
            <w:r w:rsidR="00A03629" w:rsidRPr="000A356D">
              <w:rPr>
                <w:b/>
                <w:bCs/>
              </w:rPr>
              <w:t xml:space="preserve"> </w:t>
            </w:r>
            <w:r w:rsidRPr="000A356D">
              <w:rPr>
                <w:b/>
                <w:bCs/>
              </w:rPr>
              <w:t>comprehensive</w:t>
            </w:r>
            <w:r w:rsidR="00A03629" w:rsidRPr="000A356D">
              <w:rPr>
                <w:b/>
                <w:bCs/>
              </w:rPr>
              <w:t xml:space="preserve"> </w:t>
            </w:r>
            <w:r w:rsidRPr="000A356D">
              <w:rPr>
                <w:b/>
                <w:bCs/>
              </w:rPr>
              <w:t>operating</w:t>
            </w:r>
            <w:r w:rsidR="00A03629" w:rsidRPr="000A356D">
              <w:rPr>
                <w:b/>
                <w:bCs/>
              </w:rPr>
              <w:t xml:space="preserve"> </w:t>
            </w:r>
            <w:r w:rsidRPr="000A356D">
              <w:rPr>
                <w:b/>
                <w:bCs/>
              </w:rPr>
              <w:t>statement</w:t>
            </w:r>
          </w:p>
        </w:tc>
        <w:tc>
          <w:tcPr>
            <w:tcW w:w="1967" w:type="dxa"/>
          </w:tcPr>
          <w:p w14:paraId="21AAC894" w14:textId="0044AA48" w:rsidR="000756EB" w:rsidRPr="000A356D" w:rsidRDefault="004A4D88" w:rsidP="000A356D">
            <w:pPr>
              <w:pStyle w:val="TableCopy"/>
              <w:jc w:val="right"/>
              <w:rPr>
                <w:b/>
                <w:bCs/>
              </w:rPr>
            </w:pPr>
            <w:r w:rsidRPr="000A356D">
              <w:rPr>
                <w:b/>
                <w:bCs/>
              </w:rPr>
              <w:t>(13,466)</w:t>
            </w:r>
          </w:p>
        </w:tc>
        <w:tc>
          <w:tcPr>
            <w:tcW w:w="1998" w:type="dxa"/>
          </w:tcPr>
          <w:p w14:paraId="2FDD8E6A" w14:textId="65454699" w:rsidR="000756EB" w:rsidRPr="000A356D" w:rsidRDefault="004A4D88" w:rsidP="000A356D">
            <w:pPr>
              <w:pStyle w:val="TableCopy"/>
              <w:jc w:val="right"/>
              <w:rPr>
                <w:b/>
                <w:bCs/>
              </w:rPr>
            </w:pPr>
            <w:r w:rsidRPr="000A356D">
              <w:rPr>
                <w:b/>
                <w:bCs/>
              </w:rPr>
              <w:t>(26,221)</w:t>
            </w:r>
          </w:p>
        </w:tc>
      </w:tr>
    </w:tbl>
    <w:p w14:paraId="4D549F02" w14:textId="77777777" w:rsidR="000756EB" w:rsidRDefault="000756EB" w:rsidP="000A356D"/>
    <w:p w14:paraId="4264F7CD" w14:textId="1DE716C9" w:rsidR="000756EB" w:rsidRDefault="004A4D88" w:rsidP="000A356D">
      <w:pPr>
        <w:pStyle w:val="Heading3"/>
      </w:pPr>
      <w:r>
        <w:t>7.2.1</w:t>
      </w:r>
      <w:r w:rsidR="00A03629">
        <w:t xml:space="preserve"> </w:t>
      </w:r>
      <w:r>
        <w:t>(c)</w:t>
      </w:r>
      <w:r w:rsidR="00DE38B5">
        <w:t xml:space="preserve"> </w:t>
      </w:r>
      <w:r>
        <w:t>Amounts</w:t>
      </w:r>
      <w:r w:rsidR="00A03629">
        <w:t xml:space="preserve"> </w:t>
      </w:r>
      <w:r>
        <w:t>recognised</w:t>
      </w:r>
      <w:r w:rsidR="00A03629">
        <w:t xml:space="preserve"> </w:t>
      </w:r>
      <w:r>
        <w:t>in</w:t>
      </w:r>
      <w:r w:rsidR="00A03629">
        <w:t xml:space="preserve"> </w:t>
      </w:r>
      <w:r>
        <w:t>the</w:t>
      </w:r>
      <w:r w:rsidR="00A03629">
        <w:t xml:space="preserve"> </w:t>
      </w:r>
      <w:r>
        <w:t>cash</w:t>
      </w:r>
      <w:r w:rsidR="00A03629">
        <w:t xml:space="preserve"> </w:t>
      </w:r>
      <w:r>
        <w:t>flow</w:t>
      </w:r>
      <w:r w:rsidR="00A03629">
        <w:t xml:space="preserve"> </w:t>
      </w:r>
      <w:r>
        <w:t>statement</w:t>
      </w:r>
    </w:p>
    <w:p w14:paraId="368358C7" w14:textId="6FED1F35" w:rsidR="000756EB" w:rsidRDefault="004A4D88" w:rsidP="000A356D">
      <w:r>
        <w:t>The</w:t>
      </w:r>
      <w:r w:rsidR="00A03629">
        <w:t xml:space="preserve"> </w:t>
      </w:r>
      <w:r>
        <w:t>following</w:t>
      </w:r>
      <w:r w:rsidR="00A03629">
        <w:t xml:space="preserve"> </w:t>
      </w:r>
      <w:r>
        <w:t>amounts</w:t>
      </w:r>
      <w:r w:rsidR="00A03629">
        <w:t xml:space="preserve"> </w:t>
      </w:r>
      <w:r>
        <w:t>are</w:t>
      </w:r>
      <w:r w:rsidR="00A03629">
        <w:t xml:space="preserve"> </w:t>
      </w:r>
      <w:r>
        <w:t>recognised</w:t>
      </w:r>
      <w:r w:rsidR="00A03629">
        <w:t xml:space="preserve"> </w:t>
      </w:r>
      <w:r>
        <w:t>in</w:t>
      </w:r>
      <w:r w:rsidR="00A03629">
        <w:t xml:space="preserve"> </w:t>
      </w:r>
      <w:r>
        <w:t>the</w:t>
      </w:r>
      <w:r w:rsidR="00A03629">
        <w:t xml:space="preserve"> </w:t>
      </w:r>
      <w:r>
        <w:t>cash</w:t>
      </w:r>
      <w:r w:rsidR="00A03629">
        <w:t xml:space="preserve"> </w:t>
      </w:r>
      <w:r>
        <w:t>flow</w:t>
      </w:r>
      <w:r w:rsidR="00A03629">
        <w:t xml:space="preserve"> </w:t>
      </w:r>
      <w:r>
        <w:t>statement</w:t>
      </w:r>
      <w:r w:rsidR="00A03629">
        <w:t xml:space="preserve"> </w:t>
      </w:r>
      <w:r>
        <w:t>for</w:t>
      </w:r>
      <w:r w:rsidR="00A03629">
        <w:t xml:space="preserve"> </w:t>
      </w:r>
      <w:r>
        <w:t>the</w:t>
      </w:r>
      <w:r w:rsidR="00A03629">
        <w:t xml:space="preserve"> </w:t>
      </w:r>
      <w:r>
        <w:t>year</w:t>
      </w:r>
      <w:r w:rsidR="00A03629">
        <w:t xml:space="preserve"> </w:t>
      </w:r>
      <w:r>
        <w:t>ending</w:t>
      </w:r>
      <w:r w:rsidR="00A03629">
        <w:t xml:space="preserve"> </w:t>
      </w:r>
      <w:r>
        <w:t>30</w:t>
      </w:r>
      <w:r w:rsidR="00A03629">
        <w:t xml:space="preserve"> </w:t>
      </w:r>
      <w:r>
        <w:t>June</w:t>
      </w:r>
      <w:r w:rsidR="00A03629">
        <w:t xml:space="preserve"> </w:t>
      </w:r>
      <w:r>
        <w:t>2023</w:t>
      </w:r>
      <w:r w:rsidR="00A03629">
        <w:t xml:space="preserve"> </w:t>
      </w:r>
      <w:r>
        <w:t>relating</w:t>
      </w:r>
      <w:r w:rsidR="00A03629">
        <w:rPr>
          <w:rFonts w:ascii="Cambria" w:hAnsi="Cambria" w:cs="Cambria"/>
        </w:rPr>
        <w:t xml:space="preserve"> </w:t>
      </w:r>
      <w:r>
        <w:t>to</w:t>
      </w:r>
      <w:r w:rsidR="00A03629">
        <w:rPr>
          <w:rFonts w:ascii="Cambria" w:hAnsi="Cambria" w:cs="Cambria"/>
        </w:rPr>
        <w:t xml:space="preserve"> </w:t>
      </w:r>
      <w:r>
        <w:t>leases.</w:t>
      </w:r>
    </w:p>
    <w:tbl>
      <w:tblPr>
        <w:tblStyle w:val="TableGrid"/>
        <w:tblW w:w="10201" w:type="dxa"/>
        <w:tblLayout w:type="fixed"/>
        <w:tblLook w:val="0020" w:firstRow="1" w:lastRow="0" w:firstColumn="0" w:lastColumn="0" w:noHBand="0" w:noVBand="0"/>
      </w:tblPr>
      <w:tblGrid>
        <w:gridCol w:w="6236"/>
        <w:gridCol w:w="1982"/>
        <w:gridCol w:w="1983"/>
      </w:tblGrid>
      <w:tr w:rsidR="000756EB" w:rsidRPr="000A356D" w14:paraId="2BEF8E34" w14:textId="77777777" w:rsidTr="000A356D">
        <w:trPr>
          <w:trHeight w:val="113"/>
        </w:trPr>
        <w:tc>
          <w:tcPr>
            <w:tcW w:w="6236" w:type="dxa"/>
          </w:tcPr>
          <w:p w14:paraId="3DC25478" w14:textId="77777777" w:rsidR="000756EB" w:rsidRPr="000A356D" w:rsidRDefault="000756EB" w:rsidP="000A356D">
            <w:pPr>
              <w:pStyle w:val="TableColumnHeading"/>
            </w:pPr>
            <w:bookmarkStart w:id="94" w:name="ColumnTitles_55"/>
            <w:bookmarkEnd w:id="94"/>
          </w:p>
        </w:tc>
        <w:tc>
          <w:tcPr>
            <w:tcW w:w="1982" w:type="dxa"/>
          </w:tcPr>
          <w:p w14:paraId="632F44C0" w14:textId="16128608" w:rsidR="000756EB" w:rsidRPr="000A356D" w:rsidRDefault="004A4D88" w:rsidP="00560A4F">
            <w:pPr>
              <w:pStyle w:val="TableColumnHeading"/>
              <w:jc w:val="right"/>
            </w:pPr>
            <w:r w:rsidRPr="000A356D">
              <w:t>2023</w:t>
            </w:r>
            <w:r w:rsidR="00A03629" w:rsidRPr="000A356D">
              <w:t xml:space="preserve"> </w:t>
            </w:r>
            <w:r w:rsidR="000A356D" w:rsidRPr="000A356D">
              <w:t>($</w:t>
            </w:r>
            <w:r w:rsidR="000A356D">
              <w:t> </w:t>
            </w:r>
            <w:r w:rsidR="000A356D" w:rsidRPr="000A356D">
              <w:t>thousand)</w:t>
            </w:r>
          </w:p>
        </w:tc>
        <w:tc>
          <w:tcPr>
            <w:tcW w:w="1983" w:type="dxa"/>
          </w:tcPr>
          <w:p w14:paraId="276D6CB1" w14:textId="5B541BD5" w:rsidR="000756EB" w:rsidRPr="000A356D" w:rsidRDefault="004A4D88" w:rsidP="00560A4F">
            <w:pPr>
              <w:pStyle w:val="TableColumnHeading"/>
              <w:jc w:val="right"/>
            </w:pPr>
            <w:r w:rsidRPr="000A356D">
              <w:t>2022</w:t>
            </w:r>
            <w:r w:rsidR="000A356D">
              <w:t xml:space="preserve"> </w:t>
            </w:r>
            <w:r w:rsidR="000A356D" w:rsidRPr="000A356D">
              <w:t>($</w:t>
            </w:r>
            <w:r w:rsidR="000A356D">
              <w:t> </w:t>
            </w:r>
            <w:r w:rsidR="000A356D" w:rsidRPr="000A356D">
              <w:t>thousand)</w:t>
            </w:r>
          </w:p>
        </w:tc>
      </w:tr>
      <w:tr w:rsidR="000756EB" w:rsidRPr="000A356D" w14:paraId="0C68C975" w14:textId="77777777" w:rsidTr="000A356D">
        <w:trPr>
          <w:trHeight w:val="113"/>
        </w:trPr>
        <w:tc>
          <w:tcPr>
            <w:tcW w:w="6236" w:type="dxa"/>
          </w:tcPr>
          <w:p w14:paraId="202F3ACF" w14:textId="0A18F63F" w:rsidR="000756EB" w:rsidRPr="000A356D" w:rsidRDefault="004A4D88" w:rsidP="000A356D">
            <w:pPr>
              <w:pStyle w:val="TableCopy"/>
              <w:rPr>
                <w:b/>
                <w:bCs/>
              </w:rPr>
            </w:pPr>
            <w:r w:rsidRPr="000A356D">
              <w:rPr>
                <w:b/>
                <w:bCs/>
              </w:rPr>
              <w:t>Total</w:t>
            </w:r>
            <w:r w:rsidR="00A03629" w:rsidRPr="000A356D">
              <w:rPr>
                <w:b/>
                <w:bCs/>
              </w:rPr>
              <w:t xml:space="preserve"> </w:t>
            </w:r>
            <w:r w:rsidRPr="000A356D">
              <w:rPr>
                <w:b/>
                <w:bCs/>
              </w:rPr>
              <w:t>cash</w:t>
            </w:r>
            <w:r w:rsidR="00A03629" w:rsidRPr="000A356D">
              <w:rPr>
                <w:b/>
                <w:bCs/>
              </w:rPr>
              <w:t xml:space="preserve"> </w:t>
            </w:r>
            <w:r w:rsidRPr="000A356D">
              <w:rPr>
                <w:b/>
                <w:bCs/>
              </w:rPr>
              <w:t>outflow</w:t>
            </w:r>
            <w:r w:rsidR="00A03629" w:rsidRPr="000A356D">
              <w:rPr>
                <w:b/>
                <w:bCs/>
              </w:rPr>
              <w:t xml:space="preserve"> </w:t>
            </w:r>
            <w:r w:rsidRPr="000A356D">
              <w:rPr>
                <w:b/>
                <w:bCs/>
              </w:rPr>
              <w:t>for</w:t>
            </w:r>
            <w:r w:rsidR="00A03629" w:rsidRPr="000A356D">
              <w:rPr>
                <w:b/>
                <w:bCs/>
              </w:rPr>
              <w:t xml:space="preserve"> </w:t>
            </w:r>
            <w:r w:rsidRPr="000A356D">
              <w:rPr>
                <w:b/>
                <w:bCs/>
              </w:rPr>
              <w:t>leases</w:t>
            </w:r>
          </w:p>
        </w:tc>
        <w:tc>
          <w:tcPr>
            <w:tcW w:w="1982" w:type="dxa"/>
          </w:tcPr>
          <w:p w14:paraId="4EEFC97A" w14:textId="77777777" w:rsidR="000756EB" w:rsidRPr="000A356D" w:rsidRDefault="004A4D88" w:rsidP="00560A4F">
            <w:pPr>
              <w:pStyle w:val="TableCopy"/>
              <w:jc w:val="right"/>
              <w:rPr>
                <w:b/>
                <w:bCs/>
              </w:rPr>
            </w:pPr>
            <w:r w:rsidRPr="000A356D">
              <w:rPr>
                <w:b/>
                <w:bCs/>
              </w:rPr>
              <w:t>13,466</w:t>
            </w:r>
          </w:p>
        </w:tc>
        <w:tc>
          <w:tcPr>
            <w:tcW w:w="1983" w:type="dxa"/>
          </w:tcPr>
          <w:p w14:paraId="60112296" w14:textId="2CA0A34A" w:rsidR="000756EB" w:rsidRPr="000A356D" w:rsidRDefault="004A4D88" w:rsidP="00560A4F">
            <w:pPr>
              <w:pStyle w:val="TableCopy"/>
              <w:jc w:val="right"/>
              <w:rPr>
                <w:b/>
                <w:bCs/>
              </w:rPr>
            </w:pPr>
            <w:r w:rsidRPr="000A356D">
              <w:rPr>
                <w:b/>
                <w:bCs/>
              </w:rPr>
              <w:t>26,221</w:t>
            </w:r>
          </w:p>
        </w:tc>
      </w:tr>
    </w:tbl>
    <w:p w14:paraId="2B0555BD" w14:textId="77777777" w:rsidR="000756EB" w:rsidRDefault="000756EB" w:rsidP="000A356D"/>
    <w:p w14:paraId="326374AA" w14:textId="53FD2ED7" w:rsidR="000756EB" w:rsidRDefault="004A4D88" w:rsidP="00560A4F">
      <w:pPr>
        <w:pStyle w:val="Normalbeforebullets"/>
        <w:keepLines/>
      </w:pPr>
      <w:r>
        <w:lastRenderedPageBreak/>
        <w:t>For</w:t>
      </w:r>
      <w:r w:rsidR="00A03629">
        <w:t xml:space="preserve"> </w:t>
      </w:r>
      <w:r>
        <w:t>any</w:t>
      </w:r>
      <w:r w:rsidR="00A03629">
        <w:t xml:space="preserve"> </w:t>
      </w:r>
      <w:r>
        <w:t>new</w:t>
      </w:r>
      <w:r w:rsidR="00A03629">
        <w:t xml:space="preserve"> </w:t>
      </w:r>
      <w:r>
        <w:t>contracts</w:t>
      </w:r>
      <w:r w:rsidR="00A03629">
        <w:t xml:space="preserve"> </w:t>
      </w:r>
      <w:proofErr w:type="gramStart"/>
      <w:r>
        <w:t>entered</w:t>
      </w:r>
      <w:r w:rsidR="00A03629">
        <w:t xml:space="preserve"> </w:t>
      </w:r>
      <w:r>
        <w:t>into</w:t>
      </w:r>
      <w:proofErr w:type="gramEnd"/>
      <w:r>
        <w:t>,</w:t>
      </w:r>
      <w:r w:rsidR="00A03629">
        <w:t xml:space="preserve"> </w:t>
      </w:r>
      <w:r>
        <w:t>DJSIR</w:t>
      </w:r>
      <w:r w:rsidR="00A03629">
        <w:t xml:space="preserve"> </w:t>
      </w:r>
      <w:r>
        <w:t>considers</w:t>
      </w:r>
      <w:r w:rsidR="00A03629">
        <w:t xml:space="preserve"> </w:t>
      </w:r>
      <w:r>
        <w:t>whether</w:t>
      </w:r>
      <w:r w:rsidR="00A03629">
        <w:t xml:space="preserve"> </w:t>
      </w:r>
      <w:r>
        <w:t>a</w:t>
      </w:r>
      <w:r w:rsidR="00A03629">
        <w:t xml:space="preserve"> </w:t>
      </w:r>
      <w:r>
        <w:t>contract</w:t>
      </w:r>
      <w:r w:rsidR="00A03629">
        <w:t xml:space="preserve"> </w:t>
      </w:r>
      <w:r>
        <w:t>is,</w:t>
      </w:r>
      <w:r w:rsidR="00A03629">
        <w:t xml:space="preserve"> </w:t>
      </w:r>
      <w:r>
        <w:t>or</w:t>
      </w:r>
      <w:r w:rsidR="00A03629">
        <w:t xml:space="preserve"> </w:t>
      </w:r>
      <w:r>
        <w:t>contains</w:t>
      </w:r>
      <w:r w:rsidR="00A03629">
        <w:t xml:space="preserve"> </w:t>
      </w:r>
      <w:r>
        <w:t>a</w:t>
      </w:r>
      <w:r w:rsidR="00A03629">
        <w:t xml:space="preserve"> </w:t>
      </w:r>
      <w:r>
        <w:t>lease.</w:t>
      </w:r>
      <w:r w:rsidR="00A03629">
        <w:t xml:space="preserve"> </w:t>
      </w:r>
      <w:r>
        <w:t>A</w:t>
      </w:r>
      <w:r w:rsidR="00A03629">
        <w:t xml:space="preserve"> </w:t>
      </w:r>
      <w:r>
        <w:t>lease</w:t>
      </w:r>
      <w:r w:rsidR="00A03629">
        <w:t xml:space="preserve"> </w:t>
      </w:r>
      <w:r>
        <w:t>is</w:t>
      </w:r>
      <w:r w:rsidR="00A03629">
        <w:t xml:space="preserve"> </w:t>
      </w:r>
      <w:r>
        <w:t>defined</w:t>
      </w:r>
      <w:r w:rsidR="00A03629">
        <w:t xml:space="preserve"> </w:t>
      </w:r>
      <w:r>
        <w:t>as</w:t>
      </w:r>
      <w:r w:rsidR="00A03629">
        <w:t xml:space="preserve"> </w:t>
      </w:r>
      <w:r>
        <w:t>‘a</w:t>
      </w:r>
      <w:r w:rsidR="00A03629">
        <w:t xml:space="preserve"> </w:t>
      </w:r>
      <w:r>
        <w:t>contact</w:t>
      </w:r>
      <w:r w:rsidR="00A03629">
        <w:t xml:space="preserve"> </w:t>
      </w:r>
      <w:r>
        <w:t>or</w:t>
      </w:r>
      <w:r w:rsidR="00A03629">
        <w:t xml:space="preserve"> </w:t>
      </w:r>
      <w:r>
        <w:t>part</w:t>
      </w:r>
      <w:r w:rsidR="00A03629">
        <w:t xml:space="preserve"> </w:t>
      </w:r>
      <w:r>
        <w:t>of</w:t>
      </w:r>
      <w:r w:rsidR="00A03629">
        <w:t xml:space="preserve"> </w:t>
      </w:r>
      <w:r>
        <w:t>a</w:t>
      </w:r>
      <w:r w:rsidR="00A03629">
        <w:t xml:space="preserve"> </w:t>
      </w:r>
      <w:r>
        <w:t>contract,</w:t>
      </w:r>
      <w:r w:rsidR="00A03629">
        <w:t xml:space="preserve"> </w:t>
      </w:r>
      <w:r>
        <w:t>that</w:t>
      </w:r>
      <w:r w:rsidR="00A03629">
        <w:t xml:space="preserve"> </w:t>
      </w:r>
      <w:r>
        <w:t>conveys</w:t>
      </w:r>
      <w:r w:rsidR="00A03629">
        <w:t xml:space="preserve"> </w:t>
      </w:r>
      <w:r>
        <w:t>the</w:t>
      </w:r>
      <w:r w:rsidR="00A03629">
        <w:t xml:space="preserve"> </w:t>
      </w:r>
      <w:r>
        <w:t>right</w:t>
      </w:r>
      <w:r w:rsidR="00A03629">
        <w:t xml:space="preserve"> </w:t>
      </w:r>
      <w:r>
        <w:t>of</w:t>
      </w:r>
      <w:r w:rsidR="00A03629">
        <w:t xml:space="preserve"> </w:t>
      </w:r>
      <w:r>
        <w:t>use</w:t>
      </w:r>
      <w:r w:rsidR="00A03629">
        <w:t xml:space="preserve"> </w:t>
      </w:r>
      <w:r>
        <w:t>of</w:t>
      </w:r>
      <w:r w:rsidR="00A03629">
        <w:t xml:space="preserve"> </w:t>
      </w:r>
      <w:r>
        <w:t>an</w:t>
      </w:r>
      <w:r w:rsidR="00A03629">
        <w:t xml:space="preserve"> </w:t>
      </w:r>
      <w:r>
        <w:t>asset</w:t>
      </w:r>
      <w:r w:rsidR="00A03629">
        <w:t xml:space="preserve"> </w:t>
      </w:r>
      <w:r>
        <w:t>(the</w:t>
      </w:r>
      <w:r w:rsidR="00A03629">
        <w:t xml:space="preserve"> </w:t>
      </w:r>
      <w:r>
        <w:t>underlying</w:t>
      </w:r>
      <w:r w:rsidR="00A03629">
        <w:t xml:space="preserve"> </w:t>
      </w:r>
      <w:r>
        <w:rPr>
          <w:spacing w:val="-6"/>
        </w:rPr>
        <w:t>asset)</w:t>
      </w:r>
      <w:r w:rsidR="00A03629">
        <w:rPr>
          <w:spacing w:val="-6"/>
        </w:rPr>
        <w:t xml:space="preserve"> </w:t>
      </w:r>
      <w:r>
        <w:rPr>
          <w:spacing w:val="-6"/>
        </w:rPr>
        <w:t>for</w:t>
      </w:r>
      <w:r w:rsidR="00A03629">
        <w:rPr>
          <w:spacing w:val="-6"/>
        </w:rPr>
        <w:t xml:space="preserve"> </w:t>
      </w:r>
      <w:r>
        <w:rPr>
          <w:spacing w:val="-6"/>
        </w:rPr>
        <w:t>a</w:t>
      </w:r>
      <w:r w:rsidR="00A03629">
        <w:rPr>
          <w:spacing w:val="-6"/>
        </w:rPr>
        <w:t xml:space="preserve"> </w:t>
      </w:r>
      <w:r>
        <w:rPr>
          <w:spacing w:val="-6"/>
        </w:rPr>
        <w:t>period</w:t>
      </w:r>
      <w:r w:rsidR="00A03629">
        <w:rPr>
          <w:spacing w:val="-6"/>
        </w:rPr>
        <w:t xml:space="preserve"> </w:t>
      </w:r>
      <w:r>
        <w:rPr>
          <w:spacing w:val="-6"/>
        </w:rPr>
        <w:t>of</w:t>
      </w:r>
      <w:r w:rsidR="00A03629">
        <w:rPr>
          <w:spacing w:val="-6"/>
        </w:rPr>
        <w:t xml:space="preserve"> </w:t>
      </w:r>
      <w:r>
        <w:rPr>
          <w:spacing w:val="-6"/>
        </w:rPr>
        <w:t>time</w:t>
      </w:r>
      <w:r w:rsidR="00A03629">
        <w:rPr>
          <w:spacing w:val="-6"/>
        </w:rPr>
        <w:t xml:space="preserve"> </w:t>
      </w:r>
      <w:r>
        <w:rPr>
          <w:spacing w:val="-6"/>
        </w:rPr>
        <w:t>in</w:t>
      </w:r>
      <w:r w:rsidR="00A03629">
        <w:rPr>
          <w:spacing w:val="-6"/>
        </w:rPr>
        <w:t xml:space="preserve"> </w:t>
      </w:r>
      <w:r>
        <w:rPr>
          <w:spacing w:val="-6"/>
        </w:rPr>
        <w:t>exchange</w:t>
      </w:r>
      <w:r w:rsidR="00A03629">
        <w:rPr>
          <w:spacing w:val="-6"/>
        </w:rPr>
        <w:t xml:space="preserve"> </w:t>
      </w:r>
      <w:r>
        <w:rPr>
          <w:spacing w:val="-6"/>
        </w:rPr>
        <w:t>for</w:t>
      </w:r>
      <w:r w:rsidR="00A03629">
        <w:rPr>
          <w:spacing w:val="-6"/>
        </w:rPr>
        <w:t xml:space="preserve"> </w:t>
      </w:r>
      <w:r>
        <w:rPr>
          <w:spacing w:val="-6"/>
        </w:rPr>
        <w:t>consideration’.</w:t>
      </w:r>
      <w:r w:rsidR="00A03629">
        <w:t xml:space="preserve"> </w:t>
      </w:r>
      <w:r>
        <w:t>To</w:t>
      </w:r>
      <w:r w:rsidR="00A03629">
        <w:t xml:space="preserve"> </w:t>
      </w:r>
      <w:r>
        <w:t>apply</w:t>
      </w:r>
      <w:r w:rsidR="00A03629">
        <w:t xml:space="preserve"> </w:t>
      </w:r>
      <w:r>
        <w:t>this</w:t>
      </w:r>
      <w:r w:rsidR="00A03629">
        <w:t xml:space="preserve"> </w:t>
      </w:r>
      <w:r>
        <w:t>definition</w:t>
      </w:r>
      <w:r w:rsidR="00A03629">
        <w:t xml:space="preserve"> </w:t>
      </w:r>
      <w:r>
        <w:t>DJSIR</w:t>
      </w:r>
      <w:r w:rsidR="00A03629">
        <w:t xml:space="preserve"> </w:t>
      </w:r>
      <w:r>
        <w:t>assesses</w:t>
      </w:r>
      <w:r w:rsidR="00A03629">
        <w:t xml:space="preserve"> </w:t>
      </w:r>
      <w:r>
        <w:t>whether</w:t>
      </w:r>
      <w:r w:rsidR="00A03629">
        <w:t xml:space="preserve"> </w:t>
      </w:r>
      <w:r>
        <w:t>the</w:t>
      </w:r>
      <w:r w:rsidR="00A03629">
        <w:t xml:space="preserve"> </w:t>
      </w:r>
      <w:r>
        <w:t>contract</w:t>
      </w:r>
      <w:r w:rsidR="00A03629">
        <w:t xml:space="preserve"> </w:t>
      </w:r>
      <w:r>
        <w:t>meets</w:t>
      </w:r>
      <w:r w:rsidR="00A03629">
        <w:t xml:space="preserve"> </w:t>
      </w:r>
      <w:r>
        <w:t>three</w:t>
      </w:r>
      <w:r w:rsidR="00A03629">
        <w:t xml:space="preserve"> </w:t>
      </w:r>
      <w:r>
        <w:t>key</w:t>
      </w:r>
      <w:r w:rsidR="00A03629">
        <w:t xml:space="preserve"> </w:t>
      </w:r>
      <w:r>
        <w:t>evaluations:</w:t>
      </w:r>
    </w:p>
    <w:p w14:paraId="2C7F60AC" w14:textId="155D553D" w:rsidR="000756EB" w:rsidRDefault="004A4D88" w:rsidP="000A356D">
      <w:pPr>
        <w:pStyle w:val="Bullet"/>
      </w:pPr>
      <w:r>
        <w:t>Whether</w:t>
      </w:r>
      <w:r w:rsidR="00A03629">
        <w:t xml:space="preserve"> </w:t>
      </w:r>
      <w:r>
        <w:t>the</w:t>
      </w:r>
      <w:r w:rsidR="00A03629">
        <w:t xml:space="preserve"> </w:t>
      </w:r>
      <w:r>
        <w:t>contract</w:t>
      </w:r>
      <w:r w:rsidR="00A03629">
        <w:t xml:space="preserve"> </w:t>
      </w:r>
      <w:r>
        <w:t>contains</w:t>
      </w:r>
      <w:r w:rsidR="00A03629">
        <w:t xml:space="preserve"> </w:t>
      </w:r>
      <w:r>
        <w:t>an</w:t>
      </w:r>
      <w:r w:rsidR="00A03629">
        <w:t xml:space="preserve"> </w:t>
      </w:r>
      <w:r>
        <w:t>identified</w:t>
      </w:r>
      <w:r w:rsidR="00A03629">
        <w:t xml:space="preserve"> </w:t>
      </w:r>
      <w:r>
        <w:t>asset,</w:t>
      </w:r>
      <w:r w:rsidR="00A03629">
        <w:t xml:space="preserve"> </w:t>
      </w:r>
      <w:r>
        <w:t>which</w:t>
      </w:r>
      <w:r w:rsidR="00A03629">
        <w:t xml:space="preserve"> </w:t>
      </w:r>
      <w:r>
        <w:t>is</w:t>
      </w:r>
      <w:r w:rsidR="00A03629">
        <w:t xml:space="preserve"> </w:t>
      </w:r>
      <w:r>
        <w:t>either</w:t>
      </w:r>
      <w:r w:rsidR="00A03629">
        <w:t xml:space="preserve"> </w:t>
      </w:r>
      <w:r>
        <w:t>explicitly</w:t>
      </w:r>
      <w:r w:rsidR="00A03629">
        <w:t xml:space="preserve"> </w:t>
      </w:r>
      <w:r>
        <w:t>identified</w:t>
      </w:r>
      <w:r w:rsidR="00A03629">
        <w:t xml:space="preserve"> </w:t>
      </w:r>
      <w:r>
        <w:t>in</w:t>
      </w:r>
      <w:r w:rsidR="00A03629">
        <w:t xml:space="preserve"> </w:t>
      </w:r>
      <w:r>
        <w:t>the</w:t>
      </w:r>
      <w:r w:rsidR="00A03629">
        <w:t xml:space="preserve"> </w:t>
      </w:r>
      <w:r>
        <w:t>contract</w:t>
      </w:r>
      <w:r w:rsidR="00A03629">
        <w:t xml:space="preserve"> </w:t>
      </w:r>
      <w:r>
        <w:t>or</w:t>
      </w:r>
      <w:r w:rsidR="00A03629">
        <w:t xml:space="preserve"> </w:t>
      </w:r>
      <w:r>
        <w:t>implicitly</w:t>
      </w:r>
      <w:r w:rsidR="00A03629">
        <w:t xml:space="preserve"> </w:t>
      </w:r>
      <w:r>
        <w:t>specified</w:t>
      </w:r>
      <w:r w:rsidR="00A03629">
        <w:t xml:space="preserve"> </w:t>
      </w:r>
      <w:r>
        <w:t>by</w:t>
      </w:r>
      <w:r w:rsidR="00A03629">
        <w:t xml:space="preserve"> </w:t>
      </w:r>
      <w:r>
        <w:t>being</w:t>
      </w:r>
      <w:r w:rsidR="00A03629">
        <w:t xml:space="preserve"> </w:t>
      </w:r>
      <w:r>
        <w:t>identified</w:t>
      </w:r>
      <w:r w:rsidR="00A03629">
        <w:t xml:space="preserve"> </w:t>
      </w:r>
      <w:r>
        <w:t>at</w:t>
      </w:r>
      <w:r w:rsidR="00A03629">
        <w:t xml:space="preserve"> </w:t>
      </w:r>
      <w:r>
        <w:t>the</w:t>
      </w:r>
      <w:r w:rsidR="00A03629">
        <w:t xml:space="preserve"> </w:t>
      </w:r>
      <w:r>
        <w:t>time</w:t>
      </w:r>
      <w:r w:rsidR="00A03629">
        <w:t xml:space="preserve"> </w:t>
      </w:r>
      <w:r>
        <w:t>the</w:t>
      </w:r>
      <w:r w:rsidR="00A03629">
        <w:t xml:space="preserve"> </w:t>
      </w:r>
      <w:r>
        <w:t>asset</w:t>
      </w:r>
      <w:r w:rsidR="00A03629">
        <w:t xml:space="preserve"> </w:t>
      </w:r>
      <w:r>
        <w:t>is</w:t>
      </w:r>
      <w:r w:rsidR="00A03629">
        <w:t xml:space="preserve"> </w:t>
      </w:r>
      <w:r>
        <w:t>made</w:t>
      </w:r>
      <w:r w:rsidR="00A03629">
        <w:t xml:space="preserve"> </w:t>
      </w:r>
      <w:r>
        <w:t>available</w:t>
      </w:r>
      <w:r w:rsidR="00A03629">
        <w:t xml:space="preserve"> </w:t>
      </w:r>
      <w:r>
        <w:t>to</w:t>
      </w:r>
      <w:r w:rsidR="00A03629">
        <w:t xml:space="preserve"> </w:t>
      </w:r>
      <w:r>
        <w:t>DJSIR</w:t>
      </w:r>
      <w:r w:rsidR="00A03629">
        <w:t xml:space="preserve"> </w:t>
      </w:r>
      <w:r>
        <w:t>and</w:t>
      </w:r>
      <w:r w:rsidR="00A03629">
        <w:t xml:space="preserve"> </w:t>
      </w:r>
      <w:r>
        <w:t>for</w:t>
      </w:r>
      <w:r w:rsidR="00A03629">
        <w:t xml:space="preserve"> </w:t>
      </w:r>
      <w:r>
        <w:t>which</w:t>
      </w:r>
      <w:r w:rsidR="00A03629">
        <w:t xml:space="preserve"> </w:t>
      </w:r>
      <w:r>
        <w:t>the</w:t>
      </w:r>
      <w:r w:rsidR="00A03629">
        <w:t xml:space="preserve"> </w:t>
      </w:r>
      <w:r>
        <w:t>supplier</w:t>
      </w:r>
      <w:r w:rsidR="00A03629">
        <w:t xml:space="preserve"> </w:t>
      </w:r>
      <w:r>
        <w:t>does</w:t>
      </w:r>
      <w:r w:rsidR="00A03629">
        <w:t xml:space="preserve"> </w:t>
      </w:r>
      <w:r>
        <w:t>not</w:t>
      </w:r>
      <w:r w:rsidR="00A03629">
        <w:t xml:space="preserve"> </w:t>
      </w:r>
      <w:r>
        <w:t>have</w:t>
      </w:r>
      <w:r w:rsidR="00A03629">
        <w:t xml:space="preserve"> </w:t>
      </w:r>
      <w:r>
        <w:t>substantive</w:t>
      </w:r>
      <w:r w:rsidR="00A03629">
        <w:t xml:space="preserve"> </w:t>
      </w:r>
      <w:r>
        <w:t>substitution</w:t>
      </w:r>
      <w:r w:rsidR="00A03629">
        <w:t xml:space="preserve"> </w:t>
      </w:r>
      <w:proofErr w:type="gramStart"/>
      <w:r>
        <w:t>rights;</w:t>
      </w:r>
      <w:proofErr w:type="gramEnd"/>
      <w:r w:rsidR="00A03629">
        <w:t xml:space="preserve"> </w:t>
      </w:r>
    </w:p>
    <w:p w14:paraId="2DAC61D4" w14:textId="1B97B665" w:rsidR="000756EB" w:rsidRDefault="004A4D88" w:rsidP="000A356D">
      <w:pPr>
        <w:pStyle w:val="Bullet"/>
      </w:pPr>
      <w:r>
        <w:t>Whether</w:t>
      </w:r>
      <w:r w:rsidR="00A03629">
        <w:t xml:space="preserve"> </w:t>
      </w:r>
      <w:r>
        <w:t>DJSIR</w:t>
      </w:r>
      <w:r w:rsidR="00A03629">
        <w:t xml:space="preserve"> </w:t>
      </w:r>
      <w:r>
        <w:t>has</w:t>
      </w:r>
      <w:r w:rsidR="00A03629">
        <w:t xml:space="preserve"> </w:t>
      </w:r>
      <w:r>
        <w:t>the</w:t>
      </w:r>
      <w:r w:rsidR="00A03629">
        <w:t xml:space="preserve"> </w:t>
      </w:r>
      <w:r>
        <w:t>right</w:t>
      </w:r>
      <w:r w:rsidR="00A03629">
        <w:t xml:space="preserve"> </w:t>
      </w:r>
      <w:r>
        <w:t>to</w:t>
      </w:r>
      <w:r w:rsidR="00A03629">
        <w:t xml:space="preserve"> </w:t>
      </w:r>
      <w:r>
        <w:t>obtain</w:t>
      </w:r>
      <w:r w:rsidR="00A03629">
        <w:t xml:space="preserve"> </w:t>
      </w:r>
      <w:r>
        <w:t>substantially</w:t>
      </w:r>
      <w:r w:rsidR="00A03629">
        <w:t xml:space="preserve"> </w:t>
      </w:r>
      <w:proofErr w:type="gramStart"/>
      <w:r>
        <w:t>all</w:t>
      </w:r>
      <w:r w:rsidR="00A03629">
        <w:t xml:space="preserve"> </w:t>
      </w:r>
      <w:r>
        <w:t>of</w:t>
      </w:r>
      <w:proofErr w:type="gramEnd"/>
      <w:r w:rsidR="00A03629">
        <w:t xml:space="preserve"> </w:t>
      </w:r>
      <w:r>
        <w:t>the</w:t>
      </w:r>
      <w:r w:rsidR="00A03629">
        <w:t xml:space="preserve"> </w:t>
      </w:r>
      <w:r>
        <w:t>economic</w:t>
      </w:r>
      <w:r w:rsidR="00A03629">
        <w:t xml:space="preserve"> </w:t>
      </w:r>
      <w:r>
        <w:t>benefits</w:t>
      </w:r>
      <w:r w:rsidR="00A03629">
        <w:t xml:space="preserve"> </w:t>
      </w:r>
      <w:r>
        <w:t>from</w:t>
      </w:r>
      <w:r w:rsidR="00A03629">
        <w:t xml:space="preserve"> </w:t>
      </w:r>
      <w:r>
        <w:t>use</w:t>
      </w:r>
      <w:r w:rsidR="00A03629">
        <w:t xml:space="preserve"> </w:t>
      </w:r>
      <w:r>
        <w:t>of</w:t>
      </w:r>
      <w:r w:rsidR="00A03629">
        <w:t xml:space="preserve"> </w:t>
      </w:r>
      <w:r>
        <w:t>the</w:t>
      </w:r>
      <w:r w:rsidR="00A03629">
        <w:t xml:space="preserve"> </w:t>
      </w:r>
      <w:r>
        <w:t>identified</w:t>
      </w:r>
      <w:r w:rsidR="00A03629">
        <w:t xml:space="preserve"> </w:t>
      </w:r>
      <w:r>
        <w:t>asset</w:t>
      </w:r>
      <w:r w:rsidR="00A03629">
        <w:t xml:space="preserve"> </w:t>
      </w:r>
      <w:r>
        <w:t>throughout</w:t>
      </w:r>
      <w:r w:rsidR="00A03629">
        <w:t xml:space="preserve"> </w:t>
      </w:r>
      <w:r>
        <w:t>the</w:t>
      </w:r>
      <w:r w:rsidR="00A03629">
        <w:t xml:space="preserve"> </w:t>
      </w:r>
      <w:r>
        <w:t>period</w:t>
      </w:r>
      <w:r w:rsidR="00A03629">
        <w:t xml:space="preserve"> </w:t>
      </w:r>
      <w:r>
        <w:t>of</w:t>
      </w:r>
      <w:r w:rsidR="00A03629">
        <w:t xml:space="preserve"> </w:t>
      </w:r>
      <w:r>
        <w:t>use,</w:t>
      </w:r>
      <w:r w:rsidR="00A03629">
        <w:t xml:space="preserve"> </w:t>
      </w:r>
      <w:r>
        <w:t>considering</w:t>
      </w:r>
      <w:r w:rsidR="00A03629">
        <w:t xml:space="preserve"> </w:t>
      </w:r>
      <w:r>
        <w:t>its</w:t>
      </w:r>
      <w:r w:rsidR="00A03629">
        <w:t xml:space="preserve"> </w:t>
      </w:r>
      <w:r>
        <w:t>rights</w:t>
      </w:r>
      <w:r w:rsidR="00A03629">
        <w:t xml:space="preserve"> </w:t>
      </w:r>
      <w:r>
        <w:t>within</w:t>
      </w:r>
      <w:r w:rsidR="00A03629">
        <w:t xml:space="preserve"> </w:t>
      </w:r>
      <w:r>
        <w:t>the</w:t>
      </w:r>
      <w:r w:rsidR="00A03629">
        <w:t xml:space="preserve"> </w:t>
      </w:r>
      <w:r>
        <w:t>defined</w:t>
      </w:r>
      <w:r w:rsidR="00A03629">
        <w:t xml:space="preserve"> </w:t>
      </w:r>
      <w:r>
        <w:t>scope</w:t>
      </w:r>
      <w:r w:rsidR="00A03629">
        <w:t xml:space="preserve"> </w:t>
      </w:r>
      <w:r>
        <w:t>of</w:t>
      </w:r>
      <w:r w:rsidR="00A03629">
        <w:t xml:space="preserve"> </w:t>
      </w:r>
      <w:r>
        <w:t>the</w:t>
      </w:r>
      <w:r w:rsidR="00A03629">
        <w:t xml:space="preserve"> </w:t>
      </w:r>
      <w:r>
        <w:t>contract</w:t>
      </w:r>
      <w:r w:rsidR="00A03629">
        <w:t xml:space="preserve"> </w:t>
      </w:r>
      <w:r>
        <w:t>and</w:t>
      </w:r>
      <w:r w:rsidR="00A03629">
        <w:t xml:space="preserve"> </w:t>
      </w:r>
      <w:r>
        <w:t>DJSIR</w:t>
      </w:r>
      <w:r w:rsidR="00A03629">
        <w:t xml:space="preserve"> </w:t>
      </w:r>
      <w:r>
        <w:t>has</w:t>
      </w:r>
      <w:r w:rsidR="00A03629">
        <w:t xml:space="preserve"> </w:t>
      </w:r>
      <w:r>
        <w:t>the</w:t>
      </w:r>
      <w:r w:rsidR="00A03629">
        <w:t xml:space="preserve"> </w:t>
      </w:r>
      <w:r>
        <w:t>right</w:t>
      </w:r>
      <w:r w:rsidR="00A03629">
        <w:t xml:space="preserve"> </w:t>
      </w:r>
      <w:r>
        <w:t>to</w:t>
      </w:r>
      <w:r w:rsidR="00A03629">
        <w:t xml:space="preserve"> </w:t>
      </w:r>
      <w:r>
        <w:t>direct</w:t>
      </w:r>
      <w:r w:rsidR="00A03629">
        <w:t xml:space="preserve"> </w:t>
      </w:r>
      <w:r>
        <w:t>the</w:t>
      </w:r>
      <w:r w:rsidR="00A03629">
        <w:t xml:space="preserve"> </w:t>
      </w:r>
      <w:r>
        <w:t>use</w:t>
      </w:r>
      <w:r w:rsidR="00A03629">
        <w:t xml:space="preserve"> </w:t>
      </w:r>
      <w:r>
        <w:t>of</w:t>
      </w:r>
      <w:r w:rsidR="00A03629">
        <w:t xml:space="preserve"> </w:t>
      </w:r>
      <w:r>
        <w:t>the</w:t>
      </w:r>
      <w:r w:rsidR="00A03629">
        <w:t xml:space="preserve"> </w:t>
      </w:r>
      <w:r>
        <w:t>identified</w:t>
      </w:r>
      <w:r w:rsidR="00A03629">
        <w:t xml:space="preserve"> </w:t>
      </w:r>
      <w:r>
        <w:t>asset</w:t>
      </w:r>
      <w:r w:rsidR="00A03629">
        <w:t xml:space="preserve"> </w:t>
      </w:r>
      <w:r>
        <w:t>throughout</w:t>
      </w:r>
      <w:r w:rsidR="00A03629">
        <w:t xml:space="preserve"> </w:t>
      </w:r>
      <w:r>
        <w:t>the</w:t>
      </w:r>
      <w:r w:rsidR="00A03629">
        <w:t xml:space="preserve"> </w:t>
      </w:r>
      <w:r>
        <w:t>period</w:t>
      </w:r>
      <w:r w:rsidR="00A03629">
        <w:t xml:space="preserve"> </w:t>
      </w:r>
      <w:r>
        <w:t>of</w:t>
      </w:r>
      <w:r w:rsidR="00A03629">
        <w:t xml:space="preserve"> </w:t>
      </w:r>
      <w:r>
        <w:t>use;</w:t>
      </w:r>
      <w:r w:rsidR="00A03629">
        <w:t xml:space="preserve"> </w:t>
      </w:r>
      <w:r>
        <w:t>and</w:t>
      </w:r>
    </w:p>
    <w:p w14:paraId="4931D676" w14:textId="286E87F3" w:rsidR="000756EB" w:rsidRDefault="004A4D88" w:rsidP="000A356D">
      <w:pPr>
        <w:pStyle w:val="Bulletlast"/>
      </w:pPr>
      <w:r>
        <w:t>Whether</w:t>
      </w:r>
      <w:r w:rsidR="00A03629">
        <w:t xml:space="preserve"> </w:t>
      </w:r>
      <w:r>
        <w:t>DJSIR</w:t>
      </w:r>
      <w:r w:rsidR="00A03629">
        <w:t xml:space="preserve"> </w:t>
      </w:r>
      <w:r>
        <w:t>has</w:t>
      </w:r>
      <w:r w:rsidR="00A03629">
        <w:t xml:space="preserve"> </w:t>
      </w:r>
      <w:r>
        <w:t>the</w:t>
      </w:r>
      <w:r w:rsidR="00A03629">
        <w:t xml:space="preserve"> </w:t>
      </w:r>
      <w:r>
        <w:t>right</w:t>
      </w:r>
      <w:r w:rsidR="00A03629">
        <w:t xml:space="preserve"> </w:t>
      </w:r>
      <w:r>
        <w:t>to</w:t>
      </w:r>
      <w:r w:rsidR="00A03629">
        <w:t xml:space="preserve"> </w:t>
      </w:r>
      <w:r>
        <w:t>take</w:t>
      </w:r>
      <w:r w:rsidR="00A03629">
        <w:t xml:space="preserve"> </w:t>
      </w:r>
      <w:r>
        <w:t>decisions</w:t>
      </w:r>
      <w:r w:rsidR="00A03629">
        <w:t xml:space="preserve"> </w:t>
      </w:r>
      <w:r>
        <w:t>in</w:t>
      </w:r>
      <w:r w:rsidR="00A03629">
        <w:t xml:space="preserve"> </w:t>
      </w:r>
      <w:r>
        <w:t>respect</w:t>
      </w:r>
      <w:r w:rsidR="00A03629">
        <w:t xml:space="preserve"> </w:t>
      </w:r>
      <w:r>
        <w:t>of</w:t>
      </w:r>
      <w:r w:rsidR="00A03629">
        <w:t xml:space="preserve"> </w:t>
      </w:r>
      <w:r>
        <w:t>‘how</w:t>
      </w:r>
      <w:r w:rsidR="00A03629">
        <w:t xml:space="preserve"> </w:t>
      </w:r>
      <w:r>
        <w:t>and</w:t>
      </w:r>
      <w:r w:rsidR="00A03629">
        <w:t xml:space="preserve"> </w:t>
      </w:r>
      <w:r>
        <w:t>for</w:t>
      </w:r>
      <w:r w:rsidR="00A03629">
        <w:t xml:space="preserve"> </w:t>
      </w:r>
      <w:r>
        <w:t>what</w:t>
      </w:r>
      <w:r w:rsidR="00A03629">
        <w:t xml:space="preserve"> </w:t>
      </w:r>
      <w:r>
        <w:t>purpose’</w:t>
      </w:r>
      <w:r w:rsidR="00A03629">
        <w:t xml:space="preserve"> </w:t>
      </w:r>
      <w:r>
        <w:t>the</w:t>
      </w:r>
      <w:r w:rsidR="00A03629">
        <w:t xml:space="preserve"> </w:t>
      </w:r>
      <w:r>
        <w:t>asset</w:t>
      </w:r>
      <w:r w:rsidR="00A03629">
        <w:t xml:space="preserve"> </w:t>
      </w:r>
      <w:r>
        <w:t>is</w:t>
      </w:r>
      <w:r w:rsidR="00A03629">
        <w:rPr>
          <w:rFonts w:ascii="Cambria" w:hAnsi="Cambria" w:cs="Cambria"/>
        </w:rPr>
        <w:t xml:space="preserve"> </w:t>
      </w:r>
      <w:r>
        <w:t>used</w:t>
      </w:r>
      <w:r w:rsidR="00A03629">
        <w:t xml:space="preserve"> </w:t>
      </w:r>
      <w:r>
        <w:t>throughout</w:t>
      </w:r>
      <w:r w:rsidR="00A03629">
        <w:t xml:space="preserve"> </w:t>
      </w:r>
      <w:r>
        <w:t>the</w:t>
      </w:r>
      <w:r w:rsidR="00A03629">
        <w:t xml:space="preserve"> </w:t>
      </w:r>
      <w:r>
        <w:t>period</w:t>
      </w:r>
      <w:r w:rsidR="00A03629">
        <w:t xml:space="preserve"> </w:t>
      </w:r>
      <w:r>
        <w:t>of</w:t>
      </w:r>
      <w:r w:rsidR="00A03629">
        <w:t xml:space="preserve"> </w:t>
      </w:r>
      <w:r>
        <w:t>use.</w:t>
      </w:r>
    </w:p>
    <w:p w14:paraId="17FD3B8B" w14:textId="2CA95A5B" w:rsidR="000756EB" w:rsidRDefault="004A4D88" w:rsidP="000A356D">
      <w:r>
        <w:t>This</w:t>
      </w:r>
      <w:r w:rsidR="00A03629">
        <w:t xml:space="preserve"> </w:t>
      </w:r>
      <w:r>
        <w:t>policy</w:t>
      </w:r>
      <w:r w:rsidR="00A03629">
        <w:t xml:space="preserve"> </w:t>
      </w:r>
      <w:r>
        <w:t>is</w:t>
      </w:r>
      <w:r w:rsidR="00A03629">
        <w:t xml:space="preserve"> </w:t>
      </w:r>
      <w:r>
        <w:t>applied</w:t>
      </w:r>
      <w:r w:rsidR="00A03629">
        <w:t xml:space="preserve"> </w:t>
      </w:r>
      <w:r>
        <w:t>to</w:t>
      </w:r>
      <w:r w:rsidR="00A03629">
        <w:t xml:space="preserve"> </w:t>
      </w:r>
      <w:r>
        <w:t>contracts</w:t>
      </w:r>
      <w:r w:rsidR="00A03629">
        <w:t xml:space="preserve"> </w:t>
      </w:r>
      <w:proofErr w:type="gramStart"/>
      <w:r>
        <w:t>entered</w:t>
      </w:r>
      <w:r w:rsidR="00A03629">
        <w:t xml:space="preserve"> </w:t>
      </w:r>
      <w:r>
        <w:t>into</w:t>
      </w:r>
      <w:proofErr w:type="gramEnd"/>
      <w:r>
        <w:t>,</w:t>
      </w:r>
      <w:r w:rsidR="00A03629">
        <w:t xml:space="preserve"> </w:t>
      </w:r>
      <w:r>
        <w:t>or</w:t>
      </w:r>
      <w:r w:rsidR="00A03629">
        <w:rPr>
          <w:rFonts w:ascii="Cambria" w:hAnsi="Cambria" w:cs="Cambria"/>
        </w:rPr>
        <w:t xml:space="preserve"> </w:t>
      </w:r>
      <w:r>
        <w:t>changed,</w:t>
      </w:r>
      <w:r w:rsidR="00A03629">
        <w:t xml:space="preserve"> </w:t>
      </w:r>
      <w:r>
        <w:t>on</w:t>
      </w:r>
      <w:r w:rsidR="00A03629">
        <w:t xml:space="preserve"> </w:t>
      </w:r>
      <w:r>
        <w:t>or</w:t>
      </w:r>
      <w:r w:rsidR="00A03629">
        <w:t xml:space="preserve"> </w:t>
      </w:r>
      <w:r>
        <w:t>after</w:t>
      </w:r>
      <w:r w:rsidR="00A03629">
        <w:t xml:space="preserve"> </w:t>
      </w:r>
      <w:r>
        <w:t>1</w:t>
      </w:r>
      <w:r w:rsidR="00A03629">
        <w:t xml:space="preserve"> </w:t>
      </w:r>
      <w:r>
        <w:t>July</w:t>
      </w:r>
      <w:r w:rsidR="00A03629">
        <w:t xml:space="preserve"> </w:t>
      </w:r>
      <w:r>
        <w:t>2019.</w:t>
      </w:r>
    </w:p>
    <w:p w14:paraId="43F41047" w14:textId="0783E605" w:rsidR="000756EB" w:rsidRPr="000A356D" w:rsidRDefault="004A4D88" w:rsidP="000A356D">
      <w:pPr>
        <w:pStyle w:val="Normalbeforebullets"/>
        <w:rPr>
          <w:b/>
          <w:bCs/>
        </w:rPr>
      </w:pPr>
      <w:r w:rsidRPr="000A356D">
        <w:rPr>
          <w:b/>
          <w:bCs/>
        </w:rPr>
        <w:t>Separation</w:t>
      </w:r>
      <w:r w:rsidR="00A03629" w:rsidRPr="000A356D">
        <w:rPr>
          <w:b/>
          <w:bCs/>
        </w:rPr>
        <w:t xml:space="preserve"> </w:t>
      </w:r>
      <w:r w:rsidRPr="000A356D">
        <w:rPr>
          <w:b/>
          <w:bCs/>
        </w:rPr>
        <w:t>of</w:t>
      </w:r>
      <w:r w:rsidR="00A03629" w:rsidRPr="000A356D">
        <w:rPr>
          <w:b/>
          <w:bCs/>
        </w:rPr>
        <w:t xml:space="preserve"> </w:t>
      </w:r>
      <w:r w:rsidRPr="000A356D">
        <w:rPr>
          <w:b/>
          <w:bCs/>
        </w:rPr>
        <w:t>lease</w:t>
      </w:r>
      <w:r w:rsidR="00A03629" w:rsidRPr="000A356D">
        <w:rPr>
          <w:b/>
          <w:bCs/>
        </w:rPr>
        <w:t xml:space="preserve"> </w:t>
      </w:r>
      <w:r w:rsidRPr="000A356D">
        <w:rPr>
          <w:b/>
          <w:bCs/>
        </w:rPr>
        <w:t>and</w:t>
      </w:r>
      <w:r w:rsidR="00A03629" w:rsidRPr="000A356D">
        <w:rPr>
          <w:b/>
          <w:bCs/>
        </w:rPr>
        <w:t xml:space="preserve"> </w:t>
      </w:r>
      <w:r w:rsidRPr="000A356D">
        <w:rPr>
          <w:b/>
          <w:bCs/>
        </w:rPr>
        <w:t>non-lease</w:t>
      </w:r>
      <w:r w:rsidR="00A03629" w:rsidRPr="000A356D">
        <w:rPr>
          <w:b/>
          <w:bCs/>
        </w:rPr>
        <w:t xml:space="preserve"> </w:t>
      </w:r>
      <w:r w:rsidRPr="000A356D">
        <w:rPr>
          <w:b/>
          <w:bCs/>
        </w:rPr>
        <w:t>components</w:t>
      </w:r>
    </w:p>
    <w:p w14:paraId="052156ED" w14:textId="61B013E6" w:rsidR="000756EB" w:rsidRDefault="004A4D88" w:rsidP="000A356D">
      <w:r>
        <w:t>At</w:t>
      </w:r>
      <w:r w:rsidR="00A03629">
        <w:t xml:space="preserve"> </w:t>
      </w:r>
      <w:r>
        <w:t>inception</w:t>
      </w:r>
      <w:r w:rsidR="00A03629">
        <w:t xml:space="preserve"> </w:t>
      </w:r>
      <w:r>
        <w:t>or</w:t>
      </w:r>
      <w:r w:rsidR="00A03629">
        <w:t xml:space="preserve"> </w:t>
      </w:r>
      <w:r>
        <w:t>on</w:t>
      </w:r>
      <w:r w:rsidR="00A03629">
        <w:t xml:space="preserve"> </w:t>
      </w:r>
      <w:r>
        <w:t>reassessment</w:t>
      </w:r>
      <w:r w:rsidR="00A03629">
        <w:t xml:space="preserve"> </w:t>
      </w:r>
      <w:r>
        <w:t>of</w:t>
      </w:r>
      <w:r w:rsidR="00A03629">
        <w:t xml:space="preserve"> </w:t>
      </w:r>
      <w:r>
        <w:t>a</w:t>
      </w:r>
      <w:r w:rsidR="00A03629">
        <w:t xml:space="preserve"> </w:t>
      </w:r>
      <w:r>
        <w:t>contract</w:t>
      </w:r>
      <w:r w:rsidR="00A03629">
        <w:t xml:space="preserve"> </w:t>
      </w:r>
      <w:r>
        <w:t>that</w:t>
      </w:r>
      <w:r w:rsidR="00A03629">
        <w:rPr>
          <w:rFonts w:ascii="Cambria" w:hAnsi="Cambria" w:cs="Cambria"/>
        </w:rPr>
        <w:t xml:space="preserve"> </w:t>
      </w:r>
      <w:r>
        <w:t>contains</w:t>
      </w:r>
      <w:r w:rsidR="00A03629">
        <w:t xml:space="preserve"> </w:t>
      </w:r>
      <w:r>
        <w:t>a</w:t>
      </w:r>
      <w:r w:rsidR="00A03629">
        <w:t xml:space="preserve"> </w:t>
      </w:r>
      <w:r>
        <w:t>lease</w:t>
      </w:r>
      <w:r w:rsidR="00A03629">
        <w:t xml:space="preserve"> </w:t>
      </w:r>
      <w:r>
        <w:t>component,</w:t>
      </w:r>
      <w:r w:rsidR="00A03629">
        <w:t xml:space="preserve"> </w:t>
      </w:r>
      <w:r>
        <w:t>the</w:t>
      </w:r>
      <w:r w:rsidR="00A03629">
        <w:t xml:space="preserve"> </w:t>
      </w:r>
      <w:r>
        <w:t>lessee</w:t>
      </w:r>
      <w:r w:rsidR="00A03629">
        <w:t xml:space="preserve"> </w:t>
      </w:r>
      <w:r>
        <w:t>is</w:t>
      </w:r>
      <w:r w:rsidR="00A03629">
        <w:t xml:space="preserve"> </w:t>
      </w:r>
      <w:r>
        <w:t>required</w:t>
      </w:r>
      <w:r w:rsidR="00A03629">
        <w:t xml:space="preserve"> </w:t>
      </w:r>
      <w:r>
        <w:t>to</w:t>
      </w:r>
      <w:r w:rsidR="00A03629">
        <w:t xml:space="preserve"> </w:t>
      </w:r>
      <w:r>
        <w:t>separate</w:t>
      </w:r>
      <w:r w:rsidR="00A03629">
        <w:t xml:space="preserve"> </w:t>
      </w:r>
      <w:r>
        <w:t>out</w:t>
      </w:r>
      <w:r w:rsidR="00A03629">
        <w:t xml:space="preserve"> </w:t>
      </w:r>
      <w:r>
        <w:t>and</w:t>
      </w:r>
      <w:r w:rsidR="00A03629">
        <w:t xml:space="preserve"> </w:t>
      </w:r>
      <w:r>
        <w:t>account</w:t>
      </w:r>
      <w:r w:rsidR="00A03629">
        <w:t xml:space="preserve"> </w:t>
      </w:r>
      <w:r>
        <w:t>separately</w:t>
      </w:r>
      <w:r w:rsidR="00A03629">
        <w:t xml:space="preserve"> </w:t>
      </w:r>
      <w:r>
        <w:t>for</w:t>
      </w:r>
      <w:r w:rsidR="00A03629">
        <w:rPr>
          <w:rFonts w:ascii="Cambria" w:hAnsi="Cambria" w:cs="Cambria"/>
        </w:rPr>
        <w:t xml:space="preserve"> </w:t>
      </w:r>
      <w:r>
        <w:t>non-lease</w:t>
      </w:r>
      <w:r w:rsidR="00A03629">
        <w:t xml:space="preserve"> </w:t>
      </w:r>
      <w:r>
        <w:t>components</w:t>
      </w:r>
      <w:r w:rsidR="00A03629">
        <w:t xml:space="preserve"> </w:t>
      </w:r>
      <w:r>
        <w:t>within</w:t>
      </w:r>
      <w:r w:rsidR="00A03629">
        <w:t xml:space="preserve"> </w:t>
      </w:r>
      <w:r>
        <w:t>a</w:t>
      </w:r>
      <w:r w:rsidR="00A03629">
        <w:t xml:space="preserve"> </w:t>
      </w:r>
      <w:r>
        <w:t>lease</w:t>
      </w:r>
      <w:r w:rsidR="00A03629">
        <w:t xml:space="preserve"> </w:t>
      </w:r>
      <w:r>
        <w:t>contract</w:t>
      </w:r>
      <w:r w:rsidR="00A03629">
        <w:t xml:space="preserve"> </w:t>
      </w:r>
      <w:r>
        <w:t>and</w:t>
      </w:r>
      <w:r w:rsidR="00A03629">
        <w:t xml:space="preserve"> </w:t>
      </w:r>
      <w:r>
        <w:t>exclude</w:t>
      </w:r>
      <w:r w:rsidR="00A03629">
        <w:t xml:space="preserve"> </w:t>
      </w:r>
      <w:r>
        <w:t>these</w:t>
      </w:r>
      <w:r w:rsidR="00A03629">
        <w:t xml:space="preserve"> </w:t>
      </w:r>
      <w:r>
        <w:t>amounts</w:t>
      </w:r>
      <w:r w:rsidR="00A03629">
        <w:t xml:space="preserve"> </w:t>
      </w:r>
      <w:r>
        <w:t>when</w:t>
      </w:r>
      <w:r w:rsidR="00A03629">
        <w:t xml:space="preserve"> </w:t>
      </w:r>
      <w:r>
        <w:t>determining</w:t>
      </w:r>
      <w:r w:rsidR="00A03629">
        <w:t xml:space="preserve"> </w:t>
      </w:r>
      <w:r>
        <w:t>the</w:t>
      </w:r>
      <w:r w:rsidR="00A03629">
        <w:t xml:space="preserve"> </w:t>
      </w:r>
      <w:r>
        <w:t>lease</w:t>
      </w:r>
      <w:r w:rsidR="00A03629">
        <w:t xml:space="preserve"> </w:t>
      </w:r>
      <w:r>
        <w:t>liability</w:t>
      </w:r>
      <w:r w:rsidR="00A03629">
        <w:t xml:space="preserve"> </w:t>
      </w:r>
      <w:r>
        <w:t>and</w:t>
      </w:r>
      <w:r w:rsidR="00A03629">
        <w:t xml:space="preserve"> </w:t>
      </w:r>
      <w:r>
        <w:t>right-of-use</w:t>
      </w:r>
      <w:r w:rsidR="00A03629">
        <w:t xml:space="preserve"> </w:t>
      </w:r>
      <w:r>
        <w:t>asset</w:t>
      </w:r>
      <w:r w:rsidR="00A03629">
        <w:t xml:space="preserve"> </w:t>
      </w:r>
      <w:r>
        <w:t>amount.</w:t>
      </w:r>
    </w:p>
    <w:p w14:paraId="6B10817C" w14:textId="20675BA6" w:rsidR="000756EB" w:rsidRPr="000A356D" w:rsidRDefault="004A4D88" w:rsidP="000A356D">
      <w:pPr>
        <w:pStyle w:val="Normalbeforebullets"/>
        <w:rPr>
          <w:b/>
          <w:bCs/>
        </w:rPr>
      </w:pPr>
      <w:r w:rsidRPr="000A356D">
        <w:rPr>
          <w:b/>
          <w:bCs/>
        </w:rPr>
        <w:t>Recognition</w:t>
      </w:r>
      <w:r w:rsidR="00A03629" w:rsidRPr="000A356D">
        <w:rPr>
          <w:b/>
          <w:bCs/>
        </w:rPr>
        <w:t xml:space="preserve"> </w:t>
      </w:r>
      <w:r w:rsidRPr="000A356D">
        <w:rPr>
          <w:b/>
          <w:bCs/>
        </w:rPr>
        <w:t>and</w:t>
      </w:r>
      <w:r w:rsidR="00A03629" w:rsidRPr="000A356D">
        <w:rPr>
          <w:b/>
          <w:bCs/>
        </w:rPr>
        <w:t xml:space="preserve"> </w:t>
      </w:r>
      <w:r w:rsidRPr="000A356D">
        <w:rPr>
          <w:b/>
          <w:bCs/>
        </w:rPr>
        <w:t>measurement</w:t>
      </w:r>
      <w:r w:rsidR="00A03629" w:rsidRPr="000A356D">
        <w:rPr>
          <w:b/>
          <w:bCs/>
        </w:rPr>
        <w:t xml:space="preserve"> </w:t>
      </w:r>
      <w:r w:rsidRPr="000A356D">
        <w:rPr>
          <w:b/>
          <w:bCs/>
        </w:rPr>
        <w:t>of</w:t>
      </w:r>
      <w:r w:rsidR="00A03629" w:rsidRPr="000A356D">
        <w:rPr>
          <w:rFonts w:ascii="Cambria" w:hAnsi="Cambria" w:cs="Cambria"/>
          <w:b/>
          <w:bCs/>
        </w:rPr>
        <w:t xml:space="preserve"> </w:t>
      </w:r>
      <w:r w:rsidRPr="000A356D">
        <w:rPr>
          <w:b/>
          <w:bCs/>
        </w:rPr>
        <w:t>leases</w:t>
      </w:r>
      <w:r w:rsidR="00A03629" w:rsidRPr="000A356D">
        <w:rPr>
          <w:b/>
          <w:bCs/>
        </w:rPr>
        <w:t xml:space="preserve"> </w:t>
      </w:r>
      <w:r w:rsidRPr="000A356D">
        <w:rPr>
          <w:b/>
          <w:bCs/>
        </w:rPr>
        <w:t>as</w:t>
      </w:r>
      <w:r w:rsidR="00A03629" w:rsidRPr="000A356D">
        <w:rPr>
          <w:rFonts w:ascii="Cambria" w:hAnsi="Cambria" w:cs="Cambria"/>
          <w:b/>
          <w:bCs/>
        </w:rPr>
        <w:t xml:space="preserve"> </w:t>
      </w:r>
      <w:r w:rsidRPr="000A356D">
        <w:rPr>
          <w:b/>
          <w:bCs/>
        </w:rPr>
        <w:t>a</w:t>
      </w:r>
      <w:r w:rsidR="00A03629" w:rsidRPr="000A356D">
        <w:rPr>
          <w:rFonts w:ascii="Cambria" w:hAnsi="Cambria" w:cs="Cambria"/>
          <w:b/>
          <w:bCs/>
        </w:rPr>
        <w:t xml:space="preserve"> </w:t>
      </w:r>
      <w:r w:rsidRPr="000A356D">
        <w:rPr>
          <w:b/>
          <w:bCs/>
        </w:rPr>
        <w:t>lessee</w:t>
      </w:r>
    </w:p>
    <w:p w14:paraId="73446582" w14:textId="4D5E290C" w:rsidR="000756EB" w:rsidRPr="000A356D" w:rsidRDefault="004A4D88" w:rsidP="000A356D">
      <w:pPr>
        <w:pStyle w:val="Normalbeforebullets"/>
        <w:rPr>
          <w:b/>
          <w:bCs/>
        </w:rPr>
      </w:pPr>
      <w:r w:rsidRPr="000A356D">
        <w:rPr>
          <w:b/>
          <w:bCs/>
        </w:rPr>
        <w:t>Lease</w:t>
      </w:r>
      <w:r w:rsidR="00A03629" w:rsidRPr="000A356D">
        <w:rPr>
          <w:b/>
          <w:bCs/>
        </w:rPr>
        <w:t xml:space="preserve"> </w:t>
      </w:r>
      <w:r w:rsidRPr="000A356D">
        <w:rPr>
          <w:b/>
          <w:bCs/>
        </w:rPr>
        <w:t>liability</w:t>
      </w:r>
      <w:r w:rsidR="00A03629" w:rsidRPr="000A356D">
        <w:rPr>
          <w:b/>
          <w:bCs/>
        </w:rPr>
        <w:t xml:space="preserve"> </w:t>
      </w:r>
      <w:r w:rsidRPr="000A356D">
        <w:rPr>
          <w:b/>
          <w:bCs/>
        </w:rPr>
        <w:t>–</w:t>
      </w:r>
      <w:r w:rsidR="00A03629" w:rsidRPr="000A356D">
        <w:rPr>
          <w:b/>
          <w:bCs/>
        </w:rPr>
        <w:t xml:space="preserve"> </w:t>
      </w:r>
      <w:r w:rsidRPr="000A356D">
        <w:rPr>
          <w:b/>
          <w:bCs/>
        </w:rPr>
        <w:t>initial</w:t>
      </w:r>
      <w:r w:rsidR="00A03629" w:rsidRPr="000A356D">
        <w:rPr>
          <w:b/>
          <w:bCs/>
        </w:rPr>
        <w:t xml:space="preserve"> </w:t>
      </w:r>
      <w:r w:rsidRPr="000A356D">
        <w:rPr>
          <w:b/>
          <w:bCs/>
        </w:rPr>
        <w:t>measurement</w:t>
      </w:r>
    </w:p>
    <w:p w14:paraId="21F728FC" w14:textId="6951DF92" w:rsidR="000756EB" w:rsidRDefault="004A4D88" w:rsidP="000A356D">
      <w:r>
        <w:t>The</w:t>
      </w:r>
      <w:r w:rsidR="00A03629">
        <w:t xml:space="preserve"> </w:t>
      </w:r>
      <w:r>
        <w:t>lease</w:t>
      </w:r>
      <w:r w:rsidR="00A03629">
        <w:t xml:space="preserve"> </w:t>
      </w:r>
      <w:r>
        <w:t>liability</w:t>
      </w:r>
      <w:r w:rsidR="00A03629">
        <w:t xml:space="preserve"> </w:t>
      </w:r>
      <w:r>
        <w:t>is</w:t>
      </w:r>
      <w:r w:rsidR="00A03629">
        <w:t xml:space="preserve"> </w:t>
      </w:r>
      <w:r>
        <w:t>initially</w:t>
      </w:r>
      <w:r w:rsidR="00A03629">
        <w:t xml:space="preserve"> </w:t>
      </w:r>
      <w:r>
        <w:t>measured</w:t>
      </w:r>
      <w:r w:rsidR="00A03629">
        <w:t xml:space="preserve"> </w:t>
      </w:r>
      <w:r>
        <w:t>at</w:t>
      </w:r>
      <w:r w:rsidR="00A03629">
        <w:t xml:space="preserve"> </w:t>
      </w:r>
      <w:r>
        <w:t>the</w:t>
      </w:r>
      <w:r w:rsidR="00A03629">
        <w:t xml:space="preserve"> </w:t>
      </w:r>
      <w:r>
        <w:t>present</w:t>
      </w:r>
      <w:r w:rsidR="00A03629">
        <w:t xml:space="preserve"> </w:t>
      </w:r>
      <w:r>
        <w:t>value</w:t>
      </w:r>
      <w:r w:rsidR="00A03629">
        <w:t xml:space="preserve"> </w:t>
      </w:r>
      <w:r>
        <w:t>of</w:t>
      </w:r>
      <w:r w:rsidR="00A03629">
        <w:t xml:space="preserve"> </w:t>
      </w:r>
      <w:r>
        <w:t>the</w:t>
      </w:r>
      <w:r w:rsidR="00A03629">
        <w:t xml:space="preserve"> </w:t>
      </w:r>
      <w:r>
        <w:t>lease</w:t>
      </w:r>
      <w:r w:rsidR="00A03629">
        <w:t xml:space="preserve"> </w:t>
      </w:r>
      <w:r>
        <w:t>payments</w:t>
      </w:r>
      <w:r w:rsidR="00A03629">
        <w:t xml:space="preserve"> </w:t>
      </w:r>
      <w:r>
        <w:t>unpaid</w:t>
      </w:r>
      <w:r w:rsidR="00A03629">
        <w:t xml:space="preserve"> </w:t>
      </w:r>
      <w:r>
        <w:t>at</w:t>
      </w:r>
      <w:r w:rsidR="00A03629">
        <w:t xml:space="preserve"> </w:t>
      </w:r>
      <w:r>
        <w:t>the</w:t>
      </w:r>
      <w:r w:rsidR="00A03629">
        <w:t xml:space="preserve"> </w:t>
      </w:r>
      <w:r>
        <w:t>commencement</w:t>
      </w:r>
      <w:r w:rsidR="00A03629">
        <w:t xml:space="preserve"> </w:t>
      </w:r>
      <w:r>
        <w:t>date,</w:t>
      </w:r>
      <w:r w:rsidR="00A03629">
        <w:t xml:space="preserve"> </w:t>
      </w:r>
      <w:r>
        <w:t>discounted</w:t>
      </w:r>
      <w:r w:rsidR="00A03629">
        <w:t xml:space="preserve"> </w:t>
      </w:r>
      <w:r>
        <w:t>using</w:t>
      </w:r>
      <w:r w:rsidR="00A03629">
        <w:t xml:space="preserve"> </w:t>
      </w:r>
      <w:r>
        <w:t>the</w:t>
      </w:r>
      <w:r w:rsidR="00A03629">
        <w:t xml:space="preserve"> </w:t>
      </w:r>
      <w:r>
        <w:t>interest</w:t>
      </w:r>
      <w:r w:rsidR="00A03629">
        <w:t xml:space="preserve"> </w:t>
      </w:r>
      <w:r>
        <w:t>rate</w:t>
      </w:r>
      <w:r w:rsidR="00A03629">
        <w:t xml:space="preserve"> </w:t>
      </w:r>
      <w:r>
        <w:t>implicit</w:t>
      </w:r>
      <w:r w:rsidR="00A03629">
        <w:t xml:space="preserve"> </w:t>
      </w:r>
      <w:r>
        <w:t>in</w:t>
      </w:r>
      <w:r w:rsidR="00A03629">
        <w:t xml:space="preserve"> </w:t>
      </w:r>
      <w:r>
        <w:t>the</w:t>
      </w:r>
      <w:r w:rsidR="00A03629">
        <w:t xml:space="preserve"> </w:t>
      </w:r>
      <w:r>
        <w:t>lease</w:t>
      </w:r>
      <w:r w:rsidR="00A03629">
        <w:t xml:space="preserve"> </w:t>
      </w:r>
      <w:r>
        <w:t>if</w:t>
      </w:r>
      <w:r w:rsidR="00A03629">
        <w:t xml:space="preserve"> </w:t>
      </w:r>
      <w:r>
        <w:t>that</w:t>
      </w:r>
      <w:r w:rsidR="00A03629">
        <w:t xml:space="preserve"> </w:t>
      </w:r>
      <w:r>
        <w:t>rate</w:t>
      </w:r>
      <w:r w:rsidR="00A03629">
        <w:t xml:space="preserve"> </w:t>
      </w:r>
      <w:r>
        <w:t>is</w:t>
      </w:r>
      <w:r w:rsidR="00A03629">
        <w:t xml:space="preserve"> </w:t>
      </w:r>
      <w:r>
        <w:t>readily</w:t>
      </w:r>
      <w:r w:rsidR="00A03629">
        <w:t xml:space="preserve"> </w:t>
      </w:r>
      <w:r>
        <w:t>determinable</w:t>
      </w:r>
      <w:r w:rsidR="00A03629">
        <w:t xml:space="preserve"> </w:t>
      </w:r>
      <w:r>
        <w:t>or</w:t>
      </w:r>
      <w:r w:rsidR="00A03629">
        <w:t xml:space="preserve"> </w:t>
      </w:r>
      <w:r>
        <w:t>DJSIR’s</w:t>
      </w:r>
      <w:r w:rsidR="00A03629">
        <w:t xml:space="preserve"> </w:t>
      </w:r>
      <w:r>
        <w:t>incremental</w:t>
      </w:r>
      <w:r w:rsidR="00A03629">
        <w:t xml:space="preserve"> </w:t>
      </w:r>
      <w:r>
        <w:t>borrowing</w:t>
      </w:r>
      <w:r w:rsidR="00A03629">
        <w:t xml:space="preserve"> </w:t>
      </w:r>
      <w:r>
        <w:t>rate.</w:t>
      </w:r>
    </w:p>
    <w:p w14:paraId="21EC0FA9" w14:textId="692F0913" w:rsidR="000756EB" w:rsidRDefault="004A4D88" w:rsidP="000A356D">
      <w:pPr>
        <w:pStyle w:val="Normalbeforebullets"/>
      </w:pPr>
      <w:r>
        <w:t>Lease</w:t>
      </w:r>
      <w:r w:rsidR="00A03629">
        <w:t xml:space="preserve"> </w:t>
      </w:r>
      <w:r>
        <w:t>payments</w:t>
      </w:r>
      <w:r w:rsidR="00A03629">
        <w:t xml:space="preserve"> </w:t>
      </w:r>
      <w:r>
        <w:t>included</w:t>
      </w:r>
      <w:r w:rsidR="00A03629">
        <w:t xml:space="preserve"> </w:t>
      </w:r>
      <w:r>
        <w:t>in</w:t>
      </w:r>
      <w:r w:rsidR="00A03629">
        <w:t xml:space="preserve"> </w:t>
      </w:r>
      <w:r>
        <w:t>the</w:t>
      </w:r>
      <w:r w:rsidR="00A03629">
        <w:t xml:space="preserve"> </w:t>
      </w:r>
      <w:r>
        <w:t>measurement</w:t>
      </w:r>
      <w:r w:rsidR="00A03629">
        <w:t xml:space="preserve"> </w:t>
      </w:r>
      <w:r>
        <w:t>of</w:t>
      </w:r>
      <w:r w:rsidR="00A03629">
        <w:rPr>
          <w:rFonts w:ascii="Cambria" w:hAnsi="Cambria" w:cs="Cambria"/>
        </w:rPr>
        <w:t xml:space="preserve"> </w:t>
      </w:r>
      <w:r>
        <w:t>the</w:t>
      </w:r>
      <w:r w:rsidR="00A03629">
        <w:rPr>
          <w:rFonts w:ascii="Cambria" w:hAnsi="Cambria" w:cs="Cambria"/>
        </w:rPr>
        <w:t xml:space="preserve"> </w:t>
      </w:r>
      <w:r>
        <w:t>lease</w:t>
      </w:r>
      <w:r w:rsidR="00A03629">
        <w:t xml:space="preserve"> </w:t>
      </w:r>
      <w:r>
        <w:t>liability</w:t>
      </w:r>
      <w:r w:rsidR="00A03629">
        <w:t xml:space="preserve"> </w:t>
      </w:r>
      <w:r>
        <w:t>comprise</w:t>
      </w:r>
      <w:r w:rsidR="00A03629">
        <w:t xml:space="preserve"> </w:t>
      </w:r>
      <w:r>
        <w:t>the</w:t>
      </w:r>
      <w:r w:rsidR="00A03629">
        <w:t xml:space="preserve"> </w:t>
      </w:r>
      <w:r>
        <w:t>following:</w:t>
      </w:r>
    </w:p>
    <w:p w14:paraId="78217E23" w14:textId="0EF5BD20" w:rsidR="000756EB" w:rsidRDefault="004A4D88" w:rsidP="000A356D">
      <w:pPr>
        <w:pStyle w:val="Bullet"/>
      </w:pPr>
      <w:r>
        <w:t>fixed</w:t>
      </w:r>
      <w:r w:rsidR="00A03629">
        <w:t xml:space="preserve"> </w:t>
      </w:r>
      <w:r>
        <w:t>payments</w:t>
      </w:r>
      <w:r w:rsidR="00A03629">
        <w:t xml:space="preserve"> </w:t>
      </w:r>
      <w:r>
        <w:t>(including</w:t>
      </w:r>
      <w:r w:rsidR="00A03629">
        <w:t xml:space="preserve"> </w:t>
      </w:r>
      <w:r>
        <w:t>in-substance</w:t>
      </w:r>
      <w:r w:rsidR="00A03629">
        <w:t xml:space="preserve"> </w:t>
      </w:r>
      <w:r>
        <w:t>fixed</w:t>
      </w:r>
      <w:r w:rsidR="00A03629">
        <w:t xml:space="preserve"> </w:t>
      </w:r>
      <w:r>
        <w:t>payments)</w:t>
      </w:r>
      <w:r w:rsidR="00A03629">
        <w:t xml:space="preserve"> </w:t>
      </w:r>
      <w:r>
        <w:t>less</w:t>
      </w:r>
      <w:r w:rsidR="00A03629">
        <w:t xml:space="preserve"> </w:t>
      </w:r>
      <w:r>
        <w:t>any</w:t>
      </w:r>
      <w:r w:rsidR="00A03629">
        <w:t xml:space="preserve"> </w:t>
      </w:r>
      <w:r>
        <w:t>lease</w:t>
      </w:r>
      <w:r w:rsidR="00A03629">
        <w:t xml:space="preserve"> </w:t>
      </w:r>
      <w:r>
        <w:t>incentive</w:t>
      </w:r>
      <w:r w:rsidR="00A03629">
        <w:t xml:space="preserve"> </w:t>
      </w:r>
      <w:proofErr w:type="gramStart"/>
      <w:r>
        <w:t>receivable;</w:t>
      </w:r>
      <w:proofErr w:type="gramEnd"/>
    </w:p>
    <w:p w14:paraId="37F10A50" w14:textId="2D8DD6B3" w:rsidR="000756EB" w:rsidRDefault="004A4D88" w:rsidP="000A356D">
      <w:pPr>
        <w:pStyle w:val="Bullet"/>
      </w:pPr>
      <w:r>
        <w:t>variable</w:t>
      </w:r>
      <w:r w:rsidR="00A03629">
        <w:t xml:space="preserve"> </w:t>
      </w:r>
      <w:r>
        <w:t>payments</w:t>
      </w:r>
      <w:r w:rsidR="00A03629">
        <w:t xml:space="preserve"> </w:t>
      </w:r>
      <w:r>
        <w:t>based</w:t>
      </w:r>
      <w:r w:rsidR="00A03629">
        <w:t xml:space="preserve"> </w:t>
      </w:r>
      <w:r>
        <w:t>on</w:t>
      </w:r>
      <w:r w:rsidR="00A03629">
        <w:t xml:space="preserve"> </w:t>
      </w:r>
      <w:r>
        <w:t>an</w:t>
      </w:r>
      <w:r w:rsidR="00A03629">
        <w:t xml:space="preserve"> </w:t>
      </w:r>
      <w:r>
        <w:t>index</w:t>
      </w:r>
      <w:r w:rsidR="00A03629">
        <w:t xml:space="preserve"> </w:t>
      </w:r>
      <w:r>
        <w:t>or</w:t>
      </w:r>
      <w:r w:rsidR="00A03629">
        <w:t xml:space="preserve"> </w:t>
      </w:r>
      <w:r>
        <w:t>rate,</w:t>
      </w:r>
      <w:r w:rsidR="00A03629">
        <w:t xml:space="preserve"> </w:t>
      </w:r>
      <w:r>
        <w:t>initially</w:t>
      </w:r>
      <w:r w:rsidR="00A03629">
        <w:t xml:space="preserve"> </w:t>
      </w:r>
      <w:r>
        <w:t>measured</w:t>
      </w:r>
      <w:r w:rsidR="00A03629">
        <w:t xml:space="preserve"> </w:t>
      </w:r>
      <w:r>
        <w:t>using</w:t>
      </w:r>
      <w:r w:rsidR="00A03629">
        <w:t xml:space="preserve"> </w:t>
      </w:r>
      <w:r>
        <w:t>the</w:t>
      </w:r>
      <w:r w:rsidR="00A03629">
        <w:t xml:space="preserve"> </w:t>
      </w:r>
      <w:r>
        <w:t>index</w:t>
      </w:r>
      <w:r w:rsidR="00A03629">
        <w:t xml:space="preserve"> </w:t>
      </w:r>
      <w:r>
        <w:t>or</w:t>
      </w:r>
      <w:r w:rsidR="00A03629">
        <w:t xml:space="preserve"> </w:t>
      </w:r>
      <w:r>
        <w:t>rate</w:t>
      </w:r>
      <w:r w:rsidR="00A03629">
        <w:t xml:space="preserve"> </w:t>
      </w:r>
      <w:r>
        <w:t>as</w:t>
      </w:r>
      <w:r w:rsidR="00A03629">
        <w:t xml:space="preserve"> </w:t>
      </w:r>
      <w:r>
        <w:t>at</w:t>
      </w:r>
      <w:r w:rsidR="00A03629">
        <w:rPr>
          <w:rFonts w:ascii="Cambria" w:hAnsi="Cambria" w:cs="Cambria"/>
        </w:rPr>
        <w:t xml:space="preserve"> </w:t>
      </w:r>
      <w:r>
        <w:t>the</w:t>
      </w:r>
      <w:r w:rsidR="00A03629">
        <w:rPr>
          <w:rFonts w:ascii="Cambria" w:hAnsi="Cambria" w:cs="Cambria"/>
        </w:rPr>
        <w:t xml:space="preserve"> </w:t>
      </w:r>
      <w:r>
        <w:t>commencement</w:t>
      </w:r>
      <w:r w:rsidR="00A03629">
        <w:t xml:space="preserve"> </w:t>
      </w:r>
      <w:proofErr w:type="gramStart"/>
      <w:r>
        <w:t>date;</w:t>
      </w:r>
      <w:proofErr w:type="gramEnd"/>
    </w:p>
    <w:p w14:paraId="352573CF" w14:textId="15152C28" w:rsidR="000756EB" w:rsidRDefault="004A4D88" w:rsidP="000A356D">
      <w:pPr>
        <w:pStyle w:val="Bullet"/>
      </w:pPr>
      <w:r>
        <w:t>amounts</w:t>
      </w:r>
      <w:r w:rsidR="00A03629">
        <w:t xml:space="preserve"> </w:t>
      </w:r>
      <w:r>
        <w:t>expected</w:t>
      </w:r>
      <w:r w:rsidR="00A03629">
        <w:t xml:space="preserve"> </w:t>
      </w:r>
      <w:r>
        <w:t>to</w:t>
      </w:r>
      <w:r w:rsidR="00A03629">
        <w:t xml:space="preserve"> </w:t>
      </w:r>
      <w:r>
        <w:t>be</w:t>
      </w:r>
      <w:r w:rsidR="00A03629">
        <w:t xml:space="preserve"> </w:t>
      </w:r>
      <w:r>
        <w:t>payable</w:t>
      </w:r>
      <w:r w:rsidR="00A03629">
        <w:t xml:space="preserve"> </w:t>
      </w:r>
      <w:r>
        <w:t>under</w:t>
      </w:r>
      <w:r w:rsidR="00A03629">
        <w:t xml:space="preserve"> </w:t>
      </w:r>
      <w:r>
        <w:t>a</w:t>
      </w:r>
      <w:r w:rsidR="00A03629">
        <w:rPr>
          <w:rFonts w:ascii="Cambria" w:hAnsi="Cambria" w:cs="Cambria"/>
        </w:rPr>
        <w:t xml:space="preserve"> </w:t>
      </w:r>
      <w:r>
        <w:t>residual</w:t>
      </w:r>
      <w:r w:rsidR="00A03629">
        <w:rPr>
          <w:rFonts w:ascii="Cambria" w:hAnsi="Cambria" w:cs="Cambria"/>
        </w:rPr>
        <w:t xml:space="preserve"> </w:t>
      </w:r>
      <w:r>
        <w:t>value</w:t>
      </w:r>
      <w:r w:rsidR="00A03629">
        <w:t xml:space="preserve"> </w:t>
      </w:r>
      <w:r>
        <w:t>guarantee;</w:t>
      </w:r>
      <w:r w:rsidR="00A03629">
        <w:t xml:space="preserve"> </w:t>
      </w:r>
      <w:r>
        <w:t>and</w:t>
      </w:r>
    </w:p>
    <w:p w14:paraId="78D89061" w14:textId="028EC839" w:rsidR="000756EB" w:rsidRDefault="004A4D88" w:rsidP="000A356D">
      <w:pPr>
        <w:pStyle w:val="Bulletlast"/>
      </w:pPr>
      <w:r>
        <w:t>payments</w:t>
      </w:r>
      <w:r w:rsidR="00A03629">
        <w:t xml:space="preserve"> </w:t>
      </w:r>
      <w:r>
        <w:t>arising</w:t>
      </w:r>
      <w:r w:rsidR="00A03629">
        <w:t xml:space="preserve"> </w:t>
      </w:r>
      <w:r>
        <w:t>from</w:t>
      </w:r>
      <w:r w:rsidR="00A03629">
        <w:t xml:space="preserve"> </w:t>
      </w:r>
      <w:r>
        <w:t>purchase</w:t>
      </w:r>
      <w:r w:rsidR="00A03629">
        <w:t xml:space="preserve"> </w:t>
      </w:r>
      <w:r>
        <w:t>and</w:t>
      </w:r>
      <w:r w:rsidR="00A03629">
        <w:t xml:space="preserve"> </w:t>
      </w:r>
      <w:r>
        <w:t>termination</w:t>
      </w:r>
      <w:r w:rsidR="00A03629">
        <w:t xml:space="preserve"> </w:t>
      </w:r>
      <w:r>
        <w:t>options</w:t>
      </w:r>
      <w:r w:rsidR="00A03629">
        <w:t xml:space="preserve"> </w:t>
      </w:r>
      <w:r>
        <w:t>reasonably</w:t>
      </w:r>
      <w:r w:rsidR="00A03629">
        <w:t xml:space="preserve"> </w:t>
      </w:r>
      <w:r>
        <w:t>certain</w:t>
      </w:r>
      <w:r w:rsidR="00A03629">
        <w:t xml:space="preserve"> </w:t>
      </w:r>
      <w:r>
        <w:t>to</w:t>
      </w:r>
      <w:r w:rsidR="00A03629">
        <w:t xml:space="preserve"> </w:t>
      </w:r>
      <w:r>
        <w:t>be</w:t>
      </w:r>
      <w:r w:rsidR="00A03629">
        <w:t xml:space="preserve"> </w:t>
      </w:r>
      <w:r>
        <w:t>exercised.</w:t>
      </w:r>
    </w:p>
    <w:p w14:paraId="2727E4AF" w14:textId="6DD07EFF" w:rsidR="000756EB" w:rsidRPr="000A356D" w:rsidRDefault="004A4D88" w:rsidP="000A356D">
      <w:pPr>
        <w:pStyle w:val="Normalbeforebullets"/>
        <w:rPr>
          <w:b/>
          <w:bCs/>
        </w:rPr>
      </w:pPr>
      <w:r w:rsidRPr="000A356D">
        <w:rPr>
          <w:b/>
          <w:bCs/>
        </w:rPr>
        <w:t>Lease</w:t>
      </w:r>
      <w:r w:rsidR="00A03629" w:rsidRPr="000A356D">
        <w:rPr>
          <w:b/>
          <w:bCs/>
        </w:rPr>
        <w:t xml:space="preserve"> </w:t>
      </w:r>
      <w:r w:rsidRPr="000A356D">
        <w:rPr>
          <w:b/>
          <w:bCs/>
        </w:rPr>
        <w:t>liability</w:t>
      </w:r>
      <w:r w:rsidR="00A03629" w:rsidRPr="000A356D">
        <w:rPr>
          <w:b/>
          <w:bCs/>
        </w:rPr>
        <w:t xml:space="preserve"> </w:t>
      </w:r>
      <w:r w:rsidRPr="000A356D">
        <w:rPr>
          <w:b/>
          <w:bCs/>
        </w:rPr>
        <w:t>–</w:t>
      </w:r>
      <w:r w:rsidR="00A03629" w:rsidRPr="000A356D">
        <w:rPr>
          <w:b/>
          <w:bCs/>
        </w:rPr>
        <w:t xml:space="preserve"> </w:t>
      </w:r>
      <w:r w:rsidRPr="000A356D">
        <w:rPr>
          <w:b/>
          <w:bCs/>
        </w:rPr>
        <w:t>subsequent</w:t>
      </w:r>
      <w:r w:rsidR="00A03629" w:rsidRPr="000A356D">
        <w:rPr>
          <w:b/>
          <w:bCs/>
        </w:rPr>
        <w:t xml:space="preserve"> </w:t>
      </w:r>
      <w:r w:rsidRPr="000A356D">
        <w:rPr>
          <w:b/>
          <w:bCs/>
        </w:rPr>
        <w:t>measurement</w:t>
      </w:r>
    </w:p>
    <w:p w14:paraId="407CC266" w14:textId="4CB97268" w:rsidR="000756EB" w:rsidRDefault="004A4D88" w:rsidP="000A356D">
      <w:proofErr w:type="gramStart"/>
      <w:r>
        <w:t>Subsequent</w:t>
      </w:r>
      <w:r w:rsidR="00A03629">
        <w:t xml:space="preserve"> </w:t>
      </w:r>
      <w:r>
        <w:t>to</w:t>
      </w:r>
      <w:proofErr w:type="gramEnd"/>
      <w:r w:rsidR="00A03629">
        <w:t xml:space="preserve"> </w:t>
      </w:r>
      <w:r>
        <w:t>initial</w:t>
      </w:r>
      <w:r w:rsidR="00A03629">
        <w:t xml:space="preserve"> </w:t>
      </w:r>
      <w:r>
        <w:t>measurement,</w:t>
      </w:r>
      <w:r w:rsidR="00A03629">
        <w:t xml:space="preserve"> </w:t>
      </w:r>
      <w:r>
        <w:t>the</w:t>
      </w:r>
      <w:r w:rsidR="00A03629">
        <w:t xml:space="preserve"> </w:t>
      </w:r>
      <w:r>
        <w:t>liability</w:t>
      </w:r>
      <w:r w:rsidR="00A03629">
        <w:t xml:space="preserve"> </w:t>
      </w:r>
      <w:r>
        <w:t>will</w:t>
      </w:r>
      <w:r w:rsidR="00A03629">
        <w:rPr>
          <w:rFonts w:ascii="Cambria" w:hAnsi="Cambria" w:cs="Cambria"/>
        </w:rPr>
        <w:t xml:space="preserve"> </w:t>
      </w:r>
      <w:r>
        <w:t>be</w:t>
      </w:r>
      <w:r w:rsidR="00A03629">
        <w:t xml:space="preserve"> </w:t>
      </w:r>
      <w:r>
        <w:t>reduced</w:t>
      </w:r>
      <w:r w:rsidR="00A03629">
        <w:t xml:space="preserve"> </w:t>
      </w:r>
      <w:r>
        <w:t>for</w:t>
      </w:r>
      <w:r w:rsidR="00A03629">
        <w:t xml:space="preserve"> </w:t>
      </w:r>
      <w:r>
        <w:t>payments</w:t>
      </w:r>
      <w:r w:rsidR="00A03629">
        <w:t xml:space="preserve"> </w:t>
      </w:r>
      <w:r>
        <w:t>made</w:t>
      </w:r>
      <w:r w:rsidR="00A03629">
        <w:t xml:space="preserve"> </w:t>
      </w:r>
      <w:r>
        <w:t>and</w:t>
      </w:r>
      <w:r w:rsidR="00A03629">
        <w:t xml:space="preserve"> </w:t>
      </w:r>
      <w:r>
        <w:t>increases</w:t>
      </w:r>
      <w:r w:rsidR="00A03629">
        <w:t xml:space="preserve"> </w:t>
      </w:r>
      <w:r>
        <w:t>for</w:t>
      </w:r>
      <w:r w:rsidR="00A03629">
        <w:t xml:space="preserve"> </w:t>
      </w:r>
      <w:r>
        <w:t>interest.</w:t>
      </w:r>
      <w:r w:rsidR="00A03629">
        <w:t xml:space="preserve"> </w:t>
      </w:r>
      <w:r>
        <w:t>It</w:t>
      </w:r>
      <w:r w:rsidR="00A03629">
        <w:t xml:space="preserve"> </w:t>
      </w:r>
      <w:r>
        <w:t>is</w:t>
      </w:r>
      <w:r w:rsidR="00A03629">
        <w:t xml:space="preserve"> </w:t>
      </w:r>
      <w:r>
        <w:t>remeasured</w:t>
      </w:r>
      <w:r w:rsidR="00A03629">
        <w:t xml:space="preserve"> </w:t>
      </w:r>
      <w:r>
        <w:t>to</w:t>
      </w:r>
      <w:r w:rsidR="00A03629">
        <w:t xml:space="preserve"> </w:t>
      </w:r>
      <w:r>
        <w:t>reflect</w:t>
      </w:r>
      <w:r w:rsidR="00A03629">
        <w:t xml:space="preserve"> </w:t>
      </w:r>
      <w:r>
        <w:t>any</w:t>
      </w:r>
      <w:r w:rsidR="00A03629">
        <w:t xml:space="preserve"> </w:t>
      </w:r>
      <w:r>
        <w:t>reassessment</w:t>
      </w:r>
      <w:r w:rsidR="00A03629">
        <w:t xml:space="preserve"> </w:t>
      </w:r>
      <w:r>
        <w:t>or</w:t>
      </w:r>
      <w:r w:rsidR="00A03629">
        <w:t xml:space="preserve"> </w:t>
      </w:r>
      <w:r>
        <w:t>modification,</w:t>
      </w:r>
      <w:r w:rsidR="00A03629">
        <w:t xml:space="preserve"> </w:t>
      </w:r>
      <w:r>
        <w:t>or</w:t>
      </w:r>
      <w:r w:rsidR="00A03629">
        <w:t xml:space="preserve"> </w:t>
      </w:r>
      <w:r>
        <w:t>if</w:t>
      </w:r>
      <w:r w:rsidR="00A03629">
        <w:t xml:space="preserve"> </w:t>
      </w:r>
      <w:r>
        <w:t>there</w:t>
      </w:r>
      <w:r w:rsidR="00A03629">
        <w:t xml:space="preserve"> </w:t>
      </w:r>
      <w:r>
        <w:t>are</w:t>
      </w:r>
      <w:r w:rsidR="00A03629">
        <w:t xml:space="preserve"> </w:t>
      </w:r>
      <w:r>
        <w:t>changes</w:t>
      </w:r>
      <w:r w:rsidR="00A03629">
        <w:t xml:space="preserve"> </w:t>
      </w:r>
      <w:r>
        <w:t>in-stance</w:t>
      </w:r>
      <w:r w:rsidR="00A03629">
        <w:t xml:space="preserve"> </w:t>
      </w:r>
      <w:r>
        <w:t>fixed</w:t>
      </w:r>
      <w:r w:rsidR="00A03629">
        <w:t xml:space="preserve"> </w:t>
      </w:r>
      <w:r>
        <w:t>payments.</w:t>
      </w:r>
    </w:p>
    <w:p w14:paraId="0D3A9F12" w14:textId="05502B43" w:rsidR="000756EB" w:rsidRDefault="004A4D88" w:rsidP="000A356D">
      <w:r>
        <w:lastRenderedPageBreak/>
        <w:t>When</w:t>
      </w:r>
      <w:r w:rsidR="00A03629">
        <w:t xml:space="preserve"> </w:t>
      </w:r>
      <w:r>
        <w:t>the</w:t>
      </w:r>
      <w:r w:rsidR="00A03629">
        <w:t xml:space="preserve"> </w:t>
      </w:r>
      <w:r>
        <w:t>lease</w:t>
      </w:r>
      <w:r w:rsidR="00A03629">
        <w:t xml:space="preserve"> </w:t>
      </w:r>
      <w:r>
        <w:t>liability</w:t>
      </w:r>
      <w:r w:rsidR="00A03629">
        <w:t xml:space="preserve"> </w:t>
      </w:r>
      <w:r>
        <w:t>is</w:t>
      </w:r>
      <w:r w:rsidR="00A03629">
        <w:t xml:space="preserve"> </w:t>
      </w:r>
      <w:r>
        <w:t>remeasured,</w:t>
      </w:r>
      <w:r w:rsidR="00A03629">
        <w:t xml:space="preserve"> </w:t>
      </w:r>
      <w:r>
        <w:t>the</w:t>
      </w:r>
      <w:r w:rsidR="00A03629">
        <w:t xml:space="preserve"> </w:t>
      </w:r>
      <w:r>
        <w:t>corresponding</w:t>
      </w:r>
      <w:r w:rsidR="00A03629">
        <w:t xml:space="preserve"> </w:t>
      </w:r>
      <w:r>
        <w:t>adjustment</w:t>
      </w:r>
      <w:r w:rsidR="00A03629">
        <w:t xml:space="preserve"> </w:t>
      </w:r>
      <w:r>
        <w:t>is</w:t>
      </w:r>
      <w:r w:rsidR="00A03629">
        <w:t xml:space="preserve"> </w:t>
      </w:r>
      <w:r>
        <w:t>reflected</w:t>
      </w:r>
      <w:r w:rsidR="00A03629">
        <w:t xml:space="preserve"> </w:t>
      </w:r>
      <w:r>
        <w:t>in</w:t>
      </w:r>
      <w:r w:rsidR="00A03629">
        <w:t xml:space="preserve"> </w:t>
      </w:r>
      <w:r>
        <w:t>the</w:t>
      </w:r>
      <w:r w:rsidR="00A03629">
        <w:t xml:space="preserve"> </w:t>
      </w:r>
      <w:r>
        <w:t>right</w:t>
      </w:r>
      <w:r>
        <w:noBreakHyphen/>
        <w:t>of-use</w:t>
      </w:r>
      <w:r w:rsidR="00A03629">
        <w:t xml:space="preserve"> </w:t>
      </w:r>
      <w:r>
        <w:t>asset,</w:t>
      </w:r>
      <w:r w:rsidR="00A03629">
        <w:t xml:space="preserve"> </w:t>
      </w:r>
      <w:r>
        <w:t>or</w:t>
      </w:r>
      <w:r w:rsidR="00A03629">
        <w:t xml:space="preserve"> </w:t>
      </w:r>
      <w:r>
        <w:t>profit</w:t>
      </w:r>
      <w:r w:rsidR="00A03629">
        <w:t xml:space="preserve"> </w:t>
      </w:r>
      <w:r>
        <w:t>and</w:t>
      </w:r>
      <w:r w:rsidR="00A03629">
        <w:t xml:space="preserve"> </w:t>
      </w:r>
      <w:r>
        <w:t>loss</w:t>
      </w:r>
      <w:r w:rsidR="00A03629">
        <w:t xml:space="preserve"> </w:t>
      </w:r>
      <w:r>
        <w:t>if</w:t>
      </w:r>
      <w:r w:rsidR="00A03629">
        <w:t xml:space="preserve"> </w:t>
      </w:r>
      <w:r>
        <w:t>the</w:t>
      </w:r>
      <w:r w:rsidR="00A03629">
        <w:t xml:space="preserve"> </w:t>
      </w:r>
      <w:r>
        <w:t>right</w:t>
      </w:r>
      <w:r>
        <w:noBreakHyphen/>
        <w:t>of</w:t>
      </w:r>
      <w:r>
        <w:noBreakHyphen/>
        <w:t>use</w:t>
      </w:r>
      <w:r w:rsidR="00A03629">
        <w:t xml:space="preserve"> </w:t>
      </w:r>
      <w:r>
        <w:t>asset</w:t>
      </w:r>
      <w:r w:rsidR="00A03629">
        <w:t xml:space="preserve"> </w:t>
      </w:r>
      <w:r>
        <w:t>is</w:t>
      </w:r>
      <w:r w:rsidR="00A03629">
        <w:t xml:space="preserve"> </w:t>
      </w:r>
      <w:r>
        <w:t>already</w:t>
      </w:r>
      <w:r w:rsidR="00A03629">
        <w:t xml:space="preserve"> </w:t>
      </w:r>
      <w:r>
        <w:t>reduced</w:t>
      </w:r>
      <w:r w:rsidR="00A03629">
        <w:t xml:space="preserve"> </w:t>
      </w:r>
      <w:r>
        <w:t>to</w:t>
      </w:r>
      <w:r w:rsidR="00A03629">
        <w:t xml:space="preserve"> </w:t>
      </w:r>
      <w:r>
        <w:t>zero.</w:t>
      </w:r>
    </w:p>
    <w:p w14:paraId="0483CC82" w14:textId="2A082780" w:rsidR="000756EB" w:rsidRPr="00B23E3B" w:rsidRDefault="004A4D88" w:rsidP="00B23E3B">
      <w:pPr>
        <w:pStyle w:val="Normalbeforebullets"/>
        <w:rPr>
          <w:b/>
          <w:bCs/>
        </w:rPr>
      </w:pPr>
      <w:r w:rsidRPr="00B23E3B">
        <w:rPr>
          <w:b/>
          <w:bCs/>
        </w:rPr>
        <w:t>Presentation</w:t>
      </w:r>
      <w:r w:rsidR="00A03629" w:rsidRPr="00B23E3B">
        <w:rPr>
          <w:b/>
          <w:bCs/>
        </w:rPr>
        <w:t xml:space="preserve"> </w:t>
      </w:r>
      <w:r w:rsidRPr="00B23E3B">
        <w:rPr>
          <w:b/>
          <w:bCs/>
        </w:rPr>
        <w:t>of</w:t>
      </w:r>
      <w:r w:rsidR="00A03629" w:rsidRPr="00B23E3B">
        <w:rPr>
          <w:b/>
          <w:bCs/>
        </w:rPr>
        <w:t xml:space="preserve"> </w:t>
      </w:r>
      <w:r w:rsidRPr="00B23E3B">
        <w:rPr>
          <w:b/>
          <w:bCs/>
        </w:rPr>
        <w:t>right-of-use</w:t>
      </w:r>
      <w:r w:rsidR="00A03629" w:rsidRPr="00B23E3B">
        <w:rPr>
          <w:b/>
          <w:bCs/>
        </w:rPr>
        <w:t xml:space="preserve"> </w:t>
      </w:r>
      <w:r w:rsidRPr="00B23E3B">
        <w:rPr>
          <w:b/>
          <w:bCs/>
        </w:rPr>
        <w:t>assets</w:t>
      </w:r>
      <w:r w:rsidR="00A03629" w:rsidRPr="00B23E3B">
        <w:rPr>
          <w:b/>
          <w:bCs/>
        </w:rPr>
        <w:t xml:space="preserve"> </w:t>
      </w:r>
      <w:r w:rsidRPr="00B23E3B">
        <w:rPr>
          <w:b/>
          <w:bCs/>
        </w:rPr>
        <w:t>and</w:t>
      </w:r>
      <w:r w:rsidR="00A03629" w:rsidRPr="00B23E3B">
        <w:rPr>
          <w:rFonts w:ascii="Cambria" w:hAnsi="Cambria" w:cs="Cambria"/>
          <w:b/>
          <w:bCs/>
        </w:rPr>
        <w:t xml:space="preserve"> </w:t>
      </w:r>
      <w:r w:rsidRPr="00B23E3B">
        <w:rPr>
          <w:b/>
          <w:bCs/>
        </w:rPr>
        <w:t>lease</w:t>
      </w:r>
      <w:r w:rsidR="00A03629" w:rsidRPr="00B23E3B">
        <w:rPr>
          <w:rFonts w:ascii="Cambria" w:hAnsi="Cambria" w:cs="Cambria"/>
          <w:b/>
          <w:bCs/>
        </w:rPr>
        <w:t xml:space="preserve"> </w:t>
      </w:r>
      <w:r w:rsidRPr="00B23E3B">
        <w:rPr>
          <w:b/>
          <w:bCs/>
        </w:rPr>
        <w:t>liabilities</w:t>
      </w:r>
    </w:p>
    <w:p w14:paraId="4F4949F4" w14:textId="0E09E767" w:rsidR="000756EB" w:rsidRDefault="004A4D88" w:rsidP="00B23E3B">
      <w:r>
        <w:t>DJSIR</w:t>
      </w:r>
      <w:r w:rsidR="00A03629">
        <w:t xml:space="preserve"> </w:t>
      </w:r>
      <w:r>
        <w:t>presents</w:t>
      </w:r>
      <w:r w:rsidR="00A03629">
        <w:t xml:space="preserve"> </w:t>
      </w:r>
      <w:r>
        <w:t>right-of-use</w:t>
      </w:r>
      <w:r w:rsidR="00A03629">
        <w:t xml:space="preserve"> </w:t>
      </w:r>
      <w:r>
        <w:t>assets</w:t>
      </w:r>
      <w:r w:rsidR="00A03629">
        <w:t xml:space="preserve"> </w:t>
      </w:r>
      <w:r>
        <w:t>as</w:t>
      </w:r>
      <w:r w:rsidR="00A03629">
        <w:t xml:space="preserve"> </w:t>
      </w:r>
      <w:r>
        <w:t>‘property</w:t>
      </w:r>
      <w:r w:rsidR="00A03629">
        <w:t xml:space="preserve"> </w:t>
      </w:r>
      <w:r>
        <w:t>plant</w:t>
      </w:r>
      <w:r w:rsidR="00A03629">
        <w:t xml:space="preserve"> </w:t>
      </w:r>
      <w:r>
        <w:t>and</w:t>
      </w:r>
      <w:r w:rsidR="00A03629">
        <w:t xml:space="preserve"> </w:t>
      </w:r>
      <w:r>
        <w:t>equipment’</w:t>
      </w:r>
      <w:r w:rsidR="00A03629">
        <w:t xml:space="preserve"> </w:t>
      </w:r>
      <w:r>
        <w:t>in</w:t>
      </w:r>
      <w:r w:rsidR="00A03629">
        <w:t xml:space="preserve"> </w:t>
      </w:r>
      <w:r>
        <w:t>the</w:t>
      </w:r>
      <w:r w:rsidR="00A03629">
        <w:t xml:space="preserve"> </w:t>
      </w:r>
      <w:r>
        <w:t>balance</w:t>
      </w:r>
      <w:r w:rsidR="00A03629">
        <w:t xml:space="preserve"> </w:t>
      </w:r>
      <w:r>
        <w:t>sheet.</w:t>
      </w:r>
      <w:r w:rsidR="00A03629">
        <w:t xml:space="preserve"> </w:t>
      </w:r>
      <w:r>
        <w:t>Lease</w:t>
      </w:r>
      <w:r w:rsidR="00A03629">
        <w:rPr>
          <w:rFonts w:ascii="Cambria" w:hAnsi="Cambria" w:cs="Cambria"/>
        </w:rPr>
        <w:t xml:space="preserve"> </w:t>
      </w:r>
      <w:r>
        <w:t>liabilities</w:t>
      </w:r>
      <w:r w:rsidR="00A03629">
        <w:t xml:space="preserve"> </w:t>
      </w:r>
      <w:r>
        <w:t>are</w:t>
      </w:r>
      <w:r w:rsidR="00A03629">
        <w:t xml:space="preserve"> </w:t>
      </w:r>
      <w:r>
        <w:t>presented</w:t>
      </w:r>
      <w:r w:rsidR="00A03629">
        <w:t xml:space="preserve"> </w:t>
      </w:r>
      <w:r>
        <w:t>as</w:t>
      </w:r>
      <w:r w:rsidR="00A03629">
        <w:t xml:space="preserve"> </w:t>
      </w:r>
      <w:r>
        <w:t>‘borrowings’</w:t>
      </w:r>
      <w:r w:rsidR="00A03629">
        <w:t xml:space="preserve"> </w:t>
      </w:r>
      <w:r>
        <w:t>in</w:t>
      </w:r>
      <w:r w:rsidR="00A03629">
        <w:rPr>
          <w:rFonts w:ascii="Cambria" w:hAnsi="Cambria" w:cs="Cambria"/>
        </w:rPr>
        <w:t xml:space="preserve"> </w:t>
      </w:r>
      <w:r>
        <w:t>the</w:t>
      </w:r>
      <w:r w:rsidR="00A03629">
        <w:rPr>
          <w:rFonts w:ascii="Cambria" w:hAnsi="Cambria" w:cs="Cambria"/>
        </w:rPr>
        <w:t xml:space="preserve"> </w:t>
      </w:r>
      <w:r>
        <w:t>balance</w:t>
      </w:r>
      <w:r w:rsidR="00A03629">
        <w:t xml:space="preserve"> </w:t>
      </w:r>
      <w:r>
        <w:t>sheet.</w:t>
      </w:r>
    </w:p>
    <w:p w14:paraId="49A6EE5B" w14:textId="0A48AFB5" w:rsidR="000756EB" w:rsidRPr="00B23E3B" w:rsidRDefault="004A4D88" w:rsidP="00B23E3B">
      <w:pPr>
        <w:pStyle w:val="Normalbeforebullets"/>
        <w:rPr>
          <w:b/>
          <w:bCs/>
        </w:rPr>
      </w:pPr>
      <w:r w:rsidRPr="00B23E3B">
        <w:rPr>
          <w:b/>
          <w:bCs/>
        </w:rPr>
        <w:t>Commissioned</w:t>
      </w:r>
      <w:r w:rsidR="00A03629" w:rsidRPr="00B23E3B">
        <w:rPr>
          <w:b/>
          <w:bCs/>
        </w:rPr>
        <w:t xml:space="preserve"> </w:t>
      </w:r>
      <w:r w:rsidRPr="00B23E3B">
        <w:rPr>
          <w:b/>
          <w:bCs/>
        </w:rPr>
        <w:t>Public</w:t>
      </w:r>
      <w:r w:rsidR="00A03629" w:rsidRPr="00B23E3B">
        <w:rPr>
          <w:b/>
          <w:bCs/>
        </w:rPr>
        <w:t xml:space="preserve"> </w:t>
      </w:r>
      <w:r w:rsidRPr="00B23E3B">
        <w:rPr>
          <w:b/>
          <w:bCs/>
        </w:rPr>
        <w:t>Private</w:t>
      </w:r>
      <w:r w:rsidR="00A03629" w:rsidRPr="00B23E3B">
        <w:rPr>
          <w:b/>
          <w:bCs/>
        </w:rPr>
        <w:t xml:space="preserve"> </w:t>
      </w:r>
      <w:r w:rsidRPr="00B23E3B">
        <w:rPr>
          <w:b/>
          <w:bCs/>
        </w:rPr>
        <w:t>Partnerships</w:t>
      </w:r>
      <w:r w:rsidR="00A03629" w:rsidRPr="00B23E3B">
        <w:rPr>
          <w:b/>
          <w:bCs/>
        </w:rPr>
        <w:t xml:space="preserve"> </w:t>
      </w:r>
      <w:r w:rsidRPr="00B23E3B">
        <w:rPr>
          <w:b/>
          <w:bCs/>
        </w:rPr>
        <w:t>(PPPs)</w:t>
      </w:r>
    </w:p>
    <w:p w14:paraId="2412F54C" w14:textId="47459EB8" w:rsidR="000756EB" w:rsidRDefault="004A4D88" w:rsidP="00B23E3B">
      <w:r>
        <w:t>Interests</w:t>
      </w:r>
      <w:r w:rsidR="00A03629">
        <w:t xml:space="preserve"> </w:t>
      </w:r>
      <w:r>
        <w:t>in</w:t>
      </w:r>
      <w:r w:rsidR="00A03629">
        <w:t xml:space="preserve"> </w:t>
      </w:r>
      <w:r>
        <w:t>the</w:t>
      </w:r>
      <w:r w:rsidR="00A03629">
        <w:t xml:space="preserve"> </w:t>
      </w:r>
      <w:r>
        <w:t>two</w:t>
      </w:r>
      <w:r w:rsidR="00A03629">
        <w:t xml:space="preserve"> </w:t>
      </w:r>
      <w:r>
        <w:t>joint</w:t>
      </w:r>
      <w:r w:rsidR="00A03629">
        <w:t xml:space="preserve"> </w:t>
      </w:r>
      <w:r>
        <w:t>operations</w:t>
      </w:r>
      <w:r w:rsidR="00A03629">
        <w:t xml:space="preserve"> </w:t>
      </w:r>
      <w:r>
        <w:t>were</w:t>
      </w:r>
      <w:r w:rsidR="00A03629">
        <w:t xml:space="preserve"> </w:t>
      </w:r>
      <w:r>
        <w:t>transferred</w:t>
      </w:r>
      <w:r w:rsidR="00A03629">
        <w:t xml:space="preserve"> </w:t>
      </w:r>
      <w:r>
        <w:t>to</w:t>
      </w:r>
      <w:r w:rsidR="00A03629">
        <w:t xml:space="preserve"> </w:t>
      </w:r>
      <w:r>
        <w:t>the</w:t>
      </w:r>
      <w:r w:rsidR="00A03629">
        <w:t xml:space="preserve"> </w:t>
      </w:r>
      <w:r>
        <w:t>DEECA</w:t>
      </w:r>
      <w:r w:rsidR="00A03629">
        <w:t xml:space="preserve"> </w:t>
      </w:r>
      <w:r>
        <w:t>effective</w:t>
      </w:r>
      <w:r w:rsidR="00A03629">
        <w:t xml:space="preserve"> </w:t>
      </w:r>
      <w:r>
        <w:t>1</w:t>
      </w:r>
      <w:r w:rsidR="00A03629">
        <w:t xml:space="preserve"> </w:t>
      </w:r>
      <w:r>
        <w:t>January</w:t>
      </w:r>
      <w:r w:rsidR="00A03629">
        <w:t xml:space="preserve"> </w:t>
      </w:r>
      <w:r>
        <w:t>2023.</w:t>
      </w:r>
      <w:r w:rsidR="00A03629">
        <w:t xml:space="preserve"> </w:t>
      </w:r>
      <w:r>
        <w:t>The</w:t>
      </w:r>
      <w:r w:rsidR="00A03629">
        <w:t xml:space="preserve"> </w:t>
      </w:r>
      <w:r>
        <w:t>income</w:t>
      </w:r>
      <w:r w:rsidR="00A03629">
        <w:t xml:space="preserve"> </w:t>
      </w:r>
      <w:r>
        <w:t>statement</w:t>
      </w:r>
      <w:r w:rsidR="00A03629">
        <w:t xml:space="preserve"> </w:t>
      </w:r>
      <w:r>
        <w:t>information</w:t>
      </w:r>
      <w:r w:rsidR="00A03629">
        <w:t xml:space="preserve"> </w:t>
      </w:r>
      <w:r>
        <w:t>reflects</w:t>
      </w:r>
      <w:r w:rsidR="00A03629">
        <w:t xml:space="preserve"> </w:t>
      </w:r>
      <w:r>
        <w:t>the</w:t>
      </w:r>
      <w:r w:rsidR="00A03629">
        <w:t xml:space="preserve"> </w:t>
      </w:r>
      <w:r>
        <w:t>first</w:t>
      </w:r>
      <w:r w:rsidR="00A03629">
        <w:t xml:space="preserve"> </w:t>
      </w:r>
      <w:r>
        <w:t>half</w:t>
      </w:r>
      <w:r w:rsidR="00A03629">
        <w:t xml:space="preserve"> </w:t>
      </w:r>
      <w:r>
        <w:t>year</w:t>
      </w:r>
      <w:r w:rsidR="00A03629">
        <w:t xml:space="preserve"> </w:t>
      </w:r>
      <w:r>
        <w:t>results</w:t>
      </w:r>
      <w:r w:rsidR="00A03629">
        <w:t xml:space="preserve"> </w:t>
      </w:r>
      <w:r>
        <w:t>until</w:t>
      </w:r>
      <w:r w:rsidR="00A03629">
        <w:t xml:space="preserve"> </w:t>
      </w:r>
      <w:r>
        <w:t>31</w:t>
      </w:r>
      <w:r w:rsidR="00A03629">
        <w:t xml:space="preserve"> </w:t>
      </w:r>
      <w:r>
        <w:t>December</w:t>
      </w:r>
      <w:r w:rsidR="00A03629">
        <w:t xml:space="preserve"> </w:t>
      </w:r>
      <w:r>
        <w:t>2022.</w:t>
      </w:r>
    </w:p>
    <w:p w14:paraId="06592F18" w14:textId="23A02069" w:rsidR="000756EB" w:rsidRPr="00B23E3B" w:rsidRDefault="004A4D88" w:rsidP="00B23E3B">
      <w:pPr>
        <w:pStyle w:val="Normalbeforebullets"/>
        <w:rPr>
          <w:b/>
          <w:bCs/>
        </w:rPr>
      </w:pPr>
      <w:r w:rsidRPr="00B23E3B">
        <w:rPr>
          <w:b/>
          <w:bCs/>
        </w:rPr>
        <w:t>Royal</w:t>
      </w:r>
      <w:r w:rsidR="00A03629" w:rsidRPr="00B23E3B">
        <w:rPr>
          <w:b/>
          <w:bCs/>
        </w:rPr>
        <w:t xml:space="preserve"> </w:t>
      </w:r>
      <w:r w:rsidRPr="00B23E3B">
        <w:rPr>
          <w:b/>
          <w:bCs/>
        </w:rPr>
        <w:t>Melbourne</w:t>
      </w:r>
      <w:r w:rsidR="00A03629" w:rsidRPr="00B23E3B">
        <w:rPr>
          <w:b/>
          <w:bCs/>
        </w:rPr>
        <w:t xml:space="preserve"> </w:t>
      </w:r>
      <w:r w:rsidRPr="00B23E3B">
        <w:rPr>
          <w:b/>
          <w:bCs/>
        </w:rPr>
        <w:t>Showgrounds</w:t>
      </w:r>
    </w:p>
    <w:p w14:paraId="26704DF6" w14:textId="440968F5" w:rsidR="000756EB" w:rsidRDefault="004A4D88" w:rsidP="00B23E3B">
      <w:proofErr w:type="gramStart"/>
      <w:r>
        <w:t>The</w:t>
      </w:r>
      <w:r w:rsidR="00A03629">
        <w:t xml:space="preserve"> </w:t>
      </w:r>
      <w:r>
        <w:t>State,</w:t>
      </w:r>
      <w:proofErr w:type="gramEnd"/>
      <w:r w:rsidR="00A03629">
        <w:t xml:space="preserve"> </w:t>
      </w:r>
      <w:r>
        <w:t>has</w:t>
      </w:r>
      <w:r w:rsidR="00A03629">
        <w:t xml:space="preserve"> </w:t>
      </w:r>
      <w:r>
        <w:t>entered</w:t>
      </w:r>
      <w:r w:rsidR="00A03629">
        <w:t xml:space="preserve"> </w:t>
      </w:r>
      <w:r>
        <w:t>into</w:t>
      </w:r>
      <w:r w:rsidR="00A03629">
        <w:t xml:space="preserve"> </w:t>
      </w:r>
      <w:r>
        <w:t>a</w:t>
      </w:r>
      <w:r w:rsidR="00A03629">
        <w:t xml:space="preserve"> </w:t>
      </w:r>
      <w:r>
        <w:t>joint</w:t>
      </w:r>
      <w:r w:rsidR="00A03629">
        <w:t xml:space="preserve"> </w:t>
      </w:r>
      <w:r>
        <w:t>operation</w:t>
      </w:r>
      <w:r w:rsidR="00A03629">
        <w:t xml:space="preserve"> </w:t>
      </w:r>
      <w:r>
        <w:t>agreement</w:t>
      </w:r>
      <w:r w:rsidR="00A03629">
        <w:t xml:space="preserve"> </w:t>
      </w:r>
      <w:r>
        <w:t>with</w:t>
      </w:r>
      <w:r w:rsidR="00A03629">
        <w:t xml:space="preserve"> </w:t>
      </w:r>
      <w:r>
        <w:t>the</w:t>
      </w:r>
      <w:r w:rsidR="00A03629">
        <w:t xml:space="preserve"> </w:t>
      </w:r>
      <w:r>
        <w:t>Royal</w:t>
      </w:r>
      <w:r w:rsidR="00A03629">
        <w:t xml:space="preserve"> </w:t>
      </w:r>
      <w:r>
        <w:t>Agricultural</w:t>
      </w:r>
      <w:r w:rsidR="00A03629">
        <w:t xml:space="preserve"> </w:t>
      </w:r>
      <w:r>
        <w:t>Society</w:t>
      </w:r>
      <w:r w:rsidR="00A03629">
        <w:t xml:space="preserve"> </w:t>
      </w:r>
      <w:r>
        <w:t>of</w:t>
      </w:r>
      <w:r w:rsidR="00A03629">
        <w:rPr>
          <w:rFonts w:ascii="Cambria" w:hAnsi="Cambria" w:cs="Cambria"/>
        </w:rPr>
        <w:t xml:space="preserve"> </w:t>
      </w:r>
      <w:r>
        <w:t>Victoria</w:t>
      </w:r>
      <w:r w:rsidR="00A03629">
        <w:t xml:space="preserve"> </w:t>
      </w:r>
      <w:r>
        <w:t>Limited</w:t>
      </w:r>
      <w:r w:rsidR="00A03629">
        <w:t xml:space="preserve"> </w:t>
      </w:r>
      <w:r>
        <w:t>(RASV)</w:t>
      </w:r>
      <w:r w:rsidR="00A03629">
        <w:t xml:space="preserve"> </w:t>
      </w:r>
      <w:r>
        <w:t>to</w:t>
      </w:r>
      <w:r w:rsidR="00A03629">
        <w:t xml:space="preserve"> </w:t>
      </w:r>
      <w:r>
        <w:t>redevelop</w:t>
      </w:r>
      <w:r w:rsidR="00A03629">
        <w:t xml:space="preserve"> </w:t>
      </w:r>
      <w:r>
        <w:t>the</w:t>
      </w:r>
      <w:r w:rsidR="00A03629">
        <w:t xml:space="preserve"> </w:t>
      </w:r>
      <w:r>
        <w:t>Royal</w:t>
      </w:r>
      <w:r w:rsidR="00A03629">
        <w:t xml:space="preserve"> </w:t>
      </w:r>
      <w:r>
        <w:t>Melbourne</w:t>
      </w:r>
      <w:r w:rsidR="00A03629">
        <w:t xml:space="preserve"> </w:t>
      </w:r>
      <w:r>
        <w:t>Showgrounds.</w:t>
      </w:r>
      <w:r w:rsidR="00A03629">
        <w:t xml:space="preserve"> </w:t>
      </w:r>
      <w:r>
        <w:t>The</w:t>
      </w:r>
      <w:r w:rsidR="00A03629">
        <w:t xml:space="preserve"> </w:t>
      </w:r>
      <w:r>
        <w:t>agreement</w:t>
      </w:r>
      <w:r w:rsidR="00A03629">
        <w:t xml:space="preserve"> </w:t>
      </w:r>
      <w:r>
        <w:t>came</w:t>
      </w:r>
      <w:r w:rsidR="00A03629">
        <w:t xml:space="preserve"> </w:t>
      </w:r>
      <w:r>
        <w:t>into</w:t>
      </w:r>
      <w:r w:rsidR="00A03629">
        <w:t xml:space="preserve"> </w:t>
      </w:r>
      <w:r>
        <w:t>effect</w:t>
      </w:r>
      <w:r w:rsidR="00A03629">
        <w:t xml:space="preserve"> </w:t>
      </w:r>
      <w:r>
        <w:t>on</w:t>
      </w:r>
      <w:r w:rsidR="00A03629">
        <w:t xml:space="preserve"> </w:t>
      </w:r>
      <w:r>
        <w:t>30</w:t>
      </w:r>
      <w:r w:rsidR="00A03629">
        <w:t xml:space="preserve"> </w:t>
      </w:r>
      <w:r>
        <w:t>June</w:t>
      </w:r>
      <w:r w:rsidR="00A03629">
        <w:t xml:space="preserve"> </w:t>
      </w:r>
      <w:r>
        <w:t>2005.</w:t>
      </w:r>
      <w:r w:rsidR="00A03629">
        <w:t xml:space="preserve"> </w:t>
      </w:r>
      <w:r>
        <w:t>Two</w:t>
      </w:r>
      <w:r w:rsidR="00A03629">
        <w:t xml:space="preserve"> </w:t>
      </w:r>
      <w:r>
        <w:t>joint</w:t>
      </w:r>
      <w:r w:rsidR="00A03629">
        <w:t xml:space="preserve"> </w:t>
      </w:r>
      <w:r>
        <w:t>operation</w:t>
      </w:r>
      <w:r w:rsidR="00A03629">
        <w:t xml:space="preserve"> </w:t>
      </w:r>
      <w:r>
        <w:t>structures</w:t>
      </w:r>
      <w:r w:rsidR="00A03629">
        <w:t xml:space="preserve"> </w:t>
      </w:r>
      <w:r>
        <w:t>were</w:t>
      </w:r>
      <w:r w:rsidR="00A03629">
        <w:t xml:space="preserve"> </w:t>
      </w:r>
      <w:r>
        <w:t>established,</w:t>
      </w:r>
      <w:r w:rsidR="00A03629">
        <w:t xml:space="preserve"> </w:t>
      </w:r>
      <w:r>
        <w:t>an</w:t>
      </w:r>
      <w:r w:rsidR="00A03629">
        <w:t xml:space="preserve"> </w:t>
      </w:r>
      <w:r>
        <w:t>unincorporated</w:t>
      </w:r>
      <w:r w:rsidR="00A03629">
        <w:t xml:space="preserve"> </w:t>
      </w:r>
      <w:r>
        <w:t>joint</w:t>
      </w:r>
      <w:r w:rsidR="00A03629">
        <w:t xml:space="preserve"> </w:t>
      </w:r>
      <w:r>
        <w:t>operation</w:t>
      </w:r>
      <w:r w:rsidR="00A03629">
        <w:t xml:space="preserve"> </w:t>
      </w:r>
      <w:r>
        <w:t>to</w:t>
      </w:r>
      <w:r w:rsidR="00A03629">
        <w:t xml:space="preserve"> </w:t>
      </w:r>
      <w:r>
        <w:t>carry</w:t>
      </w:r>
      <w:r w:rsidR="00A03629">
        <w:t xml:space="preserve"> </w:t>
      </w:r>
      <w:r>
        <w:t>out</w:t>
      </w:r>
      <w:r w:rsidR="00A03629">
        <w:t xml:space="preserve"> </w:t>
      </w:r>
      <w:r>
        <w:t>and</w:t>
      </w:r>
      <w:r w:rsidR="00A03629">
        <w:t xml:space="preserve"> </w:t>
      </w:r>
      <w:r>
        <w:t>deliver</w:t>
      </w:r>
      <w:r w:rsidR="00A03629">
        <w:t xml:space="preserve"> </w:t>
      </w:r>
      <w:r>
        <w:t>the</w:t>
      </w:r>
      <w:r w:rsidR="00A03629">
        <w:t xml:space="preserve"> </w:t>
      </w:r>
      <w:r>
        <w:t>joint</w:t>
      </w:r>
      <w:r w:rsidR="00A03629">
        <w:t xml:space="preserve"> </w:t>
      </w:r>
      <w:r>
        <w:t>operation</w:t>
      </w:r>
      <w:r w:rsidR="00A03629">
        <w:t xml:space="preserve"> </w:t>
      </w:r>
      <w:r>
        <w:t>project,</w:t>
      </w:r>
      <w:r w:rsidR="00A03629">
        <w:t xml:space="preserve"> </w:t>
      </w:r>
      <w:r>
        <w:t>and</w:t>
      </w:r>
      <w:r w:rsidR="00A03629">
        <w:t xml:space="preserve"> </w:t>
      </w:r>
      <w:r>
        <w:t>an</w:t>
      </w:r>
      <w:r w:rsidR="00A03629">
        <w:t xml:space="preserve"> </w:t>
      </w:r>
      <w:r>
        <w:t>incorporated</w:t>
      </w:r>
      <w:r w:rsidR="00A03629">
        <w:t xml:space="preserve"> </w:t>
      </w:r>
      <w:r>
        <w:t>joint</w:t>
      </w:r>
      <w:r w:rsidR="00A03629">
        <w:t xml:space="preserve"> </w:t>
      </w:r>
      <w:r>
        <w:t>operation</w:t>
      </w:r>
      <w:r w:rsidR="00A03629">
        <w:t xml:space="preserve"> </w:t>
      </w:r>
      <w:r>
        <w:t>entity,</w:t>
      </w:r>
      <w:r w:rsidR="00A03629">
        <w:t xml:space="preserve"> </w:t>
      </w:r>
      <w:r>
        <w:t>Showgrounds</w:t>
      </w:r>
      <w:r w:rsidR="00A03629">
        <w:t xml:space="preserve"> </w:t>
      </w:r>
      <w:r>
        <w:t>Nominees</w:t>
      </w:r>
      <w:r w:rsidR="00A03629">
        <w:t xml:space="preserve"> </w:t>
      </w:r>
      <w:r>
        <w:t>Pty</w:t>
      </w:r>
      <w:r w:rsidR="00A03629">
        <w:t xml:space="preserve"> </w:t>
      </w:r>
      <w:r>
        <w:t>Ltd</w:t>
      </w:r>
      <w:r w:rsidR="00A03629">
        <w:t xml:space="preserve"> </w:t>
      </w:r>
      <w:r>
        <w:t>to</w:t>
      </w:r>
      <w:r w:rsidR="00A03629">
        <w:t xml:space="preserve"> </w:t>
      </w:r>
      <w:r>
        <w:t>hold</w:t>
      </w:r>
      <w:r w:rsidR="00A03629">
        <w:t xml:space="preserve"> </w:t>
      </w:r>
      <w:r>
        <w:t>the</w:t>
      </w:r>
      <w:r w:rsidR="00A03629">
        <w:t xml:space="preserve"> </w:t>
      </w:r>
      <w:r>
        <w:t>assets</w:t>
      </w:r>
      <w:r w:rsidR="00A03629">
        <w:t xml:space="preserve"> </w:t>
      </w:r>
      <w:r>
        <w:t>of</w:t>
      </w:r>
      <w:r w:rsidR="00A03629">
        <w:rPr>
          <w:rFonts w:ascii="Cambria" w:hAnsi="Cambria" w:cs="Cambria"/>
        </w:rPr>
        <w:t xml:space="preserve"> </w:t>
      </w:r>
      <w:r>
        <w:t>the</w:t>
      </w:r>
      <w:r w:rsidR="00A03629">
        <w:t xml:space="preserve"> </w:t>
      </w:r>
      <w:r>
        <w:t>joint</w:t>
      </w:r>
      <w:r w:rsidR="00A03629">
        <w:t xml:space="preserve"> </w:t>
      </w:r>
      <w:r>
        <w:t>operation</w:t>
      </w:r>
      <w:r w:rsidR="00A03629">
        <w:t xml:space="preserve"> </w:t>
      </w:r>
      <w:r>
        <w:t>and</w:t>
      </w:r>
      <w:r w:rsidR="00A03629">
        <w:t xml:space="preserve"> </w:t>
      </w:r>
      <w:r>
        <w:t>to</w:t>
      </w:r>
      <w:r w:rsidR="00A03629">
        <w:t xml:space="preserve"> </w:t>
      </w:r>
      <w:r>
        <w:t>enter</w:t>
      </w:r>
      <w:r w:rsidR="00A03629">
        <w:t xml:space="preserve"> </w:t>
      </w:r>
      <w:r>
        <w:t>into</w:t>
      </w:r>
      <w:r w:rsidR="00A03629">
        <w:t xml:space="preserve"> </w:t>
      </w:r>
      <w:r>
        <w:t>agreements</w:t>
      </w:r>
      <w:r w:rsidR="00A03629">
        <w:t xml:space="preserve"> </w:t>
      </w:r>
      <w:r>
        <w:t>on</w:t>
      </w:r>
      <w:r w:rsidR="00A03629">
        <w:t xml:space="preserve"> </w:t>
      </w:r>
      <w:r>
        <w:t>behalf</w:t>
      </w:r>
      <w:r w:rsidR="00A03629">
        <w:t xml:space="preserve"> </w:t>
      </w:r>
      <w:r>
        <w:t>of</w:t>
      </w:r>
      <w:r w:rsidR="00A03629">
        <w:t xml:space="preserve"> </w:t>
      </w:r>
      <w:r>
        <w:t>the</w:t>
      </w:r>
      <w:r w:rsidR="00A03629">
        <w:t xml:space="preserve"> </w:t>
      </w:r>
      <w:r>
        <w:t>State</w:t>
      </w:r>
      <w:r w:rsidR="00A03629">
        <w:t xml:space="preserve"> </w:t>
      </w:r>
      <w:r>
        <w:t>and</w:t>
      </w:r>
      <w:r w:rsidR="00A03629">
        <w:t xml:space="preserve"> </w:t>
      </w:r>
      <w:r>
        <w:t>RASV.</w:t>
      </w:r>
    </w:p>
    <w:p w14:paraId="3D6BB095" w14:textId="20754E2C" w:rsidR="000756EB" w:rsidRDefault="004A4D88" w:rsidP="00B23E3B">
      <w:r>
        <w:t>In</w:t>
      </w:r>
      <w:r w:rsidR="00A03629">
        <w:t xml:space="preserve"> </w:t>
      </w:r>
      <w:r>
        <w:t>June</w:t>
      </w:r>
      <w:r w:rsidR="00A03629">
        <w:t xml:space="preserve"> </w:t>
      </w:r>
      <w:r>
        <w:t>2006,</w:t>
      </w:r>
      <w:r w:rsidR="00A03629">
        <w:t xml:space="preserve"> </w:t>
      </w:r>
      <w:r>
        <w:t>Showgrounds</w:t>
      </w:r>
      <w:r w:rsidR="00A03629">
        <w:t xml:space="preserve"> </w:t>
      </w:r>
      <w:r>
        <w:t>Nominees</w:t>
      </w:r>
      <w:r w:rsidR="00A03629">
        <w:t xml:space="preserve"> </w:t>
      </w:r>
      <w:r>
        <w:t>Pty</w:t>
      </w:r>
      <w:r w:rsidR="00A03629">
        <w:t xml:space="preserve"> </w:t>
      </w:r>
      <w:r>
        <w:t>Ltd</w:t>
      </w:r>
      <w:r w:rsidR="00A03629">
        <w:t xml:space="preserve"> </w:t>
      </w:r>
      <w:r>
        <w:t>entered</w:t>
      </w:r>
      <w:r w:rsidR="00A03629">
        <w:t xml:space="preserve"> </w:t>
      </w:r>
      <w:r>
        <w:t>into</w:t>
      </w:r>
      <w:r w:rsidR="00A03629">
        <w:t xml:space="preserve"> </w:t>
      </w:r>
      <w:r>
        <w:t>a</w:t>
      </w:r>
      <w:r w:rsidR="00A03629">
        <w:t xml:space="preserve"> </w:t>
      </w:r>
      <w:r>
        <w:t>Development</w:t>
      </w:r>
      <w:r w:rsidR="00A03629">
        <w:t xml:space="preserve"> </w:t>
      </w:r>
      <w:r>
        <w:t>and</w:t>
      </w:r>
      <w:r w:rsidR="00A03629">
        <w:t xml:space="preserve"> </w:t>
      </w:r>
      <w:r>
        <w:t>Operations</w:t>
      </w:r>
      <w:r w:rsidR="00A03629">
        <w:t xml:space="preserve"> </w:t>
      </w:r>
      <w:r>
        <w:t>Agreement</w:t>
      </w:r>
      <w:r w:rsidR="00A03629">
        <w:t xml:space="preserve"> </w:t>
      </w:r>
      <w:r>
        <w:t>(on</w:t>
      </w:r>
      <w:r w:rsidR="00A03629">
        <w:t xml:space="preserve"> </w:t>
      </w:r>
      <w:r>
        <w:t>behalf</w:t>
      </w:r>
      <w:r w:rsidR="00A03629">
        <w:t xml:space="preserve"> </w:t>
      </w:r>
      <w:r>
        <w:t>of</w:t>
      </w:r>
      <w:r w:rsidR="00A03629">
        <w:t xml:space="preserve"> </w:t>
      </w:r>
      <w:r>
        <w:t>the</w:t>
      </w:r>
      <w:r w:rsidR="00A03629">
        <w:t xml:space="preserve"> </w:t>
      </w:r>
      <w:r>
        <w:t>State</w:t>
      </w:r>
      <w:r w:rsidR="00A03629">
        <w:t xml:space="preserve"> </w:t>
      </w:r>
      <w:r>
        <w:t>and</w:t>
      </w:r>
      <w:r w:rsidR="00A03629">
        <w:t xml:space="preserve"> </w:t>
      </w:r>
      <w:r>
        <w:t>RASV)</w:t>
      </w:r>
      <w:r w:rsidR="00A03629">
        <w:t xml:space="preserve"> </w:t>
      </w:r>
      <w:r>
        <w:t>with</w:t>
      </w:r>
      <w:r w:rsidR="00A03629">
        <w:t xml:space="preserve"> </w:t>
      </w:r>
      <w:r>
        <w:t>the</w:t>
      </w:r>
      <w:r w:rsidR="00A03629">
        <w:t xml:space="preserve"> </w:t>
      </w:r>
      <w:r>
        <w:t>Concessionaire,</w:t>
      </w:r>
      <w:r w:rsidR="00A03629">
        <w:t xml:space="preserve"> </w:t>
      </w:r>
      <w:r>
        <w:t>PPP</w:t>
      </w:r>
      <w:r w:rsidR="00A03629">
        <w:t xml:space="preserve"> </w:t>
      </w:r>
      <w:r>
        <w:t>Solutions</w:t>
      </w:r>
      <w:r w:rsidR="00A03629">
        <w:t xml:space="preserve"> </w:t>
      </w:r>
      <w:r>
        <w:t>(Showgrounds)</w:t>
      </w:r>
      <w:r w:rsidR="00A03629">
        <w:t xml:space="preserve"> </w:t>
      </w:r>
      <w:r>
        <w:t>Nominee</w:t>
      </w:r>
      <w:r w:rsidR="00A03629">
        <w:t xml:space="preserve"> </w:t>
      </w:r>
      <w:r>
        <w:t>Pty</w:t>
      </w:r>
      <w:r w:rsidR="00A03629">
        <w:t xml:space="preserve"> </w:t>
      </w:r>
      <w:r>
        <w:t>Ltd</w:t>
      </w:r>
      <w:r w:rsidR="00A03629">
        <w:t xml:space="preserve"> </w:t>
      </w:r>
      <w:r>
        <w:t>to</w:t>
      </w:r>
      <w:r w:rsidR="00A03629">
        <w:t xml:space="preserve"> </w:t>
      </w:r>
      <w:r>
        <w:t>design,</w:t>
      </w:r>
      <w:r w:rsidR="00A03629">
        <w:t xml:space="preserve"> </w:t>
      </w:r>
      <w:r>
        <w:t>construct,</w:t>
      </w:r>
      <w:r w:rsidR="00A03629">
        <w:t xml:space="preserve"> </w:t>
      </w:r>
      <w:r>
        <w:t>finance</w:t>
      </w:r>
      <w:r w:rsidR="00A03629">
        <w:t xml:space="preserve"> </w:t>
      </w:r>
      <w:r>
        <w:t>and</w:t>
      </w:r>
      <w:r w:rsidR="00A03629">
        <w:t xml:space="preserve"> </w:t>
      </w:r>
      <w:r>
        <w:t>maintain</w:t>
      </w:r>
      <w:r w:rsidR="00A03629">
        <w:t xml:space="preserve"> </w:t>
      </w:r>
      <w:r>
        <w:t>the</w:t>
      </w:r>
      <w:r w:rsidR="00A03629">
        <w:t xml:space="preserve"> </w:t>
      </w:r>
      <w:r>
        <w:t>new</w:t>
      </w:r>
      <w:r w:rsidR="00A03629">
        <w:t xml:space="preserve"> </w:t>
      </w:r>
      <w:r>
        <w:t>facilities</w:t>
      </w:r>
      <w:r w:rsidR="00A03629">
        <w:t xml:space="preserve"> </w:t>
      </w:r>
      <w:r>
        <w:t>at</w:t>
      </w:r>
      <w:r w:rsidR="00A03629">
        <w:t xml:space="preserve"> </w:t>
      </w:r>
      <w:r>
        <w:t>the</w:t>
      </w:r>
      <w:r w:rsidR="00A03629">
        <w:t xml:space="preserve"> </w:t>
      </w:r>
      <w:r>
        <w:t>showgrounds.</w:t>
      </w:r>
      <w:r w:rsidR="00A03629">
        <w:t xml:space="preserve"> </w:t>
      </w:r>
      <w:r>
        <w:t>The</w:t>
      </w:r>
      <w:r w:rsidR="00A03629">
        <w:rPr>
          <w:rFonts w:ascii="Cambria" w:hAnsi="Cambria" w:cs="Cambria"/>
        </w:rPr>
        <w:t xml:space="preserve"> </w:t>
      </w:r>
      <w:r>
        <w:t>project</w:t>
      </w:r>
      <w:r w:rsidR="00A03629">
        <w:t xml:space="preserve"> </w:t>
      </w:r>
      <w:r>
        <w:t>operation</w:t>
      </w:r>
      <w:r w:rsidR="00A03629">
        <w:t xml:space="preserve"> </w:t>
      </w:r>
      <w:r>
        <w:t>term</w:t>
      </w:r>
      <w:r w:rsidR="00A03629">
        <w:t xml:space="preserve"> </w:t>
      </w:r>
      <w:r>
        <w:t>is</w:t>
      </w:r>
      <w:r w:rsidR="00A03629">
        <w:t xml:space="preserve"> </w:t>
      </w:r>
      <w:r>
        <w:t>25</w:t>
      </w:r>
      <w:r w:rsidR="00A03629">
        <w:t xml:space="preserve"> </w:t>
      </w:r>
      <w:r>
        <w:t>years</w:t>
      </w:r>
      <w:r w:rsidR="00A03629">
        <w:t xml:space="preserve"> </w:t>
      </w:r>
      <w:r>
        <w:t>from</w:t>
      </w:r>
      <w:r w:rsidR="00A03629">
        <w:t xml:space="preserve"> </w:t>
      </w:r>
      <w:r>
        <w:t>the</w:t>
      </w:r>
      <w:r w:rsidR="00A03629">
        <w:t xml:space="preserve"> </w:t>
      </w:r>
      <w:r>
        <w:t>date</w:t>
      </w:r>
      <w:r w:rsidR="00A03629">
        <w:rPr>
          <w:rFonts w:ascii="Cambria" w:hAnsi="Cambria" w:cs="Cambria"/>
        </w:rPr>
        <w:t xml:space="preserve"> </w:t>
      </w:r>
      <w:r>
        <w:t>of</w:t>
      </w:r>
      <w:r w:rsidR="00A03629">
        <w:t xml:space="preserve"> </w:t>
      </w:r>
      <w:r>
        <w:t>commercial</w:t>
      </w:r>
      <w:r w:rsidR="00A03629">
        <w:t xml:space="preserve"> </w:t>
      </w:r>
      <w:r>
        <w:t>acceptance</w:t>
      </w:r>
      <w:r w:rsidR="00A03629">
        <w:t xml:space="preserve"> </w:t>
      </w:r>
      <w:r>
        <w:t>of</w:t>
      </w:r>
      <w:r w:rsidR="00A03629">
        <w:t xml:space="preserve"> </w:t>
      </w:r>
      <w:r>
        <w:t>completed</w:t>
      </w:r>
      <w:r w:rsidR="00A03629">
        <w:t xml:space="preserve"> </w:t>
      </w:r>
      <w:r>
        <w:t>works,</w:t>
      </w:r>
      <w:r w:rsidR="00A03629">
        <w:t xml:space="preserve"> </w:t>
      </w:r>
      <w:r>
        <w:t>which</w:t>
      </w:r>
      <w:r w:rsidR="00A03629">
        <w:t xml:space="preserve"> </w:t>
      </w:r>
      <w:r>
        <w:t>occurred</w:t>
      </w:r>
      <w:r w:rsidR="00A03629">
        <w:t xml:space="preserve"> </w:t>
      </w:r>
      <w:r>
        <w:t>in</w:t>
      </w:r>
      <w:r w:rsidR="00A03629">
        <w:t xml:space="preserve"> </w:t>
      </w:r>
      <w:r>
        <w:t>August</w:t>
      </w:r>
      <w:r w:rsidR="00A03629">
        <w:t xml:space="preserve"> </w:t>
      </w:r>
      <w:r>
        <w:t>2006.</w:t>
      </w:r>
      <w:r w:rsidR="00A03629">
        <w:t xml:space="preserve"> </w:t>
      </w:r>
      <w:r>
        <w:t>The</w:t>
      </w:r>
      <w:r w:rsidR="00A03629">
        <w:t xml:space="preserve"> </w:t>
      </w:r>
      <w:r>
        <w:t>showgrounds</w:t>
      </w:r>
      <w:r w:rsidR="00A03629">
        <w:t xml:space="preserve"> </w:t>
      </w:r>
      <w:r>
        <w:t>buildings</w:t>
      </w:r>
      <w:r w:rsidR="00A03629">
        <w:t xml:space="preserve"> </w:t>
      </w:r>
      <w:r>
        <w:t>will</w:t>
      </w:r>
      <w:r w:rsidR="00A03629">
        <w:t xml:space="preserve"> </w:t>
      </w:r>
      <w:r>
        <w:t>revert</w:t>
      </w:r>
      <w:r w:rsidR="00A03629">
        <w:t xml:space="preserve"> </w:t>
      </w:r>
      <w:r>
        <w:t>to</w:t>
      </w:r>
      <w:r w:rsidR="00A03629">
        <w:t xml:space="preserve"> </w:t>
      </w:r>
      <w:r>
        <w:t>the</w:t>
      </w:r>
      <w:r w:rsidR="00A03629">
        <w:t xml:space="preserve"> </w:t>
      </w:r>
      <w:r>
        <w:t>joint</w:t>
      </w:r>
      <w:r w:rsidR="00A03629">
        <w:t xml:space="preserve"> </w:t>
      </w:r>
      <w:r>
        <w:t>operation</w:t>
      </w:r>
      <w:r w:rsidR="00A03629">
        <w:t xml:space="preserve"> </w:t>
      </w:r>
      <w:r>
        <w:t>on</w:t>
      </w:r>
      <w:r w:rsidR="00A03629">
        <w:t xml:space="preserve"> </w:t>
      </w:r>
      <w:r>
        <w:t>the</w:t>
      </w:r>
      <w:r w:rsidR="00A03629">
        <w:t xml:space="preserve"> </w:t>
      </w:r>
      <w:r>
        <w:t>conclusion</w:t>
      </w:r>
      <w:r w:rsidR="00A03629">
        <w:t xml:space="preserve"> </w:t>
      </w:r>
      <w:r>
        <w:t>of</w:t>
      </w:r>
      <w:r w:rsidR="00A03629">
        <w:t xml:space="preserve"> </w:t>
      </w:r>
      <w:r>
        <w:t>the</w:t>
      </w:r>
      <w:r w:rsidR="00A03629">
        <w:t xml:space="preserve"> </w:t>
      </w:r>
      <w:r>
        <w:t>lease</w:t>
      </w:r>
      <w:r w:rsidR="00A03629">
        <w:t xml:space="preserve"> </w:t>
      </w:r>
      <w:r>
        <w:t>arrangement.</w:t>
      </w:r>
    </w:p>
    <w:p w14:paraId="67621247" w14:textId="64C0523B" w:rsidR="000756EB" w:rsidRDefault="004A4D88" w:rsidP="00B23E3B">
      <w:r>
        <w:t>The</w:t>
      </w:r>
      <w:r w:rsidR="00A03629">
        <w:t xml:space="preserve"> </w:t>
      </w:r>
      <w:r>
        <w:t>payments</w:t>
      </w:r>
      <w:r w:rsidR="00A03629">
        <w:t xml:space="preserve"> </w:t>
      </w:r>
      <w:r>
        <w:t>that</w:t>
      </w:r>
      <w:r w:rsidR="00A03629">
        <w:t xml:space="preserve"> </w:t>
      </w:r>
      <w:r>
        <w:t>relate</w:t>
      </w:r>
      <w:r w:rsidR="00A03629">
        <w:t xml:space="preserve"> </w:t>
      </w:r>
      <w:r>
        <w:t>to</w:t>
      </w:r>
      <w:r w:rsidR="00A03629">
        <w:t xml:space="preserve"> </w:t>
      </w:r>
      <w:r>
        <w:t>the</w:t>
      </w:r>
      <w:r w:rsidR="00A03629">
        <w:t xml:space="preserve"> </w:t>
      </w:r>
      <w:r>
        <w:t>redevelopment</w:t>
      </w:r>
      <w:r w:rsidR="00A03629">
        <w:t xml:space="preserve"> </w:t>
      </w:r>
      <w:r>
        <w:t>of</w:t>
      </w:r>
      <w:r w:rsidR="00A03629">
        <w:rPr>
          <w:rFonts w:ascii="Cambria" w:hAnsi="Cambria" w:cs="Cambria"/>
        </w:rPr>
        <w:t xml:space="preserve"> </w:t>
      </w:r>
      <w:r>
        <w:t>the</w:t>
      </w:r>
      <w:r w:rsidR="00A03629">
        <w:t xml:space="preserve"> </w:t>
      </w:r>
      <w:r>
        <w:t>showgrounds</w:t>
      </w:r>
      <w:r w:rsidR="00A03629">
        <w:t xml:space="preserve"> </w:t>
      </w:r>
      <w:r>
        <w:t>are</w:t>
      </w:r>
      <w:r w:rsidR="00A03629">
        <w:t xml:space="preserve"> </w:t>
      </w:r>
      <w:r>
        <w:t>accounted</w:t>
      </w:r>
      <w:r w:rsidR="00A03629">
        <w:t xml:space="preserve"> </w:t>
      </w:r>
      <w:r>
        <w:t>for</w:t>
      </w:r>
      <w:r w:rsidR="00A03629">
        <w:t xml:space="preserve"> </w:t>
      </w:r>
      <w:r>
        <w:t>as</w:t>
      </w:r>
      <w:r w:rsidR="00A03629">
        <w:t xml:space="preserve"> </w:t>
      </w:r>
      <w:r>
        <w:t>a</w:t>
      </w:r>
      <w:r w:rsidR="00A03629">
        <w:t xml:space="preserve"> </w:t>
      </w:r>
      <w:r>
        <w:t>lease</w:t>
      </w:r>
      <w:r w:rsidR="00A03629">
        <w:t xml:space="preserve"> </w:t>
      </w:r>
      <w:r>
        <w:t>as</w:t>
      </w:r>
      <w:r w:rsidR="00A03629">
        <w:rPr>
          <w:rFonts w:ascii="Cambria" w:hAnsi="Cambria" w:cs="Cambria"/>
        </w:rPr>
        <w:t xml:space="preserve"> </w:t>
      </w:r>
      <w:r>
        <w:t>disclosed</w:t>
      </w:r>
      <w:r w:rsidR="00A03629">
        <w:t xml:space="preserve"> </w:t>
      </w:r>
      <w:r>
        <w:t>in</w:t>
      </w:r>
      <w:r w:rsidR="00A03629">
        <w:t xml:space="preserve"> </w:t>
      </w:r>
      <w:r>
        <w:t>the</w:t>
      </w:r>
      <w:r w:rsidR="00A03629">
        <w:t xml:space="preserve"> </w:t>
      </w:r>
      <w:r>
        <w:t>table</w:t>
      </w:r>
      <w:r w:rsidR="00A03629">
        <w:t xml:space="preserve"> </w:t>
      </w:r>
      <w:r>
        <w:t>above.</w:t>
      </w:r>
      <w:r w:rsidR="00A03629">
        <w:t xml:space="preserve"> </w:t>
      </w:r>
      <w:r>
        <w:t>In</w:t>
      </w:r>
      <w:r w:rsidR="00A03629">
        <w:t xml:space="preserve"> </w:t>
      </w:r>
      <w:r>
        <w:t>addition,</w:t>
      </w:r>
      <w:r w:rsidR="00A03629">
        <w:t xml:space="preserve"> </w:t>
      </w:r>
      <w:r>
        <w:t>DJSIR</w:t>
      </w:r>
      <w:r w:rsidR="00A03629">
        <w:t xml:space="preserve"> </w:t>
      </w:r>
      <w:r>
        <w:t>also</w:t>
      </w:r>
      <w:r w:rsidR="00A03629">
        <w:t xml:space="preserve"> </w:t>
      </w:r>
      <w:r>
        <w:t>pays</w:t>
      </w:r>
      <w:r w:rsidR="00A03629">
        <w:t xml:space="preserve"> </w:t>
      </w:r>
      <w:r>
        <w:t>operating</w:t>
      </w:r>
      <w:r w:rsidR="00A03629">
        <w:t xml:space="preserve"> </w:t>
      </w:r>
      <w:r>
        <w:t>and</w:t>
      </w:r>
      <w:r w:rsidR="00A03629">
        <w:t xml:space="preserve"> </w:t>
      </w:r>
      <w:r>
        <w:t>maintenance</w:t>
      </w:r>
      <w:r w:rsidR="00A03629">
        <w:t xml:space="preserve"> </w:t>
      </w:r>
      <w:r>
        <w:t>costs.</w:t>
      </w:r>
    </w:p>
    <w:p w14:paraId="386418F1" w14:textId="6EAE9A2A" w:rsidR="000756EB" w:rsidRDefault="004A4D88" w:rsidP="00B23E3B">
      <w:r>
        <w:t>Under</w:t>
      </w:r>
      <w:r w:rsidR="00A03629">
        <w:t xml:space="preserve"> </w:t>
      </w:r>
      <w:r>
        <w:t>the</w:t>
      </w:r>
      <w:r w:rsidR="00A03629">
        <w:t xml:space="preserve"> </w:t>
      </w:r>
      <w:r>
        <w:t>joint</w:t>
      </w:r>
      <w:r w:rsidR="00A03629">
        <w:t xml:space="preserve"> </w:t>
      </w:r>
      <w:r>
        <w:t>venture</w:t>
      </w:r>
      <w:r w:rsidR="00A03629">
        <w:t xml:space="preserve"> </w:t>
      </w:r>
      <w:r>
        <w:t>agreements,</w:t>
      </w:r>
      <w:r w:rsidR="00A03629">
        <w:t xml:space="preserve"> </w:t>
      </w:r>
      <w:r>
        <w:t>the</w:t>
      </w:r>
      <w:r w:rsidR="00A03629">
        <w:t xml:space="preserve"> </w:t>
      </w:r>
      <w:r>
        <w:t>State</w:t>
      </w:r>
      <w:r w:rsidR="00A03629">
        <w:t xml:space="preserve"> </w:t>
      </w:r>
      <w:r>
        <w:t>has</w:t>
      </w:r>
      <w:r w:rsidR="00A03629">
        <w:t xml:space="preserve"> </w:t>
      </w:r>
      <w:r>
        <w:t>agreed</w:t>
      </w:r>
      <w:r w:rsidR="00A03629">
        <w:t xml:space="preserve"> </w:t>
      </w:r>
      <w:r>
        <w:t>to</w:t>
      </w:r>
      <w:r w:rsidR="00A03629">
        <w:t xml:space="preserve"> </w:t>
      </w:r>
      <w:r>
        <w:t>support</w:t>
      </w:r>
      <w:r w:rsidR="00A03629">
        <w:t xml:space="preserve"> </w:t>
      </w:r>
      <w:r>
        <w:t>certain</w:t>
      </w:r>
      <w:r w:rsidR="00A03629">
        <w:t xml:space="preserve"> </w:t>
      </w:r>
      <w:r>
        <w:t>obligations</w:t>
      </w:r>
      <w:r w:rsidR="00A03629">
        <w:t xml:space="preserve"> </w:t>
      </w:r>
      <w:r>
        <w:t>of</w:t>
      </w:r>
      <w:r w:rsidR="00A03629">
        <w:t xml:space="preserve"> </w:t>
      </w:r>
      <w:r>
        <w:t>RASV</w:t>
      </w:r>
      <w:r w:rsidR="00A03629">
        <w:t xml:space="preserve"> </w:t>
      </w:r>
      <w:r>
        <w:t>that</w:t>
      </w:r>
      <w:r w:rsidR="00A03629">
        <w:t xml:space="preserve"> </w:t>
      </w:r>
      <w:r>
        <w:t>may</w:t>
      </w:r>
      <w:r w:rsidR="00A03629">
        <w:t xml:space="preserve"> </w:t>
      </w:r>
      <w:r>
        <w:t>arise</w:t>
      </w:r>
      <w:r w:rsidR="00A03629">
        <w:t xml:space="preserve"> </w:t>
      </w:r>
      <w:r>
        <w:t>out</w:t>
      </w:r>
      <w:r w:rsidR="00A03629">
        <w:t xml:space="preserve"> </w:t>
      </w:r>
      <w:r>
        <w:t>of</w:t>
      </w:r>
      <w:r w:rsidR="00A03629">
        <w:t xml:space="preserve"> </w:t>
      </w:r>
      <w:r>
        <w:t>the</w:t>
      </w:r>
      <w:r w:rsidR="00A03629">
        <w:t xml:space="preserve"> </w:t>
      </w:r>
      <w:r>
        <w:t>joint</w:t>
      </w:r>
      <w:r w:rsidR="00A03629">
        <w:t xml:space="preserve"> </w:t>
      </w:r>
      <w:r>
        <w:t>operation</w:t>
      </w:r>
      <w:r w:rsidR="00A03629">
        <w:t xml:space="preserve"> </w:t>
      </w:r>
      <w:r>
        <w:t>agreement.</w:t>
      </w:r>
      <w:r w:rsidR="00A03629">
        <w:t xml:space="preserve"> </w:t>
      </w:r>
      <w:r>
        <w:t>In</w:t>
      </w:r>
      <w:r w:rsidR="00A03629">
        <w:t xml:space="preserve"> </w:t>
      </w:r>
      <w:r>
        <w:t>accordance</w:t>
      </w:r>
      <w:r w:rsidR="00A03629">
        <w:t xml:space="preserve"> </w:t>
      </w:r>
      <w:r>
        <w:t>with</w:t>
      </w:r>
      <w:r w:rsidR="00A03629">
        <w:t xml:space="preserve"> </w:t>
      </w:r>
      <w:r>
        <w:t>the</w:t>
      </w:r>
      <w:r w:rsidR="00A03629">
        <w:t xml:space="preserve"> </w:t>
      </w:r>
      <w:r>
        <w:t>terms</w:t>
      </w:r>
      <w:r w:rsidR="00A03629">
        <w:t xml:space="preserve"> </w:t>
      </w:r>
      <w:r>
        <w:t>set</w:t>
      </w:r>
      <w:r w:rsidR="00A03629">
        <w:t xml:space="preserve"> </w:t>
      </w:r>
      <w:r>
        <w:t>out</w:t>
      </w:r>
      <w:r w:rsidR="00A03629">
        <w:t xml:space="preserve"> </w:t>
      </w:r>
      <w:r>
        <w:t>in</w:t>
      </w:r>
      <w:r w:rsidR="00A03629">
        <w:t xml:space="preserve"> </w:t>
      </w:r>
      <w:r>
        <w:t>the</w:t>
      </w:r>
      <w:r w:rsidR="00A03629">
        <w:t xml:space="preserve"> </w:t>
      </w:r>
      <w:r>
        <w:t>state</w:t>
      </w:r>
      <w:r w:rsidR="00A03629">
        <w:t xml:space="preserve"> </w:t>
      </w:r>
      <w:r>
        <w:t>commitment</w:t>
      </w:r>
      <w:r w:rsidR="00A03629">
        <w:t xml:space="preserve"> </w:t>
      </w:r>
      <w:r>
        <w:t>to</w:t>
      </w:r>
      <w:r w:rsidR="00A03629">
        <w:t xml:space="preserve"> </w:t>
      </w:r>
      <w:r>
        <w:t>RASV,</w:t>
      </w:r>
      <w:r w:rsidR="00A03629">
        <w:t xml:space="preserve"> </w:t>
      </w:r>
      <w:r>
        <w:t>the</w:t>
      </w:r>
      <w:r w:rsidR="00A03629">
        <w:t xml:space="preserve"> </w:t>
      </w:r>
      <w:r>
        <w:t>State</w:t>
      </w:r>
      <w:r w:rsidR="00A03629">
        <w:t xml:space="preserve"> </w:t>
      </w:r>
      <w:r>
        <w:t>will</w:t>
      </w:r>
      <w:r w:rsidR="00A03629">
        <w:t xml:space="preserve"> </w:t>
      </w:r>
      <w:r>
        <w:t>pay</w:t>
      </w:r>
      <w:r w:rsidR="00A03629">
        <w:t xml:space="preserve"> </w:t>
      </w:r>
      <w:r>
        <w:t>(in</w:t>
      </w:r>
      <w:r w:rsidR="00A03629">
        <w:t xml:space="preserve"> </w:t>
      </w:r>
      <w:r>
        <w:t>the</w:t>
      </w:r>
      <w:r w:rsidR="00A03629">
        <w:t xml:space="preserve"> </w:t>
      </w:r>
      <w:r>
        <w:t>form</w:t>
      </w:r>
      <w:r w:rsidR="00A03629">
        <w:t xml:space="preserve"> </w:t>
      </w:r>
      <w:r>
        <w:t>of</w:t>
      </w:r>
      <w:r w:rsidR="00A03629">
        <w:t xml:space="preserve"> </w:t>
      </w:r>
      <w:r>
        <w:t>a</w:t>
      </w:r>
      <w:r w:rsidR="00A03629">
        <w:t xml:space="preserve"> </w:t>
      </w:r>
      <w:r>
        <w:t>loan),</w:t>
      </w:r>
      <w:r w:rsidR="00A03629">
        <w:t xml:space="preserve"> </w:t>
      </w:r>
      <w:r>
        <w:t>the</w:t>
      </w:r>
      <w:r w:rsidR="00A03629">
        <w:t xml:space="preserve"> </w:t>
      </w:r>
      <w:r>
        <w:t>amount</w:t>
      </w:r>
      <w:r w:rsidR="00A03629">
        <w:t xml:space="preserve"> </w:t>
      </w:r>
      <w:r>
        <w:t>requested</w:t>
      </w:r>
      <w:r w:rsidR="00A03629">
        <w:t xml:space="preserve"> </w:t>
      </w:r>
      <w:r>
        <w:t>by</w:t>
      </w:r>
      <w:r w:rsidR="00A03629">
        <w:t xml:space="preserve"> </w:t>
      </w:r>
      <w:r>
        <w:t>RASV.</w:t>
      </w:r>
      <w:r w:rsidR="00A03629">
        <w:t xml:space="preserve"> </w:t>
      </w:r>
      <w:r>
        <w:t>If</w:t>
      </w:r>
      <w:r w:rsidR="00A03629">
        <w:t xml:space="preserve"> </w:t>
      </w:r>
      <w:r>
        <w:t>any</w:t>
      </w:r>
      <w:r w:rsidR="00A03629">
        <w:t xml:space="preserve"> </w:t>
      </w:r>
      <w:r>
        <w:t>outstanding</w:t>
      </w:r>
      <w:r w:rsidR="00A03629">
        <w:t xml:space="preserve"> </w:t>
      </w:r>
      <w:r>
        <w:t>loan</w:t>
      </w:r>
      <w:r w:rsidR="00A03629">
        <w:t xml:space="preserve"> </w:t>
      </w:r>
      <w:r>
        <w:t>amount</w:t>
      </w:r>
      <w:r w:rsidR="00A03629">
        <w:t xml:space="preserve"> </w:t>
      </w:r>
      <w:r>
        <w:t>remains</w:t>
      </w:r>
      <w:r w:rsidR="00A03629">
        <w:t xml:space="preserve"> </w:t>
      </w:r>
      <w:r>
        <w:t>unpaid</w:t>
      </w:r>
      <w:r w:rsidR="00A03629">
        <w:t xml:space="preserve"> </w:t>
      </w:r>
      <w:r>
        <w:t>at</w:t>
      </w:r>
      <w:r w:rsidR="00A03629">
        <w:t xml:space="preserve"> </w:t>
      </w:r>
      <w:r>
        <w:t>the</w:t>
      </w:r>
      <w:r w:rsidR="00A03629">
        <w:t xml:space="preserve"> </w:t>
      </w:r>
      <w:r>
        <w:t>date</w:t>
      </w:r>
      <w:r w:rsidR="00A03629">
        <w:t xml:space="preserve"> </w:t>
      </w:r>
      <w:r>
        <w:t>which</w:t>
      </w:r>
      <w:r w:rsidR="00A03629">
        <w:t xml:space="preserve"> </w:t>
      </w:r>
      <w:r>
        <w:t>is</w:t>
      </w:r>
      <w:r w:rsidR="00A03629">
        <w:t xml:space="preserve"> </w:t>
      </w:r>
      <w:r>
        <w:t>25</w:t>
      </w:r>
      <w:r w:rsidR="00A03629">
        <w:t xml:space="preserve"> </w:t>
      </w:r>
      <w:r>
        <w:t>years</w:t>
      </w:r>
      <w:r w:rsidR="00A03629">
        <w:t xml:space="preserve"> </w:t>
      </w:r>
      <w:r>
        <w:t>after</w:t>
      </w:r>
      <w:r w:rsidR="00A03629">
        <w:t xml:space="preserve"> </w:t>
      </w:r>
      <w:r>
        <w:t>the</w:t>
      </w:r>
      <w:r w:rsidR="00A03629">
        <w:t xml:space="preserve"> </w:t>
      </w:r>
      <w:r>
        <w:t>commencement</w:t>
      </w:r>
      <w:r w:rsidR="00A03629">
        <w:t xml:space="preserve"> </w:t>
      </w:r>
      <w:r>
        <w:t>of</w:t>
      </w:r>
      <w:r w:rsidR="00A03629">
        <w:t xml:space="preserve"> </w:t>
      </w:r>
      <w:r>
        <w:t>the</w:t>
      </w:r>
      <w:r w:rsidR="00A03629">
        <w:t xml:space="preserve"> </w:t>
      </w:r>
      <w:r>
        <w:t>operation</w:t>
      </w:r>
      <w:r w:rsidR="00A03629">
        <w:t xml:space="preserve"> </w:t>
      </w:r>
      <w:r>
        <w:t>term</w:t>
      </w:r>
      <w:r w:rsidR="00A03629">
        <w:t xml:space="preserve"> </w:t>
      </w:r>
      <w:r>
        <w:t>under</w:t>
      </w:r>
      <w:r w:rsidR="00A03629">
        <w:t xml:space="preserve"> </w:t>
      </w:r>
      <w:r>
        <w:t>the</w:t>
      </w:r>
      <w:r w:rsidR="00A03629">
        <w:t xml:space="preserve"> </w:t>
      </w:r>
      <w:r>
        <w:t>Development</w:t>
      </w:r>
      <w:r w:rsidR="00A03629">
        <w:t xml:space="preserve"> </w:t>
      </w:r>
      <w:r>
        <w:t>and</w:t>
      </w:r>
      <w:r w:rsidR="00A03629">
        <w:t xml:space="preserve"> </w:t>
      </w:r>
      <w:r>
        <w:t>Operation</w:t>
      </w:r>
      <w:r w:rsidR="00A03629">
        <w:t xml:space="preserve"> </w:t>
      </w:r>
      <w:r>
        <w:t>Agreement,</w:t>
      </w:r>
      <w:r w:rsidR="00A03629">
        <w:t xml:space="preserve"> </w:t>
      </w:r>
      <w:r>
        <w:t>RASV</w:t>
      </w:r>
      <w:r w:rsidR="00A03629">
        <w:t xml:space="preserve"> </w:t>
      </w:r>
      <w:r>
        <w:t>will</w:t>
      </w:r>
      <w:r w:rsidR="00A03629">
        <w:t xml:space="preserve"> </w:t>
      </w:r>
      <w:r>
        <w:t>be</w:t>
      </w:r>
      <w:r w:rsidR="00A03629">
        <w:t xml:space="preserve"> </w:t>
      </w:r>
      <w:r>
        <w:t>obliged</w:t>
      </w:r>
      <w:r w:rsidR="00A03629">
        <w:t xml:space="preserve"> </w:t>
      </w:r>
      <w:r>
        <w:t>to</w:t>
      </w:r>
      <w:r w:rsidR="00A03629">
        <w:t xml:space="preserve"> </w:t>
      </w:r>
      <w:r>
        <w:t>satisfy</w:t>
      </w:r>
      <w:r w:rsidR="00A03629">
        <w:t xml:space="preserve"> </w:t>
      </w:r>
      <w:r>
        <w:t>and</w:t>
      </w:r>
      <w:r w:rsidR="00A03629">
        <w:t xml:space="preserve"> </w:t>
      </w:r>
      <w:r>
        <w:t>discharge</w:t>
      </w:r>
      <w:r w:rsidR="00A03629">
        <w:t xml:space="preserve"> </w:t>
      </w:r>
      <w:r>
        <w:t>each</w:t>
      </w:r>
      <w:r w:rsidR="00A03629">
        <w:t xml:space="preserve"> </w:t>
      </w:r>
      <w:r>
        <w:t>such</w:t>
      </w:r>
      <w:r w:rsidR="00A03629">
        <w:t xml:space="preserve"> </w:t>
      </w:r>
      <w:r>
        <w:t>outstanding</w:t>
      </w:r>
      <w:r w:rsidR="00A03629">
        <w:t xml:space="preserve"> </w:t>
      </w:r>
      <w:r>
        <w:t>loan</w:t>
      </w:r>
      <w:r w:rsidR="00A03629">
        <w:t xml:space="preserve"> </w:t>
      </w:r>
      <w:r>
        <w:t>amount.</w:t>
      </w:r>
      <w:r w:rsidR="00A03629">
        <w:t xml:space="preserve"> </w:t>
      </w:r>
      <w:r>
        <w:t>This</w:t>
      </w:r>
      <w:r w:rsidR="00A03629">
        <w:t xml:space="preserve"> </w:t>
      </w:r>
      <w:r>
        <w:t>may</w:t>
      </w:r>
      <w:r w:rsidR="00A03629">
        <w:t xml:space="preserve"> </w:t>
      </w:r>
      <w:r>
        <w:t>take</w:t>
      </w:r>
      <w:r w:rsidR="00A03629">
        <w:t xml:space="preserve"> </w:t>
      </w:r>
      <w:r>
        <w:t>the</w:t>
      </w:r>
      <w:r w:rsidR="00A03629">
        <w:t xml:space="preserve"> </w:t>
      </w:r>
      <w:r>
        <w:t>form</w:t>
      </w:r>
      <w:r w:rsidR="00A03629">
        <w:t xml:space="preserve"> </w:t>
      </w:r>
      <w:r>
        <w:t>of</w:t>
      </w:r>
      <w:r w:rsidR="00A03629">
        <w:t xml:space="preserve"> </w:t>
      </w:r>
      <w:r>
        <w:t>a</w:t>
      </w:r>
      <w:r w:rsidR="00A03629">
        <w:t xml:space="preserve"> </w:t>
      </w:r>
      <w:r>
        <w:t>transfer</w:t>
      </w:r>
      <w:r w:rsidR="00A03629">
        <w:t xml:space="preserve"> </w:t>
      </w:r>
      <w:r>
        <w:t>to</w:t>
      </w:r>
      <w:r w:rsidR="00A03629">
        <w:t xml:space="preserve"> </w:t>
      </w:r>
      <w:r>
        <w:t>the</w:t>
      </w:r>
      <w:r w:rsidR="00A03629">
        <w:t xml:space="preserve"> </w:t>
      </w:r>
      <w:r>
        <w:t>State,</w:t>
      </w:r>
      <w:r w:rsidR="00A03629">
        <w:t xml:space="preserve"> </w:t>
      </w:r>
      <w:r>
        <w:t>of</w:t>
      </w:r>
      <w:r w:rsidR="00A03629">
        <w:t xml:space="preserve"> </w:t>
      </w:r>
      <w:r>
        <w:t>the</w:t>
      </w:r>
      <w:r w:rsidR="00A03629">
        <w:t xml:space="preserve"> </w:t>
      </w:r>
      <w:r>
        <w:t>whole</w:t>
      </w:r>
      <w:r w:rsidR="00A03629">
        <w:t xml:space="preserve"> </w:t>
      </w:r>
      <w:r>
        <w:t>of</w:t>
      </w:r>
      <w:r w:rsidR="00A03629">
        <w:t xml:space="preserve"> </w:t>
      </w:r>
      <w:r>
        <w:t>the</w:t>
      </w:r>
      <w:r w:rsidR="00A03629">
        <w:t xml:space="preserve"> </w:t>
      </w:r>
      <w:r>
        <w:t>RASV</w:t>
      </w:r>
      <w:r w:rsidR="00A03629">
        <w:t xml:space="preserve"> </w:t>
      </w:r>
      <w:r>
        <w:t>participating</w:t>
      </w:r>
      <w:r w:rsidR="00A03629">
        <w:t xml:space="preserve"> </w:t>
      </w:r>
      <w:r>
        <w:t>interest</w:t>
      </w:r>
      <w:r w:rsidR="00A03629">
        <w:t xml:space="preserve"> </w:t>
      </w:r>
      <w:r>
        <w:t>in</w:t>
      </w:r>
      <w:r w:rsidR="00A03629">
        <w:t xml:space="preserve"> </w:t>
      </w:r>
      <w:r>
        <w:t>the</w:t>
      </w:r>
      <w:r w:rsidR="00A03629">
        <w:t xml:space="preserve"> </w:t>
      </w:r>
      <w:r>
        <w:t>joint</w:t>
      </w:r>
      <w:r w:rsidR="00A03629">
        <w:t xml:space="preserve"> </w:t>
      </w:r>
      <w:r>
        <w:t>operation.</w:t>
      </w:r>
    </w:p>
    <w:p w14:paraId="731DA5A5" w14:textId="58279698" w:rsidR="000756EB" w:rsidRDefault="004A4D88" w:rsidP="00B23E3B">
      <w:r>
        <w:t>In</w:t>
      </w:r>
      <w:r w:rsidR="00A03629">
        <w:t xml:space="preserve"> </w:t>
      </w:r>
      <w:r>
        <w:t>May</w:t>
      </w:r>
      <w:r w:rsidR="00A03629">
        <w:t xml:space="preserve"> </w:t>
      </w:r>
      <w:r>
        <w:t>2020,</w:t>
      </w:r>
      <w:r w:rsidR="00A03629">
        <w:t xml:space="preserve"> </w:t>
      </w:r>
      <w:r>
        <w:t>RASV</w:t>
      </w:r>
      <w:r w:rsidR="00A03629">
        <w:t xml:space="preserve"> </w:t>
      </w:r>
      <w:r>
        <w:t>advised</w:t>
      </w:r>
      <w:r w:rsidR="00A03629">
        <w:t xml:space="preserve"> </w:t>
      </w:r>
      <w:r>
        <w:t>DJSIR</w:t>
      </w:r>
      <w:r w:rsidR="00A03629">
        <w:t xml:space="preserve"> </w:t>
      </w:r>
      <w:r>
        <w:t>that</w:t>
      </w:r>
      <w:r w:rsidR="00A03629">
        <w:t xml:space="preserve"> </w:t>
      </w:r>
      <w:r>
        <w:t>it</w:t>
      </w:r>
      <w:r w:rsidR="00A03629">
        <w:t xml:space="preserve"> </w:t>
      </w:r>
      <w:r>
        <w:t>is</w:t>
      </w:r>
      <w:r w:rsidR="00A03629">
        <w:t xml:space="preserve"> </w:t>
      </w:r>
      <w:r>
        <w:t>unable</w:t>
      </w:r>
      <w:r w:rsidR="00A03629">
        <w:t xml:space="preserve"> </w:t>
      </w:r>
      <w:r>
        <w:t>to</w:t>
      </w:r>
      <w:r w:rsidR="00A03629">
        <w:t xml:space="preserve"> </w:t>
      </w:r>
      <w:r>
        <w:t>meet</w:t>
      </w:r>
      <w:r w:rsidR="00A03629">
        <w:t xml:space="preserve"> </w:t>
      </w:r>
      <w:r>
        <w:t>its</w:t>
      </w:r>
      <w:r w:rsidR="00A03629">
        <w:t xml:space="preserve"> </w:t>
      </w:r>
      <w:r>
        <w:t>share</w:t>
      </w:r>
      <w:r w:rsidR="00A03629">
        <w:t xml:space="preserve"> </w:t>
      </w:r>
      <w:r>
        <w:t>of</w:t>
      </w:r>
      <w:r w:rsidR="00A03629">
        <w:t xml:space="preserve"> </w:t>
      </w:r>
      <w:r>
        <w:t>the</w:t>
      </w:r>
      <w:r w:rsidR="00A03629">
        <w:t xml:space="preserve"> </w:t>
      </w:r>
      <w:r>
        <w:t>quarterly</w:t>
      </w:r>
      <w:r w:rsidR="00A03629">
        <w:t xml:space="preserve"> </w:t>
      </w:r>
      <w:r>
        <w:t>service</w:t>
      </w:r>
      <w:r w:rsidR="00A03629">
        <w:t xml:space="preserve"> </w:t>
      </w:r>
      <w:r>
        <w:t>payments</w:t>
      </w:r>
      <w:r w:rsidR="00A03629">
        <w:t xml:space="preserve"> </w:t>
      </w:r>
      <w:r>
        <w:t>to</w:t>
      </w:r>
      <w:r w:rsidR="00A03629">
        <w:t xml:space="preserve"> </w:t>
      </w:r>
      <w:r>
        <w:t>the</w:t>
      </w:r>
      <w:r w:rsidR="00A03629">
        <w:t xml:space="preserve"> </w:t>
      </w:r>
      <w:r>
        <w:t>Concessionaire.</w:t>
      </w:r>
      <w:r w:rsidR="00A03629">
        <w:t xml:space="preserve"> </w:t>
      </w:r>
      <w:r>
        <w:t>Accordingly,</w:t>
      </w:r>
      <w:r w:rsidR="00A03629">
        <w:t xml:space="preserve"> </w:t>
      </w:r>
      <w:r>
        <w:t>DJSIR</w:t>
      </w:r>
      <w:r w:rsidR="00A03629">
        <w:t xml:space="preserve"> </w:t>
      </w:r>
      <w:r>
        <w:t>has</w:t>
      </w:r>
      <w:r w:rsidR="00A03629">
        <w:t xml:space="preserve"> </w:t>
      </w:r>
      <w:r>
        <w:t>recognised</w:t>
      </w:r>
      <w:r w:rsidR="00A03629">
        <w:t xml:space="preserve"> </w:t>
      </w:r>
      <w:r>
        <w:t>a</w:t>
      </w:r>
      <w:r w:rsidR="00A03629">
        <w:t xml:space="preserve"> </w:t>
      </w:r>
      <w:r>
        <w:t>financial</w:t>
      </w:r>
      <w:r w:rsidR="00A03629">
        <w:t xml:space="preserve"> </w:t>
      </w:r>
      <w:r>
        <w:t>guarantee</w:t>
      </w:r>
      <w:r w:rsidR="00A03629">
        <w:t xml:space="preserve"> </w:t>
      </w:r>
      <w:r>
        <w:t>liability</w:t>
      </w:r>
      <w:r w:rsidR="00A03629">
        <w:t xml:space="preserve"> </w:t>
      </w:r>
      <w:r>
        <w:t>in</w:t>
      </w:r>
      <w:r w:rsidR="00A03629">
        <w:t xml:space="preserve"> </w:t>
      </w:r>
      <w:r>
        <w:t>2019–20</w:t>
      </w:r>
      <w:r w:rsidR="00A03629">
        <w:t xml:space="preserve"> </w:t>
      </w:r>
      <w:r>
        <w:t>in</w:t>
      </w:r>
      <w:r w:rsidR="00A03629">
        <w:t xml:space="preserve"> </w:t>
      </w:r>
      <w:r>
        <w:t>relation</w:t>
      </w:r>
      <w:r w:rsidR="00A03629">
        <w:t xml:space="preserve"> </w:t>
      </w:r>
      <w:r>
        <w:t>to</w:t>
      </w:r>
      <w:r w:rsidR="00A03629">
        <w:t xml:space="preserve"> </w:t>
      </w:r>
      <w:r>
        <w:t>this</w:t>
      </w:r>
      <w:r w:rsidR="00A03629">
        <w:t xml:space="preserve"> </w:t>
      </w:r>
      <w:r>
        <w:t>obligation.</w:t>
      </w:r>
      <w:r w:rsidR="00A03629">
        <w:t xml:space="preserve"> </w:t>
      </w:r>
      <w:r>
        <w:t>This</w:t>
      </w:r>
      <w:r w:rsidR="00A03629">
        <w:t xml:space="preserve"> </w:t>
      </w:r>
      <w:r>
        <w:t>liability</w:t>
      </w:r>
      <w:r w:rsidR="00A03629">
        <w:t xml:space="preserve"> </w:t>
      </w:r>
      <w:r>
        <w:t>is</w:t>
      </w:r>
      <w:r w:rsidR="00A03629">
        <w:t xml:space="preserve"> </w:t>
      </w:r>
      <w:r>
        <w:t>disclosed</w:t>
      </w:r>
      <w:r w:rsidR="00A03629">
        <w:t xml:space="preserve"> </w:t>
      </w:r>
      <w:r>
        <w:t>in</w:t>
      </w:r>
      <w:r w:rsidR="00A03629">
        <w:t xml:space="preserve"> </w:t>
      </w:r>
      <w:r>
        <w:t>Note</w:t>
      </w:r>
      <w:r w:rsidR="00A03629">
        <w:t xml:space="preserve"> </w:t>
      </w:r>
      <w:r>
        <w:t>6.2.</w:t>
      </w:r>
    </w:p>
    <w:p w14:paraId="5368B1D0" w14:textId="200146D5" w:rsidR="000756EB" w:rsidRPr="00B23E3B" w:rsidRDefault="004A4D88" w:rsidP="00B23E3B">
      <w:pPr>
        <w:pStyle w:val="Normalbeforebullets"/>
        <w:rPr>
          <w:b/>
          <w:bCs/>
        </w:rPr>
      </w:pPr>
      <w:r w:rsidRPr="00B23E3B">
        <w:rPr>
          <w:b/>
          <w:bCs/>
        </w:rPr>
        <w:lastRenderedPageBreak/>
        <w:t>Biosciences</w:t>
      </w:r>
      <w:r w:rsidR="00A03629" w:rsidRPr="00B23E3B">
        <w:rPr>
          <w:b/>
          <w:bCs/>
        </w:rPr>
        <w:t xml:space="preserve"> </w:t>
      </w:r>
      <w:r w:rsidRPr="00B23E3B">
        <w:rPr>
          <w:b/>
          <w:bCs/>
        </w:rPr>
        <w:t>Research</w:t>
      </w:r>
      <w:r w:rsidR="00A03629" w:rsidRPr="00B23E3B">
        <w:rPr>
          <w:b/>
          <w:bCs/>
        </w:rPr>
        <w:t xml:space="preserve"> </w:t>
      </w:r>
      <w:r w:rsidRPr="00B23E3B">
        <w:rPr>
          <w:b/>
          <w:bCs/>
        </w:rPr>
        <w:t>Centre</w:t>
      </w:r>
      <w:r w:rsidR="00A03629" w:rsidRPr="00B23E3B">
        <w:rPr>
          <w:b/>
          <w:bCs/>
        </w:rPr>
        <w:t xml:space="preserve"> </w:t>
      </w:r>
    </w:p>
    <w:p w14:paraId="727A509A" w14:textId="0180B6A2" w:rsidR="000756EB" w:rsidRDefault="004A4D88" w:rsidP="00B23E3B">
      <w:r>
        <w:t>In</w:t>
      </w:r>
      <w:r w:rsidR="00A03629">
        <w:t xml:space="preserve"> </w:t>
      </w:r>
      <w:r>
        <w:t>April</w:t>
      </w:r>
      <w:r w:rsidR="00A03629">
        <w:t xml:space="preserve"> </w:t>
      </w:r>
      <w:r>
        <w:t>2008,</w:t>
      </w:r>
      <w:r w:rsidR="00A03629">
        <w:t xml:space="preserve"> </w:t>
      </w:r>
      <w:r>
        <w:t>the</w:t>
      </w:r>
      <w:r w:rsidR="00A03629">
        <w:t xml:space="preserve"> </w:t>
      </w:r>
      <w:r>
        <w:t>state,</w:t>
      </w:r>
      <w:r w:rsidR="00A03629">
        <w:t xml:space="preserve"> </w:t>
      </w:r>
      <w:r>
        <w:t>represented</w:t>
      </w:r>
      <w:r w:rsidR="00A03629">
        <w:t xml:space="preserve"> </w:t>
      </w:r>
      <w:r>
        <w:t>by</w:t>
      </w:r>
      <w:r w:rsidR="00A03629">
        <w:t xml:space="preserve"> </w:t>
      </w:r>
      <w:r>
        <w:t>the</w:t>
      </w:r>
      <w:r w:rsidR="00A03629">
        <w:t xml:space="preserve"> </w:t>
      </w:r>
      <w:r>
        <w:t>former</w:t>
      </w:r>
      <w:r w:rsidR="00A03629">
        <w:t xml:space="preserve"> </w:t>
      </w:r>
      <w:r>
        <w:t>Department</w:t>
      </w:r>
      <w:r w:rsidR="00A03629">
        <w:t xml:space="preserve"> </w:t>
      </w:r>
      <w:r>
        <w:t>of</w:t>
      </w:r>
      <w:r w:rsidR="00A03629">
        <w:t xml:space="preserve"> </w:t>
      </w:r>
      <w:r>
        <w:t>Primary</w:t>
      </w:r>
      <w:r w:rsidR="00A03629">
        <w:t xml:space="preserve"> </w:t>
      </w:r>
      <w:r>
        <w:t>Industries</w:t>
      </w:r>
      <w:r w:rsidR="00A03629">
        <w:t xml:space="preserve"> </w:t>
      </w:r>
      <w:r>
        <w:t>entered</w:t>
      </w:r>
      <w:r w:rsidR="00A03629">
        <w:t xml:space="preserve"> </w:t>
      </w:r>
      <w:r>
        <w:t>into</w:t>
      </w:r>
      <w:r w:rsidR="00A03629">
        <w:t xml:space="preserve"> </w:t>
      </w:r>
      <w:r>
        <w:t>a</w:t>
      </w:r>
      <w:r w:rsidR="00A03629">
        <w:t xml:space="preserve"> </w:t>
      </w:r>
      <w:r>
        <w:t>joint</w:t>
      </w:r>
      <w:r w:rsidR="00A03629">
        <w:t xml:space="preserve"> </w:t>
      </w:r>
      <w:r>
        <w:t>operation</w:t>
      </w:r>
      <w:r w:rsidR="00A03629">
        <w:t xml:space="preserve"> </w:t>
      </w:r>
      <w:r>
        <w:t>agreement</w:t>
      </w:r>
      <w:r w:rsidR="00A03629">
        <w:t xml:space="preserve"> </w:t>
      </w:r>
      <w:r>
        <w:t>with</w:t>
      </w:r>
      <w:r w:rsidR="00A03629">
        <w:t xml:space="preserve"> </w:t>
      </w:r>
      <w:r>
        <w:t>La</w:t>
      </w:r>
      <w:r w:rsidR="00A03629">
        <w:t xml:space="preserve"> </w:t>
      </w:r>
      <w:r>
        <w:t>Trobe</w:t>
      </w:r>
      <w:r w:rsidR="00A03629">
        <w:t xml:space="preserve"> </w:t>
      </w:r>
      <w:r>
        <w:t>University</w:t>
      </w:r>
      <w:r w:rsidR="00A03629">
        <w:t xml:space="preserve"> </w:t>
      </w:r>
      <w:r>
        <w:t>(La</w:t>
      </w:r>
      <w:r w:rsidR="00A03629">
        <w:t xml:space="preserve"> </w:t>
      </w:r>
      <w:r>
        <w:t>Trobe)</w:t>
      </w:r>
      <w:r w:rsidR="00A03629">
        <w:t xml:space="preserve"> </w:t>
      </w:r>
      <w:r>
        <w:t>to</w:t>
      </w:r>
      <w:r w:rsidR="00A03629">
        <w:t xml:space="preserve"> </w:t>
      </w:r>
      <w:r>
        <w:t>establish</w:t>
      </w:r>
      <w:r w:rsidR="00A03629">
        <w:t xml:space="preserve"> </w:t>
      </w:r>
      <w:r>
        <w:t>a</w:t>
      </w:r>
      <w:r w:rsidR="00A03629">
        <w:t xml:space="preserve"> </w:t>
      </w:r>
      <w:r>
        <w:t>world-class</w:t>
      </w:r>
      <w:r w:rsidR="00A03629">
        <w:t xml:space="preserve"> </w:t>
      </w:r>
      <w:r>
        <w:t>research</w:t>
      </w:r>
      <w:r w:rsidR="00A03629">
        <w:t xml:space="preserve"> </w:t>
      </w:r>
      <w:r>
        <w:t>facility</w:t>
      </w:r>
      <w:r w:rsidR="00A03629">
        <w:t xml:space="preserve"> </w:t>
      </w:r>
      <w:r>
        <w:t>known</w:t>
      </w:r>
      <w:r w:rsidR="00A03629">
        <w:t xml:space="preserve"> </w:t>
      </w:r>
      <w:r>
        <w:t>as</w:t>
      </w:r>
      <w:r w:rsidR="00A03629">
        <w:t xml:space="preserve"> </w:t>
      </w:r>
      <w:proofErr w:type="spellStart"/>
      <w:r>
        <w:t>AgriBio</w:t>
      </w:r>
      <w:proofErr w:type="spellEnd"/>
      <w:r>
        <w:t>,</w:t>
      </w:r>
      <w:r w:rsidR="00A03629">
        <w:t xml:space="preserve"> </w:t>
      </w:r>
      <w:r>
        <w:t>Centre</w:t>
      </w:r>
      <w:r w:rsidR="00A03629">
        <w:t xml:space="preserve"> </w:t>
      </w:r>
      <w:r>
        <w:t>for</w:t>
      </w:r>
      <w:r w:rsidR="00A03629">
        <w:t xml:space="preserve"> </w:t>
      </w:r>
      <w:proofErr w:type="spellStart"/>
      <w:r>
        <w:t>AgriBioscience</w:t>
      </w:r>
      <w:proofErr w:type="spellEnd"/>
      <w:r>
        <w:t>.</w:t>
      </w:r>
    </w:p>
    <w:p w14:paraId="59730E31" w14:textId="6CE3046B" w:rsidR="000756EB" w:rsidRDefault="004A4D88" w:rsidP="00B23E3B">
      <w:r>
        <w:t>On</w:t>
      </w:r>
      <w:r w:rsidR="00A03629">
        <w:t xml:space="preserve"> </w:t>
      </w:r>
      <w:r>
        <w:t>30</w:t>
      </w:r>
      <w:r w:rsidR="00A03629">
        <w:t xml:space="preserve"> </w:t>
      </w:r>
      <w:r>
        <w:t>April</w:t>
      </w:r>
      <w:r w:rsidR="00A03629">
        <w:t xml:space="preserve"> </w:t>
      </w:r>
      <w:r>
        <w:t>2009,</w:t>
      </w:r>
      <w:r w:rsidR="00A03629">
        <w:t xml:space="preserve"> </w:t>
      </w:r>
      <w:r>
        <w:t>Biosciences</w:t>
      </w:r>
      <w:r w:rsidR="00A03629">
        <w:t xml:space="preserve"> </w:t>
      </w:r>
      <w:r>
        <w:t>Research</w:t>
      </w:r>
      <w:r w:rsidR="00A03629">
        <w:t xml:space="preserve"> </w:t>
      </w:r>
      <w:r>
        <w:t>Centre</w:t>
      </w:r>
      <w:r w:rsidR="00A03629">
        <w:t xml:space="preserve"> </w:t>
      </w:r>
      <w:r>
        <w:t>Pty</w:t>
      </w:r>
      <w:r w:rsidR="00A03629">
        <w:t xml:space="preserve"> </w:t>
      </w:r>
      <w:r>
        <w:t>Ltd</w:t>
      </w:r>
      <w:r w:rsidR="00A03629">
        <w:t xml:space="preserve"> </w:t>
      </w:r>
      <w:r>
        <w:t>entered</w:t>
      </w:r>
      <w:r w:rsidR="00A03629">
        <w:t xml:space="preserve"> </w:t>
      </w:r>
      <w:r>
        <w:t>into</w:t>
      </w:r>
      <w:r w:rsidR="00A03629">
        <w:t xml:space="preserve"> </w:t>
      </w:r>
      <w:r>
        <w:t>a</w:t>
      </w:r>
      <w:r w:rsidR="00A03629">
        <w:t xml:space="preserve"> </w:t>
      </w:r>
      <w:r>
        <w:t>Project</w:t>
      </w:r>
      <w:r w:rsidR="00A03629">
        <w:t xml:space="preserve"> </w:t>
      </w:r>
      <w:r>
        <w:t>Agreement</w:t>
      </w:r>
      <w:r w:rsidR="00A03629">
        <w:t xml:space="preserve"> </w:t>
      </w:r>
      <w:r>
        <w:t>(on</w:t>
      </w:r>
      <w:r w:rsidR="00A03629">
        <w:t xml:space="preserve"> </w:t>
      </w:r>
      <w:r>
        <w:t>behalf</w:t>
      </w:r>
      <w:r w:rsidR="00A03629">
        <w:t xml:space="preserve"> </w:t>
      </w:r>
      <w:r>
        <w:t>of</w:t>
      </w:r>
      <w:r w:rsidR="00A03629">
        <w:t xml:space="preserve"> </w:t>
      </w:r>
      <w:r>
        <w:t>the</w:t>
      </w:r>
      <w:r w:rsidR="00A03629">
        <w:t xml:space="preserve"> </w:t>
      </w:r>
      <w:r>
        <w:t>state</w:t>
      </w:r>
      <w:r w:rsidR="00A03629">
        <w:t xml:space="preserve"> </w:t>
      </w:r>
      <w:r>
        <w:t>and</w:t>
      </w:r>
      <w:r w:rsidR="00A03629">
        <w:t xml:space="preserve"> </w:t>
      </w:r>
      <w:r>
        <w:t>La</w:t>
      </w:r>
      <w:r w:rsidR="00A03629">
        <w:t xml:space="preserve"> </w:t>
      </w:r>
      <w:r>
        <w:t>Trobe)</w:t>
      </w:r>
      <w:r w:rsidR="00A03629">
        <w:t xml:space="preserve"> </w:t>
      </w:r>
      <w:r>
        <w:t>with</w:t>
      </w:r>
      <w:r w:rsidR="00A03629">
        <w:t xml:space="preserve"> </w:t>
      </w:r>
      <w:r>
        <w:t>Plenary</w:t>
      </w:r>
      <w:r w:rsidR="00A03629">
        <w:t xml:space="preserve"> </w:t>
      </w:r>
      <w:r>
        <w:t>Research</w:t>
      </w:r>
      <w:r w:rsidR="00A03629">
        <w:t xml:space="preserve"> </w:t>
      </w:r>
      <w:r>
        <w:t>Pty</w:t>
      </w:r>
      <w:r w:rsidR="00A03629">
        <w:t xml:space="preserve"> </w:t>
      </w:r>
      <w:r>
        <w:t>Ltd</w:t>
      </w:r>
      <w:r w:rsidR="00A03629">
        <w:t xml:space="preserve"> </w:t>
      </w:r>
      <w:r>
        <w:t>(the</w:t>
      </w:r>
      <w:r w:rsidR="00A03629">
        <w:t xml:space="preserve"> </w:t>
      </w:r>
      <w:r>
        <w:t>Concessionaire)</w:t>
      </w:r>
      <w:r w:rsidR="00A03629">
        <w:t xml:space="preserve"> </w:t>
      </w:r>
      <w:r>
        <w:t>to</w:t>
      </w:r>
      <w:r w:rsidR="00A03629">
        <w:t xml:space="preserve"> </w:t>
      </w:r>
      <w:r>
        <w:t>design,</w:t>
      </w:r>
      <w:r w:rsidR="00A03629">
        <w:t xml:space="preserve"> </w:t>
      </w:r>
      <w:r>
        <w:t>construct,</w:t>
      </w:r>
      <w:r w:rsidR="00A03629">
        <w:t xml:space="preserve"> </w:t>
      </w:r>
      <w:r>
        <w:t>finance</w:t>
      </w:r>
      <w:r w:rsidR="00A03629">
        <w:t xml:space="preserve"> </w:t>
      </w:r>
      <w:r>
        <w:t>and</w:t>
      </w:r>
      <w:r w:rsidR="00A03629">
        <w:t xml:space="preserve"> </w:t>
      </w:r>
      <w:r>
        <w:t>maintain</w:t>
      </w:r>
      <w:r w:rsidR="00A03629">
        <w:t xml:space="preserve"> </w:t>
      </w:r>
      <w:r>
        <w:t>a</w:t>
      </w:r>
      <w:r w:rsidR="00A03629">
        <w:t xml:space="preserve"> </w:t>
      </w:r>
      <w:r>
        <w:t>facility</w:t>
      </w:r>
      <w:r w:rsidR="00A03629">
        <w:t xml:space="preserve"> </w:t>
      </w:r>
      <w:r>
        <w:t>over</w:t>
      </w:r>
      <w:r w:rsidR="00A03629">
        <w:t xml:space="preserve"> </w:t>
      </w:r>
      <w:r>
        <w:t>the</w:t>
      </w:r>
      <w:r w:rsidR="00A03629">
        <w:t xml:space="preserve"> </w:t>
      </w:r>
      <w:r>
        <w:t>project’s</w:t>
      </w:r>
      <w:r w:rsidR="00A03629">
        <w:t xml:space="preserve"> </w:t>
      </w:r>
      <w:r>
        <w:t>operating</w:t>
      </w:r>
      <w:r w:rsidR="00A03629">
        <w:t xml:space="preserve"> </w:t>
      </w:r>
      <w:r>
        <w:t>term.</w:t>
      </w:r>
      <w:r w:rsidR="00A03629">
        <w:t xml:space="preserve"> </w:t>
      </w:r>
      <w:r>
        <w:t>The</w:t>
      </w:r>
      <w:r w:rsidR="00A03629">
        <w:t xml:space="preserve"> </w:t>
      </w:r>
      <w:r>
        <w:t>project’s</w:t>
      </w:r>
      <w:r w:rsidR="00A03629">
        <w:t xml:space="preserve"> </w:t>
      </w:r>
      <w:r>
        <w:t>operating</w:t>
      </w:r>
      <w:r w:rsidR="00A03629">
        <w:t xml:space="preserve"> </w:t>
      </w:r>
      <w:r>
        <w:t>term</w:t>
      </w:r>
      <w:r w:rsidR="00A03629">
        <w:t xml:space="preserve"> </w:t>
      </w:r>
      <w:r>
        <w:t>is</w:t>
      </w:r>
      <w:r w:rsidR="00A03629">
        <w:t xml:space="preserve"> </w:t>
      </w:r>
      <w:r>
        <w:t>25</w:t>
      </w:r>
      <w:r w:rsidR="00A03629">
        <w:rPr>
          <w:rFonts w:ascii="Cambria" w:hAnsi="Cambria" w:cs="Cambria"/>
        </w:rPr>
        <w:t xml:space="preserve"> </w:t>
      </w:r>
      <w:r>
        <w:t>years</w:t>
      </w:r>
      <w:r w:rsidR="00A03629">
        <w:t xml:space="preserve"> </w:t>
      </w:r>
      <w:r>
        <w:t>from</w:t>
      </w:r>
      <w:r w:rsidR="00A03629">
        <w:t xml:space="preserve"> </w:t>
      </w:r>
      <w:r>
        <w:t>the</w:t>
      </w:r>
      <w:r w:rsidR="00A03629">
        <w:t xml:space="preserve"> </w:t>
      </w:r>
      <w:r>
        <w:t>date</w:t>
      </w:r>
      <w:r w:rsidR="00A03629">
        <w:t xml:space="preserve"> </w:t>
      </w:r>
      <w:r>
        <w:t>of</w:t>
      </w:r>
      <w:r w:rsidR="00A03629">
        <w:t xml:space="preserve"> </w:t>
      </w:r>
      <w:r>
        <w:t>commercial</w:t>
      </w:r>
      <w:r w:rsidR="00A03629">
        <w:t xml:space="preserve"> </w:t>
      </w:r>
      <w:r>
        <w:t>acceptance,</w:t>
      </w:r>
      <w:r w:rsidR="00A03629">
        <w:t xml:space="preserve"> </w:t>
      </w:r>
      <w:r>
        <w:t>which</w:t>
      </w:r>
      <w:r w:rsidR="00A03629">
        <w:t xml:space="preserve"> </w:t>
      </w:r>
      <w:r>
        <w:t>occurred</w:t>
      </w:r>
      <w:r w:rsidR="00A03629">
        <w:t xml:space="preserve"> </w:t>
      </w:r>
      <w:r>
        <w:t>on</w:t>
      </w:r>
      <w:r w:rsidR="00A03629">
        <w:t xml:space="preserve"> </w:t>
      </w:r>
      <w:r>
        <w:t>18</w:t>
      </w:r>
      <w:r w:rsidR="00A03629">
        <w:t xml:space="preserve"> </w:t>
      </w:r>
      <w:r>
        <w:t>July</w:t>
      </w:r>
      <w:r w:rsidR="00A03629">
        <w:t xml:space="preserve"> </w:t>
      </w:r>
      <w:r>
        <w:t>2012.</w:t>
      </w:r>
    </w:p>
    <w:p w14:paraId="2DF45D85" w14:textId="78DF1755" w:rsidR="000756EB" w:rsidRDefault="004A4D88" w:rsidP="00B23E3B">
      <w:r>
        <w:t>The</w:t>
      </w:r>
      <w:r w:rsidR="00A03629">
        <w:t xml:space="preserve"> </w:t>
      </w:r>
      <w:r>
        <w:t>service</w:t>
      </w:r>
      <w:r w:rsidR="00A03629">
        <w:t xml:space="preserve"> </w:t>
      </w:r>
      <w:r>
        <w:t>fee</w:t>
      </w:r>
      <w:r w:rsidR="00A03629">
        <w:t xml:space="preserve"> </w:t>
      </w:r>
      <w:r>
        <w:t>payments</w:t>
      </w:r>
      <w:r w:rsidR="00A03629">
        <w:t xml:space="preserve"> </w:t>
      </w:r>
      <w:r>
        <w:t>that</w:t>
      </w:r>
      <w:r w:rsidR="00A03629">
        <w:t xml:space="preserve"> </w:t>
      </w:r>
      <w:r>
        <w:t>relate</w:t>
      </w:r>
      <w:r w:rsidR="00A03629">
        <w:t xml:space="preserve"> </w:t>
      </w:r>
      <w:r>
        <w:t>to</w:t>
      </w:r>
      <w:r w:rsidR="00A03629">
        <w:t xml:space="preserve"> </w:t>
      </w:r>
      <w:r>
        <w:t>the</w:t>
      </w:r>
      <w:r w:rsidR="00A03629">
        <w:t xml:space="preserve"> </w:t>
      </w:r>
      <w:r>
        <w:t>project</w:t>
      </w:r>
      <w:r w:rsidR="00A03629">
        <w:t xml:space="preserve"> </w:t>
      </w:r>
      <w:r>
        <w:t>facility</w:t>
      </w:r>
      <w:r w:rsidR="00A03629">
        <w:t xml:space="preserve"> </w:t>
      </w:r>
      <w:r>
        <w:t>are</w:t>
      </w:r>
      <w:r w:rsidR="00A03629">
        <w:t xml:space="preserve"> </w:t>
      </w:r>
      <w:r>
        <w:t>accounted</w:t>
      </w:r>
      <w:r w:rsidR="00A03629">
        <w:t xml:space="preserve"> </w:t>
      </w:r>
      <w:r>
        <w:t>for</w:t>
      </w:r>
      <w:r w:rsidR="00A03629">
        <w:t xml:space="preserve"> </w:t>
      </w:r>
      <w:r>
        <w:t>as</w:t>
      </w:r>
      <w:r w:rsidR="00A03629">
        <w:t xml:space="preserve"> </w:t>
      </w:r>
      <w:r>
        <w:t>a</w:t>
      </w:r>
      <w:r w:rsidR="00A03629">
        <w:t xml:space="preserve"> </w:t>
      </w:r>
      <w:r>
        <w:t>lease</w:t>
      </w:r>
      <w:r w:rsidR="00A03629">
        <w:t xml:space="preserve"> </w:t>
      </w:r>
      <w:r>
        <w:t>as</w:t>
      </w:r>
      <w:r w:rsidR="00A03629">
        <w:t xml:space="preserve"> </w:t>
      </w:r>
      <w:r>
        <w:t>disclosed</w:t>
      </w:r>
      <w:r w:rsidR="00A03629">
        <w:t xml:space="preserve"> </w:t>
      </w:r>
      <w:r>
        <w:t>in</w:t>
      </w:r>
      <w:r w:rsidR="00A03629">
        <w:rPr>
          <w:rFonts w:ascii="Cambria" w:hAnsi="Cambria" w:cs="Cambria"/>
        </w:rPr>
        <w:t xml:space="preserve"> </w:t>
      </w:r>
      <w:r>
        <w:t>the</w:t>
      </w:r>
      <w:r w:rsidR="00A03629">
        <w:t xml:space="preserve"> </w:t>
      </w:r>
      <w:r>
        <w:t>table</w:t>
      </w:r>
      <w:r w:rsidR="00A03629">
        <w:t xml:space="preserve"> </w:t>
      </w:r>
      <w:r>
        <w:t>below.</w:t>
      </w:r>
      <w:r w:rsidR="00A03629">
        <w:t xml:space="preserve"> </w:t>
      </w:r>
      <w:r>
        <w:t>In</w:t>
      </w:r>
      <w:r w:rsidR="00A03629">
        <w:t xml:space="preserve"> </w:t>
      </w:r>
      <w:r>
        <w:t>addition,</w:t>
      </w:r>
      <w:r w:rsidR="00A03629">
        <w:t xml:space="preserve"> </w:t>
      </w:r>
      <w:r>
        <w:t>the</w:t>
      </w:r>
      <w:r w:rsidR="00A03629">
        <w:t xml:space="preserve"> </w:t>
      </w:r>
      <w:r>
        <w:t>Department</w:t>
      </w:r>
      <w:r w:rsidR="00A03629">
        <w:t xml:space="preserve"> </w:t>
      </w:r>
      <w:r>
        <w:t>also</w:t>
      </w:r>
      <w:r w:rsidR="00A03629">
        <w:rPr>
          <w:rFonts w:ascii="Cambria" w:hAnsi="Cambria" w:cs="Cambria"/>
        </w:rPr>
        <w:t xml:space="preserve"> </w:t>
      </w:r>
      <w:r>
        <w:t>pays</w:t>
      </w:r>
      <w:r w:rsidR="00A03629">
        <w:t xml:space="preserve"> </w:t>
      </w:r>
      <w:r>
        <w:t>operating</w:t>
      </w:r>
      <w:r w:rsidR="00A03629">
        <w:t xml:space="preserve"> </w:t>
      </w:r>
      <w:r>
        <w:t>and</w:t>
      </w:r>
      <w:r w:rsidR="00A03629">
        <w:t xml:space="preserve"> </w:t>
      </w:r>
      <w:r>
        <w:t>maintenance</w:t>
      </w:r>
      <w:r w:rsidR="00A03629">
        <w:t xml:space="preserve"> </w:t>
      </w:r>
      <w:r>
        <w:t>costs.</w:t>
      </w:r>
    </w:p>
    <w:p w14:paraId="12B48A7D" w14:textId="61D0B8DD" w:rsidR="000756EB" w:rsidRPr="00B23E3B" w:rsidRDefault="00B23E3B" w:rsidP="00B23E3B">
      <w:pPr>
        <w:pStyle w:val="Normalbeforebullets"/>
        <w:rPr>
          <w:b/>
          <w:bCs/>
        </w:rPr>
      </w:pPr>
      <w:r w:rsidRPr="00B23E3B">
        <w:rPr>
          <w:b/>
          <w:bCs/>
        </w:rPr>
        <w:t>Lease Liabilities Payable</w:t>
      </w:r>
    </w:p>
    <w:tbl>
      <w:tblPr>
        <w:tblStyle w:val="TableGrid"/>
        <w:tblW w:w="10396" w:type="dxa"/>
        <w:tblLayout w:type="fixed"/>
        <w:tblLook w:val="0020" w:firstRow="1" w:lastRow="0" w:firstColumn="0" w:lastColumn="0" w:noHBand="0" w:noVBand="0"/>
      </w:tblPr>
      <w:tblGrid>
        <w:gridCol w:w="4390"/>
        <w:gridCol w:w="1501"/>
        <w:gridCol w:w="1502"/>
        <w:gridCol w:w="1501"/>
        <w:gridCol w:w="1502"/>
      </w:tblGrid>
      <w:tr w:rsidR="000756EB" w:rsidRPr="00B23E3B" w14:paraId="0CB2A9A8" w14:textId="77777777" w:rsidTr="00DD5A54">
        <w:trPr>
          <w:cantSplit/>
          <w:tblHeader/>
        </w:trPr>
        <w:tc>
          <w:tcPr>
            <w:tcW w:w="4390" w:type="dxa"/>
          </w:tcPr>
          <w:p w14:paraId="62AFEA92" w14:textId="77777777" w:rsidR="000756EB" w:rsidRPr="00B23E3B" w:rsidRDefault="000756EB" w:rsidP="00B23E3B">
            <w:pPr>
              <w:pStyle w:val="TableColumnHeading"/>
            </w:pPr>
            <w:bookmarkStart w:id="95" w:name="ColumnTitles_56"/>
            <w:bookmarkEnd w:id="95"/>
          </w:p>
        </w:tc>
        <w:tc>
          <w:tcPr>
            <w:tcW w:w="1501" w:type="dxa"/>
          </w:tcPr>
          <w:p w14:paraId="11C6DF0C" w14:textId="0C6808F8" w:rsidR="000756EB" w:rsidRPr="00B23E3B" w:rsidRDefault="00B23E3B" w:rsidP="00DD5A54">
            <w:pPr>
              <w:pStyle w:val="TableColumnHeading"/>
              <w:jc w:val="right"/>
            </w:pPr>
            <w:r w:rsidRPr="00B23E3B">
              <w:t xml:space="preserve">Minimum future lease payments </w:t>
            </w:r>
            <w:r w:rsidRPr="00614829">
              <w:rPr>
                <w:rStyle w:val="FootnotereferencessuperscriptMisc"/>
              </w:rPr>
              <w:t>(</w:t>
            </w:r>
            <w:proofErr w:type="spellStart"/>
            <w:r w:rsidRPr="00614829">
              <w:rPr>
                <w:rStyle w:val="FootnotereferencessuperscriptMisc"/>
              </w:rPr>
              <w:t>i</w:t>
            </w:r>
            <w:proofErr w:type="spellEnd"/>
            <w:r w:rsidRPr="00614829">
              <w:rPr>
                <w:rStyle w:val="FootnotereferencessuperscriptMisc"/>
              </w:rPr>
              <w:t>)</w:t>
            </w:r>
            <w:r>
              <w:t xml:space="preserve"> </w:t>
            </w:r>
            <w:r w:rsidR="004A4D88" w:rsidRPr="00B23E3B">
              <w:t>2023</w:t>
            </w:r>
            <w:r w:rsidR="00A03629" w:rsidRPr="00B23E3B">
              <w:t xml:space="preserve"> </w:t>
            </w:r>
            <w:r w:rsidRPr="00B23E3B">
              <w:t>($ thousand)</w:t>
            </w:r>
          </w:p>
        </w:tc>
        <w:tc>
          <w:tcPr>
            <w:tcW w:w="1502" w:type="dxa"/>
          </w:tcPr>
          <w:p w14:paraId="15679A71" w14:textId="2638F3C6" w:rsidR="000756EB" w:rsidRPr="00B23E3B" w:rsidRDefault="00B23E3B" w:rsidP="00DD5A54">
            <w:pPr>
              <w:pStyle w:val="TableColumnHeading"/>
              <w:jc w:val="right"/>
            </w:pPr>
            <w:r w:rsidRPr="00B23E3B">
              <w:t xml:space="preserve">Minimum future lease payments </w:t>
            </w:r>
            <w:r w:rsidRPr="00614829">
              <w:rPr>
                <w:rStyle w:val="FootnotereferencessuperscriptMisc"/>
              </w:rPr>
              <w:t>(</w:t>
            </w:r>
            <w:proofErr w:type="spellStart"/>
            <w:r w:rsidRPr="00614829">
              <w:rPr>
                <w:rStyle w:val="FootnotereferencessuperscriptMisc"/>
              </w:rPr>
              <w:t>i</w:t>
            </w:r>
            <w:proofErr w:type="spellEnd"/>
            <w:r w:rsidRPr="00614829">
              <w:rPr>
                <w:rStyle w:val="FootnotereferencessuperscriptMisc"/>
              </w:rPr>
              <w:t>)</w:t>
            </w:r>
            <w:r>
              <w:t xml:space="preserve"> </w:t>
            </w:r>
            <w:r w:rsidR="004A4D88" w:rsidRPr="00B23E3B">
              <w:t>2022</w:t>
            </w:r>
            <w:r>
              <w:t xml:space="preserve"> </w:t>
            </w:r>
            <w:r w:rsidRPr="00B23E3B">
              <w:t>($ thousand)</w:t>
            </w:r>
          </w:p>
        </w:tc>
        <w:tc>
          <w:tcPr>
            <w:tcW w:w="1501" w:type="dxa"/>
          </w:tcPr>
          <w:p w14:paraId="429C94AD" w14:textId="4E347CBB" w:rsidR="000756EB" w:rsidRPr="00B23E3B" w:rsidRDefault="00B23E3B" w:rsidP="00DD5A54">
            <w:pPr>
              <w:pStyle w:val="TableColumnHeading"/>
              <w:jc w:val="right"/>
            </w:pPr>
            <w:r w:rsidRPr="00B23E3B">
              <w:t xml:space="preserve">Present value of minimum future lease payments </w:t>
            </w:r>
            <w:r w:rsidR="004A4D88" w:rsidRPr="00B23E3B">
              <w:t>2023</w:t>
            </w:r>
            <w:r w:rsidR="00A03629" w:rsidRPr="00B23E3B">
              <w:t xml:space="preserve"> </w:t>
            </w:r>
            <w:r w:rsidRPr="00B23E3B">
              <w:t>($ thousand)</w:t>
            </w:r>
          </w:p>
        </w:tc>
        <w:tc>
          <w:tcPr>
            <w:tcW w:w="1502" w:type="dxa"/>
          </w:tcPr>
          <w:p w14:paraId="0C009076" w14:textId="4866AE49" w:rsidR="000756EB" w:rsidRPr="00B23E3B" w:rsidRDefault="00B23E3B" w:rsidP="00DD5A54">
            <w:pPr>
              <w:pStyle w:val="TableColumnHeading"/>
              <w:jc w:val="right"/>
            </w:pPr>
            <w:r w:rsidRPr="00B23E3B">
              <w:t xml:space="preserve">Present value of minimum future lease payments </w:t>
            </w:r>
            <w:r w:rsidR="004A4D88" w:rsidRPr="00B23E3B">
              <w:t>2022</w:t>
            </w:r>
            <w:r>
              <w:t xml:space="preserve"> </w:t>
            </w:r>
            <w:r w:rsidRPr="00B23E3B">
              <w:t>($ thousand)</w:t>
            </w:r>
          </w:p>
        </w:tc>
      </w:tr>
      <w:tr w:rsidR="000756EB" w:rsidRPr="00B23E3B" w14:paraId="1C7EE0ED" w14:textId="77777777" w:rsidTr="00DD5A54">
        <w:trPr>
          <w:cantSplit/>
        </w:trPr>
        <w:tc>
          <w:tcPr>
            <w:tcW w:w="4390" w:type="dxa"/>
          </w:tcPr>
          <w:p w14:paraId="3D233AA5" w14:textId="48D743DF" w:rsidR="000756EB" w:rsidRPr="00B23E3B" w:rsidRDefault="004A4D88" w:rsidP="00B23E3B">
            <w:pPr>
              <w:pStyle w:val="TableHeading"/>
              <w:rPr>
                <w:rFonts w:asciiTheme="minorHAnsi" w:hAnsiTheme="minorHAnsi" w:cstheme="minorHAnsi"/>
              </w:rPr>
            </w:pPr>
            <w:r w:rsidRPr="00B23E3B">
              <w:rPr>
                <w:rFonts w:asciiTheme="minorHAnsi" w:hAnsiTheme="minorHAnsi" w:cstheme="minorHAnsi"/>
              </w:rPr>
              <w:t>Royal</w:t>
            </w:r>
            <w:r w:rsidR="00A03629" w:rsidRPr="00B23E3B">
              <w:rPr>
                <w:rFonts w:asciiTheme="minorHAnsi" w:hAnsiTheme="minorHAnsi" w:cstheme="minorHAnsi"/>
              </w:rPr>
              <w:t xml:space="preserve"> </w:t>
            </w:r>
            <w:r w:rsidRPr="00B23E3B">
              <w:rPr>
                <w:rFonts w:asciiTheme="minorHAnsi" w:hAnsiTheme="minorHAnsi" w:cstheme="minorHAnsi"/>
              </w:rPr>
              <w:t>Melbourne</w:t>
            </w:r>
            <w:r w:rsidR="00A03629" w:rsidRPr="00B23E3B">
              <w:rPr>
                <w:rFonts w:asciiTheme="minorHAnsi" w:hAnsiTheme="minorHAnsi" w:cstheme="minorHAnsi"/>
              </w:rPr>
              <w:t xml:space="preserve"> </w:t>
            </w:r>
            <w:r w:rsidRPr="00B23E3B">
              <w:rPr>
                <w:rFonts w:asciiTheme="minorHAnsi" w:hAnsiTheme="minorHAnsi" w:cstheme="minorHAnsi"/>
              </w:rPr>
              <w:t>Showgrounds</w:t>
            </w:r>
          </w:p>
        </w:tc>
        <w:tc>
          <w:tcPr>
            <w:tcW w:w="1501" w:type="dxa"/>
          </w:tcPr>
          <w:p w14:paraId="0B8D90A7" w14:textId="77777777" w:rsidR="000756EB" w:rsidRPr="00B23E3B" w:rsidRDefault="000756EB" w:rsidP="00DD5A54">
            <w:pPr>
              <w:pStyle w:val="TableHeading"/>
              <w:jc w:val="right"/>
              <w:rPr>
                <w:rFonts w:asciiTheme="minorHAnsi" w:hAnsiTheme="minorHAnsi" w:cstheme="minorHAnsi"/>
                <w:lang w:val="en-AU"/>
              </w:rPr>
            </w:pPr>
          </w:p>
        </w:tc>
        <w:tc>
          <w:tcPr>
            <w:tcW w:w="1502" w:type="dxa"/>
          </w:tcPr>
          <w:p w14:paraId="50F31FCC" w14:textId="77777777" w:rsidR="000756EB" w:rsidRPr="00B23E3B" w:rsidRDefault="000756EB" w:rsidP="00DD5A54">
            <w:pPr>
              <w:pStyle w:val="TableHeading"/>
              <w:jc w:val="right"/>
              <w:rPr>
                <w:rFonts w:asciiTheme="minorHAnsi" w:hAnsiTheme="minorHAnsi" w:cstheme="minorHAnsi"/>
                <w:lang w:val="en-AU"/>
              </w:rPr>
            </w:pPr>
          </w:p>
        </w:tc>
        <w:tc>
          <w:tcPr>
            <w:tcW w:w="1501" w:type="dxa"/>
          </w:tcPr>
          <w:p w14:paraId="1A17B9BE" w14:textId="77777777" w:rsidR="000756EB" w:rsidRPr="00B23E3B" w:rsidRDefault="000756EB" w:rsidP="00DD5A54">
            <w:pPr>
              <w:pStyle w:val="TableHeading"/>
              <w:jc w:val="right"/>
              <w:rPr>
                <w:rFonts w:asciiTheme="minorHAnsi" w:hAnsiTheme="minorHAnsi" w:cstheme="minorHAnsi"/>
                <w:lang w:val="en-AU"/>
              </w:rPr>
            </w:pPr>
          </w:p>
        </w:tc>
        <w:tc>
          <w:tcPr>
            <w:tcW w:w="1502" w:type="dxa"/>
          </w:tcPr>
          <w:p w14:paraId="1B3D5F54" w14:textId="77777777" w:rsidR="000756EB" w:rsidRPr="00B23E3B" w:rsidRDefault="000756EB" w:rsidP="00DD5A54">
            <w:pPr>
              <w:pStyle w:val="TableHeading"/>
              <w:jc w:val="right"/>
              <w:rPr>
                <w:rFonts w:asciiTheme="minorHAnsi" w:hAnsiTheme="minorHAnsi" w:cstheme="minorHAnsi"/>
                <w:lang w:val="en-AU"/>
              </w:rPr>
            </w:pPr>
          </w:p>
        </w:tc>
      </w:tr>
      <w:tr w:rsidR="000756EB" w14:paraId="46491623" w14:textId="77777777" w:rsidTr="00DD5A54">
        <w:trPr>
          <w:cantSplit/>
        </w:trPr>
        <w:tc>
          <w:tcPr>
            <w:tcW w:w="4390" w:type="dxa"/>
          </w:tcPr>
          <w:p w14:paraId="4A879B8B" w14:textId="14A90E58" w:rsidR="000756EB" w:rsidRDefault="004A4D88" w:rsidP="00B23E3B">
            <w:pPr>
              <w:pStyle w:val="TableCopy"/>
            </w:pPr>
            <w:proofErr w:type="spellStart"/>
            <w:r>
              <w:t>Not</w:t>
            </w:r>
            <w:r w:rsidR="00A03629">
              <w:t xml:space="preserve"> </w:t>
            </w:r>
            <w:r>
              <w:t>longer</w:t>
            </w:r>
            <w:proofErr w:type="spellEnd"/>
            <w:r w:rsidR="00A03629">
              <w:t xml:space="preserve"> </w:t>
            </w:r>
            <w:r>
              <w:t>than</w:t>
            </w:r>
            <w:r w:rsidR="00A03629">
              <w:t xml:space="preserve"> </w:t>
            </w:r>
            <w:r>
              <w:t>one</w:t>
            </w:r>
            <w:r w:rsidR="00A03629">
              <w:t xml:space="preserve"> </w:t>
            </w:r>
            <w:r>
              <w:t>year</w:t>
            </w:r>
          </w:p>
        </w:tc>
        <w:tc>
          <w:tcPr>
            <w:tcW w:w="1501" w:type="dxa"/>
          </w:tcPr>
          <w:p w14:paraId="4F670D38" w14:textId="6C9574F4" w:rsidR="000756EB" w:rsidRDefault="004A4D88" w:rsidP="00DD5A54">
            <w:pPr>
              <w:pStyle w:val="TableCopy"/>
              <w:jc w:val="right"/>
            </w:pPr>
            <w:r>
              <w:t>–</w:t>
            </w:r>
          </w:p>
        </w:tc>
        <w:tc>
          <w:tcPr>
            <w:tcW w:w="1502" w:type="dxa"/>
          </w:tcPr>
          <w:p w14:paraId="3F73027F" w14:textId="3CB4B54B" w:rsidR="000756EB" w:rsidRDefault="004A4D88" w:rsidP="00DD5A54">
            <w:pPr>
              <w:pStyle w:val="TableCopy"/>
              <w:jc w:val="right"/>
            </w:pPr>
            <w:r>
              <w:t>5,730</w:t>
            </w:r>
          </w:p>
        </w:tc>
        <w:tc>
          <w:tcPr>
            <w:tcW w:w="1501" w:type="dxa"/>
          </w:tcPr>
          <w:p w14:paraId="3A33A438" w14:textId="240B5DAF" w:rsidR="000756EB" w:rsidRDefault="004A4D88" w:rsidP="00DD5A54">
            <w:pPr>
              <w:pStyle w:val="TableCopy"/>
              <w:jc w:val="right"/>
            </w:pPr>
            <w:r>
              <w:t>–</w:t>
            </w:r>
          </w:p>
        </w:tc>
        <w:tc>
          <w:tcPr>
            <w:tcW w:w="1502" w:type="dxa"/>
          </w:tcPr>
          <w:p w14:paraId="6A2FC944" w14:textId="6315CEED" w:rsidR="000756EB" w:rsidRDefault="004A4D88" w:rsidP="00DD5A54">
            <w:pPr>
              <w:pStyle w:val="TableCopy"/>
              <w:jc w:val="right"/>
            </w:pPr>
            <w:r>
              <w:t>5,388</w:t>
            </w:r>
          </w:p>
        </w:tc>
      </w:tr>
      <w:tr w:rsidR="000756EB" w14:paraId="0F3BDAB1" w14:textId="77777777" w:rsidTr="00DD5A54">
        <w:trPr>
          <w:cantSplit/>
        </w:trPr>
        <w:tc>
          <w:tcPr>
            <w:tcW w:w="4390" w:type="dxa"/>
          </w:tcPr>
          <w:p w14:paraId="7CE30DC9" w14:textId="7089764B" w:rsidR="000756EB" w:rsidRDefault="004A4D88" w:rsidP="00B23E3B">
            <w:pPr>
              <w:pStyle w:val="TableCopy"/>
            </w:pPr>
            <w:r>
              <w:t>Longer</w:t>
            </w:r>
            <w:r w:rsidR="00A03629">
              <w:t xml:space="preserve"> </w:t>
            </w:r>
            <w:r>
              <w:t>than</w:t>
            </w:r>
            <w:r w:rsidR="00A03629">
              <w:t xml:space="preserve"> </w:t>
            </w:r>
            <w:r>
              <w:t>one</w:t>
            </w:r>
            <w:r w:rsidR="00A03629">
              <w:t xml:space="preserve"> </w:t>
            </w:r>
            <w:r>
              <w:t>year</w:t>
            </w:r>
            <w:r w:rsidR="00A03629">
              <w:t xml:space="preserve"> </w:t>
            </w:r>
            <w:r>
              <w:t>but</w:t>
            </w:r>
            <w:r w:rsidR="00A03629">
              <w:t xml:space="preserve"> </w:t>
            </w:r>
            <w:r>
              <w:t>no</w:t>
            </w:r>
            <w:r w:rsidR="00A03629">
              <w:t xml:space="preserve"> </w:t>
            </w:r>
            <w:r>
              <w:t>later</w:t>
            </w:r>
            <w:r w:rsidR="00A03629">
              <w:t xml:space="preserve"> </w:t>
            </w:r>
            <w:r>
              <w:t>than</w:t>
            </w:r>
            <w:r w:rsidR="00A03629">
              <w:t xml:space="preserve"> </w:t>
            </w:r>
            <w:r>
              <w:t>five</w:t>
            </w:r>
            <w:r w:rsidR="00A03629">
              <w:t xml:space="preserve"> </w:t>
            </w:r>
            <w:r>
              <w:t>years</w:t>
            </w:r>
          </w:p>
        </w:tc>
        <w:tc>
          <w:tcPr>
            <w:tcW w:w="1501" w:type="dxa"/>
          </w:tcPr>
          <w:p w14:paraId="2D94C664" w14:textId="414C69C8" w:rsidR="000756EB" w:rsidRDefault="004A4D88" w:rsidP="00DD5A54">
            <w:pPr>
              <w:pStyle w:val="TableCopy"/>
              <w:jc w:val="right"/>
            </w:pPr>
            <w:r>
              <w:t>–</w:t>
            </w:r>
          </w:p>
        </w:tc>
        <w:tc>
          <w:tcPr>
            <w:tcW w:w="1502" w:type="dxa"/>
          </w:tcPr>
          <w:p w14:paraId="3F8BB33C" w14:textId="2B82F52D" w:rsidR="000756EB" w:rsidRDefault="004A4D88" w:rsidP="00DD5A54">
            <w:pPr>
              <w:pStyle w:val="TableCopy"/>
              <w:jc w:val="right"/>
            </w:pPr>
            <w:r>
              <w:t>22,903</w:t>
            </w:r>
          </w:p>
        </w:tc>
        <w:tc>
          <w:tcPr>
            <w:tcW w:w="1501" w:type="dxa"/>
          </w:tcPr>
          <w:p w14:paraId="6D67D485" w14:textId="789BCFFA" w:rsidR="000756EB" w:rsidRDefault="004A4D88" w:rsidP="00DD5A54">
            <w:pPr>
              <w:pStyle w:val="TableCopy"/>
              <w:jc w:val="right"/>
            </w:pPr>
            <w:r>
              <w:t>–</w:t>
            </w:r>
          </w:p>
        </w:tc>
        <w:tc>
          <w:tcPr>
            <w:tcW w:w="1502" w:type="dxa"/>
          </w:tcPr>
          <w:p w14:paraId="4350D659" w14:textId="0C8692CC" w:rsidR="000756EB" w:rsidRDefault="004A4D88" w:rsidP="00DD5A54">
            <w:pPr>
              <w:pStyle w:val="TableCopy"/>
              <w:jc w:val="right"/>
            </w:pPr>
            <w:r>
              <w:t>16,919</w:t>
            </w:r>
          </w:p>
        </w:tc>
      </w:tr>
      <w:tr w:rsidR="000756EB" w14:paraId="25FCC255" w14:textId="77777777" w:rsidTr="00DD5A54">
        <w:trPr>
          <w:cantSplit/>
        </w:trPr>
        <w:tc>
          <w:tcPr>
            <w:tcW w:w="4390" w:type="dxa"/>
          </w:tcPr>
          <w:p w14:paraId="06418149" w14:textId="7D0C68ED" w:rsidR="000756EB" w:rsidRDefault="004A4D88" w:rsidP="00B23E3B">
            <w:pPr>
              <w:pStyle w:val="TableCopy"/>
            </w:pPr>
            <w:r>
              <w:t>Longer</w:t>
            </w:r>
            <w:r w:rsidR="00A03629">
              <w:t xml:space="preserve"> </w:t>
            </w:r>
            <w:r>
              <w:t>than</w:t>
            </w:r>
            <w:r w:rsidR="00A03629">
              <w:t xml:space="preserve"> </w:t>
            </w:r>
            <w:r>
              <w:t>five</w:t>
            </w:r>
            <w:r w:rsidR="00A03629">
              <w:t xml:space="preserve"> </w:t>
            </w:r>
            <w:r>
              <w:t>years</w:t>
            </w:r>
          </w:p>
        </w:tc>
        <w:tc>
          <w:tcPr>
            <w:tcW w:w="1501" w:type="dxa"/>
          </w:tcPr>
          <w:p w14:paraId="1A097DDA" w14:textId="064F1F5B" w:rsidR="000756EB" w:rsidRDefault="004A4D88" w:rsidP="00DD5A54">
            <w:pPr>
              <w:pStyle w:val="TableCopy"/>
              <w:jc w:val="right"/>
            </w:pPr>
            <w:r>
              <w:t>–</w:t>
            </w:r>
          </w:p>
        </w:tc>
        <w:tc>
          <w:tcPr>
            <w:tcW w:w="1502" w:type="dxa"/>
          </w:tcPr>
          <w:p w14:paraId="792DCDBD" w14:textId="247288C1" w:rsidR="000756EB" w:rsidRDefault="004A4D88" w:rsidP="00DD5A54">
            <w:pPr>
              <w:pStyle w:val="TableCopy"/>
              <w:jc w:val="right"/>
            </w:pPr>
            <w:r>
              <w:t>23,720</w:t>
            </w:r>
          </w:p>
        </w:tc>
        <w:tc>
          <w:tcPr>
            <w:tcW w:w="1501" w:type="dxa"/>
          </w:tcPr>
          <w:p w14:paraId="6D3AB8AE" w14:textId="4BC396EE" w:rsidR="000756EB" w:rsidRDefault="004A4D88" w:rsidP="00DD5A54">
            <w:pPr>
              <w:pStyle w:val="TableCopy"/>
              <w:jc w:val="right"/>
            </w:pPr>
            <w:r>
              <w:t>–</w:t>
            </w:r>
          </w:p>
        </w:tc>
        <w:tc>
          <w:tcPr>
            <w:tcW w:w="1502" w:type="dxa"/>
          </w:tcPr>
          <w:p w14:paraId="00CBD025" w14:textId="298215DC" w:rsidR="000756EB" w:rsidRDefault="004A4D88" w:rsidP="00DD5A54">
            <w:pPr>
              <w:pStyle w:val="TableCopy"/>
              <w:jc w:val="right"/>
            </w:pPr>
            <w:r>
              <w:t>11,711</w:t>
            </w:r>
          </w:p>
        </w:tc>
      </w:tr>
      <w:tr w:rsidR="000756EB" w:rsidRPr="00B23E3B" w14:paraId="067EAEC5" w14:textId="77777777" w:rsidTr="00DD5A54">
        <w:trPr>
          <w:cantSplit/>
        </w:trPr>
        <w:tc>
          <w:tcPr>
            <w:tcW w:w="4390" w:type="dxa"/>
          </w:tcPr>
          <w:p w14:paraId="6CB7F4C5" w14:textId="408941B1" w:rsidR="000756EB" w:rsidRPr="00B23E3B" w:rsidRDefault="004A4D88" w:rsidP="00B23E3B">
            <w:pPr>
              <w:pStyle w:val="TableHeading"/>
              <w:rPr>
                <w:rFonts w:asciiTheme="minorHAnsi" w:hAnsiTheme="minorHAnsi" w:cstheme="minorHAnsi"/>
              </w:rPr>
            </w:pPr>
            <w:r w:rsidRPr="00B23E3B">
              <w:rPr>
                <w:rFonts w:asciiTheme="minorHAnsi" w:hAnsiTheme="minorHAnsi" w:cstheme="minorHAnsi"/>
              </w:rPr>
              <w:t>Biosciences</w:t>
            </w:r>
            <w:r w:rsidR="00A03629" w:rsidRPr="00B23E3B">
              <w:rPr>
                <w:rFonts w:asciiTheme="minorHAnsi" w:hAnsiTheme="minorHAnsi" w:cstheme="minorHAnsi"/>
              </w:rPr>
              <w:t xml:space="preserve"> </w:t>
            </w:r>
            <w:r w:rsidRPr="00B23E3B">
              <w:rPr>
                <w:rFonts w:asciiTheme="minorHAnsi" w:hAnsiTheme="minorHAnsi" w:cstheme="minorHAnsi"/>
              </w:rPr>
              <w:t>Research</w:t>
            </w:r>
            <w:r w:rsidR="00A03629" w:rsidRPr="00B23E3B">
              <w:rPr>
                <w:rFonts w:asciiTheme="minorHAnsi" w:hAnsiTheme="minorHAnsi" w:cstheme="minorHAnsi"/>
              </w:rPr>
              <w:t xml:space="preserve"> </w:t>
            </w:r>
            <w:r w:rsidRPr="00B23E3B">
              <w:rPr>
                <w:rFonts w:asciiTheme="minorHAnsi" w:hAnsiTheme="minorHAnsi" w:cstheme="minorHAnsi"/>
              </w:rPr>
              <w:t>Centre</w:t>
            </w:r>
          </w:p>
        </w:tc>
        <w:tc>
          <w:tcPr>
            <w:tcW w:w="1501" w:type="dxa"/>
          </w:tcPr>
          <w:p w14:paraId="68361041" w14:textId="77777777" w:rsidR="000756EB" w:rsidRPr="00B23E3B" w:rsidRDefault="000756EB" w:rsidP="00DD5A54">
            <w:pPr>
              <w:pStyle w:val="TableHeading"/>
              <w:jc w:val="right"/>
              <w:rPr>
                <w:rFonts w:asciiTheme="minorHAnsi" w:hAnsiTheme="minorHAnsi" w:cstheme="minorHAnsi"/>
                <w:lang w:val="en-AU"/>
              </w:rPr>
            </w:pPr>
          </w:p>
        </w:tc>
        <w:tc>
          <w:tcPr>
            <w:tcW w:w="1502" w:type="dxa"/>
          </w:tcPr>
          <w:p w14:paraId="7D1A7862" w14:textId="77777777" w:rsidR="000756EB" w:rsidRPr="00B23E3B" w:rsidRDefault="000756EB" w:rsidP="00DD5A54">
            <w:pPr>
              <w:pStyle w:val="TableHeading"/>
              <w:jc w:val="right"/>
              <w:rPr>
                <w:rFonts w:asciiTheme="minorHAnsi" w:hAnsiTheme="minorHAnsi" w:cstheme="minorHAnsi"/>
                <w:lang w:val="en-AU"/>
              </w:rPr>
            </w:pPr>
          </w:p>
        </w:tc>
        <w:tc>
          <w:tcPr>
            <w:tcW w:w="1501" w:type="dxa"/>
          </w:tcPr>
          <w:p w14:paraId="7B894195" w14:textId="77777777" w:rsidR="000756EB" w:rsidRPr="00B23E3B" w:rsidRDefault="000756EB" w:rsidP="00DD5A54">
            <w:pPr>
              <w:pStyle w:val="TableHeading"/>
              <w:jc w:val="right"/>
              <w:rPr>
                <w:rFonts w:asciiTheme="minorHAnsi" w:hAnsiTheme="minorHAnsi" w:cstheme="minorHAnsi"/>
                <w:lang w:val="en-AU"/>
              </w:rPr>
            </w:pPr>
          </w:p>
        </w:tc>
        <w:tc>
          <w:tcPr>
            <w:tcW w:w="1502" w:type="dxa"/>
          </w:tcPr>
          <w:p w14:paraId="5BA5E63E" w14:textId="77777777" w:rsidR="000756EB" w:rsidRPr="00B23E3B" w:rsidRDefault="000756EB" w:rsidP="00DD5A54">
            <w:pPr>
              <w:pStyle w:val="TableHeading"/>
              <w:jc w:val="right"/>
              <w:rPr>
                <w:rFonts w:asciiTheme="minorHAnsi" w:hAnsiTheme="minorHAnsi" w:cstheme="minorHAnsi"/>
                <w:lang w:val="en-AU"/>
              </w:rPr>
            </w:pPr>
          </w:p>
        </w:tc>
      </w:tr>
      <w:tr w:rsidR="000756EB" w14:paraId="718AFBE9" w14:textId="77777777" w:rsidTr="00DD5A54">
        <w:trPr>
          <w:cantSplit/>
        </w:trPr>
        <w:tc>
          <w:tcPr>
            <w:tcW w:w="4390" w:type="dxa"/>
          </w:tcPr>
          <w:p w14:paraId="450371AA" w14:textId="72813406" w:rsidR="000756EB" w:rsidRDefault="004A4D88" w:rsidP="00B23E3B">
            <w:pPr>
              <w:pStyle w:val="TableCopy"/>
            </w:pPr>
            <w:proofErr w:type="spellStart"/>
            <w:r>
              <w:t>Not</w:t>
            </w:r>
            <w:r w:rsidR="00A03629">
              <w:t xml:space="preserve"> </w:t>
            </w:r>
            <w:r>
              <w:t>longer</w:t>
            </w:r>
            <w:proofErr w:type="spellEnd"/>
            <w:r w:rsidR="00A03629">
              <w:t xml:space="preserve"> </w:t>
            </w:r>
            <w:r>
              <w:t>than</w:t>
            </w:r>
            <w:r w:rsidR="00A03629">
              <w:t xml:space="preserve"> </w:t>
            </w:r>
            <w:r>
              <w:t>one</w:t>
            </w:r>
            <w:r w:rsidR="00A03629">
              <w:t xml:space="preserve"> </w:t>
            </w:r>
            <w:r>
              <w:t>year</w:t>
            </w:r>
          </w:p>
        </w:tc>
        <w:tc>
          <w:tcPr>
            <w:tcW w:w="1501" w:type="dxa"/>
          </w:tcPr>
          <w:p w14:paraId="302C6625" w14:textId="0ED829CC" w:rsidR="000756EB" w:rsidRDefault="004A4D88" w:rsidP="00DD5A54">
            <w:pPr>
              <w:pStyle w:val="TableCopy"/>
              <w:jc w:val="right"/>
            </w:pPr>
            <w:r>
              <w:t>–</w:t>
            </w:r>
          </w:p>
        </w:tc>
        <w:tc>
          <w:tcPr>
            <w:tcW w:w="1502" w:type="dxa"/>
          </w:tcPr>
          <w:p w14:paraId="325755AF" w14:textId="15C8342E" w:rsidR="000756EB" w:rsidRDefault="004A4D88" w:rsidP="00DD5A54">
            <w:pPr>
              <w:pStyle w:val="TableCopy"/>
              <w:jc w:val="right"/>
            </w:pPr>
            <w:r>
              <w:t>25,038</w:t>
            </w:r>
          </w:p>
        </w:tc>
        <w:tc>
          <w:tcPr>
            <w:tcW w:w="1501" w:type="dxa"/>
          </w:tcPr>
          <w:p w14:paraId="5B7EF5E9" w14:textId="0E8DACA8" w:rsidR="000756EB" w:rsidRDefault="004A4D88" w:rsidP="00DD5A54">
            <w:pPr>
              <w:pStyle w:val="TableCopy"/>
              <w:jc w:val="right"/>
            </w:pPr>
            <w:r>
              <w:t>–</w:t>
            </w:r>
          </w:p>
        </w:tc>
        <w:tc>
          <w:tcPr>
            <w:tcW w:w="1502" w:type="dxa"/>
          </w:tcPr>
          <w:p w14:paraId="30ACD598" w14:textId="6C255A7B" w:rsidR="000756EB" w:rsidRDefault="004A4D88" w:rsidP="00DD5A54">
            <w:pPr>
              <w:pStyle w:val="TableCopy"/>
              <w:jc w:val="right"/>
            </w:pPr>
            <w:r>
              <w:t>23,804</w:t>
            </w:r>
          </w:p>
        </w:tc>
      </w:tr>
      <w:tr w:rsidR="000756EB" w14:paraId="5089EEFD" w14:textId="77777777" w:rsidTr="00DD5A54">
        <w:trPr>
          <w:cantSplit/>
        </w:trPr>
        <w:tc>
          <w:tcPr>
            <w:tcW w:w="4390" w:type="dxa"/>
          </w:tcPr>
          <w:p w14:paraId="7BEF15B9" w14:textId="12108EFF" w:rsidR="000756EB" w:rsidRDefault="004A4D88" w:rsidP="00B23E3B">
            <w:pPr>
              <w:pStyle w:val="TableCopy"/>
            </w:pPr>
            <w:r>
              <w:t>Longer</w:t>
            </w:r>
            <w:r w:rsidR="00A03629">
              <w:t xml:space="preserve"> </w:t>
            </w:r>
            <w:r>
              <w:t>than</w:t>
            </w:r>
            <w:r w:rsidR="00A03629">
              <w:t xml:space="preserve"> </w:t>
            </w:r>
            <w:r>
              <w:t>one</w:t>
            </w:r>
            <w:r w:rsidR="00A03629">
              <w:t xml:space="preserve"> </w:t>
            </w:r>
            <w:r>
              <w:t>year</w:t>
            </w:r>
            <w:r w:rsidR="00A03629">
              <w:t xml:space="preserve"> </w:t>
            </w:r>
            <w:r>
              <w:t>but</w:t>
            </w:r>
            <w:r w:rsidR="00A03629">
              <w:t xml:space="preserve"> </w:t>
            </w:r>
            <w:r>
              <w:t>no</w:t>
            </w:r>
            <w:r w:rsidR="00A03629">
              <w:t xml:space="preserve"> </w:t>
            </w:r>
            <w:r>
              <w:t>later</w:t>
            </w:r>
            <w:r w:rsidR="00A03629">
              <w:t xml:space="preserve"> </w:t>
            </w:r>
            <w:r>
              <w:t>than</w:t>
            </w:r>
            <w:r w:rsidR="00A03629">
              <w:t xml:space="preserve"> </w:t>
            </w:r>
            <w:r>
              <w:t>five</w:t>
            </w:r>
            <w:r w:rsidR="00A03629">
              <w:t xml:space="preserve"> </w:t>
            </w:r>
            <w:r>
              <w:t>years</w:t>
            </w:r>
          </w:p>
        </w:tc>
        <w:tc>
          <w:tcPr>
            <w:tcW w:w="1501" w:type="dxa"/>
          </w:tcPr>
          <w:p w14:paraId="1E21529F" w14:textId="4206FDF9" w:rsidR="000756EB" w:rsidRDefault="004A4D88" w:rsidP="00DD5A54">
            <w:pPr>
              <w:pStyle w:val="TableCopy"/>
              <w:jc w:val="right"/>
            </w:pPr>
            <w:r>
              <w:t>–</w:t>
            </w:r>
          </w:p>
        </w:tc>
        <w:tc>
          <w:tcPr>
            <w:tcW w:w="1502" w:type="dxa"/>
          </w:tcPr>
          <w:p w14:paraId="7F6B4D56" w14:textId="214A049D" w:rsidR="000756EB" w:rsidRDefault="004A4D88" w:rsidP="00DD5A54">
            <w:pPr>
              <w:pStyle w:val="TableCopy"/>
              <w:jc w:val="right"/>
            </w:pPr>
            <w:r>
              <w:t>105,586</w:t>
            </w:r>
          </w:p>
        </w:tc>
        <w:tc>
          <w:tcPr>
            <w:tcW w:w="1501" w:type="dxa"/>
          </w:tcPr>
          <w:p w14:paraId="5282E98E" w14:textId="1D07BCFA" w:rsidR="000756EB" w:rsidRDefault="004A4D88" w:rsidP="00DD5A54">
            <w:pPr>
              <w:pStyle w:val="TableCopy"/>
              <w:jc w:val="right"/>
            </w:pPr>
            <w:r>
              <w:t>–</w:t>
            </w:r>
          </w:p>
        </w:tc>
        <w:tc>
          <w:tcPr>
            <w:tcW w:w="1502" w:type="dxa"/>
          </w:tcPr>
          <w:p w14:paraId="0346DC9C" w14:textId="4CE99458" w:rsidR="000756EB" w:rsidRDefault="004A4D88" w:rsidP="00DD5A54">
            <w:pPr>
              <w:pStyle w:val="TableCopy"/>
              <w:jc w:val="right"/>
            </w:pPr>
            <w:r>
              <w:t>82,138</w:t>
            </w:r>
          </w:p>
        </w:tc>
      </w:tr>
      <w:tr w:rsidR="000756EB" w14:paraId="5E7C4EDE" w14:textId="77777777" w:rsidTr="00DD5A54">
        <w:trPr>
          <w:cantSplit/>
        </w:trPr>
        <w:tc>
          <w:tcPr>
            <w:tcW w:w="4390" w:type="dxa"/>
          </w:tcPr>
          <w:p w14:paraId="56A24118" w14:textId="0D2D1DB1" w:rsidR="000756EB" w:rsidRDefault="004A4D88" w:rsidP="00B23E3B">
            <w:pPr>
              <w:pStyle w:val="TableCopy"/>
            </w:pPr>
            <w:r>
              <w:t>Longer</w:t>
            </w:r>
            <w:r w:rsidR="00A03629">
              <w:t xml:space="preserve"> </w:t>
            </w:r>
            <w:r>
              <w:t>than</w:t>
            </w:r>
            <w:r w:rsidR="00A03629">
              <w:t xml:space="preserve"> </w:t>
            </w:r>
            <w:r>
              <w:t>five</w:t>
            </w:r>
            <w:r w:rsidR="00A03629">
              <w:t xml:space="preserve"> </w:t>
            </w:r>
            <w:r>
              <w:t>years</w:t>
            </w:r>
          </w:p>
        </w:tc>
        <w:tc>
          <w:tcPr>
            <w:tcW w:w="1501" w:type="dxa"/>
          </w:tcPr>
          <w:p w14:paraId="29A816C1" w14:textId="107868B4" w:rsidR="000756EB" w:rsidRDefault="004A4D88" w:rsidP="00DD5A54">
            <w:pPr>
              <w:pStyle w:val="TableCopy"/>
              <w:jc w:val="right"/>
            </w:pPr>
            <w:r>
              <w:t>–</w:t>
            </w:r>
          </w:p>
        </w:tc>
        <w:tc>
          <w:tcPr>
            <w:tcW w:w="1502" w:type="dxa"/>
          </w:tcPr>
          <w:p w14:paraId="307DA635" w14:textId="76558C64" w:rsidR="000756EB" w:rsidRDefault="004A4D88" w:rsidP="00DD5A54">
            <w:pPr>
              <w:pStyle w:val="TableCopy"/>
              <w:jc w:val="right"/>
            </w:pPr>
            <w:r>
              <w:t>277,596</w:t>
            </w:r>
          </w:p>
        </w:tc>
        <w:tc>
          <w:tcPr>
            <w:tcW w:w="1501" w:type="dxa"/>
          </w:tcPr>
          <w:p w14:paraId="5F5E0CA7" w14:textId="203516D9" w:rsidR="000756EB" w:rsidRDefault="004A4D88" w:rsidP="00DD5A54">
            <w:pPr>
              <w:pStyle w:val="TableCopy"/>
              <w:jc w:val="right"/>
            </w:pPr>
            <w:r>
              <w:t>–</w:t>
            </w:r>
          </w:p>
        </w:tc>
        <w:tc>
          <w:tcPr>
            <w:tcW w:w="1502" w:type="dxa"/>
          </w:tcPr>
          <w:p w14:paraId="361854DC" w14:textId="2FBA539B" w:rsidR="000756EB" w:rsidRDefault="004A4D88" w:rsidP="00DD5A54">
            <w:pPr>
              <w:pStyle w:val="TableCopy"/>
              <w:jc w:val="right"/>
            </w:pPr>
            <w:r>
              <w:t>127,955</w:t>
            </w:r>
          </w:p>
        </w:tc>
      </w:tr>
      <w:tr w:rsidR="000756EB" w:rsidRPr="00B23E3B" w14:paraId="2282A9F4" w14:textId="77777777" w:rsidTr="00DD5A54">
        <w:trPr>
          <w:cantSplit/>
        </w:trPr>
        <w:tc>
          <w:tcPr>
            <w:tcW w:w="4390" w:type="dxa"/>
          </w:tcPr>
          <w:p w14:paraId="61EA7768" w14:textId="10C45114" w:rsidR="000756EB" w:rsidRPr="00B23E3B" w:rsidRDefault="004A4D88" w:rsidP="00B23E3B">
            <w:pPr>
              <w:pStyle w:val="TableHeading"/>
              <w:rPr>
                <w:rFonts w:asciiTheme="minorHAnsi" w:hAnsiTheme="minorHAnsi" w:cstheme="minorHAnsi"/>
              </w:rPr>
            </w:pPr>
            <w:r w:rsidRPr="00B23E3B">
              <w:rPr>
                <w:rFonts w:asciiTheme="minorHAnsi" w:hAnsiTheme="minorHAnsi" w:cstheme="minorHAnsi"/>
              </w:rPr>
              <w:t>Other</w:t>
            </w:r>
            <w:r w:rsidR="00A03629" w:rsidRPr="00B23E3B">
              <w:rPr>
                <w:rFonts w:asciiTheme="minorHAnsi" w:hAnsiTheme="minorHAnsi" w:cstheme="minorHAnsi"/>
              </w:rPr>
              <w:t xml:space="preserve"> </w:t>
            </w:r>
            <w:r w:rsidRPr="00B23E3B">
              <w:rPr>
                <w:rFonts w:asciiTheme="minorHAnsi" w:hAnsiTheme="minorHAnsi" w:cstheme="minorHAnsi"/>
              </w:rPr>
              <w:t>lease</w:t>
            </w:r>
            <w:r w:rsidR="00A03629" w:rsidRPr="00B23E3B">
              <w:rPr>
                <w:rFonts w:asciiTheme="minorHAnsi" w:hAnsiTheme="minorHAnsi" w:cstheme="minorHAnsi"/>
              </w:rPr>
              <w:t xml:space="preserve"> </w:t>
            </w:r>
            <w:r w:rsidRPr="00B23E3B">
              <w:rPr>
                <w:rFonts w:asciiTheme="minorHAnsi" w:hAnsiTheme="minorHAnsi" w:cstheme="minorHAnsi"/>
              </w:rPr>
              <w:t>liabilities</w:t>
            </w:r>
            <w:r w:rsidR="00A03629" w:rsidRPr="00B23E3B">
              <w:rPr>
                <w:rFonts w:asciiTheme="minorHAnsi" w:hAnsiTheme="minorHAnsi" w:cstheme="minorHAnsi"/>
              </w:rPr>
              <w:t xml:space="preserve"> </w:t>
            </w:r>
            <w:r w:rsidRPr="00B23E3B">
              <w:rPr>
                <w:rFonts w:asciiTheme="minorHAnsi" w:hAnsiTheme="minorHAnsi" w:cstheme="minorHAnsi"/>
              </w:rPr>
              <w:t>payable</w:t>
            </w:r>
            <w:r w:rsidR="00A03629" w:rsidRPr="00B23E3B">
              <w:rPr>
                <w:rFonts w:asciiTheme="minorHAnsi" w:hAnsiTheme="minorHAnsi" w:cstheme="minorHAnsi"/>
              </w:rPr>
              <w:t xml:space="preserve"> </w:t>
            </w:r>
            <w:r w:rsidRPr="00614829">
              <w:rPr>
                <w:rStyle w:val="FootnotereferencessuperscriptMisc"/>
              </w:rPr>
              <w:t>(ii)</w:t>
            </w:r>
          </w:p>
        </w:tc>
        <w:tc>
          <w:tcPr>
            <w:tcW w:w="1501" w:type="dxa"/>
          </w:tcPr>
          <w:p w14:paraId="7AF3CC09" w14:textId="77777777" w:rsidR="000756EB" w:rsidRPr="00B23E3B" w:rsidRDefault="000756EB" w:rsidP="00DD5A54">
            <w:pPr>
              <w:pStyle w:val="TableHeading"/>
              <w:jc w:val="right"/>
              <w:rPr>
                <w:rFonts w:asciiTheme="minorHAnsi" w:hAnsiTheme="minorHAnsi" w:cstheme="minorHAnsi"/>
                <w:lang w:val="en-AU"/>
              </w:rPr>
            </w:pPr>
          </w:p>
        </w:tc>
        <w:tc>
          <w:tcPr>
            <w:tcW w:w="1502" w:type="dxa"/>
          </w:tcPr>
          <w:p w14:paraId="75E76DC0" w14:textId="77777777" w:rsidR="000756EB" w:rsidRPr="00B23E3B" w:rsidRDefault="000756EB" w:rsidP="00DD5A54">
            <w:pPr>
              <w:pStyle w:val="TableHeading"/>
              <w:jc w:val="right"/>
              <w:rPr>
                <w:rFonts w:asciiTheme="minorHAnsi" w:hAnsiTheme="minorHAnsi" w:cstheme="minorHAnsi"/>
                <w:lang w:val="en-AU"/>
              </w:rPr>
            </w:pPr>
          </w:p>
        </w:tc>
        <w:tc>
          <w:tcPr>
            <w:tcW w:w="1501" w:type="dxa"/>
          </w:tcPr>
          <w:p w14:paraId="4A6A61F3" w14:textId="77777777" w:rsidR="000756EB" w:rsidRPr="00B23E3B" w:rsidRDefault="000756EB" w:rsidP="00DD5A54">
            <w:pPr>
              <w:pStyle w:val="TableHeading"/>
              <w:jc w:val="right"/>
              <w:rPr>
                <w:rFonts w:asciiTheme="minorHAnsi" w:hAnsiTheme="minorHAnsi" w:cstheme="minorHAnsi"/>
                <w:lang w:val="en-AU"/>
              </w:rPr>
            </w:pPr>
          </w:p>
        </w:tc>
        <w:tc>
          <w:tcPr>
            <w:tcW w:w="1502" w:type="dxa"/>
          </w:tcPr>
          <w:p w14:paraId="6E3C8336" w14:textId="77777777" w:rsidR="000756EB" w:rsidRPr="00B23E3B" w:rsidRDefault="000756EB" w:rsidP="00DD5A54">
            <w:pPr>
              <w:pStyle w:val="TableHeading"/>
              <w:jc w:val="right"/>
              <w:rPr>
                <w:rFonts w:asciiTheme="minorHAnsi" w:hAnsiTheme="minorHAnsi" w:cstheme="minorHAnsi"/>
                <w:lang w:val="en-AU"/>
              </w:rPr>
            </w:pPr>
          </w:p>
        </w:tc>
      </w:tr>
      <w:tr w:rsidR="000756EB" w14:paraId="2288E06B" w14:textId="77777777" w:rsidTr="00DD5A54">
        <w:trPr>
          <w:cantSplit/>
        </w:trPr>
        <w:tc>
          <w:tcPr>
            <w:tcW w:w="4390" w:type="dxa"/>
          </w:tcPr>
          <w:p w14:paraId="09BEA885" w14:textId="6154E501" w:rsidR="000756EB" w:rsidRDefault="004A4D88" w:rsidP="00B23E3B">
            <w:pPr>
              <w:pStyle w:val="TableCopy"/>
            </w:pPr>
            <w:proofErr w:type="spellStart"/>
            <w:r>
              <w:t>Not</w:t>
            </w:r>
            <w:r w:rsidR="00A03629">
              <w:t xml:space="preserve"> </w:t>
            </w:r>
            <w:r>
              <w:t>longer</w:t>
            </w:r>
            <w:proofErr w:type="spellEnd"/>
            <w:r w:rsidR="00A03629">
              <w:t xml:space="preserve"> </w:t>
            </w:r>
            <w:r>
              <w:t>than</w:t>
            </w:r>
            <w:r w:rsidR="00A03629">
              <w:t xml:space="preserve"> </w:t>
            </w:r>
            <w:r>
              <w:t>one</w:t>
            </w:r>
            <w:r w:rsidR="00A03629">
              <w:t xml:space="preserve"> </w:t>
            </w:r>
            <w:r>
              <w:t>year</w:t>
            </w:r>
          </w:p>
        </w:tc>
        <w:tc>
          <w:tcPr>
            <w:tcW w:w="1501" w:type="dxa"/>
          </w:tcPr>
          <w:p w14:paraId="7253B69A" w14:textId="469E3F26" w:rsidR="000756EB" w:rsidRDefault="004A4D88" w:rsidP="00DD5A54">
            <w:pPr>
              <w:pStyle w:val="TableCopy"/>
              <w:jc w:val="right"/>
            </w:pPr>
            <w:r>
              <w:t>4,562</w:t>
            </w:r>
          </w:p>
        </w:tc>
        <w:tc>
          <w:tcPr>
            <w:tcW w:w="1502" w:type="dxa"/>
          </w:tcPr>
          <w:p w14:paraId="10912C4E" w14:textId="3FE9826D" w:rsidR="000756EB" w:rsidRDefault="004A4D88" w:rsidP="00DD5A54">
            <w:pPr>
              <w:pStyle w:val="TableCopy"/>
              <w:jc w:val="right"/>
            </w:pPr>
            <w:r>
              <w:t>11,544</w:t>
            </w:r>
          </w:p>
        </w:tc>
        <w:tc>
          <w:tcPr>
            <w:tcW w:w="1501" w:type="dxa"/>
          </w:tcPr>
          <w:p w14:paraId="2C5D77A4" w14:textId="5984708F" w:rsidR="000756EB" w:rsidRDefault="004A4D88" w:rsidP="00DD5A54">
            <w:pPr>
              <w:pStyle w:val="TableCopy"/>
              <w:jc w:val="right"/>
            </w:pPr>
            <w:r>
              <w:t>2,617</w:t>
            </w:r>
          </w:p>
        </w:tc>
        <w:tc>
          <w:tcPr>
            <w:tcW w:w="1502" w:type="dxa"/>
          </w:tcPr>
          <w:p w14:paraId="18C3971D" w14:textId="48DF026E" w:rsidR="000756EB" w:rsidRDefault="004A4D88" w:rsidP="00DD5A54">
            <w:pPr>
              <w:pStyle w:val="TableCopy"/>
              <w:jc w:val="right"/>
            </w:pPr>
            <w:r>
              <w:t>11,418</w:t>
            </w:r>
          </w:p>
        </w:tc>
      </w:tr>
      <w:tr w:rsidR="000756EB" w14:paraId="639D4A26" w14:textId="77777777" w:rsidTr="00DD5A54">
        <w:trPr>
          <w:cantSplit/>
        </w:trPr>
        <w:tc>
          <w:tcPr>
            <w:tcW w:w="4390" w:type="dxa"/>
          </w:tcPr>
          <w:p w14:paraId="78163B24" w14:textId="46D5C09E" w:rsidR="000756EB" w:rsidRDefault="004A4D88" w:rsidP="00B23E3B">
            <w:pPr>
              <w:pStyle w:val="TableCopy"/>
            </w:pPr>
            <w:r>
              <w:lastRenderedPageBreak/>
              <w:t>Longer</w:t>
            </w:r>
            <w:r w:rsidR="00A03629">
              <w:t xml:space="preserve"> </w:t>
            </w:r>
            <w:r>
              <w:t>than</w:t>
            </w:r>
            <w:r w:rsidR="00A03629">
              <w:t xml:space="preserve"> </w:t>
            </w:r>
            <w:r>
              <w:t>one</w:t>
            </w:r>
            <w:r w:rsidR="00A03629">
              <w:t xml:space="preserve"> </w:t>
            </w:r>
            <w:r>
              <w:t>year</w:t>
            </w:r>
            <w:r w:rsidR="00A03629">
              <w:t xml:space="preserve"> </w:t>
            </w:r>
            <w:r>
              <w:t>but</w:t>
            </w:r>
            <w:r w:rsidR="00A03629">
              <w:t xml:space="preserve"> </w:t>
            </w:r>
            <w:r>
              <w:t>no</w:t>
            </w:r>
            <w:r w:rsidR="00A03629">
              <w:t xml:space="preserve"> </w:t>
            </w:r>
            <w:r>
              <w:t>later</w:t>
            </w:r>
            <w:r w:rsidR="00A03629">
              <w:t xml:space="preserve"> </w:t>
            </w:r>
            <w:r>
              <w:t>than</w:t>
            </w:r>
            <w:r w:rsidR="00A03629">
              <w:t xml:space="preserve"> </w:t>
            </w:r>
            <w:r>
              <w:t>five</w:t>
            </w:r>
            <w:r w:rsidR="00A03629">
              <w:t xml:space="preserve"> </w:t>
            </w:r>
            <w:r>
              <w:t>years</w:t>
            </w:r>
          </w:p>
        </w:tc>
        <w:tc>
          <w:tcPr>
            <w:tcW w:w="1501" w:type="dxa"/>
          </w:tcPr>
          <w:p w14:paraId="07E7BEDB" w14:textId="2699F8F4" w:rsidR="000756EB" w:rsidRDefault="004A4D88" w:rsidP="00DD5A54">
            <w:pPr>
              <w:pStyle w:val="TableCopy"/>
              <w:jc w:val="right"/>
            </w:pPr>
            <w:r>
              <w:t>8,999</w:t>
            </w:r>
          </w:p>
        </w:tc>
        <w:tc>
          <w:tcPr>
            <w:tcW w:w="1502" w:type="dxa"/>
          </w:tcPr>
          <w:p w14:paraId="609184E3" w14:textId="7BF05F56" w:rsidR="000756EB" w:rsidRDefault="004A4D88" w:rsidP="00DD5A54">
            <w:pPr>
              <w:pStyle w:val="TableCopy"/>
              <w:jc w:val="right"/>
            </w:pPr>
            <w:r>
              <w:t>15,654</w:t>
            </w:r>
          </w:p>
        </w:tc>
        <w:tc>
          <w:tcPr>
            <w:tcW w:w="1501" w:type="dxa"/>
          </w:tcPr>
          <w:p w14:paraId="49A3F48C" w14:textId="6FC4CFCD" w:rsidR="000756EB" w:rsidRDefault="004A4D88" w:rsidP="00DD5A54">
            <w:pPr>
              <w:pStyle w:val="TableCopy"/>
              <w:jc w:val="right"/>
            </w:pPr>
            <w:r>
              <w:t>11,724</w:t>
            </w:r>
          </w:p>
        </w:tc>
        <w:tc>
          <w:tcPr>
            <w:tcW w:w="1502" w:type="dxa"/>
          </w:tcPr>
          <w:p w14:paraId="31E970E8" w14:textId="6C64D0C6" w:rsidR="000756EB" w:rsidRDefault="004A4D88" w:rsidP="00DD5A54">
            <w:pPr>
              <w:pStyle w:val="TableCopy"/>
              <w:jc w:val="right"/>
            </w:pPr>
            <w:r>
              <w:t>15,579</w:t>
            </w:r>
          </w:p>
        </w:tc>
      </w:tr>
      <w:tr w:rsidR="000756EB" w14:paraId="04781117" w14:textId="77777777" w:rsidTr="00DD5A54">
        <w:trPr>
          <w:cantSplit/>
        </w:trPr>
        <w:tc>
          <w:tcPr>
            <w:tcW w:w="4390" w:type="dxa"/>
          </w:tcPr>
          <w:p w14:paraId="243273CA" w14:textId="5BC6862D" w:rsidR="000756EB" w:rsidRDefault="004A4D88" w:rsidP="00B23E3B">
            <w:pPr>
              <w:pStyle w:val="TableCopy"/>
            </w:pPr>
            <w:r>
              <w:t>Longer</w:t>
            </w:r>
            <w:r w:rsidR="00A03629">
              <w:t xml:space="preserve"> </w:t>
            </w:r>
            <w:r>
              <w:t>than</w:t>
            </w:r>
            <w:r w:rsidR="00A03629">
              <w:t xml:space="preserve"> </w:t>
            </w:r>
            <w:r>
              <w:t>five</w:t>
            </w:r>
            <w:r w:rsidR="00A03629">
              <w:t xml:space="preserve"> </w:t>
            </w:r>
            <w:r>
              <w:t>years</w:t>
            </w:r>
          </w:p>
        </w:tc>
        <w:tc>
          <w:tcPr>
            <w:tcW w:w="1501" w:type="dxa"/>
          </w:tcPr>
          <w:p w14:paraId="3E90DA02" w14:textId="0564D209" w:rsidR="000756EB" w:rsidRDefault="004A4D88" w:rsidP="00DD5A54">
            <w:pPr>
              <w:pStyle w:val="TableCopy"/>
              <w:jc w:val="right"/>
            </w:pPr>
            <w:r>
              <w:t>1,342</w:t>
            </w:r>
          </w:p>
        </w:tc>
        <w:tc>
          <w:tcPr>
            <w:tcW w:w="1502" w:type="dxa"/>
          </w:tcPr>
          <w:p w14:paraId="56085F75" w14:textId="07DA6523" w:rsidR="000756EB" w:rsidRDefault="004A4D88" w:rsidP="00DD5A54">
            <w:pPr>
              <w:pStyle w:val="TableCopy"/>
              <w:jc w:val="right"/>
            </w:pPr>
            <w:r>
              <w:t>5,346</w:t>
            </w:r>
          </w:p>
        </w:tc>
        <w:tc>
          <w:tcPr>
            <w:tcW w:w="1501" w:type="dxa"/>
          </w:tcPr>
          <w:p w14:paraId="1A42F874" w14:textId="5A9E16D8" w:rsidR="000756EB" w:rsidRDefault="004A4D88" w:rsidP="00DD5A54">
            <w:pPr>
              <w:pStyle w:val="TableCopy"/>
              <w:jc w:val="right"/>
            </w:pPr>
            <w:r>
              <w:t>–</w:t>
            </w:r>
          </w:p>
        </w:tc>
        <w:tc>
          <w:tcPr>
            <w:tcW w:w="1502" w:type="dxa"/>
          </w:tcPr>
          <w:p w14:paraId="164231AA" w14:textId="7DDF4C42" w:rsidR="000756EB" w:rsidRDefault="004A4D88" w:rsidP="00DD5A54">
            <w:pPr>
              <w:pStyle w:val="TableCopy"/>
              <w:jc w:val="right"/>
            </w:pPr>
            <w:r>
              <w:t>5,346</w:t>
            </w:r>
          </w:p>
        </w:tc>
      </w:tr>
      <w:tr w:rsidR="000756EB" w:rsidRPr="00B23E3B" w14:paraId="0BC0274B" w14:textId="77777777" w:rsidTr="00DD5A54">
        <w:trPr>
          <w:cantSplit/>
        </w:trPr>
        <w:tc>
          <w:tcPr>
            <w:tcW w:w="4390" w:type="dxa"/>
          </w:tcPr>
          <w:p w14:paraId="0D345A07" w14:textId="10A07C2F" w:rsidR="000756EB" w:rsidRPr="00B23E3B" w:rsidRDefault="004A4D88" w:rsidP="00B23E3B">
            <w:pPr>
              <w:pStyle w:val="TableCopy"/>
              <w:rPr>
                <w:b/>
                <w:bCs/>
              </w:rPr>
            </w:pPr>
            <w:r w:rsidRPr="00B23E3B">
              <w:rPr>
                <w:b/>
                <w:bCs/>
              </w:rPr>
              <w:t>Minimum</w:t>
            </w:r>
            <w:r w:rsidR="00A03629" w:rsidRPr="00B23E3B">
              <w:rPr>
                <w:b/>
                <w:bCs/>
              </w:rPr>
              <w:t xml:space="preserve"> </w:t>
            </w:r>
            <w:r w:rsidRPr="00B23E3B">
              <w:rPr>
                <w:b/>
                <w:bCs/>
              </w:rPr>
              <w:t>future</w:t>
            </w:r>
            <w:r w:rsidR="00A03629" w:rsidRPr="00B23E3B">
              <w:rPr>
                <w:b/>
                <w:bCs/>
              </w:rPr>
              <w:t xml:space="preserve"> </w:t>
            </w:r>
            <w:r w:rsidRPr="00B23E3B">
              <w:rPr>
                <w:b/>
                <w:bCs/>
              </w:rPr>
              <w:t>lease</w:t>
            </w:r>
            <w:r w:rsidR="00A03629" w:rsidRPr="00B23E3B">
              <w:rPr>
                <w:b/>
                <w:bCs/>
              </w:rPr>
              <w:t xml:space="preserve"> </w:t>
            </w:r>
            <w:r w:rsidRPr="00B23E3B">
              <w:rPr>
                <w:b/>
                <w:bCs/>
              </w:rPr>
              <w:t>payments</w:t>
            </w:r>
          </w:p>
        </w:tc>
        <w:tc>
          <w:tcPr>
            <w:tcW w:w="1501" w:type="dxa"/>
          </w:tcPr>
          <w:p w14:paraId="2C6E7AA3" w14:textId="3BB6B5F1" w:rsidR="000756EB" w:rsidRPr="00B23E3B" w:rsidRDefault="004A4D88" w:rsidP="00DD5A54">
            <w:pPr>
              <w:pStyle w:val="TableCopy"/>
              <w:jc w:val="right"/>
              <w:rPr>
                <w:b/>
                <w:bCs/>
              </w:rPr>
            </w:pPr>
            <w:r w:rsidRPr="00B23E3B">
              <w:rPr>
                <w:b/>
                <w:bCs/>
              </w:rPr>
              <w:t>14,904</w:t>
            </w:r>
          </w:p>
        </w:tc>
        <w:tc>
          <w:tcPr>
            <w:tcW w:w="1502" w:type="dxa"/>
          </w:tcPr>
          <w:p w14:paraId="25638C9E" w14:textId="6B6EAE7F" w:rsidR="000756EB" w:rsidRPr="00B23E3B" w:rsidRDefault="004A4D88" w:rsidP="00DD5A54">
            <w:pPr>
              <w:pStyle w:val="TableCopy"/>
              <w:jc w:val="right"/>
              <w:rPr>
                <w:b/>
                <w:bCs/>
              </w:rPr>
            </w:pPr>
            <w:r w:rsidRPr="00B23E3B">
              <w:rPr>
                <w:b/>
                <w:bCs/>
              </w:rPr>
              <w:t>493,117</w:t>
            </w:r>
          </w:p>
        </w:tc>
        <w:tc>
          <w:tcPr>
            <w:tcW w:w="1501" w:type="dxa"/>
          </w:tcPr>
          <w:p w14:paraId="77165539" w14:textId="18328DF9" w:rsidR="000756EB" w:rsidRPr="00B23E3B" w:rsidRDefault="004A4D88" w:rsidP="00DD5A54">
            <w:pPr>
              <w:pStyle w:val="TableCopy"/>
              <w:jc w:val="right"/>
              <w:rPr>
                <w:b/>
                <w:bCs/>
              </w:rPr>
            </w:pPr>
            <w:r w:rsidRPr="00B23E3B">
              <w:rPr>
                <w:b/>
                <w:bCs/>
              </w:rPr>
              <w:t>14,342</w:t>
            </w:r>
          </w:p>
        </w:tc>
        <w:tc>
          <w:tcPr>
            <w:tcW w:w="1502" w:type="dxa"/>
          </w:tcPr>
          <w:p w14:paraId="2ED06504" w14:textId="667D5A87" w:rsidR="000756EB" w:rsidRPr="00B23E3B" w:rsidRDefault="004A4D88" w:rsidP="00DD5A54">
            <w:pPr>
              <w:pStyle w:val="TableCopy"/>
              <w:jc w:val="right"/>
              <w:rPr>
                <w:b/>
                <w:bCs/>
              </w:rPr>
            </w:pPr>
            <w:r w:rsidRPr="00B23E3B">
              <w:rPr>
                <w:b/>
                <w:bCs/>
              </w:rPr>
              <w:t>300,258</w:t>
            </w:r>
          </w:p>
        </w:tc>
      </w:tr>
      <w:tr w:rsidR="000756EB" w14:paraId="494889BF" w14:textId="77777777" w:rsidTr="00DD5A54">
        <w:trPr>
          <w:cantSplit/>
        </w:trPr>
        <w:tc>
          <w:tcPr>
            <w:tcW w:w="4390" w:type="dxa"/>
          </w:tcPr>
          <w:p w14:paraId="65B01DBE" w14:textId="56AFE1D1" w:rsidR="000756EB" w:rsidRDefault="004A4D88" w:rsidP="00B23E3B">
            <w:pPr>
              <w:pStyle w:val="TableCopy"/>
            </w:pPr>
            <w:r>
              <w:t>Less</w:t>
            </w:r>
            <w:r w:rsidR="00A03629">
              <w:t xml:space="preserve"> </w:t>
            </w:r>
            <w:r>
              <w:t>future</w:t>
            </w:r>
            <w:r w:rsidR="00A03629">
              <w:t xml:space="preserve"> </w:t>
            </w:r>
            <w:r>
              <w:t>finance</w:t>
            </w:r>
            <w:r w:rsidR="00A03629">
              <w:t xml:space="preserve"> </w:t>
            </w:r>
            <w:r>
              <w:t>charges</w:t>
            </w:r>
          </w:p>
        </w:tc>
        <w:tc>
          <w:tcPr>
            <w:tcW w:w="1501" w:type="dxa"/>
          </w:tcPr>
          <w:p w14:paraId="3071F663" w14:textId="0C1C3A57" w:rsidR="000756EB" w:rsidRDefault="004A4D88" w:rsidP="00DD5A54">
            <w:pPr>
              <w:pStyle w:val="TableCopy"/>
              <w:jc w:val="right"/>
            </w:pPr>
            <w:r>
              <w:t>(562)</w:t>
            </w:r>
          </w:p>
        </w:tc>
        <w:tc>
          <w:tcPr>
            <w:tcW w:w="1502" w:type="dxa"/>
          </w:tcPr>
          <w:p w14:paraId="1F06112E" w14:textId="77777777" w:rsidR="000756EB" w:rsidRDefault="004A4D88" w:rsidP="00DD5A54">
            <w:pPr>
              <w:pStyle w:val="TableCopy"/>
              <w:jc w:val="right"/>
            </w:pPr>
            <w:r>
              <w:t>(192,859)</w:t>
            </w:r>
          </w:p>
        </w:tc>
        <w:tc>
          <w:tcPr>
            <w:tcW w:w="1501" w:type="dxa"/>
          </w:tcPr>
          <w:p w14:paraId="46CDC3B0" w14:textId="67A38592" w:rsidR="000756EB" w:rsidRDefault="004A4D88" w:rsidP="00DD5A54">
            <w:pPr>
              <w:pStyle w:val="TableCopy"/>
              <w:jc w:val="right"/>
            </w:pPr>
            <w:r>
              <w:t>–</w:t>
            </w:r>
          </w:p>
        </w:tc>
        <w:tc>
          <w:tcPr>
            <w:tcW w:w="1502" w:type="dxa"/>
          </w:tcPr>
          <w:p w14:paraId="5ED916B2" w14:textId="74BFA898" w:rsidR="000756EB" w:rsidRDefault="004A4D88" w:rsidP="00DD5A54">
            <w:pPr>
              <w:pStyle w:val="TableCopy"/>
              <w:jc w:val="right"/>
            </w:pPr>
            <w:r>
              <w:t>–</w:t>
            </w:r>
          </w:p>
        </w:tc>
      </w:tr>
      <w:tr w:rsidR="000756EB" w:rsidRPr="00B23E3B" w14:paraId="7BD50DBF" w14:textId="77777777" w:rsidTr="00DD5A54">
        <w:trPr>
          <w:cantSplit/>
        </w:trPr>
        <w:tc>
          <w:tcPr>
            <w:tcW w:w="4390" w:type="dxa"/>
          </w:tcPr>
          <w:p w14:paraId="7ED9517B" w14:textId="563890BB" w:rsidR="000756EB" w:rsidRPr="00B23E3B" w:rsidRDefault="004A4D88" w:rsidP="00B23E3B">
            <w:pPr>
              <w:pStyle w:val="TableCopy"/>
              <w:rPr>
                <w:b/>
                <w:bCs/>
              </w:rPr>
            </w:pPr>
            <w:r w:rsidRPr="00B23E3B">
              <w:rPr>
                <w:b/>
                <w:bCs/>
              </w:rPr>
              <w:t>Present</w:t>
            </w:r>
            <w:r w:rsidR="00A03629" w:rsidRPr="00B23E3B">
              <w:rPr>
                <w:b/>
                <w:bCs/>
              </w:rPr>
              <w:t xml:space="preserve"> </w:t>
            </w:r>
            <w:r w:rsidRPr="00B23E3B">
              <w:rPr>
                <w:b/>
                <w:bCs/>
              </w:rPr>
              <w:t>value</w:t>
            </w:r>
            <w:r w:rsidR="00A03629" w:rsidRPr="00B23E3B">
              <w:rPr>
                <w:b/>
                <w:bCs/>
              </w:rPr>
              <w:t xml:space="preserve"> </w:t>
            </w:r>
            <w:r w:rsidRPr="00B23E3B">
              <w:rPr>
                <w:b/>
                <w:bCs/>
              </w:rPr>
              <w:t>of</w:t>
            </w:r>
            <w:r w:rsidR="00A03629" w:rsidRPr="00B23E3B">
              <w:rPr>
                <w:b/>
                <w:bCs/>
              </w:rPr>
              <w:t xml:space="preserve"> </w:t>
            </w:r>
            <w:r w:rsidRPr="00B23E3B">
              <w:rPr>
                <w:b/>
                <w:bCs/>
              </w:rPr>
              <w:t>minimum</w:t>
            </w:r>
            <w:r w:rsidR="00A03629" w:rsidRPr="00B23E3B">
              <w:rPr>
                <w:b/>
                <w:bCs/>
              </w:rPr>
              <w:t xml:space="preserve"> </w:t>
            </w:r>
            <w:r w:rsidRPr="00B23E3B">
              <w:rPr>
                <w:b/>
                <w:bCs/>
              </w:rPr>
              <w:t>lease</w:t>
            </w:r>
            <w:r w:rsidR="00A03629" w:rsidRPr="00B23E3B">
              <w:rPr>
                <w:b/>
                <w:bCs/>
              </w:rPr>
              <w:t xml:space="preserve"> </w:t>
            </w:r>
            <w:r w:rsidRPr="00B23E3B">
              <w:rPr>
                <w:b/>
                <w:bCs/>
              </w:rPr>
              <w:t>payments</w:t>
            </w:r>
          </w:p>
        </w:tc>
        <w:tc>
          <w:tcPr>
            <w:tcW w:w="1501" w:type="dxa"/>
          </w:tcPr>
          <w:p w14:paraId="7217C781" w14:textId="45A550F3" w:rsidR="000756EB" w:rsidRPr="00B23E3B" w:rsidRDefault="004A4D88" w:rsidP="00DD5A54">
            <w:pPr>
              <w:pStyle w:val="TableCopy"/>
              <w:jc w:val="right"/>
              <w:rPr>
                <w:b/>
                <w:bCs/>
              </w:rPr>
            </w:pPr>
            <w:r w:rsidRPr="00B23E3B">
              <w:rPr>
                <w:b/>
                <w:bCs/>
              </w:rPr>
              <w:t>14,342</w:t>
            </w:r>
          </w:p>
        </w:tc>
        <w:tc>
          <w:tcPr>
            <w:tcW w:w="1502" w:type="dxa"/>
          </w:tcPr>
          <w:p w14:paraId="154D8864" w14:textId="721F5D1B" w:rsidR="000756EB" w:rsidRPr="00B23E3B" w:rsidRDefault="004A4D88" w:rsidP="00DD5A54">
            <w:pPr>
              <w:pStyle w:val="TableCopy"/>
              <w:jc w:val="right"/>
              <w:rPr>
                <w:b/>
                <w:bCs/>
              </w:rPr>
            </w:pPr>
            <w:r w:rsidRPr="00B23E3B">
              <w:rPr>
                <w:b/>
                <w:bCs/>
              </w:rPr>
              <w:t>300,258</w:t>
            </w:r>
          </w:p>
        </w:tc>
        <w:tc>
          <w:tcPr>
            <w:tcW w:w="1501" w:type="dxa"/>
          </w:tcPr>
          <w:p w14:paraId="5A7626CA" w14:textId="1AEB6176" w:rsidR="000756EB" w:rsidRPr="00B23E3B" w:rsidRDefault="004A4D88" w:rsidP="00DD5A54">
            <w:pPr>
              <w:pStyle w:val="TableCopy"/>
              <w:jc w:val="right"/>
              <w:rPr>
                <w:b/>
                <w:bCs/>
              </w:rPr>
            </w:pPr>
            <w:r w:rsidRPr="00B23E3B">
              <w:rPr>
                <w:b/>
                <w:bCs/>
              </w:rPr>
              <w:t>14,342</w:t>
            </w:r>
          </w:p>
        </w:tc>
        <w:tc>
          <w:tcPr>
            <w:tcW w:w="1502" w:type="dxa"/>
          </w:tcPr>
          <w:p w14:paraId="01BAF1A6" w14:textId="5306A842" w:rsidR="000756EB" w:rsidRPr="00B23E3B" w:rsidRDefault="004A4D88" w:rsidP="00DD5A54">
            <w:pPr>
              <w:pStyle w:val="TableCopy"/>
              <w:jc w:val="right"/>
              <w:rPr>
                <w:b/>
                <w:bCs/>
              </w:rPr>
            </w:pPr>
            <w:r w:rsidRPr="00B23E3B">
              <w:rPr>
                <w:b/>
                <w:bCs/>
              </w:rPr>
              <w:t>300,258</w:t>
            </w:r>
          </w:p>
        </w:tc>
      </w:tr>
      <w:tr w:rsidR="000756EB" w14:paraId="311A3232" w14:textId="77777777" w:rsidTr="00DD5A54">
        <w:trPr>
          <w:cantSplit/>
        </w:trPr>
        <w:tc>
          <w:tcPr>
            <w:tcW w:w="4390" w:type="dxa"/>
          </w:tcPr>
          <w:p w14:paraId="377D4B2E" w14:textId="51C6B282" w:rsidR="000756EB" w:rsidRDefault="004A4D88" w:rsidP="00B23E3B">
            <w:pPr>
              <w:pStyle w:val="TableCopy"/>
            </w:pPr>
            <w:r>
              <w:t>Included</w:t>
            </w:r>
            <w:r w:rsidR="00A03629">
              <w:t xml:space="preserve"> </w:t>
            </w:r>
            <w:r>
              <w:t>in</w:t>
            </w:r>
            <w:r w:rsidR="00A03629">
              <w:t xml:space="preserve"> </w:t>
            </w:r>
            <w:r>
              <w:t>the</w:t>
            </w:r>
            <w:r w:rsidR="00A03629">
              <w:t xml:space="preserve"> </w:t>
            </w:r>
            <w:r>
              <w:t>financial</w:t>
            </w:r>
            <w:r w:rsidR="00A03629">
              <w:t xml:space="preserve"> </w:t>
            </w:r>
            <w:r>
              <w:t>statements</w:t>
            </w:r>
            <w:r w:rsidR="00A03629">
              <w:t xml:space="preserve"> </w:t>
            </w:r>
            <w:r>
              <w:t>as:</w:t>
            </w:r>
          </w:p>
        </w:tc>
        <w:tc>
          <w:tcPr>
            <w:tcW w:w="1501" w:type="dxa"/>
          </w:tcPr>
          <w:p w14:paraId="5CB9F8C1" w14:textId="77777777" w:rsidR="000756EB" w:rsidRDefault="000756EB" w:rsidP="00DD5A54">
            <w:pPr>
              <w:pStyle w:val="TableCopy"/>
              <w:jc w:val="right"/>
              <w:rPr>
                <w:rFonts w:cstheme="minorBidi"/>
                <w:lang w:val="en-AU"/>
              </w:rPr>
            </w:pPr>
          </w:p>
        </w:tc>
        <w:tc>
          <w:tcPr>
            <w:tcW w:w="1502" w:type="dxa"/>
          </w:tcPr>
          <w:p w14:paraId="6588E42B" w14:textId="77777777" w:rsidR="000756EB" w:rsidRDefault="000756EB" w:rsidP="00DD5A54">
            <w:pPr>
              <w:pStyle w:val="TableCopy"/>
              <w:jc w:val="right"/>
              <w:rPr>
                <w:rFonts w:cstheme="minorBidi"/>
                <w:lang w:val="en-AU"/>
              </w:rPr>
            </w:pPr>
          </w:p>
        </w:tc>
        <w:tc>
          <w:tcPr>
            <w:tcW w:w="1501" w:type="dxa"/>
          </w:tcPr>
          <w:p w14:paraId="4FA64094" w14:textId="77777777" w:rsidR="000756EB" w:rsidRDefault="000756EB" w:rsidP="00DD5A54">
            <w:pPr>
              <w:pStyle w:val="TableCopy"/>
              <w:jc w:val="right"/>
              <w:rPr>
                <w:rFonts w:cstheme="minorBidi"/>
                <w:lang w:val="en-AU"/>
              </w:rPr>
            </w:pPr>
          </w:p>
        </w:tc>
        <w:tc>
          <w:tcPr>
            <w:tcW w:w="1502" w:type="dxa"/>
          </w:tcPr>
          <w:p w14:paraId="38084A61" w14:textId="77777777" w:rsidR="000756EB" w:rsidRDefault="000756EB" w:rsidP="00DD5A54">
            <w:pPr>
              <w:pStyle w:val="TableCopy"/>
              <w:jc w:val="right"/>
              <w:rPr>
                <w:rFonts w:cstheme="minorBidi"/>
                <w:lang w:val="en-AU"/>
              </w:rPr>
            </w:pPr>
          </w:p>
        </w:tc>
      </w:tr>
      <w:tr w:rsidR="000756EB" w14:paraId="7A7DC025" w14:textId="77777777" w:rsidTr="00DD5A54">
        <w:trPr>
          <w:cantSplit/>
        </w:trPr>
        <w:tc>
          <w:tcPr>
            <w:tcW w:w="4390" w:type="dxa"/>
          </w:tcPr>
          <w:p w14:paraId="55048287" w14:textId="24F10D78" w:rsidR="000756EB" w:rsidRDefault="004A4D88" w:rsidP="00B23E3B">
            <w:pPr>
              <w:pStyle w:val="TableCopy"/>
            </w:pPr>
            <w:r>
              <w:t>Current</w:t>
            </w:r>
            <w:r w:rsidR="00A03629">
              <w:t xml:space="preserve"> </w:t>
            </w:r>
            <w:r>
              <w:t>borrowings</w:t>
            </w:r>
            <w:r w:rsidR="00A03629">
              <w:t xml:space="preserve"> </w:t>
            </w:r>
            <w:r>
              <w:t>lease</w:t>
            </w:r>
            <w:r w:rsidR="00A03629">
              <w:t xml:space="preserve"> </w:t>
            </w:r>
            <w:r>
              <w:t>liabilities</w:t>
            </w:r>
            <w:r w:rsidR="00A03629">
              <w:t xml:space="preserve"> </w:t>
            </w:r>
            <w:r>
              <w:t>(Note</w:t>
            </w:r>
            <w:r w:rsidR="00A03629">
              <w:t xml:space="preserve"> </w:t>
            </w:r>
            <w:r>
              <w:t>7.1)</w:t>
            </w:r>
          </w:p>
        </w:tc>
        <w:tc>
          <w:tcPr>
            <w:tcW w:w="1501" w:type="dxa"/>
          </w:tcPr>
          <w:p w14:paraId="29105122" w14:textId="470ED9F5" w:rsidR="000756EB" w:rsidRDefault="004A4D88" w:rsidP="00DD5A54">
            <w:pPr>
              <w:pStyle w:val="TableCopy"/>
              <w:jc w:val="right"/>
            </w:pPr>
            <w:r>
              <w:t>–</w:t>
            </w:r>
          </w:p>
        </w:tc>
        <w:tc>
          <w:tcPr>
            <w:tcW w:w="1502" w:type="dxa"/>
          </w:tcPr>
          <w:p w14:paraId="720541E4" w14:textId="7E9CEA73" w:rsidR="000756EB" w:rsidRDefault="004A4D88" w:rsidP="00DD5A54">
            <w:pPr>
              <w:pStyle w:val="TableCopy"/>
              <w:jc w:val="right"/>
            </w:pPr>
            <w:r>
              <w:t>–</w:t>
            </w:r>
          </w:p>
        </w:tc>
        <w:tc>
          <w:tcPr>
            <w:tcW w:w="1501" w:type="dxa"/>
          </w:tcPr>
          <w:p w14:paraId="4EBDBF0A" w14:textId="484D6A4B" w:rsidR="000756EB" w:rsidRDefault="004A4D88" w:rsidP="00DD5A54">
            <w:pPr>
              <w:pStyle w:val="TableCopy"/>
              <w:jc w:val="right"/>
            </w:pPr>
            <w:r>
              <w:t>2,617</w:t>
            </w:r>
          </w:p>
        </w:tc>
        <w:tc>
          <w:tcPr>
            <w:tcW w:w="1502" w:type="dxa"/>
          </w:tcPr>
          <w:p w14:paraId="6056BC2C" w14:textId="5CF3A958" w:rsidR="000756EB" w:rsidRDefault="004A4D88" w:rsidP="00DD5A54">
            <w:pPr>
              <w:pStyle w:val="TableCopy"/>
              <w:jc w:val="right"/>
            </w:pPr>
            <w:r>
              <w:t>20,482</w:t>
            </w:r>
          </w:p>
        </w:tc>
      </w:tr>
      <w:tr w:rsidR="000756EB" w14:paraId="7D191E01" w14:textId="77777777" w:rsidTr="00DD5A54">
        <w:trPr>
          <w:cantSplit/>
        </w:trPr>
        <w:tc>
          <w:tcPr>
            <w:tcW w:w="4390" w:type="dxa"/>
          </w:tcPr>
          <w:p w14:paraId="45413551" w14:textId="6B127ABA" w:rsidR="000756EB" w:rsidRDefault="004A4D88" w:rsidP="00B23E3B">
            <w:pPr>
              <w:pStyle w:val="TableCopy"/>
            </w:pPr>
            <w:r>
              <w:t>Non-current</w:t>
            </w:r>
            <w:r w:rsidR="00A03629">
              <w:t xml:space="preserve"> </w:t>
            </w:r>
            <w:r>
              <w:t>borrowings</w:t>
            </w:r>
            <w:r w:rsidR="00A03629">
              <w:t xml:space="preserve"> </w:t>
            </w:r>
            <w:r>
              <w:t>lease</w:t>
            </w:r>
            <w:r w:rsidR="00A03629">
              <w:t xml:space="preserve"> </w:t>
            </w:r>
            <w:r>
              <w:t>liabilities</w:t>
            </w:r>
            <w:r w:rsidR="00A03629">
              <w:t xml:space="preserve"> </w:t>
            </w:r>
            <w:r>
              <w:t>(Note</w:t>
            </w:r>
            <w:r w:rsidR="00A03629">
              <w:t xml:space="preserve"> </w:t>
            </w:r>
            <w:r>
              <w:t>7.1)</w:t>
            </w:r>
          </w:p>
        </w:tc>
        <w:tc>
          <w:tcPr>
            <w:tcW w:w="1501" w:type="dxa"/>
          </w:tcPr>
          <w:p w14:paraId="71A73139" w14:textId="4836BF6C" w:rsidR="000756EB" w:rsidRDefault="004A4D88" w:rsidP="00DD5A54">
            <w:pPr>
              <w:pStyle w:val="TableCopy"/>
              <w:jc w:val="right"/>
            </w:pPr>
            <w:r>
              <w:t>–</w:t>
            </w:r>
          </w:p>
        </w:tc>
        <w:tc>
          <w:tcPr>
            <w:tcW w:w="1502" w:type="dxa"/>
          </w:tcPr>
          <w:p w14:paraId="36185EE1" w14:textId="61E2B2BB" w:rsidR="000756EB" w:rsidRDefault="004A4D88" w:rsidP="00DD5A54">
            <w:pPr>
              <w:pStyle w:val="TableCopy"/>
              <w:jc w:val="right"/>
            </w:pPr>
            <w:r>
              <w:t>–</w:t>
            </w:r>
          </w:p>
        </w:tc>
        <w:tc>
          <w:tcPr>
            <w:tcW w:w="1501" w:type="dxa"/>
          </w:tcPr>
          <w:p w14:paraId="5FFCAB4A" w14:textId="1103BCEA" w:rsidR="000756EB" w:rsidRDefault="004A4D88" w:rsidP="00DD5A54">
            <w:pPr>
              <w:pStyle w:val="TableCopy"/>
              <w:jc w:val="right"/>
            </w:pPr>
            <w:r>
              <w:t>11,724</w:t>
            </w:r>
          </w:p>
        </w:tc>
        <w:tc>
          <w:tcPr>
            <w:tcW w:w="1502" w:type="dxa"/>
          </w:tcPr>
          <w:p w14:paraId="7B440FA5" w14:textId="57731A86" w:rsidR="000756EB" w:rsidRDefault="004A4D88" w:rsidP="00DD5A54">
            <w:pPr>
              <w:pStyle w:val="TableCopy"/>
              <w:jc w:val="right"/>
            </w:pPr>
            <w:r>
              <w:t>279,504</w:t>
            </w:r>
          </w:p>
        </w:tc>
      </w:tr>
      <w:tr w:rsidR="000756EB" w:rsidRPr="00DD5A54" w14:paraId="78D6FBEE" w14:textId="77777777" w:rsidTr="00DD5A54">
        <w:trPr>
          <w:cantSplit/>
        </w:trPr>
        <w:tc>
          <w:tcPr>
            <w:tcW w:w="4390" w:type="dxa"/>
          </w:tcPr>
          <w:p w14:paraId="47A11050" w14:textId="009B9D9E" w:rsidR="000756EB" w:rsidRPr="00DD5A54" w:rsidRDefault="004A4D88" w:rsidP="00DD5A54">
            <w:pPr>
              <w:pStyle w:val="TableCopy"/>
              <w:rPr>
                <w:b/>
                <w:bCs/>
              </w:rPr>
            </w:pPr>
            <w:r w:rsidRPr="00DD5A54">
              <w:rPr>
                <w:b/>
                <w:bCs/>
              </w:rPr>
              <w:t>Total</w:t>
            </w:r>
            <w:r w:rsidR="00A03629" w:rsidRPr="00DD5A54">
              <w:rPr>
                <w:b/>
                <w:bCs/>
              </w:rPr>
              <w:t xml:space="preserve"> </w:t>
            </w:r>
          </w:p>
        </w:tc>
        <w:tc>
          <w:tcPr>
            <w:tcW w:w="1501" w:type="dxa"/>
          </w:tcPr>
          <w:p w14:paraId="08FBA1F6" w14:textId="63B77795" w:rsidR="000756EB" w:rsidRPr="00DD5A54" w:rsidRDefault="004A4D88" w:rsidP="00DD5A54">
            <w:pPr>
              <w:pStyle w:val="TableCopy"/>
              <w:jc w:val="right"/>
              <w:rPr>
                <w:b/>
                <w:bCs/>
              </w:rPr>
            </w:pPr>
            <w:r w:rsidRPr="00DD5A54">
              <w:rPr>
                <w:b/>
                <w:bCs/>
              </w:rPr>
              <w:t>–</w:t>
            </w:r>
          </w:p>
        </w:tc>
        <w:tc>
          <w:tcPr>
            <w:tcW w:w="1502" w:type="dxa"/>
          </w:tcPr>
          <w:p w14:paraId="38810620" w14:textId="369A4340" w:rsidR="000756EB" w:rsidRPr="00DD5A54" w:rsidRDefault="004A4D88" w:rsidP="00DD5A54">
            <w:pPr>
              <w:pStyle w:val="TableCopy"/>
              <w:jc w:val="right"/>
              <w:rPr>
                <w:b/>
                <w:bCs/>
              </w:rPr>
            </w:pPr>
            <w:r w:rsidRPr="00DD5A54">
              <w:rPr>
                <w:b/>
                <w:bCs/>
              </w:rPr>
              <w:t>–</w:t>
            </w:r>
          </w:p>
        </w:tc>
        <w:tc>
          <w:tcPr>
            <w:tcW w:w="1501" w:type="dxa"/>
          </w:tcPr>
          <w:p w14:paraId="48D4D676" w14:textId="04094942" w:rsidR="000756EB" w:rsidRPr="00DD5A54" w:rsidRDefault="004A4D88" w:rsidP="00DD5A54">
            <w:pPr>
              <w:pStyle w:val="TableCopy"/>
              <w:jc w:val="right"/>
              <w:rPr>
                <w:b/>
                <w:bCs/>
              </w:rPr>
            </w:pPr>
            <w:r w:rsidRPr="00DD5A54">
              <w:rPr>
                <w:b/>
                <w:bCs/>
              </w:rPr>
              <w:t>14,342</w:t>
            </w:r>
          </w:p>
        </w:tc>
        <w:tc>
          <w:tcPr>
            <w:tcW w:w="1502" w:type="dxa"/>
          </w:tcPr>
          <w:p w14:paraId="283448BB" w14:textId="734C26A4" w:rsidR="000756EB" w:rsidRPr="00DD5A54" w:rsidRDefault="004A4D88" w:rsidP="00DD5A54">
            <w:pPr>
              <w:pStyle w:val="TableCopy"/>
              <w:jc w:val="right"/>
              <w:rPr>
                <w:b/>
                <w:bCs/>
              </w:rPr>
            </w:pPr>
            <w:r w:rsidRPr="00DD5A54">
              <w:rPr>
                <w:b/>
                <w:bCs/>
              </w:rPr>
              <w:t>299,986</w:t>
            </w:r>
          </w:p>
        </w:tc>
      </w:tr>
    </w:tbl>
    <w:p w14:paraId="5AFB7789" w14:textId="5652CDF8" w:rsidR="00DD5A54" w:rsidRDefault="00DD5A54" w:rsidP="00DD5A54">
      <w:pPr>
        <w:pStyle w:val="FootnoteText"/>
        <w:spacing w:before="120"/>
        <w:rPr>
          <w:i/>
          <w:iCs/>
        </w:rPr>
      </w:pPr>
      <w:r>
        <w:t>(</w:t>
      </w:r>
      <w:proofErr w:type="spellStart"/>
      <w:r>
        <w:t>i</w:t>
      </w:r>
      <w:proofErr w:type="spellEnd"/>
      <w:r>
        <w:t>) Minimum future lease payments include the aggregate of all base payments and any guaranteed residual.</w:t>
      </w:r>
    </w:p>
    <w:p w14:paraId="207D650C" w14:textId="18A7C5FE" w:rsidR="000756EB" w:rsidRDefault="00DD5A54" w:rsidP="00DD5A54">
      <w:pPr>
        <w:pStyle w:val="FootnoteText"/>
        <w:spacing w:after="280"/>
      </w:pPr>
      <w:r>
        <w:t>(ii) Other lease liabilities include obligations that are recognised on the balance sheet, the future payments related to operating and</w:t>
      </w:r>
      <w:r>
        <w:rPr>
          <w:rFonts w:ascii="Cambria" w:hAnsi="Cambria" w:cs="Cambria"/>
        </w:rPr>
        <w:t xml:space="preserve"> </w:t>
      </w:r>
      <w:r>
        <w:t>lease</w:t>
      </w:r>
      <w:r>
        <w:rPr>
          <w:rFonts w:ascii="Cambria" w:hAnsi="Cambria" w:cs="Cambria"/>
        </w:rPr>
        <w:t xml:space="preserve"> </w:t>
      </w:r>
      <w:r>
        <w:t>commitments are disclosed in Note 7.5.</w:t>
      </w:r>
    </w:p>
    <w:p w14:paraId="0A33122E" w14:textId="5995EF9C" w:rsidR="000756EB" w:rsidRDefault="004A4D88" w:rsidP="00DD5A54">
      <w:pPr>
        <w:pStyle w:val="Heading2"/>
      </w:pPr>
      <w:bookmarkStart w:id="96" w:name="_Toc149911827"/>
      <w:r>
        <w:t>7.3</w:t>
      </w:r>
      <w:r w:rsidR="00DE38B5">
        <w:t xml:space="preserve"> </w:t>
      </w:r>
      <w:r>
        <w:t>Cash</w:t>
      </w:r>
      <w:r w:rsidR="00A03629">
        <w:t xml:space="preserve"> </w:t>
      </w:r>
      <w:r>
        <w:t>flow</w:t>
      </w:r>
      <w:r w:rsidR="00A03629">
        <w:t xml:space="preserve"> </w:t>
      </w:r>
      <w:r>
        <w:t>information</w:t>
      </w:r>
      <w:r w:rsidR="00A03629">
        <w:t xml:space="preserve"> </w:t>
      </w:r>
      <w:r>
        <w:t>and</w:t>
      </w:r>
      <w:r w:rsidR="00A03629">
        <w:t xml:space="preserve"> </w:t>
      </w:r>
      <w:r>
        <w:t>balances</w:t>
      </w:r>
      <w:bookmarkEnd w:id="96"/>
    </w:p>
    <w:p w14:paraId="644D30CC" w14:textId="5B42550F" w:rsidR="000756EB" w:rsidRDefault="004A4D88" w:rsidP="00DD5A54">
      <w:r>
        <w:t>Cash</w:t>
      </w:r>
      <w:r w:rsidR="00A03629">
        <w:t xml:space="preserve"> </w:t>
      </w:r>
      <w:r>
        <w:t>and</w:t>
      </w:r>
      <w:r w:rsidR="00A03629">
        <w:t xml:space="preserve"> </w:t>
      </w:r>
      <w:r>
        <w:t>deposits,</w:t>
      </w:r>
      <w:r w:rsidR="00A03629">
        <w:t xml:space="preserve"> </w:t>
      </w:r>
      <w:r>
        <w:t>including</w:t>
      </w:r>
      <w:r w:rsidR="00A03629">
        <w:t xml:space="preserve"> </w:t>
      </w:r>
      <w:r>
        <w:t>cash</w:t>
      </w:r>
      <w:r w:rsidR="00A03629">
        <w:t xml:space="preserve"> </w:t>
      </w:r>
      <w:r>
        <w:t>equivalents,</w:t>
      </w:r>
      <w:r w:rsidR="00A03629">
        <w:t xml:space="preserve"> </w:t>
      </w:r>
      <w:r>
        <w:t>comprise</w:t>
      </w:r>
      <w:r w:rsidR="00A03629">
        <w:t xml:space="preserve"> </w:t>
      </w:r>
      <w:r>
        <w:t>cash</w:t>
      </w:r>
      <w:r w:rsidR="00A03629">
        <w:t xml:space="preserve"> </w:t>
      </w:r>
      <w:r>
        <w:t>on</w:t>
      </w:r>
      <w:r w:rsidR="00A03629">
        <w:t xml:space="preserve"> </w:t>
      </w:r>
      <w:r>
        <w:t>hand</w:t>
      </w:r>
      <w:r w:rsidR="00A03629">
        <w:t xml:space="preserve"> </w:t>
      </w:r>
      <w:r>
        <w:t>and</w:t>
      </w:r>
      <w:r w:rsidR="00A03629">
        <w:t xml:space="preserve"> </w:t>
      </w:r>
      <w:r>
        <w:t>cash</w:t>
      </w:r>
      <w:r w:rsidR="00A03629">
        <w:t xml:space="preserve"> </w:t>
      </w:r>
      <w:r>
        <w:t>at</w:t>
      </w:r>
      <w:r w:rsidR="00A03629">
        <w:t xml:space="preserve"> </w:t>
      </w:r>
      <w:r>
        <w:t>bank,</w:t>
      </w:r>
      <w:r w:rsidR="00A03629">
        <w:t xml:space="preserve"> </w:t>
      </w:r>
      <w:r>
        <w:t>deposits</w:t>
      </w:r>
      <w:r w:rsidR="00A03629">
        <w:t xml:space="preserve"> </w:t>
      </w:r>
      <w:r>
        <w:t>at</w:t>
      </w:r>
      <w:r w:rsidR="00A03629">
        <w:t xml:space="preserve"> </w:t>
      </w:r>
      <w:r>
        <w:t>call</w:t>
      </w:r>
      <w:r w:rsidR="00A03629">
        <w:t xml:space="preserve"> </w:t>
      </w:r>
      <w:r>
        <w:t>and</w:t>
      </w:r>
      <w:r w:rsidR="00A03629">
        <w:t xml:space="preserve"> </w:t>
      </w:r>
      <w:r>
        <w:t>those</w:t>
      </w:r>
      <w:r w:rsidR="00A03629">
        <w:t xml:space="preserve"> </w:t>
      </w:r>
      <w:r>
        <w:t>highly</w:t>
      </w:r>
      <w:r w:rsidR="00A03629">
        <w:t xml:space="preserve"> </w:t>
      </w:r>
      <w:r>
        <w:t>liquid</w:t>
      </w:r>
      <w:r w:rsidR="00A03629">
        <w:t xml:space="preserve"> </w:t>
      </w:r>
      <w:r>
        <w:t>investments</w:t>
      </w:r>
      <w:r w:rsidR="00A03629">
        <w:t xml:space="preserve"> </w:t>
      </w:r>
      <w:r>
        <w:t>with</w:t>
      </w:r>
      <w:r w:rsidR="00A03629">
        <w:t xml:space="preserve"> </w:t>
      </w:r>
      <w:r>
        <w:t>an</w:t>
      </w:r>
      <w:r w:rsidR="00A03629">
        <w:t xml:space="preserve"> </w:t>
      </w:r>
      <w:r>
        <w:t>original</w:t>
      </w:r>
      <w:r w:rsidR="00A03629">
        <w:t xml:space="preserve"> </w:t>
      </w:r>
      <w:r>
        <w:t>maturity</w:t>
      </w:r>
      <w:r w:rsidR="00A03629">
        <w:t xml:space="preserve"> </w:t>
      </w:r>
      <w:r>
        <w:t>of</w:t>
      </w:r>
      <w:r w:rsidR="00A03629">
        <w:t xml:space="preserve"> </w:t>
      </w:r>
      <w:r>
        <w:t>three</w:t>
      </w:r>
      <w:r w:rsidR="00A03629">
        <w:t xml:space="preserve"> </w:t>
      </w:r>
      <w:r>
        <w:t>months</w:t>
      </w:r>
      <w:r w:rsidR="00A03629">
        <w:t xml:space="preserve"> </w:t>
      </w:r>
      <w:r>
        <w:t>or</w:t>
      </w:r>
      <w:r w:rsidR="00A03629">
        <w:t xml:space="preserve"> </w:t>
      </w:r>
      <w:r>
        <w:t>less,</w:t>
      </w:r>
      <w:r w:rsidR="00A03629">
        <w:t xml:space="preserve"> </w:t>
      </w:r>
      <w:r>
        <w:t>which</w:t>
      </w:r>
      <w:r w:rsidR="00A03629">
        <w:t xml:space="preserve"> </w:t>
      </w:r>
      <w:r>
        <w:t>are</w:t>
      </w:r>
      <w:r w:rsidR="00A03629">
        <w:t xml:space="preserve"> </w:t>
      </w:r>
      <w:r>
        <w:t>held</w:t>
      </w:r>
      <w:r w:rsidR="00A03629">
        <w:t xml:space="preserve"> </w:t>
      </w:r>
      <w:r>
        <w:t>for</w:t>
      </w:r>
      <w:r w:rsidR="00A03629">
        <w:t xml:space="preserve"> </w:t>
      </w:r>
      <w:r>
        <w:t>the</w:t>
      </w:r>
      <w:r w:rsidR="00A03629">
        <w:t xml:space="preserve"> </w:t>
      </w:r>
      <w:r>
        <w:t>purpose</w:t>
      </w:r>
      <w:r w:rsidR="00A03629">
        <w:t xml:space="preserve"> </w:t>
      </w:r>
      <w:r>
        <w:t>of</w:t>
      </w:r>
      <w:r w:rsidR="00A03629">
        <w:t xml:space="preserve"> </w:t>
      </w:r>
      <w:r>
        <w:t>meeting</w:t>
      </w:r>
      <w:r w:rsidR="00A03629">
        <w:t xml:space="preserve"> </w:t>
      </w:r>
      <w:r>
        <w:t>short-term</w:t>
      </w:r>
      <w:r w:rsidR="00A03629">
        <w:t xml:space="preserve"> </w:t>
      </w:r>
      <w:r>
        <w:t>cash</w:t>
      </w:r>
      <w:r w:rsidR="00A03629">
        <w:t xml:space="preserve"> </w:t>
      </w:r>
      <w:r>
        <w:t>commitments</w:t>
      </w:r>
      <w:r w:rsidR="00A03629">
        <w:t xml:space="preserve"> </w:t>
      </w:r>
      <w:r>
        <w:t>rather</w:t>
      </w:r>
      <w:r w:rsidR="00A03629">
        <w:t xml:space="preserve"> </w:t>
      </w:r>
      <w:r>
        <w:t>than</w:t>
      </w:r>
      <w:r w:rsidR="00A03629">
        <w:t xml:space="preserve"> </w:t>
      </w:r>
      <w:r>
        <w:t>for</w:t>
      </w:r>
      <w:r w:rsidR="00A03629">
        <w:t xml:space="preserve"> </w:t>
      </w:r>
      <w:r>
        <w:t>investment</w:t>
      </w:r>
      <w:r w:rsidR="00A03629">
        <w:t xml:space="preserve"> </w:t>
      </w:r>
      <w:r>
        <w:t>purposes,</w:t>
      </w:r>
      <w:r w:rsidR="00A03629">
        <w:t xml:space="preserve"> </w:t>
      </w:r>
      <w:r>
        <w:t>and</w:t>
      </w:r>
      <w:r w:rsidR="00A03629">
        <w:t xml:space="preserve"> </w:t>
      </w:r>
      <w:r>
        <w:t>which</w:t>
      </w:r>
      <w:r w:rsidR="00A03629">
        <w:t xml:space="preserve"> </w:t>
      </w:r>
      <w:r>
        <w:t>are</w:t>
      </w:r>
      <w:r w:rsidR="00A03629">
        <w:t xml:space="preserve"> </w:t>
      </w:r>
      <w:r>
        <w:t>readily</w:t>
      </w:r>
      <w:r w:rsidR="00A03629">
        <w:t xml:space="preserve"> </w:t>
      </w:r>
      <w:r>
        <w:t>convertible</w:t>
      </w:r>
      <w:r w:rsidR="00A03629">
        <w:t xml:space="preserve"> </w:t>
      </w:r>
      <w:r>
        <w:t>to</w:t>
      </w:r>
      <w:r w:rsidR="00A03629">
        <w:t xml:space="preserve"> </w:t>
      </w:r>
      <w:r>
        <w:t>known</w:t>
      </w:r>
      <w:r w:rsidR="00A03629">
        <w:t xml:space="preserve"> </w:t>
      </w:r>
      <w:r>
        <w:t>amounts</w:t>
      </w:r>
      <w:r w:rsidR="00A03629">
        <w:t xml:space="preserve"> </w:t>
      </w:r>
      <w:r>
        <w:t>of</w:t>
      </w:r>
      <w:r w:rsidR="00A03629">
        <w:t xml:space="preserve"> </w:t>
      </w:r>
      <w:r>
        <w:t>cash</w:t>
      </w:r>
      <w:r w:rsidR="00A03629">
        <w:t xml:space="preserve"> </w:t>
      </w:r>
      <w:r>
        <w:t>and</w:t>
      </w:r>
      <w:r w:rsidR="00A03629">
        <w:t xml:space="preserve"> </w:t>
      </w:r>
      <w:r>
        <w:t>are</w:t>
      </w:r>
      <w:r w:rsidR="00A03629">
        <w:t xml:space="preserve"> </w:t>
      </w:r>
      <w:r>
        <w:t>subject</w:t>
      </w:r>
      <w:r w:rsidR="00A03629">
        <w:t xml:space="preserve"> </w:t>
      </w:r>
      <w:r>
        <w:t>to</w:t>
      </w:r>
      <w:r w:rsidR="00A03629">
        <w:t xml:space="preserve"> </w:t>
      </w:r>
      <w:r>
        <w:t>an</w:t>
      </w:r>
      <w:r w:rsidR="00A03629">
        <w:t xml:space="preserve"> </w:t>
      </w:r>
      <w:r>
        <w:t>insignificant</w:t>
      </w:r>
      <w:r w:rsidR="00A03629">
        <w:t xml:space="preserve"> </w:t>
      </w:r>
      <w:r>
        <w:t>risk</w:t>
      </w:r>
      <w:r w:rsidR="00A03629">
        <w:t xml:space="preserve"> </w:t>
      </w:r>
      <w:r>
        <w:t>of</w:t>
      </w:r>
      <w:r w:rsidR="00A03629">
        <w:t xml:space="preserve"> </w:t>
      </w:r>
      <w:r>
        <w:t>changes</w:t>
      </w:r>
      <w:r w:rsidR="00A03629">
        <w:t xml:space="preserve"> </w:t>
      </w:r>
      <w:r>
        <w:t>in</w:t>
      </w:r>
      <w:r w:rsidR="00A03629">
        <w:t xml:space="preserve"> </w:t>
      </w:r>
      <w:r>
        <w:t>value.</w:t>
      </w:r>
    </w:p>
    <w:p w14:paraId="0055E3E5" w14:textId="19B97624" w:rsidR="000756EB" w:rsidRDefault="004A4D88" w:rsidP="00DD5A54">
      <w:proofErr w:type="gramStart"/>
      <w:r>
        <w:t>For</w:t>
      </w:r>
      <w:r w:rsidR="00A03629">
        <w:t xml:space="preserve"> </w:t>
      </w:r>
      <w:r>
        <w:t>the</w:t>
      </w:r>
      <w:r w:rsidR="00A03629">
        <w:t xml:space="preserve"> </w:t>
      </w:r>
      <w:r>
        <w:t>purpose</w:t>
      </w:r>
      <w:r w:rsidR="00A03629">
        <w:t xml:space="preserve"> </w:t>
      </w:r>
      <w:r>
        <w:t>of</w:t>
      </w:r>
      <w:proofErr w:type="gramEnd"/>
      <w:r w:rsidR="00A03629">
        <w:t xml:space="preserve"> </w:t>
      </w:r>
      <w:r>
        <w:t>the</w:t>
      </w:r>
      <w:r w:rsidR="00A03629">
        <w:t xml:space="preserve"> </w:t>
      </w:r>
      <w:r>
        <w:t>cash</w:t>
      </w:r>
      <w:r w:rsidR="00A03629">
        <w:t xml:space="preserve"> </w:t>
      </w:r>
      <w:r>
        <w:t>flow</w:t>
      </w:r>
      <w:r w:rsidR="00A03629">
        <w:t xml:space="preserve"> </w:t>
      </w:r>
      <w:r>
        <w:t>statement,</w:t>
      </w:r>
      <w:r w:rsidR="00A03629">
        <w:t xml:space="preserve"> </w:t>
      </w:r>
      <w:r>
        <w:t>cash</w:t>
      </w:r>
      <w:r w:rsidR="00A03629">
        <w:t xml:space="preserve"> </w:t>
      </w:r>
      <w:r>
        <w:t>includes</w:t>
      </w:r>
      <w:r w:rsidR="00A03629">
        <w:t xml:space="preserve"> </w:t>
      </w:r>
      <w:r>
        <w:t>cash-on-hand</w:t>
      </w:r>
      <w:r w:rsidR="00A03629">
        <w:t xml:space="preserve"> </w:t>
      </w:r>
      <w:r>
        <w:t>and</w:t>
      </w:r>
      <w:r w:rsidR="00A03629">
        <w:t xml:space="preserve"> </w:t>
      </w:r>
      <w:r>
        <w:t>in</w:t>
      </w:r>
      <w:r w:rsidR="00A03629">
        <w:t xml:space="preserve"> </w:t>
      </w:r>
      <w:r>
        <w:t>bank</w:t>
      </w:r>
      <w:r w:rsidR="00A03629">
        <w:t xml:space="preserve"> </w:t>
      </w:r>
      <w:r>
        <w:t>(including</w:t>
      </w:r>
      <w:r w:rsidR="00A03629">
        <w:t xml:space="preserve"> </w:t>
      </w:r>
      <w:r>
        <w:t>funds</w:t>
      </w:r>
      <w:r w:rsidR="00A03629">
        <w:t xml:space="preserve"> </w:t>
      </w:r>
      <w:r>
        <w:t>held</w:t>
      </w:r>
      <w:r w:rsidR="00A03629">
        <w:t xml:space="preserve"> </w:t>
      </w:r>
      <w:r>
        <w:t>in</w:t>
      </w:r>
      <w:r w:rsidR="00A03629">
        <w:t xml:space="preserve"> </w:t>
      </w:r>
      <w:r>
        <w:t>trust),</w:t>
      </w:r>
      <w:r w:rsidR="00A03629">
        <w:t xml:space="preserve"> </w:t>
      </w:r>
      <w:r>
        <w:t>net</w:t>
      </w:r>
      <w:r w:rsidR="00A03629">
        <w:t xml:space="preserve"> </w:t>
      </w:r>
      <w:r>
        <w:t>of</w:t>
      </w:r>
      <w:r w:rsidR="00A03629">
        <w:t xml:space="preserve"> </w:t>
      </w:r>
      <w:r>
        <w:t>outstanding</w:t>
      </w:r>
      <w:r w:rsidR="00A03629">
        <w:t xml:space="preserve"> </w:t>
      </w:r>
      <w:r>
        <w:t>bank</w:t>
      </w:r>
      <w:r w:rsidR="00A03629">
        <w:t xml:space="preserve"> </w:t>
      </w:r>
      <w:r>
        <w:t>overdrafts.</w:t>
      </w:r>
      <w:r w:rsidR="00A03629">
        <w:t xml:space="preserve"> </w:t>
      </w:r>
      <w:r>
        <w:t>Cash</w:t>
      </w:r>
      <w:r w:rsidR="00A03629">
        <w:t xml:space="preserve"> </w:t>
      </w:r>
      <w:r>
        <w:t>at</w:t>
      </w:r>
      <w:r w:rsidR="00A03629">
        <w:t xml:space="preserve"> </w:t>
      </w:r>
      <w:r>
        <w:t>the</w:t>
      </w:r>
      <w:r w:rsidR="00A03629">
        <w:t xml:space="preserve"> </w:t>
      </w:r>
      <w:r>
        <w:t>end</w:t>
      </w:r>
      <w:r w:rsidR="00A03629">
        <w:t xml:space="preserve"> </w:t>
      </w:r>
      <w:r>
        <w:t>of</w:t>
      </w:r>
      <w:r w:rsidR="00A03629">
        <w:t xml:space="preserve"> </w:t>
      </w:r>
      <w:r>
        <w:t>the</w:t>
      </w:r>
      <w:r w:rsidR="00A03629">
        <w:t xml:space="preserve"> </w:t>
      </w:r>
      <w:r>
        <w:t>financial</w:t>
      </w:r>
      <w:r w:rsidR="00A03629">
        <w:t xml:space="preserve"> </w:t>
      </w:r>
      <w:r>
        <w:t>year</w:t>
      </w:r>
      <w:r w:rsidR="00A03629">
        <w:t xml:space="preserve"> </w:t>
      </w:r>
      <w:r>
        <w:t>as</w:t>
      </w:r>
      <w:r w:rsidR="00A03629">
        <w:t xml:space="preserve"> </w:t>
      </w:r>
      <w:r>
        <w:t>shown</w:t>
      </w:r>
      <w:r w:rsidR="00A03629">
        <w:t xml:space="preserve"> </w:t>
      </w:r>
      <w:r>
        <w:t>in</w:t>
      </w:r>
      <w:r w:rsidR="00A03629">
        <w:t xml:space="preserve"> </w:t>
      </w:r>
      <w:r>
        <w:t>the</w:t>
      </w:r>
      <w:r w:rsidR="00A03629">
        <w:t xml:space="preserve"> </w:t>
      </w:r>
      <w:r>
        <w:t>cash</w:t>
      </w:r>
      <w:r w:rsidR="00A03629">
        <w:t xml:space="preserve"> </w:t>
      </w:r>
      <w:r>
        <w:t>flow</w:t>
      </w:r>
      <w:r w:rsidR="00A03629">
        <w:t xml:space="preserve"> </w:t>
      </w:r>
      <w:r>
        <w:t>statement</w:t>
      </w:r>
      <w:r w:rsidR="00A03629">
        <w:t xml:space="preserve"> </w:t>
      </w:r>
      <w:r>
        <w:t>is</w:t>
      </w:r>
      <w:r w:rsidR="00A03629">
        <w:t xml:space="preserve"> </w:t>
      </w:r>
      <w:r>
        <w:t>reconciled</w:t>
      </w:r>
      <w:r w:rsidR="00A03629">
        <w:t xml:space="preserve"> </w:t>
      </w:r>
      <w:r>
        <w:t>to</w:t>
      </w:r>
      <w:r w:rsidR="00A03629">
        <w:t xml:space="preserve"> </w:t>
      </w:r>
      <w:r>
        <w:t>the</w:t>
      </w:r>
      <w:r w:rsidR="00A03629">
        <w:t xml:space="preserve"> </w:t>
      </w:r>
      <w:r>
        <w:t>related</w:t>
      </w:r>
      <w:r w:rsidR="00A03629">
        <w:t xml:space="preserve"> </w:t>
      </w:r>
      <w:r>
        <w:t>items</w:t>
      </w:r>
      <w:r w:rsidR="00A03629">
        <w:t xml:space="preserve"> </w:t>
      </w:r>
      <w:r>
        <w:t>in</w:t>
      </w:r>
      <w:r w:rsidR="00A03629">
        <w:t xml:space="preserve"> </w:t>
      </w:r>
      <w:r>
        <w:t>the</w:t>
      </w:r>
      <w:r w:rsidR="00A03629">
        <w:t xml:space="preserve"> </w:t>
      </w:r>
      <w:r>
        <w:t>balance</w:t>
      </w:r>
      <w:r w:rsidR="00A03629">
        <w:t xml:space="preserve"> </w:t>
      </w:r>
      <w:r>
        <w:t>sheet</w:t>
      </w:r>
      <w:r w:rsidR="00A03629">
        <w:t xml:space="preserve"> </w:t>
      </w:r>
      <w:r>
        <w:t>as</w:t>
      </w:r>
      <w:r w:rsidR="00A03629">
        <w:t xml:space="preserve"> </w:t>
      </w:r>
      <w:r>
        <w:t>follows:</w:t>
      </w:r>
    </w:p>
    <w:p w14:paraId="7A147D3D" w14:textId="46BEF89F" w:rsidR="000756EB" w:rsidRDefault="004A4D88" w:rsidP="00DD5A54">
      <w:pPr>
        <w:pStyle w:val="Heading3"/>
      </w:pPr>
      <w:r>
        <w:lastRenderedPageBreak/>
        <w:t>7.3.1</w:t>
      </w:r>
      <w:r w:rsidR="00DE38B5">
        <w:t xml:space="preserve"> </w:t>
      </w:r>
      <w:r>
        <w:t>Cash</w:t>
      </w:r>
      <w:r w:rsidR="00A03629">
        <w:t xml:space="preserve"> </w:t>
      </w:r>
      <w:r>
        <w:t>and</w:t>
      </w:r>
      <w:r w:rsidR="00A03629">
        <w:t xml:space="preserve"> </w:t>
      </w:r>
      <w:r>
        <w:t>cash</w:t>
      </w:r>
      <w:r w:rsidR="00A03629">
        <w:t xml:space="preserve"> </w:t>
      </w:r>
      <w:r>
        <w:t>equivalents</w:t>
      </w:r>
    </w:p>
    <w:tbl>
      <w:tblPr>
        <w:tblStyle w:val="TableGrid"/>
        <w:tblW w:w="10170" w:type="dxa"/>
        <w:tblLayout w:type="fixed"/>
        <w:tblLook w:val="0020" w:firstRow="1" w:lastRow="0" w:firstColumn="0" w:lastColumn="0" w:noHBand="0" w:noVBand="0"/>
      </w:tblPr>
      <w:tblGrid>
        <w:gridCol w:w="6236"/>
        <w:gridCol w:w="1967"/>
        <w:gridCol w:w="1967"/>
      </w:tblGrid>
      <w:tr w:rsidR="000756EB" w:rsidRPr="00DD5A54" w14:paraId="1DDD493A" w14:textId="77777777" w:rsidTr="00DD5A54">
        <w:trPr>
          <w:trHeight w:val="113"/>
        </w:trPr>
        <w:tc>
          <w:tcPr>
            <w:tcW w:w="6236" w:type="dxa"/>
          </w:tcPr>
          <w:p w14:paraId="09F971E6" w14:textId="77777777" w:rsidR="000756EB" w:rsidRPr="00DD5A54" w:rsidRDefault="000756EB" w:rsidP="00DD5A54">
            <w:pPr>
              <w:pStyle w:val="TableColumnHeading"/>
            </w:pPr>
            <w:bookmarkStart w:id="97" w:name="ColumnTitles_57"/>
            <w:bookmarkEnd w:id="97"/>
          </w:p>
        </w:tc>
        <w:tc>
          <w:tcPr>
            <w:tcW w:w="1967" w:type="dxa"/>
          </w:tcPr>
          <w:p w14:paraId="41934452" w14:textId="71AE55EF" w:rsidR="000756EB" w:rsidRPr="00DD5A54" w:rsidRDefault="004A4D88" w:rsidP="00DD5A54">
            <w:pPr>
              <w:pStyle w:val="TableColumnHeading"/>
              <w:jc w:val="right"/>
            </w:pPr>
            <w:r w:rsidRPr="00DD5A54">
              <w:t>2023</w:t>
            </w:r>
            <w:r w:rsidR="00A03629" w:rsidRPr="00DD5A54">
              <w:t xml:space="preserve"> </w:t>
            </w:r>
            <w:r w:rsidR="00DD5A54" w:rsidRPr="00DD5A54">
              <w:t>($</w:t>
            </w:r>
            <w:r w:rsidR="00DD5A54">
              <w:t> </w:t>
            </w:r>
            <w:r w:rsidR="00DD5A54" w:rsidRPr="00DD5A54">
              <w:t>thousand)</w:t>
            </w:r>
          </w:p>
        </w:tc>
        <w:tc>
          <w:tcPr>
            <w:tcW w:w="1967" w:type="dxa"/>
          </w:tcPr>
          <w:p w14:paraId="49B0C75E" w14:textId="1CDBE36F" w:rsidR="000756EB" w:rsidRPr="00DD5A54" w:rsidRDefault="004A4D88" w:rsidP="00DD5A54">
            <w:pPr>
              <w:pStyle w:val="TableColumnHeading"/>
              <w:jc w:val="right"/>
            </w:pPr>
            <w:r w:rsidRPr="00DD5A54">
              <w:t>2022</w:t>
            </w:r>
            <w:r w:rsidR="00DD5A54">
              <w:t xml:space="preserve"> </w:t>
            </w:r>
            <w:r w:rsidR="00DD5A54" w:rsidRPr="00DD5A54">
              <w:t>($</w:t>
            </w:r>
            <w:r w:rsidR="00DD5A54">
              <w:t> </w:t>
            </w:r>
            <w:r w:rsidR="00DD5A54" w:rsidRPr="00DD5A54">
              <w:t>thousand)</w:t>
            </w:r>
          </w:p>
        </w:tc>
      </w:tr>
      <w:tr w:rsidR="000756EB" w14:paraId="062D1A5D" w14:textId="77777777" w:rsidTr="00DD5A54">
        <w:trPr>
          <w:trHeight w:val="113"/>
        </w:trPr>
        <w:tc>
          <w:tcPr>
            <w:tcW w:w="6236" w:type="dxa"/>
          </w:tcPr>
          <w:p w14:paraId="4D4EF502" w14:textId="1059D418" w:rsidR="000756EB" w:rsidRDefault="004A4D88" w:rsidP="00DD5A54">
            <w:pPr>
              <w:pStyle w:val="TableCopy"/>
            </w:pPr>
            <w:r>
              <w:t>Cash</w:t>
            </w:r>
            <w:r w:rsidR="00A03629">
              <w:t xml:space="preserve"> </w:t>
            </w:r>
            <w:r>
              <w:t>and</w:t>
            </w:r>
            <w:r w:rsidR="00A03629">
              <w:t xml:space="preserve"> </w:t>
            </w:r>
            <w:proofErr w:type="gramStart"/>
            <w:r>
              <w:t>short</w:t>
            </w:r>
            <w:r w:rsidR="00A03629">
              <w:t xml:space="preserve"> </w:t>
            </w:r>
            <w:r>
              <w:t>term</w:t>
            </w:r>
            <w:proofErr w:type="gramEnd"/>
            <w:r w:rsidR="00A03629">
              <w:t xml:space="preserve"> </w:t>
            </w:r>
            <w:r>
              <w:t>deposits</w:t>
            </w:r>
            <w:r w:rsidR="00A03629">
              <w:t xml:space="preserve"> </w:t>
            </w:r>
          </w:p>
        </w:tc>
        <w:tc>
          <w:tcPr>
            <w:tcW w:w="1967" w:type="dxa"/>
          </w:tcPr>
          <w:p w14:paraId="691A3DBE" w14:textId="4B734E39" w:rsidR="000756EB" w:rsidRDefault="004A4D88" w:rsidP="00DD5A54">
            <w:pPr>
              <w:pStyle w:val="TableCopy"/>
              <w:jc w:val="right"/>
            </w:pPr>
            <w:r>
              <w:t>3,291</w:t>
            </w:r>
          </w:p>
        </w:tc>
        <w:tc>
          <w:tcPr>
            <w:tcW w:w="1967" w:type="dxa"/>
          </w:tcPr>
          <w:p w14:paraId="2EBF9112" w14:textId="218CC93C" w:rsidR="000756EB" w:rsidRDefault="004A4D88" w:rsidP="00DD5A54">
            <w:pPr>
              <w:pStyle w:val="TableCopy"/>
              <w:jc w:val="right"/>
            </w:pPr>
            <w:r>
              <w:t>9,637</w:t>
            </w:r>
          </w:p>
        </w:tc>
      </w:tr>
      <w:tr w:rsidR="000756EB" w14:paraId="19D9E347" w14:textId="77777777" w:rsidTr="00DD5A54">
        <w:trPr>
          <w:trHeight w:val="113"/>
        </w:trPr>
        <w:tc>
          <w:tcPr>
            <w:tcW w:w="6236" w:type="dxa"/>
          </w:tcPr>
          <w:p w14:paraId="0B590574" w14:textId="66D23757" w:rsidR="000756EB" w:rsidRDefault="004A4D88" w:rsidP="00DD5A54">
            <w:pPr>
              <w:pStyle w:val="TableCopy"/>
            </w:pPr>
            <w:r>
              <w:t>Funds</w:t>
            </w:r>
            <w:r w:rsidR="00A03629">
              <w:t xml:space="preserve"> </w:t>
            </w:r>
            <w:r>
              <w:t>held</w:t>
            </w:r>
            <w:r w:rsidR="00A03629">
              <w:t xml:space="preserve"> </w:t>
            </w:r>
            <w:r>
              <w:t>in</w:t>
            </w:r>
            <w:r w:rsidR="00A03629">
              <w:t xml:space="preserve"> </w:t>
            </w:r>
            <w:r>
              <w:t>trust</w:t>
            </w:r>
          </w:p>
        </w:tc>
        <w:tc>
          <w:tcPr>
            <w:tcW w:w="1967" w:type="dxa"/>
          </w:tcPr>
          <w:p w14:paraId="7132F84C" w14:textId="3110C52F" w:rsidR="000756EB" w:rsidRDefault="004A4D88" w:rsidP="00DD5A54">
            <w:pPr>
              <w:pStyle w:val="TableCopy"/>
              <w:jc w:val="right"/>
            </w:pPr>
            <w:r>
              <w:t>318,842</w:t>
            </w:r>
          </w:p>
        </w:tc>
        <w:tc>
          <w:tcPr>
            <w:tcW w:w="1967" w:type="dxa"/>
          </w:tcPr>
          <w:p w14:paraId="4B6C6E8D" w14:textId="6B69735D" w:rsidR="000756EB" w:rsidRDefault="004A4D88" w:rsidP="00DD5A54">
            <w:pPr>
              <w:pStyle w:val="TableCopy"/>
              <w:jc w:val="right"/>
            </w:pPr>
            <w:r>
              <w:t>407,123</w:t>
            </w:r>
          </w:p>
        </w:tc>
      </w:tr>
      <w:tr w:rsidR="000756EB" w:rsidRPr="00DD5A54" w14:paraId="51A4C0DD" w14:textId="77777777" w:rsidTr="00DD5A54">
        <w:trPr>
          <w:trHeight w:val="113"/>
        </w:trPr>
        <w:tc>
          <w:tcPr>
            <w:tcW w:w="6236" w:type="dxa"/>
          </w:tcPr>
          <w:p w14:paraId="56F0DC47" w14:textId="57D68878" w:rsidR="000756EB" w:rsidRPr="00DD5A54" w:rsidRDefault="004A4D88" w:rsidP="00DD5A54">
            <w:pPr>
              <w:pStyle w:val="TableCopy"/>
              <w:rPr>
                <w:b/>
                <w:bCs/>
              </w:rPr>
            </w:pPr>
            <w:r w:rsidRPr="00DD5A54">
              <w:rPr>
                <w:b/>
                <w:bCs/>
              </w:rPr>
              <w:t>Balance</w:t>
            </w:r>
            <w:r w:rsidR="00A03629" w:rsidRPr="00DD5A54">
              <w:rPr>
                <w:b/>
                <w:bCs/>
              </w:rPr>
              <w:t xml:space="preserve"> </w:t>
            </w:r>
            <w:r w:rsidRPr="00DD5A54">
              <w:rPr>
                <w:b/>
                <w:bCs/>
              </w:rPr>
              <w:t>as</w:t>
            </w:r>
            <w:r w:rsidR="00A03629" w:rsidRPr="00DD5A54">
              <w:rPr>
                <w:b/>
                <w:bCs/>
              </w:rPr>
              <w:t xml:space="preserve"> </w:t>
            </w:r>
            <w:r w:rsidRPr="00DD5A54">
              <w:rPr>
                <w:b/>
                <w:bCs/>
              </w:rPr>
              <w:t>per</w:t>
            </w:r>
            <w:r w:rsidR="00A03629" w:rsidRPr="00DD5A54">
              <w:rPr>
                <w:b/>
                <w:bCs/>
              </w:rPr>
              <w:t xml:space="preserve"> </w:t>
            </w:r>
            <w:r w:rsidRPr="00DD5A54">
              <w:rPr>
                <w:b/>
                <w:bCs/>
              </w:rPr>
              <w:t>cash</w:t>
            </w:r>
            <w:r w:rsidR="00A03629" w:rsidRPr="00DD5A54">
              <w:rPr>
                <w:b/>
                <w:bCs/>
              </w:rPr>
              <w:t xml:space="preserve"> </w:t>
            </w:r>
            <w:r w:rsidRPr="00DD5A54">
              <w:rPr>
                <w:b/>
                <w:bCs/>
              </w:rPr>
              <w:t>flow</w:t>
            </w:r>
            <w:r w:rsidR="00A03629" w:rsidRPr="00DD5A54">
              <w:rPr>
                <w:b/>
                <w:bCs/>
              </w:rPr>
              <w:t xml:space="preserve"> </w:t>
            </w:r>
            <w:r w:rsidRPr="00DD5A54">
              <w:rPr>
                <w:b/>
                <w:bCs/>
              </w:rPr>
              <w:t>statement</w:t>
            </w:r>
          </w:p>
        </w:tc>
        <w:tc>
          <w:tcPr>
            <w:tcW w:w="1967" w:type="dxa"/>
          </w:tcPr>
          <w:p w14:paraId="713F868D" w14:textId="477BA814" w:rsidR="000756EB" w:rsidRPr="00DD5A54" w:rsidRDefault="004A4D88" w:rsidP="00DD5A54">
            <w:pPr>
              <w:pStyle w:val="TableCopy"/>
              <w:jc w:val="right"/>
              <w:rPr>
                <w:b/>
                <w:bCs/>
              </w:rPr>
            </w:pPr>
            <w:r w:rsidRPr="00DD5A54">
              <w:rPr>
                <w:b/>
                <w:bCs/>
              </w:rPr>
              <w:t>322,133</w:t>
            </w:r>
          </w:p>
        </w:tc>
        <w:tc>
          <w:tcPr>
            <w:tcW w:w="1967" w:type="dxa"/>
          </w:tcPr>
          <w:p w14:paraId="2D19CB9B" w14:textId="6DEBD351" w:rsidR="000756EB" w:rsidRPr="00DD5A54" w:rsidRDefault="004A4D88" w:rsidP="00DD5A54">
            <w:pPr>
              <w:pStyle w:val="TableCopy"/>
              <w:jc w:val="right"/>
              <w:rPr>
                <w:b/>
                <w:bCs/>
              </w:rPr>
            </w:pPr>
            <w:r w:rsidRPr="00DD5A54">
              <w:rPr>
                <w:b/>
                <w:bCs/>
              </w:rPr>
              <w:t>416,760</w:t>
            </w:r>
          </w:p>
        </w:tc>
      </w:tr>
    </w:tbl>
    <w:p w14:paraId="3887CA08" w14:textId="77777777" w:rsidR="000756EB" w:rsidRDefault="000756EB" w:rsidP="00DD5A54"/>
    <w:p w14:paraId="5EF099DE" w14:textId="7D83B407" w:rsidR="000756EB" w:rsidRDefault="004A4D88" w:rsidP="00DD5A54">
      <w:r>
        <w:t>Due</w:t>
      </w:r>
      <w:r w:rsidR="00A03629">
        <w:t xml:space="preserve"> </w:t>
      </w:r>
      <w:r>
        <w:t>to</w:t>
      </w:r>
      <w:r w:rsidR="00A03629">
        <w:t xml:space="preserve"> </w:t>
      </w:r>
      <w:r>
        <w:t>the</w:t>
      </w:r>
      <w:r w:rsidR="00A03629">
        <w:t xml:space="preserve"> </w:t>
      </w:r>
      <w:r>
        <w:t>State</w:t>
      </w:r>
      <w:r w:rsidR="00A03629">
        <w:t xml:space="preserve"> </w:t>
      </w:r>
      <w:r>
        <w:t>of</w:t>
      </w:r>
      <w:r w:rsidR="00A03629">
        <w:t xml:space="preserve"> </w:t>
      </w:r>
      <w:r>
        <w:t>Victoria’s</w:t>
      </w:r>
      <w:r w:rsidR="00A03629">
        <w:t xml:space="preserve"> </w:t>
      </w:r>
      <w:r>
        <w:t>investment</w:t>
      </w:r>
      <w:r w:rsidR="00A03629">
        <w:t xml:space="preserve"> </w:t>
      </w:r>
      <w:r>
        <w:t>policy</w:t>
      </w:r>
      <w:r w:rsidR="00A03629">
        <w:t xml:space="preserve"> </w:t>
      </w:r>
      <w:r>
        <w:t>and</w:t>
      </w:r>
      <w:r w:rsidR="00A03629">
        <w:t xml:space="preserve"> </w:t>
      </w:r>
      <w:r>
        <w:t>government</w:t>
      </w:r>
      <w:r w:rsidR="00A03629">
        <w:t xml:space="preserve"> </w:t>
      </w:r>
      <w:r>
        <w:t>funding</w:t>
      </w:r>
      <w:r w:rsidR="00A03629">
        <w:t xml:space="preserve"> </w:t>
      </w:r>
      <w:r>
        <w:t>arrangements,</w:t>
      </w:r>
      <w:r w:rsidR="00A03629">
        <w:t xml:space="preserve"> </w:t>
      </w:r>
      <w:r>
        <w:t>DJSIR</w:t>
      </w:r>
      <w:r w:rsidR="00A03629">
        <w:t xml:space="preserve"> </w:t>
      </w:r>
      <w:r>
        <w:t>does</w:t>
      </w:r>
      <w:r w:rsidR="00A03629">
        <w:t xml:space="preserve"> </w:t>
      </w:r>
      <w:r>
        <w:t>not</w:t>
      </w:r>
      <w:r w:rsidR="00A03629">
        <w:t xml:space="preserve"> </w:t>
      </w:r>
      <w:r>
        <w:t>hold</w:t>
      </w:r>
      <w:r w:rsidR="00A03629">
        <w:t xml:space="preserve"> </w:t>
      </w:r>
      <w:r>
        <w:t>a</w:t>
      </w:r>
      <w:r w:rsidR="00A03629">
        <w:t xml:space="preserve"> </w:t>
      </w:r>
      <w:r>
        <w:t>large</w:t>
      </w:r>
      <w:r w:rsidR="00A03629">
        <w:t xml:space="preserve"> </w:t>
      </w:r>
      <w:r>
        <w:t>cash</w:t>
      </w:r>
      <w:r w:rsidR="00A03629">
        <w:t xml:space="preserve"> </w:t>
      </w:r>
      <w:r>
        <w:t>reserve</w:t>
      </w:r>
      <w:r w:rsidR="00A03629">
        <w:t xml:space="preserve"> </w:t>
      </w:r>
      <w:r>
        <w:t>in</w:t>
      </w:r>
      <w:r w:rsidR="00A03629">
        <w:t xml:space="preserve"> </w:t>
      </w:r>
      <w:r>
        <w:t>its</w:t>
      </w:r>
      <w:r w:rsidR="00A03629">
        <w:t xml:space="preserve"> </w:t>
      </w:r>
      <w:r>
        <w:t>bank</w:t>
      </w:r>
      <w:r w:rsidR="00A03629">
        <w:t xml:space="preserve"> </w:t>
      </w:r>
      <w:r>
        <w:t>accounts.</w:t>
      </w:r>
      <w:r w:rsidR="00A03629">
        <w:t xml:space="preserve"> </w:t>
      </w:r>
      <w:r>
        <w:t>Cash</w:t>
      </w:r>
      <w:r w:rsidR="00A03629">
        <w:t xml:space="preserve"> </w:t>
      </w:r>
      <w:r>
        <w:t>received</w:t>
      </w:r>
      <w:r w:rsidR="00A03629">
        <w:t xml:space="preserve"> </w:t>
      </w:r>
      <w:r>
        <w:t>by</w:t>
      </w:r>
      <w:r w:rsidR="00A03629">
        <w:t xml:space="preserve"> </w:t>
      </w:r>
      <w:r>
        <w:t>DJSIR</w:t>
      </w:r>
      <w:r w:rsidR="00A03629">
        <w:t xml:space="preserve"> </w:t>
      </w:r>
      <w:r>
        <w:t>from</w:t>
      </w:r>
      <w:r w:rsidR="00A03629">
        <w:t xml:space="preserve"> </w:t>
      </w:r>
      <w:r>
        <w:t>the</w:t>
      </w:r>
      <w:r w:rsidR="00A03629">
        <w:t xml:space="preserve"> </w:t>
      </w:r>
      <w:r>
        <w:t>generation</w:t>
      </w:r>
      <w:r w:rsidR="00A03629">
        <w:t xml:space="preserve"> </w:t>
      </w:r>
      <w:r>
        <w:t>of</w:t>
      </w:r>
      <w:r w:rsidR="00A03629">
        <w:t xml:space="preserve"> </w:t>
      </w:r>
      <w:r>
        <w:t>income</w:t>
      </w:r>
      <w:r w:rsidR="00A03629">
        <w:t xml:space="preserve"> </w:t>
      </w:r>
      <w:r>
        <w:t>is</w:t>
      </w:r>
      <w:r w:rsidR="00A03629">
        <w:t xml:space="preserve"> </w:t>
      </w:r>
      <w:r>
        <w:t>generally</w:t>
      </w:r>
      <w:r w:rsidR="00A03629">
        <w:t xml:space="preserve"> </w:t>
      </w:r>
      <w:r>
        <w:t>paid</w:t>
      </w:r>
      <w:r w:rsidR="00A03629">
        <w:t xml:space="preserve"> </w:t>
      </w:r>
      <w:r>
        <w:t>into</w:t>
      </w:r>
      <w:r w:rsidR="00A03629">
        <w:t xml:space="preserve"> </w:t>
      </w:r>
      <w:r>
        <w:t>the</w:t>
      </w:r>
      <w:r w:rsidR="00A03629">
        <w:t xml:space="preserve"> </w:t>
      </w:r>
      <w:r>
        <w:t>State’s</w:t>
      </w:r>
      <w:r w:rsidR="00A03629">
        <w:t xml:space="preserve"> </w:t>
      </w:r>
      <w:r>
        <w:t>bank</w:t>
      </w:r>
      <w:r w:rsidR="00A03629">
        <w:t xml:space="preserve"> </w:t>
      </w:r>
      <w:r>
        <w:t>account,</w:t>
      </w:r>
      <w:r w:rsidR="00A03629">
        <w:t xml:space="preserve"> </w:t>
      </w:r>
      <w:r>
        <w:t>known</w:t>
      </w:r>
      <w:r w:rsidR="00A03629">
        <w:t xml:space="preserve"> </w:t>
      </w:r>
      <w:r>
        <w:t>as</w:t>
      </w:r>
      <w:r w:rsidR="00A03629">
        <w:t xml:space="preserve"> </w:t>
      </w:r>
      <w:r>
        <w:t>the</w:t>
      </w:r>
      <w:r w:rsidR="00A03629">
        <w:t xml:space="preserve"> </w:t>
      </w:r>
      <w:r>
        <w:t>Public</w:t>
      </w:r>
      <w:r w:rsidR="00A03629">
        <w:t xml:space="preserve"> </w:t>
      </w:r>
      <w:r>
        <w:t>Account.</w:t>
      </w:r>
      <w:r w:rsidR="00A03629">
        <w:t xml:space="preserve"> </w:t>
      </w:r>
      <w:r>
        <w:t>Similarly,</w:t>
      </w:r>
      <w:r w:rsidR="00A03629">
        <w:t xml:space="preserve"> </w:t>
      </w:r>
      <w:r>
        <w:t>any</w:t>
      </w:r>
      <w:r w:rsidR="00A03629">
        <w:t xml:space="preserve"> </w:t>
      </w:r>
      <w:r>
        <w:t>departmental</w:t>
      </w:r>
      <w:r w:rsidR="00A03629">
        <w:t xml:space="preserve"> </w:t>
      </w:r>
      <w:r>
        <w:t>expenditure,</w:t>
      </w:r>
      <w:r w:rsidR="00A03629">
        <w:t xml:space="preserve"> </w:t>
      </w:r>
      <w:r>
        <w:t>including</w:t>
      </w:r>
      <w:r w:rsidR="00A03629">
        <w:t xml:space="preserve"> </w:t>
      </w:r>
      <w:r>
        <w:t>those</w:t>
      </w:r>
      <w:r w:rsidR="00A03629">
        <w:t xml:space="preserve"> </w:t>
      </w:r>
      <w:r>
        <w:t>in</w:t>
      </w:r>
      <w:r w:rsidR="00A03629">
        <w:t xml:space="preserve"> </w:t>
      </w:r>
      <w:r>
        <w:t>the</w:t>
      </w:r>
      <w:r w:rsidR="00A03629">
        <w:t xml:space="preserve"> </w:t>
      </w:r>
      <w:r>
        <w:t>form</w:t>
      </w:r>
      <w:r w:rsidR="00A03629">
        <w:t xml:space="preserve"> </w:t>
      </w:r>
      <w:r>
        <w:t>of</w:t>
      </w:r>
      <w:r w:rsidR="00A03629">
        <w:t xml:space="preserve"> </w:t>
      </w:r>
      <w:r>
        <w:t>cheques</w:t>
      </w:r>
      <w:r w:rsidR="00A03629">
        <w:t xml:space="preserve"> </w:t>
      </w:r>
      <w:r>
        <w:t>drawn</w:t>
      </w:r>
      <w:r w:rsidR="00A03629">
        <w:t xml:space="preserve"> </w:t>
      </w:r>
      <w:r>
        <w:t>by</w:t>
      </w:r>
      <w:r w:rsidR="00A03629">
        <w:t xml:space="preserve"> </w:t>
      </w:r>
      <w:r>
        <w:t>DJSIR</w:t>
      </w:r>
      <w:r w:rsidR="00A03629">
        <w:t xml:space="preserve"> </w:t>
      </w:r>
      <w:r>
        <w:t>for</w:t>
      </w:r>
      <w:r w:rsidR="00A03629">
        <w:t xml:space="preserve"> </w:t>
      </w:r>
      <w:r>
        <w:t>the</w:t>
      </w:r>
      <w:r w:rsidR="00A03629">
        <w:t xml:space="preserve"> </w:t>
      </w:r>
      <w:r>
        <w:t>payment</w:t>
      </w:r>
      <w:r w:rsidR="00A03629">
        <w:t xml:space="preserve"> </w:t>
      </w:r>
      <w:r>
        <w:t>of</w:t>
      </w:r>
      <w:r w:rsidR="00A03629">
        <w:t xml:space="preserve"> </w:t>
      </w:r>
      <w:r>
        <w:t>goods</w:t>
      </w:r>
      <w:r w:rsidR="00A03629">
        <w:t xml:space="preserve"> </w:t>
      </w:r>
      <w:r>
        <w:t>and</w:t>
      </w:r>
      <w:r w:rsidR="00A03629">
        <w:t xml:space="preserve"> </w:t>
      </w:r>
      <w:r>
        <w:t>services</w:t>
      </w:r>
      <w:r w:rsidR="00A03629">
        <w:t xml:space="preserve"> </w:t>
      </w:r>
      <w:r>
        <w:t>to</w:t>
      </w:r>
      <w:r w:rsidR="00A03629">
        <w:t xml:space="preserve"> </w:t>
      </w:r>
      <w:r>
        <w:t>its</w:t>
      </w:r>
      <w:r w:rsidR="00A03629">
        <w:t xml:space="preserve"> </w:t>
      </w:r>
      <w:r>
        <w:t>suppliers</w:t>
      </w:r>
      <w:r w:rsidR="00A03629">
        <w:t xml:space="preserve"> </w:t>
      </w:r>
      <w:r>
        <w:t>and</w:t>
      </w:r>
      <w:r w:rsidR="00A03629">
        <w:t xml:space="preserve"> </w:t>
      </w:r>
      <w:r>
        <w:t>creditors</w:t>
      </w:r>
      <w:r w:rsidR="00A03629">
        <w:t xml:space="preserve"> </w:t>
      </w:r>
      <w:r>
        <w:t>are</w:t>
      </w:r>
      <w:r w:rsidR="00A03629">
        <w:t xml:space="preserve"> </w:t>
      </w:r>
      <w:r>
        <w:t>made</w:t>
      </w:r>
      <w:r w:rsidR="00A03629">
        <w:t xml:space="preserve"> </w:t>
      </w:r>
      <w:r>
        <w:t>via</w:t>
      </w:r>
      <w:r w:rsidR="00A03629">
        <w:t xml:space="preserve"> </w:t>
      </w:r>
      <w:r>
        <w:t>the</w:t>
      </w:r>
      <w:r w:rsidR="00A03629">
        <w:rPr>
          <w:rFonts w:ascii="Cambria" w:hAnsi="Cambria" w:cs="Cambria"/>
        </w:rPr>
        <w:t xml:space="preserve"> </w:t>
      </w:r>
      <w:r>
        <w:t>Public</w:t>
      </w:r>
      <w:r w:rsidR="00A03629">
        <w:t xml:space="preserve"> </w:t>
      </w:r>
      <w:r>
        <w:t>Account.</w:t>
      </w:r>
      <w:r w:rsidR="00A03629">
        <w:t xml:space="preserve"> </w:t>
      </w:r>
      <w:r>
        <w:t>The</w:t>
      </w:r>
      <w:r w:rsidR="00A03629">
        <w:rPr>
          <w:rFonts w:ascii="Cambria" w:hAnsi="Cambria" w:cs="Cambria"/>
        </w:rPr>
        <w:t xml:space="preserve"> </w:t>
      </w:r>
      <w:r>
        <w:t>process</w:t>
      </w:r>
      <w:r w:rsidR="00A03629">
        <w:t xml:space="preserve"> </w:t>
      </w:r>
      <w:r>
        <w:t>is</w:t>
      </w:r>
      <w:r w:rsidR="00A03629">
        <w:t xml:space="preserve"> </w:t>
      </w:r>
      <w:r>
        <w:t>such</w:t>
      </w:r>
      <w:r w:rsidR="00A03629">
        <w:t xml:space="preserve"> </w:t>
      </w:r>
      <w:r>
        <w:t>that,</w:t>
      </w:r>
      <w:r w:rsidR="00A03629">
        <w:t xml:space="preserve"> </w:t>
      </w:r>
      <w:r>
        <w:t>the</w:t>
      </w:r>
      <w:r w:rsidR="00A03629">
        <w:t xml:space="preserve"> </w:t>
      </w:r>
      <w:r>
        <w:t>Public</w:t>
      </w:r>
      <w:r w:rsidR="00A03629">
        <w:t xml:space="preserve"> </w:t>
      </w:r>
      <w:r>
        <w:t>Account</w:t>
      </w:r>
      <w:r w:rsidR="00A03629">
        <w:t xml:space="preserve"> </w:t>
      </w:r>
      <w:r>
        <w:t>would</w:t>
      </w:r>
      <w:r w:rsidR="00A03629">
        <w:t xml:space="preserve"> </w:t>
      </w:r>
      <w:r>
        <w:t>remit</w:t>
      </w:r>
      <w:r w:rsidR="00A03629">
        <w:t xml:space="preserve"> </w:t>
      </w:r>
      <w:r>
        <w:t>to</w:t>
      </w:r>
      <w:r w:rsidR="00A03629">
        <w:t xml:space="preserve"> </w:t>
      </w:r>
      <w:r>
        <w:t>DJSIR</w:t>
      </w:r>
      <w:r w:rsidR="00A03629">
        <w:t xml:space="preserve"> </w:t>
      </w:r>
      <w:r>
        <w:t>the</w:t>
      </w:r>
      <w:r w:rsidR="00A03629">
        <w:t xml:space="preserve"> </w:t>
      </w:r>
      <w:r>
        <w:t>cash</w:t>
      </w:r>
      <w:r w:rsidR="00A03629">
        <w:t xml:space="preserve"> </w:t>
      </w:r>
      <w:r>
        <w:t>required</w:t>
      </w:r>
      <w:r w:rsidR="00A03629">
        <w:t xml:space="preserve"> </w:t>
      </w:r>
      <w:r>
        <w:t>for</w:t>
      </w:r>
      <w:r w:rsidR="00A03629">
        <w:t xml:space="preserve"> </w:t>
      </w:r>
      <w:r>
        <w:t>the</w:t>
      </w:r>
      <w:r w:rsidR="00A03629">
        <w:t xml:space="preserve"> </w:t>
      </w:r>
      <w:r>
        <w:t>amount</w:t>
      </w:r>
      <w:r w:rsidR="00A03629">
        <w:t xml:space="preserve"> </w:t>
      </w:r>
      <w:r>
        <w:t>drawn</w:t>
      </w:r>
      <w:r w:rsidR="00A03629">
        <w:t xml:space="preserve"> </w:t>
      </w:r>
      <w:r>
        <w:t>on</w:t>
      </w:r>
      <w:r w:rsidR="00A03629">
        <w:rPr>
          <w:rFonts w:ascii="Cambria" w:hAnsi="Cambria" w:cs="Cambria"/>
        </w:rPr>
        <w:t xml:space="preserve"> </w:t>
      </w:r>
      <w:r>
        <w:t>the</w:t>
      </w:r>
      <w:r w:rsidR="00A03629">
        <w:t xml:space="preserve"> </w:t>
      </w:r>
      <w:r>
        <w:t>cheques.</w:t>
      </w:r>
      <w:r w:rsidR="00A03629">
        <w:rPr>
          <w:rFonts w:ascii="Cambria" w:hAnsi="Cambria" w:cs="Cambria"/>
        </w:rPr>
        <w:t xml:space="preserve"> </w:t>
      </w:r>
      <w:r>
        <w:t>This</w:t>
      </w:r>
      <w:r w:rsidR="00A03629">
        <w:t xml:space="preserve"> </w:t>
      </w:r>
      <w:r>
        <w:t>remittance</w:t>
      </w:r>
      <w:r w:rsidR="00A03629">
        <w:t xml:space="preserve"> </w:t>
      </w:r>
      <w:r>
        <w:t>by</w:t>
      </w:r>
      <w:r w:rsidR="00A03629">
        <w:t xml:space="preserve"> </w:t>
      </w:r>
      <w:r>
        <w:t>the</w:t>
      </w:r>
      <w:r w:rsidR="00A03629">
        <w:t xml:space="preserve"> </w:t>
      </w:r>
      <w:r>
        <w:t>Public</w:t>
      </w:r>
      <w:r w:rsidR="00A03629">
        <w:t xml:space="preserve"> </w:t>
      </w:r>
      <w:r>
        <w:t>Account</w:t>
      </w:r>
      <w:r w:rsidR="00A03629">
        <w:t xml:space="preserve"> </w:t>
      </w:r>
      <w:r>
        <w:t>occurs</w:t>
      </w:r>
      <w:r w:rsidR="00A03629">
        <w:t xml:space="preserve"> </w:t>
      </w:r>
      <w:r>
        <w:t>upon</w:t>
      </w:r>
      <w:r w:rsidR="00A03629">
        <w:t xml:space="preserve"> </w:t>
      </w:r>
      <w:r>
        <w:t>the</w:t>
      </w:r>
      <w:r w:rsidR="00A03629">
        <w:t xml:space="preserve"> </w:t>
      </w:r>
      <w:r>
        <w:t>presentation</w:t>
      </w:r>
      <w:r w:rsidR="00A03629">
        <w:t xml:space="preserve"> </w:t>
      </w:r>
      <w:r>
        <w:t>of</w:t>
      </w:r>
      <w:r w:rsidR="00A03629">
        <w:t xml:space="preserve"> </w:t>
      </w:r>
      <w:r>
        <w:t>the</w:t>
      </w:r>
      <w:r w:rsidR="00A03629">
        <w:t xml:space="preserve"> </w:t>
      </w:r>
      <w:r>
        <w:t>cheques</w:t>
      </w:r>
      <w:r w:rsidR="00A03629">
        <w:t xml:space="preserve"> </w:t>
      </w:r>
      <w:r>
        <w:t>by</w:t>
      </w:r>
      <w:r w:rsidR="00A03629">
        <w:t xml:space="preserve"> </w:t>
      </w:r>
      <w:r>
        <w:t>DJSIR’s</w:t>
      </w:r>
      <w:r w:rsidR="00A03629">
        <w:t xml:space="preserve"> </w:t>
      </w:r>
      <w:r>
        <w:t>suppliers</w:t>
      </w:r>
      <w:r w:rsidR="00A03629">
        <w:rPr>
          <w:rFonts w:ascii="Cambria" w:hAnsi="Cambria" w:cs="Cambria"/>
        </w:rPr>
        <w:t xml:space="preserve"> </w:t>
      </w:r>
      <w:r>
        <w:t>or</w:t>
      </w:r>
      <w:r w:rsidR="00A03629">
        <w:rPr>
          <w:rFonts w:ascii="Cambria" w:hAnsi="Cambria" w:cs="Cambria"/>
        </w:rPr>
        <w:t xml:space="preserve"> </w:t>
      </w:r>
      <w:r>
        <w:t>creditors.</w:t>
      </w:r>
    </w:p>
    <w:p w14:paraId="4F4BB4B0" w14:textId="7BD6E379" w:rsidR="000756EB" w:rsidRDefault="004A4D88" w:rsidP="00DD5A54">
      <w:pPr>
        <w:pStyle w:val="Heading3"/>
      </w:pPr>
      <w:r>
        <w:t>7.3.2</w:t>
      </w:r>
      <w:r w:rsidR="00DE38B5">
        <w:t xml:space="preserve"> </w:t>
      </w:r>
      <w:r>
        <w:t>Reconciliation</w:t>
      </w:r>
      <w:r w:rsidR="00A03629">
        <w:t xml:space="preserve"> </w:t>
      </w:r>
      <w:r>
        <w:t>of</w:t>
      </w:r>
      <w:r w:rsidR="00A03629">
        <w:t xml:space="preserve"> </w:t>
      </w:r>
      <w:r>
        <w:t>net</w:t>
      </w:r>
      <w:r w:rsidR="00A03629">
        <w:t xml:space="preserve"> </w:t>
      </w:r>
      <w:r>
        <w:t>result</w:t>
      </w:r>
      <w:r w:rsidR="00A03629">
        <w:t xml:space="preserve"> </w:t>
      </w:r>
      <w:r>
        <w:t>for</w:t>
      </w:r>
      <w:r w:rsidR="00A03629">
        <w:t xml:space="preserve"> </w:t>
      </w:r>
      <w:r>
        <w:t>the</w:t>
      </w:r>
      <w:r w:rsidR="00A03629">
        <w:t xml:space="preserve"> </w:t>
      </w:r>
      <w:r>
        <w:t>period</w:t>
      </w:r>
      <w:r w:rsidR="00A03629">
        <w:t xml:space="preserve"> </w:t>
      </w:r>
      <w:r>
        <w:t>to</w:t>
      </w:r>
      <w:r w:rsidR="00A03629">
        <w:t xml:space="preserve"> </w:t>
      </w:r>
      <w:r>
        <w:t>cash</w:t>
      </w:r>
      <w:r w:rsidR="00A03629">
        <w:t xml:space="preserve"> </w:t>
      </w:r>
      <w:r>
        <w:t>flow</w:t>
      </w:r>
      <w:r w:rsidR="00A03629">
        <w:t xml:space="preserve"> </w:t>
      </w:r>
      <w:r>
        <w:t>from</w:t>
      </w:r>
      <w:r w:rsidR="00A03629">
        <w:t xml:space="preserve"> </w:t>
      </w:r>
      <w:r>
        <w:t>operating</w:t>
      </w:r>
      <w:r w:rsidR="00A03629">
        <w:t xml:space="preserve"> </w:t>
      </w:r>
      <w:r>
        <w:t>activities</w:t>
      </w:r>
    </w:p>
    <w:tbl>
      <w:tblPr>
        <w:tblStyle w:val="TableGrid"/>
        <w:tblW w:w="10201" w:type="dxa"/>
        <w:tblLayout w:type="fixed"/>
        <w:tblLook w:val="0020" w:firstRow="1" w:lastRow="0" w:firstColumn="0" w:lastColumn="0" w:noHBand="0" w:noVBand="0"/>
      </w:tblPr>
      <w:tblGrid>
        <w:gridCol w:w="6236"/>
        <w:gridCol w:w="1982"/>
        <w:gridCol w:w="1983"/>
      </w:tblGrid>
      <w:tr w:rsidR="000756EB" w:rsidRPr="00DD5A54" w14:paraId="2C04486E" w14:textId="77777777" w:rsidTr="006A59E8">
        <w:trPr>
          <w:cantSplit/>
          <w:tblHeader/>
        </w:trPr>
        <w:tc>
          <w:tcPr>
            <w:tcW w:w="6236" w:type="dxa"/>
          </w:tcPr>
          <w:p w14:paraId="228698A8" w14:textId="77777777" w:rsidR="000756EB" w:rsidRPr="00DD5A54" w:rsidRDefault="000756EB" w:rsidP="00DD5A54">
            <w:pPr>
              <w:pStyle w:val="TableColumnHeading"/>
            </w:pPr>
            <w:bookmarkStart w:id="98" w:name="ColumnTitles_58"/>
            <w:bookmarkEnd w:id="98"/>
          </w:p>
        </w:tc>
        <w:tc>
          <w:tcPr>
            <w:tcW w:w="1982" w:type="dxa"/>
          </w:tcPr>
          <w:p w14:paraId="209B1A3C" w14:textId="65DEE337" w:rsidR="000756EB" w:rsidRPr="00DD5A54" w:rsidRDefault="004A4D88" w:rsidP="006A59E8">
            <w:pPr>
              <w:pStyle w:val="TableColumnHeading"/>
              <w:jc w:val="right"/>
            </w:pPr>
            <w:r w:rsidRPr="00DD5A54">
              <w:t>2023</w:t>
            </w:r>
            <w:r w:rsidR="00A03629" w:rsidRPr="00DD5A54">
              <w:t xml:space="preserve"> </w:t>
            </w:r>
            <w:r w:rsidR="00DD5A54" w:rsidRPr="00DD5A54">
              <w:t>($</w:t>
            </w:r>
            <w:r w:rsidR="00DD5A54">
              <w:t> </w:t>
            </w:r>
            <w:r w:rsidR="00DD5A54" w:rsidRPr="00DD5A54">
              <w:t>thousand)</w:t>
            </w:r>
          </w:p>
        </w:tc>
        <w:tc>
          <w:tcPr>
            <w:tcW w:w="1983" w:type="dxa"/>
          </w:tcPr>
          <w:p w14:paraId="794A21EC" w14:textId="7DD3520C" w:rsidR="000756EB" w:rsidRPr="00DD5A54" w:rsidRDefault="004A4D88" w:rsidP="006A59E8">
            <w:pPr>
              <w:pStyle w:val="TableColumnHeading"/>
              <w:jc w:val="right"/>
            </w:pPr>
            <w:r w:rsidRPr="00DD5A54">
              <w:t>2022</w:t>
            </w:r>
            <w:r w:rsidR="00DD5A54">
              <w:t xml:space="preserve"> </w:t>
            </w:r>
            <w:r w:rsidR="00DD5A54" w:rsidRPr="00DD5A54">
              <w:t>($</w:t>
            </w:r>
            <w:r w:rsidR="00DD5A54">
              <w:t> </w:t>
            </w:r>
            <w:r w:rsidR="00DD5A54" w:rsidRPr="00DD5A54">
              <w:t>thousand)</w:t>
            </w:r>
          </w:p>
        </w:tc>
      </w:tr>
      <w:tr w:rsidR="000756EB" w:rsidRPr="006A59E8" w14:paraId="4149507E" w14:textId="77777777" w:rsidTr="006A59E8">
        <w:trPr>
          <w:cantSplit/>
        </w:trPr>
        <w:tc>
          <w:tcPr>
            <w:tcW w:w="6236" w:type="dxa"/>
          </w:tcPr>
          <w:p w14:paraId="3B5B7ACE" w14:textId="5438DC62" w:rsidR="000756EB" w:rsidRPr="006A59E8" w:rsidRDefault="004A4D88" w:rsidP="00DD5A54">
            <w:pPr>
              <w:pStyle w:val="TableCopy"/>
              <w:rPr>
                <w:b/>
                <w:bCs/>
              </w:rPr>
            </w:pPr>
            <w:r w:rsidRPr="006A59E8">
              <w:rPr>
                <w:b/>
                <w:bCs/>
              </w:rPr>
              <w:t>Net</w:t>
            </w:r>
            <w:r w:rsidR="00A03629" w:rsidRPr="006A59E8">
              <w:rPr>
                <w:b/>
                <w:bCs/>
              </w:rPr>
              <w:t xml:space="preserve"> </w:t>
            </w:r>
            <w:r w:rsidRPr="006A59E8">
              <w:rPr>
                <w:b/>
                <w:bCs/>
              </w:rPr>
              <w:t>result</w:t>
            </w:r>
            <w:r w:rsidR="00A03629" w:rsidRPr="006A59E8">
              <w:rPr>
                <w:b/>
                <w:bCs/>
              </w:rPr>
              <w:t xml:space="preserve"> </w:t>
            </w:r>
            <w:r w:rsidRPr="006A59E8">
              <w:rPr>
                <w:b/>
                <w:bCs/>
              </w:rPr>
              <w:t>for</w:t>
            </w:r>
            <w:r w:rsidR="00A03629" w:rsidRPr="006A59E8">
              <w:rPr>
                <w:b/>
                <w:bCs/>
              </w:rPr>
              <w:t xml:space="preserve"> </w:t>
            </w:r>
            <w:r w:rsidRPr="006A59E8">
              <w:rPr>
                <w:b/>
                <w:bCs/>
              </w:rPr>
              <w:t>the</w:t>
            </w:r>
            <w:r w:rsidR="00A03629" w:rsidRPr="006A59E8">
              <w:rPr>
                <w:b/>
                <w:bCs/>
              </w:rPr>
              <w:t xml:space="preserve"> </w:t>
            </w:r>
            <w:r w:rsidRPr="006A59E8">
              <w:rPr>
                <w:b/>
                <w:bCs/>
              </w:rPr>
              <w:t>year</w:t>
            </w:r>
          </w:p>
        </w:tc>
        <w:tc>
          <w:tcPr>
            <w:tcW w:w="1982" w:type="dxa"/>
          </w:tcPr>
          <w:p w14:paraId="3F82F851" w14:textId="0B16B248" w:rsidR="000756EB" w:rsidRPr="006A59E8" w:rsidRDefault="004A4D88" w:rsidP="006A59E8">
            <w:pPr>
              <w:pStyle w:val="TableCopy"/>
              <w:jc w:val="right"/>
              <w:rPr>
                <w:b/>
                <w:bCs/>
              </w:rPr>
            </w:pPr>
            <w:r w:rsidRPr="006A59E8">
              <w:rPr>
                <w:b/>
                <w:bCs/>
              </w:rPr>
              <w:t>132,587</w:t>
            </w:r>
          </w:p>
        </w:tc>
        <w:tc>
          <w:tcPr>
            <w:tcW w:w="1983" w:type="dxa"/>
          </w:tcPr>
          <w:p w14:paraId="1E7D2035" w14:textId="00C21E58" w:rsidR="000756EB" w:rsidRPr="006A59E8" w:rsidRDefault="004A4D88" w:rsidP="006A59E8">
            <w:pPr>
              <w:pStyle w:val="TableCopy"/>
              <w:jc w:val="right"/>
              <w:rPr>
                <w:b/>
                <w:bCs/>
              </w:rPr>
            </w:pPr>
            <w:r w:rsidRPr="006A59E8">
              <w:rPr>
                <w:b/>
                <w:bCs/>
              </w:rPr>
              <w:t>105,025</w:t>
            </w:r>
          </w:p>
        </w:tc>
      </w:tr>
      <w:tr w:rsidR="000756EB" w:rsidRPr="006A59E8" w14:paraId="7550BD4C" w14:textId="77777777" w:rsidTr="006A59E8">
        <w:trPr>
          <w:cantSplit/>
        </w:trPr>
        <w:tc>
          <w:tcPr>
            <w:tcW w:w="6236" w:type="dxa"/>
          </w:tcPr>
          <w:p w14:paraId="34A1D74D" w14:textId="4A62AD00" w:rsidR="000756EB" w:rsidRPr="006A59E8" w:rsidRDefault="004A4D88" w:rsidP="006A59E8">
            <w:pPr>
              <w:pStyle w:val="TableHeading"/>
              <w:rPr>
                <w:rFonts w:asciiTheme="minorHAnsi" w:hAnsiTheme="minorHAnsi" w:cstheme="minorHAnsi"/>
              </w:rPr>
            </w:pPr>
            <w:r w:rsidRPr="006A59E8">
              <w:rPr>
                <w:rFonts w:asciiTheme="minorHAnsi" w:hAnsiTheme="minorHAnsi" w:cstheme="minorHAnsi"/>
              </w:rPr>
              <w:t>Non-cash</w:t>
            </w:r>
            <w:r w:rsidR="00A03629" w:rsidRPr="006A59E8">
              <w:rPr>
                <w:rFonts w:asciiTheme="minorHAnsi" w:hAnsiTheme="minorHAnsi" w:cstheme="minorHAnsi"/>
              </w:rPr>
              <w:t xml:space="preserve"> </w:t>
            </w:r>
            <w:r w:rsidRPr="006A59E8">
              <w:rPr>
                <w:rFonts w:asciiTheme="minorHAnsi" w:hAnsiTheme="minorHAnsi" w:cstheme="minorHAnsi"/>
              </w:rPr>
              <w:t>movements</w:t>
            </w:r>
          </w:p>
        </w:tc>
        <w:tc>
          <w:tcPr>
            <w:tcW w:w="1982" w:type="dxa"/>
          </w:tcPr>
          <w:p w14:paraId="3FCD8388" w14:textId="77777777" w:rsidR="000756EB" w:rsidRPr="006A59E8" w:rsidRDefault="000756EB" w:rsidP="006A59E8">
            <w:pPr>
              <w:pStyle w:val="TableHeading"/>
              <w:jc w:val="right"/>
              <w:rPr>
                <w:rFonts w:asciiTheme="minorHAnsi" w:hAnsiTheme="minorHAnsi" w:cstheme="minorHAnsi"/>
                <w:lang w:val="en-AU"/>
              </w:rPr>
            </w:pPr>
          </w:p>
        </w:tc>
        <w:tc>
          <w:tcPr>
            <w:tcW w:w="1983" w:type="dxa"/>
          </w:tcPr>
          <w:p w14:paraId="4A3BDB16" w14:textId="77777777" w:rsidR="000756EB" w:rsidRPr="006A59E8" w:rsidRDefault="000756EB" w:rsidP="006A59E8">
            <w:pPr>
              <w:pStyle w:val="TableHeading"/>
              <w:jc w:val="right"/>
              <w:rPr>
                <w:rFonts w:asciiTheme="minorHAnsi" w:hAnsiTheme="minorHAnsi" w:cstheme="minorHAnsi"/>
                <w:lang w:val="en-AU"/>
              </w:rPr>
            </w:pPr>
          </w:p>
        </w:tc>
      </w:tr>
      <w:tr w:rsidR="000756EB" w14:paraId="385F1E2E" w14:textId="77777777" w:rsidTr="006A59E8">
        <w:trPr>
          <w:cantSplit/>
        </w:trPr>
        <w:tc>
          <w:tcPr>
            <w:tcW w:w="6236" w:type="dxa"/>
          </w:tcPr>
          <w:p w14:paraId="357AF270" w14:textId="3026ADB0" w:rsidR="000756EB" w:rsidRDefault="004A4D88" w:rsidP="006A59E8">
            <w:pPr>
              <w:pStyle w:val="TableCopy"/>
            </w:pPr>
            <w:r>
              <w:t>(Gain)/loss</w:t>
            </w:r>
            <w:r w:rsidR="00A03629">
              <w:t xml:space="preserve"> </w:t>
            </w:r>
            <w:r>
              <w:t>on</w:t>
            </w:r>
            <w:r w:rsidR="00A03629">
              <w:t xml:space="preserve"> </w:t>
            </w:r>
            <w:r>
              <w:t>disposal</w:t>
            </w:r>
            <w:r w:rsidR="00A03629">
              <w:t xml:space="preserve"> </w:t>
            </w:r>
            <w:r>
              <w:t>of</w:t>
            </w:r>
            <w:r w:rsidR="00A03629">
              <w:t xml:space="preserve"> </w:t>
            </w:r>
            <w:r>
              <w:t>non-financial</w:t>
            </w:r>
            <w:r w:rsidR="00A03629">
              <w:t xml:space="preserve"> </w:t>
            </w:r>
            <w:r>
              <w:t>assets</w:t>
            </w:r>
          </w:p>
        </w:tc>
        <w:tc>
          <w:tcPr>
            <w:tcW w:w="1982" w:type="dxa"/>
          </w:tcPr>
          <w:p w14:paraId="48B386D5" w14:textId="3212D390" w:rsidR="000756EB" w:rsidRDefault="004A4D88" w:rsidP="006A59E8">
            <w:pPr>
              <w:pStyle w:val="TableCopy"/>
              <w:jc w:val="right"/>
            </w:pPr>
            <w:r>
              <w:t>146</w:t>
            </w:r>
          </w:p>
        </w:tc>
        <w:tc>
          <w:tcPr>
            <w:tcW w:w="1983" w:type="dxa"/>
          </w:tcPr>
          <w:p w14:paraId="2A48728C" w14:textId="77777777" w:rsidR="000756EB" w:rsidRDefault="004A4D88" w:rsidP="006A59E8">
            <w:pPr>
              <w:pStyle w:val="TableCopy"/>
              <w:jc w:val="right"/>
            </w:pPr>
            <w:r>
              <w:t>(1,382)</w:t>
            </w:r>
          </w:p>
        </w:tc>
      </w:tr>
      <w:tr w:rsidR="000756EB" w14:paraId="338365B1" w14:textId="77777777" w:rsidTr="006A59E8">
        <w:trPr>
          <w:cantSplit/>
        </w:trPr>
        <w:tc>
          <w:tcPr>
            <w:tcW w:w="6236" w:type="dxa"/>
          </w:tcPr>
          <w:p w14:paraId="3415A2D4" w14:textId="06961639" w:rsidR="000756EB" w:rsidRDefault="004A4D88" w:rsidP="006A59E8">
            <w:pPr>
              <w:pStyle w:val="TableCopy"/>
            </w:pPr>
            <w:r>
              <w:t>Depreciation</w:t>
            </w:r>
            <w:r w:rsidR="00A03629">
              <w:t xml:space="preserve"> </w:t>
            </w:r>
            <w:r>
              <w:t>and</w:t>
            </w:r>
            <w:r w:rsidR="00A03629">
              <w:t xml:space="preserve"> </w:t>
            </w:r>
            <w:r>
              <w:t>amortisation</w:t>
            </w:r>
            <w:r w:rsidR="00A03629">
              <w:t xml:space="preserve"> </w:t>
            </w:r>
            <w:r>
              <w:t>of</w:t>
            </w:r>
            <w:r w:rsidR="00A03629">
              <w:t xml:space="preserve"> </w:t>
            </w:r>
            <w:r>
              <w:t>non-financial</w:t>
            </w:r>
            <w:r w:rsidR="00A03629">
              <w:t xml:space="preserve"> </w:t>
            </w:r>
            <w:r>
              <w:t>assets</w:t>
            </w:r>
            <w:r w:rsidR="00A03629">
              <w:t xml:space="preserve"> </w:t>
            </w:r>
            <w:r>
              <w:t>and</w:t>
            </w:r>
            <w:r w:rsidR="00A03629">
              <w:t xml:space="preserve"> </w:t>
            </w:r>
            <w:r>
              <w:t>intangible</w:t>
            </w:r>
            <w:r w:rsidR="00A03629">
              <w:t xml:space="preserve"> </w:t>
            </w:r>
            <w:r>
              <w:t>assets</w:t>
            </w:r>
          </w:p>
        </w:tc>
        <w:tc>
          <w:tcPr>
            <w:tcW w:w="1982" w:type="dxa"/>
          </w:tcPr>
          <w:p w14:paraId="3D1469DF" w14:textId="174AFAA2" w:rsidR="000756EB" w:rsidRDefault="004A4D88" w:rsidP="006A59E8">
            <w:pPr>
              <w:pStyle w:val="TableCopy"/>
              <w:jc w:val="right"/>
            </w:pPr>
            <w:r>
              <w:t>32,410</w:t>
            </w:r>
          </w:p>
        </w:tc>
        <w:tc>
          <w:tcPr>
            <w:tcW w:w="1983" w:type="dxa"/>
          </w:tcPr>
          <w:p w14:paraId="532E5518" w14:textId="327DC420" w:rsidR="000756EB" w:rsidRDefault="004A4D88" w:rsidP="006A59E8">
            <w:pPr>
              <w:pStyle w:val="TableCopy"/>
              <w:jc w:val="right"/>
            </w:pPr>
            <w:r>
              <w:t>48,844</w:t>
            </w:r>
          </w:p>
        </w:tc>
      </w:tr>
      <w:tr w:rsidR="000756EB" w14:paraId="6A95A6BD" w14:textId="77777777" w:rsidTr="006A59E8">
        <w:trPr>
          <w:cantSplit/>
        </w:trPr>
        <w:tc>
          <w:tcPr>
            <w:tcW w:w="6236" w:type="dxa"/>
          </w:tcPr>
          <w:p w14:paraId="52E10753" w14:textId="5100B7F6" w:rsidR="000756EB" w:rsidRDefault="004A4D88" w:rsidP="006A59E8">
            <w:pPr>
              <w:pStyle w:val="TableCopy"/>
            </w:pPr>
            <w:r>
              <w:t>Increase</w:t>
            </w:r>
            <w:r w:rsidR="00A03629">
              <w:t xml:space="preserve"> </w:t>
            </w:r>
            <w:r>
              <w:t>in</w:t>
            </w:r>
            <w:r w:rsidR="00A03629">
              <w:t xml:space="preserve"> </w:t>
            </w:r>
            <w:r>
              <w:t>provision</w:t>
            </w:r>
          </w:p>
        </w:tc>
        <w:tc>
          <w:tcPr>
            <w:tcW w:w="1982" w:type="dxa"/>
          </w:tcPr>
          <w:p w14:paraId="1DE2D4B2" w14:textId="4601B3CD" w:rsidR="000756EB" w:rsidRDefault="004A4D88" w:rsidP="006A59E8">
            <w:pPr>
              <w:pStyle w:val="TableCopy"/>
              <w:jc w:val="right"/>
            </w:pPr>
            <w:r>
              <w:t>–</w:t>
            </w:r>
          </w:p>
        </w:tc>
        <w:tc>
          <w:tcPr>
            <w:tcW w:w="1983" w:type="dxa"/>
          </w:tcPr>
          <w:p w14:paraId="22066677" w14:textId="4A5B8B0A" w:rsidR="000756EB" w:rsidRDefault="004A4D88" w:rsidP="006A59E8">
            <w:pPr>
              <w:pStyle w:val="TableCopy"/>
              <w:jc w:val="right"/>
            </w:pPr>
            <w:r>
              <w:t>6,899</w:t>
            </w:r>
          </w:p>
        </w:tc>
      </w:tr>
      <w:tr w:rsidR="000756EB" w14:paraId="07AB3470" w14:textId="77777777" w:rsidTr="006A59E8">
        <w:trPr>
          <w:cantSplit/>
        </w:trPr>
        <w:tc>
          <w:tcPr>
            <w:tcW w:w="6236" w:type="dxa"/>
          </w:tcPr>
          <w:p w14:paraId="0A2A93C1" w14:textId="20240FD6" w:rsidR="000756EB" w:rsidRDefault="004A4D88" w:rsidP="006A59E8">
            <w:pPr>
              <w:pStyle w:val="TableCopy"/>
            </w:pPr>
            <w:r>
              <w:t>Loan</w:t>
            </w:r>
            <w:r w:rsidR="00A03629">
              <w:t xml:space="preserve"> </w:t>
            </w:r>
            <w:r>
              <w:t>income</w:t>
            </w:r>
            <w:r w:rsidR="00A03629">
              <w:t xml:space="preserve"> </w:t>
            </w:r>
            <w:r>
              <w:t>from</w:t>
            </w:r>
            <w:r w:rsidR="00A03629">
              <w:t xml:space="preserve"> </w:t>
            </w:r>
            <w:r>
              <w:t>RASV</w:t>
            </w:r>
          </w:p>
        </w:tc>
        <w:tc>
          <w:tcPr>
            <w:tcW w:w="1982" w:type="dxa"/>
          </w:tcPr>
          <w:p w14:paraId="1E730697" w14:textId="77777777" w:rsidR="000756EB" w:rsidRDefault="004A4D88" w:rsidP="006A59E8">
            <w:pPr>
              <w:pStyle w:val="TableCopy"/>
              <w:jc w:val="right"/>
            </w:pPr>
            <w:r>
              <w:t>(3,189)</w:t>
            </w:r>
          </w:p>
        </w:tc>
        <w:tc>
          <w:tcPr>
            <w:tcW w:w="1983" w:type="dxa"/>
          </w:tcPr>
          <w:p w14:paraId="3DD0A087" w14:textId="77777777" w:rsidR="000756EB" w:rsidRDefault="004A4D88" w:rsidP="006A59E8">
            <w:pPr>
              <w:pStyle w:val="TableCopy"/>
              <w:jc w:val="right"/>
            </w:pPr>
            <w:r>
              <w:t>(6,486)</w:t>
            </w:r>
          </w:p>
        </w:tc>
      </w:tr>
      <w:tr w:rsidR="000756EB" w14:paraId="5ADC5CFE" w14:textId="77777777" w:rsidTr="006A59E8">
        <w:trPr>
          <w:cantSplit/>
        </w:trPr>
        <w:tc>
          <w:tcPr>
            <w:tcW w:w="6236" w:type="dxa"/>
          </w:tcPr>
          <w:p w14:paraId="4E07548C" w14:textId="19A65619" w:rsidR="000756EB" w:rsidRDefault="004A4D88" w:rsidP="006A59E8">
            <w:pPr>
              <w:pStyle w:val="TableCopy"/>
            </w:pPr>
            <w:r>
              <w:t>Loan</w:t>
            </w:r>
            <w:r w:rsidR="00A03629">
              <w:t xml:space="preserve"> </w:t>
            </w:r>
            <w:r>
              <w:t>settlement</w:t>
            </w:r>
            <w:r w:rsidR="00A03629">
              <w:t xml:space="preserve"> </w:t>
            </w:r>
            <w:r>
              <w:t>(refer</w:t>
            </w:r>
            <w:r w:rsidR="00A03629">
              <w:t xml:space="preserve"> </w:t>
            </w:r>
            <w:r>
              <w:t>to</w:t>
            </w:r>
            <w:r w:rsidR="00A03629">
              <w:t xml:space="preserve"> </w:t>
            </w:r>
            <w:r>
              <w:t>Note</w:t>
            </w:r>
            <w:r w:rsidR="00A03629">
              <w:t xml:space="preserve"> </w:t>
            </w:r>
            <w:r>
              <w:t>6.1</w:t>
            </w:r>
            <w:r w:rsidR="00A03629">
              <w:t xml:space="preserve"> </w:t>
            </w:r>
            <w:proofErr w:type="spellStart"/>
            <w:r>
              <w:t>subnote</w:t>
            </w:r>
            <w:proofErr w:type="spellEnd"/>
            <w:r w:rsidR="00A03629">
              <w:t xml:space="preserve"> </w:t>
            </w:r>
            <w:r>
              <w:t>(iii))</w:t>
            </w:r>
          </w:p>
        </w:tc>
        <w:tc>
          <w:tcPr>
            <w:tcW w:w="1982" w:type="dxa"/>
          </w:tcPr>
          <w:p w14:paraId="0A4370FB" w14:textId="34F1CC69" w:rsidR="000756EB" w:rsidRDefault="004A4D88" w:rsidP="006A59E8">
            <w:pPr>
              <w:pStyle w:val="TableCopy"/>
              <w:jc w:val="right"/>
            </w:pPr>
            <w:r>
              <w:t>40,000</w:t>
            </w:r>
          </w:p>
        </w:tc>
        <w:tc>
          <w:tcPr>
            <w:tcW w:w="1983" w:type="dxa"/>
          </w:tcPr>
          <w:p w14:paraId="5851F2CC" w14:textId="7987407A" w:rsidR="000756EB" w:rsidRDefault="004A4D88" w:rsidP="006A59E8">
            <w:pPr>
              <w:pStyle w:val="TableCopy"/>
              <w:jc w:val="right"/>
            </w:pPr>
            <w:r>
              <w:t>–</w:t>
            </w:r>
          </w:p>
        </w:tc>
      </w:tr>
      <w:tr w:rsidR="000756EB" w14:paraId="63BA53C5" w14:textId="77777777" w:rsidTr="006A59E8">
        <w:trPr>
          <w:cantSplit/>
        </w:trPr>
        <w:tc>
          <w:tcPr>
            <w:tcW w:w="6236" w:type="dxa"/>
          </w:tcPr>
          <w:p w14:paraId="52E850CB" w14:textId="43AB9C90" w:rsidR="000756EB" w:rsidRDefault="004A4D88" w:rsidP="006A59E8">
            <w:pPr>
              <w:pStyle w:val="TableCopy"/>
            </w:pPr>
            <w:r>
              <w:t>Land</w:t>
            </w:r>
            <w:r w:rsidR="00A03629">
              <w:t xml:space="preserve"> </w:t>
            </w:r>
            <w:r>
              <w:t>given/(received)</w:t>
            </w:r>
            <w:r w:rsidR="00A03629">
              <w:t xml:space="preserve"> </w:t>
            </w:r>
            <w:r>
              <w:t>free</w:t>
            </w:r>
            <w:r w:rsidR="00A03629">
              <w:t xml:space="preserve"> </w:t>
            </w:r>
            <w:r>
              <w:t>of</w:t>
            </w:r>
            <w:r w:rsidR="00A03629">
              <w:t xml:space="preserve"> </w:t>
            </w:r>
            <w:r>
              <w:t>charge</w:t>
            </w:r>
          </w:p>
        </w:tc>
        <w:tc>
          <w:tcPr>
            <w:tcW w:w="1982" w:type="dxa"/>
          </w:tcPr>
          <w:p w14:paraId="35705164" w14:textId="20574627" w:rsidR="000756EB" w:rsidRDefault="004A4D88" w:rsidP="006A59E8">
            <w:pPr>
              <w:pStyle w:val="TableCopy"/>
              <w:jc w:val="right"/>
            </w:pPr>
            <w:r>
              <w:t>–</w:t>
            </w:r>
          </w:p>
        </w:tc>
        <w:tc>
          <w:tcPr>
            <w:tcW w:w="1983" w:type="dxa"/>
          </w:tcPr>
          <w:p w14:paraId="30EF3468" w14:textId="4F2B04F5" w:rsidR="000756EB" w:rsidRDefault="004A4D88" w:rsidP="006A59E8">
            <w:pPr>
              <w:pStyle w:val="TableCopy"/>
              <w:jc w:val="right"/>
            </w:pPr>
            <w:r>
              <w:t>188</w:t>
            </w:r>
          </w:p>
        </w:tc>
      </w:tr>
      <w:tr w:rsidR="000756EB" w14:paraId="3BBC1B1E" w14:textId="77777777" w:rsidTr="006A59E8">
        <w:trPr>
          <w:cantSplit/>
        </w:trPr>
        <w:tc>
          <w:tcPr>
            <w:tcW w:w="6236" w:type="dxa"/>
          </w:tcPr>
          <w:p w14:paraId="7E2C8C2C" w14:textId="7FBFA2D4" w:rsidR="000756EB" w:rsidRDefault="004A4D88" w:rsidP="006A59E8">
            <w:pPr>
              <w:pStyle w:val="TableCopy"/>
            </w:pPr>
            <w:r>
              <w:t>Net</w:t>
            </w:r>
            <w:r w:rsidR="00A03629">
              <w:t xml:space="preserve"> </w:t>
            </w:r>
            <w:r>
              <w:t>loss</w:t>
            </w:r>
            <w:r w:rsidR="00A03629">
              <w:t xml:space="preserve"> </w:t>
            </w:r>
            <w:r>
              <w:t>on</w:t>
            </w:r>
            <w:r w:rsidR="00A03629">
              <w:t xml:space="preserve"> </w:t>
            </w:r>
            <w:r>
              <w:t>financial</w:t>
            </w:r>
            <w:r w:rsidR="00A03629">
              <w:t xml:space="preserve"> </w:t>
            </w:r>
            <w:r>
              <w:t>instruments</w:t>
            </w:r>
          </w:p>
        </w:tc>
        <w:tc>
          <w:tcPr>
            <w:tcW w:w="1982" w:type="dxa"/>
          </w:tcPr>
          <w:p w14:paraId="0E0A6B80" w14:textId="406A0D16" w:rsidR="000756EB" w:rsidRDefault="004A4D88" w:rsidP="006A59E8">
            <w:pPr>
              <w:pStyle w:val="TableCopy"/>
              <w:jc w:val="right"/>
            </w:pPr>
            <w:r>
              <w:t>815</w:t>
            </w:r>
          </w:p>
        </w:tc>
        <w:tc>
          <w:tcPr>
            <w:tcW w:w="1983" w:type="dxa"/>
          </w:tcPr>
          <w:p w14:paraId="40CAB630" w14:textId="3F84D5EA" w:rsidR="000756EB" w:rsidRDefault="004A4D88" w:rsidP="006A59E8">
            <w:pPr>
              <w:pStyle w:val="TableCopy"/>
              <w:jc w:val="right"/>
            </w:pPr>
            <w:r>
              <w:t>5,448</w:t>
            </w:r>
          </w:p>
        </w:tc>
      </w:tr>
      <w:tr w:rsidR="000756EB" w14:paraId="292E9200" w14:textId="77777777" w:rsidTr="006A59E8">
        <w:trPr>
          <w:cantSplit/>
        </w:trPr>
        <w:tc>
          <w:tcPr>
            <w:tcW w:w="6236" w:type="dxa"/>
          </w:tcPr>
          <w:p w14:paraId="3A6912E8" w14:textId="7EAD48F6" w:rsidR="000756EB" w:rsidRDefault="004A4D88" w:rsidP="006A59E8">
            <w:pPr>
              <w:pStyle w:val="TableCopy"/>
            </w:pPr>
            <w:r>
              <w:lastRenderedPageBreak/>
              <w:t>Impairment</w:t>
            </w:r>
            <w:r w:rsidR="00A03629">
              <w:t xml:space="preserve"> </w:t>
            </w:r>
            <w:r>
              <w:t>of</w:t>
            </w:r>
            <w:r w:rsidR="00A03629">
              <w:t xml:space="preserve"> </w:t>
            </w:r>
            <w:r>
              <w:t>loans</w:t>
            </w:r>
            <w:r w:rsidR="00A03629">
              <w:t xml:space="preserve"> </w:t>
            </w:r>
            <w:r>
              <w:t>and</w:t>
            </w:r>
            <w:r w:rsidR="00A03629">
              <w:t xml:space="preserve"> </w:t>
            </w:r>
            <w:r>
              <w:t>receivables</w:t>
            </w:r>
          </w:p>
        </w:tc>
        <w:tc>
          <w:tcPr>
            <w:tcW w:w="1982" w:type="dxa"/>
          </w:tcPr>
          <w:p w14:paraId="6C073348" w14:textId="74DA8A1F" w:rsidR="000756EB" w:rsidRDefault="004A4D88" w:rsidP="006A59E8">
            <w:pPr>
              <w:pStyle w:val="TableCopy"/>
              <w:jc w:val="right"/>
            </w:pPr>
            <w:r>
              <w:t>–</w:t>
            </w:r>
          </w:p>
        </w:tc>
        <w:tc>
          <w:tcPr>
            <w:tcW w:w="1983" w:type="dxa"/>
          </w:tcPr>
          <w:p w14:paraId="6B474BA9" w14:textId="7EF1B5A1" w:rsidR="000756EB" w:rsidRDefault="004A4D88" w:rsidP="006A59E8">
            <w:pPr>
              <w:pStyle w:val="TableCopy"/>
              <w:jc w:val="right"/>
            </w:pPr>
            <w:r>
              <w:t>22,090</w:t>
            </w:r>
          </w:p>
        </w:tc>
      </w:tr>
      <w:tr w:rsidR="000756EB" w14:paraId="4240E1AD" w14:textId="77777777" w:rsidTr="006A59E8">
        <w:trPr>
          <w:cantSplit/>
        </w:trPr>
        <w:tc>
          <w:tcPr>
            <w:tcW w:w="6236" w:type="dxa"/>
          </w:tcPr>
          <w:p w14:paraId="7AA3CA5C" w14:textId="514C9ECD" w:rsidR="000756EB" w:rsidRDefault="004A4D88" w:rsidP="006A59E8">
            <w:pPr>
              <w:pStyle w:val="TableCopy"/>
            </w:pPr>
            <w:r>
              <w:t>Revaluation</w:t>
            </w:r>
            <w:r w:rsidR="00A03629">
              <w:t xml:space="preserve"> </w:t>
            </w:r>
            <w:r>
              <w:t>of</w:t>
            </w:r>
            <w:r w:rsidR="00A03629">
              <w:t xml:space="preserve"> </w:t>
            </w:r>
            <w:r>
              <w:t>long</w:t>
            </w:r>
            <w:r w:rsidR="00A03629">
              <w:t xml:space="preserve"> </w:t>
            </w:r>
            <w:r>
              <w:t>service</w:t>
            </w:r>
            <w:r w:rsidR="00A03629">
              <w:t xml:space="preserve"> </w:t>
            </w:r>
            <w:r>
              <w:t>leave</w:t>
            </w:r>
            <w:r w:rsidR="00A03629">
              <w:t xml:space="preserve"> </w:t>
            </w:r>
            <w:r>
              <w:t>liability</w:t>
            </w:r>
          </w:p>
        </w:tc>
        <w:tc>
          <w:tcPr>
            <w:tcW w:w="1982" w:type="dxa"/>
          </w:tcPr>
          <w:p w14:paraId="78972CBF" w14:textId="77777777" w:rsidR="000756EB" w:rsidRDefault="004A4D88" w:rsidP="006A59E8">
            <w:pPr>
              <w:pStyle w:val="TableCopy"/>
              <w:jc w:val="right"/>
            </w:pPr>
            <w:r>
              <w:t>(441)</w:t>
            </w:r>
          </w:p>
        </w:tc>
        <w:tc>
          <w:tcPr>
            <w:tcW w:w="1983" w:type="dxa"/>
          </w:tcPr>
          <w:p w14:paraId="5A9C8901" w14:textId="77777777" w:rsidR="000756EB" w:rsidRDefault="004A4D88" w:rsidP="006A59E8">
            <w:pPr>
              <w:pStyle w:val="TableCopy"/>
              <w:jc w:val="right"/>
            </w:pPr>
            <w:r>
              <w:t>(8,966)</w:t>
            </w:r>
          </w:p>
        </w:tc>
      </w:tr>
      <w:tr w:rsidR="000756EB" w:rsidRPr="006A59E8" w14:paraId="3DCCEA5F" w14:textId="77777777" w:rsidTr="006A59E8">
        <w:trPr>
          <w:cantSplit/>
        </w:trPr>
        <w:tc>
          <w:tcPr>
            <w:tcW w:w="6236" w:type="dxa"/>
          </w:tcPr>
          <w:p w14:paraId="4E1E7C6B" w14:textId="391C2D3F" w:rsidR="000756EB" w:rsidRPr="006A59E8" w:rsidRDefault="004A4D88" w:rsidP="006A59E8">
            <w:pPr>
              <w:pStyle w:val="TableHeading"/>
              <w:rPr>
                <w:rFonts w:asciiTheme="minorHAnsi" w:hAnsiTheme="minorHAnsi" w:cstheme="minorHAnsi"/>
              </w:rPr>
            </w:pPr>
            <w:r w:rsidRPr="006A59E8">
              <w:rPr>
                <w:rFonts w:asciiTheme="minorHAnsi" w:hAnsiTheme="minorHAnsi" w:cstheme="minorHAnsi"/>
              </w:rPr>
              <w:t>Movements</w:t>
            </w:r>
            <w:r w:rsidR="00A03629" w:rsidRPr="006A59E8">
              <w:rPr>
                <w:rFonts w:asciiTheme="minorHAnsi" w:hAnsiTheme="minorHAnsi" w:cstheme="minorHAnsi"/>
              </w:rPr>
              <w:t xml:space="preserve"> </w:t>
            </w:r>
            <w:r w:rsidRPr="006A59E8">
              <w:rPr>
                <w:rFonts w:asciiTheme="minorHAnsi" w:hAnsiTheme="minorHAnsi" w:cstheme="minorHAnsi"/>
              </w:rPr>
              <w:t>in</w:t>
            </w:r>
            <w:r w:rsidR="00A03629" w:rsidRPr="006A59E8">
              <w:rPr>
                <w:rFonts w:asciiTheme="minorHAnsi" w:hAnsiTheme="minorHAnsi" w:cstheme="minorHAnsi"/>
              </w:rPr>
              <w:t xml:space="preserve"> </w:t>
            </w:r>
            <w:r w:rsidRPr="006A59E8">
              <w:rPr>
                <w:rFonts w:asciiTheme="minorHAnsi" w:hAnsiTheme="minorHAnsi" w:cstheme="minorHAnsi"/>
              </w:rPr>
              <w:t>assets</w:t>
            </w:r>
            <w:r w:rsidR="00A03629" w:rsidRPr="006A59E8">
              <w:rPr>
                <w:rFonts w:asciiTheme="minorHAnsi" w:hAnsiTheme="minorHAnsi" w:cstheme="minorHAnsi"/>
              </w:rPr>
              <w:t xml:space="preserve"> </w:t>
            </w:r>
            <w:r w:rsidRPr="006A59E8">
              <w:rPr>
                <w:rFonts w:asciiTheme="minorHAnsi" w:hAnsiTheme="minorHAnsi" w:cstheme="minorHAnsi"/>
              </w:rPr>
              <w:t>and</w:t>
            </w:r>
            <w:r w:rsidR="00A03629" w:rsidRPr="006A59E8">
              <w:rPr>
                <w:rFonts w:asciiTheme="minorHAnsi" w:hAnsiTheme="minorHAnsi" w:cstheme="minorHAnsi"/>
              </w:rPr>
              <w:t xml:space="preserve"> </w:t>
            </w:r>
            <w:r w:rsidRPr="006A59E8">
              <w:rPr>
                <w:rFonts w:asciiTheme="minorHAnsi" w:hAnsiTheme="minorHAnsi" w:cstheme="minorHAnsi"/>
              </w:rPr>
              <w:t>liabilities</w:t>
            </w:r>
          </w:p>
        </w:tc>
        <w:tc>
          <w:tcPr>
            <w:tcW w:w="1982" w:type="dxa"/>
          </w:tcPr>
          <w:p w14:paraId="0297F528" w14:textId="77777777" w:rsidR="000756EB" w:rsidRPr="006A59E8" w:rsidRDefault="000756EB" w:rsidP="006A59E8">
            <w:pPr>
              <w:pStyle w:val="TableHeading"/>
              <w:jc w:val="right"/>
              <w:rPr>
                <w:rFonts w:asciiTheme="minorHAnsi" w:hAnsiTheme="minorHAnsi" w:cstheme="minorHAnsi"/>
                <w:lang w:val="en-AU"/>
              </w:rPr>
            </w:pPr>
          </w:p>
        </w:tc>
        <w:tc>
          <w:tcPr>
            <w:tcW w:w="1983" w:type="dxa"/>
          </w:tcPr>
          <w:p w14:paraId="1AA4C2AB" w14:textId="77777777" w:rsidR="000756EB" w:rsidRPr="006A59E8" w:rsidRDefault="000756EB" w:rsidP="006A59E8">
            <w:pPr>
              <w:pStyle w:val="TableHeading"/>
              <w:jc w:val="right"/>
              <w:rPr>
                <w:rFonts w:asciiTheme="minorHAnsi" w:hAnsiTheme="minorHAnsi" w:cstheme="minorHAnsi"/>
                <w:lang w:val="en-AU"/>
              </w:rPr>
            </w:pPr>
          </w:p>
        </w:tc>
      </w:tr>
      <w:tr w:rsidR="000756EB" w14:paraId="38A7F38D" w14:textId="77777777" w:rsidTr="006A59E8">
        <w:trPr>
          <w:cantSplit/>
        </w:trPr>
        <w:tc>
          <w:tcPr>
            <w:tcW w:w="6236" w:type="dxa"/>
          </w:tcPr>
          <w:p w14:paraId="79481D98" w14:textId="24EE7641" w:rsidR="000756EB" w:rsidRDefault="004A4D88" w:rsidP="006A59E8">
            <w:pPr>
              <w:pStyle w:val="TableCopy"/>
            </w:pPr>
            <w:r>
              <w:t>Decrease/(increase)</w:t>
            </w:r>
            <w:r w:rsidR="00A03629">
              <w:t xml:space="preserve"> </w:t>
            </w:r>
            <w:r>
              <w:t>in</w:t>
            </w:r>
            <w:r w:rsidR="00A03629">
              <w:t xml:space="preserve"> </w:t>
            </w:r>
            <w:r>
              <w:t>receivables</w:t>
            </w:r>
          </w:p>
        </w:tc>
        <w:tc>
          <w:tcPr>
            <w:tcW w:w="1982" w:type="dxa"/>
          </w:tcPr>
          <w:p w14:paraId="5EA43D50" w14:textId="19D1D0C2" w:rsidR="000756EB" w:rsidRDefault="004A4D88" w:rsidP="006A59E8">
            <w:pPr>
              <w:pStyle w:val="TableCopy"/>
              <w:jc w:val="right"/>
            </w:pPr>
            <w:r>
              <w:t>141,938</w:t>
            </w:r>
          </w:p>
        </w:tc>
        <w:tc>
          <w:tcPr>
            <w:tcW w:w="1983" w:type="dxa"/>
          </w:tcPr>
          <w:p w14:paraId="5DD111E2" w14:textId="21427247" w:rsidR="000756EB" w:rsidRDefault="004A4D88" w:rsidP="006A59E8">
            <w:pPr>
              <w:pStyle w:val="TableCopy"/>
              <w:jc w:val="right"/>
            </w:pPr>
            <w:r>
              <w:t>206,855</w:t>
            </w:r>
          </w:p>
        </w:tc>
      </w:tr>
      <w:tr w:rsidR="000756EB" w14:paraId="29A73B68" w14:textId="77777777" w:rsidTr="006A59E8">
        <w:trPr>
          <w:cantSplit/>
        </w:trPr>
        <w:tc>
          <w:tcPr>
            <w:tcW w:w="6236" w:type="dxa"/>
          </w:tcPr>
          <w:p w14:paraId="1E374A02" w14:textId="0FF32CFC" w:rsidR="000756EB" w:rsidRDefault="004A4D88" w:rsidP="006A59E8">
            <w:pPr>
              <w:pStyle w:val="TableCopy"/>
            </w:pPr>
            <w:r>
              <w:t>(Increase)/decrease</w:t>
            </w:r>
            <w:r w:rsidR="00A03629">
              <w:t xml:space="preserve"> </w:t>
            </w:r>
            <w:r>
              <w:t>in</w:t>
            </w:r>
            <w:r w:rsidR="00A03629">
              <w:t xml:space="preserve"> </w:t>
            </w:r>
            <w:r>
              <w:t>investments</w:t>
            </w:r>
          </w:p>
        </w:tc>
        <w:tc>
          <w:tcPr>
            <w:tcW w:w="1982" w:type="dxa"/>
          </w:tcPr>
          <w:p w14:paraId="4A1EE3C7" w14:textId="77777777" w:rsidR="000756EB" w:rsidRDefault="004A4D88" w:rsidP="006A59E8">
            <w:pPr>
              <w:pStyle w:val="TableCopy"/>
              <w:jc w:val="right"/>
            </w:pPr>
            <w:r>
              <w:t>(651)</w:t>
            </w:r>
          </w:p>
        </w:tc>
        <w:tc>
          <w:tcPr>
            <w:tcW w:w="1983" w:type="dxa"/>
          </w:tcPr>
          <w:p w14:paraId="1E1513D9" w14:textId="25638820" w:rsidR="000756EB" w:rsidRDefault="004A4D88" w:rsidP="006A59E8">
            <w:pPr>
              <w:pStyle w:val="TableCopy"/>
              <w:jc w:val="right"/>
            </w:pPr>
            <w:r>
              <w:t>–</w:t>
            </w:r>
          </w:p>
        </w:tc>
      </w:tr>
      <w:tr w:rsidR="000756EB" w14:paraId="0E592292" w14:textId="77777777" w:rsidTr="006A59E8">
        <w:trPr>
          <w:cantSplit/>
        </w:trPr>
        <w:tc>
          <w:tcPr>
            <w:tcW w:w="6236" w:type="dxa"/>
          </w:tcPr>
          <w:p w14:paraId="0F9EDAE1" w14:textId="501A4931" w:rsidR="000756EB" w:rsidRDefault="004A4D88" w:rsidP="006A59E8">
            <w:pPr>
              <w:pStyle w:val="TableCopy"/>
            </w:pPr>
            <w:r>
              <w:t>Increase/(decrease)</w:t>
            </w:r>
            <w:r w:rsidR="00A03629">
              <w:t xml:space="preserve"> </w:t>
            </w:r>
            <w:r>
              <w:t>in</w:t>
            </w:r>
            <w:r w:rsidR="00A03629">
              <w:t xml:space="preserve"> </w:t>
            </w:r>
            <w:r>
              <w:t>payables</w:t>
            </w:r>
          </w:p>
        </w:tc>
        <w:tc>
          <w:tcPr>
            <w:tcW w:w="1982" w:type="dxa"/>
          </w:tcPr>
          <w:p w14:paraId="5C3F91E6" w14:textId="77777777" w:rsidR="000756EB" w:rsidRDefault="004A4D88" w:rsidP="006A59E8">
            <w:pPr>
              <w:pStyle w:val="TableCopy"/>
              <w:jc w:val="right"/>
            </w:pPr>
            <w:r>
              <w:t>(35,274)</w:t>
            </w:r>
          </w:p>
        </w:tc>
        <w:tc>
          <w:tcPr>
            <w:tcW w:w="1983" w:type="dxa"/>
          </w:tcPr>
          <w:p w14:paraId="0DCD0C2F" w14:textId="77777777" w:rsidR="000756EB" w:rsidRDefault="004A4D88" w:rsidP="006A59E8">
            <w:pPr>
              <w:pStyle w:val="TableCopy"/>
              <w:jc w:val="right"/>
            </w:pPr>
            <w:r>
              <w:t>(198,581)</w:t>
            </w:r>
          </w:p>
        </w:tc>
      </w:tr>
      <w:tr w:rsidR="000756EB" w14:paraId="461BBB4B" w14:textId="77777777" w:rsidTr="006A59E8">
        <w:trPr>
          <w:cantSplit/>
        </w:trPr>
        <w:tc>
          <w:tcPr>
            <w:tcW w:w="6236" w:type="dxa"/>
          </w:tcPr>
          <w:p w14:paraId="0C8FF70F" w14:textId="4F2B6B41" w:rsidR="000756EB" w:rsidRDefault="004A4D88" w:rsidP="006A59E8">
            <w:pPr>
              <w:pStyle w:val="TableCopy"/>
            </w:pPr>
            <w:r>
              <w:t>(Decrease)/increase</w:t>
            </w:r>
            <w:r w:rsidR="00A03629">
              <w:t xml:space="preserve"> </w:t>
            </w:r>
            <w:r>
              <w:t>in</w:t>
            </w:r>
            <w:r w:rsidR="00A03629">
              <w:t xml:space="preserve"> </w:t>
            </w:r>
            <w:r>
              <w:t>provisions</w:t>
            </w:r>
          </w:p>
        </w:tc>
        <w:tc>
          <w:tcPr>
            <w:tcW w:w="1982" w:type="dxa"/>
          </w:tcPr>
          <w:p w14:paraId="0A05C0E3" w14:textId="77777777" w:rsidR="000756EB" w:rsidRDefault="004A4D88" w:rsidP="006A59E8">
            <w:pPr>
              <w:pStyle w:val="TableCopy"/>
              <w:jc w:val="right"/>
            </w:pPr>
            <w:r>
              <w:t>(64,696)</w:t>
            </w:r>
          </w:p>
        </w:tc>
        <w:tc>
          <w:tcPr>
            <w:tcW w:w="1983" w:type="dxa"/>
          </w:tcPr>
          <w:p w14:paraId="19C56E0D" w14:textId="7669F602" w:rsidR="000756EB" w:rsidRDefault="004A4D88" w:rsidP="006A59E8">
            <w:pPr>
              <w:pStyle w:val="TableCopy"/>
              <w:jc w:val="right"/>
            </w:pPr>
            <w:r>
              <w:t>15,277</w:t>
            </w:r>
          </w:p>
        </w:tc>
      </w:tr>
      <w:tr w:rsidR="000756EB" w:rsidRPr="006A59E8" w14:paraId="1F547B78" w14:textId="77777777" w:rsidTr="006A59E8">
        <w:trPr>
          <w:cantSplit/>
        </w:trPr>
        <w:tc>
          <w:tcPr>
            <w:tcW w:w="6236" w:type="dxa"/>
          </w:tcPr>
          <w:p w14:paraId="30ED0C88" w14:textId="150D45BB" w:rsidR="000756EB" w:rsidRPr="006A59E8" w:rsidRDefault="004A4D88" w:rsidP="006A59E8">
            <w:pPr>
              <w:pStyle w:val="TableCopy"/>
              <w:rPr>
                <w:b/>
                <w:bCs/>
              </w:rPr>
            </w:pPr>
            <w:r w:rsidRPr="006A59E8">
              <w:rPr>
                <w:b/>
                <w:bCs/>
              </w:rPr>
              <w:t>Net</w:t>
            </w:r>
            <w:r w:rsidR="00A03629" w:rsidRPr="006A59E8">
              <w:rPr>
                <w:b/>
                <w:bCs/>
              </w:rPr>
              <w:t xml:space="preserve"> </w:t>
            </w:r>
            <w:r w:rsidRPr="006A59E8">
              <w:rPr>
                <w:b/>
                <w:bCs/>
              </w:rPr>
              <w:t>cash</w:t>
            </w:r>
            <w:r w:rsidR="00A03629" w:rsidRPr="006A59E8">
              <w:rPr>
                <w:b/>
                <w:bCs/>
              </w:rPr>
              <w:t xml:space="preserve"> </w:t>
            </w:r>
            <w:r w:rsidRPr="006A59E8">
              <w:rPr>
                <w:b/>
                <w:bCs/>
              </w:rPr>
              <w:t>flows</w:t>
            </w:r>
            <w:r w:rsidR="00A03629" w:rsidRPr="006A59E8">
              <w:rPr>
                <w:b/>
                <w:bCs/>
              </w:rPr>
              <w:t xml:space="preserve"> </w:t>
            </w:r>
            <w:r w:rsidRPr="006A59E8">
              <w:rPr>
                <w:b/>
                <w:bCs/>
              </w:rPr>
              <w:t>used</w:t>
            </w:r>
            <w:r w:rsidR="00A03629" w:rsidRPr="006A59E8">
              <w:rPr>
                <w:b/>
                <w:bCs/>
              </w:rPr>
              <w:t xml:space="preserve"> </w:t>
            </w:r>
            <w:r w:rsidRPr="006A59E8">
              <w:rPr>
                <w:b/>
                <w:bCs/>
              </w:rPr>
              <w:t>in</w:t>
            </w:r>
            <w:r w:rsidR="00A03629" w:rsidRPr="006A59E8">
              <w:rPr>
                <w:b/>
                <w:bCs/>
              </w:rPr>
              <w:t xml:space="preserve"> </w:t>
            </w:r>
            <w:r w:rsidRPr="006A59E8">
              <w:rPr>
                <w:b/>
                <w:bCs/>
              </w:rPr>
              <w:t>operating</w:t>
            </w:r>
            <w:r w:rsidR="00A03629" w:rsidRPr="006A59E8">
              <w:rPr>
                <w:b/>
                <w:bCs/>
              </w:rPr>
              <w:t xml:space="preserve"> </w:t>
            </w:r>
            <w:r w:rsidRPr="006A59E8">
              <w:rPr>
                <w:b/>
                <w:bCs/>
              </w:rPr>
              <w:t>activities</w:t>
            </w:r>
          </w:p>
        </w:tc>
        <w:tc>
          <w:tcPr>
            <w:tcW w:w="1982" w:type="dxa"/>
          </w:tcPr>
          <w:p w14:paraId="1106808C" w14:textId="5A0FA861" w:rsidR="000756EB" w:rsidRPr="006A59E8" w:rsidRDefault="004A4D88" w:rsidP="006A59E8">
            <w:pPr>
              <w:pStyle w:val="TableCopy"/>
              <w:jc w:val="right"/>
              <w:rPr>
                <w:b/>
                <w:bCs/>
              </w:rPr>
            </w:pPr>
            <w:r w:rsidRPr="006A59E8">
              <w:rPr>
                <w:b/>
                <w:bCs/>
              </w:rPr>
              <w:t>243,645</w:t>
            </w:r>
          </w:p>
        </w:tc>
        <w:tc>
          <w:tcPr>
            <w:tcW w:w="1983" w:type="dxa"/>
          </w:tcPr>
          <w:p w14:paraId="417E24BF" w14:textId="25BB829B" w:rsidR="000756EB" w:rsidRPr="006A59E8" w:rsidRDefault="004A4D88" w:rsidP="006A59E8">
            <w:pPr>
              <w:pStyle w:val="TableCopy"/>
              <w:jc w:val="right"/>
              <w:rPr>
                <w:b/>
                <w:bCs/>
              </w:rPr>
            </w:pPr>
            <w:r w:rsidRPr="006A59E8">
              <w:rPr>
                <w:b/>
                <w:bCs/>
              </w:rPr>
              <w:t>195,211</w:t>
            </w:r>
          </w:p>
        </w:tc>
      </w:tr>
    </w:tbl>
    <w:p w14:paraId="07117A65" w14:textId="77777777" w:rsidR="000756EB" w:rsidRPr="00614829" w:rsidRDefault="000756EB" w:rsidP="00614829"/>
    <w:p w14:paraId="08472A92" w14:textId="77777777" w:rsidR="006A59E8" w:rsidRPr="00614829" w:rsidRDefault="006A59E8" w:rsidP="00614829">
      <w:pPr>
        <w:sectPr w:rsidR="006A59E8" w:rsidRPr="00614829" w:rsidSect="00D76126">
          <w:pgSz w:w="11906" w:h="16838" w:code="9"/>
          <w:pgMar w:top="1134" w:right="851" w:bottom="1134" w:left="851" w:header="397" w:footer="397" w:gutter="0"/>
          <w:cols w:space="720"/>
          <w:noEndnote/>
        </w:sectPr>
      </w:pPr>
    </w:p>
    <w:p w14:paraId="12510DAE" w14:textId="5341C5B1" w:rsidR="000756EB" w:rsidRDefault="004A4D88" w:rsidP="008A0977">
      <w:pPr>
        <w:pStyle w:val="Heading2"/>
        <w:rPr>
          <w:rFonts w:ascii="VIC SemiBold" w:hAnsi="VIC SemiBold" w:cs="VIC SemiBold"/>
          <w:sz w:val="22"/>
          <w:szCs w:val="22"/>
        </w:rPr>
      </w:pPr>
      <w:bookmarkStart w:id="99" w:name="_Toc149911828"/>
      <w:r>
        <w:lastRenderedPageBreak/>
        <w:t>7.4</w:t>
      </w:r>
      <w:r w:rsidR="00DE38B5">
        <w:t xml:space="preserve"> </w:t>
      </w:r>
      <w:r>
        <w:t>Trust</w:t>
      </w:r>
      <w:r w:rsidR="00A03629">
        <w:t xml:space="preserve"> </w:t>
      </w:r>
      <w:r>
        <w:t>account</w:t>
      </w:r>
      <w:r w:rsidR="00A03629">
        <w:t xml:space="preserve"> </w:t>
      </w:r>
      <w:r>
        <w:t>balances</w:t>
      </w:r>
      <w:bookmarkEnd w:id="99"/>
    </w:p>
    <w:p w14:paraId="4A868E99" w14:textId="01A4C64A" w:rsidR="000756EB" w:rsidRDefault="004A4D88" w:rsidP="008A0977">
      <w:pPr>
        <w:pStyle w:val="Heading3"/>
        <w:rPr>
          <w:rFonts w:ascii="VIC Light" w:hAnsi="VIC Light" w:cs="VIC Light"/>
          <w:color w:val="000000"/>
          <w:sz w:val="18"/>
          <w:szCs w:val="18"/>
        </w:rPr>
      </w:pPr>
      <w:r>
        <w:t>7.4.1</w:t>
      </w:r>
      <w:r w:rsidR="00DE38B5">
        <w:t xml:space="preserve"> </w:t>
      </w:r>
      <w:r>
        <w:t>Trust</w:t>
      </w:r>
      <w:r w:rsidR="00A03629">
        <w:t xml:space="preserve"> </w:t>
      </w:r>
      <w:r>
        <w:t>account</w:t>
      </w:r>
      <w:r w:rsidR="00A03629">
        <w:t xml:space="preserve"> </w:t>
      </w:r>
      <w:r>
        <w:t>balances</w:t>
      </w:r>
      <w:r w:rsidR="00A03629">
        <w:t xml:space="preserve"> </w:t>
      </w:r>
      <w:r>
        <w:t>relating</w:t>
      </w:r>
      <w:r w:rsidR="00A03629">
        <w:t xml:space="preserve"> </w:t>
      </w:r>
      <w:r>
        <w:t>to</w:t>
      </w:r>
      <w:r w:rsidR="00A03629">
        <w:t xml:space="preserve"> </w:t>
      </w:r>
      <w:r>
        <w:t>trust</w:t>
      </w:r>
      <w:r w:rsidR="00A03629">
        <w:t xml:space="preserve"> </w:t>
      </w:r>
      <w:r>
        <w:t>accounts</w:t>
      </w:r>
      <w:r w:rsidR="00A03629">
        <w:t xml:space="preserve"> </w:t>
      </w:r>
      <w:r>
        <w:t>controlled</w:t>
      </w:r>
      <w:r w:rsidR="00A03629">
        <w:t xml:space="preserve"> </w:t>
      </w:r>
      <w:r>
        <w:t>by</w:t>
      </w:r>
      <w:r w:rsidR="00A03629">
        <w:t xml:space="preserve"> </w:t>
      </w:r>
      <w:r>
        <w:t>DJSIR</w:t>
      </w:r>
    </w:p>
    <w:tbl>
      <w:tblPr>
        <w:tblStyle w:val="TableGrid"/>
        <w:tblW w:w="15003" w:type="dxa"/>
        <w:tblLayout w:type="fixed"/>
        <w:tblLook w:val="0020" w:firstRow="1" w:lastRow="0" w:firstColumn="0" w:lastColumn="0" w:noHBand="0" w:noVBand="0"/>
      </w:tblPr>
      <w:tblGrid>
        <w:gridCol w:w="4957"/>
        <w:gridCol w:w="1081"/>
        <w:gridCol w:w="1253"/>
        <w:gridCol w:w="1081"/>
        <w:gridCol w:w="1159"/>
        <w:gridCol w:w="1081"/>
        <w:gridCol w:w="1082"/>
        <w:gridCol w:w="1081"/>
        <w:gridCol w:w="1146"/>
        <w:gridCol w:w="1082"/>
      </w:tblGrid>
      <w:tr w:rsidR="00C603E4" w:rsidRPr="00C603E4" w14:paraId="4F14C923" w14:textId="77777777" w:rsidTr="00B67A88">
        <w:trPr>
          <w:cantSplit/>
          <w:tblHeader/>
        </w:trPr>
        <w:tc>
          <w:tcPr>
            <w:tcW w:w="4957" w:type="dxa"/>
          </w:tcPr>
          <w:p w14:paraId="6A7C1E6F" w14:textId="4A262F65" w:rsidR="00C603E4" w:rsidRPr="00614829" w:rsidRDefault="00C603E4" w:rsidP="00614829">
            <w:pPr>
              <w:pStyle w:val="TableColumnHeading"/>
              <w:rPr>
                <w:sz w:val="20"/>
                <w:szCs w:val="28"/>
              </w:rPr>
            </w:pPr>
            <w:bookmarkStart w:id="100" w:name="ColumnTitles_59"/>
            <w:bookmarkStart w:id="101" w:name="_Hlk149830824"/>
            <w:bookmarkEnd w:id="100"/>
            <w:r w:rsidRPr="00614829">
              <w:rPr>
                <w:sz w:val="20"/>
                <w:szCs w:val="28"/>
              </w:rPr>
              <w:t>Controlled Trusts</w:t>
            </w:r>
          </w:p>
        </w:tc>
        <w:tc>
          <w:tcPr>
            <w:tcW w:w="1081" w:type="dxa"/>
          </w:tcPr>
          <w:p w14:paraId="36A87C64" w14:textId="5BFB63C1" w:rsidR="00C603E4" w:rsidRPr="00C603E4" w:rsidRDefault="00C603E4" w:rsidP="008A0977">
            <w:pPr>
              <w:pStyle w:val="TableColumnHeading"/>
              <w:jc w:val="right"/>
              <w:rPr>
                <w:rFonts w:asciiTheme="minorHAnsi" w:hAnsiTheme="minorHAnsi" w:cstheme="minorHAnsi"/>
                <w:sz w:val="20"/>
                <w:szCs w:val="28"/>
              </w:rPr>
            </w:pPr>
            <w:r w:rsidRPr="00C603E4">
              <w:rPr>
                <w:rFonts w:asciiTheme="minorHAnsi" w:hAnsiTheme="minorHAnsi" w:cstheme="minorHAnsi"/>
                <w:sz w:val="20"/>
                <w:szCs w:val="28"/>
              </w:rPr>
              <w:t xml:space="preserve">2023 Opening Balance as </w:t>
            </w:r>
            <w:proofErr w:type="gramStart"/>
            <w:r w:rsidRPr="00C603E4">
              <w:rPr>
                <w:rFonts w:asciiTheme="minorHAnsi" w:hAnsiTheme="minorHAnsi" w:cstheme="minorHAnsi"/>
                <w:sz w:val="20"/>
                <w:szCs w:val="28"/>
              </w:rPr>
              <w:t>at</w:t>
            </w:r>
            <w:proofErr w:type="gramEnd"/>
            <w:r w:rsidRPr="00C603E4">
              <w:rPr>
                <w:rFonts w:asciiTheme="minorHAnsi" w:hAnsiTheme="minorHAnsi" w:cstheme="minorHAnsi"/>
                <w:sz w:val="20"/>
                <w:szCs w:val="28"/>
              </w:rPr>
              <w:t xml:space="preserve"> 1 July 2022 ($ thousand) </w:t>
            </w:r>
          </w:p>
        </w:tc>
        <w:tc>
          <w:tcPr>
            <w:tcW w:w="1253" w:type="dxa"/>
          </w:tcPr>
          <w:p w14:paraId="641D6795" w14:textId="5CA41AA3" w:rsidR="00C603E4" w:rsidRPr="00C603E4" w:rsidRDefault="00C603E4" w:rsidP="008A0977">
            <w:pPr>
              <w:pStyle w:val="TableColumnHeading"/>
              <w:jc w:val="right"/>
              <w:rPr>
                <w:rFonts w:asciiTheme="minorHAnsi" w:hAnsiTheme="minorHAnsi" w:cstheme="minorHAnsi"/>
                <w:sz w:val="20"/>
                <w:szCs w:val="28"/>
              </w:rPr>
            </w:pPr>
            <w:r w:rsidRPr="00C603E4">
              <w:rPr>
                <w:rFonts w:asciiTheme="minorHAnsi" w:hAnsiTheme="minorHAnsi" w:cstheme="minorHAnsi"/>
                <w:sz w:val="20"/>
                <w:szCs w:val="28"/>
              </w:rPr>
              <w:t>2023 MOG Transferred in/out ($ thousand)</w:t>
            </w:r>
          </w:p>
        </w:tc>
        <w:tc>
          <w:tcPr>
            <w:tcW w:w="1081" w:type="dxa"/>
          </w:tcPr>
          <w:p w14:paraId="571B9D76" w14:textId="3BBF4A35" w:rsidR="00C603E4" w:rsidRPr="00C603E4" w:rsidRDefault="00C603E4" w:rsidP="008A0977">
            <w:pPr>
              <w:pStyle w:val="TableColumnHeading"/>
              <w:jc w:val="right"/>
              <w:rPr>
                <w:rFonts w:asciiTheme="minorHAnsi" w:hAnsiTheme="minorHAnsi" w:cstheme="minorHAnsi"/>
                <w:sz w:val="20"/>
                <w:szCs w:val="28"/>
              </w:rPr>
            </w:pPr>
            <w:r w:rsidRPr="00C603E4">
              <w:rPr>
                <w:rFonts w:asciiTheme="minorHAnsi" w:hAnsiTheme="minorHAnsi" w:cstheme="minorHAnsi"/>
                <w:sz w:val="20"/>
                <w:szCs w:val="28"/>
              </w:rPr>
              <w:t>2023 Total Receipts ($ thousand)</w:t>
            </w:r>
          </w:p>
        </w:tc>
        <w:tc>
          <w:tcPr>
            <w:tcW w:w="1159" w:type="dxa"/>
          </w:tcPr>
          <w:p w14:paraId="5974AC01" w14:textId="0224E309" w:rsidR="00C603E4" w:rsidRPr="00C603E4" w:rsidRDefault="00C603E4" w:rsidP="008A0977">
            <w:pPr>
              <w:pStyle w:val="TableColumnHeading"/>
              <w:jc w:val="right"/>
              <w:rPr>
                <w:rFonts w:asciiTheme="minorHAnsi" w:hAnsiTheme="minorHAnsi" w:cstheme="minorHAnsi"/>
                <w:sz w:val="20"/>
                <w:szCs w:val="28"/>
              </w:rPr>
            </w:pPr>
            <w:r w:rsidRPr="00C603E4">
              <w:rPr>
                <w:rFonts w:asciiTheme="minorHAnsi" w:hAnsiTheme="minorHAnsi" w:cstheme="minorHAnsi"/>
                <w:sz w:val="20"/>
                <w:szCs w:val="28"/>
              </w:rPr>
              <w:t xml:space="preserve">2023 </w:t>
            </w:r>
            <w:r w:rsidRPr="00C603E4">
              <w:rPr>
                <w:rFonts w:asciiTheme="minorHAnsi" w:hAnsiTheme="minorHAnsi" w:cstheme="minorHAnsi"/>
                <w:spacing w:val="-2"/>
                <w:sz w:val="20"/>
                <w:szCs w:val="28"/>
              </w:rPr>
              <w:t>Total Payments</w:t>
            </w:r>
            <w:r w:rsidRPr="00C603E4">
              <w:rPr>
                <w:rFonts w:asciiTheme="minorHAnsi" w:hAnsiTheme="minorHAnsi" w:cstheme="minorHAnsi"/>
                <w:sz w:val="20"/>
                <w:szCs w:val="28"/>
              </w:rPr>
              <w:t xml:space="preserve"> ($ thousand)</w:t>
            </w:r>
          </w:p>
        </w:tc>
        <w:tc>
          <w:tcPr>
            <w:tcW w:w="1081" w:type="dxa"/>
          </w:tcPr>
          <w:p w14:paraId="6BF79108" w14:textId="0B975AA6" w:rsidR="00C603E4" w:rsidRPr="00C603E4" w:rsidRDefault="00C603E4" w:rsidP="008A0977">
            <w:pPr>
              <w:pStyle w:val="TableColumnHeading"/>
              <w:jc w:val="right"/>
              <w:rPr>
                <w:rFonts w:asciiTheme="minorHAnsi" w:hAnsiTheme="minorHAnsi" w:cstheme="minorHAnsi"/>
                <w:sz w:val="20"/>
                <w:szCs w:val="28"/>
              </w:rPr>
            </w:pPr>
            <w:r w:rsidRPr="00C603E4">
              <w:rPr>
                <w:rFonts w:asciiTheme="minorHAnsi" w:hAnsiTheme="minorHAnsi" w:cstheme="minorHAnsi"/>
                <w:sz w:val="20"/>
                <w:szCs w:val="28"/>
              </w:rPr>
              <w:t xml:space="preserve">2022 Closing balance as </w:t>
            </w:r>
            <w:proofErr w:type="gramStart"/>
            <w:r w:rsidRPr="00C603E4">
              <w:rPr>
                <w:rFonts w:asciiTheme="minorHAnsi" w:hAnsiTheme="minorHAnsi" w:cstheme="minorHAnsi"/>
                <w:sz w:val="20"/>
                <w:szCs w:val="28"/>
              </w:rPr>
              <w:t>at</w:t>
            </w:r>
            <w:proofErr w:type="gramEnd"/>
            <w:r w:rsidRPr="00C603E4">
              <w:rPr>
                <w:rFonts w:asciiTheme="minorHAnsi" w:hAnsiTheme="minorHAnsi" w:cstheme="minorHAnsi"/>
                <w:sz w:val="20"/>
                <w:szCs w:val="28"/>
              </w:rPr>
              <w:t xml:space="preserve"> 30 June 2023 ($ thousand)</w:t>
            </w:r>
          </w:p>
        </w:tc>
        <w:tc>
          <w:tcPr>
            <w:tcW w:w="1082" w:type="dxa"/>
          </w:tcPr>
          <w:p w14:paraId="1383C49D" w14:textId="084422D5" w:rsidR="00C603E4" w:rsidRPr="00C603E4" w:rsidRDefault="00C603E4" w:rsidP="008A0977">
            <w:pPr>
              <w:pStyle w:val="TableColumnHeading"/>
              <w:jc w:val="right"/>
              <w:rPr>
                <w:rFonts w:asciiTheme="minorHAnsi" w:hAnsiTheme="minorHAnsi" w:cstheme="minorHAnsi"/>
                <w:sz w:val="20"/>
                <w:szCs w:val="28"/>
              </w:rPr>
            </w:pPr>
            <w:r w:rsidRPr="00C603E4">
              <w:rPr>
                <w:rFonts w:asciiTheme="minorHAnsi" w:hAnsiTheme="minorHAnsi" w:cstheme="minorHAnsi"/>
                <w:sz w:val="20"/>
                <w:szCs w:val="28"/>
              </w:rPr>
              <w:t xml:space="preserve">2022 Opening Balance as </w:t>
            </w:r>
            <w:proofErr w:type="gramStart"/>
            <w:r w:rsidRPr="00C603E4">
              <w:rPr>
                <w:rFonts w:asciiTheme="minorHAnsi" w:hAnsiTheme="minorHAnsi" w:cstheme="minorHAnsi"/>
                <w:sz w:val="20"/>
                <w:szCs w:val="28"/>
              </w:rPr>
              <w:t>at</w:t>
            </w:r>
            <w:proofErr w:type="gramEnd"/>
            <w:r w:rsidRPr="00C603E4">
              <w:rPr>
                <w:rFonts w:asciiTheme="minorHAnsi" w:hAnsiTheme="minorHAnsi" w:cstheme="minorHAnsi"/>
                <w:sz w:val="20"/>
                <w:szCs w:val="28"/>
              </w:rPr>
              <w:t xml:space="preserve"> 1 July 2021 ($ thousand)</w:t>
            </w:r>
          </w:p>
        </w:tc>
        <w:tc>
          <w:tcPr>
            <w:tcW w:w="1081" w:type="dxa"/>
          </w:tcPr>
          <w:p w14:paraId="411A734E" w14:textId="04782E5A" w:rsidR="00C603E4" w:rsidRPr="00C603E4" w:rsidRDefault="00C603E4" w:rsidP="008A0977">
            <w:pPr>
              <w:pStyle w:val="TableColumnHeading"/>
              <w:jc w:val="right"/>
              <w:rPr>
                <w:rFonts w:asciiTheme="minorHAnsi" w:hAnsiTheme="minorHAnsi" w:cstheme="minorHAnsi"/>
                <w:sz w:val="20"/>
                <w:szCs w:val="28"/>
              </w:rPr>
            </w:pPr>
            <w:r w:rsidRPr="00C603E4">
              <w:rPr>
                <w:rFonts w:asciiTheme="minorHAnsi" w:hAnsiTheme="minorHAnsi" w:cstheme="minorHAnsi"/>
                <w:sz w:val="20"/>
                <w:szCs w:val="28"/>
              </w:rPr>
              <w:t>2022 Total Receipts ($ thousand)</w:t>
            </w:r>
          </w:p>
        </w:tc>
        <w:tc>
          <w:tcPr>
            <w:tcW w:w="1146" w:type="dxa"/>
          </w:tcPr>
          <w:p w14:paraId="2EC660FC" w14:textId="5F9E1748" w:rsidR="00C603E4" w:rsidRPr="00C603E4" w:rsidRDefault="00C603E4" w:rsidP="008A0977">
            <w:pPr>
              <w:pStyle w:val="TableColumnHeading"/>
              <w:jc w:val="right"/>
              <w:rPr>
                <w:rFonts w:asciiTheme="minorHAnsi" w:hAnsiTheme="minorHAnsi" w:cstheme="minorHAnsi"/>
                <w:sz w:val="20"/>
                <w:szCs w:val="28"/>
              </w:rPr>
            </w:pPr>
            <w:r w:rsidRPr="00C603E4">
              <w:rPr>
                <w:rFonts w:asciiTheme="minorHAnsi" w:hAnsiTheme="minorHAnsi" w:cstheme="minorHAnsi"/>
                <w:sz w:val="20"/>
                <w:szCs w:val="28"/>
              </w:rPr>
              <w:t>2022 Total Payments ($ thousand)</w:t>
            </w:r>
          </w:p>
        </w:tc>
        <w:tc>
          <w:tcPr>
            <w:tcW w:w="1082" w:type="dxa"/>
          </w:tcPr>
          <w:p w14:paraId="0B8381BC" w14:textId="322CB626" w:rsidR="00C603E4" w:rsidRPr="00C603E4" w:rsidRDefault="00C603E4" w:rsidP="008A0977">
            <w:pPr>
              <w:pStyle w:val="TableColumnHeading"/>
              <w:jc w:val="right"/>
              <w:rPr>
                <w:rFonts w:asciiTheme="minorHAnsi" w:hAnsiTheme="minorHAnsi" w:cstheme="minorHAnsi"/>
                <w:sz w:val="20"/>
                <w:szCs w:val="28"/>
              </w:rPr>
            </w:pPr>
            <w:r w:rsidRPr="00C603E4">
              <w:rPr>
                <w:rFonts w:asciiTheme="minorHAnsi" w:hAnsiTheme="minorHAnsi" w:cstheme="minorHAnsi"/>
                <w:sz w:val="20"/>
                <w:szCs w:val="28"/>
              </w:rPr>
              <w:t xml:space="preserve">Closing balance as </w:t>
            </w:r>
            <w:proofErr w:type="gramStart"/>
            <w:r w:rsidRPr="00C603E4">
              <w:rPr>
                <w:rFonts w:asciiTheme="minorHAnsi" w:hAnsiTheme="minorHAnsi" w:cstheme="minorHAnsi"/>
                <w:sz w:val="20"/>
                <w:szCs w:val="28"/>
              </w:rPr>
              <w:t>at</w:t>
            </w:r>
            <w:proofErr w:type="gramEnd"/>
            <w:r w:rsidRPr="00C603E4">
              <w:rPr>
                <w:rFonts w:asciiTheme="minorHAnsi" w:hAnsiTheme="minorHAnsi" w:cstheme="minorHAnsi"/>
                <w:sz w:val="20"/>
                <w:szCs w:val="28"/>
              </w:rPr>
              <w:t xml:space="preserve"> 30 June 2022 ($ thousand)</w:t>
            </w:r>
          </w:p>
        </w:tc>
      </w:tr>
      <w:bookmarkEnd w:id="101"/>
      <w:tr w:rsidR="00C603E4" w:rsidRPr="00C603E4" w14:paraId="5A85AFB9" w14:textId="77777777" w:rsidTr="00B67A88">
        <w:trPr>
          <w:cantSplit/>
        </w:trPr>
        <w:tc>
          <w:tcPr>
            <w:tcW w:w="4957" w:type="dxa"/>
          </w:tcPr>
          <w:p w14:paraId="6B751443" w14:textId="143843B6" w:rsidR="00C603E4" w:rsidRPr="00C603E4" w:rsidRDefault="00C603E4" w:rsidP="00C603E4">
            <w:pPr>
              <w:pStyle w:val="TableHeading"/>
              <w:rPr>
                <w:rFonts w:asciiTheme="minorHAnsi" w:hAnsiTheme="minorHAnsi" w:cstheme="minorHAnsi"/>
              </w:rPr>
            </w:pPr>
            <w:r w:rsidRPr="00C603E4">
              <w:rPr>
                <w:rFonts w:asciiTheme="minorHAnsi" w:hAnsiTheme="minorHAnsi" w:cstheme="minorHAnsi"/>
              </w:rPr>
              <w:t>State trusts</w:t>
            </w:r>
          </w:p>
        </w:tc>
        <w:tc>
          <w:tcPr>
            <w:tcW w:w="1081" w:type="dxa"/>
          </w:tcPr>
          <w:p w14:paraId="0597324C" w14:textId="77777777" w:rsidR="00C603E4" w:rsidRPr="00C603E4" w:rsidRDefault="00C603E4" w:rsidP="000F0AA2">
            <w:pPr>
              <w:pStyle w:val="TableHeading"/>
              <w:jc w:val="right"/>
              <w:rPr>
                <w:rFonts w:asciiTheme="minorHAnsi" w:hAnsiTheme="minorHAnsi" w:cstheme="minorHAnsi"/>
                <w:lang w:val="en-AU"/>
              </w:rPr>
            </w:pPr>
          </w:p>
        </w:tc>
        <w:tc>
          <w:tcPr>
            <w:tcW w:w="1253" w:type="dxa"/>
          </w:tcPr>
          <w:p w14:paraId="59A6A5F8" w14:textId="77777777" w:rsidR="00C603E4" w:rsidRPr="00C603E4" w:rsidRDefault="00C603E4" w:rsidP="000F0AA2">
            <w:pPr>
              <w:pStyle w:val="TableHeading"/>
              <w:jc w:val="right"/>
              <w:rPr>
                <w:rFonts w:asciiTheme="minorHAnsi" w:hAnsiTheme="minorHAnsi" w:cstheme="minorHAnsi"/>
                <w:lang w:val="en-AU"/>
              </w:rPr>
            </w:pPr>
          </w:p>
        </w:tc>
        <w:tc>
          <w:tcPr>
            <w:tcW w:w="1081" w:type="dxa"/>
          </w:tcPr>
          <w:p w14:paraId="693A13A7" w14:textId="77777777" w:rsidR="00C603E4" w:rsidRPr="00C603E4" w:rsidRDefault="00C603E4" w:rsidP="000F0AA2">
            <w:pPr>
              <w:pStyle w:val="TableHeading"/>
              <w:jc w:val="right"/>
              <w:rPr>
                <w:rFonts w:asciiTheme="minorHAnsi" w:hAnsiTheme="minorHAnsi" w:cstheme="minorHAnsi"/>
                <w:lang w:val="en-AU"/>
              </w:rPr>
            </w:pPr>
          </w:p>
        </w:tc>
        <w:tc>
          <w:tcPr>
            <w:tcW w:w="1159" w:type="dxa"/>
          </w:tcPr>
          <w:p w14:paraId="7410D178" w14:textId="77777777" w:rsidR="00C603E4" w:rsidRPr="00C603E4" w:rsidRDefault="00C603E4" w:rsidP="000F0AA2">
            <w:pPr>
              <w:pStyle w:val="TableHeading"/>
              <w:jc w:val="right"/>
              <w:rPr>
                <w:rFonts w:asciiTheme="minorHAnsi" w:hAnsiTheme="minorHAnsi" w:cstheme="minorHAnsi"/>
                <w:lang w:val="en-AU"/>
              </w:rPr>
            </w:pPr>
          </w:p>
        </w:tc>
        <w:tc>
          <w:tcPr>
            <w:tcW w:w="1081" w:type="dxa"/>
          </w:tcPr>
          <w:p w14:paraId="4440E6B3" w14:textId="77777777" w:rsidR="00C603E4" w:rsidRPr="00C603E4" w:rsidRDefault="00C603E4" w:rsidP="000F0AA2">
            <w:pPr>
              <w:pStyle w:val="TableHeading"/>
              <w:jc w:val="right"/>
              <w:rPr>
                <w:rFonts w:asciiTheme="minorHAnsi" w:hAnsiTheme="minorHAnsi" w:cstheme="minorHAnsi"/>
                <w:lang w:val="en-AU"/>
              </w:rPr>
            </w:pPr>
          </w:p>
        </w:tc>
        <w:tc>
          <w:tcPr>
            <w:tcW w:w="1082" w:type="dxa"/>
          </w:tcPr>
          <w:p w14:paraId="08DF2F7B" w14:textId="77777777" w:rsidR="00C603E4" w:rsidRPr="00C603E4" w:rsidRDefault="00C603E4" w:rsidP="000F0AA2">
            <w:pPr>
              <w:pStyle w:val="TableHeading"/>
              <w:jc w:val="right"/>
              <w:rPr>
                <w:rFonts w:asciiTheme="minorHAnsi" w:hAnsiTheme="minorHAnsi" w:cstheme="minorHAnsi"/>
                <w:lang w:val="en-AU"/>
              </w:rPr>
            </w:pPr>
          </w:p>
        </w:tc>
        <w:tc>
          <w:tcPr>
            <w:tcW w:w="1081" w:type="dxa"/>
          </w:tcPr>
          <w:p w14:paraId="752D3BFA" w14:textId="77777777" w:rsidR="00C603E4" w:rsidRPr="00C603E4" w:rsidRDefault="00C603E4" w:rsidP="000F0AA2">
            <w:pPr>
              <w:pStyle w:val="TableHeading"/>
              <w:jc w:val="right"/>
              <w:rPr>
                <w:rFonts w:asciiTheme="minorHAnsi" w:hAnsiTheme="minorHAnsi" w:cstheme="minorHAnsi"/>
                <w:lang w:val="en-AU"/>
              </w:rPr>
            </w:pPr>
          </w:p>
        </w:tc>
        <w:tc>
          <w:tcPr>
            <w:tcW w:w="1146" w:type="dxa"/>
          </w:tcPr>
          <w:p w14:paraId="6362CBCC" w14:textId="77777777" w:rsidR="00C603E4" w:rsidRPr="00C603E4" w:rsidRDefault="00C603E4" w:rsidP="000F0AA2">
            <w:pPr>
              <w:pStyle w:val="TableHeading"/>
              <w:jc w:val="right"/>
              <w:rPr>
                <w:rFonts w:asciiTheme="minorHAnsi" w:hAnsiTheme="minorHAnsi" w:cstheme="minorHAnsi"/>
                <w:lang w:val="en-AU"/>
              </w:rPr>
            </w:pPr>
          </w:p>
        </w:tc>
        <w:tc>
          <w:tcPr>
            <w:tcW w:w="1082" w:type="dxa"/>
          </w:tcPr>
          <w:p w14:paraId="60313330" w14:textId="77777777" w:rsidR="00C603E4" w:rsidRPr="00C603E4" w:rsidRDefault="00C603E4" w:rsidP="000F0AA2">
            <w:pPr>
              <w:pStyle w:val="TableHeading"/>
              <w:jc w:val="right"/>
              <w:rPr>
                <w:rFonts w:asciiTheme="minorHAnsi" w:hAnsiTheme="minorHAnsi" w:cstheme="minorHAnsi"/>
                <w:lang w:val="en-AU"/>
              </w:rPr>
            </w:pPr>
          </w:p>
        </w:tc>
      </w:tr>
      <w:tr w:rsidR="00C603E4" w14:paraId="24536B02" w14:textId="77777777" w:rsidTr="00B67A88">
        <w:trPr>
          <w:cantSplit/>
        </w:trPr>
        <w:tc>
          <w:tcPr>
            <w:tcW w:w="4957" w:type="dxa"/>
          </w:tcPr>
          <w:p w14:paraId="55B32CA4" w14:textId="0975A51A" w:rsidR="00C603E4" w:rsidRDefault="00C603E4" w:rsidP="00C603E4">
            <w:pPr>
              <w:pStyle w:val="TableCopy"/>
            </w:pPr>
            <w:r w:rsidRPr="00C603E4">
              <w:rPr>
                <w:b/>
                <w:bCs/>
              </w:rPr>
              <w:t>Regional Jobs and Infrastructure Fund</w:t>
            </w:r>
            <w:r w:rsidRPr="00D05F44">
              <w:t xml:space="preserve"> </w:t>
            </w:r>
            <w:r>
              <w:t xml:space="preserve">Established under the </w:t>
            </w:r>
            <w:r w:rsidRPr="008A0977">
              <w:rPr>
                <w:i/>
                <w:iCs/>
              </w:rPr>
              <w:t>Regional Growth Fund Act 2011</w:t>
            </w:r>
            <w:r>
              <w:t xml:space="preserve"> to support regional cities and country communities in infrastructure, facilities, services, job creation, career opportunities and to increase investment.</w:t>
            </w:r>
          </w:p>
        </w:tc>
        <w:tc>
          <w:tcPr>
            <w:tcW w:w="1081" w:type="dxa"/>
          </w:tcPr>
          <w:p w14:paraId="55C460A6" w14:textId="10F24672" w:rsidR="00C603E4" w:rsidRDefault="00C603E4" w:rsidP="000F0AA2">
            <w:pPr>
              <w:pStyle w:val="TableCopy"/>
              <w:jc w:val="right"/>
            </w:pPr>
            <w:r>
              <w:t>124,997</w:t>
            </w:r>
          </w:p>
        </w:tc>
        <w:tc>
          <w:tcPr>
            <w:tcW w:w="1253" w:type="dxa"/>
          </w:tcPr>
          <w:p w14:paraId="0685EBAF" w14:textId="497A5943" w:rsidR="00C603E4" w:rsidRDefault="00C603E4" w:rsidP="000F0AA2">
            <w:pPr>
              <w:pStyle w:val="TableCopy"/>
              <w:jc w:val="right"/>
            </w:pPr>
            <w:r>
              <w:t>–</w:t>
            </w:r>
          </w:p>
        </w:tc>
        <w:tc>
          <w:tcPr>
            <w:tcW w:w="1081" w:type="dxa"/>
          </w:tcPr>
          <w:p w14:paraId="5AAF3AF7" w14:textId="75BF47C9" w:rsidR="00C603E4" w:rsidRDefault="00C603E4" w:rsidP="000F0AA2">
            <w:pPr>
              <w:pStyle w:val="TableCopy"/>
              <w:jc w:val="right"/>
            </w:pPr>
            <w:r>
              <w:t>83,954</w:t>
            </w:r>
          </w:p>
        </w:tc>
        <w:tc>
          <w:tcPr>
            <w:tcW w:w="1159" w:type="dxa"/>
          </w:tcPr>
          <w:p w14:paraId="0F75FDE2" w14:textId="77777777" w:rsidR="00C603E4" w:rsidRDefault="00C603E4" w:rsidP="000F0AA2">
            <w:pPr>
              <w:pStyle w:val="TableCopy"/>
              <w:jc w:val="right"/>
            </w:pPr>
            <w:r>
              <w:t>(43,138)</w:t>
            </w:r>
          </w:p>
        </w:tc>
        <w:tc>
          <w:tcPr>
            <w:tcW w:w="1081" w:type="dxa"/>
          </w:tcPr>
          <w:p w14:paraId="3C998D03" w14:textId="4631F22A" w:rsidR="00C603E4" w:rsidRDefault="00C603E4" w:rsidP="000F0AA2">
            <w:pPr>
              <w:pStyle w:val="TableCopy"/>
              <w:jc w:val="right"/>
            </w:pPr>
            <w:r>
              <w:t>165,814</w:t>
            </w:r>
          </w:p>
        </w:tc>
        <w:tc>
          <w:tcPr>
            <w:tcW w:w="1082" w:type="dxa"/>
          </w:tcPr>
          <w:p w14:paraId="69C3719F" w14:textId="052410C0" w:rsidR="00C603E4" w:rsidRDefault="00C603E4" w:rsidP="000F0AA2">
            <w:pPr>
              <w:pStyle w:val="TableCopy"/>
              <w:jc w:val="right"/>
            </w:pPr>
            <w:r>
              <w:t>147,557</w:t>
            </w:r>
          </w:p>
        </w:tc>
        <w:tc>
          <w:tcPr>
            <w:tcW w:w="1081" w:type="dxa"/>
          </w:tcPr>
          <w:p w14:paraId="09EAD02F" w14:textId="53A340E8" w:rsidR="00C603E4" w:rsidRDefault="00C603E4" w:rsidP="000F0AA2">
            <w:pPr>
              <w:pStyle w:val="TableCopy"/>
              <w:jc w:val="right"/>
            </w:pPr>
            <w:r>
              <w:t>41,362</w:t>
            </w:r>
          </w:p>
        </w:tc>
        <w:tc>
          <w:tcPr>
            <w:tcW w:w="1146" w:type="dxa"/>
          </w:tcPr>
          <w:p w14:paraId="10415260" w14:textId="77777777" w:rsidR="00C603E4" w:rsidRDefault="00C603E4" w:rsidP="000F0AA2">
            <w:pPr>
              <w:pStyle w:val="TableCopy"/>
              <w:jc w:val="right"/>
            </w:pPr>
            <w:r>
              <w:t>(63,922)</w:t>
            </w:r>
          </w:p>
        </w:tc>
        <w:tc>
          <w:tcPr>
            <w:tcW w:w="1082" w:type="dxa"/>
          </w:tcPr>
          <w:p w14:paraId="3501E24D" w14:textId="38FDF619" w:rsidR="00C603E4" w:rsidRDefault="00C603E4" w:rsidP="000F0AA2">
            <w:pPr>
              <w:pStyle w:val="TableCopy"/>
              <w:jc w:val="right"/>
            </w:pPr>
            <w:r>
              <w:t>124,997</w:t>
            </w:r>
          </w:p>
        </w:tc>
      </w:tr>
      <w:tr w:rsidR="00C603E4" w14:paraId="0D3BB1E0" w14:textId="77777777" w:rsidTr="00B67A88">
        <w:trPr>
          <w:cantSplit/>
        </w:trPr>
        <w:tc>
          <w:tcPr>
            <w:tcW w:w="4957" w:type="dxa"/>
          </w:tcPr>
          <w:p w14:paraId="2F3CE6B2" w14:textId="39133A94" w:rsidR="00C603E4" w:rsidRDefault="00C603E4" w:rsidP="00C603E4">
            <w:pPr>
              <w:pStyle w:val="TableCopy"/>
            </w:pPr>
            <w:r w:rsidRPr="008A0977">
              <w:rPr>
                <w:b/>
                <w:bCs/>
              </w:rPr>
              <w:t xml:space="preserve">State Development Special Projects Trust Account </w:t>
            </w:r>
            <w:r>
              <w:rPr>
                <w:spacing w:val="-1"/>
              </w:rPr>
              <w:t xml:space="preserve">Established under section 19 of the </w:t>
            </w:r>
            <w:r w:rsidRPr="008A0977">
              <w:rPr>
                <w:i/>
                <w:iCs/>
              </w:rPr>
              <w:t>Financial Management Act 1994</w:t>
            </w:r>
            <w:r>
              <w:rPr>
                <w:spacing w:val="-1"/>
              </w:rPr>
              <w:t xml:space="preserve">, to assist in facilitating, encouraging, </w:t>
            </w:r>
            <w:proofErr w:type="gramStart"/>
            <w:r>
              <w:rPr>
                <w:spacing w:val="-1"/>
              </w:rPr>
              <w:t>promoting</w:t>
            </w:r>
            <w:proofErr w:type="gramEnd"/>
            <w:r>
              <w:rPr>
                <w:spacing w:val="-1"/>
              </w:rPr>
              <w:t xml:space="preserve"> and carrying out activities leading to a balanced economic development of the State of Victoria.</w:t>
            </w:r>
          </w:p>
        </w:tc>
        <w:tc>
          <w:tcPr>
            <w:tcW w:w="1081" w:type="dxa"/>
          </w:tcPr>
          <w:p w14:paraId="4E6B12A1" w14:textId="01D6F38E" w:rsidR="00C603E4" w:rsidRDefault="00C603E4" w:rsidP="000F0AA2">
            <w:pPr>
              <w:pStyle w:val="TableCopy"/>
              <w:jc w:val="right"/>
            </w:pPr>
            <w:r>
              <w:t>48,389</w:t>
            </w:r>
          </w:p>
        </w:tc>
        <w:tc>
          <w:tcPr>
            <w:tcW w:w="1253" w:type="dxa"/>
          </w:tcPr>
          <w:p w14:paraId="02698BE6" w14:textId="77777777" w:rsidR="00C603E4" w:rsidRDefault="00C603E4" w:rsidP="000F0AA2">
            <w:pPr>
              <w:pStyle w:val="TableCopy"/>
              <w:jc w:val="right"/>
            </w:pPr>
            <w:r>
              <w:t>(12,420)</w:t>
            </w:r>
          </w:p>
        </w:tc>
        <w:tc>
          <w:tcPr>
            <w:tcW w:w="1081" w:type="dxa"/>
          </w:tcPr>
          <w:p w14:paraId="2628950D" w14:textId="2E4A333A" w:rsidR="00C603E4" w:rsidRDefault="00C603E4" w:rsidP="000F0AA2">
            <w:pPr>
              <w:pStyle w:val="TableCopy"/>
              <w:jc w:val="right"/>
            </w:pPr>
            <w:r>
              <w:t>28,838</w:t>
            </w:r>
          </w:p>
        </w:tc>
        <w:tc>
          <w:tcPr>
            <w:tcW w:w="1159" w:type="dxa"/>
          </w:tcPr>
          <w:p w14:paraId="7DEAEACA" w14:textId="77777777" w:rsidR="00C603E4" w:rsidRDefault="00C603E4" w:rsidP="000F0AA2">
            <w:pPr>
              <w:pStyle w:val="TableCopy"/>
              <w:jc w:val="right"/>
            </w:pPr>
            <w:r>
              <w:t>(14,300)</w:t>
            </w:r>
          </w:p>
        </w:tc>
        <w:tc>
          <w:tcPr>
            <w:tcW w:w="1081" w:type="dxa"/>
          </w:tcPr>
          <w:p w14:paraId="383E3AC6" w14:textId="6F9C0B17" w:rsidR="00C603E4" w:rsidRDefault="00C603E4" w:rsidP="000F0AA2">
            <w:pPr>
              <w:pStyle w:val="TableCopy"/>
              <w:jc w:val="right"/>
            </w:pPr>
            <w:r>
              <w:t>50,507</w:t>
            </w:r>
          </w:p>
        </w:tc>
        <w:tc>
          <w:tcPr>
            <w:tcW w:w="1082" w:type="dxa"/>
          </w:tcPr>
          <w:p w14:paraId="46618D47" w14:textId="50626C16" w:rsidR="00C603E4" w:rsidRDefault="00C603E4" w:rsidP="000F0AA2">
            <w:pPr>
              <w:pStyle w:val="TableCopy"/>
              <w:jc w:val="right"/>
            </w:pPr>
            <w:r>
              <w:t>44,780</w:t>
            </w:r>
          </w:p>
        </w:tc>
        <w:tc>
          <w:tcPr>
            <w:tcW w:w="1081" w:type="dxa"/>
          </w:tcPr>
          <w:p w14:paraId="2775C458" w14:textId="6AD97636" w:rsidR="00C603E4" w:rsidRDefault="00C603E4" w:rsidP="000F0AA2">
            <w:pPr>
              <w:pStyle w:val="TableCopy"/>
              <w:jc w:val="right"/>
            </w:pPr>
            <w:r>
              <w:t>11,072</w:t>
            </w:r>
          </w:p>
        </w:tc>
        <w:tc>
          <w:tcPr>
            <w:tcW w:w="1146" w:type="dxa"/>
          </w:tcPr>
          <w:p w14:paraId="6BFA3EDB" w14:textId="77777777" w:rsidR="00C603E4" w:rsidRDefault="00C603E4" w:rsidP="000F0AA2">
            <w:pPr>
              <w:pStyle w:val="TableCopy"/>
              <w:jc w:val="right"/>
            </w:pPr>
            <w:r>
              <w:t>(7,463)</w:t>
            </w:r>
          </w:p>
        </w:tc>
        <w:tc>
          <w:tcPr>
            <w:tcW w:w="1082" w:type="dxa"/>
          </w:tcPr>
          <w:p w14:paraId="7A4A3E0F" w14:textId="3398D6E0" w:rsidR="00C603E4" w:rsidRDefault="00C603E4" w:rsidP="000F0AA2">
            <w:pPr>
              <w:pStyle w:val="TableCopy"/>
              <w:jc w:val="right"/>
            </w:pPr>
            <w:r>
              <w:t>48,389</w:t>
            </w:r>
          </w:p>
        </w:tc>
      </w:tr>
      <w:tr w:rsidR="00C603E4" w14:paraId="5A34C748" w14:textId="77777777" w:rsidTr="00B67A88">
        <w:trPr>
          <w:cantSplit/>
        </w:trPr>
        <w:tc>
          <w:tcPr>
            <w:tcW w:w="4957" w:type="dxa"/>
          </w:tcPr>
          <w:p w14:paraId="46238B8F" w14:textId="31BB06CD" w:rsidR="00C603E4" w:rsidRPr="00AB06AB" w:rsidRDefault="00C603E4" w:rsidP="00C603E4">
            <w:pPr>
              <w:pStyle w:val="TableCopy"/>
              <w:rPr>
                <w:spacing w:val="-2"/>
              </w:rPr>
            </w:pPr>
            <w:r w:rsidRPr="00AB06AB">
              <w:rPr>
                <w:b/>
                <w:bCs/>
                <w:spacing w:val="-2"/>
              </w:rPr>
              <w:lastRenderedPageBreak/>
              <w:t>Agriculture Projects Trust Account</w:t>
            </w:r>
            <w:r w:rsidRPr="00AB06AB">
              <w:rPr>
                <w:spacing w:val="-2"/>
              </w:rPr>
              <w:t xml:space="preserve"> Established under section 19 of the </w:t>
            </w:r>
            <w:r w:rsidRPr="00AB06AB">
              <w:rPr>
                <w:i/>
                <w:iCs/>
                <w:spacing w:val="-2"/>
              </w:rPr>
              <w:t>Financial Management Act 1994</w:t>
            </w:r>
            <w:r w:rsidRPr="00AB06AB">
              <w:rPr>
                <w:spacing w:val="-2"/>
              </w:rPr>
              <w:t xml:space="preserve">, to assist in facilitating, encouraging, </w:t>
            </w:r>
            <w:proofErr w:type="gramStart"/>
            <w:r w:rsidRPr="00AB06AB">
              <w:rPr>
                <w:spacing w:val="-2"/>
              </w:rPr>
              <w:t>promoting</w:t>
            </w:r>
            <w:proofErr w:type="gramEnd"/>
            <w:r w:rsidRPr="00AB06AB">
              <w:rPr>
                <w:spacing w:val="-2"/>
              </w:rPr>
              <w:t xml:space="preserve"> and carrying out activities leading to a balanced economic development of the State of Victoria.</w:t>
            </w:r>
          </w:p>
        </w:tc>
        <w:tc>
          <w:tcPr>
            <w:tcW w:w="1081" w:type="dxa"/>
          </w:tcPr>
          <w:p w14:paraId="5CADB4BB" w14:textId="09782087" w:rsidR="00C603E4" w:rsidRDefault="00C603E4" w:rsidP="000F0AA2">
            <w:pPr>
              <w:pStyle w:val="TableCopy"/>
              <w:jc w:val="right"/>
            </w:pPr>
            <w:r>
              <w:t>55,091</w:t>
            </w:r>
          </w:p>
        </w:tc>
        <w:tc>
          <w:tcPr>
            <w:tcW w:w="1253" w:type="dxa"/>
          </w:tcPr>
          <w:p w14:paraId="587513D3" w14:textId="77777777" w:rsidR="00C603E4" w:rsidRDefault="00C603E4" w:rsidP="000F0AA2">
            <w:pPr>
              <w:pStyle w:val="TableCopy"/>
              <w:jc w:val="right"/>
            </w:pPr>
            <w:r>
              <w:t>(55,216)</w:t>
            </w:r>
          </w:p>
        </w:tc>
        <w:tc>
          <w:tcPr>
            <w:tcW w:w="1081" w:type="dxa"/>
          </w:tcPr>
          <w:p w14:paraId="1E866CAE" w14:textId="608483A7" w:rsidR="00C603E4" w:rsidRDefault="00C603E4" w:rsidP="000F0AA2">
            <w:pPr>
              <w:pStyle w:val="TableCopy"/>
              <w:jc w:val="right"/>
            </w:pPr>
            <w:r>
              <w:t>13,535</w:t>
            </w:r>
          </w:p>
        </w:tc>
        <w:tc>
          <w:tcPr>
            <w:tcW w:w="1159" w:type="dxa"/>
          </w:tcPr>
          <w:p w14:paraId="26041FB0" w14:textId="77777777" w:rsidR="00C603E4" w:rsidRDefault="00C603E4" w:rsidP="000F0AA2">
            <w:pPr>
              <w:pStyle w:val="TableCopy"/>
              <w:jc w:val="right"/>
            </w:pPr>
            <w:r>
              <w:t>(12,966)</w:t>
            </w:r>
          </w:p>
        </w:tc>
        <w:tc>
          <w:tcPr>
            <w:tcW w:w="1081" w:type="dxa"/>
          </w:tcPr>
          <w:p w14:paraId="07405990" w14:textId="56BB88BD" w:rsidR="00C603E4" w:rsidRDefault="00C603E4" w:rsidP="000F0AA2">
            <w:pPr>
              <w:pStyle w:val="TableCopy"/>
              <w:jc w:val="right"/>
            </w:pPr>
            <w:r>
              <w:t>445</w:t>
            </w:r>
          </w:p>
        </w:tc>
        <w:tc>
          <w:tcPr>
            <w:tcW w:w="1082" w:type="dxa"/>
          </w:tcPr>
          <w:p w14:paraId="4AB8ACBF" w14:textId="7379AA27" w:rsidR="00C603E4" w:rsidRDefault="00C603E4" w:rsidP="000F0AA2">
            <w:pPr>
              <w:pStyle w:val="TableCopy"/>
              <w:jc w:val="right"/>
            </w:pPr>
            <w:r>
              <w:t>55,681</w:t>
            </w:r>
          </w:p>
        </w:tc>
        <w:tc>
          <w:tcPr>
            <w:tcW w:w="1081" w:type="dxa"/>
          </w:tcPr>
          <w:p w14:paraId="29C80783" w14:textId="1D817ECD" w:rsidR="00C603E4" w:rsidRDefault="00C603E4" w:rsidP="000F0AA2">
            <w:pPr>
              <w:pStyle w:val="TableCopy"/>
              <w:jc w:val="right"/>
            </w:pPr>
            <w:r>
              <w:t>23,254</w:t>
            </w:r>
          </w:p>
        </w:tc>
        <w:tc>
          <w:tcPr>
            <w:tcW w:w="1146" w:type="dxa"/>
          </w:tcPr>
          <w:p w14:paraId="79D4E42F" w14:textId="77777777" w:rsidR="00C603E4" w:rsidRDefault="00C603E4" w:rsidP="000F0AA2">
            <w:pPr>
              <w:pStyle w:val="TableCopy"/>
              <w:jc w:val="right"/>
            </w:pPr>
            <w:r>
              <w:t>(23,844)</w:t>
            </w:r>
          </w:p>
        </w:tc>
        <w:tc>
          <w:tcPr>
            <w:tcW w:w="1082" w:type="dxa"/>
          </w:tcPr>
          <w:p w14:paraId="7742D6BB" w14:textId="0BEA2FDB" w:rsidR="00C603E4" w:rsidRDefault="00C603E4" w:rsidP="000F0AA2">
            <w:pPr>
              <w:pStyle w:val="TableCopy"/>
              <w:jc w:val="right"/>
            </w:pPr>
            <w:r>
              <w:t>55,091</w:t>
            </w:r>
          </w:p>
        </w:tc>
      </w:tr>
      <w:tr w:rsidR="00C603E4" w14:paraId="7BBADE86" w14:textId="77777777" w:rsidTr="00B67A88">
        <w:trPr>
          <w:cantSplit/>
        </w:trPr>
        <w:tc>
          <w:tcPr>
            <w:tcW w:w="4957" w:type="dxa"/>
          </w:tcPr>
          <w:p w14:paraId="35CDFF08" w14:textId="063E4405" w:rsidR="00C603E4" w:rsidRDefault="00C603E4" w:rsidP="00C603E4">
            <w:pPr>
              <w:pStyle w:val="TableCopy"/>
            </w:pPr>
            <w:r w:rsidRPr="008A0977">
              <w:rPr>
                <w:b/>
                <w:bCs/>
              </w:rPr>
              <w:t>Disease Compensation Funds</w:t>
            </w:r>
            <w:r w:rsidR="008A0977" w:rsidRPr="00D05F44">
              <w:t xml:space="preserve"> </w:t>
            </w:r>
            <w:r>
              <w:t>Established under section 5 of the</w:t>
            </w:r>
            <w:r w:rsidRPr="00560218">
              <w:t xml:space="preserve"> </w:t>
            </w:r>
            <w:r w:rsidRPr="008A0977">
              <w:rPr>
                <w:i/>
                <w:iCs/>
              </w:rPr>
              <w:t>Livestock Disease Control Act 1994</w:t>
            </w:r>
            <w:r>
              <w:t xml:space="preserve"> to support the control and eradication of any outbreak and to provide compensation for livestock destroyed due to suffering or</w:t>
            </w:r>
            <w:r>
              <w:rPr>
                <w:rFonts w:ascii="Cambria" w:hAnsi="Cambria" w:cs="Cambria"/>
              </w:rPr>
              <w:t xml:space="preserve"> </w:t>
            </w:r>
            <w:r>
              <w:t>suspected of suffering from diseases.</w:t>
            </w:r>
          </w:p>
        </w:tc>
        <w:tc>
          <w:tcPr>
            <w:tcW w:w="1081" w:type="dxa"/>
          </w:tcPr>
          <w:p w14:paraId="3ABDA2A2" w14:textId="323A8C92" w:rsidR="00C603E4" w:rsidRDefault="00C603E4" w:rsidP="000F0AA2">
            <w:pPr>
              <w:pStyle w:val="TableCopy"/>
              <w:jc w:val="right"/>
            </w:pPr>
            <w:r>
              <w:t>44,824</w:t>
            </w:r>
          </w:p>
        </w:tc>
        <w:tc>
          <w:tcPr>
            <w:tcW w:w="1253" w:type="dxa"/>
          </w:tcPr>
          <w:p w14:paraId="77E229F8" w14:textId="77777777" w:rsidR="00C603E4" w:rsidRDefault="00C603E4" w:rsidP="000F0AA2">
            <w:pPr>
              <w:pStyle w:val="TableCopy"/>
              <w:jc w:val="right"/>
            </w:pPr>
            <w:r>
              <w:t>(47,062)</w:t>
            </w:r>
          </w:p>
        </w:tc>
        <w:tc>
          <w:tcPr>
            <w:tcW w:w="1081" w:type="dxa"/>
          </w:tcPr>
          <w:p w14:paraId="3A710ED9" w14:textId="0B2F96BB" w:rsidR="00C603E4" w:rsidRDefault="00C603E4" w:rsidP="000F0AA2">
            <w:pPr>
              <w:pStyle w:val="TableCopy"/>
              <w:jc w:val="right"/>
            </w:pPr>
            <w:r>
              <w:t>4,635</w:t>
            </w:r>
          </w:p>
        </w:tc>
        <w:tc>
          <w:tcPr>
            <w:tcW w:w="1159" w:type="dxa"/>
          </w:tcPr>
          <w:p w14:paraId="1E536922" w14:textId="77777777" w:rsidR="00C603E4" w:rsidRDefault="00C603E4" w:rsidP="000F0AA2">
            <w:pPr>
              <w:pStyle w:val="TableCopy"/>
              <w:jc w:val="right"/>
            </w:pPr>
            <w:r>
              <w:t>(2,398)</w:t>
            </w:r>
          </w:p>
        </w:tc>
        <w:tc>
          <w:tcPr>
            <w:tcW w:w="1081" w:type="dxa"/>
          </w:tcPr>
          <w:p w14:paraId="00F51014" w14:textId="5AE84CC0" w:rsidR="00C603E4" w:rsidRDefault="00C603E4" w:rsidP="000F0AA2">
            <w:pPr>
              <w:pStyle w:val="TableCopy"/>
              <w:jc w:val="right"/>
            </w:pPr>
            <w:r>
              <w:t>–</w:t>
            </w:r>
          </w:p>
        </w:tc>
        <w:tc>
          <w:tcPr>
            <w:tcW w:w="1082" w:type="dxa"/>
          </w:tcPr>
          <w:p w14:paraId="547670C2" w14:textId="1CD55597" w:rsidR="00C603E4" w:rsidRDefault="00C603E4" w:rsidP="000F0AA2">
            <w:pPr>
              <w:pStyle w:val="TableCopy"/>
              <w:jc w:val="right"/>
            </w:pPr>
            <w:r>
              <w:t>40,216</w:t>
            </w:r>
          </w:p>
        </w:tc>
        <w:tc>
          <w:tcPr>
            <w:tcW w:w="1081" w:type="dxa"/>
          </w:tcPr>
          <w:p w14:paraId="5ED0A3BC" w14:textId="3F4154A7" w:rsidR="00C603E4" w:rsidRDefault="00C603E4" w:rsidP="000F0AA2">
            <w:pPr>
              <w:pStyle w:val="TableCopy"/>
              <w:jc w:val="right"/>
            </w:pPr>
            <w:r>
              <w:t>9,355</w:t>
            </w:r>
          </w:p>
        </w:tc>
        <w:tc>
          <w:tcPr>
            <w:tcW w:w="1146" w:type="dxa"/>
          </w:tcPr>
          <w:p w14:paraId="05263FC3" w14:textId="77777777" w:rsidR="00C603E4" w:rsidRDefault="00C603E4" w:rsidP="000F0AA2">
            <w:pPr>
              <w:pStyle w:val="TableCopy"/>
              <w:jc w:val="right"/>
            </w:pPr>
            <w:r>
              <w:t>(4,747)</w:t>
            </w:r>
          </w:p>
        </w:tc>
        <w:tc>
          <w:tcPr>
            <w:tcW w:w="1082" w:type="dxa"/>
          </w:tcPr>
          <w:p w14:paraId="2768D4DD" w14:textId="4859597E" w:rsidR="00C603E4" w:rsidRDefault="00C603E4" w:rsidP="000F0AA2">
            <w:pPr>
              <w:pStyle w:val="TableCopy"/>
              <w:jc w:val="right"/>
            </w:pPr>
            <w:r>
              <w:t>44,824</w:t>
            </w:r>
          </w:p>
        </w:tc>
      </w:tr>
      <w:tr w:rsidR="00C603E4" w14:paraId="22202F5E" w14:textId="77777777" w:rsidTr="00B67A88">
        <w:trPr>
          <w:cantSplit/>
        </w:trPr>
        <w:tc>
          <w:tcPr>
            <w:tcW w:w="4957" w:type="dxa"/>
          </w:tcPr>
          <w:p w14:paraId="4AF7BC61" w14:textId="0A94295E" w:rsidR="00C603E4" w:rsidRDefault="00C603E4" w:rsidP="008A0977">
            <w:pPr>
              <w:pStyle w:val="TableCopy"/>
            </w:pPr>
            <w:r w:rsidRPr="008A0977">
              <w:rPr>
                <w:b/>
                <w:bCs/>
              </w:rPr>
              <w:t>Plant, Equipment and Machinery Trust Accounts</w:t>
            </w:r>
            <w:r w:rsidR="008A0977" w:rsidRPr="00D05F44">
              <w:t xml:space="preserve"> </w:t>
            </w:r>
            <w:r>
              <w:t xml:space="preserve">Operate under section 23 of the </w:t>
            </w:r>
            <w:r w:rsidRPr="008A0977">
              <w:rPr>
                <w:i/>
                <w:iCs/>
              </w:rPr>
              <w:t>Conservation, Forests and Lands Act 1987</w:t>
            </w:r>
            <w:r w:rsidRPr="00560218">
              <w:t xml:space="preserve"> </w:t>
            </w:r>
            <w:r>
              <w:t xml:space="preserve">and section 141 of the </w:t>
            </w:r>
            <w:r w:rsidRPr="008A0977">
              <w:rPr>
                <w:i/>
                <w:iCs/>
              </w:rPr>
              <w:t>Fisheries Act 1995</w:t>
            </w:r>
            <w:r>
              <w:t xml:space="preserve"> to enable the purchase of plant, equipment or machinery required for the purposes of the Acts, and for the operation, maintenance and repair of that plant, </w:t>
            </w:r>
            <w:proofErr w:type="gramStart"/>
            <w:r>
              <w:t>equipment</w:t>
            </w:r>
            <w:proofErr w:type="gramEnd"/>
            <w:r>
              <w:t xml:space="preserve"> or machinery, and to enable the payment of any other expenses in relation thereto.</w:t>
            </w:r>
          </w:p>
        </w:tc>
        <w:tc>
          <w:tcPr>
            <w:tcW w:w="1081" w:type="dxa"/>
          </w:tcPr>
          <w:p w14:paraId="1D02BF44" w14:textId="26CB13E9" w:rsidR="00C603E4" w:rsidRDefault="00C603E4" w:rsidP="000F0AA2">
            <w:pPr>
              <w:pStyle w:val="TableCopy"/>
              <w:jc w:val="right"/>
            </w:pPr>
            <w:r>
              <w:t>1,947</w:t>
            </w:r>
          </w:p>
        </w:tc>
        <w:tc>
          <w:tcPr>
            <w:tcW w:w="1253" w:type="dxa"/>
          </w:tcPr>
          <w:p w14:paraId="27871FF6" w14:textId="77777777" w:rsidR="00C603E4" w:rsidRDefault="00C603E4" w:rsidP="000F0AA2">
            <w:pPr>
              <w:pStyle w:val="TableCopy"/>
              <w:jc w:val="right"/>
            </w:pPr>
            <w:r>
              <w:t>(844)</w:t>
            </w:r>
          </w:p>
        </w:tc>
        <w:tc>
          <w:tcPr>
            <w:tcW w:w="1081" w:type="dxa"/>
          </w:tcPr>
          <w:p w14:paraId="05E1F2CB" w14:textId="20C5B456" w:rsidR="00C603E4" w:rsidRDefault="00C603E4" w:rsidP="000F0AA2">
            <w:pPr>
              <w:pStyle w:val="TableCopy"/>
              <w:jc w:val="right"/>
            </w:pPr>
            <w:r>
              <w:t>–</w:t>
            </w:r>
          </w:p>
        </w:tc>
        <w:tc>
          <w:tcPr>
            <w:tcW w:w="1159" w:type="dxa"/>
          </w:tcPr>
          <w:p w14:paraId="482C01BB" w14:textId="77777777" w:rsidR="00C603E4" w:rsidRDefault="00C603E4" w:rsidP="000F0AA2">
            <w:pPr>
              <w:pStyle w:val="TableCopy"/>
              <w:jc w:val="right"/>
            </w:pPr>
            <w:r>
              <w:t>(58)</w:t>
            </w:r>
          </w:p>
        </w:tc>
        <w:tc>
          <w:tcPr>
            <w:tcW w:w="1081" w:type="dxa"/>
          </w:tcPr>
          <w:p w14:paraId="5B4B2E4F" w14:textId="5BA3FF96" w:rsidR="00C603E4" w:rsidRDefault="00C603E4" w:rsidP="000F0AA2">
            <w:pPr>
              <w:pStyle w:val="TableCopy"/>
              <w:jc w:val="right"/>
            </w:pPr>
            <w:r>
              <w:t>1,046</w:t>
            </w:r>
          </w:p>
        </w:tc>
        <w:tc>
          <w:tcPr>
            <w:tcW w:w="1082" w:type="dxa"/>
          </w:tcPr>
          <w:p w14:paraId="6E3C828F" w14:textId="3D910E1C" w:rsidR="00C603E4" w:rsidRDefault="00C603E4" w:rsidP="000F0AA2">
            <w:pPr>
              <w:pStyle w:val="TableCopy"/>
              <w:jc w:val="right"/>
            </w:pPr>
            <w:r>
              <w:t>1,941</w:t>
            </w:r>
          </w:p>
        </w:tc>
        <w:tc>
          <w:tcPr>
            <w:tcW w:w="1081" w:type="dxa"/>
          </w:tcPr>
          <w:p w14:paraId="22699D70" w14:textId="58493E5F" w:rsidR="00C603E4" w:rsidRDefault="00C603E4" w:rsidP="000F0AA2">
            <w:pPr>
              <w:pStyle w:val="TableCopy"/>
              <w:jc w:val="right"/>
            </w:pPr>
            <w:r>
              <w:t>–</w:t>
            </w:r>
          </w:p>
        </w:tc>
        <w:tc>
          <w:tcPr>
            <w:tcW w:w="1146" w:type="dxa"/>
          </w:tcPr>
          <w:p w14:paraId="48C9A455" w14:textId="0CEAB5E8" w:rsidR="00C603E4" w:rsidRDefault="00C603E4" w:rsidP="000F0AA2">
            <w:pPr>
              <w:pStyle w:val="TableCopy"/>
              <w:jc w:val="right"/>
            </w:pPr>
            <w:r>
              <w:t>6</w:t>
            </w:r>
          </w:p>
        </w:tc>
        <w:tc>
          <w:tcPr>
            <w:tcW w:w="1082" w:type="dxa"/>
          </w:tcPr>
          <w:p w14:paraId="7AB23820" w14:textId="235139BC" w:rsidR="00C603E4" w:rsidRDefault="00C603E4" w:rsidP="000F0AA2">
            <w:pPr>
              <w:pStyle w:val="TableCopy"/>
              <w:jc w:val="right"/>
            </w:pPr>
            <w:r>
              <w:t>1,947</w:t>
            </w:r>
          </w:p>
        </w:tc>
      </w:tr>
      <w:tr w:rsidR="00C603E4" w14:paraId="718179A0" w14:textId="77777777" w:rsidTr="00B67A88">
        <w:trPr>
          <w:cantSplit/>
        </w:trPr>
        <w:tc>
          <w:tcPr>
            <w:tcW w:w="4957" w:type="dxa"/>
          </w:tcPr>
          <w:p w14:paraId="47C5F9D9" w14:textId="36ADB205" w:rsidR="00C603E4" w:rsidRDefault="00C603E4" w:rsidP="008A0977">
            <w:pPr>
              <w:pStyle w:val="TableCopy"/>
            </w:pPr>
            <w:r w:rsidRPr="008A0977">
              <w:rPr>
                <w:b/>
                <w:bCs/>
              </w:rPr>
              <w:lastRenderedPageBreak/>
              <w:t>State Treasury Trust Fund</w:t>
            </w:r>
            <w:r w:rsidR="008A0977" w:rsidRPr="00D05F44">
              <w:t xml:space="preserve"> </w:t>
            </w:r>
            <w:r>
              <w:t xml:space="preserve">Established under the </w:t>
            </w:r>
            <w:r w:rsidRPr="008A0977">
              <w:rPr>
                <w:i/>
                <w:iCs/>
              </w:rPr>
              <w:t>Financial Management Act 1994</w:t>
            </w:r>
            <w:r>
              <w:t xml:space="preserve"> to record the receipt and disbursement of</w:t>
            </w:r>
            <w:r>
              <w:rPr>
                <w:rFonts w:ascii="Cambria" w:hAnsi="Cambria" w:cs="Cambria"/>
              </w:rPr>
              <w:t xml:space="preserve"> </w:t>
            </w:r>
            <w:r>
              <w:t>unclaimed monies and other funds held in trust.</w:t>
            </w:r>
          </w:p>
        </w:tc>
        <w:tc>
          <w:tcPr>
            <w:tcW w:w="1081" w:type="dxa"/>
          </w:tcPr>
          <w:p w14:paraId="110EC55D" w14:textId="77777777" w:rsidR="00C603E4" w:rsidRDefault="00C603E4" w:rsidP="000F0AA2">
            <w:pPr>
              <w:pStyle w:val="TableCopy"/>
              <w:jc w:val="right"/>
            </w:pPr>
            <w:r>
              <w:t>(138)</w:t>
            </w:r>
          </w:p>
        </w:tc>
        <w:tc>
          <w:tcPr>
            <w:tcW w:w="1253" w:type="dxa"/>
          </w:tcPr>
          <w:p w14:paraId="2F89B9CE" w14:textId="7E209A77" w:rsidR="00C603E4" w:rsidRDefault="00C603E4" w:rsidP="000F0AA2">
            <w:pPr>
              <w:pStyle w:val="TableCopy"/>
              <w:jc w:val="right"/>
            </w:pPr>
            <w:r>
              <w:t>911</w:t>
            </w:r>
          </w:p>
        </w:tc>
        <w:tc>
          <w:tcPr>
            <w:tcW w:w="1081" w:type="dxa"/>
          </w:tcPr>
          <w:p w14:paraId="51A9E761" w14:textId="77777777" w:rsidR="00C603E4" w:rsidRDefault="00C603E4" w:rsidP="000F0AA2">
            <w:pPr>
              <w:pStyle w:val="TableCopy"/>
              <w:jc w:val="right"/>
            </w:pPr>
            <w:r>
              <w:t>(42)</w:t>
            </w:r>
          </w:p>
        </w:tc>
        <w:tc>
          <w:tcPr>
            <w:tcW w:w="1159" w:type="dxa"/>
          </w:tcPr>
          <w:p w14:paraId="7E1E6261" w14:textId="43D2B7C6" w:rsidR="00C603E4" w:rsidRDefault="00C603E4" w:rsidP="000F0AA2">
            <w:pPr>
              <w:pStyle w:val="TableCopy"/>
              <w:jc w:val="right"/>
            </w:pPr>
            <w:r>
              <w:t>263</w:t>
            </w:r>
          </w:p>
        </w:tc>
        <w:tc>
          <w:tcPr>
            <w:tcW w:w="1081" w:type="dxa"/>
          </w:tcPr>
          <w:p w14:paraId="6EB123E3" w14:textId="05E0FA2E" w:rsidR="00C603E4" w:rsidRDefault="00C603E4" w:rsidP="000F0AA2">
            <w:pPr>
              <w:pStyle w:val="TableCopy"/>
              <w:jc w:val="right"/>
            </w:pPr>
            <w:r>
              <w:t>994</w:t>
            </w:r>
          </w:p>
        </w:tc>
        <w:tc>
          <w:tcPr>
            <w:tcW w:w="1082" w:type="dxa"/>
          </w:tcPr>
          <w:p w14:paraId="1CBAB706" w14:textId="77777777" w:rsidR="00C603E4" w:rsidRDefault="00C603E4" w:rsidP="000F0AA2">
            <w:pPr>
              <w:pStyle w:val="TableCopy"/>
              <w:jc w:val="right"/>
            </w:pPr>
            <w:r>
              <w:t>(435)</w:t>
            </w:r>
          </w:p>
        </w:tc>
        <w:tc>
          <w:tcPr>
            <w:tcW w:w="1081" w:type="dxa"/>
          </w:tcPr>
          <w:p w14:paraId="420C28E3" w14:textId="22EA629F" w:rsidR="00C603E4" w:rsidRDefault="00C603E4" w:rsidP="000F0AA2">
            <w:pPr>
              <w:pStyle w:val="TableCopy"/>
              <w:jc w:val="right"/>
            </w:pPr>
            <w:r>
              <w:t>1,088</w:t>
            </w:r>
          </w:p>
        </w:tc>
        <w:tc>
          <w:tcPr>
            <w:tcW w:w="1146" w:type="dxa"/>
          </w:tcPr>
          <w:p w14:paraId="67895FC8" w14:textId="77777777" w:rsidR="00C603E4" w:rsidRDefault="00C603E4" w:rsidP="000F0AA2">
            <w:pPr>
              <w:pStyle w:val="TableCopy"/>
              <w:jc w:val="right"/>
            </w:pPr>
            <w:r>
              <w:t>(791)</w:t>
            </w:r>
          </w:p>
        </w:tc>
        <w:tc>
          <w:tcPr>
            <w:tcW w:w="1082" w:type="dxa"/>
          </w:tcPr>
          <w:p w14:paraId="1C2C7B43" w14:textId="77777777" w:rsidR="00C603E4" w:rsidRDefault="00C603E4" w:rsidP="000F0AA2">
            <w:pPr>
              <w:pStyle w:val="TableCopy"/>
              <w:jc w:val="right"/>
            </w:pPr>
            <w:r>
              <w:t>(138)</w:t>
            </w:r>
          </w:p>
        </w:tc>
      </w:tr>
      <w:tr w:rsidR="00C603E4" w14:paraId="579378C0" w14:textId="77777777" w:rsidTr="00B67A88">
        <w:trPr>
          <w:cantSplit/>
        </w:trPr>
        <w:tc>
          <w:tcPr>
            <w:tcW w:w="4957" w:type="dxa"/>
          </w:tcPr>
          <w:p w14:paraId="0F23E97C" w14:textId="5044F07A" w:rsidR="00C603E4" w:rsidRDefault="00C603E4" w:rsidP="008A0977">
            <w:pPr>
              <w:pStyle w:val="TableCopy"/>
            </w:pPr>
            <w:r w:rsidRPr="008A0977">
              <w:rPr>
                <w:b/>
                <w:bCs/>
              </w:rPr>
              <w:t>Inter-departmental transfer fund</w:t>
            </w:r>
            <w:r w:rsidR="008A0977" w:rsidRPr="00D05F44">
              <w:t xml:space="preserve"> </w:t>
            </w:r>
            <w:proofErr w:type="gramStart"/>
            <w:r>
              <w:t>The</w:t>
            </w:r>
            <w:proofErr w:type="gramEnd"/>
            <w:r>
              <w:t xml:space="preserve"> trust was established under section 19 of the</w:t>
            </w:r>
            <w:r w:rsidRPr="00560218">
              <w:t xml:space="preserve"> </w:t>
            </w:r>
            <w:r w:rsidRPr="008A0977">
              <w:rPr>
                <w:i/>
                <w:iCs/>
              </w:rPr>
              <w:t>Financial Management Act 1994</w:t>
            </w:r>
            <w:r>
              <w:t xml:space="preserve"> by the Assistant Treasurer to record inter-departmental transfers when no other trust arrangement exists.</w:t>
            </w:r>
          </w:p>
        </w:tc>
        <w:tc>
          <w:tcPr>
            <w:tcW w:w="1081" w:type="dxa"/>
          </w:tcPr>
          <w:p w14:paraId="6FC10559" w14:textId="14D6322D" w:rsidR="00C603E4" w:rsidRDefault="00C603E4" w:rsidP="000F0AA2">
            <w:pPr>
              <w:pStyle w:val="TableCopy"/>
              <w:jc w:val="right"/>
            </w:pPr>
            <w:r>
              <w:t>119,990</w:t>
            </w:r>
          </w:p>
        </w:tc>
        <w:tc>
          <w:tcPr>
            <w:tcW w:w="1253" w:type="dxa"/>
          </w:tcPr>
          <w:p w14:paraId="541C8251" w14:textId="77777777" w:rsidR="00C603E4" w:rsidRDefault="00C603E4" w:rsidP="000F0AA2">
            <w:pPr>
              <w:pStyle w:val="TableCopy"/>
              <w:jc w:val="right"/>
            </w:pPr>
            <w:r>
              <w:t>(45,202)</w:t>
            </w:r>
          </w:p>
        </w:tc>
        <w:tc>
          <w:tcPr>
            <w:tcW w:w="1081" w:type="dxa"/>
          </w:tcPr>
          <w:p w14:paraId="64C02FB2" w14:textId="784F959A" w:rsidR="00C603E4" w:rsidRDefault="00C603E4" w:rsidP="000F0AA2">
            <w:pPr>
              <w:pStyle w:val="TableCopy"/>
              <w:jc w:val="right"/>
            </w:pPr>
            <w:r>
              <w:t>238,713</w:t>
            </w:r>
          </w:p>
        </w:tc>
        <w:tc>
          <w:tcPr>
            <w:tcW w:w="1159" w:type="dxa"/>
          </w:tcPr>
          <w:p w14:paraId="3BF2AA70" w14:textId="77777777" w:rsidR="00C603E4" w:rsidRDefault="00C603E4" w:rsidP="000F0AA2">
            <w:pPr>
              <w:pStyle w:val="TableCopy"/>
              <w:jc w:val="right"/>
            </w:pPr>
            <w:r>
              <w:t>(254,503)</w:t>
            </w:r>
          </w:p>
        </w:tc>
        <w:tc>
          <w:tcPr>
            <w:tcW w:w="1081" w:type="dxa"/>
          </w:tcPr>
          <w:p w14:paraId="67815E4E" w14:textId="202B2A0F" w:rsidR="00C603E4" w:rsidRDefault="00C603E4" w:rsidP="000F0AA2">
            <w:pPr>
              <w:pStyle w:val="TableCopy"/>
              <w:jc w:val="right"/>
            </w:pPr>
            <w:r>
              <w:t>58,998</w:t>
            </w:r>
          </w:p>
        </w:tc>
        <w:tc>
          <w:tcPr>
            <w:tcW w:w="1082" w:type="dxa"/>
          </w:tcPr>
          <w:p w14:paraId="690BCB72" w14:textId="32F957B1" w:rsidR="00C603E4" w:rsidRDefault="00C603E4" w:rsidP="000F0AA2">
            <w:pPr>
              <w:pStyle w:val="TableCopy"/>
              <w:jc w:val="right"/>
            </w:pPr>
            <w:r>
              <w:t>106,364</w:t>
            </w:r>
          </w:p>
        </w:tc>
        <w:tc>
          <w:tcPr>
            <w:tcW w:w="1081" w:type="dxa"/>
          </w:tcPr>
          <w:p w14:paraId="0488D0F3" w14:textId="22A5FDC4" w:rsidR="00C603E4" w:rsidRDefault="00C603E4" w:rsidP="000F0AA2">
            <w:pPr>
              <w:pStyle w:val="TableCopy"/>
              <w:jc w:val="right"/>
            </w:pPr>
            <w:r>
              <w:t>170,381</w:t>
            </w:r>
          </w:p>
        </w:tc>
        <w:tc>
          <w:tcPr>
            <w:tcW w:w="1146" w:type="dxa"/>
          </w:tcPr>
          <w:p w14:paraId="0FC4A969" w14:textId="77777777" w:rsidR="00C603E4" w:rsidRDefault="00C603E4" w:rsidP="000F0AA2">
            <w:pPr>
              <w:pStyle w:val="TableCopy"/>
              <w:jc w:val="right"/>
            </w:pPr>
            <w:r>
              <w:t>(156,755)</w:t>
            </w:r>
          </w:p>
        </w:tc>
        <w:tc>
          <w:tcPr>
            <w:tcW w:w="1082" w:type="dxa"/>
          </w:tcPr>
          <w:p w14:paraId="06A3DE4A" w14:textId="55050139" w:rsidR="00C603E4" w:rsidRDefault="00C603E4" w:rsidP="000F0AA2">
            <w:pPr>
              <w:pStyle w:val="TableCopy"/>
              <w:jc w:val="right"/>
            </w:pPr>
            <w:r>
              <w:t>119,990</w:t>
            </w:r>
          </w:p>
        </w:tc>
      </w:tr>
      <w:tr w:rsidR="00C603E4" w14:paraId="4260A96F" w14:textId="77777777" w:rsidTr="00B67A88">
        <w:trPr>
          <w:cantSplit/>
        </w:trPr>
        <w:tc>
          <w:tcPr>
            <w:tcW w:w="4957" w:type="dxa"/>
          </w:tcPr>
          <w:p w14:paraId="4F8C3C9C" w14:textId="11512E77" w:rsidR="00C603E4" w:rsidRDefault="00C603E4" w:rsidP="008A0977">
            <w:pPr>
              <w:pStyle w:val="TableCopy"/>
            </w:pPr>
            <w:r w:rsidRPr="008A0977">
              <w:rPr>
                <w:b/>
                <w:bCs/>
              </w:rPr>
              <w:t>Animals in Research and Teaching Welfare Fund</w:t>
            </w:r>
            <w:r w:rsidR="008A0977" w:rsidRPr="00D05F44">
              <w:t xml:space="preserve"> </w:t>
            </w:r>
            <w:r>
              <w:rPr>
                <w:spacing w:val="-3"/>
              </w:rPr>
              <w:t xml:space="preserve">Established under the Prevention of </w:t>
            </w:r>
            <w:r w:rsidRPr="008A0977">
              <w:rPr>
                <w:i/>
                <w:iCs/>
              </w:rPr>
              <w:t>Cruelty to Animals Act 1986</w:t>
            </w:r>
            <w:r>
              <w:rPr>
                <w:spacing w:val="-3"/>
              </w:rPr>
              <w:t xml:space="preserve"> to record the receipt and disbursement of funds collected for monitoring and reporting on compliance by animal research and teaching establishments.</w:t>
            </w:r>
          </w:p>
        </w:tc>
        <w:tc>
          <w:tcPr>
            <w:tcW w:w="1081" w:type="dxa"/>
          </w:tcPr>
          <w:p w14:paraId="51FE04DD" w14:textId="3C0CCA50" w:rsidR="00C603E4" w:rsidRDefault="00C603E4" w:rsidP="000F0AA2">
            <w:pPr>
              <w:pStyle w:val="TableCopy"/>
              <w:jc w:val="right"/>
            </w:pPr>
            <w:r>
              <w:t>2,602</w:t>
            </w:r>
          </w:p>
        </w:tc>
        <w:tc>
          <w:tcPr>
            <w:tcW w:w="1253" w:type="dxa"/>
          </w:tcPr>
          <w:p w14:paraId="31C64723" w14:textId="77777777" w:rsidR="00C603E4" w:rsidRDefault="00C603E4" w:rsidP="000F0AA2">
            <w:pPr>
              <w:pStyle w:val="TableCopy"/>
              <w:jc w:val="right"/>
            </w:pPr>
            <w:r>
              <w:t>(3,796)</w:t>
            </w:r>
          </w:p>
        </w:tc>
        <w:tc>
          <w:tcPr>
            <w:tcW w:w="1081" w:type="dxa"/>
          </w:tcPr>
          <w:p w14:paraId="1EA3CFB3" w14:textId="51BA3A66" w:rsidR="00C603E4" w:rsidRDefault="00C603E4" w:rsidP="000F0AA2">
            <w:pPr>
              <w:pStyle w:val="TableCopy"/>
              <w:jc w:val="right"/>
            </w:pPr>
            <w:r>
              <w:t>3,191</w:t>
            </w:r>
          </w:p>
        </w:tc>
        <w:tc>
          <w:tcPr>
            <w:tcW w:w="1159" w:type="dxa"/>
          </w:tcPr>
          <w:p w14:paraId="0D63D288" w14:textId="77777777" w:rsidR="00C603E4" w:rsidRDefault="00C603E4" w:rsidP="000F0AA2">
            <w:pPr>
              <w:pStyle w:val="TableCopy"/>
              <w:jc w:val="right"/>
            </w:pPr>
            <w:r>
              <w:t>(1,997)</w:t>
            </w:r>
          </w:p>
        </w:tc>
        <w:tc>
          <w:tcPr>
            <w:tcW w:w="1081" w:type="dxa"/>
          </w:tcPr>
          <w:p w14:paraId="49907057" w14:textId="11E70B10" w:rsidR="00C603E4" w:rsidRDefault="00C603E4" w:rsidP="000F0AA2">
            <w:pPr>
              <w:pStyle w:val="TableCopy"/>
              <w:jc w:val="right"/>
            </w:pPr>
            <w:r>
              <w:t>–</w:t>
            </w:r>
          </w:p>
        </w:tc>
        <w:tc>
          <w:tcPr>
            <w:tcW w:w="1082" w:type="dxa"/>
          </w:tcPr>
          <w:p w14:paraId="453297A4" w14:textId="67A0143D" w:rsidR="00C603E4" w:rsidRDefault="00C603E4" w:rsidP="000F0AA2">
            <w:pPr>
              <w:pStyle w:val="TableCopy"/>
              <w:jc w:val="right"/>
            </w:pPr>
            <w:r>
              <w:t>2,645</w:t>
            </w:r>
          </w:p>
        </w:tc>
        <w:tc>
          <w:tcPr>
            <w:tcW w:w="1081" w:type="dxa"/>
          </w:tcPr>
          <w:p w14:paraId="40F046D8" w14:textId="0335678B" w:rsidR="00C603E4" w:rsidRDefault="00C603E4" w:rsidP="000F0AA2">
            <w:pPr>
              <w:pStyle w:val="TableCopy"/>
              <w:jc w:val="right"/>
            </w:pPr>
            <w:r>
              <w:t>3,480</w:t>
            </w:r>
          </w:p>
        </w:tc>
        <w:tc>
          <w:tcPr>
            <w:tcW w:w="1146" w:type="dxa"/>
          </w:tcPr>
          <w:p w14:paraId="5CDAA542" w14:textId="77777777" w:rsidR="00C603E4" w:rsidRDefault="00C603E4" w:rsidP="000F0AA2">
            <w:pPr>
              <w:pStyle w:val="TableCopy"/>
              <w:jc w:val="right"/>
            </w:pPr>
            <w:r>
              <w:t>(3,523)</w:t>
            </w:r>
          </w:p>
        </w:tc>
        <w:tc>
          <w:tcPr>
            <w:tcW w:w="1082" w:type="dxa"/>
          </w:tcPr>
          <w:p w14:paraId="4B02B82E" w14:textId="32D1EAE1" w:rsidR="00C603E4" w:rsidRDefault="00C603E4" w:rsidP="000F0AA2">
            <w:pPr>
              <w:pStyle w:val="TableCopy"/>
              <w:jc w:val="right"/>
            </w:pPr>
            <w:r>
              <w:t>2,602</w:t>
            </w:r>
          </w:p>
        </w:tc>
      </w:tr>
      <w:tr w:rsidR="00AB06AB" w14:paraId="79FA6899" w14:textId="77777777" w:rsidTr="00B67A88">
        <w:trPr>
          <w:cantSplit/>
        </w:trPr>
        <w:tc>
          <w:tcPr>
            <w:tcW w:w="4957" w:type="dxa"/>
          </w:tcPr>
          <w:p w14:paraId="2BB9D385" w14:textId="7076598D" w:rsidR="00AB06AB" w:rsidRPr="008A0977" w:rsidRDefault="00AB06AB" w:rsidP="00AB06AB">
            <w:pPr>
              <w:pStyle w:val="TableHeading"/>
              <w:rPr>
                <w:bCs/>
              </w:rPr>
            </w:pPr>
            <w:r>
              <w:lastRenderedPageBreak/>
              <w:t>State trusts</w:t>
            </w:r>
          </w:p>
        </w:tc>
        <w:tc>
          <w:tcPr>
            <w:tcW w:w="1081" w:type="dxa"/>
          </w:tcPr>
          <w:p w14:paraId="12F452FC" w14:textId="77777777" w:rsidR="00AB06AB" w:rsidRDefault="00AB06AB" w:rsidP="000F0AA2">
            <w:pPr>
              <w:pStyle w:val="TableHeading"/>
              <w:jc w:val="right"/>
            </w:pPr>
          </w:p>
        </w:tc>
        <w:tc>
          <w:tcPr>
            <w:tcW w:w="1253" w:type="dxa"/>
          </w:tcPr>
          <w:p w14:paraId="422053D4" w14:textId="77777777" w:rsidR="00AB06AB" w:rsidRDefault="00AB06AB" w:rsidP="000F0AA2">
            <w:pPr>
              <w:pStyle w:val="TableHeading"/>
              <w:jc w:val="right"/>
            </w:pPr>
          </w:p>
        </w:tc>
        <w:tc>
          <w:tcPr>
            <w:tcW w:w="1081" w:type="dxa"/>
          </w:tcPr>
          <w:p w14:paraId="6D3CD463" w14:textId="77777777" w:rsidR="00AB06AB" w:rsidRDefault="00AB06AB" w:rsidP="000F0AA2">
            <w:pPr>
              <w:pStyle w:val="TableHeading"/>
              <w:jc w:val="right"/>
            </w:pPr>
          </w:p>
        </w:tc>
        <w:tc>
          <w:tcPr>
            <w:tcW w:w="1159" w:type="dxa"/>
          </w:tcPr>
          <w:p w14:paraId="51ACDB24" w14:textId="77777777" w:rsidR="00AB06AB" w:rsidRDefault="00AB06AB" w:rsidP="000F0AA2">
            <w:pPr>
              <w:pStyle w:val="TableHeading"/>
              <w:jc w:val="right"/>
            </w:pPr>
          </w:p>
        </w:tc>
        <w:tc>
          <w:tcPr>
            <w:tcW w:w="1081" w:type="dxa"/>
          </w:tcPr>
          <w:p w14:paraId="6F5FD39C" w14:textId="77777777" w:rsidR="00AB06AB" w:rsidRDefault="00AB06AB" w:rsidP="000F0AA2">
            <w:pPr>
              <w:pStyle w:val="TableHeading"/>
              <w:jc w:val="right"/>
            </w:pPr>
          </w:p>
        </w:tc>
        <w:tc>
          <w:tcPr>
            <w:tcW w:w="1082" w:type="dxa"/>
          </w:tcPr>
          <w:p w14:paraId="4A45F837" w14:textId="77777777" w:rsidR="00AB06AB" w:rsidRDefault="00AB06AB" w:rsidP="000F0AA2">
            <w:pPr>
              <w:pStyle w:val="TableHeading"/>
              <w:jc w:val="right"/>
            </w:pPr>
          </w:p>
        </w:tc>
        <w:tc>
          <w:tcPr>
            <w:tcW w:w="1081" w:type="dxa"/>
          </w:tcPr>
          <w:p w14:paraId="79502939" w14:textId="77777777" w:rsidR="00AB06AB" w:rsidRDefault="00AB06AB" w:rsidP="000F0AA2">
            <w:pPr>
              <w:pStyle w:val="TableHeading"/>
              <w:jc w:val="right"/>
            </w:pPr>
          </w:p>
        </w:tc>
        <w:tc>
          <w:tcPr>
            <w:tcW w:w="1146" w:type="dxa"/>
          </w:tcPr>
          <w:p w14:paraId="134A6858" w14:textId="77777777" w:rsidR="00AB06AB" w:rsidRDefault="00AB06AB" w:rsidP="000F0AA2">
            <w:pPr>
              <w:pStyle w:val="TableHeading"/>
              <w:jc w:val="right"/>
            </w:pPr>
          </w:p>
        </w:tc>
        <w:tc>
          <w:tcPr>
            <w:tcW w:w="1082" w:type="dxa"/>
          </w:tcPr>
          <w:p w14:paraId="2891BC88" w14:textId="77777777" w:rsidR="00AB06AB" w:rsidRDefault="00AB06AB" w:rsidP="000F0AA2">
            <w:pPr>
              <w:pStyle w:val="TableHeading"/>
              <w:jc w:val="right"/>
            </w:pPr>
          </w:p>
        </w:tc>
      </w:tr>
      <w:tr w:rsidR="00AB06AB" w14:paraId="5FCE02DD" w14:textId="77777777" w:rsidTr="00B67A88">
        <w:tblPrEx>
          <w:tblLook w:val="04A0" w:firstRow="1" w:lastRow="0" w:firstColumn="1" w:lastColumn="0" w:noHBand="0" w:noVBand="1"/>
        </w:tblPrEx>
        <w:trPr>
          <w:cantSplit/>
        </w:trPr>
        <w:tc>
          <w:tcPr>
            <w:tcW w:w="4957" w:type="dxa"/>
          </w:tcPr>
          <w:p w14:paraId="5967732C" w14:textId="71C67921" w:rsidR="00AB06AB" w:rsidRDefault="00AB06AB" w:rsidP="00AB06AB">
            <w:pPr>
              <w:pStyle w:val="TableCopy"/>
            </w:pPr>
            <w:r w:rsidRPr="00AB06AB">
              <w:rPr>
                <w:b/>
                <w:bCs/>
              </w:rPr>
              <w:t>Commonwealth Treasury Trust Fund</w:t>
            </w:r>
            <w:r w:rsidRPr="00D05F44">
              <w:t xml:space="preserve"> </w:t>
            </w:r>
            <w:r>
              <w:t xml:space="preserve">Established under section 19 of the </w:t>
            </w:r>
            <w:r w:rsidRPr="00AB06AB">
              <w:rPr>
                <w:i/>
                <w:iCs/>
              </w:rPr>
              <w:t>Financial Management Act 1994</w:t>
            </w:r>
            <w:r>
              <w:t>, for the purpose of holding funds from</w:t>
            </w:r>
            <w:r>
              <w:rPr>
                <w:rFonts w:ascii="Cambria" w:hAnsi="Cambria" w:cs="Cambria"/>
              </w:rPr>
              <w:t xml:space="preserve"> </w:t>
            </w:r>
            <w:r>
              <w:t>the Commonwealth Government.</w:t>
            </w:r>
          </w:p>
        </w:tc>
        <w:tc>
          <w:tcPr>
            <w:tcW w:w="1081" w:type="dxa"/>
          </w:tcPr>
          <w:p w14:paraId="70BA4B2E" w14:textId="3A2C9A19" w:rsidR="00AB06AB" w:rsidRDefault="00AB06AB" w:rsidP="000F0AA2">
            <w:pPr>
              <w:pStyle w:val="TableCopy"/>
              <w:jc w:val="right"/>
            </w:pPr>
            <w:r>
              <w:t>9,422</w:t>
            </w:r>
          </w:p>
        </w:tc>
        <w:tc>
          <w:tcPr>
            <w:tcW w:w="1253" w:type="dxa"/>
          </w:tcPr>
          <w:p w14:paraId="35E308A4" w14:textId="5C209230" w:rsidR="00AB06AB" w:rsidRDefault="00AB06AB" w:rsidP="000F0AA2">
            <w:pPr>
              <w:pStyle w:val="TableCopy"/>
              <w:jc w:val="right"/>
            </w:pPr>
            <w:r>
              <w:t>305</w:t>
            </w:r>
          </w:p>
        </w:tc>
        <w:tc>
          <w:tcPr>
            <w:tcW w:w="1081" w:type="dxa"/>
          </w:tcPr>
          <w:p w14:paraId="61CF48D4" w14:textId="689524DC" w:rsidR="00AB06AB" w:rsidRDefault="00AB06AB" w:rsidP="000F0AA2">
            <w:pPr>
              <w:pStyle w:val="TableCopy"/>
              <w:jc w:val="right"/>
            </w:pPr>
            <w:r>
              <w:t>12,824</w:t>
            </w:r>
          </w:p>
        </w:tc>
        <w:tc>
          <w:tcPr>
            <w:tcW w:w="1159" w:type="dxa"/>
          </w:tcPr>
          <w:p w14:paraId="6829D144" w14:textId="77777777" w:rsidR="00AB06AB" w:rsidRDefault="00AB06AB" w:rsidP="000F0AA2">
            <w:pPr>
              <w:pStyle w:val="TableCopy"/>
              <w:jc w:val="right"/>
            </w:pPr>
            <w:r>
              <w:t>(10,681)</w:t>
            </w:r>
          </w:p>
        </w:tc>
        <w:tc>
          <w:tcPr>
            <w:tcW w:w="1081" w:type="dxa"/>
          </w:tcPr>
          <w:p w14:paraId="274E1F42" w14:textId="3CB3FB91" w:rsidR="00AB06AB" w:rsidRDefault="00AB06AB" w:rsidP="000F0AA2">
            <w:pPr>
              <w:pStyle w:val="TableCopy"/>
              <w:jc w:val="right"/>
            </w:pPr>
            <w:r>
              <w:t>11,869</w:t>
            </w:r>
          </w:p>
        </w:tc>
        <w:tc>
          <w:tcPr>
            <w:tcW w:w="1082" w:type="dxa"/>
          </w:tcPr>
          <w:p w14:paraId="7B11DC9F" w14:textId="5FC6B5E0" w:rsidR="00AB06AB" w:rsidRDefault="00AB06AB" w:rsidP="000F0AA2">
            <w:pPr>
              <w:pStyle w:val="TableCopy"/>
              <w:jc w:val="right"/>
            </w:pPr>
            <w:r>
              <w:t>20,714</w:t>
            </w:r>
          </w:p>
        </w:tc>
        <w:tc>
          <w:tcPr>
            <w:tcW w:w="1081" w:type="dxa"/>
          </w:tcPr>
          <w:p w14:paraId="7749C20F" w14:textId="77777777" w:rsidR="00AB06AB" w:rsidRDefault="00AB06AB" w:rsidP="000F0AA2">
            <w:pPr>
              <w:pStyle w:val="TableCopy"/>
              <w:jc w:val="right"/>
            </w:pPr>
            <w:r>
              <w:t>(2,691)</w:t>
            </w:r>
          </w:p>
        </w:tc>
        <w:tc>
          <w:tcPr>
            <w:tcW w:w="1146" w:type="dxa"/>
          </w:tcPr>
          <w:p w14:paraId="63A6B4DB" w14:textId="77777777" w:rsidR="00AB06AB" w:rsidRDefault="00AB06AB" w:rsidP="000F0AA2">
            <w:pPr>
              <w:pStyle w:val="TableCopy"/>
              <w:jc w:val="right"/>
            </w:pPr>
            <w:r>
              <w:t>(8,601)</w:t>
            </w:r>
          </w:p>
        </w:tc>
        <w:tc>
          <w:tcPr>
            <w:tcW w:w="1082" w:type="dxa"/>
          </w:tcPr>
          <w:p w14:paraId="0D7515B2" w14:textId="653C4829" w:rsidR="00AB06AB" w:rsidRDefault="00AB06AB" w:rsidP="000F0AA2">
            <w:pPr>
              <w:pStyle w:val="TableCopy"/>
              <w:jc w:val="right"/>
            </w:pPr>
            <w:r>
              <w:t>9,422</w:t>
            </w:r>
          </w:p>
        </w:tc>
      </w:tr>
      <w:tr w:rsidR="00B67A88" w14:paraId="713D4B9D" w14:textId="77777777" w:rsidTr="00B67A88">
        <w:tblPrEx>
          <w:tblLook w:val="04A0" w:firstRow="1" w:lastRow="0" w:firstColumn="1" w:lastColumn="0" w:noHBand="0" w:noVBand="1"/>
        </w:tblPrEx>
        <w:trPr>
          <w:cantSplit/>
        </w:trPr>
        <w:tc>
          <w:tcPr>
            <w:tcW w:w="4957" w:type="dxa"/>
          </w:tcPr>
          <w:p w14:paraId="192DC376" w14:textId="7F50E4D9" w:rsidR="00B67A88" w:rsidRDefault="00B67A88" w:rsidP="00B67A88">
            <w:pPr>
              <w:pStyle w:val="TableCopy"/>
            </w:pPr>
            <w:r w:rsidRPr="00B67A88">
              <w:rPr>
                <w:b/>
                <w:bCs/>
              </w:rPr>
              <w:t>Recreational Fishing Licences Trust Account Operates</w:t>
            </w:r>
            <w:r>
              <w:t xml:space="preserve"> under section 151B of the </w:t>
            </w:r>
            <w:r w:rsidRPr="00B67A88">
              <w:rPr>
                <w:i/>
                <w:iCs/>
              </w:rPr>
              <w:t xml:space="preserve">Fisheries Act 1995 </w:t>
            </w:r>
            <w:r>
              <w:t>to disburse revenue derived from the sale of recreational fishing licences to projects that will further improve recreational fishing opportunities in Victoria, and to fund costs incurred in the administration of recreational fishing licences and the account.</w:t>
            </w:r>
          </w:p>
        </w:tc>
        <w:tc>
          <w:tcPr>
            <w:tcW w:w="1081" w:type="dxa"/>
          </w:tcPr>
          <w:p w14:paraId="0BB03F31" w14:textId="7B592845" w:rsidR="00B67A88" w:rsidRDefault="00B67A88" w:rsidP="000F0AA2">
            <w:pPr>
              <w:pStyle w:val="TableCopy"/>
              <w:jc w:val="right"/>
            </w:pPr>
            <w:r>
              <w:t>–</w:t>
            </w:r>
          </w:p>
        </w:tc>
        <w:tc>
          <w:tcPr>
            <w:tcW w:w="1253" w:type="dxa"/>
          </w:tcPr>
          <w:p w14:paraId="0374EC8F" w14:textId="266AEC4F" w:rsidR="00B67A88" w:rsidRDefault="00B67A88" w:rsidP="000F0AA2">
            <w:pPr>
              <w:pStyle w:val="TableCopy"/>
              <w:jc w:val="right"/>
            </w:pPr>
            <w:r>
              <w:t>9,804</w:t>
            </w:r>
          </w:p>
        </w:tc>
        <w:tc>
          <w:tcPr>
            <w:tcW w:w="1081" w:type="dxa"/>
          </w:tcPr>
          <w:p w14:paraId="37A3CE71" w14:textId="6EF8554F" w:rsidR="00B67A88" w:rsidRDefault="00B67A88" w:rsidP="000F0AA2">
            <w:pPr>
              <w:pStyle w:val="TableCopy"/>
              <w:jc w:val="right"/>
            </w:pPr>
            <w:r>
              <w:t>4,617</w:t>
            </w:r>
          </w:p>
        </w:tc>
        <w:tc>
          <w:tcPr>
            <w:tcW w:w="1159" w:type="dxa"/>
          </w:tcPr>
          <w:p w14:paraId="22338A23" w14:textId="77777777" w:rsidR="00B67A88" w:rsidRDefault="00B67A88" w:rsidP="000F0AA2">
            <w:pPr>
              <w:pStyle w:val="TableCopy"/>
              <w:jc w:val="right"/>
            </w:pPr>
            <w:r>
              <w:t>(3,182)</w:t>
            </w:r>
          </w:p>
        </w:tc>
        <w:tc>
          <w:tcPr>
            <w:tcW w:w="1081" w:type="dxa"/>
          </w:tcPr>
          <w:p w14:paraId="2E472653" w14:textId="47EDA3E5" w:rsidR="00B67A88" w:rsidRDefault="00B67A88" w:rsidP="000F0AA2">
            <w:pPr>
              <w:pStyle w:val="TableCopy"/>
              <w:jc w:val="right"/>
            </w:pPr>
            <w:r>
              <w:t>11,238</w:t>
            </w:r>
          </w:p>
        </w:tc>
        <w:tc>
          <w:tcPr>
            <w:tcW w:w="1082" w:type="dxa"/>
          </w:tcPr>
          <w:p w14:paraId="7A960E2C" w14:textId="05280B71" w:rsidR="00B67A88" w:rsidRDefault="00B67A88" w:rsidP="000F0AA2">
            <w:pPr>
              <w:pStyle w:val="TableCopy"/>
              <w:jc w:val="right"/>
            </w:pPr>
            <w:r>
              <w:t>–</w:t>
            </w:r>
          </w:p>
        </w:tc>
        <w:tc>
          <w:tcPr>
            <w:tcW w:w="1081" w:type="dxa"/>
          </w:tcPr>
          <w:p w14:paraId="69AAADE2" w14:textId="2D04DAC3" w:rsidR="00B67A88" w:rsidRDefault="00B67A88" w:rsidP="000F0AA2">
            <w:pPr>
              <w:pStyle w:val="TableCopy"/>
              <w:jc w:val="right"/>
            </w:pPr>
            <w:r>
              <w:t>–</w:t>
            </w:r>
          </w:p>
        </w:tc>
        <w:tc>
          <w:tcPr>
            <w:tcW w:w="1146" w:type="dxa"/>
          </w:tcPr>
          <w:p w14:paraId="53DDB9B3" w14:textId="487E3FAE" w:rsidR="00B67A88" w:rsidRDefault="00B67A88" w:rsidP="000F0AA2">
            <w:pPr>
              <w:pStyle w:val="TableCopy"/>
              <w:jc w:val="right"/>
            </w:pPr>
            <w:r>
              <w:t>–</w:t>
            </w:r>
          </w:p>
        </w:tc>
        <w:tc>
          <w:tcPr>
            <w:tcW w:w="1082" w:type="dxa"/>
          </w:tcPr>
          <w:p w14:paraId="7C29F8DE" w14:textId="613F862B" w:rsidR="00B67A88" w:rsidRDefault="00B67A88" w:rsidP="000F0AA2">
            <w:pPr>
              <w:pStyle w:val="TableCopy"/>
              <w:jc w:val="right"/>
            </w:pPr>
            <w:r>
              <w:t>–</w:t>
            </w:r>
          </w:p>
        </w:tc>
      </w:tr>
      <w:tr w:rsidR="00B67A88" w14:paraId="53748670" w14:textId="77777777" w:rsidTr="00B67A88">
        <w:tblPrEx>
          <w:tblLook w:val="04A0" w:firstRow="1" w:lastRow="0" w:firstColumn="1" w:lastColumn="0" w:noHBand="0" w:noVBand="1"/>
        </w:tblPrEx>
        <w:trPr>
          <w:cantSplit/>
        </w:trPr>
        <w:tc>
          <w:tcPr>
            <w:tcW w:w="4957" w:type="dxa"/>
          </w:tcPr>
          <w:p w14:paraId="578AC6B0" w14:textId="09266942" w:rsidR="00B67A88" w:rsidRDefault="00B67A88" w:rsidP="00B67A88">
            <w:pPr>
              <w:pStyle w:val="TableCopy"/>
            </w:pPr>
            <w:r w:rsidRPr="00B67A88">
              <w:rPr>
                <w:b/>
                <w:bCs/>
              </w:rPr>
              <w:t xml:space="preserve">Better Boating Fund </w:t>
            </w:r>
            <w:r>
              <w:t xml:space="preserve">Established under the section 271G of the </w:t>
            </w:r>
            <w:r w:rsidRPr="00B67A88">
              <w:rPr>
                <w:i/>
                <w:iCs/>
              </w:rPr>
              <w:t>Marine Safety Amendment (Better Boating Fund) Act 2020</w:t>
            </w:r>
            <w:r>
              <w:t xml:space="preserve"> to receive funding dedicated for provision and maintenance of boating facilities and services for the public.</w:t>
            </w:r>
          </w:p>
        </w:tc>
        <w:tc>
          <w:tcPr>
            <w:tcW w:w="1081" w:type="dxa"/>
          </w:tcPr>
          <w:p w14:paraId="01F52323" w14:textId="0A0DEA29" w:rsidR="00B67A88" w:rsidRDefault="00B67A88" w:rsidP="000F0AA2">
            <w:pPr>
              <w:pStyle w:val="TableCopy"/>
              <w:jc w:val="right"/>
            </w:pPr>
            <w:r>
              <w:t>–</w:t>
            </w:r>
          </w:p>
        </w:tc>
        <w:tc>
          <w:tcPr>
            <w:tcW w:w="1253" w:type="dxa"/>
          </w:tcPr>
          <w:p w14:paraId="345196FC" w14:textId="52DCEEE6" w:rsidR="00B67A88" w:rsidRDefault="00B67A88" w:rsidP="000F0AA2">
            <w:pPr>
              <w:pStyle w:val="TableCopy"/>
              <w:jc w:val="right"/>
            </w:pPr>
            <w:r>
              <w:t>23,969</w:t>
            </w:r>
          </w:p>
        </w:tc>
        <w:tc>
          <w:tcPr>
            <w:tcW w:w="1081" w:type="dxa"/>
          </w:tcPr>
          <w:p w14:paraId="391A0DE7" w14:textId="00C5DCC1" w:rsidR="00B67A88" w:rsidRDefault="00B67A88" w:rsidP="000F0AA2">
            <w:pPr>
              <w:pStyle w:val="TableCopy"/>
              <w:jc w:val="right"/>
            </w:pPr>
            <w:r>
              <w:t>16,666</w:t>
            </w:r>
          </w:p>
        </w:tc>
        <w:tc>
          <w:tcPr>
            <w:tcW w:w="1159" w:type="dxa"/>
          </w:tcPr>
          <w:p w14:paraId="379424EB" w14:textId="77777777" w:rsidR="00B67A88" w:rsidRDefault="00B67A88" w:rsidP="000F0AA2">
            <w:pPr>
              <w:pStyle w:val="TableCopy"/>
              <w:jc w:val="right"/>
            </w:pPr>
            <w:r>
              <w:t>(22,719)</w:t>
            </w:r>
          </w:p>
        </w:tc>
        <w:tc>
          <w:tcPr>
            <w:tcW w:w="1081" w:type="dxa"/>
          </w:tcPr>
          <w:p w14:paraId="49592895" w14:textId="41B27A81" w:rsidR="00B67A88" w:rsidRDefault="00B67A88" w:rsidP="000F0AA2">
            <w:pPr>
              <w:pStyle w:val="TableCopy"/>
              <w:jc w:val="right"/>
            </w:pPr>
            <w:r>
              <w:t>17,917</w:t>
            </w:r>
          </w:p>
        </w:tc>
        <w:tc>
          <w:tcPr>
            <w:tcW w:w="1082" w:type="dxa"/>
          </w:tcPr>
          <w:p w14:paraId="7C76B477" w14:textId="1E055DD4" w:rsidR="00B67A88" w:rsidRDefault="00B67A88" w:rsidP="000F0AA2">
            <w:pPr>
              <w:pStyle w:val="TableCopy"/>
              <w:jc w:val="right"/>
            </w:pPr>
            <w:r>
              <w:t>–</w:t>
            </w:r>
          </w:p>
        </w:tc>
        <w:tc>
          <w:tcPr>
            <w:tcW w:w="1081" w:type="dxa"/>
          </w:tcPr>
          <w:p w14:paraId="70F63F59" w14:textId="007D3EDC" w:rsidR="00B67A88" w:rsidRDefault="00B67A88" w:rsidP="000F0AA2">
            <w:pPr>
              <w:pStyle w:val="TableCopy"/>
              <w:jc w:val="right"/>
            </w:pPr>
            <w:r>
              <w:t>–</w:t>
            </w:r>
          </w:p>
        </w:tc>
        <w:tc>
          <w:tcPr>
            <w:tcW w:w="1146" w:type="dxa"/>
          </w:tcPr>
          <w:p w14:paraId="31E93EEE" w14:textId="5F5E8EA3" w:rsidR="00B67A88" w:rsidRDefault="00B67A88" w:rsidP="000F0AA2">
            <w:pPr>
              <w:pStyle w:val="TableCopy"/>
              <w:jc w:val="right"/>
            </w:pPr>
            <w:r>
              <w:t>–</w:t>
            </w:r>
          </w:p>
        </w:tc>
        <w:tc>
          <w:tcPr>
            <w:tcW w:w="1082" w:type="dxa"/>
          </w:tcPr>
          <w:p w14:paraId="5C200534" w14:textId="24C97625" w:rsidR="00B67A88" w:rsidRDefault="00B67A88" w:rsidP="000F0AA2">
            <w:pPr>
              <w:pStyle w:val="TableCopy"/>
              <w:jc w:val="right"/>
            </w:pPr>
            <w:r>
              <w:t>–</w:t>
            </w:r>
          </w:p>
        </w:tc>
      </w:tr>
      <w:tr w:rsidR="00B67A88" w14:paraId="25DF1554" w14:textId="77777777" w:rsidTr="00B67A88">
        <w:tblPrEx>
          <w:tblLook w:val="04A0" w:firstRow="1" w:lastRow="0" w:firstColumn="1" w:lastColumn="0" w:noHBand="0" w:noVBand="1"/>
        </w:tblPrEx>
        <w:trPr>
          <w:cantSplit/>
        </w:trPr>
        <w:tc>
          <w:tcPr>
            <w:tcW w:w="4957" w:type="dxa"/>
          </w:tcPr>
          <w:p w14:paraId="38565BC4" w14:textId="2FEE8E5B" w:rsidR="00B67A88" w:rsidRDefault="00B67A88" w:rsidP="00B67A88">
            <w:pPr>
              <w:pStyle w:val="TableCopy"/>
            </w:pPr>
            <w:r w:rsidRPr="00B67A88">
              <w:rPr>
                <w:b/>
                <w:bCs/>
              </w:rPr>
              <w:lastRenderedPageBreak/>
              <w:t>Vic Fleet Trust Fund</w:t>
            </w:r>
            <w:r w:rsidRPr="00D05F44">
              <w:t xml:space="preserve"> </w:t>
            </w:r>
            <w:r>
              <w:t xml:space="preserve">Established under section 19 (2) of the </w:t>
            </w:r>
            <w:r w:rsidRPr="00B67A88">
              <w:rPr>
                <w:i/>
                <w:iCs/>
              </w:rPr>
              <w:t>Financial Management Act 1994</w:t>
            </w:r>
            <w:r>
              <w:t xml:space="preserve"> as a specific purpose operating account. It receives funding and makes payments in relation to the motor vehicle pool.</w:t>
            </w:r>
          </w:p>
        </w:tc>
        <w:tc>
          <w:tcPr>
            <w:tcW w:w="1081" w:type="dxa"/>
          </w:tcPr>
          <w:p w14:paraId="640B4950" w14:textId="508C3B4E" w:rsidR="00B67A88" w:rsidRDefault="00B67A88" w:rsidP="000F0AA2">
            <w:pPr>
              <w:pStyle w:val="TableCopy"/>
              <w:jc w:val="right"/>
            </w:pPr>
            <w:r>
              <w:t>–</w:t>
            </w:r>
          </w:p>
        </w:tc>
        <w:tc>
          <w:tcPr>
            <w:tcW w:w="1253" w:type="dxa"/>
          </w:tcPr>
          <w:p w14:paraId="20087D79" w14:textId="65A6BC8A" w:rsidR="00B67A88" w:rsidRDefault="00B67A88" w:rsidP="000F0AA2">
            <w:pPr>
              <w:pStyle w:val="TableCopy"/>
              <w:jc w:val="right"/>
            </w:pPr>
            <w:r>
              <w:t>–</w:t>
            </w:r>
          </w:p>
        </w:tc>
        <w:tc>
          <w:tcPr>
            <w:tcW w:w="1081" w:type="dxa"/>
          </w:tcPr>
          <w:p w14:paraId="00C244A8" w14:textId="489BE1FC" w:rsidR="00B67A88" w:rsidRDefault="00B67A88" w:rsidP="000F0AA2">
            <w:pPr>
              <w:pStyle w:val="TableCopy"/>
              <w:jc w:val="right"/>
            </w:pPr>
            <w:r>
              <w:t>1,897</w:t>
            </w:r>
          </w:p>
        </w:tc>
        <w:tc>
          <w:tcPr>
            <w:tcW w:w="1159" w:type="dxa"/>
          </w:tcPr>
          <w:p w14:paraId="37D08F43" w14:textId="77777777" w:rsidR="00B67A88" w:rsidRDefault="00B67A88" w:rsidP="000F0AA2">
            <w:pPr>
              <w:pStyle w:val="TableCopy"/>
              <w:jc w:val="right"/>
            </w:pPr>
            <w:r>
              <w:t>(1,883)</w:t>
            </w:r>
          </w:p>
        </w:tc>
        <w:tc>
          <w:tcPr>
            <w:tcW w:w="1081" w:type="dxa"/>
          </w:tcPr>
          <w:p w14:paraId="5714D9F4" w14:textId="1F3950F2" w:rsidR="00B67A88" w:rsidRDefault="00B67A88" w:rsidP="000F0AA2">
            <w:pPr>
              <w:pStyle w:val="TableCopy"/>
              <w:jc w:val="right"/>
            </w:pPr>
            <w:r>
              <w:t>14</w:t>
            </w:r>
          </w:p>
        </w:tc>
        <w:tc>
          <w:tcPr>
            <w:tcW w:w="1082" w:type="dxa"/>
          </w:tcPr>
          <w:p w14:paraId="55FA3810" w14:textId="49CC7D61" w:rsidR="00B67A88" w:rsidRDefault="00B67A88" w:rsidP="000F0AA2">
            <w:pPr>
              <w:pStyle w:val="TableCopy"/>
              <w:jc w:val="right"/>
            </w:pPr>
            <w:r>
              <w:t>–</w:t>
            </w:r>
          </w:p>
        </w:tc>
        <w:tc>
          <w:tcPr>
            <w:tcW w:w="1081" w:type="dxa"/>
          </w:tcPr>
          <w:p w14:paraId="7B459028" w14:textId="44F2DE0F" w:rsidR="00B67A88" w:rsidRDefault="00B67A88" w:rsidP="000F0AA2">
            <w:pPr>
              <w:pStyle w:val="TableCopy"/>
              <w:jc w:val="right"/>
            </w:pPr>
            <w:r>
              <w:t>1,978</w:t>
            </w:r>
          </w:p>
        </w:tc>
        <w:tc>
          <w:tcPr>
            <w:tcW w:w="1146" w:type="dxa"/>
          </w:tcPr>
          <w:p w14:paraId="36B84046" w14:textId="77777777" w:rsidR="00B67A88" w:rsidRDefault="00B67A88" w:rsidP="000F0AA2">
            <w:pPr>
              <w:pStyle w:val="TableCopy"/>
              <w:jc w:val="right"/>
            </w:pPr>
            <w:r>
              <w:t>(1,978)</w:t>
            </w:r>
          </w:p>
        </w:tc>
        <w:tc>
          <w:tcPr>
            <w:tcW w:w="1082" w:type="dxa"/>
          </w:tcPr>
          <w:p w14:paraId="55868D14" w14:textId="4210D256" w:rsidR="00B67A88" w:rsidRDefault="00B67A88" w:rsidP="000F0AA2">
            <w:pPr>
              <w:pStyle w:val="TableCopy"/>
              <w:jc w:val="right"/>
            </w:pPr>
            <w:r>
              <w:t>–</w:t>
            </w:r>
          </w:p>
        </w:tc>
      </w:tr>
      <w:tr w:rsidR="00B67A88" w:rsidRPr="00B67A88" w14:paraId="07EC2AE7" w14:textId="77777777" w:rsidTr="00B67A88">
        <w:tblPrEx>
          <w:tblLook w:val="04A0" w:firstRow="1" w:lastRow="0" w:firstColumn="1" w:lastColumn="0" w:noHBand="0" w:noVBand="1"/>
        </w:tblPrEx>
        <w:trPr>
          <w:cantSplit/>
        </w:trPr>
        <w:tc>
          <w:tcPr>
            <w:tcW w:w="4957" w:type="dxa"/>
          </w:tcPr>
          <w:p w14:paraId="7A4201EB" w14:textId="77777777" w:rsidR="00B67A88" w:rsidRPr="00B67A88" w:rsidRDefault="00B67A88" w:rsidP="00B67A88">
            <w:pPr>
              <w:pStyle w:val="TableCopy"/>
              <w:rPr>
                <w:b/>
                <w:bCs/>
              </w:rPr>
            </w:pPr>
            <w:r w:rsidRPr="00B67A88">
              <w:rPr>
                <w:b/>
                <w:bCs/>
              </w:rPr>
              <w:t>Total controlled trusts</w:t>
            </w:r>
          </w:p>
        </w:tc>
        <w:tc>
          <w:tcPr>
            <w:tcW w:w="1081" w:type="dxa"/>
          </w:tcPr>
          <w:p w14:paraId="51507C5F" w14:textId="1A6208A8" w:rsidR="00B67A88" w:rsidRPr="00B67A88" w:rsidRDefault="00B67A88" w:rsidP="000F0AA2">
            <w:pPr>
              <w:pStyle w:val="TableCopy"/>
              <w:jc w:val="right"/>
              <w:rPr>
                <w:b/>
                <w:bCs/>
              </w:rPr>
            </w:pPr>
            <w:r w:rsidRPr="00B67A88">
              <w:rPr>
                <w:b/>
                <w:bCs/>
              </w:rPr>
              <w:t>407,123</w:t>
            </w:r>
          </w:p>
        </w:tc>
        <w:tc>
          <w:tcPr>
            <w:tcW w:w="1253" w:type="dxa"/>
          </w:tcPr>
          <w:p w14:paraId="17C026D9" w14:textId="77777777" w:rsidR="00B67A88" w:rsidRPr="00B67A88" w:rsidRDefault="00B67A88" w:rsidP="000F0AA2">
            <w:pPr>
              <w:pStyle w:val="TableCopy"/>
              <w:jc w:val="right"/>
              <w:rPr>
                <w:b/>
                <w:bCs/>
              </w:rPr>
            </w:pPr>
            <w:r w:rsidRPr="00B67A88">
              <w:rPr>
                <w:b/>
                <w:bCs/>
              </w:rPr>
              <w:t>(129,550)</w:t>
            </w:r>
          </w:p>
        </w:tc>
        <w:tc>
          <w:tcPr>
            <w:tcW w:w="1081" w:type="dxa"/>
          </w:tcPr>
          <w:p w14:paraId="419F209C" w14:textId="3DF2DF96" w:rsidR="00B67A88" w:rsidRPr="00B67A88" w:rsidRDefault="00B67A88" w:rsidP="000F0AA2">
            <w:pPr>
              <w:pStyle w:val="TableCopy"/>
              <w:jc w:val="right"/>
              <w:rPr>
                <w:b/>
                <w:bCs/>
              </w:rPr>
            </w:pPr>
            <w:r w:rsidRPr="00B67A88">
              <w:rPr>
                <w:b/>
                <w:bCs/>
              </w:rPr>
              <w:t>408,828</w:t>
            </w:r>
          </w:p>
        </w:tc>
        <w:tc>
          <w:tcPr>
            <w:tcW w:w="1159" w:type="dxa"/>
          </w:tcPr>
          <w:p w14:paraId="10B2C8FB" w14:textId="77777777" w:rsidR="00B67A88" w:rsidRPr="00B67A88" w:rsidRDefault="00B67A88" w:rsidP="000F0AA2">
            <w:pPr>
              <w:pStyle w:val="TableCopy"/>
              <w:jc w:val="right"/>
              <w:rPr>
                <w:b/>
                <w:bCs/>
              </w:rPr>
            </w:pPr>
            <w:r w:rsidRPr="00B67A88">
              <w:rPr>
                <w:b/>
                <w:bCs/>
              </w:rPr>
              <w:t>(367,562)</w:t>
            </w:r>
          </w:p>
        </w:tc>
        <w:tc>
          <w:tcPr>
            <w:tcW w:w="1081" w:type="dxa"/>
          </w:tcPr>
          <w:p w14:paraId="35D50386" w14:textId="29784D11" w:rsidR="00B67A88" w:rsidRPr="00B67A88" w:rsidRDefault="00B67A88" w:rsidP="000F0AA2">
            <w:pPr>
              <w:pStyle w:val="TableCopy"/>
              <w:jc w:val="right"/>
              <w:rPr>
                <w:b/>
                <w:bCs/>
              </w:rPr>
            </w:pPr>
            <w:r w:rsidRPr="00B67A88">
              <w:rPr>
                <w:b/>
                <w:bCs/>
              </w:rPr>
              <w:t>318,840</w:t>
            </w:r>
          </w:p>
        </w:tc>
        <w:tc>
          <w:tcPr>
            <w:tcW w:w="1082" w:type="dxa"/>
          </w:tcPr>
          <w:p w14:paraId="47F50A50" w14:textId="07315B46" w:rsidR="00B67A88" w:rsidRPr="00B67A88" w:rsidRDefault="00B67A88" w:rsidP="000F0AA2">
            <w:pPr>
              <w:pStyle w:val="TableCopy"/>
              <w:jc w:val="right"/>
              <w:rPr>
                <w:b/>
                <w:bCs/>
              </w:rPr>
            </w:pPr>
            <w:r w:rsidRPr="00B67A88">
              <w:rPr>
                <w:b/>
                <w:bCs/>
              </w:rPr>
              <w:t>419,462</w:t>
            </w:r>
          </w:p>
        </w:tc>
        <w:tc>
          <w:tcPr>
            <w:tcW w:w="1081" w:type="dxa"/>
          </w:tcPr>
          <w:p w14:paraId="1E9988B7" w14:textId="0B873498" w:rsidR="00B67A88" w:rsidRPr="00B67A88" w:rsidRDefault="00B67A88" w:rsidP="000F0AA2">
            <w:pPr>
              <w:pStyle w:val="TableCopy"/>
              <w:jc w:val="right"/>
              <w:rPr>
                <w:b/>
                <w:bCs/>
              </w:rPr>
            </w:pPr>
            <w:r w:rsidRPr="00B67A88">
              <w:rPr>
                <w:b/>
                <w:bCs/>
              </w:rPr>
              <w:t>259,279</w:t>
            </w:r>
          </w:p>
        </w:tc>
        <w:tc>
          <w:tcPr>
            <w:tcW w:w="1146" w:type="dxa"/>
          </w:tcPr>
          <w:p w14:paraId="031E8C4E" w14:textId="77777777" w:rsidR="00B67A88" w:rsidRPr="00B67A88" w:rsidRDefault="00B67A88" w:rsidP="000F0AA2">
            <w:pPr>
              <w:pStyle w:val="TableCopy"/>
              <w:jc w:val="right"/>
              <w:rPr>
                <w:b/>
                <w:bCs/>
              </w:rPr>
            </w:pPr>
            <w:r w:rsidRPr="00B67A88">
              <w:rPr>
                <w:b/>
                <w:bCs/>
              </w:rPr>
              <w:t>(271,617)</w:t>
            </w:r>
          </w:p>
        </w:tc>
        <w:tc>
          <w:tcPr>
            <w:tcW w:w="1082" w:type="dxa"/>
          </w:tcPr>
          <w:p w14:paraId="45F94C2D" w14:textId="5CF96C7B" w:rsidR="00B67A88" w:rsidRPr="00B67A88" w:rsidRDefault="00B67A88" w:rsidP="000F0AA2">
            <w:pPr>
              <w:pStyle w:val="TableCopy"/>
              <w:jc w:val="right"/>
              <w:rPr>
                <w:b/>
                <w:bCs/>
              </w:rPr>
            </w:pPr>
            <w:r w:rsidRPr="00B67A88">
              <w:rPr>
                <w:b/>
                <w:bCs/>
              </w:rPr>
              <w:t>407,123</w:t>
            </w:r>
          </w:p>
        </w:tc>
      </w:tr>
    </w:tbl>
    <w:p w14:paraId="1150D04F" w14:textId="77777777" w:rsidR="000756EB" w:rsidRDefault="000756EB" w:rsidP="00AB06AB"/>
    <w:p w14:paraId="3DBDCB18" w14:textId="2542B35B" w:rsidR="000756EB" w:rsidRDefault="004A4D88" w:rsidP="00B67A88">
      <w:pPr>
        <w:pStyle w:val="Heading3"/>
      </w:pPr>
      <w:r>
        <w:lastRenderedPageBreak/>
        <w:t>7.4.2</w:t>
      </w:r>
      <w:r w:rsidR="00DE38B5">
        <w:t xml:space="preserve"> </w:t>
      </w:r>
      <w:r>
        <w:t>Trust</w:t>
      </w:r>
      <w:r w:rsidR="00A03629">
        <w:t xml:space="preserve"> </w:t>
      </w:r>
      <w:r>
        <w:t>account</w:t>
      </w:r>
      <w:r w:rsidR="00A03629">
        <w:t xml:space="preserve"> </w:t>
      </w:r>
      <w:r>
        <w:t>balances</w:t>
      </w:r>
      <w:r w:rsidR="00A03629">
        <w:t xml:space="preserve"> </w:t>
      </w:r>
      <w:r>
        <w:t>relating</w:t>
      </w:r>
      <w:r w:rsidR="00A03629">
        <w:t xml:space="preserve"> </w:t>
      </w:r>
      <w:r>
        <w:t>to</w:t>
      </w:r>
      <w:r w:rsidR="00A03629">
        <w:t xml:space="preserve"> </w:t>
      </w:r>
      <w:r>
        <w:t>trust</w:t>
      </w:r>
      <w:r w:rsidR="00A03629">
        <w:t xml:space="preserve"> </w:t>
      </w:r>
      <w:r>
        <w:t>accounts</w:t>
      </w:r>
      <w:r w:rsidR="00A03629">
        <w:t xml:space="preserve"> </w:t>
      </w:r>
      <w:r>
        <w:t>administered</w:t>
      </w:r>
      <w:r w:rsidR="00A03629">
        <w:t xml:space="preserve"> </w:t>
      </w:r>
      <w:r>
        <w:t>by</w:t>
      </w:r>
      <w:r w:rsidR="00A03629">
        <w:t xml:space="preserve"> </w:t>
      </w:r>
      <w:r>
        <w:t>DJSIR</w:t>
      </w:r>
    </w:p>
    <w:tbl>
      <w:tblPr>
        <w:tblStyle w:val="TableGrid"/>
        <w:tblW w:w="15045" w:type="dxa"/>
        <w:tblLayout w:type="fixed"/>
        <w:tblLook w:val="04A0" w:firstRow="1" w:lastRow="0" w:firstColumn="1" w:lastColumn="0" w:noHBand="0" w:noVBand="1"/>
      </w:tblPr>
      <w:tblGrid>
        <w:gridCol w:w="4926"/>
        <w:gridCol w:w="1121"/>
        <w:gridCol w:w="1122"/>
        <w:gridCol w:w="1122"/>
        <w:gridCol w:w="1121"/>
        <w:gridCol w:w="1122"/>
        <w:gridCol w:w="1122"/>
        <w:gridCol w:w="1121"/>
        <w:gridCol w:w="1146"/>
        <w:gridCol w:w="1122"/>
      </w:tblGrid>
      <w:tr w:rsidR="00635ADF" w:rsidRPr="00C603E4" w14:paraId="7817A795" w14:textId="77777777" w:rsidTr="0040115F">
        <w:trPr>
          <w:cantSplit/>
          <w:tblHeader/>
        </w:trPr>
        <w:tc>
          <w:tcPr>
            <w:tcW w:w="4926" w:type="dxa"/>
          </w:tcPr>
          <w:p w14:paraId="744B5FF9" w14:textId="4812B48A" w:rsidR="00635ADF" w:rsidRPr="00614829" w:rsidRDefault="00635ADF" w:rsidP="00614829">
            <w:pPr>
              <w:pStyle w:val="TableColumnHeading"/>
              <w:rPr>
                <w:sz w:val="20"/>
                <w:szCs w:val="28"/>
              </w:rPr>
            </w:pPr>
            <w:bookmarkStart w:id="102" w:name="ColumnTitles_60"/>
            <w:bookmarkEnd w:id="102"/>
            <w:r w:rsidRPr="00614829">
              <w:rPr>
                <w:sz w:val="20"/>
                <w:szCs w:val="28"/>
              </w:rPr>
              <w:t>Administered Trusts</w:t>
            </w:r>
          </w:p>
        </w:tc>
        <w:tc>
          <w:tcPr>
            <w:tcW w:w="1121" w:type="dxa"/>
          </w:tcPr>
          <w:p w14:paraId="0AADC008" w14:textId="77777777" w:rsidR="00635ADF" w:rsidRPr="00C603E4" w:rsidRDefault="00635ADF" w:rsidP="0040115F">
            <w:pPr>
              <w:pStyle w:val="TableColumnHeading"/>
              <w:jc w:val="right"/>
              <w:rPr>
                <w:rFonts w:asciiTheme="minorHAnsi" w:hAnsiTheme="minorHAnsi" w:cstheme="minorHAnsi"/>
                <w:sz w:val="20"/>
                <w:szCs w:val="28"/>
              </w:rPr>
            </w:pPr>
            <w:r w:rsidRPr="00C603E4">
              <w:rPr>
                <w:rFonts w:asciiTheme="minorHAnsi" w:hAnsiTheme="minorHAnsi" w:cstheme="minorHAnsi"/>
                <w:sz w:val="20"/>
                <w:szCs w:val="28"/>
              </w:rPr>
              <w:t xml:space="preserve">2023 Opening Balance as </w:t>
            </w:r>
            <w:proofErr w:type="gramStart"/>
            <w:r w:rsidRPr="00C603E4">
              <w:rPr>
                <w:rFonts w:asciiTheme="minorHAnsi" w:hAnsiTheme="minorHAnsi" w:cstheme="minorHAnsi"/>
                <w:sz w:val="20"/>
                <w:szCs w:val="28"/>
              </w:rPr>
              <w:t>at</w:t>
            </w:r>
            <w:proofErr w:type="gramEnd"/>
            <w:r w:rsidRPr="00C603E4">
              <w:rPr>
                <w:rFonts w:asciiTheme="minorHAnsi" w:hAnsiTheme="minorHAnsi" w:cstheme="minorHAnsi"/>
                <w:sz w:val="20"/>
                <w:szCs w:val="28"/>
              </w:rPr>
              <w:t xml:space="preserve"> 1 July 2022 ($ thousand) </w:t>
            </w:r>
          </w:p>
        </w:tc>
        <w:tc>
          <w:tcPr>
            <w:tcW w:w="1122" w:type="dxa"/>
          </w:tcPr>
          <w:p w14:paraId="46ACAE06" w14:textId="77777777" w:rsidR="00635ADF" w:rsidRPr="00C603E4" w:rsidRDefault="00635ADF" w:rsidP="0040115F">
            <w:pPr>
              <w:pStyle w:val="TableColumnHeading"/>
              <w:jc w:val="right"/>
              <w:rPr>
                <w:rFonts w:asciiTheme="minorHAnsi" w:hAnsiTheme="minorHAnsi" w:cstheme="minorHAnsi"/>
                <w:sz w:val="20"/>
                <w:szCs w:val="28"/>
              </w:rPr>
            </w:pPr>
            <w:r w:rsidRPr="00C603E4">
              <w:rPr>
                <w:rFonts w:asciiTheme="minorHAnsi" w:hAnsiTheme="minorHAnsi" w:cstheme="minorHAnsi"/>
                <w:sz w:val="20"/>
                <w:szCs w:val="28"/>
              </w:rPr>
              <w:t>2023 MOG Transferred in/out ($ thousand)</w:t>
            </w:r>
          </w:p>
        </w:tc>
        <w:tc>
          <w:tcPr>
            <w:tcW w:w="1122" w:type="dxa"/>
          </w:tcPr>
          <w:p w14:paraId="699D0214" w14:textId="77777777" w:rsidR="00635ADF" w:rsidRPr="00C603E4" w:rsidRDefault="00635ADF" w:rsidP="0040115F">
            <w:pPr>
              <w:pStyle w:val="TableColumnHeading"/>
              <w:jc w:val="right"/>
              <w:rPr>
                <w:rFonts w:asciiTheme="minorHAnsi" w:hAnsiTheme="minorHAnsi" w:cstheme="minorHAnsi"/>
                <w:sz w:val="20"/>
                <w:szCs w:val="28"/>
              </w:rPr>
            </w:pPr>
            <w:r w:rsidRPr="00C603E4">
              <w:rPr>
                <w:rFonts w:asciiTheme="minorHAnsi" w:hAnsiTheme="minorHAnsi" w:cstheme="minorHAnsi"/>
                <w:sz w:val="20"/>
                <w:szCs w:val="28"/>
              </w:rPr>
              <w:t>2023 Total Receipts ($ thousand)</w:t>
            </w:r>
          </w:p>
        </w:tc>
        <w:tc>
          <w:tcPr>
            <w:tcW w:w="1121" w:type="dxa"/>
          </w:tcPr>
          <w:p w14:paraId="4765BAAB" w14:textId="77777777" w:rsidR="00635ADF" w:rsidRPr="00C603E4" w:rsidRDefault="00635ADF" w:rsidP="0040115F">
            <w:pPr>
              <w:pStyle w:val="TableColumnHeading"/>
              <w:jc w:val="right"/>
              <w:rPr>
                <w:rFonts w:asciiTheme="minorHAnsi" w:hAnsiTheme="minorHAnsi" w:cstheme="minorHAnsi"/>
                <w:sz w:val="20"/>
                <w:szCs w:val="28"/>
              </w:rPr>
            </w:pPr>
            <w:r w:rsidRPr="00C603E4">
              <w:rPr>
                <w:rFonts w:asciiTheme="minorHAnsi" w:hAnsiTheme="minorHAnsi" w:cstheme="minorHAnsi"/>
                <w:sz w:val="20"/>
                <w:szCs w:val="28"/>
              </w:rPr>
              <w:t xml:space="preserve">2023 </w:t>
            </w:r>
            <w:r w:rsidRPr="00C603E4">
              <w:rPr>
                <w:rFonts w:asciiTheme="minorHAnsi" w:hAnsiTheme="minorHAnsi" w:cstheme="minorHAnsi"/>
                <w:spacing w:val="-2"/>
                <w:sz w:val="20"/>
                <w:szCs w:val="28"/>
              </w:rPr>
              <w:t>Total Payments</w:t>
            </w:r>
            <w:r w:rsidRPr="00C603E4">
              <w:rPr>
                <w:rFonts w:asciiTheme="minorHAnsi" w:hAnsiTheme="minorHAnsi" w:cstheme="minorHAnsi"/>
                <w:sz w:val="20"/>
                <w:szCs w:val="28"/>
              </w:rPr>
              <w:t xml:space="preserve"> ($ thousand)</w:t>
            </w:r>
          </w:p>
        </w:tc>
        <w:tc>
          <w:tcPr>
            <w:tcW w:w="1122" w:type="dxa"/>
          </w:tcPr>
          <w:p w14:paraId="24B70033" w14:textId="77777777" w:rsidR="00635ADF" w:rsidRPr="00C603E4" w:rsidRDefault="00635ADF" w:rsidP="0040115F">
            <w:pPr>
              <w:pStyle w:val="TableColumnHeading"/>
              <w:jc w:val="right"/>
              <w:rPr>
                <w:rFonts w:asciiTheme="minorHAnsi" w:hAnsiTheme="minorHAnsi" w:cstheme="minorHAnsi"/>
                <w:sz w:val="20"/>
                <w:szCs w:val="28"/>
              </w:rPr>
            </w:pPr>
            <w:r w:rsidRPr="00C603E4">
              <w:rPr>
                <w:rFonts w:asciiTheme="minorHAnsi" w:hAnsiTheme="minorHAnsi" w:cstheme="minorHAnsi"/>
                <w:sz w:val="20"/>
                <w:szCs w:val="28"/>
              </w:rPr>
              <w:t xml:space="preserve">2022 Closing balance as </w:t>
            </w:r>
            <w:proofErr w:type="gramStart"/>
            <w:r w:rsidRPr="00C603E4">
              <w:rPr>
                <w:rFonts w:asciiTheme="minorHAnsi" w:hAnsiTheme="minorHAnsi" w:cstheme="minorHAnsi"/>
                <w:sz w:val="20"/>
                <w:szCs w:val="28"/>
              </w:rPr>
              <w:t>at</w:t>
            </w:r>
            <w:proofErr w:type="gramEnd"/>
            <w:r w:rsidRPr="00C603E4">
              <w:rPr>
                <w:rFonts w:asciiTheme="minorHAnsi" w:hAnsiTheme="minorHAnsi" w:cstheme="minorHAnsi"/>
                <w:sz w:val="20"/>
                <w:szCs w:val="28"/>
              </w:rPr>
              <w:t xml:space="preserve"> 30 June 2023 ($ thousand)</w:t>
            </w:r>
          </w:p>
        </w:tc>
        <w:tc>
          <w:tcPr>
            <w:tcW w:w="1122" w:type="dxa"/>
          </w:tcPr>
          <w:p w14:paraId="1B8F6259" w14:textId="77777777" w:rsidR="00635ADF" w:rsidRPr="00C603E4" w:rsidRDefault="00635ADF" w:rsidP="0040115F">
            <w:pPr>
              <w:pStyle w:val="TableColumnHeading"/>
              <w:jc w:val="right"/>
              <w:rPr>
                <w:rFonts w:asciiTheme="minorHAnsi" w:hAnsiTheme="minorHAnsi" w:cstheme="minorHAnsi"/>
                <w:sz w:val="20"/>
                <w:szCs w:val="28"/>
              </w:rPr>
            </w:pPr>
            <w:r w:rsidRPr="00C603E4">
              <w:rPr>
                <w:rFonts w:asciiTheme="minorHAnsi" w:hAnsiTheme="minorHAnsi" w:cstheme="minorHAnsi"/>
                <w:sz w:val="20"/>
                <w:szCs w:val="28"/>
              </w:rPr>
              <w:t xml:space="preserve">2022 Opening Balance as </w:t>
            </w:r>
            <w:proofErr w:type="gramStart"/>
            <w:r w:rsidRPr="00C603E4">
              <w:rPr>
                <w:rFonts w:asciiTheme="minorHAnsi" w:hAnsiTheme="minorHAnsi" w:cstheme="minorHAnsi"/>
                <w:sz w:val="20"/>
                <w:szCs w:val="28"/>
              </w:rPr>
              <w:t>at</w:t>
            </w:r>
            <w:proofErr w:type="gramEnd"/>
            <w:r w:rsidRPr="00C603E4">
              <w:rPr>
                <w:rFonts w:asciiTheme="minorHAnsi" w:hAnsiTheme="minorHAnsi" w:cstheme="minorHAnsi"/>
                <w:sz w:val="20"/>
                <w:szCs w:val="28"/>
              </w:rPr>
              <w:t xml:space="preserve"> 1 July 2021 ($ thousand)</w:t>
            </w:r>
          </w:p>
        </w:tc>
        <w:tc>
          <w:tcPr>
            <w:tcW w:w="1121" w:type="dxa"/>
          </w:tcPr>
          <w:p w14:paraId="66BC9E30" w14:textId="77777777" w:rsidR="00635ADF" w:rsidRPr="00C603E4" w:rsidRDefault="00635ADF" w:rsidP="0040115F">
            <w:pPr>
              <w:pStyle w:val="TableColumnHeading"/>
              <w:jc w:val="right"/>
              <w:rPr>
                <w:rFonts w:asciiTheme="minorHAnsi" w:hAnsiTheme="minorHAnsi" w:cstheme="minorHAnsi"/>
                <w:sz w:val="20"/>
                <w:szCs w:val="28"/>
              </w:rPr>
            </w:pPr>
            <w:r w:rsidRPr="00C603E4">
              <w:rPr>
                <w:rFonts w:asciiTheme="minorHAnsi" w:hAnsiTheme="minorHAnsi" w:cstheme="minorHAnsi"/>
                <w:sz w:val="20"/>
                <w:szCs w:val="28"/>
              </w:rPr>
              <w:t>2022 Total Receipts ($ thousand)</w:t>
            </w:r>
          </w:p>
        </w:tc>
        <w:tc>
          <w:tcPr>
            <w:tcW w:w="1146" w:type="dxa"/>
          </w:tcPr>
          <w:p w14:paraId="6D0D7791" w14:textId="77777777" w:rsidR="00635ADF" w:rsidRPr="00C603E4" w:rsidRDefault="00635ADF" w:rsidP="0040115F">
            <w:pPr>
              <w:pStyle w:val="TableColumnHeading"/>
              <w:jc w:val="right"/>
              <w:rPr>
                <w:rFonts w:asciiTheme="minorHAnsi" w:hAnsiTheme="minorHAnsi" w:cstheme="minorHAnsi"/>
                <w:sz w:val="20"/>
                <w:szCs w:val="28"/>
              </w:rPr>
            </w:pPr>
            <w:r w:rsidRPr="00C603E4">
              <w:rPr>
                <w:rFonts w:asciiTheme="minorHAnsi" w:hAnsiTheme="minorHAnsi" w:cstheme="minorHAnsi"/>
                <w:sz w:val="20"/>
                <w:szCs w:val="28"/>
              </w:rPr>
              <w:t>2022 Total Payments ($ thousand)</w:t>
            </w:r>
          </w:p>
        </w:tc>
        <w:tc>
          <w:tcPr>
            <w:tcW w:w="1122" w:type="dxa"/>
          </w:tcPr>
          <w:p w14:paraId="38B0F79A" w14:textId="77777777" w:rsidR="00635ADF" w:rsidRPr="00C603E4" w:rsidRDefault="00635ADF" w:rsidP="0040115F">
            <w:pPr>
              <w:pStyle w:val="TableColumnHeading"/>
              <w:jc w:val="right"/>
              <w:rPr>
                <w:rFonts w:asciiTheme="minorHAnsi" w:hAnsiTheme="minorHAnsi" w:cstheme="minorHAnsi"/>
                <w:sz w:val="20"/>
                <w:szCs w:val="28"/>
              </w:rPr>
            </w:pPr>
            <w:r w:rsidRPr="00C603E4">
              <w:rPr>
                <w:rFonts w:asciiTheme="minorHAnsi" w:hAnsiTheme="minorHAnsi" w:cstheme="minorHAnsi"/>
                <w:sz w:val="20"/>
                <w:szCs w:val="28"/>
              </w:rPr>
              <w:t xml:space="preserve">Closing balance as </w:t>
            </w:r>
            <w:proofErr w:type="gramStart"/>
            <w:r w:rsidRPr="00C603E4">
              <w:rPr>
                <w:rFonts w:asciiTheme="minorHAnsi" w:hAnsiTheme="minorHAnsi" w:cstheme="minorHAnsi"/>
                <w:sz w:val="20"/>
                <w:szCs w:val="28"/>
              </w:rPr>
              <w:t>at</w:t>
            </w:r>
            <w:proofErr w:type="gramEnd"/>
            <w:r w:rsidRPr="00C603E4">
              <w:rPr>
                <w:rFonts w:asciiTheme="minorHAnsi" w:hAnsiTheme="minorHAnsi" w:cstheme="minorHAnsi"/>
                <w:sz w:val="20"/>
                <w:szCs w:val="28"/>
              </w:rPr>
              <w:t xml:space="preserve"> 30 June 2022 ($ thousand)</w:t>
            </w:r>
          </w:p>
        </w:tc>
      </w:tr>
      <w:tr w:rsidR="00B67A88" w:rsidRPr="00635ADF" w14:paraId="0125F040" w14:textId="77777777" w:rsidTr="0040115F">
        <w:tblPrEx>
          <w:tblLook w:val="0020" w:firstRow="1" w:lastRow="0" w:firstColumn="0" w:lastColumn="0" w:noHBand="0" w:noVBand="0"/>
        </w:tblPrEx>
        <w:trPr>
          <w:cantSplit/>
        </w:trPr>
        <w:tc>
          <w:tcPr>
            <w:tcW w:w="4926" w:type="dxa"/>
          </w:tcPr>
          <w:p w14:paraId="005C16E9" w14:textId="0B280A56" w:rsidR="00B67A88" w:rsidRPr="00635ADF" w:rsidRDefault="00B67A88" w:rsidP="00635ADF">
            <w:pPr>
              <w:pStyle w:val="TableHeading"/>
              <w:rPr>
                <w:rFonts w:asciiTheme="minorHAnsi" w:hAnsiTheme="minorHAnsi" w:cstheme="minorHAnsi"/>
              </w:rPr>
            </w:pPr>
            <w:r w:rsidRPr="00635ADF">
              <w:rPr>
                <w:rFonts w:asciiTheme="minorHAnsi" w:hAnsiTheme="minorHAnsi" w:cstheme="minorHAnsi"/>
              </w:rPr>
              <w:t>State trusts</w:t>
            </w:r>
          </w:p>
        </w:tc>
        <w:tc>
          <w:tcPr>
            <w:tcW w:w="1121" w:type="dxa"/>
          </w:tcPr>
          <w:p w14:paraId="67E79DD7" w14:textId="77777777" w:rsidR="00B67A88" w:rsidRPr="00635ADF" w:rsidRDefault="00B67A88" w:rsidP="0040115F">
            <w:pPr>
              <w:pStyle w:val="TableHeading"/>
              <w:jc w:val="right"/>
              <w:rPr>
                <w:rFonts w:asciiTheme="minorHAnsi" w:hAnsiTheme="minorHAnsi" w:cstheme="minorHAnsi"/>
                <w:lang w:val="en-AU"/>
              </w:rPr>
            </w:pPr>
          </w:p>
        </w:tc>
        <w:tc>
          <w:tcPr>
            <w:tcW w:w="1122" w:type="dxa"/>
          </w:tcPr>
          <w:p w14:paraId="67659615" w14:textId="77777777" w:rsidR="00B67A88" w:rsidRPr="00635ADF" w:rsidRDefault="00B67A88" w:rsidP="0040115F">
            <w:pPr>
              <w:pStyle w:val="TableHeading"/>
              <w:jc w:val="right"/>
              <w:rPr>
                <w:rFonts w:asciiTheme="minorHAnsi" w:hAnsiTheme="minorHAnsi" w:cstheme="minorHAnsi"/>
                <w:lang w:val="en-AU"/>
              </w:rPr>
            </w:pPr>
          </w:p>
        </w:tc>
        <w:tc>
          <w:tcPr>
            <w:tcW w:w="1122" w:type="dxa"/>
          </w:tcPr>
          <w:p w14:paraId="3F3B9C0A" w14:textId="77777777" w:rsidR="00B67A88" w:rsidRPr="00635ADF" w:rsidRDefault="00B67A88" w:rsidP="0040115F">
            <w:pPr>
              <w:pStyle w:val="TableHeading"/>
              <w:jc w:val="right"/>
              <w:rPr>
                <w:rFonts w:asciiTheme="minorHAnsi" w:hAnsiTheme="minorHAnsi" w:cstheme="minorHAnsi"/>
                <w:lang w:val="en-AU"/>
              </w:rPr>
            </w:pPr>
          </w:p>
        </w:tc>
        <w:tc>
          <w:tcPr>
            <w:tcW w:w="1121" w:type="dxa"/>
          </w:tcPr>
          <w:p w14:paraId="6CDE0180" w14:textId="77777777" w:rsidR="00B67A88" w:rsidRPr="00635ADF" w:rsidRDefault="00B67A88" w:rsidP="0040115F">
            <w:pPr>
              <w:pStyle w:val="TableHeading"/>
              <w:jc w:val="right"/>
              <w:rPr>
                <w:rFonts w:asciiTheme="minorHAnsi" w:hAnsiTheme="minorHAnsi" w:cstheme="minorHAnsi"/>
                <w:lang w:val="en-AU"/>
              </w:rPr>
            </w:pPr>
          </w:p>
        </w:tc>
        <w:tc>
          <w:tcPr>
            <w:tcW w:w="1122" w:type="dxa"/>
          </w:tcPr>
          <w:p w14:paraId="1BEC6B7C" w14:textId="77777777" w:rsidR="00B67A88" w:rsidRPr="00635ADF" w:rsidRDefault="00B67A88" w:rsidP="0040115F">
            <w:pPr>
              <w:pStyle w:val="TableHeading"/>
              <w:jc w:val="right"/>
              <w:rPr>
                <w:rFonts w:asciiTheme="minorHAnsi" w:hAnsiTheme="minorHAnsi" w:cstheme="minorHAnsi"/>
                <w:lang w:val="en-AU"/>
              </w:rPr>
            </w:pPr>
          </w:p>
        </w:tc>
        <w:tc>
          <w:tcPr>
            <w:tcW w:w="1122" w:type="dxa"/>
          </w:tcPr>
          <w:p w14:paraId="57E441BF" w14:textId="77777777" w:rsidR="00B67A88" w:rsidRPr="00635ADF" w:rsidRDefault="00B67A88" w:rsidP="0040115F">
            <w:pPr>
              <w:pStyle w:val="TableHeading"/>
              <w:jc w:val="right"/>
              <w:rPr>
                <w:rFonts w:asciiTheme="minorHAnsi" w:hAnsiTheme="minorHAnsi" w:cstheme="minorHAnsi"/>
                <w:lang w:val="en-AU"/>
              </w:rPr>
            </w:pPr>
          </w:p>
        </w:tc>
        <w:tc>
          <w:tcPr>
            <w:tcW w:w="1121" w:type="dxa"/>
          </w:tcPr>
          <w:p w14:paraId="6ABB2416" w14:textId="77777777" w:rsidR="00B67A88" w:rsidRPr="00635ADF" w:rsidRDefault="00B67A88" w:rsidP="0040115F">
            <w:pPr>
              <w:pStyle w:val="TableHeading"/>
              <w:jc w:val="right"/>
              <w:rPr>
                <w:rFonts w:asciiTheme="minorHAnsi" w:hAnsiTheme="minorHAnsi" w:cstheme="minorHAnsi"/>
                <w:lang w:val="en-AU"/>
              </w:rPr>
            </w:pPr>
          </w:p>
        </w:tc>
        <w:tc>
          <w:tcPr>
            <w:tcW w:w="1146" w:type="dxa"/>
          </w:tcPr>
          <w:p w14:paraId="286448D2" w14:textId="77777777" w:rsidR="00B67A88" w:rsidRPr="00635ADF" w:rsidRDefault="00B67A88" w:rsidP="0040115F">
            <w:pPr>
              <w:pStyle w:val="TableHeading"/>
              <w:jc w:val="right"/>
              <w:rPr>
                <w:rFonts w:asciiTheme="minorHAnsi" w:hAnsiTheme="minorHAnsi" w:cstheme="minorHAnsi"/>
                <w:lang w:val="en-AU"/>
              </w:rPr>
            </w:pPr>
          </w:p>
        </w:tc>
        <w:tc>
          <w:tcPr>
            <w:tcW w:w="1122" w:type="dxa"/>
          </w:tcPr>
          <w:p w14:paraId="2A4A5830" w14:textId="77777777" w:rsidR="00B67A88" w:rsidRPr="00635ADF" w:rsidRDefault="00B67A88" w:rsidP="0040115F">
            <w:pPr>
              <w:pStyle w:val="TableHeading"/>
              <w:jc w:val="right"/>
              <w:rPr>
                <w:rFonts w:asciiTheme="minorHAnsi" w:hAnsiTheme="minorHAnsi" w:cstheme="minorHAnsi"/>
                <w:lang w:val="en-AU"/>
              </w:rPr>
            </w:pPr>
          </w:p>
        </w:tc>
      </w:tr>
      <w:tr w:rsidR="00B67A88" w14:paraId="6517DAE0" w14:textId="77777777" w:rsidTr="0040115F">
        <w:tblPrEx>
          <w:tblLook w:val="0020" w:firstRow="1" w:lastRow="0" w:firstColumn="0" w:lastColumn="0" w:noHBand="0" w:noVBand="0"/>
        </w:tblPrEx>
        <w:trPr>
          <w:cantSplit/>
        </w:trPr>
        <w:tc>
          <w:tcPr>
            <w:tcW w:w="4926" w:type="dxa"/>
          </w:tcPr>
          <w:p w14:paraId="277E6D51" w14:textId="30151C7A" w:rsidR="00B67A88" w:rsidRDefault="00B67A88" w:rsidP="00635ADF">
            <w:pPr>
              <w:pStyle w:val="TableCopy"/>
            </w:pPr>
            <w:proofErr w:type="spellStart"/>
            <w:r w:rsidRPr="00635ADF">
              <w:rPr>
                <w:b/>
                <w:bCs/>
              </w:rPr>
              <w:t>Lysterfield</w:t>
            </w:r>
            <w:proofErr w:type="spellEnd"/>
            <w:r w:rsidRPr="00635ADF">
              <w:rPr>
                <w:b/>
                <w:bCs/>
              </w:rPr>
              <w:t xml:space="preserve"> Reclamation Levy Trust Fund</w:t>
            </w:r>
            <w:r w:rsidRPr="00D05F44">
              <w:t xml:space="preserve"> </w:t>
            </w:r>
            <w:r>
              <w:t xml:space="preserve">Established under section 7 of the </w:t>
            </w:r>
            <w:r w:rsidRPr="00635ADF">
              <w:rPr>
                <w:i/>
                <w:iCs/>
              </w:rPr>
              <w:t>Extractive Industries (</w:t>
            </w:r>
            <w:proofErr w:type="spellStart"/>
            <w:r w:rsidRPr="00635ADF">
              <w:rPr>
                <w:i/>
                <w:iCs/>
              </w:rPr>
              <w:t>Lysterfield</w:t>
            </w:r>
            <w:proofErr w:type="spellEnd"/>
            <w:r w:rsidRPr="00635ADF">
              <w:rPr>
                <w:i/>
                <w:iCs/>
              </w:rPr>
              <w:t>) Act 1986</w:t>
            </w:r>
            <w:r>
              <w:t xml:space="preserve"> for the purposes of applying monies received in the trust to the reclamation of certain lands in accordance with the Act.</w:t>
            </w:r>
          </w:p>
        </w:tc>
        <w:tc>
          <w:tcPr>
            <w:tcW w:w="1121" w:type="dxa"/>
          </w:tcPr>
          <w:p w14:paraId="38347A65" w14:textId="67C38C8A" w:rsidR="00B67A88" w:rsidRDefault="00B67A88" w:rsidP="0040115F">
            <w:pPr>
              <w:pStyle w:val="TableCopy"/>
              <w:jc w:val="right"/>
            </w:pPr>
            <w:r>
              <w:t>5,819</w:t>
            </w:r>
          </w:p>
        </w:tc>
        <w:tc>
          <w:tcPr>
            <w:tcW w:w="1122" w:type="dxa"/>
          </w:tcPr>
          <w:p w14:paraId="7E32190C" w14:textId="77777777" w:rsidR="00B67A88" w:rsidRDefault="00B67A88" w:rsidP="0040115F">
            <w:pPr>
              <w:pStyle w:val="TableCopy"/>
              <w:jc w:val="right"/>
            </w:pPr>
            <w:r>
              <w:t>(6,012)</w:t>
            </w:r>
          </w:p>
        </w:tc>
        <w:tc>
          <w:tcPr>
            <w:tcW w:w="1122" w:type="dxa"/>
          </w:tcPr>
          <w:p w14:paraId="62F7CDC7" w14:textId="53F36C83" w:rsidR="00B67A88" w:rsidRDefault="00B67A88" w:rsidP="0040115F">
            <w:pPr>
              <w:pStyle w:val="TableCopy"/>
              <w:jc w:val="right"/>
            </w:pPr>
            <w:r>
              <w:t>193</w:t>
            </w:r>
          </w:p>
        </w:tc>
        <w:tc>
          <w:tcPr>
            <w:tcW w:w="1121" w:type="dxa"/>
          </w:tcPr>
          <w:p w14:paraId="579E4533" w14:textId="7FDF07E9" w:rsidR="00B67A88" w:rsidRDefault="00B67A88" w:rsidP="0040115F">
            <w:pPr>
              <w:pStyle w:val="TableCopy"/>
              <w:jc w:val="right"/>
            </w:pPr>
            <w:r>
              <w:t>–</w:t>
            </w:r>
          </w:p>
        </w:tc>
        <w:tc>
          <w:tcPr>
            <w:tcW w:w="1122" w:type="dxa"/>
          </w:tcPr>
          <w:p w14:paraId="6DD1A3AB" w14:textId="5E820432" w:rsidR="00B67A88" w:rsidRDefault="00B67A88" w:rsidP="0040115F">
            <w:pPr>
              <w:pStyle w:val="TableCopy"/>
              <w:jc w:val="right"/>
            </w:pPr>
            <w:r>
              <w:t>–</w:t>
            </w:r>
          </w:p>
        </w:tc>
        <w:tc>
          <w:tcPr>
            <w:tcW w:w="1122" w:type="dxa"/>
          </w:tcPr>
          <w:p w14:paraId="1E80D7C6" w14:textId="3CE7E99A" w:rsidR="00B67A88" w:rsidRDefault="00B67A88" w:rsidP="0040115F">
            <w:pPr>
              <w:pStyle w:val="TableCopy"/>
              <w:jc w:val="right"/>
            </w:pPr>
            <w:r>
              <w:t>5,598</w:t>
            </w:r>
          </w:p>
        </w:tc>
        <w:tc>
          <w:tcPr>
            <w:tcW w:w="1121" w:type="dxa"/>
          </w:tcPr>
          <w:p w14:paraId="4FE29C1F" w14:textId="27F980F4" w:rsidR="00B67A88" w:rsidRDefault="00B67A88" w:rsidP="0040115F">
            <w:pPr>
              <w:pStyle w:val="TableCopy"/>
              <w:jc w:val="right"/>
            </w:pPr>
            <w:r>
              <w:t>221</w:t>
            </w:r>
          </w:p>
        </w:tc>
        <w:tc>
          <w:tcPr>
            <w:tcW w:w="1146" w:type="dxa"/>
          </w:tcPr>
          <w:p w14:paraId="438C3F42" w14:textId="65A7BFB6" w:rsidR="00B67A88" w:rsidRDefault="00B67A88" w:rsidP="0040115F">
            <w:pPr>
              <w:pStyle w:val="TableCopy"/>
              <w:jc w:val="right"/>
            </w:pPr>
            <w:r>
              <w:t>–</w:t>
            </w:r>
          </w:p>
        </w:tc>
        <w:tc>
          <w:tcPr>
            <w:tcW w:w="1122" w:type="dxa"/>
          </w:tcPr>
          <w:p w14:paraId="76639353" w14:textId="6F729144" w:rsidR="00B67A88" w:rsidRDefault="00B67A88" w:rsidP="0040115F">
            <w:pPr>
              <w:pStyle w:val="TableCopy"/>
              <w:jc w:val="right"/>
            </w:pPr>
            <w:r>
              <w:t>5,819</w:t>
            </w:r>
          </w:p>
        </w:tc>
      </w:tr>
      <w:tr w:rsidR="00B67A88" w14:paraId="0F61CDDE" w14:textId="77777777" w:rsidTr="0040115F">
        <w:tblPrEx>
          <w:tblLook w:val="0020" w:firstRow="1" w:lastRow="0" w:firstColumn="0" w:lastColumn="0" w:noHBand="0" w:noVBand="0"/>
        </w:tblPrEx>
        <w:trPr>
          <w:cantSplit/>
        </w:trPr>
        <w:tc>
          <w:tcPr>
            <w:tcW w:w="4926" w:type="dxa"/>
          </w:tcPr>
          <w:p w14:paraId="5F34A9CD" w14:textId="34F23FB3" w:rsidR="00B67A88" w:rsidRDefault="00B67A88" w:rsidP="00635ADF">
            <w:pPr>
              <w:pStyle w:val="TableCopy"/>
            </w:pPr>
            <w:r w:rsidRPr="00635ADF">
              <w:rPr>
                <w:b/>
                <w:bCs/>
              </w:rPr>
              <w:t>State Treasury Trust Fund</w:t>
            </w:r>
            <w:r w:rsidRPr="00D05F44">
              <w:t xml:space="preserve"> </w:t>
            </w:r>
            <w:r>
              <w:t xml:space="preserve">Established under the </w:t>
            </w:r>
            <w:r w:rsidRPr="0040115F">
              <w:rPr>
                <w:i/>
                <w:iCs/>
              </w:rPr>
              <w:t xml:space="preserve">Financial Management Act 1994 </w:t>
            </w:r>
            <w:r>
              <w:t>to record the receipt and disbursement of</w:t>
            </w:r>
            <w:r>
              <w:rPr>
                <w:rFonts w:ascii="Cambria" w:hAnsi="Cambria" w:cs="Cambria"/>
              </w:rPr>
              <w:t xml:space="preserve"> </w:t>
            </w:r>
            <w:r>
              <w:t>unclaimed monies and other funds held in trust.</w:t>
            </w:r>
          </w:p>
        </w:tc>
        <w:tc>
          <w:tcPr>
            <w:tcW w:w="1121" w:type="dxa"/>
          </w:tcPr>
          <w:p w14:paraId="026302EE" w14:textId="193BC9FA" w:rsidR="00B67A88" w:rsidRDefault="00B67A88" w:rsidP="0040115F">
            <w:pPr>
              <w:pStyle w:val="TableCopy"/>
              <w:jc w:val="right"/>
            </w:pPr>
            <w:r>
              <w:t>875</w:t>
            </w:r>
          </w:p>
        </w:tc>
        <w:tc>
          <w:tcPr>
            <w:tcW w:w="1122" w:type="dxa"/>
          </w:tcPr>
          <w:p w14:paraId="1F70E7BE" w14:textId="77777777" w:rsidR="00B67A88" w:rsidRDefault="00B67A88" w:rsidP="0040115F">
            <w:pPr>
              <w:pStyle w:val="TableCopy"/>
              <w:jc w:val="right"/>
            </w:pPr>
            <w:r>
              <w:t>(95)</w:t>
            </w:r>
          </w:p>
        </w:tc>
        <w:tc>
          <w:tcPr>
            <w:tcW w:w="1122" w:type="dxa"/>
          </w:tcPr>
          <w:p w14:paraId="49773698" w14:textId="25C0416E" w:rsidR="00B67A88" w:rsidRDefault="00B67A88" w:rsidP="0040115F">
            <w:pPr>
              <w:pStyle w:val="TableCopy"/>
              <w:jc w:val="right"/>
            </w:pPr>
            <w:r>
              <w:t>2</w:t>
            </w:r>
          </w:p>
        </w:tc>
        <w:tc>
          <w:tcPr>
            <w:tcW w:w="1121" w:type="dxa"/>
          </w:tcPr>
          <w:p w14:paraId="7D764580" w14:textId="77777777" w:rsidR="00B67A88" w:rsidRDefault="00B67A88" w:rsidP="0040115F">
            <w:pPr>
              <w:pStyle w:val="TableCopy"/>
              <w:jc w:val="right"/>
            </w:pPr>
            <w:r>
              <w:t>(424)</w:t>
            </w:r>
          </w:p>
        </w:tc>
        <w:tc>
          <w:tcPr>
            <w:tcW w:w="1122" w:type="dxa"/>
          </w:tcPr>
          <w:p w14:paraId="3D552900" w14:textId="5B9AE8FC" w:rsidR="00B67A88" w:rsidRDefault="00B67A88" w:rsidP="0040115F">
            <w:pPr>
              <w:pStyle w:val="TableCopy"/>
              <w:jc w:val="right"/>
            </w:pPr>
            <w:r>
              <w:t>358</w:t>
            </w:r>
          </w:p>
        </w:tc>
        <w:tc>
          <w:tcPr>
            <w:tcW w:w="1122" w:type="dxa"/>
          </w:tcPr>
          <w:p w14:paraId="0712B541" w14:textId="60E8E516" w:rsidR="00B67A88" w:rsidRDefault="00B67A88" w:rsidP="0040115F">
            <w:pPr>
              <w:pStyle w:val="TableCopy"/>
              <w:jc w:val="right"/>
            </w:pPr>
            <w:r>
              <w:t>345</w:t>
            </w:r>
          </w:p>
        </w:tc>
        <w:tc>
          <w:tcPr>
            <w:tcW w:w="1121" w:type="dxa"/>
          </w:tcPr>
          <w:p w14:paraId="73C02054" w14:textId="61A95927" w:rsidR="00B67A88" w:rsidRDefault="00B67A88" w:rsidP="0040115F">
            <w:pPr>
              <w:pStyle w:val="TableCopy"/>
              <w:jc w:val="right"/>
            </w:pPr>
            <w:r>
              <w:t>1,570</w:t>
            </w:r>
          </w:p>
        </w:tc>
        <w:tc>
          <w:tcPr>
            <w:tcW w:w="1146" w:type="dxa"/>
          </w:tcPr>
          <w:p w14:paraId="2CA52CAE" w14:textId="77777777" w:rsidR="00B67A88" w:rsidRDefault="00B67A88" w:rsidP="0040115F">
            <w:pPr>
              <w:pStyle w:val="TableCopy"/>
              <w:jc w:val="right"/>
            </w:pPr>
            <w:r>
              <w:t>(1,040)</w:t>
            </w:r>
          </w:p>
        </w:tc>
        <w:tc>
          <w:tcPr>
            <w:tcW w:w="1122" w:type="dxa"/>
          </w:tcPr>
          <w:p w14:paraId="57AFD3EB" w14:textId="38CE170B" w:rsidR="00B67A88" w:rsidRDefault="00B67A88" w:rsidP="0040115F">
            <w:pPr>
              <w:pStyle w:val="TableCopy"/>
              <w:jc w:val="right"/>
            </w:pPr>
            <w:r>
              <w:t>875</w:t>
            </w:r>
          </w:p>
        </w:tc>
      </w:tr>
      <w:tr w:rsidR="00B67A88" w14:paraId="61CF4AA9" w14:textId="77777777" w:rsidTr="0040115F">
        <w:tblPrEx>
          <w:tblLook w:val="0020" w:firstRow="1" w:lastRow="0" w:firstColumn="0" w:lastColumn="0" w:noHBand="0" w:noVBand="0"/>
        </w:tblPrEx>
        <w:trPr>
          <w:cantSplit/>
        </w:trPr>
        <w:tc>
          <w:tcPr>
            <w:tcW w:w="4926" w:type="dxa"/>
          </w:tcPr>
          <w:p w14:paraId="36237BEA" w14:textId="5442687E" w:rsidR="00B67A88" w:rsidRDefault="00B67A88" w:rsidP="00635ADF">
            <w:pPr>
              <w:pStyle w:val="TableCopy"/>
            </w:pPr>
            <w:r w:rsidRPr="0040115F">
              <w:rPr>
                <w:b/>
                <w:bCs/>
              </w:rPr>
              <w:t>ANZAC Day Proceeds Trust Fund</w:t>
            </w:r>
            <w:r w:rsidR="0040115F">
              <w:t xml:space="preserve"> </w:t>
            </w:r>
            <w:r>
              <w:t xml:space="preserve">Established under the </w:t>
            </w:r>
            <w:r w:rsidRPr="0040115F">
              <w:rPr>
                <w:i/>
                <w:iCs/>
              </w:rPr>
              <w:t>ANZAC Day Act 1958</w:t>
            </w:r>
            <w:r w:rsidRPr="00560218">
              <w:t xml:space="preserve"> </w:t>
            </w:r>
            <w:r>
              <w:t>to receive funds as required to be paid by the Anzac Day Act</w:t>
            </w:r>
            <w:r>
              <w:rPr>
                <w:rFonts w:ascii="Cambria" w:hAnsi="Cambria" w:cs="Cambria"/>
              </w:rPr>
              <w:t xml:space="preserve"> </w:t>
            </w:r>
            <w:r>
              <w:t xml:space="preserve">1958 and the </w:t>
            </w:r>
            <w:r w:rsidRPr="0040115F">
              <w:rPr>
                <w:i/>
                <w:iCs/>
              </w:rPr>
              <w:t>Racing Act 1958</w:t>
            </w:r>
            <w:r>
              <w:t xml:space="preserve"> and to be credited to the Victorian Veterans Fund.</w:t>
            </w:r>
          </w:p>
        </w:tc>
        <w:tc>
          <w:tcPr>
            <w:tcW w:w="1121" w:type="dxa"/>
          </w:tcPr>
          <w:p w14:paraId="0A5597AD" w14:textId="5556CDB9" w:rsidR="00B67A88" w:rsidRDefault="00B67A88" w:rsidP="0040115F">
            <w:pPr>
              <w:pStyle w:val="TableCopy"/>
              <w:jc w:val="right"/>
            </w:pPr>
            <w:r>
              <w:t>74</w:t>
            </w:r>
          </w:p>
        </w:tc>
        <w:tc>
          <w:tcPr>
            <w:tcW w:w="1122" w:type="dxa"/>
          </w:tcPr>
          <w:p w14:paraId="2D8C8E6D" w14:textId="081DFA09" w:rsidR="00B67A88" w:rsidRDefault="00B67A88" w:rsidP="0040115F">
            <w:pPr>
              <w:pStyle w:val="TableCopy"/>
              <w:jc w:val="right"/>
            </w:pPr>
            <w:r>
              <w:t>–</w:t>
            </w:r>
          </w:p>
        </w:tc>
        <w:tc>
          <w:tcPr>
            <w:tcW w:w="1122" w:type="dxa"/>
          </w:tcPr>
          <w:p w14:paraId="0440AEF6" w14:textId="010DDE73" w:rsidR="00B67A88" w:rsidRDefault="00B67A88" w:rsidP="0040115F">
            <w:pPr>
              <w:pStyle w:val="TableCopy"/>
              <w:jc w:val="right"/>
            </w:pPr>
            <w:r>
              <w:t>1</w:t>
            </w:r>
          </w:p>
        </w:tc>
        <w:tc>
          <w:tcPr>
            <w:tcW w:w="1121" w:type="dxa"/>
          </w:tcPr>
          <w:p w14:paraId="4084D228" w14:textId="77777777" w:rsidR="00B67A88" w:rsidRDefault="00B67A88" w:rsidP="0040115F">
            <w:pPr>
              <w:pStyle w:val="TableCopy"/>
              <w:jc w:val="right"/>
            </w:pPr>
            <w:r>
              <w:t>(62)</w:t>
            </w:r>
          </w:p>
        </w:tc>
        <w:tc>
          <w:tcPr>
            <w:tcW w:w="1122" w:type="dxa"/>
          </w:tcPr>
          <w:p w14:paraId="427F2A9D" w14:textId="0C1B9794" w:rsidR="00B67A88" w:rsidRDefault="00B67A88" w:rsidP="0040115F">
            <w:pPr>
              <w:pStyle w:val="TableCopy"/>
              <w:jc w:val="right"/>
            </w:pPr>
            <w:r>
              <w:t>13</w:t>
            </w:r>
          </w:p>
        </w:tc>
        <w:tc>
          <w:tcPr>
            <w:tcW w:w="1122" w:type="dxa"/>
          </w:tcPr>
          <w:p w14:paraId="239299F6" w14:textId="1992CC48" w:rsidR="00B67A88" w:rsidRDefault="00B67A88" w:rsidP="0040115F">
            <w:pPr>
              <w:pStyle w:val="TableCopy"/>
              <w:jc w:val="right"/>
            </w:pPr>
            <w:r>
              <w:t>195</w:t>
            </w:r>
          </w:p>
        </w:tc>
        <w:tc>
          <w:tcPr>
            <w:tcW w:w="1121" w:type="dxa"/>
          </w:tcPr>
          <w:p w14:paraId="4A292C70" w14:textId="77777777" w:rsidR="00B67A88" w:rsidRDefault="00B67A88" w:rsidP="0040115F">
            <w:pPr>
              <w:pStyle w:val="TableCopy"/>
              <w:jc w:val="right"/>
            </w:pPr>
            <w:r>
              <w:t>(61)</w:t>
            </w:r>
          </w:p>
        </w:tc>
        <w:tc>
          <w:tcPr>
            <w:tcW w:w="1146" w:type="dxa"/>
          </w:tcPr>
          <w:p w14:paraId="289A95C3" w14:textId="77777777" w:rsidR="00B67A88" w:rsidRDefault="00B67A88" w:rsidP="0040115F">
            <w:pPr>
              <w:pStyle w:val="TableCopy"/>
              <w:jc w:val="right"/>
            </w:pPr>
            <w:r>
              <w:t>(60)</w:t>
            </w:r>
          </w:p>
        </w:tc>
        <w:tc>
          <w:tcPr>
            <w:tcW w:w="1122" w:type="dxa"/>
          </w:tcPr>
          <w:p w14:paraId="4D7021D8" w14:textId="2FB39806" w:rsidR="00B67A88" w:rsidRDefault="00B67A88" w:rsidP="0040115F">
            <w:pPr>
              <w:pStyle w:val="TableCopy"/>
              <w:jc w:val="right"/>
            </w:pPr>
            <w:r>
              <w:t>74</w:t>
            </w:r>
          </w:p>
        </w:tc>
      </w:tr>
      <w:tr w:rsidR="00B67A88" w14:paraId="1F215E15" w14:textId="77777777" w:rsidTr="0040115F">
        <w:tblPrEx>
          <w:tblLook w:val="0020" w:firstRow="1" w:lastRow="0" w:firstColumn="0" w:lastColumn="0" w:noHBand="0" w:noVBand="0"/>
        </w:tblPrEx>
        <w:trPr>
          <w:cantSplit/>
        </w:trPr>
        <w:tc>
          <w:tcPr>
            <w:tcW w:w="4926" w:type="dxa"/>
          </w:tcPr>
          <w:p w14:paraId="68702483" w14:textId="727B6E27" w:rsidR="00B67A88" w:rsidRDefault="00B67A88" w:rsidP="00635ADF">
            <w:pPr>
              <w:pStyle w:val="TableCopy"/>
            </w:pPr>
            <w:r w:rsidRPr="0040115F">
              <w:rPr>
                <w:b/>
                <w:bCs/>
              </w:rPr>
              <w:lastRenderedPageBreak/>
              <w:t>Public Service Commuters Club</w:t>
            </w:r>
            <w:r w:rsidR="0040115F">
              <w:t xml:space="preserve"> </w:t>
            </w:r>
            <w:r>
              <w:t xml:space="preserve">Established under the </w:t>
            </w:r>
            <w:r w:rsidRPr="0040115F">
              <w:rPr>
                <w:i/>
                <w:iCs/>
              </w:rPr>
              <w:t>Financial Management Act 1994</w:t>
            </w:r>
            <w:r>
              <w:t xml:space="preserve"> to record the receipt of amounts associated with</w:t>
            </w:r>
            <w:r>
              <w:rPr>
                <w:rFonts w:ascii="Cambria" w:hAnsi="Cambria" w:cs="Cambria"/>
              </w:rPr>
              <w:t xml:space="preserve"> </w:t>
            </w:r>
            <w:r>
              <w:t>the scheme and deductions from club members salaries as well as recording payment to the Public</w:t>
            </w:r>
            <w:r>
              <w:rPr>
                <w:rFonts w:ascii="Cambria" w:hAnsi="Cambria" w:cs="Cambria"/>
              </w:rPr>
              <w:t xml:space="preserve"> </w:t>
            </w:r>
            <w:r>
              <w:t>Transport Corporation.</w:t>
            </w:r>
          </w:p>
        </w:tc>
        <w:tc>
          <w:tcPr>
            <w:tcW w:w="1121" w:type="dxa"/>
          </w:tcPr>
          <w:p w14:paraId="31359DBE" w14:textId="17DBE04F" w:rsidR="00B67A88" w:rsidRDefault="00B67A88" w:rsidP="0040115F">
            <w:pPr>
              <w:pStyle w:val="TableCopy"/>
              <w:jc w:val="right"/>
            </w:pPr>
            <w:r>
              <w:t>1,276</w:t>
            </w:r>
          </w:p>
        </w:tc>
        <w:tc>
          <w:tcPr>
            <w:tcW w:w="1122" w:type="dxa"/>
          </w:tcPr>
          <w:p w14:paraId="7361615B" w14:textId="46530F68" w:rsidR="00B67A88" w:rsidRDefault="00B67A88" w:rsidP="0040115F">
            <w:pPr>
              <w:pStyle w:val="TableCopy"/>
              <w:jc w:val="right"/>
            </w:pPr>
            <w:r>
              <w:t>–</w:t>
            </w:r>
          </w:p>
        </w:tc>
        <w:tc>
          <w:tcPr>
            <w:tcW w:w="1122" w:type="dxa"/>
          </w:tcPr>
          <w:p w14:paraId="79E0CF79" w14:textId="64FAF96D" w:rsidR="00B67A88" w:rsidRDefault="00B67A88" w:rsidP="0040115F">
            <w:pPr>
              <w:pStyle w:val="TableCopy"/>
              <w:jc w:val="right"/>
            </w:pPr>
            <w:r>
              <w:t>–</w:t>
            </w:r>
          </w:p>
        </w:tc>
        <w:tc>
          <w:tcPr>
            <w:tcW w:w="1121" w:type="dxa"/>
          </w:tcPr>
          <w:p w14:paraId="4084590E" w14:textId="77777777" w:rsidR="00B67A88" w:rsidRDefault="00B67A88" w:rsidP="0040115F">
            <w:pPr>
              <w:pStyle w:val="TableCopy"/>
              <w:jc w:val="right"/>
            </w:pPr>
            <w:r>
              <w:t>(1,662)</w:t>
            </w:r>
          </w:p>
        </w:tc>
        <w:tc>
          <w:tcPr>
            <w:tcW w:w="1122" w:type="dxa"/>
          </w:tcPr>
          <w:p w14:paraId="305950EB" w14:textId="77777777" w:rsidR="00B67A88" w:rsidRDefault="00B67A88" w:rsidP="0040115F">
            <w:pPr>
              <w:pStyle w:val="TableCopy"/>
              <w:jc w:val="right"/>
            </w:pPr>
            <w:r>
              <w:t>(386)</w:t>
            </w:r>
          </w:p>
        </w:tc>
        <w:tc>
          <w:tcPr>
            <w:tcW w:w="1122" w:type="dxa"/>
          </w:tcPr>
          <w:p w14:paraId="6D82113F" w14:textId="0B3FBAC5" w:rsidR="00B67A88" w:rsidRDefault="00B67A88" w:rsidP="0040115F">
            <w:pPr>
              <w:pStyle w:val="TableCopy"/>
              <w:jc w:val="right"/>
            </w:pPr>
            <w:r>
              <w:t>1,299</w:t>
            </w:r>
          </w:p>
        </w:tc>
        <w:tc>
          <w:tcPr>
            <w:tcW w:w="1121" w:type="dxa"/>
          </w:tcPr>
          <w:p w14:paraId="31DCA1D6" w14:textId="64BA9C3A" w:rsidR="00B67A88" w:rsidRDefault="00B67A88" w:rsidP="0040115F">
            <w:pPr>
              <w:pStyle w:val="TableCopy"/>
              <w:jc w:val="right"/>
            </w:pPr>
            <w:r>
              <w:t>–</w:t>
            </w:r>
          </w:p>
        </w:tc>
        <w:tc>
          <w:tcPr>
            <w:tcW w:w="1146" w:type="dxa"/>
          </w:tcPr>
          <w:p w14:paraId="783963A2" w14:textId="77777777" w:rsidR="00B67A88" w:rsidRDefault="00B67A88" w:rsidP="0040115F">
            <w:pPr>
              <w:pStyle w:val="TableCopy"/>
              <w:jc w:val="right"/>
            </w:pPr>
            <w:r>
              <w:t>(23)</w:t>
            </w:r>
          </w:p>
        </w:tc>
        <w:tc>
          <w:tcPr>
            <w:tcW w:w="1122" w:type="dxa"/>
          </w:tcPr>
          <w:p w14:paraId="4CB03656" w14:textId="66084E36" w:rsidR="00B67A88" w:rsidRDefault="00B67A88" w:rsidP="0040115F">
            <w:pPr>
              <w:pStyle w:val="TableCopy"/>
              <w:jc w:val="right"/>
            </w:pPr>
            <w:r>
              <w:t>1,276</w:t>
            </w:r>
          </w:p>
        </w:tc>
      </w:tr>
      <w:tr w:rsidR="00B67A88" w14:paraId="71AB56D2" w14:textId="77777777" w:rsidTr="0040115F">
        <w:tblPrEx>
          <w:tblLook w:val="0020" w:firstRow="1" w:lastRow="0" w:firstColumn="0" w:lastColumn="0" w:noHBand="0" w:noVBand="0"/>
        </w:tblPrEx>
        <w:trPr>
          <w:cantSplit/>
        </w:trPr>
        <w:tc>
          <w:tcPr>
            <w:tcW w:w="4926" w:type="dxa"/>
          </w:tcPr>
          <w:p w14:paraId="5E230120" w14:textId="5068382D" w:rsidR="00B67A88" w:rsidRDefault="00B67A88" w:rsidP="00635ADF">
            <w:pPr>
              <w:pStyle w:val="TableCopy"/>
            </w:pPr>
            <w:r w:rsidRPr="0040115F">
              <w:rPr>
                <w:b/>
                <w:bCs/>
              </w:rPr>
              <w:t>Inter-departmental Transfer Fund</w:t>
            </w:r>
            <w:r w:rsidR="0040115F" w:rsidRPr="00D05F44">
              <w:t xml:space="preserve"> </w:t>
            </w:r>
            <w:r>
              <w:t xml:space="preserve">The trust was established under section 19 of the </w:t>
            </w:r>
            <w:r w:rsidRPr="0040115F">
              <w:rPr>
                <w:i/>
                <w:iCs/>
              </w:rPr>
              <w:t>Financial Management Act 1994</w:t>
            </w:r>
            <w:r>
              <w:t xml:space="preserve"> by the Assistant Treasurer to record inter-departmental transfers when no other trust arrangement exists.</w:t>
            </w:r>
          </w:p>
        </w:tc>
        <w:tc>
          <w:tcPr>
            <w:tcW w:w="1121" w:type="dxa"/>
          </w:tcPr>
          <w:p w14:paraId="7FEF1CFC" w14:textId="77777777" w:rsidR="00B67A88" w:rsidRDefault="00B67A88" w:rsidP="0040115F">
            <w:pPr>
              <w:pStyle w:val="TableCopy"/>
              <w:jc w:val="right"/>
            </w:pPr>
            <w:r>
              <w:t>(304)</w:t>
            </w:r>
          </w:p>
        </w:tc>
        <w:tc>
          <w:tcPr>
            <w:tcW w:w="1122" w:type="dxa"/>
          </w:tcPr>
          <w:p w14:paraId="6476C49A" w14:textId="7F3352CF" w:rsidR="00B67A88" w:rsidRDefault="00B67A88" w:rsidP="0040115F">
            <w:pPr>
              <w:pStyle w:val="TableCopy"/>
              <w:jc w:val="right"/>
            </w:pPr>
            <w:r>
              <w:t>–</w:t>
            </w:r>
          </w:p>
        </w:tc>
        <w:tc>
          <w:tcPr>
            <w:tcW w:w="1122" w:type="dxa"/>
          </w:tcPr>
          <w:p w14:paraId="3B6127B4" w14:textId="722685C0" w:rsidR="00B67A88" w:rsidRDefault="00B67A88" w:rsidP="0040115F">
            <w:pPr>
              <w:pStyle w:val="TableCopy"/>
              <w:jc w:val="right"/>
            </w:pPr>
            <w:r>
              <w:t>–</w:t>
            </w:r>
          </w:p>
        </w:tc>
        <w:tc>
          <w:tcPr>
            <w:tcW w:w="1121" w:type="dxa"/>
          </w:tcPr>
          <w:p w14:paraId="193D037A" w14:textId="76C96EDE" w:rsidR="00B67A88" w:rsidRDefault="00B67A88" w:rsidP="0040115F">
            <w:pPr>
              <w:pStyle w:val="TableCopy"/>
              <w:jc w:val="right"/>
            </w:pPr>
            <w:r>
              <w:t>–</w:t>
            </w:r>
          </w:p>
        </w:tc>
        <w:tc>
          <w:tcPr>
            <w:tcW w:w="1122" w:type="dxa"/>
          </w:tcPr>
          <w:p w14:paraId="54BB260D" w14:textId="77777777" w:rsidR="00B67A88" w:rsidRDefault="00B67A88" w:rsidP="0040115F">
            <w:pPr>
              <w:pStyle w:val="TableCopy"/>
              <w:jc w:val="right"/>
            </w:pPr>
            <w:r>
              <w:t>(304)</w:t>
            </w:r>
          </w:p>
        </w:tc>
        <w:tc>
          <w:tcPr>
            <w:tcW w:w="1122" w:type="dxa"/>
          </w:tcPr>
          <w:p w14:paraId="2AAFAC8C" w14:textId="28AF4292" w:rsidR="00B67A88" w:rsidRDefault="00B67A88" w:rsidP="0040115F">
            <w:pPr>
              <w:pStyle w:val="TableCopy"/>
              <w:jc w:val="right"/>
            </w:pPr>
            <w:r>
              <w:t>932</w:t>
            </w:r>
          </w:p>
        </w:tc>
        <w:tc>
          <w:tcPr>
            <w:tcW w:w="1121" w:type="dxa"/>
          </w:tcPr>
          <w:p w14:paraId="307B38F3" w14:textId="2EDD0E85" w:rsidR="00B67A88" w:rsidRDefault="00B67A88" w:rsidP="0040115F">
            <w:pPr>
              <w:pStyle w:val="TableCopy"/>
              <w:jc w:val="right"/>
            </w:pPr>
            <w:r>
              <w:t>–</w:t>
            </w:r>
          </w:p>
        </w:tc>
        <w:tc>
          <w:tcPr>
            <w:tcW w:w="1146" w:type="dxa"/>
          </w:tcPr>
          <w:p w14:paraId="02447DB3" w14:textId="77777777" w:rsidR="00B67A88" w:rsidRDefault="00B67A88" w:rsidP="0040115F">
            <w:pPr>
              <w:pStyle w:val="TableCopy"/>
              <w:jc w:val="right"/>
            </w:pPr>
            <w:r>
              <w:t>(1,236)</w:t>
            </w:r>
          </w:p>
        </w:tc>
        <w:tc>
          <w:tcPr>
            <w:tcW w:w="1122" w:type="dxa"/>
          </w:tcPr>
          <w:p w14:paraId="1896F114" w14:textId="77777777" w:rsidR="00B67A88" w:rsidRDefault="00B67A88" w:rsidP="0040115F">
            <w:pPr>
              <w:pStyle w:val="TableCopy"/>
              <w:jc w:val="right"/>
            </w:pPr>
            <w:r>
              <w:t>(304)</w:t>
            </w:r>
          </w:p>
        </w:tc>
      </w:tr>
      <w:tr w:rsidR="00B67A88" w14:paraId="222444B4" w14:textId="77777777" w:rsidTr="0040115F">
        <w:tblPrEx>
          <w:tblLook w:val="0020" w:firstRow="1" w:lastRow="0" w:firstColumn="0" w:lastColumn="0" w:noHBand="0" w:noVBand="0"/>
        </w:tblPrEx>
        <w:trPr>
          <w:cantSplit/>
        </w:trPr>
        <w:tc>
          <w:tcPr>
            <w:tcW w:w="4926" w:type="dxa"/>
          </w:tcPr>
          <w:p w14:paraId="552E9CDD" w14:textId="3347A61F" w:rsidR="00B67A88" w:rsidRDefault="00B67A88" w:rsidP="0040115F">
            <w:pPr>
              <w:pStyle w:val="TableCopy"/>
            </w:pPr>
            <w:r w:rsidRPr="0040115F">
              <w:rPr>
                <w:b/>
                <w:bCs/>
              </w:rPr>
              <w:t>Commonwealth Local Government Grants Trust Fund</w:t>
            </w:r>
            <w:r w:rsidR="0040115F" w:rsidRPr="00D05F44">
              <w:t xml:space="preserve"> </w:t>
            </w:r>
            <w:r>
              <w:t xml:space="preserve">Established under section 15 of the </w:t>
            </w:r>
            <w:r w:rsidRPr="0040115F">
              <w:rPr>
                <w:i/>
                <w:iCs/>
              </w:rPr>
              <w:t xml:space="preserve">Local Government (Financial Assistance) Act 1995 (Commonwealth legislation) </w:t>
            </w:r>
            <w:r>
              <w:t>to make financial assistance grants to local governments.</w:t>
            </w:r>
          </w:p>
        </w:tc>
        <w:tc>
          <w:tcPr>
            <w:tcW w:w="1121" w:type="dxa"/>
          </w:tcPr>
          <w:p w14:paraId="7844BDBF" w14:textId="41A05816" w:rsidR="00B67A88" w:rsidRDefault="00B67A88" w:rsidP="0040115F">
            <w:pPr>
              <w:pStyle w:val="TableCopy"/>
              <w:jc w:val="right"/>
            </w:pPr>
            <w:r>
              <w:t>–</w:t>
            </w:r>
          </w:p>
        </w:tc>
        <w:tc>
          <w:tcPr>
            <w:tcW w:w="1122" w:type="dxa"/>
          </w:tcPr>
          <w:p w14:paraId="56D6809B" w14:textId="6628BD41" w:rsidR="00B67A88" w:rsidRDefault="00B67A88" w:rsidP="0040115F">
            <w:pPr>
              <w:pStyle w:val="TableCopy"/>
              <w:jc w:val="right"/>
            </w:pPr>
            <w:r>
              <w:t>–</w:t>
            </w:r>
          </w:p>
        </w:tc>
        <w:tc>
          <w:tcPr>
            <w:tcW w:w="1122" w:type="dxa"/>
          </w:tcPr>
          <w:p w14:paraId="7E109592" w14:textId="43F15AAD" w:rsidR="00B67A88" w:rsidRDefault="00B67A88" w:rsidP="0040115F">
            <w:pPr>
              <w:pStyle w:val="TableCopy"/>
              <w:jc w:val="right"/>
            </w:pPr>
            <w:r>
              <w:t>91,691</w:t>
            </w:r>
          </w:p>
        </w:tc>
        <w:tc>
          <w:tcPr>
            <w:tcW w:w="1121" w:type="dxa"/>
          </w:tcPr>
          <w:p w14:paraId="5D46F367" w14:textId="77777777" w:rsidR="00B67A88" w:rsidRDefault="00B67A88" w:rsidP="0040115F">
            <w:pPr>
              <w:pStyle w:val="TableCopy"/>
              <w:jc w:val="right"/>
            </w:pPr>
            <w:r>
              <w:t>(91,691)</w:t>
            </w:r>
          </w:p>
        </w:tc>
        <w:tc>
          <w:tcPr>
            <w:tcW w:w="1122" w:type="dxa"/>
          </w:tcPr>
          <w:p w14:paraId="05F4AFE1" w14:textId="69A691AF" w:rsidR="00B67A88" w:rsidRDefault="00B67A88" w:rsidP="0040115F">
            <w:pPr>
              <w:pStyle w:val="TableCopy"/>
              <w:jc w:val="right"/>
            </w:pPr>
            <w:r>
              <w:t>–</w:t>
            </w:r>
          </w:p>
        </w:tc>
        <w:tc>
          <w:tcPr>
            <w:tcW w:w="1122" w:type="dxa"/>
          </w:tcPr>
          <w:p w14:paraId="170C0F13" w14:textId="619F0C8C" w:rsidR="00B67A88" w:rsidRDefault="00B67A88" w:rsidP="0040115F">
            <w:pPr>
              <w:pStyle w:val="TableCopy"/>
              <w:jc w:val="right"/>
            </w:pPr>
            <w:r>
              <w:t>–</w:t>
            </w:r>
          </w:p>
        </w:tc>
        <w:tc>
          <w:tcPr>
            <w:tcW w:w="1121" w:type="dxa"/>
          </w:tcPr>
          <w:p w14:paraId="44AB188E" w14:textId="2DB149A7" w:rsidR="00B67A88" w:rsidRDefault="00B67A88" w:rsidP="0040115F">
            <w:pPr>
              <w:pStyle w:val="TableCopy"/>
              <w:jc w:val="right"/>
            </w:pPr>
            <w:r>
              <w:t>844,682</w:t>
            </w:r>
          </w:p>
        </w:tc>
        <w:tc>
          <w:tcPr>
            <w:tcW w:w="1146" w:type="dxa"/>
          </w:tcPr>
          <w:p w14:paraId="72D9D274" w14:textId="77777777" w:rsidR="00B67A88" w:rsidRDefault="00B67A88" w:rsidP="0040115F">
            <w:pPr>
              <w:pStyle w:val="TableCopy"/>
              <w:jc w:val="right"/>
            </w:pPr>
            <w:r>
              <w:t>(844,682)</w:t>
            </w:r>
          </w:p>
        </w:tc>
        <w:tc>
          <w:tcPr>
            <w:tcW w:w="1122" w:type="dxa"/>
          </w:tcPr>
          <w:p w14:paraId="296BA84C" w14:textId="4D0CAE02" w:rsidR="00B67A88" w:rsidRDefault="00B67A88" w:rsidP="0040115F">
            <w:pPr>
              <w:pStyle w:val="TableCopy"/>
              <w:jc w:val="right"/>
            </w:pPr>
            <w:r>
              <w:t>–</w:t>
            </w:r>
          </w:p>
        </w:tc>
      </w:tr>
      <w:tr w:rsidR="00B67A88" w:rsidRPr="0040115F" w14:paraId="25A7E9AE" w14:textId="77777777" w:rsidTr="0040115F">
        <w:tblPrEx>
          <w:tblLook w:val="0020" w:firstRow="1" w:lastRow="0" w:firstColumn="0" w:lastColumn="0" w:noHBand="0" w:noVBand="0"/>
        </w:tblPrEx>
        <w:trPr>
          <w:cantSplit/>
        </w:trPr>
        <w:tc>
          <w:tcPr>
            <w:tcW w:w="4926" w:type="dxa"/>
          </w:tcPr>
          <w:p w14:paraId="646C5FBE" w14:textId="23E21C3C" w:rsidR="00B67A88" w:rsidRPr="0040115F" w:rsidRDefault="00B67A88" w:rsidP="0040115F">
            <w:pPr>
              <w:pStyle w:val="TableCopy"/>
              <w:rPr>
                <w:b/>
                <w:bCs/>
              </w:rPr>
            </w:pPr>
            <w:r w:rsidRPr="0040115F">
              <w:rPr>
                <w:b/>
                <w:bCs/>
              </w:rPr>
              <w:t>Total administered trusts</w:t>
            </w:r>
          </w:p>
        </w:tc>
        <w:tc>
          <w:tcPr>
            <w:tcW w:w="1121" w:type="dxa"/>
          </w:tcPr>
          <w:p w14:paraId="2CA1D843" w14:textId="7A7C5A9D" w:rsidR="00B67A88" w:rsidRPr="0040115F" w:rsidRDefault="00B67A88" w:rsidP="0040115F">
            <w:pPr>
              <w:pStyle w:val="TableCopy"/>
              <w:jc w:val="right"/>
              <w:rPr>
                <w:b/>
                <w:bCs/>
              </w:rPr>
            </w:pPr>
            <w:r w:rsidRPr="0040115F">
              <w:rPr>
                <w:b/>
                <w:bCs/>
              </w:rPr>
              <w:t>7,739</w:t>
            </w:r>
          </w:p>
        </w:tc>
        <w:tc>
          <w:tcPr>
            <w:tcW w:w="1122" w:type="dxa"/>
          </w:tcPr>
          <w:p w14:paraId="0579DCE6" w14:textId="77777777" w:rsidR="00B67A88" w:rsidRPr="0040115F" w:rsidRDefault="00B67A88" w:rsidP="0040115F">
            <w:pPr>
              <w:pStyle w:val="TableCopy"/>
              <w:jc w:val="right"/>
              <w:rPr>
                <w:b/>
                <w:bCs/>
              </w:rPr>
            </w:pPr>
            <w:r w:rsidRPr="0040115F">
              <w:rPr>
                <w:b/>
                <w:bCs/>
              </w:rPr>
              <w:t>(6,107)</w:t>
            </w:r>
          </w:p>
        </w:tc>
        <w:tc>
          <w:tcPr>
            <w:tcW w:w="1122" w:type="dxa"/>
          </w:tcPr>
          <w:p w14:paraId="2F1C1768" w14:textId="0FAD3BB7" w:rsidR="00B67A88" w:rsidRPr="0040115F" w:rsidRDefault="00B67A88" w:rsidP="0040115F">
            <w:pPr>
              <w:pStyle w:val="TableCopy"/>
              <w:jc w:val="right"/>
              <w:rPr>
                <w:b/>
                <w:bCs/>
              </w:rPr>
            </w:pPr>
            <w:r w:rsidRPr="0040115F">
              <w:rPr>
                <w:b/>
                <w:bCs/>
              </w:rPr>
              <w:t>91,887</w:t>
            </w:r>
          </w:p>
        </w:tc>
        <w:tc>
          <w:tcPr>
            <w:tcW w:w="1121" w:type="dxa"/>
          </w:tcPr>
          <w:p w14:paraId="63BABEEE" w14:textId="77777777" w:rsidR="00B67A88" w:rsidRPr="0040115F" w:rsidRDefault="00B67A88" w:rsidP="0040115F">
            <w:pPr>
              <w:pStyle w:val="TableCopy"/>
              <w:jc w:val="right"/>
              <w:rPr>
                <w:b/>
                <w:bCs/>
              </w:rPr>
            </w:pPr>
            <w:r w:rsidRPr="0040115F">
              <w:rPr>
                <w:b/>
                <w:bCs/>
              </w:rPr>
              <w:t>(93,838)</w:t>
            </w:r>
          </w:p>
        </w:tc>
        <w:tc>
          <w:tcPr>
            <w:tcW w:w="1122" w:type="dxa"/>
          </w:tcPr>
          <w:p w14:paraId="0E3B9B9D" w14:textId="77777777" w:rsidR="00B67A88" w:rsidRPr="0040115F" w:rsidRDefault="00B67A88" w:rsidP="0040115F">
            <w:pPr>
              <w:pStyle w:val="TableCopy"/>
              <w:jc w:val="right"/>
              <w:rPr>
                <w:b/>
                <w:bCs/>
              </w:rPr>
            </w:pPr>
            <w:r w:rsidRPr="0040115F">
              <w:rPr>
                <w:b/>
                <w:bCs/>
              </w:rPr>
              <w:t>(319)</w:t>
            </w:r>
          </w:p>
        </w:tc>
        <w:tc>
          <w:tcPr>
            <w:tcW w:w="1122" w:type="dxa"/>
          </w:tcPr>
          <w:p w14:paraId="1FCD7FC6" w14:textId="03D88691" w:rsidR="00B67A88" w:rsidRPr="0040115F" w:rsidRDefault="00B67A88" w:rsidP="0040115F">
            <w:pPr>
              <w:pStyle w:val="TableCopy"/>
              <w:jc w:val="right"/>
              <w:rPr>
                <w:b/>
                <w:bCs/>
              </w:rPr>
            </w:pPr>
            <w:r w:rsidRPr="0040115F">
              <w:rPr>
                <w:b/>
                <w:bCs/>
              </w:rPr>
              <w:t>8,368</w:t>
            </w:r>
          </w:p>
        </w:tc>
        <w:tc>
          <w:tcPr>
            <w:tcW w:w="1121" w:type="dxa"/>
          </w:tcPr>
          <w:p w14:paraId="29AB8913" w14:textId="24AF2D2A" w:rsidR="00B67A88" w:rsidRPr="0040115F" w:rsidRDefault="00B67A88" w:rsidP="0040115F">
            <w:pPr>
              <w:pStyle w:val="TableCopy"/>
              <w:jc w:val="right"/>
              <w:rPr>
                <w:b/>
                <w:bCs/>
              </w:rPr>
            </w:pPr>
            <w:r w:rsidRPr="0040115F">
              <w:rPr>
                <w:b/>
                <w:bCs/>
              </w:rPr>
              <w:t>846,412</w:t>
            </w:r>
          </w:p>
        </w:tc>
        <w:tc>
          <w:tcPr>
            <w:tcW w:w="1146" w:type="dxa"/>
          </w:tcPr>
          <w:p w14:paraId="34B675F2" w14:textId="77777777" w:rsidR="00B67A88" w:rsidRPr="0040115F" w:rsidRDefault="00B67A88" w:rsidP="0040115F">
            <w:pPr>
              <w:pStyle w:val="TableCopy"/>
              <w:jc w:val="right"/>
              <w:rPr>
                <w:b/>
                <w:bCs/>
              </w:rPr>
            </w:pPr>
            <w:r w:rsidRPr="0040115F">
              <w:rPr>
                <w:b/>
                <w:bCs/>
              </w:rPr>
              <w:t>(847,041)</w:t>
            </w:r>
          </w:p>
        </w:tc>
        <w:tc>
          <w:tcPr>
            <w:tcW w:w="1122" w:type="dxa"/>
          </w:tcPr>
          <w:p w14:paraId="56D788CC" w14:textId="6F64587B" w:rsidR="00B67A88" w:rsidRPr="0040115F" w:rsidRDefault="00B67A88" w:rsidP="0040115F">
            <w:pPr>
              <w:pStyle w:val="TableCopy"/>
              <w:jc w:val="right"/>
              <w:rPr>
                <w:b/>
                <w:bCs/>
              </w:rPr>
            </w:pPr>
            <w:r w:rsidRPr="0040115F">
              <w:rPr>
                <w:b/>
                <w:bCs/>
              </w:rPr>
              <w:t>7,739</w:t>
            </w:r>
          </w:p>
        </w:tc>
      </w:tr>
    </w:tbl>
    <w:p w14:paraId="35BC7D72" w14:textId="77777777" w:rsidR="000756EB" w:rsidRPr="00614829" w:rsidRDefault="000756EB" w:rsidP="00614829"/>
    <w:p w14:paraId="772BA766" w14:textId="77777777" w:rsidR="006A59E8" w:rsidRPr="00614829" w:rsidRDefault="006A59E8" w:rsidP="00614829">
      <w:pPr>
        <w:sectPr w:rsidR="006A59E8" w:rsidRPr="00614829" w:rsidSect="005E4CC3">
          <w:pgSz w:w="16838" w:h="11906" w:orient="landscape" w:code="9"/>
          <w:pgMar w:top="851" w:right="1134" w:bottom="851" w:left="1134" w:header="397" w:footer="397" w:gutter="0"/>
          <w:cols w:space="720"/>
          <w:noEndnote/>
          <w:docGrid w:linePitch="326"/>
        </w:sectPr>
      </w:pPr>
    </w:p>
    <w:p w14:paraId="01C61227" w14:textId="6BE05123" w:rsidR="000756EB" w:rsidRDefault="004A4D88" w:rsidP="0040115F">
      <w:pPr>
        <w:pStyle w:val="Heading2"/>
      </w:pPr>
      <w:bookmarkStart w:id="103" w:name="_Toc149911829"/>
      <w:r>
        <w:lastRenderedPageBreak/>
        <w:t>7.5</w:t>
      </w:r>
      <w:r w:rsidR="00DE38B5">
        <w:t xml:space="preserve"> </w:t>
      </w:r>
      <w:r>
        <w:t>Commitments</w:t>
      </w:r>
      <w:r w:rsidR="00A03629">
        <w:t xml:space="preserve"> </w:t>
      </w:r>
      <w:r>
        <w:t>for</w:t>
      </w:r>
      <w:r w:rsidR="00A03629">
        <w:t xml:space="preserve"> </w:t>
      </w:r>
      <w:r>
        <w:t>expenditure</w:t>
      </w:r>
      <w:bookmarkEnd w:id="103"/>
    </w:p>
    <w:p w14:paraId="26B31618" w14:textId="59506B4D" w:rsidR="000756EB" w:rsidRDefault="004A4D88" w:rsidP="0040115F">
      <w:r>
        <w:t>Commitments</w:t>
      </w:r>
      <w:r w:rsidR="00A03629">
        <w:t xml:space="preserve"> </w:t>
      </w:r>
      <w:r>
        <w:t>for</w:t>
      </w:r>
      <w:r w:rsidR="00A03629">
        <w:t xml:space="preserve"> </w:t>
      </w:r>
      <w:r>
        <w:t>future</w:t>
      </w:r>
      <w:r w:rsidR="00A03629">
        <w:t xml:space="preserve"> </w:t>
      </w:r>
      <w:r>
        <w:t>expenditure</w:t>
      </w:r>
      <w:r w:rsidR="00A03629">
        <w:t xml:space="preserve"> </w:t>
      </w:r>
      <w:r>
        <w:t>include</w:t>
      </w:r>
      <w:r w:rsidR="00A03629">
        <w:t xml:space="preserve"> </w:t>
      </w:r>
      <w:r>
        <w:t>operating</w:t>
      </w:r>
      <w:r w:rsidR="00A03629">
        <w:t xml:space="preserve"> </w:t>
      </w:r>
      <w:r>
        <w:t>and</w:t>
      </w:r>
      <w:r w:rsidR="00A03629">
        <w:t xml:space="preserve"> </w:t>
      </w:r>
      <w:r>
        <w:t>capital</w:t>
      </w:r>
      <w:r w:rsidR="00A03629">
        <w:t xml:space="preserve"> </w:t>
      </w:r>
      <w:r>
        <w:t>commitments</w:t>
      </w:r>
      <w:r w:rsidR="00A03629">
        <w:t xml:space="preserve"> </w:t>
      </w:r>
      <w:r>
        <w:t>arising</w:t>
      </w:r>
      <w:r w:rsidR="00A03629">
        <w:t xml:space="preserve"> </w:t>
      </w:r>
      <w:r>
        <w:t>from</w:t>
      </w:r>
      <w:r w:rsidR="00A03629">
        <w:t xml:space="preserve"> </w:t>
      </w:r>
      <w:r>
        <w:t>contracts.</w:t>
      </w:r>
      <w:r w:rsidR="00A03629">
        <w:t xml:space="preserve"> </w:t>
      </w:r>
      <w:r>
        <w:t>These</w:t>
      </w:r>
      <w:r w:rsidR="00A03629">
        <w:t xml:space="preserve"> </w:t>
      </w:r>
      <w:r>
        <w:t>commitments</w:t>
      </w:r>
      <w:r w:rsidR="00A03629">
        <w:t xml:space="preserve"> </w:t>
      </w:r>
      <w:r>
        <w:t>are</w:t>
      </w:r>
      <w:r w:rsidR="00A03629">
        <w:t xml:space="preserve"> </w:t>
      </w:r>
      <w:r>
        <w:t>recorded</w:t>
      </w:r>
      <w:r w:rsidR="00A03629">
        <w:t xml:space="preserve"> </w:t>
      </w:r>
      <w:r>
        <w:t>below</w:t>
      </w:r>
      <w:r w:rsidR="00A03629">
        <w:t xml:space="preserve"> </w:t>
      </w:r>
      <w:r>
        <w:t>at</w:t>
      </w:r>
      <w:r w:rsidR="00A03629">
        <w:t xml:space="preserve"> </w:t>
      </w:r>
      <w:r>
        <w:t>their</w:t>
      </w:r>
      <w:r w:rsidR="00A03629">
        <w:t xml:space="preserve"> </w:t>
      </w:r>
      <w:r>
        <w:t>nominal</w:t>
      </w:r>
      <w:r w:rsidR="00A03629">
        <w:t xml:space="preserve"> </w:t>
      </w:r>
      <w:r>
        <w:t>value</w:t>
      </w:r>
      <w:r w:rsidR="00A03629">
        <w:t xml:space="preserve"> </w:t>
      </w:r>
      <w:r>
        <w:t>and</w:t>
      </w:r>
      <w:r w:rsidR="00A03629">
        <w:t xml:space="preserve"> </w:t>
      </w:r>
      <w:r>
        <w:t>inclusive</w:t>
      </w:r>
      <w:r w:rsidR="00A03629">
        <w:t xml:space="preserve"> </w:t>
      </w:r>
      <w:r>
        <w:t>of</w:t>
      </w:r>
      <w:r w:rsidR="00A03629">
        <w:t xml:space="preserve"> </w:t>
      </w:r>
      <w:r>
        <w:t>GST.</w:t>
      </w:r>
      <w:r w:rsidR="00A03629">
        <w:t xml:space="preserve"> </w:t>
      </w:r>
      <w:r>
        <w:t>Where</w:t>
      </w:r>
      <w:r w:rsidR="00A03629">
        <w:t xml:space="preserve"> </w:t>
      </w:r>
      <w:r>
        <w:t>it</w:t>
      </w:r>
      <w:r w:rsidR="00A03629">
        <w:t xml:space="preserve"> </w:t>
      </w:r>
      <w:r>
        <w:t>is</w:t>
      </w:r>
      <w:r w:rsidR="00A03629">
        <w:t xml:space="preserve"> </w:t>
      </w:r>
      <w:r>
        <w:t>considered</w:t>
      </w:r>
      <w:r w:rsidR="00A03629">
        <w:t xml:space="preserve"> </w:t>
      </w:r>
      <w:r>
        <w:t>appropriate</w:t>
      </w:r>
      <w:r w:rsidR="00A03629">
        <w:t xml:space="preserve"> </w:t>
      </w:r>
      <w:r>
        <w:t>and</w:t>
      </w:r>
      <w:r w:rsidR="00A03629">
        <w:t xml:space="preserve"> </w:t>
      </w:r>
      <w:r>
        <w:t>provides</w:t>
      </w:r>
      <w:r w:rsidR="00A03629">
        <w:t xml:space="preserve"> </w:t>
      </w:r>
      <w:r>
        <w:t>additional</w:t>
      </w:r>
      <w:r w:rsidR="00A03629">
        <w:t xml:space="preserve"> </w:t>
      </w:r>
      <w:r>
        <w:t>relevant</w:t>
      </w:r>
      <w:r w:rsidR="00A03629">
        <w:t xml:space="preserve"> </w:t>
      </w:r>
      <w:r>
        <w:t>information</w:t>
      </w:r>
      <w:r w:rsidR="00A03629">
        <w:t xml:space="preserve"> </w:t>
      </w:r>
      <w:r>
        <w:t>to</w:t>
      </w:r>
      <w:r w:rsidR="00A03629">
        <w:t xml:space="preserve"> </w:t>
      </w:r>
      <w:r>
        <w:t>users,</w:t>
      </w:r>
      <w:r w:rsidR="00A03629">
        <w:t xml:space="preserve"> </w:t>
      </w:r>
      <w:r>
        <w:t>the</w:t>
      </w:r>
      <w:r w:rsidR="00A03629">
        <w:t xml:space="preserve"> </w:t>
      </w:r>
      <w:r>
        <w:t>net</w:t>
      </w:r>
      <w:r w:rsidR="00A03629">
        <w:t xml:space="preserve"> </w:t>
      </w:r>
      <w:r>
        <w:t>present</w:t>
      </w:r>
      <w:r w:rsidR="00A03629">
        <w:t xml:space="preserve"> </w:t>
      </w:r>
      <w:r>
        <w:t>values</w:t>
      </w:r>
      <w:r w:rsidR="00A03629">
        <w:t xml:space="preserve"> </w:t>
      </w:r>
      <w:r>
        <w:t>of</w:t>
      </w:r>
      <w:r w:rsidR="00A03629">
        <w:t xml:space="preserve"> </w:t>
      </w:r>
      <w:r>
        <w:t>significant</w:t>
      </w:r>
      <w:r w:rsidR="00A03629">
        <w:t xml:space="preserve"> </w:t>
      </w:r>
      <w:r>
        <w:t>individual</w:t>
      </w:r>
      <w:r w:rsidR="00A03629">
        <w:t xml:space="preserve"> </w:t>
      </w:r>
      <w:r>
        <w:t>projects</w:t>
      </w:r>
      <w:r w:rsidR="00A03629">
        <w:t xml:space="preserve"> </w:t>
      </w:r>
      <w:r>
        <w:t>are</w:t>
      </w:r>
      <w:r w:rsidR="00A03629">
        <w:t xml:space="preserve"> </w:t>
      </w:r>
      <w:r>
        <w:t>stated.</w:t>
      </w:r>
      <w:r w:rsidR="00A03629">
        <w:t xml:space="preserve"> </w:t>
      </w:r>
      <w:r>
        <w:t>These</w:t>
      </w:r>
      <w:r w:rsidR="00A03629">
        <w:t xml:space="preserve"> </w:t>
      </w:r>
      <w:r>
        <w:t>future</w:t>
      </w:r>
      <w:r w:rsidR="00A03629">
        <w:t xml:space="preserve"> </w:t>
      </w:r>
      <w:r>
        <w:t>expenditures</w:t>
      </w:r>
      <w:r w:rsidR="00A03629">
        <w:t xml:space="preserve"> </w:t>
      </w:r>
      <w:r>
        <w:t>cease</w:t>
      </w:r>
      <w:r w:rsidR="00A03629">
        <w:t xml:space="preserve"> </w:t>
      </w:r>
      <w:r>
        <w:t>to</w:t>
      </w:r>
      <w:r w:rsidR="00A03629">
        <w:t xml:space="preserve"> </w:t>
      </w:r>
      <w:r>
        <w:t>be</w:t>
      </w:r>
      <w:r w:rsidR="00A03629">
        <w:t xml:space="preserve"> </w:t>
      </w:r>
      <w:r>
        <w:t>disclosed</w:t>
      </w:r>
      <w:r w:rsidR="00A03629">
        <w:t xml:space="preserve"> </w:t>
      </w:r>
      <w:r>
        <w:t>as</w:t>
      </w:r>
      <w:r w:rsidR="00A03629">
        <w:t xml:space="preserve"> </w:t>
      </w:r>
      <w:r>
        <w:t>commitments</w:t>
      </w:r>
      <w:r w:rsidR="00A03629">
        <w:t xml:space="preserve"> </w:t>
      </w:r>
      <w:r>
        <w:t>once</w:t>
      </w:r>
      <w:r w:rsidR="00A03629">
        <w:t xml:space="preserve"> </w:t>
      </w:r>
      <w:r>
        <w:t>the</w:t>
      </w:r>
      <w:r w:rsidR="00A03629">
        <w:rPr>
          <w:rFonts w:ascii="Cambria" w:hAnsi="Cambria" w:cs="Cambria"/>
        </w:rPr>
        <w:t xml:space="preserve"> </w:t>
      </w:r>
      <w:r>
        <w:t>related</w:t>
      </w:r>
      <w:r w:rsidR="00A03629">
        <w:t xml:space="preserve"> </w:t>
      </w:r>
      <w:r>
        <w:t>liabilities</w:t>
      </w:r>
      <w:r w:rsidR="00A03629">
        <w:t xml:space="preserve"> </w:t>
      </w:r>
      <w:r>
        <w:t>are</w:t>
      </w:r>
      <w:r w:rsidR="00A03629">
        <w:t xml:space="preserve"> </w:t>
      </w:r>
      <w:r>
        <w:t>recognised</w:t>
      </w:r>
      <w:r w:rsidR="00A03629">
        <w:t xml:space="preserve"> </w:t>
      </w:r>
      <w:r>
        <w:t>in</w:t>
      </w:r>
      <w:r w:rsidR="00A03629">
        <w:t xml:space="preserve"> </w:t>
      </w:r>
      <w:r>
        <w:t>the</w:t>
      </w:r>
      <w:r w:rsidR="00A03629">
        <w:t xml:space="preserve"> </w:t>
      </w:r>
      <w:r>
        <w:t>balance</w:t>
      </w:r>
      <w:r w:rsidR="00A03629">
        <w:t xml:space="preserve"> </w:t>
      </w:r>
      <w:r>
        <w:t>sheet.</w:t>
      </w:r>
      <w:r w:rsidR="00A03629">
        <w:t xml:space="preserve"> </w:t>
      </w:r>
    </w:p>
    <w:p w14:paraId="3F636BD7" w14:textId="1778A539" w:rsidR="000756EB" w:rsidRDefault="004A4D88" w:rsidP="0040115F">
      <w:pPr>
        <w:pStyle w:val="Heading3"/>
      </w:pPr>
      <w:r>
        <w:t>7.5.1</w:t>
      </w:r>
      <w:r w:rsidR="00DE38B5">
        <w:t xml:space="preserve"> </w:t>
      </w:r>
      <w:r>
        <w:t>Net</w:t>
      </w:r>
      <w:r w:rsidR="00A03629">
        <w:t xml:space="preserve"> </w:t>
      </w:r>
      <w:r>
        <w:t>commitments</w:t>
      </w:r>
      <w:r w:rsidR="00A03629">
        <w:t xml:space="preserve"> </w:t>
      </w:r>
      <w:r>
        <w:t>payable</w:t>
      </w:r>
    </w:p>
    <w:p w14:paraId="642CEEC5" w14:textId="38EA3D4C" w:rsidR="000756EB" w:rsidRPr="0040115F" w:rsidRDefault="004A4D88" w:rsidP="0040115F">
      <w:pPr>
        <w:pStyle w:val="Normalbeforebullets"/>
        <w:rPr>
          <w:b/>
          <w:bCs/>
        </w:rPr>
      </w:pPr>
      <w:r w:rsidRPr="0040115F">
        <w:rPr>
          <w:b/>
          <w:bCs/>
        </w:rPr>
        <w:t>Nominal</w:t>
      </w:r>
      <w:r w:rsidR="00A03629" w:rsidRPr="0040115F">
        <w:rPr>
          <w:b/>
          <w:bCs/>
        </w:rPr>
        <w:t xml:space="preserve"> </w:t>
      </w:r>
      <w:r w:rsidRPr="0040115F">
        <w:rPr>
          <w:b/>
          <w:bCs/>
        </w:rPr>
        <w:t>Amounts:</w:t>
      </w:r>
      <w:r w:rsidR="00A03629" w:rsidRPr="0040115F">
        <w:rPr>
          <w:b/>
          <w:bCs/>
        </w:rPr>
        <w:t xml:space="preserve"> </w:t>
      </w:r>
      <w:r w:rsidRPr="0040115F">
        <w:rPr>
          <w:b/>
          <w:bCs/>
        </w:rPr>
        <w:t>2023</w:t>
      </w:r>
    </w:p>
    <w:tbl>
      <w:tblPr>
        <w:tblStyle w:val="TableGrid"/>
        <w:tblW w:w="10200" w:type="dxa"/>
        <w:tblLayout w:type="fixed"/>
        <w:tblLook w:val="0020" w:firstRow="1" w:lastRow="0" w:firstColumn="0" w:lastColumn="0" w:noHBand="0" w:noVBand="0"/>
      </w:tblPr>
      <w:tblGrid>
        <w:gridCol w:w="4531"/>
        <w:gridCol w:w="1417"/>
        <w:gridCol w:w="1417"/>
        <w:gridCol w:w="1417"/>
        <w:gridCol w:w="1418"/>
      </w:tblGrid>
      <w:tr w:rsidR="000756EB" w:rsidRPr="00B01FC2" w14:paraId="36612FCB" w14:textId="77777777" w:rsidTr="00E202C5">
        <w:trPr>
          <w:trHeight w:val="60"/>
        </w:trPr>
        <w:tc>
          <w:tcPr>
            <w:tcW w:w="4531" w:type="dxa"/>
          </w:tcPr>
          <w:p w14:paraId="04FDFC92" w14:textId="77777777" w:rsidR="000756EB" w:rsidRPr="00B01FC2" w:rsidRDefault="000756EB" w:rsidP="00E202C5">
            <w:pPr>
              <w:pStyle w:val="TableColumnHeading"/>
              <w:rPr>
                <w:sz w:val="20"/>
                <w:szCs w:val="28"/>
              </w:rPr>
            </w:pPr>
            <w:bookmarkStart w:id="104" w:name="ColumnTitles_61"/>
            <w:bookmarkStart w:id="105" w:name="_Hlk149831684"/>
            <w:bookmarkEnd w:id="104"/>
          </w:p>
        </w:tc>
        <w:tc>
          <w:tcPr>
            <w:tcW w:w="1417" w:type="dxa"/>
          </w:tcPr>
          <w:p w14:paraId="1ECF28E9" w14:textId="25C7317F" w:rsidR="000756EB" w:rsidRPr="00B01FC2" w:rsidRDefault="004A4D88" w:rsidP="00B01FC2">
            <w:pPr>
              <w:pStyle w:val="TableColumnHeading"/>
              <w:jc w:val="right"/>
              <w:rPr>
                <w:sz w:val="20"/>
                <w:szCs w:val="28"/>
              </w:rPr>
            </w:pPr>
            <w:r w:rsidRPr="00B01FC2">
              <w:rPr>
                <w:sz w:val="20"/>
                <w:szCs w:val="28"/>
              </w:rPr>
              <w:t>Less</w:t>
            </w:r>
            <w:r w:rsidR="00A03629" w:rsidRPr="00B01FC2">
              <w:rPr>
                <w:sz w:val="20"/>
                <w:szCs w:val="28"/>
              </w:rPr>
              <w:t xml:space="preserve"> </w:t>
            </w:r>
            <w:r w:rsidRPr="00B01FC2">
              <w:rPr>
                <w:sz w:val="20"/>
                <w:szCs w:val="28"/>
              </w:rPr>
              <w:t>than</w:t>
            </w:r>
            <w:r w:rsidR="00A03629" w:rsidRPr="00B01FC2">
              <w:rPr>
                <w:sz w:val="20"/>
                <w:szCs w:val="28"/>
              </w:rPr>
              <w:t xml:space="preserve"> </w:t>
            </w:r>
            <w:r w:rsidRPr="00B01FC2">
              <w:rPr>
                <w:sz w:val="20"/>
                <w:szCs w:val="28"/>
              </w:rPr>
              <w:t>1</w:t>
            </w:r>
            <w:r w:rsidR="00A03629" w:rsidRPr="00B01FC2">
              <w:rPr>
                <w:sz w:val="20"/>
                <w:szCs w:val="28"/>
              </w:rPr>
              <w:t xml:space="preserve"> </w:t>
            </w:r>
            <w:r w:rsidRPr="00B01FC2">
              <w:rPr>
                <w:sz w:val="20"/>
                <w:szCs w:val="28"/>
              </w:rPr>
              <w:t>year</w:t>
            </w:r>
            <w:r w:rsidR="00E202C5" w:rsidRPr="00B01FC2">
              <w:rPr>
                <w:sz w:val="20"/>
                <w:szCs w:val="28"/>
              </w:rPr>
              <w:t xml:space="preserve"> ($</w:t>
            </w:r>
            <w:r w:rsidR="00B01FC2" w:rsidRPr="00B01FC2">
              <w:rPr>
                <w:sz w:val="20"/>
                <w:szCs w:val="28"/>
              </w:rPr>
              <w:t> </w:t>
            </w:r>
            <w:r w:rsidR="00E202C5" w:rsidRPr="00B01FC2">
              <w:rPr>
                <w:sz w:val="20"/>
                <w:szCs w:val="28"/>
              </w:rPr>
              <w:t>thousand)</w:t>
            </w:r>
          </w:p>
        </w:tc>
        <w:tc>
          <w:tcPr>
            <w:tcW w:w="1417" w:type="dxa"/>
          </w:tcPr>
          <w:p w14:paraId="0C612B25" w14:textId="0545FC6E" w:rsidR="000756EB" w:rsidRPr="00B01FC2" w:rsidRDefault="004A4D88" w:rsidP="00B01FC2">
            <w:pPr>
              <w:pStyle w:val="TableColumnHeading"/>
              <w:jc w:val="right"/>
              <w:rPr>
                <w:sz w:val="20"/>
                <w:szCs w:val="28"/>
              </w:rPr>
            </w:pPr>
            <w:r w:rsidRPr="00B01FC2">
              <w:rPr>
                <w:sz w:val="20"/>
                <w:szCs w:val="28"/>
              </w:rPr>
              <w:t>Between</w:t>
            </w:r>
            <w:r w:rsidR="00A03629" w:rsidRPr="00B01FC2">
              <w:rPr>
                <w:sz w:val="20"/>
                <w:szCs w:val="28"/>
              </w:rPr>
              <w:t xml:space="preserve"> </w:t>
            </w:r>
            <w:r w:rsidRPr="00B01FC2">
              <w:rPr>
                <w:sz w:val="20"/>
                <w:szCs w:val="28"/>
              </w:rPr>
              <w:t>1</w:t>
            </w:r>
            <w:r w:rsidR="00A03629" w:rsidRPr="00B01FC2">
              <w:rPr>
                <w:sz w:val="20"/>
                <w:szCs w:val="28"/>
              </w:rPr>
              <w:t xml:space="preserve"> </w:t>
            </w:r>
            <w:r w:rsidRPr="00B01FC2">
              <w:rPr>
                <w:sz w:val="20"/>
                <w:szCs w:val="28"/>
              </w:rPr>
              <w:t>and</w:t>
            </w:r>
            <w:r w:rsidR="00A03629" w:rsidRPr="00B01FC2">
              <w:rPr>
                <w:sz w:val="20"/>
                <w:szCs w:val="28"/>
              </w:rPr>
              <w:t xml:space="preserve"> </w:t>
            </w:r>
            <w:r w:rsidRPr="00B01FC2">
              <w:rPr>
                <w:sz w:val="20"/>
                <w:szCs w:val="28"/>
              </w:rPr>
              <w:t>5</w:t>
            </w:r>
            <w:r w:rsidR="00A03629" w:rsidRPr="00B01FC2">
              <w:rPr>
                <w:sz w:val="20"/>
                <w:szCs w:val="28"/>
              </w:rPr>
              <w:t xml:space="preserve"> </w:t>
            </w:r>
            <w:r w:rsidRPr="00B01FC2">
              <w:rPr>
                <w:sz w:val="20"/>
                <w:szCs w:val="28"/>
              </w:rPr>
              <w:t>years</w:t>
            </w:r>
            <w:r w:rsidR="00E202C5" w:rsidRPr="00B01FC2">
              <w:rPr>
                <w:sz w:val="20"/>
                <w:szCs w:val="28"/>
              </w:rPr>
              <w:t xml:space="preserve"> ($ thousand)</w:t>
            </w:r>
          </w:p>
        </w:tc>
        <w:tc>
          <w:tcPr>
            <w:tcW w:w="1417" w:type="dxa"/>
          </w:tcPr>
          <w:p w14:paraId="06C0DC46" w14:textId="1B9681EE" w:rsidR="000756EB" w:rsidRPr="00B01FC2" w:rsidRDefault="004A4D88" w:rsidP="00B01FC2">
            <w:pPr>
              <w:pStyle w:val="TableColumnHeading"/>
              <w:jc w:val="right"/>
              <w:rPr>
                <w:sz w:val="20"/>
                <w:szCs w:val="28"/>
              </w:rPr>
            </w:pPr>
            <w:r w:rsidRPr="00B01FC2">
              <w:rPr>
                <w:sz w:val="20"/>
                <w:szCs w:val="28"/>
              </w:rPr>
              <w:t>Over</w:t>
            </w:r>
            <w:r w:rsidR="00A03629" w:rsidRPr="00B01FC2">
              <w:rPr>
                <w:sz w:val="20"/>
                <w:szCs w:val="28"/>
              </w:rPr>
              <w:t xml:space="preserve"> </w:t>
            </w:r>
            <w:r w:rsidRPr="00B01FC2">
              <w:rPr>
                <w:sz w:val="20"/>
                <w:szCs w:val="28"/>
              </w:rPr>
              <w:t>5</w:t>
            </w:r>
            <w:r w:rsidR="00A03629" w:rsidRPr="00B01FC2">
              <w:rPr>
                <w:sz w:val="20"/>
                <w:szCs w:val="28"/>
              </w:rPr>
              <w:t xml:space="preserve"> </w:t>
            </w:r>
            <w:r w:rsidRPr="00B01FC2">
              <w:rPr>
                <w:sz w:val="20"/>
                <w:szCs w:val="28"/>
              </w:rPr>
              <w:t>years</w:t>
            </w:r>
            <w:r w:rsidR="00E202C5" w:rsidRPr="00B01FC2">
              <w:rPr>
                <w:sz w:val="20"/>
                <w:szCs w:val="28"/>
              </w:rPr>
              <w:t xml:space="preserve"> ($ thousand)</w:t>
            </w:r>
          </w:p>
        </w:tc>
        <w:tc>
          <w:tcPr>
            <w:tcW w:w="1418" w:type="dxa"/>
          </w:tcPr>
          <w:p w14:paraId="2FCF14E4" w14:textId="755B658C" w:rsidR="000756EB" w:rsidRPr="00B01FC2" w:rsidRDefault="004A4D88" w:rsidP="00B01FC2">
            <w:pPr>
              <w:pStyle w:val="TableColumnHeading"/>
              <w:jc w:val="right"/>
              <w:rPr>
                <w:sz w:val="20"/>
                <w:szCs w:val="28"/>
              </w:rPr>
            </w:pPr>
            <w:r w:rsidRPr="00B01FC2">
              <w:rPr>
                <w:sz w:val="20"/>
                <w:szCs w:val="28"/>
              </w:rPr>
              <w:t>Total</w:t>
            </w:r>
            <w:r w:rsidR="00E202C5" w:rsidRPr="00B01FC2">
              <w:rPr>
                <w:sz w:val="20"/>
                <w:szCs w:val="28"/>
              </w:rPr>
              <w:t xml:space="preserve"> ($</w:t>
            </w:r>
            <w:r w:rsidR="00B01FC2">
              <w:rPr>
                <w:sz w:val="20"/>
                <w:szCs w:val="28"/>
              </w:rPr>
              <w:t> </w:t>
            </w:r>
            <w:r w:rsidR="00E202C5" w:rsidRPr="00B01FC2">
              <w:rPr>
                <w:sz w:val="20"/>
                <w:szCs w:val="28"/>
              </w:rPr>
              <w:t>thousand)</w:t>
            </w:r>
          </w:p>
        </w:tc>
      </w:tr>
      <w:bookmarkEnd w:id="105"/>
      <w:tr w:rsidR="000756EB" w:rsidRPr="00E202C5" w14:paraId="6C4BDDAA" w14:textId="77777777" w:rsidTr="00E202C5">
        <w:trPr>
          <w:trHeight w:val="60"/>
        </w:trPr>
        <w:tc>
          <w:tcPr>
            <w:tcW w:w="4531" w:type="dxa"/>
          </w:tcPr>
          <w:p w14:paraId="497344BB" w14:textId="5F68A4DB" w:rsidR="000756EB" w:rsidRPr="00E202C5" w:rsidRDefault="004A4D88" w:rsidP="00E202C5">
            <w:pPr>
              <w:pStyle w:val="TableCopy"/>
              <w:rPr>
                <w:rFonts w:asciiTheme="minorHAnsi" w:hAnsiTheme="minorHAnsi" w:cstheme="minorHAnsi"/>
              </w:rPr>
            </w:pPr>
            <w:r w:rsidRPr="00E202C5">
              <w:rPr>
                <w:rFonts w:asciiTheme="minorHAnsi" w:hAnsiTheme="minorHAnsi" w:cstheme="minorHAnsi"/>
              </w:rPr>
              <w:t>Public</w:t>
            </w:r>
            <w:r w:rsidR="00A03629" w:rsidRPr="00E202C5">
              <w:rPr>
                <w:rFonts w:asciiTheme="minorHAnsi" w:hAnsiTheme="minorHAnsi" w:cstheme="minorHAnsi"/>
              </w:rPr>
              <w:t xml:space="preserve"> </w:t>
            </w:r>
            <w:r w:rsidRPr="00E202C5">
              <w:rPr>
                <w:rFonts w:asciiTheme="minorHAnsi" w:hAnsiTheme="minorHAnsi" w:cstheme="minorHAnsi"/>
              </w:rPr>
              <w:t>private</w:t>
            </w:r>
            <w:r w:rsidR="00A03629" w:rsidRPr="00E202C5">
              <w:rPr>
                <w:rFonts w:asciiTheme="minorHAnsi" w:hAnsiTheme="minorHAnsi" w:cstheme="minorHAnsi"/>
              </w:rPr>
              <w:t xml:space="preserve"> </w:t>
            </w:r>
            <w:r w:rsidRPr="00E202C5">
              <w:rPr>
                <w:rFonts w:asciiTheme="minorHAnsi" w:hAnsiTheme="minorHAnsi" w:cstheme="minorHAnsi"/>
              </w:rPr>
              <w:t>partnership</w:t>
            </w:r>
            <w:r w:rsidR="00A03629" w:rsidRPr="00E202C5">
              <w:rPr>
                <w:rFonts w:asciiTheme="minorHAnsi" w:hAnsiTheme="minorHAnsi" w:cstheme="minorHAnsi"/>
              </w:rPr>
              <w:t xml:space="preserve"> </w:t>
            </w:r>
            <w:r w:rsidRPr="00E202C5">
              <w:rPr>
                <w:rFonts w:asciiTheme="minorHAnsi" w:hAnsiTheme="minorHAnsi" w:cstheme="minorHAnsi"/>
              </w:rPr>
              <w:t>commitments</w:t>
            </w:r>
            <w:r w:rsidR="00A03629" w:rsidRPr="00E202C5">
              <w:rPr>
                <w:rFonts w:asciiTheme="minorHAnsi" w:hAnsiTheme="minorHAnsi" w:cstheme="minorHAnsi"/>
              </w:rPr>
              <w:t xml:space="preserve"> </w:t>
            </w:r>
            <w:r w:rsidRPr="00614829">
              <w:rPr>
                <w:rStyle w:val="FootnotereferencessuperscriptMisc"/>
              </w:rPr>
              <w:t>(</w:t>
            </w:r>
            <w:proofErr w:type="spellStart"/>
            <w:r w:rsidRPr="00614829">
              <w:rPr>
                <w:rStyle w:val="FootnotereferencessuperscriptMisc"/>
              </w:rPr>
              <w:t>i</w:t>
            </w:r>
            <w:proofErr w:type="spellEnd"/>
            <w:r w:rsidRPr="00614829">
              <w:rPr>
                <w:rStyle w:val="FootnotereferencessuperscriptMisc"/>
              </w:rPr>
              <w:t>)</w:t>
            </w:r>
          </w:p>
        </w:tc>
        <w:tc>
          <w:tcPr>
            <w:tcW w:w="1417" w:type="dxa"/>
          </w:tcPr>
          <w:p w14:paraId="6620866F" w14:textId="50675E64" w:rsidR="000756EB" w:rsidRPr="00E202C5" w:rsidRDefault="004A4D88" w:rsidP="00B01FC2">
            <w:pPr>
              <w:pStyle w:val="TableCopy"/>
              <w:jc w:val="right"/>
              <w:rPr>
                <w:rFonts w:asciiTheme="minorHAnsi" w:hAnsiTheme="minorHAnsi" w:cstheme="minorHAnsi"/>
              </w:rPr>
            </w:pPr>
            <w:r w:rsidRPr="00E202C5">
              <w:rPr>
                <w:rFonts w:asciiTheme="minorHAnsi" w:hAnsiTheme="minorHAnsi" w:cstheme="minorHAnsi"/>
              </w:rPr>
              <w:t>–</w:t>
            </w:r>
          </w:p>
        </w:tc>
        <w:tc>
          <w:tcPr>
            <w:tcW w:w="1417" w:type="dxa"/>
          </w:tcPr>
          <w:p w14:paraId="08D23BA0" w14:textId="2857DCBF" w:rsidR="000756EB" w:rsidRPr="00E202C5" w:rsidRDefault="004A4D88" w:rsidP="00B01FC2">
            <w:pPr>
              <w:pStyle w:val="TableCopy"/>
              <w:jc w:val="right"/>
              <w:rPr>
                <w:rFonts w:asciiTheme="minorHAnsi" w:hAnsiTheme="minorHAnsi" w:cstheme="minorHAnsi"/>
              </w:rPr>
            </w:pPr>
            <w:r w:rsidRPr="00E202C5">
              <w:rPr>
                <w:rFonts w:asciiTheme="minorHAnsi" w:hAnsiTheme="minorHAnsi" w:cstheme="minorHAnsi"/>
              </w:rPr>
              <w:t>–</w:t>
            </w:r>
          </w:p>
        </w:tc>
        <w:tc>
          <w:tcPr>
            <w:tcW w:w="1417" w:type="dxa"/>
          </w:tcPr>
          <w:p w14:paraId="044620CD" w14:textId="4AB02B5A" w:rsidR="000756EB" w:rsidRPr="00E202C5" w:rsidRDefault="004A4D88" w:rsidP="00B01FC2">
            <w:pPr>
              <w:pStyle w:val="TableCopy"/>
              <w:jc w:val="right"/>
              <w:rPr>
                <w:rFonts w:asciiTheme="minorHAnsi" w:hAnsiTheme="minorHAnsi" w:cstheme="minorHAnsi"/>
              </w:rPr>
            </w:pPr>
            <w:r w:rsidRPr="00E202C5">
              <w:rPr>
                <w:rFonts w:asciiTheme="minorHAnsi" w:hAnsiTheme="minorHAnsi" w:cstheme="minorHAnsi"/>
              </w:rPr>
              <w:t>–</w:t>
            </w:r>
          </w:p>
        </w:tc>
        <w:tc>
          <w:tcPr>
            <w:tcW w:w="1418" w:type="dxa"/>
          </w:tcPr>
          <w:p w14:paraId="11650A61" w14:textId="268FCE8C" w:rsidR="000756EB" w:rsidRPr="00E202C5" w:rsidRDefault="004A4D88" w:rsidP="00B01FC2">
            <w:pPr>
              <w:pStyle w:val="TableCopy"/>
              <w:jc w:val="right"/>
              <w:rPr>
                <w:rFonts w:asciiTheme="minorHAnsi" w:hAnsiTheme="minorHAnsi" w:cstheme="minorHAnsi"/>
              </w:rPr>
            </w:pPr>
            <w:r w:rsidRPr="00E202C5">
              <w:rPr>
                <w:rFonts w:asciiTheme="minorHAnsi" w:hAnsiTheme="minorHAnsi" w:cstheme="minorHAnsi"/>
              </w:rPr>
              <w:t>–</w:t>
            </w:r>
          </w:p>
        </w:tc>
      </w:tr>
      <w:tr w:rsidR="000756EB" w:rsidRPr="00E202C5" w14:paraId="3220F5F5" w14:textId="77777777" w:rsidTr="00E202C5">
        <w:trPr>
          <w:trHeight w:val="60"/>
        </w:trPr>
        <w:tc>
          <w:tcPr>
            <w:tcW w:w="4531" w:type="dxa"/>
          </w:tcPr>
          <w:p w14:paraId="3583A5F7" w14:textId="098807A0" w:rsidR="000756EB" w:rsidRPr="00E202C5" w:rsidRDefault="004A4D88" w:rsidP="00E202C5">
            <w:pPr>
              <w:pStyle w:val="TableCopy"/>
              <w:rPr>
                <w:rFonts w:asciiTheme="minorHAnsi" w:hAnsiTheme="minorHAnsi" w:cstheme="minorHAnsi"/>
              </w:rPr>
            </w:pPr>
            <w:r w:rsidRPr="00E202C5">
              <w:rPr>
                <w:rFonts w:asciiTheme="minorHAnsi" w:hAnsiTheme="minorHAnsi" w:cstheme="minorHAnsi"/>
              </w:rPr>
              <w:t>Capital</w:t>
            </w:r>
            <w:r w:rsidR="00A03629" w:rsidRPr="00E202C5">
              <w:rPr>
                <w:rFonts w:asciiTheme="minorHAnsi" w:hAnsiTheme="minorHAnsi" w:cstheme="minorHAnsi"/>
              </w:rPr>
              <w:t xml:space="preserve"> </w:t>
            </w:r>
            <w:r w:rsidRPr="00E202C5">
              <w:rPr>
                <w:rFonts w:asciiTheme="minorHAnsi" w:hAnsiTheme="minorHAnsi" w:cstheme="minorHAnsi"/>
              </w:rPr>
              <w:t>expenditure</w:t>
            </w:r>
            <w:r w:rsidR="00A03629" w:rsidRPr="00E202C5">
              <w:rPr>
                <w:rFonts w:asciiTheme="minorHAnsi" w:hAnsiTheme="minorHAnsi" w:cstheme="minorHAnsi"/>
              </w:rPr>
              <w:t xml:space="preserve"> </w:t>
            </w:r>
            <w:r w:rsidRPr="00E202C5">
              <w:rPr>
                <w:rFonts w:asciiTheme="minorHAnsi" w:hAnsiTheme="minorHAnsi" w:cstheme="minorHAnsi"/>
              </w:rPr>
              <w:t>commitments</w:t>
            </w:r>
          </w:p>
        </w:tc>
        <w:tc>
          <w:tcPr>
            <w:tcW w:w="1417" w:type="dxa"/>
          </w:tcPr>
          <w:p w14:paraId="1682BB17" w14:textId="75F38861" w:rsidR="000756EB" w:rsidRPr="00E202C5" w:rsidRDefault="004A4D88" w:rsidP="00B01FC2">
            <w:pPr>
              <w:pStyle w:val="TableCopy"/>
              <w:jc w:val="right"/>
              <w:rPr>
                <w:rFonts w:asciiTheme="minorHAnsi" w:hAnsiTheme="minorHAnsi" w:cstheme="minorHAnsi"/>
              </w:rPr>
            </w:pPr>
            <w:r w:rsidRPr="00E202C5">
              <w:rPr>
                <w:rFonts w:asciiTheme="minorHAnsi" w:hAnsiTheme="minorHAnsi" w:cstheme="minorHAnsi"/>
              </w:rPr>
              <w:t>2,214</w:t>
            </w:r>
          </w:p>
        </w:tc>
        <w:tc>
          <w:tcPr>
            <w:tcW w:w="1417" w:type="dxa"/>
          </w:tcPr>
          <w:p w14:paraId="30502A56" w14:textId="4B2F5CFC" w:rsidR="000756EB" w:rsidRPr="00E202C5" w:rsidRDefault="004A4D88" w:rsidP="00B01FC2">
            <w:pPr>
              <w:pStyle w:val="TableCopy"/>
              <w:jc w:val="right"/>
              <w:rPr>
                <w:rFonts w:asciiTheme="minorHAnsi" w:hAnsiTheme="minorHAnsi" w:cstheme="minorHAnsi"/>
              </w:rPr>
            </w:pPr>
            <w:r w:rsidRPr="00E202C5">
              <w:rPr>
                <w:rFonts w:asciiTheme="minorHAnsi" w:hAnsiTheme="minorHAnsi" w:cstheme="minorHAnsi"/>
              </w:rPr>
              <w:t>–</w:t>
            </w:r>
          </w:p>
        </w:tc>
        <w:tc>
          <w:tcPr>
            <w:tcW w:w="1417" w:type="dxa"/>
          </w:tcPr>
          <w:p w14:paraId="0E74FBF0" w14:textId="235AE777" w:rsidR="000756EB" w:rsidRPr="00E202C5" w:rsidRDefault="004A4D88" w:rsidP="00B01FC2">
            <w:pPr>
              <w:pStyle w:val="TableCopy"/>
              <w:jc w:val="right"/>
              <w:rPr>
                <w:rFonts w:asciiTheme="minorHAnsi" w:hAnsiTheme="minorHAnsi" w:cstheme="minorHAnsi"/>
              </w:rPr>
            </w:pPr>
            <w:r w:rsidRPr="00E202C5">
              <w:rPr>
                <w:rFonts w:asciiTheme="minorHAnsi" w:hAnsiTheme="minorHAnsi" w:cstheme="minorHAnsi"/>
              </w:rPr>
              <w:t>–</w:t>
            </w:r>
          </w:p>
        </w:tc>
        <w:tc>
          <w:tcPr>
            <w:tcW w:w="1418" w:type="dxa"/>
          </w:tcPr>
          <w:p w14:paraId="38F1DFBC" w14:textId="716E8E61" w:rsidR="000756EB" w:rsidRPr="00E202C5" w:rsidRDefault="004A4D88" w:rsidP="00B01FC2">
            <w:pPr>
              <w:pStyle w:val="TableCopy"/>
              <w:jc w:val="right"/>
              <w:rPr>
                <w:rFonts w:asciiTheme="minorHAnsi" w:hAnsiTheme="minorHAnsi" w:cstheme="minorHAnsi"/>
              </w:rPr>
            </w:pPr>
            <w:r w:rsidRPr="00E202C5">
              <w:rPr>
                <w:rFonts w:asciiTheme="minorHAnsi" w:hAnsiTheme="minorHAnsi" w:cstheme="minorHAnsi"/>
              </w:rPr>
              <w:t>2,214</w:t>
            </w:r>
          </w:p>
        </w:tc>
      </w:tr>
      <w:tr w:rsidR="000756EB" w:rsidRPr="00E202C5" w14:paraId="76EB14FD" w14:textId="77777777" w:rsidTr="00E202C5">
        <w:trPr>
          <w:trHeight w:val="60"/>
        </w:trPr>
        <w:tc>
          <w:tcPr>
            <w:tcW w:w="4531" w:type="dxa"/>
          </w:tcPr>
          <w:p w14:paraId="3588767F" w14:textId="3F8CC08F" w:rsidR="000756EB" w:rsidRPr="00E202C5" w:rsidRDefault="004A4D88" w:rsidP="00E202C5">
            <w:pPr>
              <w:pStyle w:val="TableCopy"/>
              <w:rPr>
                <w:rFonts w:asciiTheme="minorHAnsi" w:hAnsiTheme="minorHAnsi" w:cstheme="minorHAnsi"/>
              </w:rPr>
            </w:pPr>
            <w:r w:rsidRPr="00E202C5">
              <w:rPr>
                <w:rFonts w:asciiTheme="minorHAnsi" w:hAnsiTheme="minorHAnsi" w:cstheme="minorHAnsi"/>
              </w:rPr>
              <w:t>Other</w:t>
            </w:r>
            <w:r w:rsidR="00A03629" w:rsidRPr="00E202C5">
              <w:rPr>
                <w:rFonts w:asciiTheme="minorHAnsi" w:hAnsiTheme="minorHAnsi" w:cstheme="minorHAnsi"/>
              </w:rPr>
              <w:t xml:space="preserve"> </w:t>
            </w:r>
            <w:r w:rsidRPr="00E202C5">
              <w:rPr>
                <w:rFonts w:asciiTheme="minorHAnsi" w:hAnsiTheme="minorHAnsi" w:cstheme="minorHAnsi"/>
              </w:rPr>
              <w:t>operating</w:t>
            </w:r>
            <w:r w:rsidR="00A03629" w:rsidRPr="00E202C5">
              <w:rPr>
                <w:rFonts w:asciiTheme="minorHAnsi" w:hAnsiTheme="minorHAnsi" w:cstheme="minorHAnsi"/>
              </w:rPr>
              <w:t xml:space="preserve"> </w:t>
            </w:r>
            <w:r w:rsidRPr="00E202C5">
              <w:rPr>
                <w:rFonts w:asciiTheme="minorHAnsi" w:hAnsiTheme="minorHAnsi" w:cstheme="minorHAnsi"/>
              </w:rPr>
              <w:t>commitments</w:t>
            </w:r>
          </w:p>
        </w:tc>
        <w:tc>
          <w:tcPr>
            <w:tcW w:w="1417" w:type="dxa"/>
          </w:tcPr>
          <w:p w14:paraId="4F36AC58" w14:textId="39590A63" w:rsidR="000756EB" w:rsidRPr="00E202C5" w:rsidRDefault="004A4D88" w:rsidP="00B01FC2">
            <w:pPr>
              <w:pStyle w:val="TableCopy"/>
              <w:jc w:val="right"/>
              <w:rPr>
                <w:rFonts w:asciiTheme="minorHAnsi" w:hAnsiTheme="minorHAnsi" w:cstheme="minorHAnsi"/>
              </w:rPr>
            </w:pPr>
            <w:r w:rsidRPr="00E202C5">
              <w:rPr>
                <w:rFonts w:asciiTheme="minorHAnsi" w:hAnsiTheme="minorHAnsi" w:cstheme="minorHAnsi"/>
              </w:rPr>
              <w:t>37,055</w:t>
            </w:r>
          </w:p>
        </w:tc>
        <w:tc>
          <w:tcPr>
            <w:tcW w:w="1417" w:type="dxa"/>
          </w:tcPr>
          <w:p w14:paraId="7F7E8D5F" w14:textId="27F04837" w:rsidR="000756EB" w:rsidRPr="00E202C5" w:rsidRDefault="004A4D88" w:rsidP="00B01FC2">
            <w:pPr>
              <w:pStyle w:val="TableCopy"/>
              <w:jc w:val="right"/>
              <w:rPr>
                <w:rFonts w:asciiTheme="minorHAnsi" w:hAnsiTheme="minorHAnsi" w:cstheme="minorHAnsi"/>
              </w:rPr>
            </w:pPr>
            <w:r w:rsidRPr="00E202C5">
              <w:rPr>
                <w:rFonts w:asciiTheme="minorHAnsi" w:hAnsiTheme="minorHAnsi" w:cstheme="minorHAnsi"/>
              </w:rPr>
              <w:t>6,959</w:t>
            </w:r>
          </w:p>
        </w:tc>
        <w:tc>
          <w:tcPr>
            <w:tcW w:w="1417" w:type="dxa"/>
          </w:tcPr>
          <w:p w14:paraId="35027ACF" w14:textId="480F2E10" w:rsidR="000756EB" w:rsidRPr="00E202C5" w:rsidRDefault="004A4D88" w:rsidP="00B01FC2">
            <w:pPr>
              <w:pStyle w:val="TableCopy"/>
              <w:jc w:val="right"/>
              <w:rPr>
                <w:rFonts w:asciiTheme="minorHAnsi" w:hAnsiTheme="minorHAnsi" w:cstheme="minorHAnsi"/>
              </w:rPr>
            </w:pPr>
            <w:r w:rsidRPr="00E202C5">
              <w:rPr>
                <w:rFonts w:asciiTheme="minorHAnsi" w:hAnsiTheme="minorHAnsi" w:cstheme="minorHAnsi"/>
              </w:rPr>
              <w:t>12</w:t>
            </w:r>
          </w:p>
        </w:tc>
        <w:tc>
          <w:tcPr>
            <w:tcW w:w="1418" w:type="dxa"/>
          </w:tcPr>
          <w:p w14:paraId="3B2E366F" w14:textId="0966EB9D" w:rsidR="000756EB" w:rsidRPr="00E202C5" w:rsidRDefault="004A4D88" w:rsidP="00B01FC2">
            <w:pPr>
              <w:pStyle w:val="TableCopy"/>
              <w:jc w:val="right"/>
              <w:rPr>
                <w:rFonts w:asciiTheme="minorHAnsi" w:hAnsiTheme="minorHAnsi" w:cstheme="minorHAnsi"/>
              </w:rPr>
            </w:pPr>
            <w:r w:rsidRPr="00E202C5">
              <w:rPr>
                <w:rFonts w:asciiTheme="minorHAnsi" w:hAnsiTheme="minorHAnsi" w:cstheme="minorHAnsi"/>
              </w:rPr>
              <w:t>44,026</w:t>
            </w:r>
          </w:p>
        </w:tc>
      </w:tr>
      <w:tr w:rsidR="000756EB" w:rsidRPr="00E202C5" w14:paraId="37E8A2EE" w14:textId="77777777" w:rsidTr="00E202C5">
        <w:trPr>
          <w:trHeight w:val="60"/>
        </w:trPr>
        <w:tc>
          <w:tcPr>
            <w:tcW w:w="4531" w:type="dxa"/>
          </w:tcPr>
          <w:p w14:paraId="339137DB" w14:textId="00944077" w:rsidR="000756EB" w:rsidRPr="00E202C5" w:rsidRDefault="004A4D88" w:rsidP="00E202C5">
            <w:pPr>
              <w:pStyle w:val="TableCopy"/>
              <w:rPr>
                <w:rFonts w:asciiTheme="minorHAnsi" w:hAnsiTheme="minorHAnsi" w:cstheme="minorHAnsi"/>
              </w:rPr>
            </w:pPr>
            <w:r w:rsidRPr="00E202C5">
              <w:rPr>
                <w:rFonts w:asciiTheme="minorHAnsi" w:hAnsiTheme="minorHAnsi" w:cstheme="minorHAnsi"/>
              </w:rPr>
              <w:t>Office</w:t>
            </w:r>
            <w:r w:rsidR="00A03629" w:rsidRPr="00E202C5">
              <w:rPr>
                <w:rFonts w:asciiTheme="minorHAnsi" w:hAnsiTheme="minorHAnsi" w:cstheme="minorHAnsi"/>
              </w:rPr>
              <w:t xml:space="preserve"> </w:t>
            </w:r>
            <w:r w:rsidRPr="00E202C5">
              <w:rPr>
                <w:rFonts w:asciiTheme="minorHAnsi" w:hAnsiTheme="minorHAnsi" w:cstheme="minorHAnsi"/>
              </w:rPr>
              <w:t>of</w:t>
            </w:r>
            <w:r w:rsidR="00A03629" w:rsidRPr="00E202C5">
              <w:rPr>
                <w:rFonts w:asciiTheme="minorHAnsi" w:hAnsiTheme="minorHAnsi" w:cstheme="minorHAnsi"/>
              </w:rPr>
              <w:t xml:space="preserve"> </w:t>
            </w:r>
            <w:r w:rsidRPr="00E202C5">
              <w:rPr>
                <w:rFonts w:asciiTheme="minorHAnsi" w:hAnsiTheme="minorHAnsi" w:cstheme="minorHAnsi"/>
              </w:rPr>
              <w:t>the</w:t>
            </w:r>
            <w:r w:rsidR="00A03629" w:rsidRPr="00E202C5">
              <w:rPr>
                <w:rFonts w:asciiTheme="minorHAnsi" w:hAnsiTheme="minorHAnsi" w:cstheme="minorHAnsi"/>
              </w:rPr>
              <w:t xml:space="preserve"> </w:t>
            </w:r>
            <w:r w:rsidRPr="00E202C5">
              <w:rPr>
                <w:rFonts w:asciiTheme="minorHAnsi" w:hAnsiTheme="minorHAnsi" w:cstheme="minorHAnsi"/>
              </w:rPr>
              <w:t>Commonwealth</w:t>
            </w:r>
            <w:r w:rsidR="00A03629" w:rsidRPr="00E202C5">
              <w:rPr>
                <w:rFonts w:asciiTheme="minorHAnsi" w:hAnsiTheme="minorHAnsi" w:cstheme="minorHAnsi"/>
              </w:rPr>
              <w:t xml:space="preserve"> </w:t>
            </w:r>
            <w:r w:rsidRPr="00E202C5">
              <w:rPr>
                <w:rFonts w:asciiTheme="minorHAnsi" w:hAnsiTheme="minorHAnsi" w:cstheme="minorHAnsi"/>
              </w:rPr>
              <w:t>Games</w:t>
            </w:r>
            <w:r w:rsidR="00A03629" w:rsidRPr="00E202C5">
              <w:rPr>
                <w:rFonts w:asciiTheme="minorHAnsi" w:hAnsiTheme="minorHAnsi" w:cstheme="minorHAnsi"/>
              </w:rPr>
              <w:t xml:space="preserve"> </w:t>
            </w:r>
            <w:r w:rsidRPr="00614829">
              <w:rPr>
                <w:rStyle w:val="FootnotereferencessuperscriptMisc"/>
              </w:rPr>
              <w:t>(ii)</w:t>
            </w:r>
          </w:p>
        </w:tc>
        <w:tc>
          <w:tcPr>
            <w:tcW w:w="1417" w:type="dxa"/>
          </w:tcPr>
          <w:p w14:paraId="65188F78" w14:textId="4C69AAAB" w:rsidR="000756EB" w:rsidRPr="00E202C5" w:rsidRDefault="004A4D88" w:rsidP="00B01FC2">
            <w:pPr>
              <w:pStyle w:val="TableCopy"/>
              <w:jc w:val="right"/>
              <w:rPr>
                <w:rFonts w:asciiTheme="minorHAnsi" w:hAnsiTheme="minorHAnsi" w:cstheme="minorHAnsi"/>
              </w:rPr>
            </w:pPr>
            <w:r w:rsidRPr="00E202C5">
              <w:rPr>
                <w:rFonts w:asciiTheme="minorHAnsi" w:hAnsiTheme="minorHAnsi" w:cstheme="minorHAnsi"/>
              </w:rPr>
              <w:t>7,221</w:t>
            </w:r>
          </w:p>
        </w:tc>
        <w:tc>
          <w:tcPr>
            <w:tcW w:w="1417" w:type="dxa"/>
          </w:tcPr>
          <w:p w14:paraId="7A44D04C" w14:textId="0CC54AA6" w:rsidR="000756EB" w:rsidRPr="00E202C5" w:rsidRDefault="004A4D88" w:rsidP="00B01FC2">
            <w:pPr>
              <w:pStyle w:val="TableCopy"/>
              <w:jc w:val="right"/>
              <w:rPr>
                <w:rFonts w:asciiTheme="minorHAnsi" w:hAnsiTheme="minorHAnsi" w:cstheme="minorHAnsi"/>
              </w:rPr>
            </w:pPr>
            <w:r w:rsidRPr="00E202C5">
              <w:rPr>
                <w:rFonts w:asciiTheme="minorHAnsi" w:hAnsiTheme="minorHAnsi" w:cstheme="minorHAnsi"/>
              </w:rPr>
              <w:t>12,100</w:t>
            </w:r>
          </w:p>
        </w:tc>
        <w:tc>
          <w:tcPr>
            <w:tcW w:w="1417" w:type="dxa"/>
          </w:tcPr>
          <w:p w14:paraId="3CF7EE6B" w14:textId="72685197" w:rsidR="000756EB" w:rsidRPr="00E202C5" w:rsidRDefault="004A4D88" w:rsidP="00B01FC2">
            <w:pPr>
              <w:pStyle w:val="TableCopy"/>
              <w:jc w:val="right"/>
              <w:rPr>
                <w:rFonts w:asciiTheme="minorHAnsi" w:hAnsiTheme="minorHAnsi" w:cstheme="minorHAnsi"/>
              </w:rPr>
            </w:pPr>
            <w:r w:rsidRPr="00E202C5">
              <w:rPr>
                <w:rFonts w:asciiTheme="minorHAnsi" w:hAnsiTheme="minorHAnsi" w:cstheme="minorHAnsi"/>
              </w:rPr>
              <w:t>–</w:t>
            </w:r>
          </w:p>
        </w:tc>
        <w:tc>
          <w:tcPr>
            <w:tcW w:w="1418" w:type="dxa"/>
          </w:tcPr>
          <w:p w14:paraId="0E824DA0" w14:textId="270EFF26" w:rsidR="000756EB" w:rsidRPr="00E202C5" w:rsidRDefault="004A4D88" w:rsidP="00B01FC2">
            <w:pPr>
              <w:pStyle w:val="TableCopy"/>
              <w:jc w:val="right"/>
              <w:rPr>
                <w:rFonts w:asciiTheme="minorHAnsi" w:hAnsiTheme="minorHAnsi" w:cstheme="minorHAnsi"/>
              </w:rPr>
            </w:pPr>
            <w:r w:rsidRPr="00E202C5">
              <w:rPr>
                <w:rFonts w:asciiTheme="minorHAnsi" w:hAnsiTheme="minorHAnsi" w:cstheme="minorHAnsi"/>
              </w:rPr>
              <w:t>19,321</w:t>
            </w:r>
          </w:p>
        </w:tc>
      </w:tr>
      <w:tr w:rsidR="000756EB" w:rsidRPr="00E202C5" w14:paraId="5FF1A5B7" w14:textId="77777777" w:rsidTr="00E202C5">
        <w:trPr>
          <w:trHeight w:val="60"/>
        </w:trPr>
        <w:tc>
          <w:tcPr>
            <w:tcW w:w="4531" w:type="dxa"/>
          </w:tcPr>
          <w:p w14:paraId="72BF59F4" w14:textId="721173FC" w:rsidR="000756EB" w:rsidRPr="00E202C5" w:rsidRDefault="004A4D88" w:rsidP="00E202C5">
            <w:pPr>
              <w:pStyle w:val="TableCopy"/>
              <w:rPr>
                <w:rFonts w:asciiTheme="minorHAnsi" w:hAnsiTheme="minorHAnsi" w:cstheme="minorHAnsi"/>
              </w:rPr>
            </w:pPr>
            <w:r w:rsidRPr="00E202C5">
              <w:rPr>
                <w:rFonts w:asciiTheme="minorHAnsi" w:hAnsiTheme="minorHAnsi" w:cstheme="minorHAnsi"/>
              </w:rPr>
              <w:t>Accommodation</w:t>
            </w:r>
            <w:r w:rsidR="00A03629" w:rsidRPr="00E202C5">
              <w:rPr>
                <w:rFonts w:asciiTheme="minorHAnsi" w:hAnsiTheme="minorHAnsi" w:cstheme="minorHAnsi"/>
              </w:rPr>
              <w:t xml:space="preserve"> </w:t>
            </w:r>
            <w:r w:rsidRPr="00E202C5">
              <w:rPr>
                <w:rFonts w:asciiTheme="minorHAnsi" w:hAnsiTheme="minorHAnsi" w:cstheme="minorHAnsi"/>
              </w:rPr>
              <w:t>expenditure</w:t>
            </w:r>
            <w:r w:rsidR="00A03629" w:rsidRPr="00E202C5">
              <w:rPr>
                <w:rFonts w:asciiTheme="minorHAnsi" w:hAnsiTheme="minorHAnsi" w:cstheme="minorHAnsi"/>
              </w:rPr>
              <w:t xml:space="preserve"> </w:t>
            </w:r>
            <w:r w:rsidRPr="00E202C5">
              <w:rPr>
                <w:rFonts w:asciiTheme="minorHAnsi" w:hAnsiTheme="minorHAnsi" w:cstheme="minorHAnsi"/>
              </w:rPr>
              <w:t>commitments</w:t>
            </w:r>
            <w:r w:rsidR="00A03629" w:rsidRPr="00E202C5">
              <w:rPr>
                <w:rFonts w:asciiTheme="minorHAnsi" w:hAnsiTheme="minorHAnsi" w:cstheme="minorHAnsi"/>
              </w:rPr>
              <w:t xml:space="preserve"> </w:t>
            </w:r>
            <w:r w:rsidRPr="00614829">
              <w:rPr>
                <w:rStyle w:val="FootnotereferencessuperscriptMisc"/>
              </w:rPr>
              <w:t>(iii)</w:t>
            </w:r>
          </w:p>
        </w:tc>
        <w:tc>
          <w:tcPr>
            <w:tcW w:w="1417" w:type="dxa"/>
          </w:tcPr>
          <w:p w14:paraId="31EAC926" w14:textId="2D7C5969" w:rsidR="000756EB" w:rsidRPr="00E202C5" w:rsidRDefault="004A4D88" w:rsidP="00B01FC2">
            <w:pPr>
              <w:pStyle w:val="TableCopy"/>
              <w:jc w:val="right"/>
              <w:rPr>
                <w:rFonts w:asciiTheme="minorHAnsi" w:hAnsiTheme="minorHAnsi" w:cstheme="minorHAnsi"/>
              </w:rPr>
            </w:pPr>
            <w:r w:rsidRPr="00E202C5">
              <w:rPr>
                <w:rFonts w:asciiTheme="minorHAnsi" w:hAnsiTheme="minorHAnsi" w:cstheme="minorHAnsi"/>
              </w:rPr>
              <w:t>20,048</w:t>
            </w:r>
          </w:p>
        </w:tc>
        <w:tc>
          <w:tcPr>
            <w:tcW w:w="1417" w:type="dxa"/>
          </w:tcPr>
          <w:p w14:paraId="173372AD" w14:textId="1C9F6784" w:rsidR="000756EB" w:rsidRPr="00E202C5" w:rsidRDefault="004A4D88" w:rsidP="00B01FC2">
            <w:pPr>
              <w:pStyle w:val="TableCopy"/>
              <w:jc w:val="right"/>
              <w:rPr>
                <w:rFonts w:asciiTheme="minorHAnsi" w:hAnsiTheme="minorHAnsi" w:cstheme="minorHAnsi"/>
              </w:rPr>
            </w:pPr>
            <w:r w:rsidRPr="00E202C5">
              <w:rPr>
                <w:rFonts w:asciiTheme="minorHAnsi" w:hAnsiTheme="minorHAnsi" w:cstheme="minorHAnsi"/>
              </w:rPr>
              <w:t>–</w:t>
            </w:r>
          </w:p>
        </w:tc>
        <w:tc>
          <w:tcPr>
            <w:tcW w:w="1417" w:type="dxa"/>
          </w:tcPr>
          <w:p w14:paraId="2BC30F58" w14:textId="4C6138F9" w:rsidR="000756EB" w:rsidRPr="00E202C5" w:rsidRDefault="004A4D88" w:rsidP="00B01FC2">
            <w:pPr>
              <w:pStyle w:val="TableCopy"/>
              <w:jc w:val="right"/>
              <w:rPr>
                <w:rFonts w:asciiTheme="minorHAnsi" w:hAnsiTheme="minorHAnsi" w:cstheme="minorHAnsi"/>
              </w:rPr>
            </w:pPr>
            <w:r w:rsidRPr="00E202C5">
              <w:rPr>
                <w:rFonts w:asciiTheme="minorHAnsi" w:hAnsiTheme="minorHAnsi" w:cstheme="minorHAnsi"/>
              </w:rPr>
              <w:t>–</w:t>
            </w:r>
          </w:p>
        </w:tc>
        <w:tc>
          <w:tcPr>
            <w:tcW w:w="1418" w:type="dxa"/>
          </w:tcPr>
          <w:p w14:paraId="75307B28" w14:textId="765FA216" w:rsidR="000756EB" w:rsidRPr="00E202C5" w:rsidRDefault="004A4D88" w:rsidP="00B01FC2">
            <w:pPr>
              <w:pStyle w:val="TableCopy"/>
              <w:jc w:val="right"/>
              <w:rPr>
                <w:rFonts w:asciiTheme="minorHAnsi" w:hAnsiTheme="minorHAnsi" w:cstheme="minorHAnsi"/>
              </w:rPr>
            </w:pPr>
            <w:r w:rsidRPr="00E202C5">
              <w:rPr>
                <w:rFonts w:asciiTheme="minorHAnsi" w:hAnsiTheme="minorHAnsi" w:cstheme="minorHAnsi"/>
              </w:rPr>
              <w:t>20,048</w:t>
            </w:r>
          </w:p>
        </w:tc>
      </w:tr>
      <w:tr w:rsidR="000756EB" w:rsidRPr="00E202C5" w14:paraId="08956F15" w14:textId="77777777" w:rsidTr="00E202C5">
        <w:trPr>
          <w:trHeight w:val="60"/>
        </w:trPr>
        <w:tc>
          <w:tcPr>
            <w:tcW w:w="4531" w:type="dxa"/>
          </w:tcPr>
          <w:p w14:paraId="546F44CE" w14:textId="13C5C93D" w:rsidR="000756EB" w:rsidRPr="00E202C5" w:rsidRDefault="004A4D88" w:rsidP="00E202C5">
            <w:pPr>
              <w:pStyle w:val="TableCopy"/>
              <w:rPr>
                <w:rFonts w:asciiTheme="minorHAnsi" w:hAnsiTheme="minorHAnsi" w:cstheme="minorHAnsi"/>
              </w:rPr>
            </w:pPr>
            <w:r w:rsidRPr="00E202C5">
              <w:rPr>
                <w:rFonts w:asciiTheme="minorHAnsi" w:hAnsiTheme="minorHAnsi" w:cstheme="minorHAnsi"/>
              </w:rPr>
              <w:t>Grant</w:t>
            </w:r>
            <w:r w:rsidR="00A03629" w:rsidRPr="00E202C5">
              <w:rPr>
                <w:rFonts w:asciiTheme="minorHAnsi" w:hAnsiTheme="minorHAnsi" w:cstheme="minorHAnsi"/>
              </w:rPr>
              <w:t xml:space="preserve"> </w:t>
            </w:r>
            <w:r w:rsidRPr="00E202C5">
              <w:rPr>
                <w:rFonts w:asciiTheme="minorHAnsi" w:hAnsiTheme="minorHAnsi" w:cstheme="minorHAnsi"/>
              </w:rPr>
              <w:t>commitments</w:t>
            </w:r>
            <w:r w:rsidR="00A03629" w:rsidRPr="00E202C5">
              <w:rPr>
                <w:rFonts w:asciiTheme="minorHAnsi" w:hAnsiTheme="minorHAnsi" w:cstheme="minorHAnsi"/>
              </w:rPr>
              <w:t xml:space="preserve"> </w:t>
            </w:r>
          </w:p>
        </w:tc>
        <w:tc>
          <w:tcPr>
            <w:tcW w:w="1417" w:type="dxa"/>
          </w:tcPr>
          <w:p w14:paraId="4BAF7F2F" w14:textId="4DDA2765" w:rsidR="000756EB" w:rsidRPr="00E202C5" w:rsidRDefault="004A4D88" w:rsidP="00B01FC2">
            <w:pPr>
              <w:pStyle w:val="TableCopy"/>
              <w:jc w:val="right"/>
              <w:rPr>
                <w:rFonts w:asciiTheme="minorHAnsi" w:hAnsiTheme="minorHAnsi" w:cstheme="minorHAnsi"/>
              </w:rPr>
            </w:pPr>
            <w:r w:rsidRPr="00E202C5">
              <w:rPr>
                <w:rFonts w:asciiTheme="minorHAnsi" w:hAnsiTheme="minorHAnsi" w:cstheme="minorHAnsi"/>
              </w:rPr>
              <w:t>630,243</w:t>
            </w:r>
          </w:p>
        </w:tc>
        <w:tc>
          <w:tcPr>
            <w:tcW w:w="1417" w:type="dxa"/>
          </w:tcPr>
          <w:p w14:paraId="26AEFA94" w14:textId="45261BD7" w:rsidR="000756EB" w:rsidRPr="00E202C5" w:rsidRDefault="004A4D88" w:rsidP="00B01FC2">
            <w:pPr>
              <w:pStyle w:val="TableCopy"/>
              <w:jc w:val="right"/>
              <w:rPr>
                <w:rFonts w:asciiTheme="minorHAnsi" w:hAnsiTheme="minorHAnsi" w:cstheme="minorHAnsi"/>
              </w:rPr>
            </w:pPr>
            <w:r w:rsidRPr="00E202C5">
              <w:rPr>
                <w:rFonts w:asciiTheme="minorHAnsi" w:hAnsiTheme="minorHAnsi" w:cstheme="minorHAnsi"/>
              </w:rPr>
              <w:t>653,159</w:t>
            </w:r>
          </w:p>
        </w:tc>
        <w:tc>
          <w:tcPr>
            <w:tcW w:w="1417" w:type="dxa"/>
          </w:tcPr>
          <w:p w14:paraId="21CFC4B4" w14:textId="6206F240" w:rsidR="000756EB" w:rsidRPr="00E202C5" w:rsidRDefault="004A4D88" w:rsidP="00B01FC2">
            <w:pPr>
              <w:pStyle w:val="TableCopy"/>
              <w:jc w:val="right"/>
              <w:rPr>
                <w:rFonts w:asciiTheme="minorHAnsi" w:hAnsiTheme="minorHAnsi" w:cstheme="minorHAnsi"/>
              </w:rPr>
            </w:pPr>
            <w:r w:rsidRPr="00E202C5">
              <w:rPr>
                <w:rFonts w:asciiTheme="minorHAnsi" w:hAnsiTheme="minorHAnsi" w:cstheme="minorHAnsi"/>
              </w:rPr>
              <w:t>246,453</w:t>
            </w:r>
          </w:p>
        </w:tc>
        <w:tc>
          <w:tcPr>
            <w:tcW w:w="1418" w:type="dxa"/>
          </w:tcPr>
          <w:p w14:paraId="3AB9E510" w14:textId="3F8877B6" w:rsidR="000756EB" w:rsidRPr="00E202C5" w:rsidRDefault="004A4D88" w:rsidP="00B01FC2">
            <w:pPr>
              <w:pStyle w:val="TableCopy"/>
              <w:jc w:val="right"/>
              <w:rPr>
                <w:rFonts w:asciiTheme="minorHAnsi" w:hAnsiTheme="minorHAnsi" w:cstheme="minorHAnsi"/>
              </w:rPr>
            </w:pPr>
            <w:r w:rsidRPr="00E202C5">
              <w:rPr>
                <w:rFonts w:asciiTheme="minorHAnsi" w:hAnsiTheme="minorHAnsi" w:cstheme="minorHAnsi"/>
              </w:rPr>
              <w:t>1,529,855</w:t>
            </w:r>
          </w:p>
        </w:tc>
      </w:tr>
      <w:tr w:rsidR="000756EB" w:rsidRPr="00E202C5" w14:paraId="7001F54F" w14:textId="77777777" w:rsidTr="00E202C5">
        <w:trPr>
          <w:trHeight w:val="60"/>
        </w:trPr>
        <w:tc>
          <w:tcPr>
            <w:tcW w:w="4531" w:type="dxa"/>
          </w:tcPr>
          <w:p w14:paraId="67D32B0E" w14:textId="1BA9BD57" w:rsidR="000756EB" w:rsidRPr="00E202C5" w:rsidRDefault="004A4D88" w:rsidP="00E202C5">
            <w:pPr>
              <w:pStyle w:val="TableCopy"/>
              <w:rPr>
                <w:b/>
                <w:bCs/>
              </w:rPr>
            </w:pPr>
            <w:r w:rsidRPr="00E202C5">
              <w:rPr>
                <w:b/>
                <w:bCs/>
              </w:rPr>
              <w:t>Total</w:t>
            </w:r>
            <w:r w:rsidR="00A03629" w:rsidRPr="00E202C5">
              <w:rPr>
                <w:b/>
                <w:bCs/>
              </w:rPr>
              <w:t xml:space="preserve"> </w:t>
            </w:r>
            <w:r w:rsidRPr="00E202C5">
              <w:rPr>
                <w:b/>
                <w:bCs/>
              </w:rPr>
              <w:t>commitment</w:t>
            </w:r>
            <w:r w:rsidR="00A03629" w:rsidRPr="00E202C5">
              <w:rPr>
                <w:b/>
                <w:bCs/>
              </w:rPr>
              <w:t xml:space="preserve"> </w:t>
            </w:r>
            <w:r w:rsidRPr="00E202C5">
              <w:rPr>
                <w:b/>
                <w:bCs/>
              </w:rPr>
              <w:t>(inclusive</w:t>
            </w:r>
            <w:r w:rsidR="00A03629" w:rsidRPr="00E202C5">
              <w:rPr>
                <w:b/>
                <w:bCs/>
              </w:rPr>
              <w:t xml:space="preserve"> </w:t>
            </w:r>
            <w:r w:rsidRPr="00E202C5">
              <w:rPr>
                <w:b/>
                <w:bCs/>
              </w:rPr>
              <w:t>of</w:t>
            </w:r>
            <w:r w:rsidR="00A03629" w:rsidRPr="00E202C5">
              <w:rPr>
                <w:b/>
                <w:bCs/>
              </w:rPr>
              <w:t xml:space="preserve"> </w:t>
            </w:r>
            <w:r w:rsidRPr="00E202C5">
              <w:rPr>
                <w:b/>
                <w:bCs/>
              </w:rPr>
              <w:t>GST)</w:t>
            </w:r>
          </w:p>
        </w:tc>
        <w:tc>
          <w:tcPr>
            <w:tcW w:w="1417" w:type="dxa"/>
          </w:tcPr>
          <w:p w14:paraId="2B279B4B" w14:textId="7165619F" w:rsidR="000756EB" w:rsidRPr="00E202C5" w:rsidRDefault="004A4D88" w:rsidP="00B01FC2">
            <w:pPr>
              <w:pStyle w:val="TableCopy"/>
              <w:jc w:val="right"/>
              <w:rPr>
                <w:b/>
                <w:bCs/>
              </w:rPr>
            </w:pPr>
            <w:r w:rsidRPr="00E202C5">
              <w:rPr>
                <w:b/>
                <w:bCs/>
              </w:rPr>
              <w:t>696,781</w:t>
            </w:r>
          </w:p>
        </w:tc>
        <w:tc>
          <w:tcPr>
            <w:tcW w:w="1417" w:type="dxa"/>
          </w:tcPr>
          <w:p w14:paraId="297D529B" w14:textId="595F0F2A" w:rsidR="000756EB" w:rsidRPr="00E202C5" w:rsidRDefault="004A4D88" w:rsidP="00B01FC2">
            <w:pPr>
              <w:pStyle w:val="TableCopy"/>
              <w:jc w:val="right"/>
              <w:rPr>
                <w:b/>
                <w:bCs/>
              </w:rPr>
            </w:pPr>
            <w:r w:rsidRPr="00E202C5">
              <w:rPr>
                <w:b/>
                <w:bCs/>
              </w:rPr>
              <w:t>672,218</w:t>
            </w:r>
          </w:p>
        </w:tc>
        <w:tc>
          <w:tcPr>
            <w:tcW w:w="1417" w:type="dxa"/>
          </w:tcPr>
          <w:p w14:paraId="47D6CD4A" w14:textId="2ED5A895" w:rsidR="000756EB" w:rsidRPr="00E202C5" w:rsidRDefault="004A4D88" w:rsidP="00B01FC2">
            <w:pPr>
              <w:pStyle w:val="TableCopy"/>
              <w:jc w:val="right"/>
              <w:rPr>
                <w:b/>
                <w:bCs/>
              </w:rPr>
            </w:pPr>
            <w:r w:rsidRPr="00E202C5">
              <w:rPr>
                <w:b/>
                <w:bCs/>
              </w:rPr>
              <w:t>246,465</w:t>
            </w:r>
          </w:p>
        </w:tc>
        <w:tc>
          <w:tcPr>
            <w:tcW w:w="1418" w:type="dxa"/>
          </w:tcPr>
          <w:p w14:paraId="168E6694" w14:textId="55B12C4D" w:rsidR="000756EB" w:rsidRPr="00E202C5" w:rsidRDefault="004A4D88" w:rsidP="00B01FC2">
            <w:pPr>
              <w:pStyle w:val="TableCopy"/>
              <w:jc w:val="right"/>
              <w:rPr>
                <w:b/>
                <w:bCs/>
              </w:rPr>
            </w:pPr>
            <w:r w:rsidRPr="00E202C5">
              <w:rPr>
                <w:b/>
                <w:bCs/>
              </w:rPr>
              <w:t>1,615,464</w:t>
            </w:r>
          </w:p>
        </w:tc>
      </w:tr>
      <w:tr w:rsidR="000756EB" w:rsidRPr="00E202C5" w14:paraId="59CD692E" w14:textId="77777777" w:rsidTr="00E202C5">
        <w:trPr>
          <w:trHeight w:val="60"/>
        </w:trPr>
        <w:tc>
          <w:tcPr>
            <w:tcW w:w="4531" w:type="dxa"/>
          </w:tcPr>
          <w:p w14:paraId="162CC4B9" w14:textId="45E7C4F6" w:rsidR="000756EB" w:rsidRPr="00E202C5" w:rsidRDefault="004A4D88" w:rsidP="00E202C5">
            <w:pPr>
              <w:pStyle w:val="TableCopy"/>
              <w:rPr>
                <w:b/>
                <w:bCs/>
              </w:rPr>
            </w:pPr>
            <w:r w:rsidRPr="00E202C5">
              <w:rPr>
                <w:b/>
                <w:bCs/>
              </w:rPr>
              <w:t>Less</w:t>
            </w:r>
            <w:r w:rsidR="00A03629" w:rsidRPr="00E202C5">
              <w:rPr>
                <w:b/>
                <w:bCs/>
              </w:rPr>
              <w:t xml:space="preserve"> </w:t>
            </w:r>
            <w:r w:rsidRPr="00E202C5">
              <w:rPr>
                <w:b/>
                <w:bCs/>
              </w:rPr>
              <w:t>GST</w:t>
            </w:r>
            <w:r w:rsidR="00A03629" w:rsidRPr="00E202C5">
              <w:rPr>
                <w:b/>
                <w:bCs/>
              </w:rPr>
              <w:t xml:space="preserve"> </w:t>
            </w:r>
            <w:r w:rsidRPr="00E202C5">
              <w:rPr>
                <w:b/>
                <w:bCs/>
              </w:rPr>
              <w:t>recoverable</w:t>
            </w:r>
          </w:p>
        </w:tc>
        <w:tc>
          <w:tcPr>
            <w:tcW w:w="1417" w:type="dxa"/>
          </w:tcPr>
          <w:p w14:paraId="4E83ABC6" w14:textId="77777777" w:rsidR="000756EB" w:rsidRPr="00E202C5" w:rsidRDefault="000756EB" w:rsidP="00B01FC2">
            <w:pPr>
              <w:pStyle w:val="TableCopy"/>
              <w:jc w:val="right"/>
              <w:rPr>
                <w:rFonts w:ascii="VIC Light" w:hAnsi="VIC Light" w:cstheme="minorBidi"/>
                <w:b/>
                <w:bCs/>
                <w:lang w:val="en-AU"/>
              </w:rPr>
            </w:pPr>
          </w:p>
        </w:tc>
        <w:tc>
          <w:tcPr>
            <w:tcW w:w="1417" w:type="dxa"/>
          </w:tcPr>
          <w:p w14:paraId="2C61981B" w14:textId="77777777" w:rsidR="000756EB" w:rsidRPr="00E202C5" w:rsidRDefault="000756EB" w:rsidP="00B01FC2">
            <w:pPr>
              <w:pStyle w:val="TableCopy"/>
              <w:jc w:val="right"/>
              <w:rPr>
                <w:rFonts w:ascii="VIC Light" w:hAnsi="VIC Light" w:cstheme="minorBidi"/>
                <w:b/>
                <w:bCs/>
                <w:lang w:val="en-AU"/>
              </w:rPr>
            </w:pPr>
          </w:p>
        </w:tc>
        <w:tc>
          <w:tcPr>
            <w:tcW w:w="1417" w:type="dxa"/>
          </w:tcPr>
          <w:p w14:paraId="37152118" w14:textId="77777777" w:rsidR="000756EB" w:rsidRPr="00E202C5" w:rsidRDefault="000756EB" w:rsidP="00B01FC2">
            <w:pPr>
              <w:pStyle w:val="TableCopy"/>
              <w:jc w:val="right"/>
              <w:rPr>
                <w:rFonts w:ascii="VIC Light" w:hAnsi="VIC Light" w:cstheme="minorBidi"/>
                <w:b/>
                <w:bCs/>
                <w:lang w:val="en-AU"/>
              </w:rPr>
            </w:pPr>
          </w:p>
        </w:tc>
        <w:tc>
          <w:tcPr>
            <w:tcW w:w="1418" w:type="dxa"/>
          </w:tcPr>
          <w:p w14:paraId="40A37507" w14:textId="77777777" w:rsidR="000756EB" w:rsidRPr="00E202C5" w:rsidRDefault="004A4D88" w:rsidP="00B01FC2">
            <w:pPr>
              <w:pStyle w:val="TableCopy"/>
              <w:jc w:val="right"/>
              <w:rPr>
                <w:b/>
                <w:bCs/>
              </w:rPr>
            </w:pPr>
            <w:r w:rsidRPr="00E202C5">
              <w:rPr>
                <w:b/>
                <w:bCs/>
              </w:rPr>
              <w:t>(146,860)</w:t>
            </w:r>
          </w:p>
        </w:tc>
      </w:tr>
      <w:tr w:rsidR="000756EB" w:rsidRPr="00E202C5" w14:paraId="2CBDC487" w14:textId="77777777" w:rsidTr="00E202C5">
        <w:trPr>
          <w:trHeight w:val="60"/>
        </w:trPr>
        <w:tc>
          <w:tcPr>
            <w:tcW w:w="4531" w:type="dxa"/>
          </w:tcPr>
          <w:p w14:paraId="3848E92C" w14:textId="1A37F357" w:rsidR="000756EB" w:rsidRPr="00E202C5" w:rsidRDefault="004A4D88" w:rsidP="00E202C5">
            <w:pPr>
              <w:pStyle w:val="TableCopy"/>
              <w:rPr>
                <w:b/>
                <w:bCs/>
              </w:rPr>
            </w:pPr>
            <w:r w:rsidRPr="00E202C5">
              <w:rPr>
                <w:b/>
                <w:bCs/>
              </w:rPr>
              <w:t>Total</w:t>
            </w:r>
            <w:r w:rsidR="00A03629" w:rsidRPr="00E202C5">
              <w:rPr>
                <w:b/>
                <w:bCs/>
              </w:rPr>
              <w:t xml:space="preserve"> </w:t>
            </w:r>
            <w:r w:rsidRPr="00E202C5">
              <w:rPr>
                <w:b/>
                <w:bCs/>
              </w:rPr>
              <w:t>commitment</w:t>
            </w:r>
            <w:r w:rsidR="00A03629" w:rsidRPr="00E202C5">
              <w:rPr>
                <w:b/>
                <w:bCs/>
              </w:rPr>
              <w:t xml:space="preserve"> </w:t>
            </w:r>
            <w:r w:rsidRPr="00E202C5">
              <w:rPr>
                <w:b/>
                <w:bCs/>
              </w:rPr>
              <w:t>(exclusive</w:t>
            </w:r>
            <w:r w:rsidR="00A03629" w:rsidRPr="00E202C5">
              <w:rPr>
                <w:b/>
                <w:bCs/>
              </w:rPr>
              <w:t xml:space="preserve"> </w:t>
            </w:r>
            <w:r w:rsidRPr="00E202C5">
              <w:rPr>
                <w:b/>
                <w:bCs/>
              </w:rPr>
              <w:t>of</w:t>
            </w:r>
            <w:r w:rsidR="00A03629" w:rsidRPr="00E202C5">
              <w:rPr>
                <w:b/>
                <w:bCs/>
              </w:rPr>
              <w:t xml:space="preserve"> </w:t>
            </w:r>
            <w:r w:rsidRPr="00E202C5">
              <w:rPr>
                <w:b/>
                <w:bCs/>
              </w:rPr>
              <w:t>GST)</w:t>
            </w:r>
          </w:p>
        </w:tc>
        <w:tc>
          <w:tcPr>
            <w:tcW w:w="1417" w:type="dxa"/>
          </w:tcPr>
          <w:p w14:paraId="60260032" w14:textId="77777777" w:rsidR="000756EB" w:rsidRPr="00E202C5" w:rsidRDefault="000756EB" w:rsidP="00B01FC2">
            <w:pPr>
              <w:pStyle w:val="TableCopy"/>
              <w:jc w:val="right"/>
              <w:rPr>
                <w:rFonts w:ascii="VIC Light" w:hAnsi="VIC Light" w:cstheme="minorBidi"/>
                <w:b/>
                <w:bCs/>
                <w:lang w:val="en-AU"/>
              </w:rPr>
            </w:pPr>
          </w:p>
        </w:tc>
        <w:tc>
          <w:tcPr>
            <w:tcW w:w="1417" w:type="dxa"/>
          </w:tcPr>
          <w:p w14:paraId="2CE25562" w14:textId="77777777" w:rsidR="000756EB" w:rsidRPr="00E202C5" w:rsidRDefault="000756EB" w:rsidP="00B01FC2">
            <w:pPr>
              <w:pStyle w:val="TableCopy"/>
              <w:jc w:val="right"/>
              <w:rPr>
                <w:rFonts w:ascii="VIC Light" w:hAnsi="VIC Light" w:cstheme="minorBidi"/>
                <w:b/>
                <w:bCs/>
                <w:lang w:val="en-AU"/>
              </w:rPr>
            </w:pPr>
          </w:p>
        </w:tc>
        <w:tc>
          <w:tcPr>
            <w:tcW w:w="1417" w:type="dxa"/>
          </w:tcPr>
          <w:p w14:paraId="01F25491" w14:textId="77777777" w:rsidR="000756EB" w:rsidRPr="00E202C5" w:rsidRDefault="000756EB" w:rsidP="00B01FC2">
            <w:pPr>
              <w:pStyle w:val="TableCopy"/>
              <w:jc w:val="right"/>
              <w:rPr>
                <w:rFonts w:ascii="VIC Light" w:hAnsi="VIC Light" w:cstheme="minorBidi"/>
                <w:b/>
                <w:bCs/>
                <w:lang w:val="en-AU"/>
              </w:rPr>
            </w:pPr>
          </w:p>
        </w:tc>
        <w:tc>
          <w:tcPr>
            <w:tcW w:w="1418" w:type="dxa"/>
          </w:tcPr>
          <w:p w14:paraId="48A2E87C" w14:textId="08FD6D74" w:rsidR="000756EB" w:rsidRPr="00E202C5" w:rsidRDefault="004A4D88" w:rsidP="00B01FC2">
            <w:pPr>
              <w:pStyle w:val="TableCopy"/>
              <w:jc w:val="right"/>
              <w:rPr>
                <w:b/>
                <w:bCs/>
              </w:rPr>
            </w:pPr>
            <w:r w:rsidRPr="00E202C5">
              <w:rPr>
                <w:b/>
                <w:bCs/>
              </w:rPr>
              <w:t>1,468,604</w:t>
            </w:r>
          </w:p>
        </w:tc>
      </w:tr>
    </w:tbl>
    <w:p w14:paraId="1E8225E4" w14:textId="1095F710" w:rsidR="00E202C5" w:rsidRDefault="00E202C5" w:rsidP="00B01FC2">
      <w:pPr>
        <w:pStyle w:val="FootnoteText"/>
        <w:spacing w:before="120"/>
        <w:rPr>
          <w:i/>
          <w:iCs/>
        </w:rPr>
      </w:pPr>
      <w:r>
        <w:t>(</w:t>
      </w:r>
      <w:proofErr w:type="spellStart"/>
      <w:r>
        <w:t>i</w:t>
      </w:r>
      <w:proofErr w:type="spellEnd"/>
      <w:r>
        <w:t>) From 1 January 2023, all DJSIR’s joint operations have been transferred out of DJSIR portfolio. Therefore, DJSIR has no commitments relating to these arrangements for FY2022–23.</w:t>
      </w:r>
    </w:p>
    <w:p w14:paraId="01F46BDB" w14:textId="3272776B" w:rsidR="00E202C5" w:rsidRDefault="00E202C5" w:rsidP="00E202C5">
      <w:pPr>
        <w:pStyle w:val="FootnoteText"/>
        <w:rPr>
          <w:i/>
          <w:iCs/>
        </w:rPr>
      </w:pPr>
      <w:r>
        <w:t>(ii)</w:t>
      </w:r>
      <w:r w:rsidR="00B01FC2">
        <w:t xml:space="preserve"> </w:t>
      </w:r>
      <w:r>
        <w:t xml:space="preserve">This amount represents commitments relating to the Office of the Commonwealth Games as </w:t>
      </w:r>
      <w:proofErr w:type="gramStart"/>
      <w:r>
        <w:t>at</w:t>
      </w:r>
      <w:proofErr w:type="gramEnd"/>
      <w:r>
        <w:t xml:space="preserve"> 30 June 2023. Refer to Note 9.10 Subsequent events for more</w:t>
      </w:r>
      <w:r>
        <w:rPr>
          <w:rFonts w:ascii="Cambria" w:hAnsi="Cambria" w:cs="Cambria"/>
        </w:rPr>
        <w:t xml:space="preserve"> </w:t>
      </w:r>
      <w:r>
        <w:t>details.</w:t>
      </w:r>
    </w:p>
    <w:p w14:paraId="782CD068" w14:textId="6C5C1E28" w:rsidR="000756EB" w:rsidRDefault="00E202C5" w:rsidP="00B01FC2">
      <w:pPr>
        <w:pStyle w:val="FootnoteText"/>
        <w:spacing w:after="280"/>
      </w:pPr>
      <w:r>
        <w:t xml:space="preserve">(iii) DJSIR is currently reviewing an updated occupancy agreement with the Department of Treasury and Finance Shared Service Provider for office accommodation across multiple CBD, Metropolitan and Regional </w:t>
      </w:r>
      <w:proofErr w:type="gramStart"/>
      <w:r>
        <w:t>locations</w:t>
      </w:r>
      <w:proofErr w:type="gramEnd"/>
      <w:r>
        <w:t xml:space="preserve"> and other related services, including management fee, maintenance, cleaning, utility costs, security, waste, rates and taxes and other statutory outgoings.</w:t>
      </w:r>
    </w:p>
    <w:p w14:paraId="6A442CCD" w14:textId="1B068E44" w:rsidR="000756EB" w:rsidRPr="00B01FC2" w:rsidRDefault="004A4D88" w:rsidP="00B01FC2">
      <w:pPr>
        <w:pStyle w:val="Normalbeforebullets"/>
        <w:rPr>
          <w:b/>
          <w:bCs/>
          <w:sz w:val="22"/>
          <w:szCs w:val="22"/>
        </w:rPr>
      </w:pPr>
      <w:r w:rsidRPr="00B01FC2">
        <w:rPr>
          <w:b/>
          <w:bCs/>
        </w:rPr>
        <w:lastRenderedPageBreak/>
        <w:t>Nominal</w:t>
      </w:r>
      <w:r w:rsidR="00A03629" w:rsidRPr="00B01FC2">
        <w:rPr>
          <w:b/>
          <w:bCs/>
        </w:rPr>
        <w:t xml:space="preserve"> </w:t>
      </w:r>
      <w:r w:rsidRPr="00B01FC2">
        <w:rPr>
          <w:b/>
          <w:bCs/>
        </w:rPr>
        <w:t>Amounts:</w:t>
      </w:r>
      <w:r w:rsidR="00A03629" w:rsidRPr="00B01FC2">
        <w:rPr>
          <w:b/>
          <w:bCs/>
        </w:rPr>
        <w:t xml:space="preserve"> </w:t>
      </w:r>
      <w:r w:rsidRPr="00B01FC2">
        <w:rPr>
          <w:b/>
          <w:bCs/>
        </w:rPr>
        <w:t>2022</w:t>
      </w:r>
    </w:p>
    <w:tbl>
      <w:tblPr>
        <w:tblStyle w:val="TableGrid"/>
        <w:tblW w:w="10201" w:type="dxa"/>
        <w:tblLayout w:type="fixed"/>
        <w:tblLook w:val="04A0" w:firstRow="1" w:lastRow="0" w:firstColumn="1" w:lastColumn="0" w:noHBand="0" w:noVBand="1"/>
      </w:tblPr>
      <w:tblGrid>
        <w:gridCol w:w="4531"/>
        <w:gridCol w:w="1417"/>
        <w:gridCol w:w="1418"/>
        <w:gridCol w:w="1417"/>
        <w:gridCol w:w="1418"/>
      </w:tblGrid>
      <w:tr w:rsidR="00B01FC2" w:rsidRPr="00B01FC2" w14:paraId="75C68FCA" w14:textId="77777777" w:rsidTr="00B01FC2">
        <w:trPr>
          <w:cantSplit/>
        </w:trPr>
        <w:tc>
          <w:tcPr>
            <w:tcW w:w="4531" w:type="dxa"/>
          </w:tcPr>
          <w:p w14:paraId="47A47C75" w14:textId="77777777" w:rsidR="00B01FC2" w:rsidRPr="00B01FC2" w:rsidRDefault="00B01FC2" w:rsidP="00F8467A">
            <w:pPr>
              <w:pStyle w:val="TableColumnHeading"/>
              <w:rPr>
                <w:sz w:val="20"/>
                <w:szCs w:val="28"/>
              </w:rPr>
            </w:pPr>
            <w:bookmarkStart w:id="106" w:name="ColumnTitles_62"/>
            <w:bookmarkEnd w:id="106"/>
          </w:p>
        </w:tc>
        <w:tc>
          <w:tcPr>
            <w:tcW w:w="1417" w:type="dxa"/>
          </w:tcPr>
          <w:p w14:paraId="0C4770D2" w14:textId="77777777" w:rsidR="00B01FC2" w:rsidRPr="00B01FC2" w:rsidRDefault="00B01FC2" w:rsidP="00FB7B82">
            <w:pPr>
              <w:pStyle w:val="TableColumnHeading"/>
              <w:jc w:val="right"/>
              <w:rPr>
                <w:sz w:val="20"/>
                <w:szCs w:val="28"/>
              </w:rPr>
            </w:pPr>
            <w:r w:rsidRPr="00B01FC2">
              <w:rPr>
                <w:sz w:val="20"/>
                <w:szCs w:val="28"/>
              </w:rPr>
              <w:t>Less than 1 year ($ thousand)</w:t>
            </w:r>
          </w:p>
        </w:tc>
        <w:tc>
          <w:tcPr>
            <w:tcW w:w="1418" w:type="dxa"/>
          </w:tcPr>
          <w:p w14:paraId="2BBFD360" w14:textId="77777777" w:rsidR="00B01FC2" w:rsidRPr="00B01FC2" w:rsidRDefault="00B01FC2" w:rsidP="00FB7B82">
            <w:pPr>
              <w:pStyle w:val="TableColumnHeading"/>
              <w:jc w:val="right"/>
              <w:rPr>
                <w:sz w:val="20"/>
                <w:szCs w:val="28"/>
              </w:rPr>
            </w:pPr>
            <w:r w:rsidRPr="00B01FC2">
              <w:rPr>
                <w:sz w:val="20"/>
                <w:szCs w:val="28"/>
              </w:rPr>
              <w:t>Between 1 and 5 years ($ thousand)</w:t>
            </w:r>
          </w:p>
        </w:tc>
        <w:tc>
          <w:tcPr>
            <w:tcW w:w="1417" w:type="dxa"/>
          </w:tcPr>
          <w:p w14:paraId="791CCE5B" w14:textId="77777777" w:rsidR="00B01FC2" w:rsidRPr="00B01FC2" w:rsidRDefault="00B01FC2" w:rsidP="00FB7B82">
            <w:pPr>
              <w:pStyle w:val="TableColumnHeading"/>
              <w:jc w:val="right"/>
              <w:rPr>
                <w:sz w:val="20"/>
                <w:szCs w:val="28"/>
              </w:rPr>
            </w:pPr>
            <w:r w:rsidRPr="00B01FC2">
              <w:rPr>
                <w:sz w:val="20"/>
                <w:szCs w:val="28"/>
              </w:rPr>
              <w:t>Over 5 years ($ thousand)</w:t>
            </w:r>
          </w:p>
        </w:tc>
        <w:tc>
          <w:tcPr>
            <w:tcW w:w="1418" w:type="dxa"/>
          </w:tcPr>
          <w:p w14:paraId="61257A02" w14:textId="77777777" w:rsidR="00B01FC2" w:rsidRPr="00B01FC2" w:rsidRDefault="00B01FC2" w:rsidP="00FB7B82">
            <w:pPr>
              <w:pStyle w:val="TableColumnHeading"/>
              <w:jc w:val="right"/>
              <w:rPr>
                <w:sz w:val="20"/>
                <w:szCs w:val="28"/>
              </w:rPr>
            </w:pPr>
            <w:r w:rsidRPr="00B01FC2">
              <w:rPr>
                <w:sz w:val="20"/>
                <w:szCs w:val="28"/>
              </w:rPr>
              <w:t>Total ($</w:t>
            </w:r>
            <w:r>
              <w:rPr>
                <w:sz w:val="20"/>
                <w:szCs w:val="28"/>
              </w:rPr>
              <w:t> </w:t>
            </w:r>
            <w:r w:rsidRPr="00B01FC2">
              <w:rPr>
                <w:sz w:val="20"/>
                <w:szCs w:val="28"/>
              </w:rPr>
              <w:t>thousand)</w:t>
            </w:r>
          </w:p>
        </w:tc>
      </w:tr>
      <w:tr w:rsidR="000756EB" w14:paraId="6F4FC41A" w14:textId="77777777" w:rsidTr="00B01FC2">
        <w:tblPrEx>
          <w:tblLook w:val="0020" w:firstRow="1" w:lastRow="0" w:firstColumn="0" w:lastColumn="0" w:noHBand="0" w:noVBand="0"/>
        </w:tblPrEx>
        <w:trPr>
          <w:cantSplit/>
        </w:trPr>
        <w:tc>
          <w:tcPr>
            <w:tcW w:w="4531" w:type="dxa"/>
          </w:tcPr>
          <w:p w14:paraId="0B3D4FB6" w14:textId="351885F1" w:rsidR="000756EB" w:rsidRDefault="004A4D88" w:rsidP="00B01FC2">
            <w:pPr>
              <w:pStyle w:val="TableCopy"/>
            </w:pPr>
            <w:r>
              <w:t>Public</w:t>
            </w:r>
            <w:r w:rsidR="00A03629">
              <w:t xml:space="preserve"> </w:t>
            </w:r>
            <w:r>
              <w:t>private</w:t>
            </w:r>
            <w:r w:rsidR="00A03629">
              <w:t xml:space="preserve"> </w:t>
            </w:r>
            <w:r>
              <w:t>partnership</w:t>
            </w:r>
            <w:r w:rsidR="00A03629">
              <w:t xml:space="preserve"> </w:t>
            </w:r>
            <w:r>
              <w:t>commitments</w:t>
            </w:r>
            <w:r w:rsidR="00A03629">
              <w:t xml:space="preserve"> </w:t>
            </w:r>
          </w:p>
        </w:tc>
        <w:tc>
          <w:tcPr>
            <w:tcW w:w="1417" w:type="dxa"/>
          </w:tcPr>
          <w:p w14:paraId="4A279EA8" w14:textId="7D5CA8B2" w:rsidR="000756EB" w:rsidRDefault="004A4D88" w:rsidP="00FB7B82">
            <w:pPr>
              <w:pStyle w:val="TableCopy"/>
              <w:jc w:val="right"/>
            </w:pPr>
            <w:r>
              <w:t>12,298</w:t>
            </w:r>
          </w:p>
        </w:tc>
        <w:tc>
          <w:tcPr>
            <w:tcW w:w="1418" w:type="dxa"/>
          </w:tcPr>
          <w:p w14:paraId="6CFE6CF1" w14:textId="66C09F49" w:rsidR="000756EB" w:rsidRDefault="004A4D88" w:rsidP="00FB7B82">
            <w:pPr>
              <w:pStyle w:val="TableCopy"/>
              <w:jc w:val="right"/>
            </w:pPr>
            <w:r>
              <w:t>60,935</w:t>
            </w:r>
          </w:p>
        </w:tc>
        <w:tc>
          <w:tcPr>
            <w:tcW w:w="1417" w:type="dxa"/>
          </w:tcPr>
          <w:p w14:paraId="77A6588D" w14:textId="06AB9FA5" w:rsidR="000756EB" w:rsidRDefault="004A4D88" w:rsidP="00FB7B82">
            <w:pPr>
              <w:pStyle w:val="TableCopy"/>
              <w:jc w:val="right"/>
            </w:pPr>
            <w:r>
              <w:t>158,807</w:t>
            </w:r>
          </w:p>
        </w:tc>
        <w:tc>
          <w:tcPr>
            <w:tcW w:w="1418" w:type="dxa"/>
          </w:tcPr>
          <w:p w14:paraId="43A014EE" w14:textId="0118348B" w:rsidR="000756EB" w:rsidRDefault="004A4D88" w:rsidP="00FB7B82">
            <w:pPr>
              <w:pStyle w:val="TableCopy"/>
              <w:jc w:val="right"/>
            </w:pPr>
            <w:r>
              <w:t>232,040</w:t>
            </w:r>
          </w:p>
        </w:tc>
      </w:tr>
      <w:tr w:rsidR="000756EB" w14:paraId="46A1A1C9" w14:textId="77777777" w:rsidTr="00B01FC2">
        <w:tblPrEx>
          <w:tblLook w:val="0020" w:firstRow="1" w:lastRow="0" w:firstColumn="0" w:lastColumn="0" w:noHBand="0" w:noVBand="0"/>
        </w:tblPrEx>
        <w:trPr>
          <w:cantSplit/>
        </w:trPr>
        <w:tc>
          <w:tcPr>
            <w:tcW w:w="4531" w:type="dxa"/>
          </w:tcPr>
          <w:p w14:paraId="62230AE3" w14:textId="20A42F63" w:rsidR="000756EB" w:rsidRDefault="004A4D88" w:rsidP="00B01FC2">
            <w:pPr>
              <w:pStyle w:val="TableCopy"/>
            </w:pPr>
            <w:r>
              <w:t>Capital</w:t>
            </w:r>
            <w:r w:rsidR="00A03629">
              <w:t xml:space="preserve"> </w:t>
            </w:r>
            <w:r>
              <w:t>expenditure</w:t>
            </w:r>
            <w:r w:rsidR="00A03629">
              <w:t xml:space="preserve"> </w:t>
            </w:r>
            <w:r>
              <w:t>commitments</w:t>
            </w:r>
          </w:p>
        </w:tc>
        <w:tc>
          <w:tcPr>
            <w:tcW w:w="1417" w:type="dxa"/>
          </w:tcPr>
          <w:p w14:paraId="7565809A" w14:textId="18A4636F" w:rsidR="000756EB" w:rsidRDefault="004A4D88" w:rsidP="00FB7B82">
            <w:pPr>
              <w:pStyle w:val="TableCopy"/>
              <w:jc w:val="right"/>
            </w:pPr>
            <w:r>
              <w:t>8,424</w:t>
            </w:r>
          </w:p>
        </w:tc>
        <w:tc>
          <w:tcPr>
            <w:tcW w:w="1418" w:type="dxa"/>
          </w:tcPr>
          <w:p w14:paraId="5203817D" w14:textId="75874FDF" w:rsidR="000756EB" w:rsidRDefault="004A4D88" w:rsidP="00FB7B82">
            <w:pPr>
              <w:pStyle w:val="TableCopy"/>
              <w:jc w:val="right"/>
            </w:pPr>
            <w:r>
              <w:t>180</w:t>
            </w:r>
          </w:p>
        </w:tc>
        <w:tc>
          <w:tcPr>
            <w:tcW w:w="1417" w:type="dxa"/>
          </w:tcPr>
          <w:p w14:paraId="6B8B87D4" w14:textId="79B6649B" w:rsidR="000756EB" w:rsidRDefault="004A4D88" w:rsidP="00FB7B82">
            <w:pPr>
              <w:pStyle w:val="TableCopy"/>
              <w:jc w:val="right"/>
            </w:pPr>
            <w:r>
              <w:t>–</w:t>
            </w:r>
          </w:p>
        </w:tc>
        <w:tc>
          <w:tcPr>
            <w:tcW w:w="1418" w:type="dxa"/>
          </w:tcPr>
          <w:p w14:paraId="62E6ADAD" w14:textId="653E89F0" w:rsidR="000756EB" w:rsidRDefault="004A4D88" w:rsidP="00FB7B82">
            <w:pPr>
              <w:pStyle w:val="TableCopy"/>
              <w:jc w:val="right"/>
            </w:pPr>
            <w:r>
              <w:t>8,604</w:t>
            </w:r>
          </w:p>
        </w:tc>
      </w:tr>
      <w:tr w:rsidR="000756EB" w14:paraId="100FA4C3" w14:textId="77777777" w:rsidTr="00B01FC2">
        <w:tblPrEx>
          <w:tblLook w:val="0020" w:firstRow="1" w:lastRow="0" w:firstColumn="0" w:lastColumn="0" w:noHBand="0" w:noVBand="0"/>
        </w:tblPrEx>
        <w:trPr>
          <w:cantSplit/>
        </w:trPr>
        <w:tc>
          <w:tcPr>
            <w:tcW w:w="4531" w:type="dxa"/>
          </w:tcPr>
          <w:p w14:paraId="41C870FD" w14:textId="4DA06012" w:rsidR="000756EB" w:rsidRDefault="004A4D88" w:rsidP="00B01FC2">
            <w:pPr>
              <w:pStyle w:val="TableCopy"/>
            </w:pPr>
            <w:r>
              <w:t>Other</w:t>
            </w:r>
            <w:r w:rsidR="00A03629">
              <w:t xml:space="preserve"> </w:t>
            </w:r>
            <w:r>
              <w:t>operating</w:t>
            </w:r>
            <w:r w:rsidR="00A03629">
              <w:t xml:space="preserve"> </w:t>
            </w:r>
            <w:r>
              <w:t>commitments</w:t>
            </w:r>
          </w:p>
        </w:tc>
        <w:tc>
          <w:tcPr>
            <w:tcW w:w="1417" w:type="dxa"/>
          </w:tcPr>
          <w:p w14:paraId="41A37300" w14:textId="2B3EB14D" w:rsidR="000756EB" w:rsidRDefault="004A4D88" w:rsidP="00FB7B82">
            <w:pPr>
              <w:pStyle w:val="TableCopy"/>
              <w:jc w:val="right"/>
            </w:pPr>
            <w:r>
              <w:t>99,521</w:t>
            </w:r>
          </w:p>
        </w:tc>
        <w:tc>
          <w:tcPr>
            <w:tcW w:w="1418" w:type="dxa"/>
          </w:tcPr>
          <w:p w14:paraId="367F9FB7" w14:textId="1F24AD24" w:rsidR="000756EB" w:rsidRDefault="004A4D88" w:rsidP="00FB7B82">
            <w:pPr>
              <w:pStyle w:val="TableCopy"/>
              <w:jc w:val="right"/>
            </w:pPr>
            <w:r>
              <w:t>54,650</w:t>
            </w:r>
          </w:p>
        </w:tc>
        <w:tc>
          <w:tcPr>
            <w:tcW w:w="1417" w:type="dxa"/>
          </w:tcPr>
          <w:p w14:paraId="591F0BB7" w14:textId="5D131392" w:rsidR="000756EB" w:rsidRDefault="004A4D88" w:rsidP="00FB7B82">
            <w:pPr>
              <w:pStyle w:val="TableCopy"/>
              <w:jc w:val="right"/>
            </w:pPr>
            <w:r>
              <w:t>44</w:t>
            </w:r>
          </w:p>
        </w:tc>
        <w:tc>
          <w:tcPr>
            <w:tcW w:w="1418" w:type="dxa"/>
          </w:tcPr>
          <w:p w14:paraId="17115C53" w14:textId="3FE2AB8B" w:rsidR="000756EB" w:rsidRDefault="004A4D88" w:rsidP="00FB7B82">
            <w:pPr>
              <w:pStyle w:val="TableCopy"/>
              <w:jc w:val="right"/>
            </w:pPr>
            <w:r>
              <w:t>154,215</w:t>
            </w:r>
          </w:p>
        </w:tc>
      </w:tr>
      <w:tr w:rsidR="000756EB" w14:paraId="618B8A86" w14:textId="77777777" w:rsidTr="00B01FC2">
        <w:tblPrEx>
          <w:tblLook w:val="0020" w:firstRow="1" w:lastRow="0" w:firstColumn="0" w:lastColumn="0" w:noHBand="0" w:noVBand="0"/>
        </w:tblPrEx>
        <w:trPr>
          <w:cantSplit/>
        </w:trPr>
        <w:tc>
          <w:tcPr>
            <w:tcW w:w="4531" w:type="dxa"/>
          </w:tcPr>
          <w:p w14:paraId="433080B1" w14:textId="203AA4A3" w:rsidR="000756EB" w:rsidRDefault="004A4D88" w:rsidP="00B01FC2">
            <w:pPr>
              <w:pStyle w:val="TableCopy"/>
            </w:pPr>
            <w:r>
              <w:t>Accommodation</w:t>
            </w:r>
            <w:r w:rsidR="00A03629">
              <w:t xml:space="preserve"> </w:t>
            </w:r>
            <w:r>
              <w:t>expenditure</w:t>
            </w:r>
            <w:r w:rsidR="00A03629">
              <w:t xml:space="preserve"> </w:t>
            </w:r>
            <w:r>
              <w:t>commitments</w:t>
            </w:r>
          </w:p>
        </w:tc>
        <w:tc>
          <w:tcPr>
            <w:tcW w:w="1417" w:type="dxa"/>
          </w:tcPr>
          <w:p w14:paraId="36C5D474" w14:textId="75DBD5B9" w:rsidR="000756EB" w:rsidRDefault="004A4D88" w:rsidP="00FB7B82">
            <w:pPr>
              <w:pStyle w:val="TableCopy"/>
              <w:jc w:val="right"/>
            </w:pPr>
            <w:r>
              <w:t>39,613</w:t>
            </w:r>
          </w:p>
        </w:tc>
        <w:tc>
          <w:tcPr>
            <w:tcW w:w="1418" w:type="dxa"/>
          </w:tcPr>
          <w:p w14:paraId="5E742AEC" w14:textId="0DA31F6F" w:rsidR="000756EB" w:rsidRDefault="004A4D88" w:rsidP="00FB7B82">
            <w:pPr>
              <w:pStyle w:val="TableCopy"/>
              <w:jc w:val="right"/>
            </w:pPr>
            <w:r>
              <w:t>–</w:t>
            </w:r>
          </w:p>
        </w:tc>
        <w:tc>
          <w:tcPr>
            <w:tcW w:w="1417" w:type="dxa"/>
          </w:tcPr>
          <w:p w14:paraId="299F9633" w14:textId="45F9974D" w:rsidR="000756EB" w:rsidRDefault="004A4D88" w:rsidP="00FB7B82">
            <w:pPr>
              <w:pStyle w:val="TableCopy"/>
              <w:jc w:val="right"/>
            </w:pPr>
            <w:r>
              <w:t>–</w:t>
            </w:r>
          </w:p>
        </w:tc>
        <w:tc>
          <w:tcPr>
            <w:tcW w:w="1418" w:type="dxa"/>
          </w:tcPr>
          <w:p w14:paraId="6A51DCAB" w14:textId="132E44BC" w:rsidR="000756EB" w:rsidRDefault="004A4D88" w:rsidP="00FB7B82">
            <w:pPr>
              <w:pStyle w:val="TableCopy"/>
              <w:jc w:val="right"/>
            </w:pPr>
            <w:r>
              <w:t>39,613</w:t>
            </w:r>
          </w:p>
        </w:tc>
      </w:tr>
      <w:tr w:rsidR="000756EB" w14:paraId="15A4341C" w14:textId="77777777" w:rsidTr="00B01FC2">
        <w:tblPrEx>
          <w:tblLook w:val="0020" w:firstRow="1" w:lastRow="0" w:firstColumn="0" w:lastColumn="0" w:noHBand="0" w:noVBand="0"/>
        </w:tblPrEx>
        <w:trPr>
          <w:cantSplit/>
        </w:trPr>
        <w:tc>
          <w:tcPr>
            <w:tcW w:w="4531" w:type="dxa"/>
          </w:tcPr>
          <w:p w14:paraId="414E20EE" w14:textId="11F9755F" w:rsidR="000756EB" w:rsidRDefault="004A4D88" w:rsidP="00B01FC2">
            <w:pPr>
              <w:pStyle w:val="TableCopy"/>
            </w:pPr>
            <w:r>
              <w:t>Grant</w:t>
            </w:r>
            <w:r w:rsidR="00A03629">
              <w:t xml:space="preserve"> </w:t>
            </w:r>
            <w:r>
              <w:t>commitments</w:t>
            </w:r>
            <w:r w:rsidR="00A03629">
              <w:t xml:space="preserve"> </w:t>
            </w:r>
          </w:p>
        </w:tc>
        <w:tc>
          <w:tcPr>
            <w:tcW w:w="1417" w:type="dxa"/>
          </w:tcPr>
          <w:p w14:paraId="6D5213AA" w14:textId="710F9904" w:rsidR="000756EB" w:rsidRDefault="004A4D88" w:rsidP="00FB7B82">
            <w:pPr>
              <w:pStyle w:val="TableCopy"/>
              <w:jc w:val="right"/>
            </w:pPr>
            <w:r>
              <w:t>1,101,891</w:t>
            </w:r>
          </w:p>
        </w:tc>
        <w:tc>
          <w:tcPr>
            <w:tcW w:w="1418" w:type="dxa"/>
          </w:tcPr>
          <w:p w14:paraId="00C94C5C" w14:textId="7E6E1B8C" w:rsidR="000756EB" w:rsidRDefault="004A4D88" w:rsidP="00FB7B82">
            <w:pPr>
              <w:pStyle w:val="TableCopy"/>
              <w:jc w:val="right"/>
            </w:pPr>
            <w:r>
              <w:t>764,634</w:t>
            </w:r>
          </w:p>
        </w:tc>
        <w:tc>
          <w:tcPr>
            <w:tcW w:w="1417" w:type="dxa"/>
          </w:tcPr>
          <w:p w14:paraId="4583129B" w14:textId="6123B5AE" w:rsidR="000756EB" w:rsidRDefault="004A4D88" w:rsidP="00FB7B82">
            <w:pPr>
              <w:pStyle w:val="TableCopy"/>
              <w:jc w:val="right"/>
            </w:pPr>
            <w:r>
              <w:t>4,751</w:t>
            </w:r>
          </w:p>
        </w:tc>
        <w:tc>
          <w:tcPr>
            <w:tcW w:w="1418" w:type="dxa"/>
          </w:tcPr>
          <w:p w14:paraId="506D8C17" w14:textId="31FDBCBD" w:rsidR="000756EB" w:rsidRDefault="004A4D88" w:rsidP="00FB7B82">
            <w:pPr>
              <w:pStyle w:val="TableCopy"/>
              <w:jc w:val="right"/>
            </w:pPr>
            <w:r>
              <w:t>1,871,276</w:t>
            </w:r>
          </w:p>
        </w:tc>
      </w:tr>
      <w:tr w:rsidR="000756EB" w:rsidRPr="00FB7B82" w14:paraId="43A75794" w14:textId="77777777" w:rsidTr="00B01FC2">
        <w:tblPrEx>
          <w:tblLook w:val="0020" w:firstRow="1" w:lastRow="0" w:firstColumn="0" w:lastColumn="0" w:noHBand="0" w:noVBand="0"/>
        </w:tblPrEx>
        <w:trPr>
          <w:cantSplit/>
        </w:trPr>
        <w:tc>
          <w:tcPr>
            <w:tcW w:w="4531" w:type="dxa"/>
          </w:tcPr>
          <w:p w14:paraId="576FE346" w14:textId="5F6B8CB3" w:rsidR="000756EB" w:rsidRPr="00FB7B82" w:rsidRDefault="004A4D88" w:rsidP="00FB7B82">
            <w:pPr>
              <w:pStyle w:val="TableCopy"/>
              <w:rPr>
                <w:b/>
                <w:bCs/>
              </w:rPr>
            </w:pPr>
            <w:r w:rsidRPr="00FB7B82">
              <w:rPr>
                <w:b/>
                <w:bCs/>
              </w:rPr>
              <w:t>Total</w:t>
            </w:r>
            <w:r w:rsidR="00A03629" w:rsidRPr="00FB7B82">
              <w:rPr>
                <w:b/>
                <w:bCs/>
              </w:rPr>
              <w:t xml:space="preserve"> </w:t>
            </w:r>
            <w:r w:rsidRPr="00FB7B82">
              <w:rPr>
                <w:b/>
                <w:bCs/>
              </w:rPr>
              <w:t>commitment</w:t>
            </w:r>
            <w:r w:rsidR="00A03629" w:rsidRPr="00FB7B82">
              <w:rPr>
                <w:b/>
                <w:bCs/>
              </w:rPr>
              <w:t xml:space="preserve"> </w:t>
            </w:r>
            <w:r w:rsidRPr="00FB7B82">
              <w:rPr>
                <w:b/>
                <w:bCs/>
              </w:rPr>
              <w:t>(inclusive</w:t>
            </w:r>
            <w:r w:rsidR="00A03629" w:rsidRPr="00FB7B82">
              <w:rPr>
                <w:b/>
                <w:bCs/>
              </w:rPr>
              <w:t xml:space="preserve"> </w:t>
            </w:r>
            <w:r w:rsidRPr="00FB7B82">
              <w:rPr>
                <w:b/>
                <w:bCs/>
              </w:rPr>
              <w:t>of</w:t>
            </w:r>
            <w:r w:rsidR="00A03629" w:rsidRPr="00FB7B82">
              <w:rPr>
                <w:b/>
                <w:bCs/>
              </w:rPr>
              <w:t xml:space="preserve"> </w:t>
            </w:r>
            <w:r w:rsidRPr="00FB7B82">
              <w:rPr>
                <w:b/>
                <w:bCs/>
              </w:rPr>
              <w:t>GST)</w:t>
            </w:r>
          </w:p>
        </w:tc>
        <w:tc>
          <w:tcPr>
            <w:tcW w:w="1417" w:type="dxa"/>
          </w:tcPr>
          <w:p w14:paraId="7A6ECABE" w14:textId="77777777" w:rsidR="000756EB" w:rsidRPr="00FB7B82" w:rsidRDefault="004A4D88" w:rsidP="00FB7B82">
            <w:pPr>
              <w:pStyle w:val="TableCopy"/>
              <w:jc w:val="right"/>
              <w:rPr>
                <w:b/>
                <w:bCs/>
              </w:rPr>
            </w:pPr>
            <w:r w:rsidRPr="00FB7B82">
              <w:rPr>
                <w:b/>
                <w:bCs/>
              </w:rPr>
              <w:t>1,261,746</w:t>
            </w:r>
          </w:p>
        </w:tc>
        <w:tc>
          <w:tcPr>
            <w:tcW w:w="1418" w:type="dxa"/>
          </w:tcPr>
          <w:p w14:paraId="0764E4D2" w14:textId="6E3E610B" w:rsidR="000756EB" w:rsidRPr="00FB7B82" w:rsidRDefault="004A4D88" w:rsidP="00FB7B82">
            <w:pPr>
              <w:pStyle w:val="TableCopy"/>
              <w:jc w:val="right"/>
              <w:rPr>
                <w:b/>
                <w:bCs/>
              </w:rPr>
            </w:pPr>
            <w:r w:rsidRPr="00FB7B82">
              <w:rPr>
                <w:b/>
                <w:bCs/>
              </w:rPr>
              <w:t>880,399</w:t>
            </w:r>
          </w:p>
        </w:tc>
        <w:tc>
          <w:tcPr>
            <w:tcW w:w="1417" w:type="dxa"/>
          </w:tcPr>
          <w:p w14:paraId="44AB0143" w14:textId="6A1DE0A6" w:rsidR="000756EB" w:rsidRPr="00FB7B82" w:rsidRDefault="004A4D88" w:rsidP="00FB7B82">
            <w:pPr>
              <w:pStyle w:val="TableCopy"/>
              <w:jc w:val="right"/>
              <w:rPr>
                <w:b/>
                <w:bCs/>
              </w:rPr>
            </w:pPr>
            <w:r w:rsidRPr="00FB7B82">
              <w:rPr>
                <w:b/>
                <w:bCs/>
              </w:rPr>
              <w:t>163,602</w:t>
            </w:r>
          </w:p>
        </w:tc>
        <w:tc>
          <w:tcPr>
            <w:tcW w:w="1418" w:type="dxa"/>
          </w:tcPr>
          <w:p w14:paraId="6F5C5149" w14:textId="174031AD" w:rsidR="000756EB" w:rsidRPr="00FB7B82" w:rsidRDefault="004A4D88" w:rsidP="00FB7B82">
            <w:pPr>
              <w:pStyle w:val="TableCopy"/>
              <w:jc w:val="right"/>
              <w:rPr>
                <w:b/>
                <w:bCs/>
              </w:rPr>
            </w:pPr>
            <w:r w:rsidRPr="00FB7B82">
              <w:rPr>
                <w:b/>
                <w:bCs/>
              </w:rPr>
              <w:t>2,305,748</w:t>
            </w:r>
          </w:p>
        </w:tc>
      </w:tr>
      <w:tr w:rsidR="000756EB" w:rsidRPr="00FB7B82" w14:paraId="3C2F358E" w14:textId="77777777" w:rsidTr="00B01FC2">
        <w:tblPrEx>
          <w:tblLook w:val="0020" w:firstRow="1" w:lastRow="0" w:firstColumn="0" w:lastColumn="0" w:noHBand="0" w:noVBand="0"/>
        </w:tblPrEx>
        <w:trPr>
          <w:cantSplit/>
        </w:trPr>
        <w:tc>
          <w:tcPr>
            <w:tcW w:w="4531" w:type="dxa"/>
          </w:tcPr>
          <w:p w14:paraId="05D79E90" w14:textId="6786CFAE" w:rsidR="000756EB" w:rsidRPr="00FB7B82" w:rsidRDefault="004A4D88" w:rsidP="00FB7B82">
            <w:pPr>
              <w:pStyle w:val="TableCopy"/>
              <w:rPr>
                <w:b/>
                <w:bCs/>
              </w:rPr>
            </w:pPr>
            <w:r w:rsidRPr="00FB7B82">
              <w:rPr>
                <w:b/>
                <w:bCs/>
              </w:rPr>
              <w:t>Less</w:t>
            </w:r>
            <w:r w:rsidR="00A03629" w:rsidRPr="00FB7B82">
              <w:rPr>
                <w:b/>
                <w:bCs/>
              </w:rPr>
              <w:t xml:space="preserve"> </w:t>
            </w:r>
            <w:r w:rsidRPr="00FB7B82">
              <w:rPr>
                <w:b/>
                <w:bCs/>
              </w:rPr>
              <w:t>GST</w:t>
            </w:r>
            <w:r w:rsidR="00A03629" w:rsidRPr="00FB7B82">
              <w:rPr>
                <w:b/>
                <w:bCs/>
              </w:rPr>
              <w:t xml:space="preserve"> </w:t>
            </w:r>
            <w:r w:rsidRPr="00FB7B82">
              <w:rPr>
                <w:b/>
                <w:bCs/>
              </w:rPr>
              <w:t>recoverable</w:t>
            </w:r>
          </w:p>
        </w:tc>
        <w:tc>
          <w:tcPr>
            <w:tcW w:w="1417" w:type="dxa"/>
          </w:tcPr>
          <w:p w14:paraId="3BEAACF7" w14:textId="77777777" w:rsidR="000756EB" w:rsidRPr="00FB7B82" w:rsidRDefault="000756EB" w:rsidP="00FB7B82">
            <w:pPr>
              <w:pStyle w:val="TableCopy"/>
              <w:jc w:val="right"/>
              <w:rPr>
                <w:rFonts w:ascii="VIC Light" w:hAnsi="VIC Light" w:cstheme="minorBidi"/>
                <w:b/>
                <w:bCs/>
                <w:lang w:val="en-AU"/>
              </w:rPr>
            </w:pPr>
          </w:p>
        </w:tc>
        <w:tc>
          <w:tcPr>
            <w:tcW w:w="1418" w:type="dxa"/>
          </w:tcPr>
          <w:p w14:paraId="34FA517A" w14:textId="77777777" w:rsidR="000756EB" w:rsidRPr="00FB7B82" w:rsidRDefault="000756EB" w:rsidP="00FB7B82">
            <w:pPr>
              <w:pStyle w:val="TableCopy"/>
              <w:jc w:val="right"/>
              <w:rPr>
                <w:rFonts w:ascii="VIC Light" w:hAnsi="VIC Light" w:cstheme="minorBidi"/>
                <w:b/>
                <w:bCs/>
                <w:lang w:val="en-AU"/>
              </w:rPr>
            </w:pPr>
          </w:p>
        </w:tc>
        <w:tc>
          <w:tcPr>
            <w:tcW w:w="1417" w:type="dxa"/>
          </w:tcPr>
          <w:p w14:paraId="021495AF" w14:textId="77777777" w:rsidR="000756EB" w:rsidRPr="00FB7B82" w:rsidRDefault="000756EB" w:rsidP="00FB7B82">
            <w:pPr>
              <w:pStyle w:val="TableCopy"/>
              <w:jc w:val="right"/>
              <w:rPr>
                <w:rFonts w:ascii="VIC Light" w:hAnsi="VIC Light" w:cstheme="minorBidi"/>
                <w:b/>
                <w:bCs/>
                <w:lang w:val="en-AU"/>
              </w:rPr>
            </w:pPr>
          </w:p>
        </w:tc>
        <w:tc>
          <w:tcPr>
            <w:tcW w:w="1418" w:type="dxa"/>
          </w:tcPr>
          <w:p w14:paraId="6ABEFE50" w14:textId="77777777" w:rsidR="000756EB" w:rsidRPr="00FB7B82" w:rsidRDefault="004A4D88" w:rsidP="00FB7B82">
            <w:pPr>
              <w:pStyle w:val="TableCopy"/>
              <w:jc w:val="right"/>
              <w:rPr>
                <w:b/>
                <w:bCs/>
              </w:rPr>
            </w:pPr>
            <w:r w:rsidRPr="00FB7B82">
              <w:rPr>
                <w:b/>
                <w:bCs/>
              </w:rPr>
              <w:t>(209,613)</w:t>
            </w:r>
          </w:p>
        </w:tc>
      </w:tr>
      <w:tr w:rsidR="000756EB" w:rsidRPr="00FB7B82" w14:paraId="6F850A19" w14:textId="77777777" w:rsidTr="00B01FC2">
        <w:tblPrEx>
          <w:tblLook w:val="0020" w:firstRow="1" w:lastRow="0" w:firstColumn="0" w:lastColumn="0" w:noHBand="0" w:noVBand="0"/>
        </w:tblPrEx>
        <w:trPr>
          <w:cantSplit/>
        </w:trPr>
        <w:tc>
          <w:tcPr>
            <w:tcW w:w="4531" w:type="dxa"/>
          </w:tcPr>
          <w:p w14:paraId="7A26680B" w14:textId="0AD242CF" w:rsidR="000756EB" w:rsidRPr="00FB7B82" w:rsidRDefault="004A4D88" w:rsidP="00FB7B82">
            <w:pPr>
              <w:pStyle w:val="TableCopy"/>
              <w:rPr>
                <w:b/>
                <w:bCs/>
              </w:rPr>
            </w:pPr>
            <w:r w:rsidRPr="00FB7B82">
              <w:rPr>
                <w:b/>
                <w:bCs/>
              </w:rPr>
              <w:t>Total</w:t>
            </w:r>
            <w:r w:rsidR="00A03629" w:rsidRPr="00FB7B82">
              <w:rPr>
                <w:b/>
                <w:bCs/>
              </w:rPr>
              <w:t xml:space="preserve"> </w:t>
            </w:r>
            <w:r w:rsidRPr="00FB7B82">
              <w:rPr>
                <w:b/>
                <w:bCs/>
              </w:rPr>
              <w:t>commitment</w:t>
            </w:r>
            <w:r w:rsidR="00A03629" w:rsidRPr="00FB7B82">
              <w:rPr>
                <w:b/>
                <w:bCs/>
              </w:rPr>
              <w:t xml:space="preserve"> </w:t>
            </w:r>
            <w:r w:rsidRPr="00FB7B82">
              <w:rPr>
                <w:b/>
                <w:bCs/>
              </w:rPr>
              <w:t>(exclusive</w:t>
            </w:r>
            <w:r w:rsidR="00A03629" w:rsidRPr="00FB7B82">
              <w:rPr>
                <w:b/>
                <w:bCs/>
              </w:rPr>
              <w:t xml:space="preserve"> </w:t>
            </w:r>
            <w:r w:rsidRPr="00FB7B82">
              <w:rPr>
                <w:b/>
                <w:bCs/>
              </w:rPr>
              <w:t>of</w:t>
            </w:r>
            <w:r w:rsidR="00A03629" w:rsidRPr="00FB7B82">
              <w:rPr>
                <w:b/>
                <w:bCs/>
              </w:rPr>
              <w:t xml:space="preserve"> </w:t>
            </w:r>
            <w:r w:rsidRPr="00FB7B82">
              <w:rPr>
                <w:b/>
                <w:bCs/>
              </w:rPr>
              <w:t>GST)</w:t>
            </w:r>
          </w:p>
        </w:tc>
        <w:tc>
          <w:tcPr>
            <w:tcW w:w="1417" w:type="dxa"/>
          </w:tcPr>
          <w:p w14:paraId="2E725792" w14:textId="77777777" w:rsidR="000756EB" w:rsidRPr="00FB7B82" w:rsidRDefault="000756EB" w:rsidP="00FB7B82">
            <w:pPr>
              <w:pStyle w:val="TableCopy"/>
              <w:jc w:val="right"/>
              <w:rPr>
                <w:rFonts w:ascii="VIC Light" w:hAnsi="VIC Light" w:cstheme="minorBidi"/>
                <w:b/>
                <w:bCs/>
                <w:lang w:val="en-AU"/>
              </w:rPr>
            </w:pPr>
          </w:p>
        </w:tc>
        <w:tc>
          <w:tcPr>
            <w:tcW w:w="1418" w:type="dxa"/>
          </w:tcPr>
          <w:p w14:paraId="73965354" w14:textId="77777777" w:rsidR="000756EB" w:rsidRPr="00FB7B82" w:rsidRDefault="000756EB" w:rsidP="00FB7B82">
            <w:pPr>
              <w:pStyle w:val="TableCopy"/>
              <w:jc w:val="right"/>
              <w:rPr>
                <w:rFonts w:ascii="VIC Light" w:hAnsi="VIC Light" w:cstheme="minorBidi"/>
                <w:b/>
                <w:bCs/>
                <w:lang w:val="en-AU"/>
              </w:rPr>
            </w:pPr>
          </w:p>
        </w:tc>
        <w:tc>
          <w:tcPr>
            <w:tcW w:w="1417" w:type="dxa"/>
          </w:tcPr>
          <w:p w14:paraId="6907AECE" w14:textId="77777777" w:rsidR="000756EB" w:rsidRPr="00FB7B82" w:rsidRDefault="000756EB" w:rsidP="00FB7B82">
            <w:pPr>
              <w:pStyle w:val="TableCopy"/>
              <w:jc w:val="right"/>
              <w:rPr>
                <w:rFonts w:ascii="VIC Light" w:hAnsi="VIC Light" w:cstheme="minorBidi"/>
                <w:b/>
                <w:bCs/>
                <w:lang w:val="en-AU"/>
              </w:rPr>
            </w:pPr>
          </w:p>
        </w:tc>
        <w:tc>
          <w:tcPr>
            <w:tcW w:w="1418" w:type="dxa"/>
          </w:tcPr>
          <w:p w14:paraId="66CA0740" w14:textId="14BE6682" w:rsidR="000756EB" w:rsidRPr="00FB7B82" w:rsidRDefault="004A4D88" w:rsidP="00FB7B82">
            <w:pPr>
              <w:pStyle w:val="TableCopy"/>
              <w:jc w:val="right"/>
              <w:rPr>
                <w:b/>
                <w:bCs/>
              </w:rPr>
            </w:pPr>
            <w:r w:rsidRPr="00FB7B82">
              <w:rPr>
                <w:b/>
                <w:bCs/>
              </w:rPr>
              <w:t>2,096,135</w:t>
            </w:r>
          </w:p>
        </w:tc>
      </w:tr>
    </w:tbl>
    <w:p w14:paraId="5DE157D8" w14:textId="77777777" w:rsidR="000756EB" w:rsidRDefault="000756EB" w:rsidP="00FB7B82"/>
    <w:p w14:paraId="2C6E95D7" w14:textId="35AEF70C" w:rsidR="000756EB" w:rsidRDefault="004A4D88" w:rsidP="00FB7B82">
      <w:pPr>
        <w:pStyle w:val="Heading3"/>
      </w:pPr>
      <w:r>
        <w:t>7.5.2</w:t>
      </w:r>
      <w:r w:rsidR="00DE38B5">
        <w:t xml:space="preserve"> </w:t>
      </w:r>
      <w:r>
        <w:t>Controlled</w:t>
      </w:r>
      <w:r w:rsidR="00A03629">
        <w:t xml:space="preserve"> </w:t>
      </w:r>
      <w:r>
        <w:t>Public</w:t>
      </w:r>
      <w:r w:rsidR="00A03629">
        <w:t xml:space="preserve"> </w:t>
      </w:r>
      <w:r>
        <w:t>Private</w:t>
      </w:r>
      <w:r w:rsidR="00A03629">
        <w:t xml:space="preserve"> </w:t>
      </w:r>
      <w:r>
        <w:t>Partnership</w:t>
      </w:r>
      <w:r w:rsidR="00A03629">
        <w:t xml:space="preserve"> </w:t>
      </w:r>
      <w:r>
        <w:t>(PPP)</w:t>
      </w:r>
      <w:r w:rsidR="00A03629">
        <w:t xml:space="preserve"> </w:t>
      </w:r>
      <w:r>
        <w:t>commitments</w:t>
      </w:r>
    </w:p>
    <w:p w14:paraId="29771A5F" w14:textId="0F1E7183" w:rsidR="000756EB" w:rsidRDefault="004A4D88" w:rsidP="00FB7B82">
      <w:r>
        <w:t>DJSIR</w:t>
      </w:r>
      <w:r w:rsidR="00A03629">
        <w:t xml:space="preserve"> </w:t>
      </w:r>
      <w:r>
        <w:t>may</w:t>
      </w:r>
      <w:r w:rsidR="00A03629">
        <w:t xml:space="preserve"> </w:t>
      </w:r>
      <w:proofErr w:type="gramStart"/>
      <w:r>
        <w:t>enter</w:t>
      </w:r>
      <w:r w:rsidR="00A03629">
        <w:t xml:space="preserve"> </w:t>
      </w:r>
      <w:r>
        <w:t>into</w:t>
      </w:r>
      <w:proofErr w:type="gramEnd"/>
      <w:r w:rsidR="00A03629">
        <w:t xml:space="preserve"> </w:t>
      </w:r>
      <w:r>
        <w:t>arrangements</w:t>
      </w:r>
      <w:r w:rsidR="00A03629">
        <w:t xml:space="preserve"> </w:t>
      </w:r>
      <w:r>
        <w:t>with</w:t>
      </w:r>
      <w:r w:rsidR="00A03629">
        <w:t xml:space="preserve"> </w:t>
      </w:r>
      <w:r>
        <w:t>private</w:t>
      </w:r>
      <w:r w:rsidR="00A03629">
        <w:t xml:space="preserve"> </w:t>
      </w:r>
      <w:r>
        <w:t>sector</w:t>
      </w:r>
      <w:r w:rsidR="00A03629">
        <w:t xml:space="preserve"> </w:t>
      </w:r>
      <w:r>
        <w:t>participants</w:t>
      </w:r>
      <w:r w:rsidR="00A03629">
        <w:t xml:space="preserve"> </w:t>
      </w:r>
      <w:r>
        <w:t>to</w:t>
      </w:r>
      <w:r w:rsidR="00A03629">
        <w:t xml:space="preserve"> </w:t>
      </w:r>
      <w:r>
        <w:t>design</w:t>
      </w:r>
      <w:r w:rsidR="00A03629">
        <w:t xml:space="preserve"> </w:t>
      </w:r>
      <w:r>
        <w:t>and</w:t>
      </w:r>
      <w:r w:rsidR="00A03629">
        <w:t xml:space="preserve"> </w:t>
      </w:r>
      <w:r>
        <w:t>construct</w:t>
      </w:r>
      <w:r w:rsidR="00A03629">
        <w:t xml:space="preserve"> </w:t>
      </w:r>
      <w:r>
        <w:t>or</w:t>
      </w:r>
      <w:r w:rsidR="00A03629">
        <w:t xml:space="preserve"> </w:t>
      </w:r>
      <w:r>
        <w:t>upgrade</w:t>
      </w:r>
      <w:r w:rsidR="00A03629">
        <w:t xml:space="preserve"> </w:t>
      </w:r>
      <w:r>
        <w:t>assets</w:t>
      </w:r>
      <w:r w:rsidR="00A03629">
        <w:t xml:space="preserve"> </w:t>
      </w:r>
      <w:r>
        <w:t>used</w:t>
      </w:r>
      <w:r w:rsidR="00A03629">
        <w:t xml:space="preserve"> </w:t>
      </w:r>
      <w:r>
        <w:t>to</w:t>
      </w:r>
      <w:r w:rsidR="00A03629">
        <w:t xml:space="preserve"> </w:t>
      </w:r>
      <w:r>
        <w:t>provide</w:t>
      </w:r>
      <w:r w:rsidR="00A03629">
        <w:t xml:space="preserve"> </w:t>
      </w:r>
      <w:r>
        <w:t>public</w:t>
      </w:r>
      <w:r w:rsidR="00A03629">
        <w:t xml:space="preserve"> </w:t>
      </w:r>
      <w:r>
        <w:t>services.</w:t>
      </w:r>
      <w:r w:rsidR="00A03629">
        <w:t xml:space="preserve"> </w:t>
      </w:r>
      <w:r>
        <w:t>These</w:t>
      </w:r>
      <w:r w:rsidR="00A03629">
        <w:t xml:space="preserve"> </w:t>
      </w:r>
      <w:r>
        <w:t>arrangements</w:t>
      </w:r>
      <w:r w:rsidR="00A03629">
        <w:t xml:space="preserve"> </w:t>
      </w:r>
      <w:r>
        <w:t>usually</w:t>
      </w:r>
      <w:r w:rsidR="00A03629">
        <w:t xml:space="preserve"> </w:t>
      </w:r>
      <w:r>
        <w:t>include</w:t>
      </w:r>
      <w:r w:rsidR="00A03629">
        <w:t xml:space="preserve"> </w:t>
      </w:r>
      <w:r>
        <w:t>the</w:t>
      </w:r>
      <w:r w:rsidR="00A03629">
        <w:t xml:space="preserve"> </w:t>
      </w:r>
      <w:r>
        <w:t>provision</w:t>
      </w:r>
      <w:r w:rsidR="00A03629">
        <w:t xml:space="preserve"> </w:t>
      </w:r>
      <w:r>
        <w:t>of</w:t>
      </w:r>
      <w:r w:rsidR="00A03629">
        <w:rPr>
          <w:rFonts w:ascii="Cambria" w:hAnsi="Cambria" w:cs="Cambria"/>
        </w:rPr>
        <w:t xml:space="preserve"> </w:t>
      </w:r>
      <w:r>
        <w:t>design</w:t>
      </w:r>
      <w:r w:rsidR="00A03629">
        <w:t xml:space="preserve"> </w:t>
      </w:r>
      <w:r>
        <w:t>and</w:t>
      </w:r>
      <w:r w:rsidR="00A03629">
        <w:t xml:space="preserve"> </w:t>
      </w:r>
      <w:r>
        <w:t>construct,</w:t>
      </w:r>
      <w:r w:rsidR="00A03629">
        <w:t xml:space="preserve"> </w:t>
      </w:r>
      <w:r>
        <w:t>operational</w:t>
      </w:r>
      <w:r w:rsidR="00A03629">
        <w:t xml:space="preserve"> </w:t>
      </w:r>
      <w:r>
        <w:t>and</w:t>
      </w:r>
      <w:r w:rsidR="00A03629">
        <w:t xml:space="preserve"> </w:t>
      </w:r>
      <w:r>
        <w:t>maintenance</w:t>
      </w:r>
      <w:r w:rsidR="00A03629">
        <w:t xml:space="preserve"> </w:t>
      </w:r>
      <w:r>
        <w:t>services</w:t>
      </w:r>
      <w:r w:rsidR="00A03629">
        <w:t xml:space="preserve"> </w:t>
      </w:r>
      <w:r>
        <w:t>for</w:t>
      </w:r>
      <w:r w:rsidR="00A03629">
        <w:t xml:space="preserve"> </w:t>
      </w:r>
      <w:r>
        <w:t>a</w:t>
      </w:r>
      <w:r w:rsidR="00A03629">
        <w:t xml:space="preserve"> </w:t>
      </w:r>
      <w:r>
        <w:t>specified</w:t>
      </w:r>
      <w:r w:rsidR="00A03629">
        <w:t xml:space="preserve"> </w:t>
      </w:r>
      <w:proofErr w:type="gramStart"/>
      <w:r>
        <w:t>period</w:t>
      </w:r>
      <w:r w:rsidR="00A03629">
        <w:t xml:space="preserve"> </w:t>
      </w:r>
      <w:r>
        <w:t>of</w:t>
      </w:r>
      <w:r w:rsidR="00A03629">
        <w:t xml:space="preserve"> </w:t>
      </w:r>
      <w:r>
        <w:t>time</w:t>
      </w:r>
      <w:proofErr w:type="gramEnd"/>
      <w:r>
        <w:t>.</w:t>
      </w:r>
      <w:r w:rsidR="00A03629">
        <w:t xml:space="preserve"> </w:t>
      </w:r>
      <w:r>
        <w:t>These</w:t>
      </w:r>
      <w:r w:rsidR="00A03629">
        <w:t xml:space="preserve"> </w:t>
      </w:r>
      <w:r>
        <w:t>arrangements</w:t>
      </w:r>
      <w:r w:rsidR="00A03629">
        <w:t xml:space="preserve"> </w:t>
      </w:r>
      <w:r>
        <w:t>are</w:t>
      </w:r>
      <w:r w:rsidR="00A03629">
        <w:t xml:space="preserve"> </w:t>
      </w:r>
      <w:r>
        <w:t>often</w:t>
      </w:r>
      <w:r w:rsidR="00A03629">
        <w:t xml:space="preserve"> </w:t>
      </w:r>
      <w:r>
        <w:t>referred</w:t>
      </w:r>
      <w:r w:rsidR="00A03629">
        <w:t xml:space="preserve"> </w:t>
      </w:r>
      <w:r>
        <w:t>to</w:t>
      </w:r>
      <w:r w:rsidR="00A03629">
        <w:t xml:space="preserve"> </w:t>
      </w:r>
      <w:r>
        <w:t>as</w:t>
      </w:r>
      <w:r w:rsidR="00A03629">
        <w:t xml:space="preserve"> </w:t>
      </w:r>
      <w:r>
        <w:t>either</w:t>
      </w:r>
      <w:r w:rsidR="00A03629">
        <w:t xml:space="preserve"> </w:t>
      </w:r>
      <w:r>
        <w:t>PPPs</w:t>
      </w:r>
      <w:r w:rsidR="00A03629">
        <w:t xml:space="preserve"> </w:t>
      </w:r>
      <w:r>
        <w:t>or</w:t>
      </w:r>
      <w:r w:rsidR="00A03629">
        <w:t xml:space="preserve"> </w:t>
      </w:r>
      <w:r>
        <w:t>service</w:t>
      </w:r>
      <w:r w:rsidR="00A03629">
        <w:t xml:space="preserve"> </w:t>
      </w:r>
      <w:r>
        <w:t>concession</w:t>
      </w:r>
      <w:r w:rsidR="00A03629">
        <w:t xml:space="preserve"> </w:t>
      </w:r>
      <w:r>
        <w:t>arrangements</w:t>
      </w:r>
      <w:r w:rsidR="00A03629">
        <w:t xml:space="preserve"> </w:t>
      </w:r>
      <w:r>
        <w:t>(SCAs).</w:t>
      </w:r>
    </w:p>
    <w:p w14:paraId="593B6A01" w14:textId="3B38BF26" w:rsidR="000756EB" w:rsidRDefault="004A4D88" w:rsidP="00FB7B82">
      <w:r>
        <w:t>PPPs</w:t>
      </w:r>
      <w:r w:rsidR="00A03629">
        <w:t xml:space="preserve"> </w:t>
      </w:r>
      <w:r>
        <w:t>usually</w:t>
      </w:r>
      <w:r w:rsidR="00A03629">
        <w:t xml:space="preserve"> </w:t>
      </w:r>
      <w:r>
        <w:t>take</w:t>
      </w:r>
      <w:r w:rsidR="00A03629">
        <w:t xml:space="preserve"> </w:t>
      </w:r>
      <w:r>
        <w:t>one</w:t>
      </w:r>
      <w:r w:rsidR="00A03629">
        <w:t xml:space="preserve"> </w:t>
      </w:r>
      <w:r>
        <w:t>of</w:t>
      </w:r>
      <w:r w:rsidR="00A03629">
        <w:t xml:space="preserve"> </w:t>
      </w:r>
      <w:r>
        <w:t>two</w:t>
      </w:r>
      <w:r w:rsidR="00A03629">
        <w:t xml:space="preserve"> </w:t>
      </w:r>
      <w:r>
        <w:t>main</w:t>
      </w:r>
      <w:r w:rsidR="00A03629">
        <w:t xml:space="preserve"> </w:t>
      </w:r>
      <w:r>
        <w:t>forms.</w:t>
      </w:r>
      <w:r w:rsidR="00A03629">
        <w:t xml:space="preserve"> </w:t>
      </w:r>
      <w:r>
        <w:t>In</w:t>
      </w:r>
      <w:r w:rsidR="00A03629">
        <w:t xml:space="preserve"> </w:t>
      </w:r>
      <w:r>
        <w:t>the</w:t>
      </w:r>
      <w:r w:rsidR="00A03629">
        <w:t xml:space="preserve"> </w:t>
      </w:r>
      <w:r>
        <w:t>more</w:t>
      </w:r>
      <w:r w:rsidR="00A03629">
        <w:t xml:space="preserve"> </w:t>
      </w:r>
      <w:r>
        <w:t>common</w:t>
      </w:r>
      <w:r w:rsidR="00A03629">
        <w:t xml:space="preserve"> </w:t>
      </w:r>
      <w:r>
        <w:t>form,</w:t>
      </w:r>
      <w:r w:rsidR="00A03629">
        <w:t xml:space="preserve"> </w:t>
      </w:r>
      <w:r>
        <w:t>DJSIR</w:t>
      </w:r>
      <w:r w:rsidR="00A03629">
        <w:t xml:space="preserve"> </w:t>
      </w:r>
      <w:r>
        <w:t>pays</w:t>
      </w:r>
      <w:r w:rsidR="00A03629">
        <w:t xml:space="preserve"> </w:t>
      </w:r>
      <w:r>
        <w:t>the</w:t>
      </w:r>
      <w:r w:rsidR="00A03629">
        <w:t xml:space="preserve"> </w:t>
      </w:r>
      <w:r>
        <w:t>operator</w:t>
      </w:r>
      <w:r w:rsidR="00A03629">
        <w:t xml:space="preserve"> </w:t>
      </w:r>
      <w:r>
        <w:t>over</w:t>
      </w:r>
      <w:r w:rsidR="00A03629">
        <w:t xml:space="preserve"> </w:t>
      </w:r>
      <w:r>
        <w:t>the</w:t>
      </w:r>
      <w:r w:rsidR="00A03629">
        <w:t xml:space="preserve"> </w:t>
      </w:r>
      <w:r>
        <w:t>arrangement</w:t>
      </w:r>
      <w:r w:rsidR="00A03629">
        <w:t xml:space="preserve"> </w:t>
      </w:r>
      <w:r>
        <w:t>period,</w:t>
      </w:r>
      <w:r w:rsidR="00A03629">
        <w:t xml:space="preserve"> </w:t>
      </w:r>
      <w:r>
        <w:t>subject</w:t>
      </w:r>
      <w:r w:rsidR="00A03629">
        <w:t xml:space="preserve"> </w:t>
      </w:r>
      <w:r>
        <w:t>to</w:t>
      </w:r>
      <w:r w:rsidR="00A03629">
        <w:t xml:space="preserve"> </w:t>
      </w:r>
      <w:r>
        <w:t>specified</w:t>
      </w:r>
      <w:r w:rsidR="00A03629">
        <w:t xml:space="preserve"> </w:t>
      </w:r>
      <w:r>
        <w:t>performance</w:t>
      </w:r>
      <w:r w:rsidR="00A03629">
        <w:t xml:space="preserve"> </w:t>
      </w:r>
      <w:r>
        <w:t>criteria</w:t>
      </w:r>
      <w:r w:rsidR="00A03629">
        <w:t xml:space="preserve"> </w:t>
      </w:r>
      <w:r>
        <w:t>being</w:t>
      </w:r>
      <w:r w:rsidR="00A03629">
        <w:t xml:space="preserve"> </w:t>
      </w:r>
      <w:r>
        <w:t>met.</w:t>
      </w:r>
      <w:r w:rsidR="00A03629">
        <w:t xml:space="preserve"> </w:t>
      </w:r>
      <w:r>
        <w:t>At</w:t>
      </w:r>
      <w:r w:rsidR="00A03629">
        <w:t xml:space="preserve"> </w:t>
      </w:r>
      <w:r>
        <w:t>the</w:t>
      </w:r>
      <w:r w:rsidR="00A03629">
        <w:t xml:space="preserve"> </w:t>
      </w:r>
      <w:r>
        <w:t>date</w:t>
      </w:r>
      <w:r w:rsidR="00A03629">
        <w:t xml:space="preserve"> </w:t>
      </w:r>
      <w:r>
        <w:t>of</w:t>
      </w:r>
      <w:r w:rsidR="00A03629">
        <w:t xml:space="preserve"> </w:t>
      </w:r>
      <w:r>
        <w:t>commitment</w:t>
      </w:r>
      <w:r w:rsidR="00A03629">
        <w:t xml:space="preserve"> </w:t>
      </w:r>
      <w:r>
        <w:t>to</w:t>
      </w:r>
      <w:r w:rsidR="00A03629">
        <w:t xml:space="preserve"> </w:t>
      </w:r>
      <w:r>
        <w:t>the</w:t>
      </w:r>
      <w:r w:rsidR="00A03629">
        <w:t xml:space="preserve"> </w:t>
      </w:r>
      <w:r>
        <w:t>principal</w:t>
      </w:r>
      <w:r w:rsidR="00A03629">
        <w:t xml:space="preserve"> </w:t>
      </w:r>
      <w:r>
        <w:t>provisions</w:t>
      </w:r>
      <w:r w:rsidR="00A03629">
        <w:t xml:space="preserve"> </w:t>
      </w:r>
      <w:r>
        <w:t>of</w:t>
      </w:r>
      <w:r w:rsidR="00A03629">
        <w:t xml:space="preserve"> </w:t>
      </w:r>
      <w:r>
        <w:t>the</w:t>
      </w:r>
      <w:r w:rsidR="00A03629">
        <w:t xml:space="preserve"> </w:t>
      </w:r>
      <w:r>
        <w:t>arrangement,</w:t>
      </w:r>
      <w:r w:rsidR="00A03629">
        <w:t xml:space="preserve"> </w:t>
      </w:r>
      <w:r>
        <w:t>these</w:t>
      </w:r>
      <w:r w:rsidR="00A03629">
        <w:t xml:space="preserve"> </w:t>
      </w:r>
      <w:r>
        <w:t>estimated</w:t>
      </w:r>
      <w:r w:rsidR="00A03629">
        <w:t xml:space="preserve"> </w:t>
      </w:r>
      <w:r>
        <w:t>periodic</w:t>
      </w:r>
      <w:r w:rsidR="00A03629">
        <w:t xml:space="preserve"> </w:t>
      </w:r>
      <w:r>
        <w:t>payments</w:t>
      </w:r>
      <w:r w:rsidR="00A03629">
        <w:t xml:space="preserve"> </w:t>
      </w:r>
      <w:r>
        <w:t>are</w:t>
      </w:r>
      <w:r w:rsidR="00A03629">
        <w:t xml:space="preserve"> </w:t>
      </w:r>
      <w:r>
        <w:t>allocated</w:t>
      </w:r>
      <w:r w:rsidR="00A03629">
        <w:t xml:space="preserve"> </w:t>
      </w:r>
      <w:r>
        <w:t>between</w:t>
      </w:r>
      <w:r w:rsidR="00A03629">
        <w:t xml:space="preserve"> </w:t>
      </w:r>
      <w:r>
        <w:t>a</w:t>
      </w:r>
      <w:r w:rsidR="00A03629">
        <w:t xml:space="preserve"> </w:t>
      </w:r>
      <w:r>
        <w:t>component</w:t>
      </w:r>
      <w:r w:rsidR="00A03629">
        <w:t xml:space="preserve"> </w:t>
      </w:r>
      <w:r>
        <w:t>related</w:t>
      </w:r>
      <w:r w:rsidR="00A03629">
        <w:t xml:space="preserve"> </w:t>
      </w:r>
      <w:r>
        <w:t>to</w:t>
      </w:r>
      <w:r w:rsidR="00A03629">
        <w:t xml:space="preserve"> </w:t>
      </w:r>
      <w:r>
        <w:t>the</w:t>
      </w:r>
      <w:r w:rsidR="00A03629">
        <w:t xml:space="preserve"> </w:t>
      </w:r>
      <w:r>
        <w:t>design</w:t>
      </w:r>
      <w:r w:rsidR="00A03629">
        <w:t xml:space="preserve"> </w:t>
      </w:r>
      <w:r>
        <w:t>and</w:t>
      </w:r>
      <w:r w:rsidR="00A03629">
        <w:t xml:space="preserve"> </w:t>
      </w:r>
      <w:r>
        <w:t>construction</w:t>
      </w:r>
      <w:r w:rsidR="00A03629">
        <w:t xml:space="preserve"> </w:t>
      </w:r>
      <w:r>
        <w:t>or</w:t>
      </w:r>
      <w:r w:rsidR="00A03629">
        <w:t xml:space="preserve"> </w:t>
      </w:r>
      <w:r>
        <w:t>upgrading</w:t>
      </w:r>
      <w:r w:rsidR="00A03629">
        <w:t xml:space="preserve"> </w:t>
      </w:r>
      <w:r>
        <w:t>of</w:t>
      </w:r>
      <w:r w:rsidR="00A03629">
        <w:t xml:space="preserve"> </w:t>
      </w:r>
      <w:r>
        <w:t>the</w:t>
      </w:r>
      <w:r w:rsidR="00A03629">
        <w:t xml:space="preserve"> </w:t>
      </w:r>
      <w:r>
        <w:t>asset</w:t>
      </w:r>
      <w:r w:rsidR="00A03629">
        <w:t xml:space="preserve"> </w:t>
      </w:r>
      <w:r>
        <w:t>and</w:t>
      </w:r>
      <w:r w:rsidR="00A03629">
        <w:t xml:space="preserve"> </w:t>
      </w:r>
      <w:r>
        <w:t>components</w:t>
      </w:r>
      <w:r w:rsidR="00A03629">
        <w:t xml:space="preserve"> </w:t>
      </w:r>
      <w:r>
        <w:t>related</w:t>
      </w:r>
      <w:r w:rsidR="00A03629">
        <w:t xml:space="preserve"> </w:t>
      </w:r>
      <w:r>
        <w:t>to</w:t>
      </w:r>
      <w:r w:rsidR="00A03629">
        <w:t xml:space="preserve"> </w:t>
      </w:r>
      <w:r>
        <w:t>the</w:t>
      </w:r>
      <w:r w:rsidR="00A03629">
        <w:t xml:space="preserve"> </w:t>
      </w:r>
      <w:r>
        <w:t>ongoing</w:t>
      </w:r>
      <w:r w:rsidR="00A03629">
        <w:t xml:space="preserve"> </w:t>
      </w:r>
      <w:r>
        <w:t>operation</w:t>
      </w:r>
      <w:r w:rsidR="00A03629">
        <w:t xml:space="preserve"> </w:t>
      </w:r>
      <w:r>
        <w:t>and</w:t>
      </w:r>
      <w:r w:rsidR="00A03629">
        <w:t xml:space="preserve"> </w:t>
      </w:r>
      <w:r>
        <w:t>maintenance</w:t>
      </w:r>
      <w:r w:rsidR="00A03629">
        <w:t xml:space="preserve"> </w:t>
      </w:r>
      <w:r>
        <w:t>of</w:t>
      </w:r>
      <w:r w:rsidR="00A03629">
        <w:t xml:space="preserve"> </w:t>
      </w:r>
      <w:r>
        <w:t>the</w:t>
      </w:r>
      <w:r w:rsidR="00A03629">
        <w:t xml:space="preserve"> </w:t>
      </w:r>
      <w:r>
        <w:t>asset.</w:t>
      </w:r>
      <w:r w:rsidR="00A03629">
        <w:t xml:space="preserve"> </w:t>
      </w:r>
      <w:r>
        <w:t>The</w:t>
      </w:r>
      <w:r w:rsidR="00A03629">
        <w:t xml:space="preserve"> </w:t>
      </w:r>
      <w:r>
        <w:t>former</w:t>
      </w:r>
      <w:r w:rsidR="00A03629">
        <w:t xml:space="preserve"> </w:t>
      </w:r>
      <w:r>
        <w:t>component</w:t>
      </w:r>
      <w:r w:rsidR="00A03629">
        <w:t xml:space="preserve"> </w:t>
      </w:r>
      <w:r>
        <w:t>is</w:t>
      </w:r>
      <w:r w:rsidR="00A03629">
        <w:t xml:space="preserve"> </w:t>
      </w:r>
      <w:r>
        <w:t>accounted</w:t>
      </w:r>
      <w:r w:rsidR="00A03629">
        <w:t xml:space="preserve"> </w:t>
      </w:r>
      <w:r>
        <w:t>for</w:t>
      </w:r>
      <w:r w:rsidR="00A03629">
        <w:t xml:space="preserve"> </w:t>
      </w:r>
      <w:r>
        <w:t>as</w:t>
      </w:r>
      <w:r w:rsidR="00A03629">
        <w:t xml:space="preserve"> </w:t>
      </w:r>
      <w:r>
        <w:t>a</w:t>
      </w:r>
      <w:r w:rsidR="00A03629">
        <w:t xml:space="preserve"> </w:t>
      </w:r>
      <w:r>
        <w:t>lease</w:t>
      </w:r>
      <w:r w:rsidR="00A03629">
        <w:t xml:space="preserve"> </w:t>
      </w:r>
      <w:r>
        <w:t>payment</w:t>
      </w:r>
      <w:r w:rsidR="00A03629">
        <w:t xml:space="preserve"> </w:t>
      </w:r>
      <w:r>
        <w:t>in</w:t>
      </w:r>
      <w:r w:rsidR="00A03629">
        <w:t xml:space="preserve"> </w:t>
      </w:r>
      <w:r>
        <w:t>accordance</w:t>
      </w:r>
      <w:r w:rsidR="00A03629">
        <w:t xml:space="preserve"> </w:t>
      </w:r>
      <w:r>
        <w:t>with</w:t>
      </w:r>
      <w:r w:rsidR="00A03629">
        <w:t xml:space="preserve"> </w:t>
      </w:r>
      <w:r>
        <w:t>the</w:t>
      </w:r>
      <w:r w:rsidR="00A03629">
        <w:t xml:space="preserve"> </w:t>
      </w:r>
      <w:r>
        <w:t>leases</w:t>
      </w:r>
      <w:r w:rsidR="00A03629">
        <w:t xml:space="preserve"> </w:t>
      </w:r>
      <w:r>
        <w:t>accounting</w:t>
      </w:r>
      <w:r w:rsidR="00A03629">
        <w:t xml:space="preserve"> </w:t>
      </w:r>
      <w:r>
        <w:t>policy.</w:t>
      </w:r>
      <w:r w:rsidR="00A03629">
        <w:t xml:space="preserve"> </w:t>
      </w:r>
      <w:r>
        <w:t>The</w:t>
      </w:r>
      <w:r w:rsidR="00A03629">
        <w:t xml:space="preserve"> </w:t>
      </w:r>
      <w:r>
        <w:t>remaining</w:t>
      </w:r>
      <w:r w:rsidR="00A03629">
        <w:t xml:space="preserve"> </w:t>
      </w:r>
      <w:r>
        <w:t>components</w:t>
      </w:r>
      <w:r w:rsidR="00A03629">
        <w:t xml:space="preserve"> </w:t>
      </w:r>
      <w:r>
        <w:t>are</w:t>
      </w:r>
      <w:r w:rsidR="00A03629">
        <w:t xml:space="preserve"> </w:t>
      </w:r>
      <w:r>
        <w:t>accounted</w:t>
      </w:r>
      <w:r w:rsidR="00A03629">
        <w:t xml:space="preserve"> </w:t>
      </w:r>
      <w:r>
        <w:t>for</w:t>
      </w:r>
      <w:r w:rsidR="00A03629">
        <w:t xml:space="preserve"> </w:t>
      </w:r>
      <w:r>
        <w:t>as</w:t>
      </w:r>
      <w:r w:rsidR="00A03629">
        <w:t xml:space="preserve"> </w:t>
      </w:r>
      <w:r>
        <w:t>commitments</w:t>
      </w:r>
      <w:r w:rsidR="00A03629">
        <w:t xml:space="preserve"> </w:t>
      </w:r>
      <w:r>
        <w:t>for</w:t>
      </w:r>
      <w:r w:rsidR="00A03629">
        <w:t xml:space="preserve"> </w:t>
      </w:r>
      <w:r>
        <w:t>operating</w:t>
      </w:r>
      <w:r w:rsidR="00A03629">
        <w:t xml:space="preserve"> </w:t>
      </w:r>
      <w:r>
        <w:t>costs,</w:t>
      </w:r>
      <w:r w:rsidR="00A03629">
        <w:t xml:space="preserve"> </w:t>
      </w:r>
      <w:r>
        <w:t>which</w:t>
      </w:r>
      <w:r w:rsidR="00A03629">
        <w:t xml:space="preserve"> </w:t>
      </w:r>
      <w:r>
        <w:t>are</w:t>
      </w:r>
      <w:r w:rsidR="00A03629">
        <w:t xml:space="preserve"> </w:t>
      </w:r>
      <w:r>
        <w:t>expensed</w:t>
      </w:r>
      <w:r w:rsidR="00A03629">
        <w:t xml:space="preserve"> </w:t>
      </w:r>
      <w:r>
        <w:t>in</w:t>
      </w:r>
      <w:r w:rsidR="00A03629">
        <w:t xml:space="preserve"> </w:t>
      </w:r>
      <w:r>
        <w:t>the</w:t>
      </w:r>
      <w:r w:rsidR="00A03629">
        <w:t xml:space="preserve"> </w:t>
      </w:r>
      <w:r>
        <w:t>comprehensive</w:t>
      </w:r>
      <w:r w:rsidR="00A03629">
        <w:t xml:space="preserve"> </w:t>
      </w:r>
      <w:r>
        <w:t>operating</w:t>
      </w:r>
      <w:r w:rsidR="00A03629">
        <w:t xml:space="preserve"> </w:t>
      </w:r>
      <w:r>
        <w:t>statement</w:t>
      </w:r>
      <w:r w:rsidR="00A03629">
        <w:t xml:space="preserve"> </w:t>
      </w:r>
      <w:r>
        <w:t>as</w:t>
      </w:r>
      <w:r w:rsidR="00A03629">
        <w:t xml:space="preserve"> </w:t>
      </w:r>
      <w:r>
        <w:t>they</w:t>
      </w:r>
      <w:r w:rsidR="00A03629">
        <w:t xml:space="preserve"> </w:t>
      </w:r>
      <w:r>
        <w:t>are</w:t>
      </w:r>
      <w:r w:rsidR="00A03629">
        <w:t xml:space="preserve"> </w:t>
      </w:r>
      <w:r>
        <w:t>incurred.</w:t>
      </w:r>
      <w:r w:rsidR="00A03629">
        <w:t xml:space="preserve"> </w:t>
      </w:r>
      <w:r>
        <w:t>The</w:t>
      </w:r>
      <w:r w:rsidR="00A03629">
        <w:t xml:space="preserve"> </w:t>
      </w:r>
      <w:r>
        <w:t>other,</w:t>
      </w:r>
      <w:r w:rsidR="00A03629">
        <w:t xml:space="preserve"> </w:t>
      </w:r>
      <w:r>
        <w:t>less</w:t>
      </w:r>
      <w:r w:rsidR="00A03629">
        <w:t xml:space="preserve"> </w:t>
      </w:r>
      <w:r>
        <w:t>common,</w:t>
      </w:r>
      <w:r w:rsidR="00A03629">
        <w:t xml:space="preserve"> </w:t>
      </w:r>
      <w:r>
        <w:t>form</w:t>
      </w:r>
      <w:r w:rsidR="00A03629">
        <w:t xml:space="preserve"> </w:t>
      </w:r>
      <w:r>
        <w:t>of</w:t>
      </w:r>
      <w:r w:rsidR="00A03629">
        <w:t xml:space="preserve"> </w:t>
      </w:r>
      <w:r>
        <w:t>SCA</w:t>
      </w:r>
      <w:r w:rsidR="00A03629">
        <w:t xml:space="preserve"> </w:t>
      </w:r>
      <w:r>
        <w:t>is</w:t>
      </w:r>
      <w:r w:rsidR="00A03629">
        <w:t xml:space="preserve"> </w:t>
      </w:r>
      <w:r>
        <w:t>one</w:t>
      </w:r>
      <w:r w:rsidR="00A03629">
        <w:t xml:space="preserve"> </w:t>
      </w:r>
      <w:r>
        <w:t>in</w:t>
      </w:r>
      <w:r w:rsidR="00A03629">
        <w:t xml:space="preserve"> </w:t>
      </w:r>
      <w:r>
        <w:t>which</w:t>
      </w:r>
      <w:r w:rsidR="00A03629">
        <w:t xml:space="preserve"> </w:t>
      </w:r>
      <w:r>
        <w:t>DJSIR</w:t>
      </w:r>
      <w:r w:rsidR="00A03629">
        <w:t xml:space="preserve"> </w:t>
      </w:r>
      <w:r>
        <w:t>grants</w:t>
      </w:r>
      <w:r w:rsidR="00A03629">
        <w:t xml:space="preserve"> </w:t>
      </w:r>
      <w:r>
        <w:t>to</w:t>
      </w:r>
      <w:r w:rsidR="00A03629">
        <w:t xml:space="preserve"> </w:t>
      </w:r>
      <w:r>
        <w:t>an</w:t>
      </w:r>
      <w:r w:rsidR="00A03629">
        <w:t xml:space="preserve"> </w:t>
      </w:r>
      <w:r>
        <w:t>operator,</w:t>
      </w:r>
      <w:r w:rsidR="00A03629">
        <w:t xml:space="preserve"> </w:t>
      </w:r>
      <w:r>
        <w:t>for</w:t>
      </w:r>
      <w:r w:rsidR="00A03629">
        <w:t xml:space="preserve"> </w:t>
      </w:r>
      <w:r>
        <w:t>a</w:t>
      </w:r>
      <w:r w:rsidR="00A03629">
        <w:t xml:space="preserve"> </w:t>
      </w:r>
      <w:r>
        <w:t>specified</w:t>
      </w:r>
      <w:r w:rsidR="00A03629">
        <w:t xml:space="preserve"> </w:t>
      </w:r>
      <w:proofErr w:type="gramStart"/>
      <w:r>
        <w:t>period</w:t>
      </w:r>
      <w:r w:rsidR="00A03629">
        <w:t xml:space="preserve"> </w:t>
      </w:r>
      <w:r>
        <w:t>of</w:t>
      </w:r>
      <w:r w:rsidR="00A03629">
        <w:t xml:space="preserve"> </w:t>
      </w:r>
      <w:r>
        <w:t>time</w:t>
      </w:r>
      <w:proofErr w:type="gramEnd"/>
      <w:r>
        <w:t>,</w:t>
      </w:r>
      <w:r w:rsidR="00A03629">
        <w:t xml:space="preserve"> </w:t>
      </w:r>
      <w:r>
        <w:t>the</w:t>
      </w:r>
      <w:r w:rsidR="00A03629">
        <w:t xml:space="preserve"> </w:t>
      </w:r>
      <w:r>
        <w:t>right</w:t>
      </w:r>
      <w:r w:rsidR="00A03629">
        <w:t xml:space="preserve"> </w:t>
      </w:r>
      <w:r>
        <w:t>to</w:t>
      </w:r>
      <w:r w:rsidR="00A03629">
        <w:t xml:space="preserve"> </w:t>
      </w:r>
      <w:r>
        <w:t>collect</w:t>
      </w:r>
      <w:r w:rsidR="00A03629">
        <w:t xml:space="preserve"> </w:t>
      </w:r>
      <w:r>
        <w:t>fees</w:t>
      </w:r>
      <w:r w:rsidR="00A03629">
        <w:t xml:space="preserve"> </w:t>
      </w:r>
      <w:r>
        <w:t>from</w:t>
      </w:r>
      <w:r w:rsidR="00A03629">
        <w:t xml:space="preserve"> </w:t>
      </w:r>
      <w:r>
        <w:t>users</w:t>
      </w:r>
      <w:r w:rsidR="00A03629">
        <w:t xml:space="preserve"> </w:t>
      </w:r>
      <w:r>
        <w:t>of</w:t>
      </w:r>
      <w:r w:rsidR="00A03629">
        <w:t xml:space="preserve"> </w:t>
      </w:r>
      <w:r>
        <w:t>the</w:t>
      </w:r>
      <w:r w:rsidR="00A03629">
        <w:t xml:space="preserve"> </w:t>
      </w:r>
      <w:r>
        <w:t>SCA</w:t>
      </w:r>
      <w:r w:rsidR="00A03629">
        <w:t xml:space="preserve"> </w:t>
      </w:r>
      <w:r>
        <w:t>asset,</w:t>
      </w:r>
      <w:r w:rsidR="00A03629">
        <w:t xml:space="preserve"> </w:t>
      </w:r>
      <w:r>
        <w:t>in</w:t>
      </w:r>
      <w:r w:rsidR="00A03629">
        <w:t xml:space="preserve"> </w:t>
      </w:r>
      <w:r>
        <w:t>return</w:t>
      </w:r>
      <w:r w:rsidR="00A03629">
        <w:t xml:space="preserve"> </w:t>
      </w:r>
      <w:r>
        <w:t>for</w:t>
      </w:r>
      <w:r w:rsidR="00A03629">
        <w:t xml:space="preserve"> </w:t>
      </w:r>
      <w:r>
        <w:t>which</w:t>
      </w:r>
      <w:r w:rsidR="00A03629">
        <w:t xml:space="preserve"> </w:t>
      </w:r>
      <w:r>
        <w:t>the</w:t>
      </w:r>
      <w:r w:rsidR="00A03629">
        <w:t xml:space="preserve"> </w:t>
      </w:r>
      <w:r>
        <w:t>operator</w:t>
      </w:r>
      <w:r w:rsidR="00A03629">
        <w:t xml:space="preserve"> </w:t>
      </w:r>
      <w:r>
        <w:t>constructs</w:t>
      </w:r>
      <w:r w:rsidR="00A03629">
        <w:t xml:space="preserve"> </w:t>
      </w:r>
      <w:r>
        <w:t>the</w:t>
      </w:r>
      <w:r w:rsidR="00A03629">
        <w:t xml:space="preserve"> </w:t>
      </w:r>
      <w:r>
        <w:t>asset</w:t>
      </w:r>
      <w:r w:rsidR="00A03629">
        <w:t xml:space="preserve"> </w:t>
      </w:r>
      <w:r>
        <w:t>and</w:t>
      </w:r>
      <w:r w:rsidR="00A03629">
        <w:t xml:space="preserve"> </w:t>
      </w:r>
      <w:r>
        <w:t>has</w:t>
      </w:r>
      <w:r w:rsidR="00A03629">
        <w:t xml:space="preserve"> </w:t>
      </w:r>
      <w:r>
        <w:t>the</w:t>
      </w:r>
      <w:r w:rsidR="00A03629">
        <w:t xml:space="preserve"> </w:t>
      </w:r>
      <w:r>
        <w:t>obligation</w:t>
      </w:r>
      <w:r w:rsidR="00A03629">
        <w:t xml:space="preserve"> </w:t>
      </w:r>
      <w:r>
        <w:t>to</w:t>
      </w:r>
      <w:r w:rsidR="00A03629">
        <w:t xml:space="preserve"> </w:t>
      </w:r>
      <w:r>
        <w:t>supply</w:t>
      </w:r>
      <w:r w:rsidR="00A03629">
        <w:t xml:space="preserve"> </w:t>
      </w:r>
      <w:r>
        <w:t>agreed</w:t>
      </w:r>
      <w:r w:rsidR="00A03629">
        <w:t xml:space="preserve"> </w:t>
      </w:r>
      <w:r>
        <w:t>upon</w:t>
      </w:r>
      <w:r w:rsidR="00A03629">
        <w:t xml:space="preserve"> </w:t>
      </w:r>
      <w:r>
        <w:t>services,</w:t>
      </w:r>
      <w:r w:rsidR="00A03629">
        <w:t xml:space="preserve"> </w:t>
      </w:r>
      <w:r>
        <w:t>including</w:t>
      </w:r>
      <w:r w:rsidR="00A03629">
        <w:t xml:space="preserve"> </w:t>
      </w:r>
      <w:r>
        <w:t>maintenance</w:t>
      </w:r>
      <w:r w:rsidR="00A03629">
        <w:t xml:space="preserve"> </w:t>
      </w:r>
      <w:r>
        <w:t>of</w:t>
      </w:r>
      <w:r w:rsidR="00A03629">
        <w:t xml:space="preserve"> </w:t>
      </w:r>
      <w:r>
        <w:t>the</w:t>
      </w:r>
      <w:r w:rsidR="00A03629">
        <w:t xml:space="preserve"> </w:t>
      </w:r>
      <w:r>
        <w:t>asset</w:t>
      </w:r>
      <w:r w:rsidR="00A03629">
        <w:t xml:space="preserve"> </w:t>
      </w:r>
      <w:r>
        <w:t>for</w:t>
      </w:r>
      <w:r w:rsidR="00A03629">
        <w:t xml:space="preserve"> </w:t>
      </w:r>
      <w:r>
        <w:t>the</w:t>
      </w:r>
      <w:r w:rsidR="00A03629">
        <w:t xml:space="preserve"> </w:t>
      </w:r>
      <w:r>
        <w:t>period</w:t>
      </w:r>
      <w:r w:rsidR="00A03629">
        <w:t xml:space="preserve"> </w:t>
      </w:r>
      <w:r>
        <w:t>of</w:t>
      </w:r>
      <w:r w:rsidR="00A03629">
        <w:t xml:space="preserve"> </w:t>
      </w:r>
      <w:r>
        <w:t>the</w:t>
      </w:r>
      <w:r w:rsidR="00A03629">
        <w:t xml:space="preserve"> </w:t>
      </w:r>
      <w:r>
        <w:t>concession.</w:t>
      </w:r>
      <w:r w:rsidR="00A03629">
        <w:t xml:space="preserve"> </w:t>
      </w:r>
      <w:r>
        <w:t>These</w:t>
      </w:r>
      <w:r w:rsidR="00A03629">
        <w:t xml:space="preserve"> </w:t>
      </w:r>
      <w:r>
        <w:t>private</w:t>
      </w:r>
      <w:r w:rsidR="00A03629">
        <w:t xml:space="preserve"> </w:t>
      </w:r>
      <w:r>
        <w:t>sector</w:t>
      </w:r>
      <w:r w:rsidR="00A03629">
        <w:t xml:space="preserve"> </w:t>
      </w:r>
      <w:r>
        <w:t>entities</w:t>
      </w:r>
      <w:r w:rsidR="00A03629">
        <w:t xml:space="preserve"> </w:t>
      </w:r>
      <w:r>
        <w:t>typically</w:t>
      </w:r>
      <w:r w:rsidR="00A03629">
        <w:t xml:space="preserve"> </w:t>
      </w:r>
      <w:r>
        <w:t>lease</w:t>
      </w:r>
      <w:r w:rsidR="00A03629">
        <w:t xml:space="preserve"> </w:t>
      </w:r>
      <w:r>
        <w:t>land,</w:t>
      </w:r>
      <w:r w:rsidR="00A03629">
        <w:t xml:space="preserve"> </w:t>
      </w:r>
      <w:r>
        <w:t>and</w:t>
      </w:r>
      <w:r w:rsidR="00A03629">
        <w:t xml:space="preserve"> </w:t>
      </w:r>
      <w:r>
        <w:t>sometimes</w:t>
      </w:r>
      <w:r w:rsidR="00A03629">
        <w:t xml:space="preserve"> </w:t>
      </w:r>
      <w:r>
        <w:t>state</w:t>
      </w:r>
      <w:r w:rsidR="00A03629">
        <w:t xml:space="preserve"> </w:t>
      </w:r>
      <w:r>
        <w:t>works,</w:t>
      </w:r>
      <w:r w:rsidR="00A03629">
        <w:t xml:space="preserve"> </w:t>
      </w:r>
      <w:r>
        <w:t>from</w:t>
      </w:r>
      <w:r w:rsidR="00A03629">
        <w:t xml:space="preserve"> </w:t>
      </w:r>
      <w:r>
        <w:t>DJSIR</w:t>
      </w:r>
      <w:r w:rsidR="00A03629">
        <w:t xml:space="preserve"> </w:t>
      </w:r>
      <w:r>
        <w:t>and</w:t>
      </w:r>
      <w:r w:rsidR="00A03629">
        <w:t xml:space="preserve"> </w:t>
      </w:r>
      <w:r>
        <w:t>construct</w:t>
      </w:r>
      <w:r w:rsidR="00A03629">
        <w:t xml:space="preserve"> </w:t>
      </w:r>
      <w:r>
        <w:t>infrastructure.</w:t>
      </w:r>
      <w:r w:rsidR="00A03629">
        <w:t xml:space="preserve"> </w:t>
      </w:r>
      <w:r>
        <w:t>At</w:t>
      </w:r>
      <w:r w:rsidR="00A03629">
        <w:rPr>
          <w:rFonts w:ascii="Cambria" w:hAnsi="Cambria" w:cs="Cambria"/>
        </w:rPr>
        <w:t xml:space="preserve"> </w:t>
      </w:r>
      <w:r>
        <w:t>the</w:t>
      </w:r>
      <w:r w:rsidR="00A03629">
        <w:t xml:space="preserve"> </w:t>
      </w:r>
      <w:r>
        <w:t>end</w:t>
      </w:r>
      <w:r w:rsidR="00A03629">
        <w:t xml:space="preserve"> </w:t>
      </w:r>
      <w:r>
        <w:t>of</w:t>
      </w:r>
      <w:r w:rsidR="00A03629">
        <w:t xml:space="preserve"> </w:t>
      </w:r>
      <w:r>
        <w:lastRenderedPageBreak/>
        <w:t>the</w:t>
      </w:r>
      <w:r w:rsidR="00A03629">
        <w:t xml:space="preserve"> </w:t>
      </w:r>
      <w:r>
        <w:t>concession</w:t>
      </w:r>
      <w:r w:rsidR="00A03629">
        <w:t xml:space="preserve"> </w:t>
      </w:r>
      <w:r>
        <w:t>period,</w:t>
      </w:r>
      <w:r w:rsidR="00A03629">
        <w:t xml:space="preserve"> </w:t>
      </w:r>
      <w:r>
        <w:t>the</w:t>
      </w:r>
      <w:r w:rsidR="00A03629">
        <w:t xml:space="preserve"> </w:t>
      </w:r>
      <w:r>
        <w:t>land</w:t>
      </w:r>
      <w:r w:rsidR="00A03629">
        <w:t xml:space="preserve"> </w:t>
      </w:r>
      <w:r>
        <w:t>and</w:t>
      </w:r>
      <w:r w:rsidR="00A03629">
        <w:t xml:space="preserve"> </w:t>
      </w:r>
      <w:r>
        <w:t>state</w:t>
      </w:r>
      <w:r w:rsidR="00A03629">
        <w:t xml:space="preserve"> </w:t>
      </w:r>
      <w:r>
        <w:t>works,</w:t>
      </w:r>
      <w:r w:rsidR="00A03629">
        <w:t xml:space="preserve"> </w:t>
      </w:r>
      <w:r>
        <w:t>together</w:t>
      </w:r>
      <w:r w:rsidR="00A03629">
        <w:t xml:space="preserve"> </w:t>
      </w:r>
      <w:r>
        <w:t>with</w:t>
      </w:r>
      <w:r w:rsidR="00A03629">
        <w:t xml:space="preserve"> </w:t>
      </w:r>
      <w:r>
        <w:t>the</w:t>
      </w:r>
      <w:r w:rsidR="00A03629">
        <w:t xml:space="preserve"> </w:t>
      </w:r>
      <w:r>
        <w:t>constructed</w:t>
      </w:r>
      <w:r w:rsidR="00A03629">
        <w:t xml:space="preserve"> </w:t>
      </w:r>
      <w:r>
        <w:t>facilities,</w:t>
      </w:r>
      <w:r w:rsidR="00A03629">
        <w:t xml:space="preserve"> </w:t>
      </w:r>
      <w:r>
        <w:t>will</w:t>
      </w:r>
      <w:r w:rsidR="00A03629">
        <w:rPr>
          <w:rFonts w:ascii="Cambria" w:hAnsi="Cambria" w:cs="Cambria"/>
        </w:rPr>
        <w:t xml:space="preserve"> </w:t>
      </w:r>
      <w:r>
        <w:t>be</w:t>
      </w:r>
      <w:r w:rsidR="00A03629">
        <w:rPr>
          <w:rFonts w:ascii="Cambria" w:hAnsi="Cambria" w:cs="Cambria"/>
        </w:rPr>
        <w:t xml:space="preserve"> </w:t>
      </w:r>
      <w:r>
        <w:t>returned</w:t>
      </w:r>
      <w:r w:rsidR="00A03629">
        <w:t xml:space="preserve"> </w:t>
      </w:r>
      <w:r>
        <w:t>to</w:t>
      </w:r>
      <w:r w:rsidR="00A03629">
        <w:t xml:space="preserve"> </w:t>
      </w:r>
      <w:r>
        <w:t>DJSIR.</w:t>
      </w:r>
    </w:p>
    <w:p w14:paraId="575E8ABE" w14:textId="47172C14" w:rsidR="000756EB" w:rsidRDefault="004A4D88" w:rsidP="00FB7B82">
      <w:r w:rsidRPr="00FB7B82">
        <w:t>After</w:t>
      </w:r>
      <w:r w:rsidR="00A03629" w:rsidRPr="00FB7B82">
        <w:t xml:space="preserve"> </w:t>
      </w:r>
      <w:r w:rsidRPr="00FB7B82">
        <w:t>1</w:t>
      </w:r>
      <w:r w:rsidR="00A03629" w:rsidRPr="00FB7B82">
        <w:t xml:space="preserve"> </w:t>
      </w:r>
      <w:r w:rsidRPr="00FB7B82">
        <w:t>July</w:t>
      </w:r>
      <w:r w:rsidR="00A03629" w:rsidRPr="00FB7B82">
        <w:t xml:space="preserve"> </w:t>
      </w:r>
      <w:r w:rsidRPr="00FB7B82">
        <w:t>2019,</w:t>
      </w:r>
      <w:r w:rsidR="00A03629" w:rsidRPr="00FB7B82">
        <w:t xml:space="preserve"> </w:t>
      </w:r>
      <w:r w:rsidRPr="00FB7B82">
        <w:t>AASB</w:t>
      </w:r>
      <w:r w:rsidR="00A03629" w:rsidRPr="00FB7B82">
        <w:t xml:space="preserve"> </w:t>
      </w:r>
      <w:r w:rsidRPr="00FB7B82">
        <w:t>1059</w:t>
      </w:r>
      <w:r w:rsidR="00A03629">
        <w:rPr>
          <w:rFonts w:ascii="VIC SemiBold" w:hAnsi="VIC SemiBold" w:cs="VIC SemiBold"/>
        </w:rPr>
        <w:t xml:space="preserve"> </w:t>
      </w:r>
      <w:r w:rsidRPr="00FB7B82">
        <w:rPr>
          <w:i/>
          <w:iCs/>
        </w:rPr>
        <w:t>Service</w:t>
      </w:r>
      <w:r w:rsidR="00A03629" w:rsidRPr="00FB7B82">
        <w:rPr>
          <w:i/>
          <w:iCs/>
        </w:rPr>
        <w:t xml:space="preserve"> </w:t>
      </w:r>
      <w:r w:rsidRPr="00FB7B82">
        <w:rPr>
          <w:i/>
          <w:iCs/>
        </w:rPr>
        <w:t>Concession</w:t>
      </w:r>
      <w:r w:rsidR="00A03629" w:rsidRPr="00FB7B82">
        <w:rPr>
          <w:i/>
          <w:iCs/>
        </w:rPr>
        <w:t xml:space="preserve"> </w:t>
      </w:r>
      <w:r w:rsidRPr="00FB7B82">
        <w:rPr>
          <w:i/>
          <w:iCs/>
        </w:rPr>
        <w:t>Arrangements:</w:t>
      </w:r>
      <w:r w:rsidR="00A03629" w:rsidRPr="00FB7B82">
        <w:rPr>
          <w:i/>
          <w:iCs/>
        </w:rPr>
        <w:t xml:space="preserve"> </w:t>
      </w:r>
      <w:r w:rsidRPr="00FB7B82">
        <w:rPr>
          <w:i/>
          <w:iCs/>
        </w:rPr>
        <w:t>Grantors</w:t>
      </w:r>
      <w:r w:rsidR="00A03629">
        <w:t xml:space="preserve"> </w:t>
      </w:r>
      <w:r>
        <w:t>applies</w:t>
      </w:r>
      <w:r w:rsidR="00A03629">
        <w:t xml:space="preserve"> </w:t>
      </w:r>
      <w:r>
        <w:t>to</w:t>
      </w:r>
      <w:r w:rsidR="00A03629">
        <w:t xml:space="preserve"> </w:t>
      </w:r>
      <w:r>
        <w:t>arrangements</w:t>
      </w:r>
      <w:r w:rsidR="00A03629">
        <w:t xml:space="preserve"> </w:t>
      </w:r>
      <w:r>
        <w:t>where</w:t>
      </w:r>
      <w:r w:rsidR="00A03629">
        <w:t xml:space="preserve"> </w:t>
      </w:r>
      <w:r>
        <w:t>an</w:t>
      </w:r>
      <w:r w:rsidR="00A03629">
        <w:t xml:space="preserve"> </w:t>
      </w:r>
      <w:r>
        <w:t>operator</w:t>
      </w:r>
      <w:r w:rsidR="00A03629">
        <w:t xml:space="preserve"> </w:t>
      </w:r>
      <w:r>
        <w:t>provides</w:t>
      </w:r>
      <w:r w:rsidR="00A03629">
        <w:t xml:space="preserve"> </w:t>
      </w:r>
      <w:r>
        <w:t>public</w:t>
      </w:r>
      <w:r w:rsidR="00A03629">
        <w:t xml:space="preserve"> </w:t>
      </w:r>
      <w:r>
        <w:t>services,</w:t>
      </w:r>
      <w:r w:rsidR="00A03629">
        <w:t xml:space="preserve"> </w:t>
      </w:r>
      <w:r>
        <w:t>using</w:t>
      </w:r>
      <w:r w:rsidR="00A03629">
        <w:t xml:space="preserve"> </w:t>
      </w:r>
      <w:r>
        <w:t>a</w:t>
      </w:r>
      <w:r w:rsidR="00A03629">
        <w:t xml:space="preserve"> </w:t>
      </w:r>
      <w:r>
        <w:t>service</w:t>
      </w:r>
      <w:r w:rsidR="00A03629">
        <w:t xml:space="preserve"> </w:t>
      </w:r>
      <w:r>
        <w:t>concession</w:t>
      </w:r>
      <w:r w:rsidR="00A03629">
        <w:t xml:space="preserve"> </w:t>
      </w:r>
      <w:r>
        <w:t>asset,</w:t>
      </w:r>
      <w:r w:rsidR="00A03629">
        <w:t xml:space="preserve"> </w:t>
      </w:r>
      <w:r>
        <w:t>on</w:t>
      </w:r>
      <w:r w:rsidR="00A03629">
        <w:t xml:space="preserve"> </w:t>
      </w:r>
      <w:r>
        <w:t>behalf</w:t>
      </w:r>
      <w:r w:rsidR="00A03629">
        <w:t xml:space="preserve"> </w:t>
      </w:r>
      <w:r>
        <w:t>of</w:t>
      </w:r>
      <w:r w:rsidR="00A03629">
        <w:t xml:space="preserve"> </w:t>
      </w:r>
      <w:r>
        <w:t>the</w:t>
      </w:r>
      <w:r w:rsidR="00A03629">
        <w:t xml:space="preserve"> </w:t>
      </w:r>
      <w:r>
        <w:t>State</w:t>
      </w:r>
      <w:r w:rsidR="00A03629">
        <w:t xml:space="preserve"> </w:t>
      </w:r>
      <w:r>
        <w:t>and</w:t>
      </w:r>
      <w:r w:rsidR="00A03629">
        <w:t xml:space="preserve"> </w:t>
      </w:r>
      <w:r>
        <w:t>importantly,</w:t>
      </w:r>
      <w:r w:rsidR="00A03629">
        <w:t xml:space="preserve"> </w:t>
      </w:r>
      <w:r>
        <w:t>the</w:t>
      </w:r>
      <w:r w:rsidR="00A03629">
        <w:t xml:space="preserve"> </w:t>
      </w:r>
      <w:r>
        <w:t>operator</w:t>
      </w:r>
      <w:r w:rsidR="00A03629">
        <w:t xml:space="preserve"> </w:t>
      </w:r>
      <w:r>
        <w:t>manages</w:t>
      </w:r>
      <w:r w:rsidR="00A03629">
        <w:t xml:space="preserve"> </w:t>
      </w:r>
      <w:r>
        <w:t>at</w:t>
      </w:r>
      <w:r w:rsidR="00A03629">
        <w:t xml:space="preserve"> </w:t>
      </w:r>
      <w:r>
        <w:t>least</w:t>
      </w:r>
      <w:r w:rsidR="00A03629">
        <w:t xml:space="preserve"> </w:t>
      </w:r>
      <w:r>
        <w:t>some</w:t>
      </w:r>
      <w:r w:rsidR="00A03629">
        <w:t xml:space="preserve"> </w:t>
      </w:r>
      <w:r>
        <w:t>of</w:t>
      </w:r>
      <w:r w:rsidR="00A03629">
        <w:t xml:space="preserve"> </w:t>
      </w:r>
      <w:r>
        <w:t>the</w:t>
      </w:r>
      <w:r w:rsidR="00A03629">
        <w:t xml:space="preserve"> </w:t>
      </w:r>
      <w:r>
        <w:t>public</w:t>
      </w:r>
      <w:r w:rsidR="00A03629">
        <w:t xml:space="preserve"> </w:t>
      </w:r>
      <w:r>
        <w:t>service</w:t>
      </w:r>
      <w:r w:rsidR="00A03629">
        <w:t xml:space="preserve"> </w:t>
      </w:r>
      <w:r>
        <w:t>at</w:t>
      </w:r>
      <w:r w:rsidR="00A03629">
        <w:t xml:space="preserve"> </w:t>
      </w:r>
      <w:r>
        <w:t>its</w:t>
      </w:r>
      <w:r w:rsidR="00A03629">
        <w:t xml:space="preserve"> </w:t>
      </w:r>
      <w:r>
        <w:t>own</w:t>
      </w:r>
      <w:r w:rsidR="00A03629">
        <w:t xml:space="preserve"> </w:t>
      </w:r>
      <w:r>
        <w:t>discretion.</w:t>
      </w:r>
      <w:r w:rsidR="00A03629">
        <w:t xml:space="preserve"> </w:t>
      </w:r>
      <w:r>
        <w:t>The</w:t>
      </w:r>
      <w:r w:rsidR="00A03629">
        <w:t xml:space="preserve"> </w:t>
      </w:r>
      <w:r>
        <w:t>State</w:t>
      </w:r>
      <w:r w:rsidR="00A03629">
        <w:t xml:space="preserve"> </w:t>
      </w:r>
      <w:r>
        <w:t>must</w:t>
      </w:r>
      <w:r w:rsidR="00A03629">
        <w:t xml:space="preserve"> </w:t>
      </w:r>
      <w:r>
        <w:t>also</w:t>
      </w:r>
      <w:r w:rsidR="00A03629">
        <w:t xml:space="preserve"> </w:t>
      </w:r>
      <w:r>
        <w:t>control</w:t>
      </w:r>
      <w:r w:rsidR="00A03629">
        <w:t xml:space="preserve"> </w:t>
      </w:r>
      <w:r>
        <w:t>the</w:t>
      </w:r>
      <w:r w:rsidR="00A03629">
        <w:t xml:space="preserve"> </w:t>
      </w:r>
      <w:r>
        <w:t>asset</w:t>
      </w:r>
      <w:r w:rsidR="00A03629">
        <w:t xml:space="preserve"> </w:t>
      </w:r>
      <w:r>
        <w:t>for</w:t>
      </w:r>
      <w:r w:rsidR="00A03629">
        <w:t xml:space="preserve"> </w:t>
      </w:r>
      <w:r>
        <w:t>AASB</w:t>
      </w:r>
      <w:r w:rsidR="00A03629">
        <w:t xml:space="preserve"> </w:t>
      </w:r>
      <w:r>
        <w:t>1059</w:t>
      </w:r>
      <w:r w:rsidR="00A03629">
        <w:t xml:space="preserve"> </w:t>
      </w:r>
      <w:r>
        <w:t>to</w:t>
      </w:r>
      <w:r w:rsidR="00A03629">
        <w:t xml:space="preserve"> </w:t>
      </w:r>
      <w:r>
        <w:t>apply.</w:t>
      </w:r>
      <w:r w:rsidR="00A03629">
        <w:t xml:space="preserve"> </w:t>
      </w:r>
      <w:r>
        <w:t>This</w:t>
      </w:r>
      <w:r w:rsidR="00A03629">
        <w:t xml:space="preserve"> </w:t>
      </w:r>
      <w:r>
        <w:t>means</w:t>
      </w:r>
      <w:r w:rsidR="00A03629">
        <w:t xml:space="preserve"> </w:t>
      </w:r>
      <w:r>
        <w:t>that</w:t>
      </w:r>
      <w:r w:rsidR="00A03629">
        <w:t xml:space="preserve"> </w:t>
      </w:r>
      <w:r>
        <w:t>certain</w:t>
      </w:r>
      <w:r w:rsidR="00A03629">
        <w:t xml:space="preserve"> </w:t>
      </w:r>
      <w:r>
        <w:t>PPP</w:t>
      </w:r>
      <w:r w:rsidR="00A03629">
        <w:t xml:space="preserve"> </w:t>
      </w:r>
      <w:r>
        <w:t>arrangements</w:t>
      </w:r>
      <w:r w:rsidR="00A03629">
        <w:t xml:space="preserve"> </w:t>
      </w:r>
      <w:r>
        <w:t>will</w:t>
      </w:r>
      <w:r w:rsidR="00A03629">
        <w:t xml:space="preserve"> </w:t>
      </w:r>
      <w:r>
        <w:t>not</w:t>
      </w:r>
      <w:r w:rsidR="00A03629">
        <w:t xml:space="preserve"> </w:t>
      </w:r>
      <w:r>
        <w:t>be</w:t>
      </w:r>
      <w:r w:rsidR="00A03629">
        <w:t xml:space="preserve"> </w:t>
      </w:r>
      <w:r>
        <w:t>within</w:t>
      </w:r>
      <w:r w:rsidR="00A03629">
        <w:t xml:space="preserve"> </w:t>
      </w:r>
      <w:r>
        <w:t>the</w:t>
      </w:r>
      <w:r w:rsidR="00A03629">
        <w:t xml:space="preserve"> </w:t>
      </w:r>
      <w:r>
        <w:t>scope</w:t>
      </w:r>
      <w:r w:rsidR="00A03629">
        <w:t xml:space="preserve"> </w:t>
      </w:r>
      <w:r>
        <w:t>of</w:t>
      </w:r>
      <w:r w:rsidR="00A03629">
        <w:t xml:space="preserve"> </w:t>
      </w:r>
      <w:r>
        <w:t>AASB</w:t>
      </w:r>
      <w:r w:rsidR="00A03629">
        <w:t xml:space="preserve"> </w:t>
      </w:r>
      <w:r>
        <w:t>1059</w:t>
      </w:r>
      <w:r w:rsidR="00A03629">
        <w:t xml:space="preserve"> </w:t>
      </w:r>
      <w:r>
        <w:t>and</w:t>
      </w:r>
      <w:r w:rsidR="00A03629">
        <w:t xml:space="preserve"> </w:t>
      </w:r>
      <w:r>
        <w:t>will</w:t>
      </w:r>
      <w:r w:rsidR="00A03629">
        <w:t xml:space="preserve"> </w:t>
      </w:r>
      <w:r>
        <w:t>continue</w:t>
      </w:r>
      <w:r w:rsidR="00A03629">
        <w:t xml:space="preserve"> </w:t>
      </w:r>
      <w:r>
        <w:t>to</w:t>
      </w:r>
      <w:r w:rsidR="00A03629">
        <w:t xml:space="preserve"> </w:t>
      </w:r>
      <w:r>
        <w:t>be</w:t>
      </w:r>
      <w:r w:rsidR="00A03629">
        <w:t xml:space="preserve"> </w:t>
      </w:r>
      <w:r>
        <w:t>accounted</w:t>
      </w:r>
      <w:r w:rsidR="00A03629">
        <w:t xml:space="preserve"> </w:t>
      </w:r>
      <w:r>
        <w:t>for</w:t>
      </w:r>
      <w:r w:rsidR="00A03629">
        <w:t xml:space="preserve"> </w:t>
      </w:r>
      <w:r>
        <w:t>as</w:t>
      </w:r>
      <w:r w:rsidR="00A03629">
        <w:t xml:space="preserve"> </w:t>
      </w:r>
      <w:r>
        <w:t>either</w:t>
      </w:r>
      <w:r w:rsidR="00A03629">
        <w:t xml:space="preserve"> </w:t>
      </w:r>
      <w:r>
        <w:t>leases</w:t>
      </w:r>
      <w:r w:rsidR="00A03629">
        <w:t xml:space="preserve"> </w:t>
      </w:r>
      <w:r>
        <w:t>or</w:t>
      </w:r>
      <w:r w:rsidR="00A03629">
        <w:t xml:space="preserve"> </w:t>
      </w:r>
      <w:r>
        <w:t>assets</w:t>
      </w:r>
      <w:r w:rsidR="00A03629">
        <w:t xml:space="preserve"> </w:t>
      </w:r>
      <w:r>
        <w:t>being</w:t>
      </w:r>
      <w:r w:rsidR="00A03629">
        <w:t xml:space="preserve"> </w:t>
      </w:r>
      <w:r>
        <w:t>constructed</w:t>
      </w:r>
      <w:r w:rsidR="00A03629">
        <w:t xml:space="preserve"> </w:t>
      </w:r>
      <w:r>
        <w:t>by</w:t>
      </w:r>
      <w:r w:rsidR="00A03629">
        <w:t xml:space="preserve"> </w:t>
      </w:r>
      <w:r>
        <w:t>the</w:t>
      </w:r>
      <w:r w:rsidR="00A03629">
        <w:t xml:space="preserve"> </w:t>
      </w:r>
      <w:r>
        <w:t>State</w:t>
      </w:r>
      <w:r w:rsidR="00A03629">
        <w:t xml:space="preserve"> </w:t>
      </w:r>
      <w:r>
        <w:t>and</w:t>
      </w:r>
      <w:r w:rsidR="00A03629">
        <w:t xml:space="preserve"> </w:t>
      </w:r>
      <w:r>
        <w:t>conversely,</w:t>
      </w:r>
      <w:r w:rsidR="00A03629">
        <w:t xml:space="preserve"> </w:t>
      </w:r>
      <w:r>
        <w:t>certain</w:t>
      </w:r>
      <w:r w:rsidR="00A03629">
        <w:t xml:space="preserve"> </w:t>
      </w:r>
      <w:r>
        <w:t>arrangements</w:t>
      </w:r>
      <w:r w:rsidR="00A03629">
        <w:t xml:space="preserve"> </w:t>
      </w:r>
      <w:r>
        <w:t>that</w:t>
      </w:r>
      <w:r w:rsidR="00A03629">
        <w:t xml:space="preserve"> </w:t>
      </w:r>
      <w:r>
        <w:t>are</w:t>
      </w:r>
      <w:r w:rsidR="00A03629">
        <w:t xml:space="preserve"> </w:t>
      </w:r>
      <w:r>
        <w:t>not</w:t>
      </w:r>
      <w:r w:rsidR="00A03629">
        <w:t xml:space="preserve"> </w:t>
      </w:r>
      <w:r>
        <w:t>PPPs</w:t>
      </w:r>
      <w:r w:rsidR="00A03629">
        <w:t xml:space="preserve"> </w:t>
      </w:r>
      <w:r>
        <w:t>(such</w:t>
      </w:r>
      <w:r w:rsidR="00A03629">
        <w:t xml:space="preserve"> </w:t>
      </w:r>
      <w:r>
        <w:t>as</w:t>
      </w:r>
      <w:r w:rsidR="00A03629">
        <w:t xml:space="preserve"> </w:t>
      </w:r>
      <w:r>
        <w:t>certain</w:t>
      </w:r>
      <w:r w:rsidR="00A03629">
        <w:t xml:space="preserve"> </w:t>
      </w:r>
      <w:r>
        <w:t>external</w:t>
      </w:r>
      <w:r w:rsidR="00A03629">
        <w:t xml:space="preserve"> </w:t>
      </w:r>
      <w:r>
        <w:t>service</w:t>
      </w:r>
      <w:r w:rsidR="00A03629">
        <w:t xml:space="preserve"> </w:t>
      </w:r>
      <w:r>
        <w:t>arrangements)</w:t>
      </w:r>
      <w:r w:rsidR="00A03629">
        <w:t xml:space="preserve"> </w:t>
      </w:r>
      <w:r>
        <w:t>could</w:t>
      </w:r>
      <w:r w:rsidR="00A03629">
        <w:t xml:space="preserve"> </w:t>
      </w:r>
      <w:r>
        <w:t>be</w:t>
      </w:r>
      <w:r w:rsidR="00A03629">
        <w:t xml:space="preserve"> </w:t>
      </w:r>
      <w:r>
        <w:t>captured</w:t>
      </w:r>
      <w:r w:rsidR="00A03629">
        <w:t xml:space="preserve"> </w:t>
      </w:r>
      <w:r>
        <w:t>within</w:t>
      </w:r>
      <w:r w:rsidR="00A03629">
        <w:t xml:space="preserve"> </w:t>
      </w:r>
      <w:r>
        <w:t>the</w:t>
      </w:r>
      <w:r w:rsidR="00A03629">
        <w:t xml:space="preserve"> </w:t>
      </w:r>
      <w:r>
        <w:t>scope</w:t>
      </w:r>
      <w:r w:rsidR="00A03629">
        <w:t xml:space="preserve"> </w:t>
      </w:r>
      <w:r>
        <w:t>of</w:t>
      </w:r>
      <w:r w:rsidR="00A03629">
        <w:t xml:space="preserve"> </w:t>
      </w:r>
      <w:r>
        <w:t>AASB</w:t>
      </w:r>
      <w:r w:rsidR="00A03629">
        <w:t xml:space="preserve"> </w:t>
      </w:r>
      <w:r>
        <w:t>1059.</w:t>
      </w:r>
      <w:r w:rsidR="00A03629">
        <w:t xml:space="preserve"> </w:t>
      </w:r>
      <w:r>
        <w:t>DJSIR</w:t>
      </w:r>
      <w:r w:rsidR="00A03629">
        <w:t xml:space="preserve"> </w:t>
      </w:r>
      <w:r>
        <w:t>has</w:t>
      </w:r>
      <w:r w:rsidR="00A03629">
        <w:t xml:space="preserve"> </w:t>
      </w:r>
      <w:r>
        <w:t>reviewed</w:t>
      </w:r>
      <w:r w:rsidR="00A03629">
        <w:t xml:space="preserve"> </w:t>
      </w:r>
      <w:r>
        <w:t>its</w:t>
      </w:r>
      <w:r w:rsidR="00A03629">
        <w:t xml:space="preserve"> </w:t>
      </w:r>
      <w:r>
        <w:t>PPP</w:t>
      </w:r>
      <w:r w:rsidR="00A03629">
        <w:t xml:space="preserve"> </w:t>
      </w:r>
      <w:r>
        <w:t>arrangements</w:t>
      </w:r>
      <w:r w:rsidR="00A03629">
        <w:t xml:space="preserve"> </w:t>
      </w:r>
      <w:r>
        <w:t>and</w:t>
      </w:r>
      <w:r w:rsidR="00A03629">
        <w:t xml:space="preserve"> </w:t>
      </w:r>
      <w:r>
        <w:t>have</w:t>
      </w:r>
      <w:r w:rsidR="00A03629">
        <w:t xml:space="preserve"> </w:t>
      </w:r>
      <w:r>
        <w:t>determined</w:t>
      </w:r>
      <w:r w:rsidR="00A03629">
        <w:t xml:space="preserve"> </w:t>
      </w:r>
      <w:r>
        <w:t>that</w:t>
      </w:r>
      <w:r w:rsidR="00A03629">
        <w:t xml:space="preserve"> </w:t>
      </w:r>
      <w:r>
        <w:t>these</w:t>
      </w:r>
      <w:r w:rsidR="00A03629">
        <w:t xml:space="preserve"> </w:t>
      </w:r>
      <w:r>
        <w:t>arrangements</w:t>
      </w:r>
      <w:r w:rsidR="00A03629">
        <w:t xml:space="preserve"> </w:t>
      </w:r>
      <w:r>
        <w:t>will</w:t>
      </w:r>
      <w:r w:rsidR="00A03629">
        <w:t xml:space="preserve"> </w:t>
      </w:r>
      <w:r>
        <w:t>not</w:t>
      </w:r>
      <w:r w:rsidR="00A03629">
        <w:t xml:space="preserve"> </w:t>
      </w:r>
      <w:r>
        <w:t>be</w:t>
      </w:r>
      <w:r w:rsidR="00A03629">
        <w:t xml:space="preserve"> </w:t>
      </w:r>
      <w:r>
        <w:t>accounted</w:t>
      </w:r>
      <w:r w:rsidR="00A03629">
        <w:t xml:space="preserve"> </w:t>
      </w:r>
      <w:r>
        <w:t>for</w:t>
      </w:r>
      <w:r w:rsidR="00A03629">
        <w:t xml:space="preserve"> </w:t>
      </w:r>
      <w:r>
        <w:t>under</w:t>
      </w:r>
      <w:r w:rsidR="00A03629">
        <w:t xml:space="preserve"> </w:t>
      </w:r>
      <w:r>
        <w:t>AASB</w:t>
      </w:r>
      <w:r w:rsidR="00A03629">
        <w:t xml:space="preserve"> </w:t>
      </w:r>
      <w:r>
        <w:t>1059</w:t>
      </w:r>
      <w:r w:rsidR="00A03629">
        <w:t xml:space="preserve"> </w:t>
      </w:r>
      <w:r>
        <w:t>but</w:t>
      </w:r>
      <w:r w:rsidR="00A03629">
        <w:t xml:space="preserve"> </w:t>
      </w:r>
      <w:r>
        <w:t>will</w:t>
      </w:r>
      <w:r w:rsidR="00A03629">
        <w:t xml:space="preserve"> </w:t>
      </w:r>
      <w:r>
        <w:t>continue</w:t>
      </w:r>
      <w:r w:rsidR="00A03629">
        <w:t xml:space="preserve"> </w:t>
      </w:r>
      <w:r>
        <w:t>to</w:t>
      </w:r>
      <w:r w:rsidR="00A03629">
        <w:t xml:space="preserve"> </w:t>
      </w:r>
      <w:r>
        <w:t>be</w:t>
      </w:r>
      <w:r w:rsidR="00A03629">
        <w:t xml:space="preserve"> </w:t>
      </w:r>
      <w:r>
        <w:t>accounted</w:t>
      </w:r>
      <w:r w:rsidR="00A03629">
        <w:t xml:space="preserve"> </w:t>
      </w:r>
      <w:r>
        <w:t>for</w:t>
      </w:r>
      <w:r w:rsidR="00A03629">
        <w:t xml:space="preserve"> </w:t>
      </w:r>
      <w:r>
        <w:t>under</w:t>
      </w:r>
      <w:r w:rsidR="00A03629">
        <w:t xml:space="preserve"> </w:t>
      </w:r>
      <w:r>
        <w:t>AASB</w:t>
      </w:r>
      <w:r w:rsidR="00A03629">
        <w:t xml:space="preserve"> </w:t>
      </w:r>
      <w:r>
        <w:t>16</w:t>
      </w:r>
      <w:r w:rsidR="00A03629">
        <w:t xml:space="preserve"> </w:t>
      </w:r>
      <w:r w:rsidRPr="00FB7B82">
        <w:rPr>
          <w:i/>
          <w:iCs/>
        </w:rPr>
        <w:t>Leases</w:t>
      </w:r>
      <w:r w:rsidR="00A03629">
        <w:t xml:space="preserve"> </w:t>
      </w:r>
      <w:r>
        <w:t>as</w:t>
      </w:r>
      <w:r w:rsidR="00A03629">
        <w:t xml:space="preserve"> </w:t>
      </w:r>
      <w:r>
        <w:t>lease</w:t>
      </w:r>
      <w:r w:rsidR="00A03629">
        <w:t xml:space="preserve"> </w:t>
      </w:r>
      <w:r>
        <w:t>liabilities.</w:t>
      </w:r>
    </w:p>
    <w:p w14:paraId="7950533C" w14:textId="34BAB63F" w:rsidR="000756EB" w:rsidRDefault="004A4D88" w:rsidP="00FB7B82">
      <w:pPr>
        <w:pStyle w:val="Heading3"/>
      </w:pPr>
      <w:r>
        <w:t>7.5.2</w:t>
      </w:r>
      <w:r w:rsidR="00DE38B5">
        <w:t xml:space="preserve"> </w:t>
      </w:r>
      <w:r>
        <w:t>Controlled</w:t>
      </w:r>
      <w:r w:rsidR="00A03629">
        <w:t xml:space="preserve"> </w:t>
      </w:r>
      <w:r>
        <w:t>Public</w:t>
      </w:r>
      <w:r w:rsidR="00A03629">
        <w:t xml:space="preserve"> </w:t>
      </w:r>
      <w:r>
        <w:t>Private</w:t>
      </w:r>
      <w:r w:rsidR="00A03629">
        <w:t xml:space="preserve"> </w:t>
      </w:r>
      <w:r>
        <w:t>Partnership</w:t>
      </w:r>
      <w:r w:rsidR="00A03629">
        <w:t xml:space="preserve"> </w:t>
      </w:r>
      <w:r>
        <w:t>(PPP)</w:t>
      </w:r>
      <w:r w:rsidR="00A03629">
        <w:t xml:space="preserve"> </w:t>
      </w:r>
      <w:r>
        <w:t>commitments</w:t>
      </w:r>
      <w:r w:rsidR="00A03629">
        <w:t xml:space="preserve"> </w:t>
      </w:r>
      <w:r>
        <w:t>(continued)</w:t>
      </w:r>
    </w:p>
    <w:p w14:paraId="19961DBC" w14:textId="3F4633E9" w:rsidR="000756EB" w:rsidRDefault="004A4D88" w:rsidP="00FB7B82">
      <w:r>
        <w:t>DJSIR</w:t>
      </w:r>
      <w:r w:rsidR="00A03629">
        <w:t xml:space="preserve"> </w:t>
      </w:r>
      <w:r>
        <w:t>does</w:t>
      </w:r>
      <w:r w:rsidR="00A03629">
        <w:t xml:space="preserve"> </w:t>
      </w:r>
      <w:r>
        <w:t>not</w:t>
      </w:r>
      <w:r w:rsidR="00A03629">
        <w:t xml:space="preserve"> </w:t>
      </w:r>
      <w:r>
        <w:t>have</w:t>
      </w:r>
      <w:r w:rsidR="00A03629">
        <w:t xml:space="preserve"> </w:t>
      </w:r>
      <w:r>
        <w:t>any</w:t>
      </w:r>
      <w:r w:rsidR="00A03629">
        <w:t xml:space="preserve"> </w:t>
      </w:r>
      <w:r>
        <w:t>PPP</w:t>
      </w:r>
      <w:r w:rsidR="00A03629">
        <w:t xml:space="preserve"> </w:t>
      </w:r>
      <w:r>
        <w:t>commitments</w:t>
      </w:r>
      <w:r w:rsidR="00A03629">
        <w:t xml:space="preserve"> </w:t>
      </w:r>
      <w:r>
        <w:t>as</w:t>
      </w:r>
      <w:r w:rsidR="00A03629">
        <w:t xml:space="preserve"> </w:t>
      </w:r>
      <w:proofErr w:type="gramStart"/>
      <w:r>
        <w:t>at</w:t>
      </w:r>
      <w:proofErr w:type="gramEnd"/>
      <w:r w:rsidR="00A03629">
        <w:t xml:space="preserve"> </w:t>
      </w:r>
      <w:r>
        <w:t>30</w:t>
      </w:r>
      <w:r w:rsidR="00A03629">
        <w:t xml:space="preserve"> </w:t>
      </w:r>
      <w:r>
        <w:t>June</w:t>
      </w:r>
      <w:r w:rsidR="00A03629">
        <w:t xml:space="preserve"> </w:t>
      </w:r>
      <w:r>
        <w:t>2023,</w:t>
      </w:r>
      <w:r w:rsidR="00A03629">
        <w:t xml:space="preserve"> </w:t>
      </w:r>
      <w:r>
        <w:t>as</w:t>
      </w:r>
      <w:r w:rsidR="00A03629">
        <w:t xml:space="preserve"> </w:t>
      </w:r>
      <w:r>
        <w:t>the</w:t>
      </w:r>
      <w:r w:rsidR="00A03629">
        <w:t xml:space="preserve"> </w:t>
      </w:r>
      <w:r>
        <w:t>below</w:t>
      </w:r>
      <w:r w:rsidR="00A03629">
        <w:t xml:space="preserve"> </w:t>
      </w:r>
      <w:r>
        <w:t>two</w:t>
      </w:r>
      <w:r w:rsidR="00A03629">
        <w:t xml:space="preserve"> </w:t>
      </w:r>
      <w:r>
        <w:t>joint</w:t>
      </w:r>
      <w:r w:rsidR="00A03629">
        <w:t xml:space="preserve"> </w:t>
      </w:r>
      <w:r>
        <w:t>operations</w:t>
      </w:r>
      <w:r w:rsidR="00A03629">
        <w:t xml:space="preserve"> </w:t>
      </w:r>
      <w:r>
        <w:t>arrangement</w:t>
      </w:r>
      <w:r w:rsidR="00A03629">
        <w:t xml:space="preserve"> </w:t>
      </w:r>
      <w:r>
        <w:t>were</w:t>
      </w:r>
      <w:r w:rsidR="00A03629">
        <w:t xml:space="preserve"> </w:t>
      </w:r>
      <w:r>
        <w:t>transferred</w:t>
      </w:r>
      <w:r w:rsidR="00A03629">
        <w:t xml:space="preserve"> </w:t>
      </w:r>
      <w:r>
        <w:t>to</w:t>
      </w:r>
      <w:r w:rsidR="00A03629">
        <w:t xml:space="preserve"> </w:t>
      </w:r>
      <w:r>
        <w:t>DEECA</w:t>
      </w:r>
      <w:r w:rsidR="00A03629">
        <w:t xml:space="preserve"> </w:t>
      </w:r>
      <w:r>
        <w:t>as</w:t>
      </w:r>
      <w:r w:rsidR="00A03629">
        <w:t xml:space="preserve"> </w:t>
      </w:r>
      <w:r>
        <w:t>a</w:t>
      </w:r>
      <w:r w:rsidR="00A03629">
        <w:t xml:space="preserve"> </w:t>
      </w:r>
      <w:r>
        <w:t>result</w:t>
      </w:r>
      <w:r w:rsidR="00A03629">
        <w:t xml:space="preserve"> </w:t>
      </w:r>
      <w:r>
        <w:t>of</w:t>
      </w:r>
      <w:r w:rsidR="00A03629">
        <w:t xml:space="preserve"> </w:t>
      </w:r>
      <w:r>
        <w:t>the</w:t>
      </w:r>
      <w:r w:rsidR="00A03629">
        <w:t xml:space="preserve"> </w:t>
      </w:r>
      <w:r>
        <w:t>machinery</w:t>
      </w:r>
      <w:r w:rsidR="00A03629">
        <w:t xml:space="preserve"> </w:t>
      </w:r>
      <w:r>
        <w:t>of</w:t>
      </w:r>
      <w:r w:rsidR="00A03629">
        <w:t xml:space="preserve"> </w:t>
      </w:r>
      <w:r>
        <w:t>government</w:t>
      </w:r>
      <w:r w:rsidR="00A03629">
        <w:t xml:space="preserve"> </w:t>
      </w:r>
      <w:r>
        <w:t>changes</w:t>
      </w:r>
      <w:r w:rsidR="00A03629">
        <w:t xml:space="preserve"> </w:t>
      </w:r>
      <w:r>
        <w:t>effective</w:t>
      </w:r>
      <w:r w:rsidR="00A03629">
        <w:t xml:space="preserve"> </w:t>
      </w:r>
      <w:r>
        <w:t>1</w:t>
      </w:r>
      <w:r w:rsidR="00A03629">
        <w:rPr>
          <w:rFonts w:ascii="Cambria" w:hAnsi="Cambria" w:cs="Cambria"/>
        </w:rPr>
        <w:t xml:space="preserve"> </w:t>
      </w:r>
      <w:r>
        <w:t>January</w:t>
      </w:r>
      <w:r w:rsidR="00A03629">
        <w:t xml:space="preserve"> </w:t>
      </w:r>
      <w:r>
        <w:t>2023.</w:t>
      </w:r>
    </w:p>
    <w:tbl>
      <w:tblPr>
        <w:tblStyle w:val="TableGrid"/>
        <w:tblW w:w="10485" w:type="dxa"/>
        <w:tblLayout w:type="fixed"/>
        <w:tblLook w:val="0020" w:firstRow="1" w:lastRow="0" w:firstColumn="0" w:lastColumn="0" w:noHBand="0" w:noVBand="0"/>
      </w:tblPr>
      <w:tblGrid>
        <w:gridCol w:w="4195"/>
        <w:gridCol w:w="1572"/>
        <w:gridCol w:w="1573"/>
        <w:gridCol w:w="1572"/>
        <w:gridCol w:w="1573"/>
      </w:tblGrid>
      <w:tr w:rsidR="000756EB" w:rsidRPr="00FB7B82" w14:paraId="1A205F01" w14:textId="77777777" w:rsidTr="00872462">
        <w:trPr>
          <w:cantSplit/>
          <w:tblHeader/>
        </w:trPr>
        <w:tc>
          <w:tcPr>
            <w:tcW w:w="4195" w:type="dxa"/>
          </w:tcPr>
          <w:p w14:paraId="6C9C50E1" w14:textId="77777777" w:rsidR="000756EB" w:rsidRPr="00FB7B82" w:rsidRDefault="000756EB" w:rsidP="00FB7B82">
            <w:pPr>
              <w:pStyle w:val="TableColumnHeading"/>
              <w:rPr>
                <w:rFonts w:asciiTheme="minorHAnsi" w:hAnsiTheme="minorHAnsi" w:cstheme="minorHAnsi"/>
                <w:sz w:val="20"/>
                <w:szCs w:val="28"/>
              </w:rPr>
            </w:pPr>
            <w:bookmarkStart w:id="107" w:name="ColumnTitles_63"/>
            <w:bookmarkEnd w:id="107"/>
          </w:p>
        </w:tc>
        <w:tc>
          <w:tcPr>
            <w:tcW w:w="1572" w:type="dxa"/>
          </w:tcPr>
          <w:p w14:paraId="43D7B728" w14:textId="51BA9058" w:rsidR="000756EB" w:rsidRPr="00FB7B82" w:rsidRDefault="00FB7B82" w:rsidP="00872462">
            <w:pPr>
              <w:pStyle w:val="TableColumnHeading"/>
              <w:jc w:val="right"/>
              <w:rPr>
                <w:rFonts w:asciiTheme="minorHAnsi" w:hAnsiTheme="minorHAnsi" w:cstheme="minorHAnsi"/>
                <w:sz w:val="20"/>
                <w:szCs w:val="28"/>
              </w:rPr>
            </w:pPr>
            <w:r w:rsidRPr="00FB7B82">
              <w:rPr>
                <w:rFonts w:asciiTheme="minorHAnsi" w:hAnsiTheme="minorHAnsi" w:cstheme="minorHAnsi"/>
                <w:sz w:val="20"/>
                <w:szCs w:val="28"/>
              </w:rPr>
              <w:t xml:space="preserve">2023 </w:t>
            </w:r>
            <w:r w:rsidR="004A4D88" w:rsidRPr="00FB7B82">
              <w:rPr>
                <w:rFonts w:asciiTheme="minorHAnsi" w:hAnsiTheme="minorHAnsi" w:cstheme="minorHAnsi"/>
                <w:sz w:val="20"/>
                <w:szCs w:val="28"/>
              </w:rPr>
              <w:t>Other</w:t>
            </w:r>
            <w:r w:rsidR="00A03629" w:rsidRPr="00FB7B82">
              <w:rPr>
                <w:rFonts w:asciiTheme="minorHAnsi" w:hAnsiTheme="minorHAnsi" w:cstheme="minorHAnsi"/>
                <w:sz w:val="20"/>
                <w:szCs w:val="28"/>
              </w:rPr>
              <w:t xml:space="preserve"> </w:t>
            </w:r>
            <w:r w:rsidR="004A4D88" w:rsidRPr="00FB7B82">
              <w:rPr>
                <w:rFonts w:asciiTheme="minorHAnsi" w:hAnsiTheme="minorHAnsi" w:cstheme="minorHAnsi"/>
                <w:sz w:val="20"/>
                <w:szCs w:val="28"/>
              </w:rPr>
              <w:t>Commitments</w:t>
            </w:r>
            <w:r w:rsidR="004A4D88" w:rsidRPr="00614829">
              <w:rPr>
                <w:rStyle w:val="FootnotereferencessuperscriptMisc"/>
                <w:sz w:val="20"/>
                <w:szCs w:val="28"/>
              </w:rPr>
              <w:t>(</w:t>
            </w:r>
            <w:proofErr w:type="spellStart"/>
            <w:r w:rsidR="004A4D88" w:rsidRPr="00614829">
              <w:rPr>
                <w:rStyle w:val="FootnotereferencessuperscriptMisc"/>
                <w:sz w:val="20"/>
                <w:szCs w:val="28"/>
              </w:rPr>
              <w:t>i</w:t>
            </w:r>
            <w:proofErr w:type="spellEnd"/>
            <w:r w:rsidR="004A4D88" w:rsidRPr="00614829">
              <w:rPr>
                <w:rStyle w:val="FootnotereferencessuperscriptMisc"/>
                <w:sz w:val="20"/>
                <w:szCs w:val="28"/>
              </w:rPr>
              <w:t>)</w:t>
            </w:r>
            <w:r w:rsidRPr="00614829">
              <w:rPr>
                <w:rStyle w:val="FootnotereferencessuperscriptMisc"/>
                <w:sz w:val="20"/>
                <w:szCs w:val="28"/>
              </w:rPr>
              <w:t xml:space="preserve"> </w:t>
            </w:r>
            <w:r w:rsidRPr="00FB7B82">
              <w:rPr>
                <w:rFonts w:asciiTheme="minorHAnsi" w:hAnsiTheme="minorHAnsi" w:cstheme="minorHAnsi"/>
                <w:sz w:val="20"/>
                <w:szCs w:val="28"/>
              </w:rPr>
              <w:t>Present Value</w:t>
            </w:r>
            <w:r>
              <w:rPr>
                <w:rFonts w:asciiTheme="minorHAnsi" w:hAnsiTheme="minorHAnsi" w:cstheme="minorHAnsi"/>
                <w:sz w:val="20"/>
                <w:szCs w:val="28"/>
              </w:rPr>
              <w:t xml:space="preserve"> </w:t>
            </w:r>
            <w:r w:rsidRPr="00FB7B82">
              <w:rPr>
                <w:rFonts w:asciiTheme="minorHAnsi" w:hAnsiTheme="minorHAnsi" w:cstheme="minorHAnsi"/>
                <w:sz w:val="20"/>
                <w:szCs w:val="28"/>
              </w:rPr>
              <w:t>($ thousand)</w:t>
            </w:r>
          </w:p>
        </w:tc>
        <w:tc>
          <w:tcPr>
            <w:tcW w:w="1573" w:type="dxa"/>
          </w:tcPr>
          <w:p w14:paraId="459A5744" w14:textId="3DE67536" w:rsidR="000756EB" w:rsidRPr="00FB7B82" w:rsidRDefault="00FB7B82" w:rsidP="00872462">
            <w:pPr>
              <w:pStyle w:val="TableColumnHeading"/>
              <w:jc w:val="right"/>
              <w:rPr>
                <w:rFonts w:asciiTheme="minorHAnsi" w:hAnsiTheme="minorHAnsi" w:cstheme="minorHAnsi"/>
                <w:sz w:val="20"/>
                <w:szCs w:val="28"/>
              </w:rPr>
            </w:pPr>
            <w:r w:rsidRPr="00FB7B82">
              <w:rPr>
                <w:rFonts w:asciiTheme="minorHAnsi" w:hAnsiTheme="minorHAnsi" w:cstheme="minorHAnsi"/>
                <w:sz w:val="20"/>
                <w:szCs w:val="28"/>
              </w:rPr>
              <w:t xml:space="preserve">2023 </w:t>
            </w:r>
            <w:r w:rsidR="004A4D88" w:rsidRPr="00FB7B82">
              <w:rPr>
                <w:rFonts w:asciiTheme="minorHAnsi" w:hAnsiTheme="minorHAnsi" w:cstheme="minorHAnsi"/>
                <w:sz w:val="20"/>
                <w:szCs w:val="28"/>
              </w:rPr>
              <w:t>Other</w:t>
            </w:r>
            <w:r w:rsidR="00A03629" w:rsidRPr="00FB7B82">
              <w:rPr>
                <w:rFonts w:asciiTheme="minorHAnsi" w:hAnsiTheme="minorHAnsi" w:cstheme="minorHAnsi"/>
                <w:sz w:val="20"/>
                <w:szCs w:val="28"/>
              </w:rPr>
              <w:t xml:space="preserve"> </w:t>
            </w:r>
            <w:r w:rsidR="004A4D88" w:rsidRPr="00FB7B82">
              <w:rPr>
                <w:rFonts w:asciiTheme="minorHAnsi" w:hAnsiTheme="minorHAnsi" w:cstheme="minorHAnsi"/>
                <w:sz w:val="20"/>
                <w:szCs w:val="28"/>
              </w:rPr>
              <w:t>Commitments</w:t>
            </w:r>
            <w:r>
              <w:rPr>
                <w:rFonts w:asciiTheme="minorHAnsi" w:hAnsiTheme="minorHAnsi" w:cstheme="minorHAnsi"/>
                <w:sz w:val="20"/>
                <w:szCs w:val="28"/>
              </w:rPr>
              <w:t xml:space="preserve"> </w:t>
            </w:r>
            <w:r w:rsidRPr="00FB7B82">
              <w:rPr>
                <w:rFonts w:asciiTheme="minorHAnsi" w:hAnsiTheme="minorHAnsi" w:cstheme="minorHAnsi"/>
                <w:sz w:val="20"/>
                <w:szCs w:val="28"/>
              </w:rPr>
              <w:t>Nominal Value</w:t>
            </w:r>
            <w:r>
              <w:rPr>
                <w:rFonts w:asciiTheme="minorHAnsi" w:hAnsiTheme="minorHAnsi" w:cstheme="minorHAnsi"/>
                <w:sz w:val="20"/>
                <w:szCs w:val="28"/>
              </w:rPr>
              <w:t xml:space="preserve"> </w:t>
            </w:r>
            <w:r w:rsidRPr="00FB7B82">
              <w:rPr>
                <w:rFonts w:asciiTheme="minorHAnsi" w:hAnsiTheme="minorHAnsi" w:cstheme="minorHAnsi"/>
                <w:sz w:val="20"/>
                <w:szCs w:val="28"/>
              </w:rPr>
              <w:t>($ thousand)</w:t>
            </w:r>
          </w:p>
        </w:tc>
        <w:tc>
          <w:tcPr>
            <w:tcW w:w="1572" w:type="dxa"/>
          </w:tcPr>
          <w:p w14:paraId="4D12AE75" w14:textId="026DB770" w:rsidR="000756EB" w:rsidRPr="00FB7B82" w:rsidRDefault="00FB7B82" w:rsidP="00872462">
            <w:pPr>
              <w:pStyle w:val="TableColumnHeading"/>
              <w:jc w:val="right"/>
              <w:rPr>
                <w:rFonts w:asciiTheme="minorHAnsi" w:hAnsiTheme="minorHAnsi" w:cstheme="minorHAnsi"/>
                <w:sz w:val="20"/>
                <w:szCs w:val="28"/>
              </w:rPr>
            </w:pPr>
            <w:r w:rsidRPr="00FB7B82">
              <w:rPr>
                <w:rFonts w:asciiTheme="minorHAnsi" w:hAnsiTheme="minorHAnsi" w:cstheme="minorHAnsi"/>
                <w:sz w:val="20"/>
                <w:szCs w:val="28"/>
              </w:rPr>
              <w:t>2022</w:t>
            </w:r>
            <w:r>
              <w:rPr>
                <w:rFonts w:asciiTheme="minorHAnsi" w:hAnsiTheme="minorHAnsi" w:cstheme="minorHAnsi"/>
                <w:sz w:val="20"/>
                <w:szCs w:val="28"/>
              </w:rPr>
              <w:t xml:space="preserve"> </w:t>
            </w:r>
            <w:r w:rsidR="004A4D88" w:rsidRPr="00FB7B82">
              <w:rPr>
                <w:rFonts w:asciiTheme="minorHAnsi" w:hAnsiTheme="minorHAnsi" w:cstheme="minorHAnsi"/>
                <w:sz w:val="20"/>
                <w:szCs w:val="28"/>
              </w:rPr>
              <w:t>Other</w:t>
            </w:r>
            <w:r w:rsidR="00A03629" w:rsidRPr="00FB7B82">
              <w:rPr>
                <w:rFonts w:asciiTheme="minorHAnsi" w:hAnsiTheme="minorHAnsi" w:cstheme="minorHAnsi"/>
                <w:sz w:val="20"/>
                <w:szCs w:val="28"/>
              </w:rPr>
              <w:t xml:space="preserve"> </w:t>
            </w:r>
            <w:r w:rsidR="004A4D88" w:rsidRPr="00FB7B82">
              <w:rPr>
                <w:rFonts w:asciiTheme="minorHAnsi" w:hAnsiTheme="minorHAnsi" w:cstheme="minorHAnsi"/>
                <w:sz w:val="20"/>
                <w:szCs w:val="28"/>
              </w:rPr>
              <w:t>Commitments</w:t>
            </w:r>
            <w:r w:rsidR="004A4D88" w:rsidRPr="00614829">
              <w:rPr>
                <w:rStyle w:val="FootnotereferencessuperscriptMisc"/>
                <w:sz w:val="20"/>
                <w:szCs w:val="28"/>
              </w:rPr>
              <w:t>(</w:t>
            </w:r>
            <w:proofErr w:type="spellStart"/>
            <w:r w:rsidR="004A4D88" w:rsidRPr="00614829">
              <w:rPr>
                <w:rStyle w:val="FootnotereferencessuperscriptMisc"/>
                <w:sz w:val="20"/>
                <w:szCs w:val="28"/>
              </w:rPr>
              <w:t>i</w:t>
            </w:r>
            <w:proofErr w:type="spellEnd"/>
            <w:r w:rsidR="004A4D88" w:rsidRPr="00614829">
              <w:rPr>
                <w:rStyle w:val="FootnotereferencessuperscriptMisc"/>
                <w:sz w:val="20"/>
                <w:szCs w:val="28"/>
              </w:rPr>
              <w:t>)</w:t>
            </w:r>
            <w:r w:rsidRPr="00614829">
              <w:rPr>
                <w:rStyle w:val="FootnotereferencessuperscriptMisc"/>
                <w:sz w:val="20"/>
                <w:szCs w:val="28"/>
              </w:rPr>
              <w:t xml:space="preserve"> </w:t>
            </w:r>
            <w:r w:rsidRPr="00FB7B82">
              <w:rPr>
                <w:rFonts w:asciiTheme="minorHAnsi" w:hAnsiTheme="minorHAnsi" w:cstheme="minorHAnsi"/>
                <w:sz w:val="20"/>
                <w:szCs w:val="28"/>
              </w:rPr>
              <w:t>Present Value</w:t>
            </w:r>
            <w:r>
              <w:rPr>
                <w:rFonts w:asciiTheme="minorHAnsi" w:hAnsiTheme="minorHAnsi" w:cstheme="minorHAnsi"/>
                <w:sz w:val="20"/>
                <w:szCs w:val="28"/>
              </w:rPr>
              <w:t xml:space="preserve"> </w:t>
            </w:r>
            <w:r w:rsidRPr="00FB7B82">
              <w:rPr>
                <w:rFonts w:asciiTheme="minorHAnsi" w:hAnsiTheme="minorHAnsi" w:cstheme="minorHAnsi"/>
                <w:sz w:val="20"/>
                <w:szCs w:val="28"/>
              </w:rPr>
              <w:t>($ thousand)</w:t>
            </w:r>
          </w:p>
        </w:tc>
        <w:tc>
          <w:tcPr>
            <w:tcW w:w="1573" w:type="dxa"/>
          </w:tcPr>
          <w:p w14:paraId="60BBA7C7" w14:textId="7AD2390F" w:rsidR="000756EB" w:rsidRPr="00FB7B82" w:rsidRDefault="00FB7B82" w:rsidP="00872462">
            <w:pPr>
              <w:pStyle w:val="TableColumnHeading"/>
              <w:jc w:val="right"/>
              <w:rPr>
                <w:rFonts w:asciiTheme="minorHAnsi" w:hAnsiTheme="minorHAnsi" w:cstheme="minorHAnsi"/>
                <w:sz w:val="20"/>
                <w:szCs w:val="28"/>
              </w:rPr>
            </w:pPr>
            <w:r w:rsidRPr="00FB7B82">
              <w:rPr>
                <w:rFonts w:asciiTheme="minorHAnsi" w:hAnsiTheme="minorHAnsi" w:cstheme="minorHAnsi"/>
                <w:sz w:val="20"/>
                <w:szCs w:val="28"/>
              </w:rPr>
              <w:t>2022</w:t>
            </w:r>
            <w:r>
              <w:rPr>
                <w:rFonts w:asciiTheme="minorHAnsi" w:hAnsiTheme="minorHAnsi" w:cstheme="minorHAnsi"/>
                <w:sz w:val="20"/>
                <w:szCs w:val="28"/>
              </w:rPr>
              <w:t xml:space="preserve"> </w:t>
            </w:r>
            <w:r w:rsidR="004A4D88" w:rsidRPr="00FB7B82">
              <w:rPr>
                <w:rFonts w:asciiTheme="minorHAnsi" w:hAnsiTheme="minorHAnsi" w:cstheme="minorHAnsi"/>
                <w:sz w:val="20"/>
                <w:szCs w:val="28"/>
              </w:rPr>
              <w:t>Other</w:t>
            </w:r>
            <w:r w:rsidRPr="00FB7B82">
              <w:rPr>
                <w:rFonts w:asciiTheme="minorHAnsi" w:hAnsiTheme="minorHAnsi" w:cstheme="minorHAnsi"/>
                <w:sz w:val="20"/>
                <w:szCs w:val="28"/>
              </w:rPr>
              <w:t xml:space="preserve"> </w:t>
            </w:r>
            <w:r w:rsidR="004A4D88" w:rsidRPr="00FB7B82">
              <w:rPr>
                <w:rFonts w:asciiTheme="minorHAnsi" w:hAnsiTheme="minorHAnsi" w:cstheme="minorHAnsi"/>
                <w:sz w:val="20"/>
                <w:szCs w:val="28"/>
              </w:rPr>
              <w:t>Commitments</w:t>
            </w:r>
            <w:r>
              <w:rPr>
                <w:rFonts w:asciiTheme="minorHAnsi" w:hAnsiTheme="minorHAnsi" w:cstheme="minorHAnsi"/>
                <w:sz w:val="20"/>
                <w:szCs w:val="28"/>
              </w:rPr>
              <w:t xml:space="preserve"> </w:t>
            </w:r>
            <w:r w:rsidRPr="00FB7B82">
              <w:rPr>
                <w:rFonts w:asciiTheme="minorHAnsi" w:hAnsiTheme="minorHAnsi" w:cstheme="minorHAnsi"/>
                <w:sz w:val="20"/>
                <w:szCs w:val="28"/>
              </w:rPr>
              <w:t>Nominal Value</w:t>
            </w:r>
            <w:r>
              <w:rPr>
                <w:rFonts w:asciiTheme="minorHAnsi" w:hAnsiTheme="minorHAnsi" w:cstheme="minorHAnsi"/>
                <w:sz w:val="20"/>
                <w:szCs w:val="28"/>
              </w:rPr>
              <w:t xml:space="preserve"> </w:t>
            </w:r>
            <w:r w:rsidRPr="00FB7B82">
              <w:rPr>
                <w:rFonts w:asciiTheme="minorHAnsi" w:hAnsiTheme="minorHAnsi" w:cstheme="minorHAnsi"/>
                <w:sz w:val="20"/>
                <w:szCs w:val="28"/>
              </w:rPr>
              <w:t>($ thousand)</w:t>
            </w:r>
          </w:p>
        </w:tc>
      </w:tr>
      <w:tr w:rsidR="000756EB" w:rsidRPr="003F5CC4" w14:paraId="3478FB96" w14:textId="77777777" w:rsidTr="00FB7B82">
        <w:trPr>
          <w:cantSplit/>
        </w:trPr>
        <w:tc>
          <w:tcPr>
            <w:tcW w:w="4195" w:type="dxa"/>
          </w:tcPr>
          <w:p w14:paraId="45E8BE1F" w14:textId="50C555C7" w:rsidR="000756EB" w:rsidRPr="003F5CC4" w:rsidRDefault="004A4D88" w:rsidP="00FB7B82">
            <w:pPr>
              <w:pStyle w:val="TableHeading"/>
              <w:rPr>
                <w:rFonts w:asciiTheme="minorHAnsi" w:hAnsiTheme="minorHAnsi" w:cstheme="minorHAnsi"/>
              </w:rPr>
            </w:pPr>
            <w:r w:rsidRPr="003F5CC4">
              <w:rPr>
                <w:rFonts w:asciiTheme="minorHAnsi" w:hAnsiTheme="minorHAnsi" w:cstheme="minorHAnsi"/>
              </w:rPr>
              <w:t>Commissioned</w:t>
            </w:r>
            <w:r w:rsidR="00A03629" w:rsidRPr="003F5CC4">
              <w:rPr>
                <w:rFonts w:asciiTheme="minorHAnsi" w:hAnsiTheme="minorHAnsi" w:cstheme="minorHAnsi"/>
              </w:rPr>
              <w:t xml:space="preserve"> </w:t>
            </w:r>
            <w:r w:rsidRPr="003F5CC4">
              <w:rPr>
                <w:rFonts w:asciiTheme="minorHAnsi" w:hAnsiTheme="minorHAnsi" w:cstheme="minorHAnsi"/>
              </w:rPr>
              <w:t>PPP</w:t>
            </w:r>
            <w:r w:rsidR="00A03629" w:rsidRPr="003F5CC4">
              <w:rPr>
                <w:rFonts w:asciiTheme="minorHAnsi" w:hAnsiTheme="minorHAnsi" w:cstheme="minorHAnsi"/>
              </w:rPr>
              <w:t xml:space="preserve"> </w:t>
            </w:r>
            <w:r w:rsidRPr="003F5CC4">
              <w:rPr>
                <w:rFonts w:asciiTheme="minorHAnsi" w:hAnsiTheme="minorHAnsi" w:cstheme="minorHAnsi"/>
              </w:rPr>
              <w:t>commitments</w:t>
            </w:r>
            <w:r w:rsidR="00A03629" w:rsidRPr="003F5CC4">
              <w:rPr>
                <w:rFonts w:asciiTheme="minorHAnsi" w:hAnsiTheme="minorHAnsi" w:cstheme="minorHAnsi"/>
              </w:rPr>
              <w:t xml:space="preserve"> </w:t>
            </w:r>
            <w:r w:rsidRPr="003F5CC4">
              <w:rPr>
                <w:rFonts w:asciiTheme="minorHAnsi" w:hAnsiTheme="minorHAnsi" w:cstheme="minorHAnsi"/>
              </w:rPr>
              <w:t>payable</w:t>
            </w:r>
          </w:p>
        </w:tc>
        <w:tc>
          <w:tcPr>
            <w:tcW w:w="1572" w:type="dxa"/>
          </w:tcPr>
          <w:p w14:paraId="0CD28195" w14:textId="77777777" w:rsidR="000756EB" w:rsidRPr="003F5CC4" w:rsidRDefault="000756EB" w:rsidP="00872462">
            <w:pPr>
              <w:pStyle w:val="TableHeading"/>
              <w:jc w:val="right"/>
              <w:rPr>
                <w:rFonts w:asciiTheme="minorHAnsi" w:hAnsiTheme="minorHAnsi" w:cstheme="minorHAnsi"/>
                <w:lang w:val="en-AU"/>
              </w:rPr>
            </w:pPr>
          </w:p>
        </w:tc>
        <w:tc>
          <w:tcPr>
            <w:tcW w:w="1573" w:type="dxa"/>
          </w:tcPr>
          <w:p w14:paraId="02C1EE33" w14:textId="77777777" w:rsidR="000756EB" w:rsidRPr="003F5CC4" w:rsidRDefault="000756EB" w:rsidP="00872462">
            <w:pPr>
              <w:pStyle w:val="TableHeading"/>
              <w:jc w:val="right"/>
              <w:rPr>
                <w:rFonts w:asciiTheme="minorHAnsi" w:hAnsiTheme="minorHAnsi" w:cstheme="minorHAnsi"/>
                <w:lang w:val="en-AU"/>
              </w:rPr>
            </w:pPr>
          </w:p>
        </w:tc>
        <w:tc>
          <w:tcPr>
            <w:tcW w:w="1572" w:type="dxa"/>
          </w:tcPr>
          <w:p w14:paraId="64DBCF6D" w14:textId="77777777" w:rsidR="000756EB" w:rsidRPr="003F5CC4" w:rsidRDefault="000756EB" w:rsidP="00872462">
            <w:pPr>
              <w:pStyle w:val="TableHeading"/>
              <w:jc w:val="right"/>
              <w:rPr>
                <w:rFonts w:asciiTheme="minorHAnsi" w:hAnsiTheme="minorHAnsi" w:cstheme="minorHAnsi"/>
                <w:lang w:val="en-AU"/>
              </w:rPr>
            </w:pPr>
          </w:p>
        </w:tc>
        <w:tc>
          <w:tcPr>
            <w:tcW w:w="1573" w:type="dxa"/>
          </w:tcPr>
          <w:p w14:paraId="5FB16B94" w14:textId="77777777" w:rsidR="000756EB" w:rsidRPr="003F5CC4" w:rsidRDefault="000756EB" w:rsidP="00872462">
            <w:pPr>
              <w:pStyle w:val="TableHeading"/>
              <w:jc w:val="right"/>
              <w:rPr>
                <w:rFonts w:asciiTheme="minorHAnsi" w:hAnsiTheme="minorHAnsi" w:cstheme="minorHAnsi"/>
                <w:lang w:val="en-AU"/>
              </w:rPr>
            </w:pPr>
          </w:p>
        </w:tc>
      </w:tr>
      <w:tr w:rsidR="000756EB" w:rsidRPr="003F5CC4" w14:paraId="7838A8A1" w14:textId="77777777" w:rsidTr="00FB7B82">
        <w:trPr>
          <w:cantSplit/>
        </w:trPr>
        <w:tc>
          <w:tcPr>
            <w:tcW w:w="4195" w:type="dxa"/>
          </w:tcPr>
          <w:p w14:paraId="205875C5" w14:textId="4F3355E4" w:rsidR="000756EB" w:rsidRPr="003F5CC4" w:rsidRDefault="004A4D88" w:rsidP="003F5CC4">
            <w:pPr>
              <w:pStyle w:val="TableCopy"/>
              <w:rPr>
                <w:rFonts w:asciiTheme="minorHAnsi" w:hAnsiTheme="minorHAnsi" w:cstheme="minorHAnsi"/>
              </w:rPr>
            </w:pPr>
            <w:r w:rsidRPr="003F5CC4">
              <w:rPr>
                <w:rFonts w:asciiTheme="minorHAnsi" w:hAnsiTheme="minorHAnsi" w:cstheme="minorHAnsi"/>
              </w:rPr>
              <w:t>Royal</w:t>
            </w:r>
            <w:r w:rsidR="00A03629" w:rsidRPr="003F5CC4">
              <w:rPr>
                <w:rFonts w:asciiTheme="minorHAnsi" w:hAnsiTheme="minorHAnsi" w:cstheme="minorHAnsi"/>
              </w:rPr>
              <w:t xml:space="preserve"> </w:t>
            </w:r>
            <w:r w:rsidRPr="003F5CC4">
              <w:rPr>
                <w:rFonts w:asciiTheme="minorHAnsi" w:hAnsiTheme="minorHAnsi" w:cstheme="minorHAnsi"/>
              </w:rPr>
              <w:t>Melbourne</w:t>
            </w:r>
            <w:r w:rsidR="00A03629" w:rsidRPr="003F5CC4">
              <w:rPr>
                <w:rFonts w:asciiTheme="minorHAnsi" w:hAnsiTheme="minorHAnsi" w:cstheme="minorHAnsi"/>
              </w:rPr>
              <w:t xml:space="preserve"> </w:t>
            </w:r>
            <w:r w:rsidRPr="003F5CC4">
              <w:rPr>
                <w:rFonts w:asciiTheme="minorHAnsi" w:hAnsiTheme="minorHAnsi" w:cstheme="minorHAnsi"/>
              </w:rPr>
              <w:t>Showgrounds</w:t>
            </w:r>
            <w:r w:rsidR="00A03629" w:rsidRPr="003F5CC4">
              <w:rPr>
                <w:rFonts w:asciiTheme="minorHAnsi" w:hAnsiTheme="minorHAnsi" w:cstheme="minorHAnsi"/>
              </w:rPr>
              <w:t xml:space="preserve"> </w:t>
            </w:r>
            <w:r w:rsidRPr="00614829">
              <w:rPr>
                <w:rStyle w:val="FootnotereferencessuperscriptMisc"/>
              </w:rPr>
              <w:t>(ii)</w:t>
            </w:r>
          </w:p>
        </w:tc>
        <w:tc>
          <w:tcPr>
            <w:tcW w:w="1572" w:type="dxa"/>
          </w:tcPr>
          <w:p w14:paraId="7CAADCF5" w14:textId="32F405FE" w:rsidR="000756EB" w:rsidRPr="003F5CC4" w:rsidRDefault="004A4D88" w:rsidP="00872462">
            <w:pPr>
              <w:pStyle w:val="TableCopy"/>
              <w:jc w:val="right"/>
              <w:rPr>
                <w:rFonts w:asciiTheme="minorHAnsi" w:hAnsiTheme="minorHAnsi" w:cstheme="minorHAnsi"/>
              </w:rPr>
            </w:pPr>
            <w:r w:rsidRPr="003F5CC4">
              <w:rPr>
                <w:rFonts w:asciiTheme="minorHAnsi" w:hAnsiTheme="minorHAnsi" w:cstheme="minorHAnsi"/>
              </w:rPr>
              <w:t>–</w:t>
            </w:r>
          </w:p>
        </w:tc>
        <w:tc>
          <w:tcPr>
            <w:tcW w:w="1573" w:type="dxa"/>
          </w:tcPr>
          <w:p w14:paraId="41EB8D67" w14:textId="6E7B65E1" w:rsidR="000756EB" w:rsidRPr="003F5CC4" w:rsidRDefault="004A4D88" w:rsidP="00872462">
            <w:pPr>
              <w:pStyle w:val="TableCopy"/>
              <w:jc w:val="right"/>
              <w:rPr>
                <w:rFonts w:asciiTheme="minorHAnsi" w:hAnsiTheme="minorHAnsi" w:cstheme="minorHAnsi"/>
              </w:rPr>
            </w:pPr>
            <w:r w:rsidRPr="003F5CC4">
              <w:rPr>
                <w:rFonts w:asciiTheme="minorHAnsi" w:hAnsiTheme="minorHAnsi" w:cstheme="minorHAnsi"/>
              </w:rPr>
              <w:t>–</w:t>
            </w:r>
          </w:p>
        </w:tc>
        <w:tc>
          <w:tcPr>
            <w:tcW w:w="1572" w:type="dxa"/>
          </w:tcPr>
          <w:p w14:paraId="049C7F90" w14:textId="1AFDD75F" w:rsidR="000756EB" w:rsidRPr="003F5CC4" w:rsidRDefault="004A4D88" w:rsidP="00872462">
            <w:pPr>
              <w:pStyle w:val="TableCopy"/>
              <w:jc w:val="right"/>
              <w:rPr>
                <w:rFonts w:asciiTheme="minorHAnsi" w:hAnsiTheme="minorHAnsi" w:cstheme="minorHAnsi"/>
              </w:rPr>
            </w:pPr>
            <w:r w:rsidRPr="003F5CC4">
              <w:rPr>
                <w:rFonts w:asciiTheme="minorHAnsi" w:hAnsiTheme="minorHAnsi" w:cstheme="minorHAnsi"/>
              </w:rPr>
              <w:t>17,278</w:t>
            </w:r>
          </w:p>
        </w:tc>
        <w:tc>
          <w:tcPr>
            <w:tcW w:w="1573" w:type="dxa"/>
          </w:tcPr>
          <w:p w14:paraId="02D6744F" w14:textId="7A2747E9" w:rsidR="000756EB" w:rsidRPr="003F5CC4" w:rsidRDefault="004A4D88" w:rsidP="00872462">
            <w:pPr>
              <w:pStyle w:val="TableCopy"/>
              <w:jc w:val="right"/>
              <w:rPr>
                <w:rFonts w:asciiTheme="minorHAnsi" w:hAnsiTheme="minorHAnsi" w:cstheme="minorHAnsi"/>
              </w:rPr>
            </w:pPr>
            <w:r w:rsidRPr="003F5CC4">
              <w:rPr>
                <w:rFonts w:asciiTheme="minorHAnsi" w:hAnsiTheme="minorHAnsi" w:cstheme="minorHAnsi"/>
              </w:rPr>
              <w:t>27,056</w:t>
            </w:r>
          </w:p>
        </w:tc>
      </w:tr>
      <w:tr w:rsidR="000756EB" w:rsidRPr="003F5CC4" w14:paraId="35C52CDD" w14:textId="77777777" w:rsidTr="00FB7B82">
        <w:trPr>
          <w:cantSplit/>
        </w:trPr>
        <w:tc>
          <w:tcPr>
            <w:tcW w:w="4195" w:type="dxa"/>
          </w:tcPr>
          <w:p w14:paraId="30AA0F98" w14:textId="38530DBC" w:rsidR="000756EB" w:rsidRPr="003F5CC4" w:rsidRDefault="004A4D88" w:rsidP="003F5CC4">
            <w:pPr>
              <w:pStyle w:val="TableCopy"/>
              <w:rPr>
                <w:rFonts w:asciiTheme="minorHAnsi" w:hAnsiTheme="minorHAnsi" w:cstheme="minorHAnsi"/>
              </w:rPr>
            </w:pPr>
            <w:r w:rsidRPr="003F5CC4">
              <w:rPr>
                <w:rFonts w:asciiTheme="minorHAnsi" w:hAnsiTheme="minorHAnsi" w:cstheme="minorHAnsi"/>
              </w:rPr>
              <w:t>Biosciences</w:t>
            </w:r>
            <w:r w:rsidR="00A03629" w:rsidRPr="003F5CC4">
              <w:rPr>
                <w:rFonts w:asciiTheme="minorHAnsi" w:hAnsiTheme="minorHAnsi" w:cstheme="minorHAnsi"/>
              </w:rPr>
              <w:t xml:space="preserve"> </w:t>
            </w:r>
            <w:r w:rsidRPr="003F5CC4">
              <w:rPr>
                <w:rFonts w:asciiTheme="minorHAnsi" w:hAnsiTheme="minorHAnsi" w:cstheme="minorHAnsi"/>
              </w:rPr>
              <w:t>Research</w:t>
            </w:r>
            <w:r w:rsidR="00A03629" w:rsidRPr="003F5CC4">
              <w:rPr>
                <w:rFonts w:asciiTheme="minorHAnsi" w:hAnsiTheme="minorHAnsi" w:cstheme="minorHAnsi"/>
              </w:rPr>
              <w:t xml:space="preserve"> </w:t>
            </w:r>
            <w:r w:rsidRPr="003F5CC4">
              <w:rPr>
                <w:rFonts w:asciiTheme="minorHAnsi" w:hAnsiTheme="minorHAnsi" w:cstheme="minorHAnsi"/>
              </w:rPr>
              <w:t>Centre</w:t>
            </w:r>
            <w:r w:rsidR="00A03629" w:rsidRPr="003F5CC4">
              <w:rPr>
                <w:rFonts w:asciiTheme="minorHAnsi" w:hAnsiTheme="minorHAnsi" w:cstheme="minorHAnsi"/>
              </w:rPr>
              <w:t xml:space="preserve"> </w:t>
            </w:r>
            <w:r w:rsidRPr="00614829">
              <w:rPr>
                <w:rStyle w:val="FootnotereferencessuperscriptMisc"/>
              </w:rPr>
              <w:t>(iii)</w:t>
            </w:r>
            <w:r w:rsidR="00A03629" w:rsidRPr="00614829">
              <w:rPr>
                <w:rStyle w:val="FootnotereferencessuperscriptMisc"/>
              </w:rPr>
              <w:t xml:space="preserve"> </w:t>
            </w:r>
            <w:r w:rsidRPr="00614829">
              <w:rPr>
                <w:rStyle w:val="FootnotereferencessuperscriptMisc"/>
              </w:rPr>
              <w:t>(iv)</w:t>
            </w:r>
          </w:p>
        </w:tc>
        <w:tc>
          <w:tcPr>
            <w:tcW w:w="1572" w:type="dxa"/>
          </w:tcPr>
          <w:p w14:paraId="07250261" w14:textId="762C1EB0" w:rsidR="000756EB" w:rsidRPr="003F5CC4" w:rsidRDefault="004A4D88" w:rsidP="00872462">
            <w:pPr>
              <w:pStyle w:val="TableCopy"/>
              <w:jc w:val="right"/>
              <w:rPr>
                <w:rFonts w:asciiTheme="minorHAnsi" w:hAnsiTheme="minorHAnsi" w:cstheme="minorHAnsi"/>
              </w:rPr>
            </w:pPr>
            <w:r w:rsidRPr="003F5CC4">
              <w:rPr>
                <w:rFonts w:asciiTheme="minorHAnsi" w:hAnsiTheme="minorHAnsi" w:cstheme="minorHAnsi"/>
              </w:rPr>
              <w:t>–</w:t>
            </w:r>
          </w:p>
        </w:tc>
        <w:tc>
          <w:tcPr>
            <w:tcW w:w="1573" w:type="dxa"/>
          </w:tcPr>
          <w:p w14:paraId="31D8F3A5" w14:textId="0AC0638E" w:rsidR="000756EB" w:rsidRPr="003F5CC4" w:rsidRDefault="004A4D88" w:rsidP="00872462">
            <w:pPr>
              <w:pStyle w:val="TableCopy"/>
              <w:jc w:val="right"/>
              <w:rPr>
                <w:rFonts w:asciiTheme="minorHAnsi" w:hAnsiTheme="minorHAnsi" w:cstheme="minorHAnsi"/>
              </w:rPr>
            </w:pPr>
            <w:r w:rsidRPr="003F5CC4">
              <w:rPr>
                <w:rFonts w:asciiTheme="minorHAnsi" w:hAnsiTheme="minorHAnsi" w:cstheme="minorHAnsi"/>
              </w:rPr>
              <w:t>–</w:t>
            </w:r>
          </w:p>
        </w:tc>
        <w:tc>
          <w:tcPr>
            <w:tcW w:w="1572" w:type="dxa"/>
          </w:tcPr>
          <w:p w14:paraId="6B07C174" w14:textId="57B74E07" w:rsidR="000756EB" w:rsidRPr="003F5CC4" w:rsidRDefault="004A4D88" w:rsidP="00872462">
            <w:pPr>
              <w:pStyle w:val="TableCopy"/>
              <w:jc w:val="right"/>
              <w:rPr>
                <w:rFonts w:asciiTheme="minorHAnsi" w:hAnsiTheme="minorHAnsi" w:cstheme="minorHAnsi"/>
              </w:rPr>
            </w:pPr>
            <w:r w:rsidRPr="003F5CC4">
              <w:rPr>
                <w:rFonts w:asciiTheme="minorHAnsi" w:hAnsiTheme="minorHAnsi" w:cstheme="minorHAnsi"/>
              </w:rPr>
              <w:t>127,932</w:t>
            </w:r>
          </w:p>
        </w:tc>
        <w:tc>
          <w:tcPr>
            <w:tcW w:w="1573" w:type="dxa"/>
          </w:tcPr>
          <w:p w14:paraId="2395680B" w14:textId="6727123E" w:rsidR="000756EB" w:rsidRPr="003F5CC4" w:rsidRDefault="004A4D88" w:rsidP="00872462">
            <w:pPr>
              <w:pStyle w:val="TableCopy"/>
              <w:jc w:val="right"/>
              <w:rPr>
                <w:rFonts w:asciiTheme="minorHAnsi" w:hAnsiTheme="minorHAnsi" w:cstheme="minorHAnsi"/>
              </w:rPr>
            </w:pPr>
            <w:r w:rsidRPr="003F5CC4">
              <w:rPr>
                <w:rFonts w:asciiTheme="minorHAnsi" w:hAnsiTheme="minorHAnsi" w:cstheme="minorHAnsi"/>
              </w:rPr>
              <w:t>238,033</w:t>
            </w:r>
          </w:p>
        </w:tc>
      </w:tr>
      <w:tr w:rsidR="000756EB" w:rsidRPr="003F5CC4" w14:paraId="7B74B489" w14:textId="77777777" w:rsidTr="00FB7B82">
        <w:trPr>
          <w:cantSplit/>
        </w:trPr>
        <w:tc>
          <w:tcPr>
            <w:tcW w:w="4195" w:type="dxa"/>
          </w:tcPr>
          <w:p w14:paraId="6856DCF8" w14:textId="22CDB101" w:rsidR="000756EB" w:rsidRPr="003F5CC4" w:rsidRDefault="004A4D88" w:rsidP="003F5CC4">
            <w:pPr>
              <w:pStyle w:val="TableCopy"/>
              <w:rPr>
                <w:b/>
                <w:bCs/>
              </w:rPr>
            </w:pPr>
            <w:r w:rsidRPr="003F5CC4">
              <w:rPr>
                <w:b/>
                <w:bCs/>
              </w:rPr>
              <w:t>Total</w:t>
            </w:r>
            <w:r w:rsidR="00A03629" w:rsidRPr="003F5CC4">
              <w:rPr>
                <w:b/>
                <w:bCs/>
              </w:rPr>
              <w:t xml:space="preserve"> </w:t>
            </w:r>
            <w:r w:rsidRPr="003F5CC4">
              <w:rPr>
                <w:b/>
                <w:bCs/>
              </w:rPr>
              <w:t>commitments</w:t>
            </w:r>
            <w:r w:rsidR="00A03629" w:rsidRPr="003F5CC4">
              <w:rPr>
                <w:b/>
                <w:bCs/>
              </w:rPr>
              <w:t xml:space="preserve"> </w:t>
            </w:r>
            <w:r w:rsidRPr="003F5CC4">
              <w:rPr>
                <w:b/>
                <w:bCs/>
              </w:rPr>
              <w:t>payable</w:t>
            </w:r>
            <w:r w:rsidR="00A03629" w:rsidRPr="003F5CC4">
              <w:rPr>
                <w:b/>
                <w:bCs/>
              </w:rPr>
              <w:t xml:space="preserve"> </w:t>
            </w:r>
            <w:r w:rsidRPr="003F5CC4">
              <w:rPr>
                <w:b/>
                <w:bCs/>
              </w:rPr>
              <w:t>for</w:t>
            </w:r>
            <w:r w:rsidR="00A03629" w:rsidRPr="003F5CC4">
              <w:rPr>
                <w:b/>
                <w:bCs/>
              </w:rPr>
              <w:t xml:space="preserve"> </w:t>
            </w:r>
            <w:r w:rsidRPr="003F5CC4">
              <w:rPr>
                <w:b/>
                <w:bCs/>
              </w:rPr>
              <w:t>PPPs</w:t>
            </w:r>
          </w:p>
        </w:tc>
        <w:tc>
          <w:tcPr>
            <w:tcW w:w="1572" w:type="dxa"/>
          </w:tcPr>
          <w:p w14:paraId="67680942" w14:textId="028B73E5" w:rsidR="000756EB" w:rsidRPr="003F5CC4" w:rsidRDefault="004A4D88" w:rsidP="00872462">
            <w:pPr>
              <w:pStyle w:val="TableCopy"/>
              <w:jc w:val="right"/>
              <w:rPr>
                <w:b/>
                <w:bCs/>
              </w:rPr>
            </w:pPr>
            <w:r w:rsidRPr="003F5CC4">
              <w:rPr>
                <w:b/>
                <w:bCs/>
              </w:rPr>
              <w:t>–</w:t>
            </w:r>
          </w:p>
        </w:tc>
        <w:tc>
          <w:tcPr>
            <w:tcW w:w="1573" w:type="dxa"/>
          </w:tcPr>
          <w:p w14:paraId="1D3809C9" w14:textId="38C9732E" w:rsidR="000756EB" w:rsidRPr="003F5CC4" w:rsidRDefault="004A4D88" w:rsidP="00872462">
            <w:pPr>
              <w:pStyle w:val="TableCopy"/>
              <w:jc w:val="right"/>
              <w:rPr>
                <w:b/>
                <w:bCs/>
              </w:rPr>
            </w:pPr>
            <w:r w:rsidRPr="003F5CC4">
              <w:rPr>
                <w:b/>
                <w:bCs/>
              </w:rPr>
              <w:t>–</w:t>
            </w:r>
          </w:p>
        </w:tc>
        <w:tc>
          <w:tcPr>
            <w:tcW w:w="1572" w:type="dxa"/>
          </w:tcPr>
          <w:p w14:paraId="09DC3193" w14:textId="2354851A" w:rsidR="000756EB" w:rsidRPr="003F5CC4" w:rsidRDefault="004A4D88" w:rsidP="00872462">
            <w:pPr>
              <w:pStyle w:val="TableCopy"/>
              <w:jc w:val="right"/>
              <w:rPr>
                <w:b/>
                <w:bCs/>
              </w:rPr>
            </w:pPr>
            <w:r w:rsidRPr="003F5CC4">
              <w:rPr>
                <w:b/>
                <w:bCs/>
              </w:rPr>
              <w:t>145,210</w:t>
            </w:r>
          </w:p>
        </w:tc>
        <w:tc>
          <w:tcPr>
            <w:tcW w:w="1573" w:type="dxa"/>
          </w:tcPr>
          <w:p w14:paraId="5F6687CD" w14:textId="7C8304AB" w:rsidR="000756EB" w:rsidRPr="003F5CC4" w:rsidRDefault="004A4D88" w:rsidP="00872462">
            <w:pPr>
              <w:pStyle w:val="TableCopy"/>
              <w:jc w:val="right"/>
              <w:rPr>
                <w:b/>
                <w:bCs/>
              </w:rPr>
            </w:pPr>
            <w:r w:rsidRPr="003F5CC4">
              <w:rPr>
                <w:b/>
                <w:bCs/>
              </w:rPr>
              <w:t>265,089</w:t>
            </w:r>
          </w:p>
        </w:tc>
      </w:tr>
      <w:tr w:rsidR="000756EB" w:rsidRPr="003F5CC4" w14:paraId="7FB814F0" w14:textId="77777777" w:rsidTr="00FB7B82">
        <w:trPr>
          <w:cantSplit/>
        </w:trPr>
        <w:tc>
          <w:tcPr>
            <w:tcW w:w="4195" w:type="dxa"/>
          </w:tcPr>
          <w:p w14:paraId="473EEFA5" w14:textId="70C0B126" w:rsidR="000756EB" w:rsidRPr="003F5CC4" w:rsidRDefault="004A4D88" w:rsidP="003F5CC4">
            <w:pPr>
              <w:pStyle w:val="TableHeading"/>
              <w:rPr>
                <w:rFonts w:asciiTheme="minorHAnsi" w:hAnsiTheme="minorHAnsi" w:cstheme="minorHAnsi"/>
              </w:rPr>
            </w:pPr>
            <w:r w:rsidRPr="003F5CC4">
              <w:rPr>
                <w:rFonts w:asciiTheme="minorHAnsi" w:hAnsiTheme="minorHAnsi" w:cstheme="minorHAnsi"/>
              </w:rPr>
              <w:t>Commissioned</w:t>
            </w:r>
            <w:r w:rsidR="00A03629" w:rsidRPr="003F5CC4">
              <w:rPr>
                <w:rFonts w:asciiTheme="minorHAnsi" w:hAnsiTheme="minorHAnsi" w:cstheme="minorHAnsi"/>
              </w:rPr>
              <w:t xml:space="preserve"> </w:t>
            </w:r>
            <w:r w:rsidRPr="003F5CC4">
              <w:rPr>
                <w:rFonts w:asciiTheme="minorHAnsi" w:hAnsiTheme="minorHAnsi" w:cstheme="minorHAnsi"/>
              </w:rPr>
              <w:t>PPP</w:t>
            </w:r>
            <w:r w:rsidR="00A03629" w:rsidRPr="003F5CC4">
              <w:rPr>
                <w:rFonts w:asciiTheme="minorHAnsi" w:hAnsiTheme="minorHAnsi" w:cstheme="minorHAnsi"/>
              </w:rPr>
              <w:t xml:space="preserve"> </w:t>
            </w:r>
            <w:r w:rsidRPr="003F5CC4">
              <w:rPr>
                <w:rFonts w:asciiTheme="minorHAnsi" w:hAnsiTheme="minorHAnsi" w:cstheme="minorHAnsi"/>
              </w:rPr>
              <w:t>commitments</w:t>
            </w:r>
            <w:r w:rsidR="00A03629" w:rsidRPr="003F5CC4">
              <w:rPr>
                <w:rFonts w:asciiTheme="minorHAnsi" w:hAnsiTheme="minorHAnsi" w:cstheme="minorHAnsi"/>
              </w:rPr>
              <w:t xml:space="preserve"> </w:t>
            </w:r>
            <w:r w:rsidRPr="003F5CC4">
              <w:rPr>
                <w:rFonts w:asciiTheme="minorHAnsi" w:hAnsiTheme="minorHAnsi" w:cstheme="minorHAnsi"/>
              </w:rPr>
              <w:t>receivable</w:t>
            </w:r>
          </w:p>
        </w:tc>
        <w:tc>
          <w:tcPr>
            <w:tcW w:w="1572" w:type="dxa"/>
          </w:tcPr>
          <w:p w14:paraId="547C5ACA" w14:textId="77777777" w:rsidR="000756EB" w:rsidRPr="003F5CC4" w:rsidRDefault="000756EB" w:rsidP="00872462">
            <w:pPr>
              <w:pStyle w:val="TableHeading"/>
              <w:jc w:val="right"/>
              <w:rPr>
                <w:rFonts w:asciiTheme="minorHAnsi" w:hAnsiTheme="minorHAnsi" w:cstheme="minorHAnsi"/>
                <w:lang w:val="en-AU"/>
              </w:rPr>
            </w:pPr>
          </w:p>
        </w:tc>
        <w:tc>
          <w:tcPr>
            <w:tcW w:w="1573" w:type="dxa"/>
          </w:tcPr>
          <w:p w14:paraId="41B3ED05" w14:textId="77777777" w:rsidR="000756EB" w:rsidRPr="003F5CC4" w:rsidRDefault="000756EB" w:rsidP="00872462">
            <w:pPr>
              <w:pStyle w:val="TableHeading"/>
              <w:jc w:val="right"/>
              <w:rPr>
                <w:rFonts w:asciiTheme="minorHAnsi" w:hAnsiTheme="minorHAnsi" w:cstheme="minorHAnsi"/>
                <w:lang w:val="en-AU"/>
              </w:rPr>
            </w:pPr>
          </w:p>
        </w:tc>
        <w:tc>
          <w:tcPr>
            <w:tcW w:w="1572" w:type="dxa"/>
          </w:tcPr>
          <w:p w14:paraId="2E98B966" w14:textId="77777777" w:rsidR="000756EB" w:rsidRPr="003F5CC4" w:rsidRDefault="000756EB" w:rsidP="00872462">
            <w:pPr>
              <w:pStyle w:val="TableHeading"/>
              <w:jc w:val="right"/>
              <w:rPr>
                <w:rFonts w:asciiTheme="minorHAnsi" w:hAnsiTheme="minorHAnsi" w:cstheme="minorHAnsi"/>
                <w:lang w:val="en-AU"/>
              </w:rPr>
            </w:pPr>
          </w:p>
        </w:tc>
        <w:tc>
          <w:tcPr>
            <w:tcW w:w="1573" w:type="dxa"/>
          </w:tcPr>
          <w:p w14:paraId="340D5D11" w14:textId="77777777" w:rsidR="000756EB" w:rsidRPr="003F5CC4" w:rsidRDefault="000756EB" w:rsidP="00872462">
            <w:pPr>
              <w:pStyle w:val="TableHeading"/>
              <w:jc w:val="right"/>
              <w:rPr>
                <w:rFonts w:asciiTheme="minorHAnsi" w:hAnsiTheme="minorHAnsi" w:cstheme="minorHAnsi"/>
                <w:lang w:val="en-AU"/>
              </w:rPr>
            </w:pPr>
          </w:p>
        </w:tc>
      </w:tr>
      <w:tr w:rsidR="000756EB" w:rsidRPr="003F5CC4" w14:paraId="252358A0" w14:textId="77777777" w:rsidTr="00FB7B82">
        <w:trPr>
          <w:cantSplit/>
        </w:trPr>
        <w:tc>
          <w:tcPr>
            <w:tcW w:w="4195" w:type="dxa"/>
          </w:tcPr>
          <w:p w14:paraId="54082B21" w14:textId="663442E8" w:rsidR="000756EB" w:rsidRPr="003F5CC4" w:rsidRDefault="004A4D88" w:rsidP="003F5CC4">
            <w:pPr>
              <w:pStyle w:val="TableCopy"/>
              <w:rPr>
                <w:rFonts w:asciiTheme="minorHAnsi" w:hAnsiTheme="minorHAnsi" w:cstheme="minorHAnsi"/>
              </w:rPr>
            </w:pPr>
            <w:r w:rsidRPr="003F5CC4">
              <w:rPr>
                <w:rFonts w:asciiTheme="minorHAnsi" w:hAnsiTheme="minorHAnsi" w:cstheme="minorHAnsi"/>
              </w:rPr>
              <w:t>Royal</w:t>
            </w:r>
            <w:r w:rsidR="00A03629" w:rsidRPr="003F5CC4">
              <w:rPr>
                <w:rFonts w:asciiTheme="minorHAnsi" w:hAnsiTheme="minorHAnsi" w:cstheme="minorHAnsi"/>
              </w:rPr>
              <w:t xml:space="preserve"> </w:t>
            </w:r>
            <w:r w:rsidRPr="003F5CC4">
              <w:rPr>
                <w:rFonts w:asciiTheme="minorHAnsi" w:hAnsiTheme="minorHAnsi" w:cstheme="minorHAnsi"/>
              </w:rPr>
              <w:t>Melbourne</w:t>
            </w:r>
            <w:r w:rsidR="00A03629" w:rsidRPr="003F5CC4">
              <w:rPr>
                <w:rFonts w:asciiTheme="minorHAnsi" w:hAnsiTheme="minorHAnsi" w:cstheme="minorHAnsi"/>
              </w:rPr>
              <w:t xml:space="preserve"> </w:t>
            </w:r>
            <w:r w:rsidRPr="003F5CC4">
              <w:rPr>
                <w:rFonts w:asciiTheme="minorHAnsi" w:hAnsiTheme="minorHAnsi" w:cstheme="minorHAnsi"/>
              </w:rPr>
              <w:t>Showgrounds</w:t>
            </w:r>
            <w:r w:rsidR="00A03629" w:rsidRPr="003F5CC4">
              <w:rPr>
                <w:rFonts w:asciiTheme="minorHAnsi" w:hAnsiTheme="minorHAnsi" w:cstheme="minorHAnsi"/>
              </w:rPr>
              <w:t xml:space="preserve"> </w:t>
            </w:r>
            <w:r w:rsidRPr="00614829">
              <w:rPr>
                <w:rStyle w:val="FootnotereferencessuperscriptMisc"/>
              </w:rPr>
              <w:t>(ii)</w:t>
            </w:r>
          </w:p>
        </w:tc>
        <w:tc>
          <w:tcPr>
            <w:tcW w:w="1572" w:type="dxa"/>
          </w:tcPr>
          <w:p w14:paraId="586B7936" w14:textId="2A971E37" w:rsidR="000756EB" w:rsidRPr="003F5CC4" w:rsidRDefault="004A4D88" w:rsidP="00872462">
            <w:pPr>
              <w:pStyle w:val="TableCopy"/>
              <w:jc w:val="right"/>
              <w:rPr>
                <w:rFonts w:asciiTheme="minorHAnsi" w:hAnsiTheme="minorHAnsi" w:cstheme="minorHAnsi"/>
              </w:rPr>
            </w:pPr>
            <w:r w:rsidRPr="003F5CC4">
              <w:rPr>
                <w:rFonts w:asciiTheme="minorHAnsi" w:hAnsiTheme="minorHAnsi" w:cstheme="minorHAnsi"/>
              </w:rPr>
              <w:t>–</w:t>
            </w:r>
          </w:p>
        </w:tc>
        <w:tc>
          <w:tcPr>
            <w:tcW w:w="1573" w:type="dxa"/>
          </w:tcPr>
          <w:p w14:paraId="2E15FFDC" w14:textId="7365FCFD" w:rsidR="000756EB" w:rsidRPr="003F5CC4" w:rsidRDefault="004A4D88" w:rsidP="00872462">
            <w:pPr>
              <w:pStyle w:val="TableCopy"/>
              <w:jc w:val="right"/>
              <w:rPr>
                <w:rFonts w:asciiTheme="minorHAnsi" w:hAnsiTheme="minorHAnsi" w:cstheme="minorHAnsi"/>
              </w:rPr>
            </w:pPr>
            <w:r w:rsidRPr="003F5CC4">
              <w:rPr>
                <w:rFonts w:asciiTheme="minorHAnsi" w:hAnsiTheme="minorHAnsi" w:cstheme="minorHAnsi"/>
              </w:rPr>
              <w:t>–</w:t>
            </w:r>
          </w:p>
        </w:tc>
        <w:tc>
          <w:tcPr>
            <w:tcW w:w="1572" w:type="dxa"/>
          </w:tcPr>
          <w:p w14:paraId="1D055C56" w14:textId="77777777" w:rsidR="000756EB" w:rsidRPr="003F5CC4" w:rsidRDefault="004A4D88" w:rsidP="00872462">
            <w:pPr>
              <w:pStyle w:val="TableCopy"/>
              <w:jc w:val="right"/>
              <w:rPr>
                <w:rFonts w:asciiTheme="minorHAnsi" w:hAnsiTheme="minorHAnsi" w:cstheme="minorHAnsi"/>
              </w:rPr>
            </w:pPr>
            <w:r w:rsidRPr="003F5CC4">
              <w:rPr>
                <w:rFonts w:asciiTheme="minorHAnsi" w:hAnsiTheme="minorHAnsi" w:cstheme="minorHAnsi"/>
              </w:rPr>
              <w:t>(8,639)</w:t>
            </w:r>
          </w:p>
        </w:tc>
        <w:tc>
          <w:tcPr>
            <w:tcW w:w="1573" w:type="dxa"/>
          </w:tcPr>
          <w:p w14:paraId="71B418AB" w14:textId="77777777" w:rsidR="000756EB" w:rsidRPr="003F5CC4" w:rsidRDefault="004A4D88" w:rsidP="00872462">
            <w:pPr>
              <w:pStyle w:val="TableCopy"/>
              <w:jc w:val="right"/>
              <w:rPr>
                <w:rFonts w:asciiTheme="minorHAnsi" w:hAnsiTheme="minorHAnsi" w:cstheme="minorHAnsi"/>
              </w:rPr>
            </w:pPr>
            <w:r w:rsidRPr="003F5CC4">
              <w:rPr>
                <w:rFonts w:asciiTheme="minorHAnsi" w:hAnsiTheme="minorHAnsi" w:cstheme="minorHAnsi"/>
              </w:rPr>
              <w:t>(13,528)</w:t>
            </w:r>
          </w:p>
        </w:tc>
      </w:tr>
      <w:tr w:rsidR="000756EB" w:rsidRPr="003F5CC4" w14:paraId="3FE25BE0" w14:textId="77777777" w:rsidTr="00FB7B82">
        <w:trPr>
          <w:cantSplit/>
        </w:trPr>
        <w:tc>
          <w:tcPr>
            <w:tcW w:w="4195" w:type="dxa"/>
          </w:tcPr>
          <w:p w14:paraId="580BB961" w14:textId="27CD51B1" w:rsidR="000756EB" w:rsidRPr="003F5CC4" w:rsidRDefault="004A4D88" w:rsidP="003F5CC4">
            <w:pPr>
              <w:pStyle w:val="TableCopy"/>
              <w:rPr>
                <w:rFonts w:asciiTheme="minorHAnsi" w:hAnsiTheme="minorHAnsi" w:cstheme="minorHAnsi"/>
              </w:rPr>
            </w:pPr>
            <w:r w:rsidRPr="003F5CC4">
              <w:rPr>
                <w:rFonts w:asciiTheme="minorHAnsi" w:hAnsiTheme="minorHAnsi" w:cstheme="minorHAnsi"/>
              </w:rPr>
              <w:t>Biosciences</w:t>
            </w:r>
            <w:r w:rsidR="00A03629" w:rsidRPr="003F5CC4">
              <w:rPr>
                <w:rFonts w:asciiTheme="minorHAnsi" w:hAnsiTheme="minorHAnsi" w:cstheme="minorHAnsi"/>
              </w:rPr>
              <w:t xml:space="preserve"> </w:t>
            </w:r>
            <w:r w:rsidRPr="003F5CC4">
              <w:rPr>
                <w:rFonts w:asciiTheme="minorHAnsi" w:hAnsiTheme="minorHAnsi" w:cstheme="minorHAnsi"/>
              </w:rPr>
              <w:t>Research</w:t>
            </w:r>
            <w:r w:rsidR="00A03629" w:rsidRPr="003F5CC4">
              <w:rPr>
                <w:rFonts w:asciiTheme="minorHAnsi" w:hAnsiTheme="minorHAnsi" w:cstheme="minorHAnsi"/>
              </w:rPr>
              <w:t xml:space="preserve"> </w:t>
            </w:r>
            <w:r w:rsidRPr="003F5CC4">
              <w:rPr>
                <w:rFonts w:asciiTheme="minorHAnsi" w:hAnsiTheme="minorHAnsi" w:cstheme="minorHAnsi"/>
              </w:rPr>
              <w:t>Centre</w:t>
            </w:r>
            <w:r w:rsidR="00A03629" w:rsidRPr="003F5CC4">
              <w:rPr>
                <w:rFonts w:asciiTheme="minorHAnsi" w:hAnsiTheme="minorHAnsi" w:cstheme="minorHAnsi"/>
              </w:rPr>
              <w:t xml:space="preserve"> </w:t>
            </w:r>
            <w:r w:rsidRPr="00614829">
              <w:rPr>
                <w:rStyle w:val="FootnotereferencessuperscriptMisc"/>
              </w:rPr>
              <w:t>(iii)</w:t>
            </w:r>
            <w:r w:rsidR="00A03629" w:rsidRPr="00614829">
              <w:rPr>
                <w:rStyle w:val="FootnotereferencessuperscriptMisc"/>
              </w:rPr>
              <w:t xml:space="preserve"> </w:t>
            </w:r>
            <w:r w:rsidRPr="00614829">
              <w:rPr>
                <w:rStyle w:val="FootnotereferencessuperscriptMisc"/>
              </w:rPr>
              <w:t>(iv)</w:t>
            </w:r>
          </w:p>
        </w:tc>
        <w:tc>
          <w:tcPr>
            <w:tcW w:w="1572" w:type="dxa"/>
          </w:tcPr>
          <w:p w14:paraId="54D3B479" w14:textId="74D885E1" w:rsidR="000756EB" w:rsidRPr="003F5CC4" w:rsidRDefault="004A4D88" w:rsidP="00872462">
            <w:pPr>
              <w:pStyle w:val="TableCopy"/>
              <w:jc w:val="right"/>
              <w:rPr>
                <w:rFonts w:asciiTheme="minorHAnsi" w:hAnsiTheme="minorHAnsi" w:cstheme="minorHAnsi"/>
              </w:rPr>
            </w:pPr>
            <w:r w:rsidRPr="003F5CC4">
              <w:rPr>
                <w:rFonts w:asciiTheme="minorHAnsi" w:hAnsiTheme="minorHAnsi" w:cstheme="minorHAnsi"/>
              </w:rPr>
              <w:t>–</w:t>
            </w:r>
          </w:p>
        </w:tc>
        <w:tc>
          <w:tcPr>
            <w:tcW w:w="1573" w:type="dxa"/>
          </w:tcPr>
          <w:p w14:paraId="58BF77EC" w14:textId="3A239E4D" w:rsidR="000756EB" w:rsidRPr="003F5CC4" w:rsidRDefault="004A4D88" w:rsidP="00872462">
            <w:pPr>
              <w:pStyle w:val="TableCopy"/>
              <w:jc w:val="right"/>
              <w:rPr>
                <w:rFonts w:asciiTheme="minorHAnsi" w:hAnsiTheme="minorHAnsi" w:cstheme="minorHAnsi"/>
              </w:rPr>
            </w:pPr>
            <w:r w:rsidRPr="003F5CC4">
              <w:rPr>
                <w:rFonts w:asciiTheme="minorHAnsi" w:hAnsiTheme="minorHAnsi" w:cstheme="minorHAnsi"/>
              </w:rPr>
              <w:t>–</w:t>
            </w:r>
          </w:p>
        </w:tc>
        <w:tc>
          <w:tcPr>
            <w:tcW w:w="1572" w:type="dxa"/>
          </w:tcPr>
          <w:p w14:paraId="44687D23" w14:textId="77777777" w:rsidR="000756EB" w:rsidRPr="003F5CC4" w:rsidRDefault="004A4D88" w:rsidP="00872462">
            <w:pPr>
              <w:pStyle w:val="TableCopy"/>
              <w:jc w:val="right"/>
              <w:rPr>
                <w:rFonts w:asciiTheme="minorHAnsi" w:hAnsiTheme="minorHAnsi" w:cstheme="minorHAnsi"/>
              </w:rPr>
            </w:pPr>
            <w:r w:rsidRPr="003F5CC4">
              <w:rPr>
                <w:rFonts w:asciiTheme="minorHAnsi" w:hAnsiTheme="minorHAnsi" w:cstheme="minorHAnsi"/>
              </w:rPr>
              <w:t>(10,689)</w:t>
            </w:r>
          </w:p>
        </w:tc>
        <w:tc>
          <w:tcPr>
            <w:tcW w:w="1573" w:type="dxa"/>
          </w:tcPr>
          <w:p w14:paraId="779590D6" w14:textId="77777777" w:rsidR="000756EB" w:rsidRPr="003F5CC4" w:rsidRDefault="004A4D88" w:rsidP="00872462">
            <w:pPr>
              <w:pStyle w:val="TableCopy"/>
              <w:jc w:val="right"/>
              <w:rPr>
                <w:rFonts w:asciiTheme="minorHAnsi" w:hAnsiTheme="minorHAnsi" w:cstheme="minorHAnsi"/>
              </w:rPr>
            </w:pPr>
            <w:r w:rsidRPr="003F5CC4">
              <w:rPr>
                <w:rFonts w:asciiTheme="minorHAnsi" w:hAnsiTheme="minorHAnsi" w:cstheme="minorHAnsi"/>
              </w:rPr>
              <w:t>(19,521)</w:t>
            </w:r>
          </w:p>
        </w:tc>
      </w:tr>
      <w:tr w:rsidR="000756EB" w:rsidRPr="003F5CC4" w14:paraId="3278F22E" w14:textId="77777777" w:rsidTr="00FB7B82">
        <w:trPr>
          <w:cantSplit/>
        </w:trPr>
        <w:tc>
          <w:tcPr>
            <w:tcW w:w="4195" w:type="dxa"/>
          </w:tcPr>
          <w:p w14:paraId="69EB7D35" w14:textId="04727D70" w:rsidR="000756EB" w:rsidRPr="003F5CC4" w:rsidRDefault="004A4D88" w:rsidP="003F5CC4">
            <w:pPr>
              <w:pStyle w:val="TableCopy"/>
              <w:rPr>
                <w:rFonts w:asciiTheme="minorHAnsi" w:hAnsiTheme="minorHAnsi" w:cstheme="minorHAnsi"/>
              </w:rPr>
            </w:pPr>
            <w:r w:rsidRPr="003F5CC4">
              <w:rPr>
                <w:rFonts w:asciiTheme="minorHAnsi" w:hAnsiTheme="minorHAnsi" w:cstheme="minorHAnsi"/>
              </w:rPr>
              <w:t>Less</w:t>
            </w:r>
            <w:r w:rsidR="00A03629" w:rsidRPr="003F5CC4">
              <w:rPr>
                <w:rFonts w:asciiTheme="minorHAnsi" w:hAnsiTheme="minorHAnsi" w:cstheme="minorHAnsi"/>
              </w:rPr>
              <w:t xml:space="preserve"> </w:t>
            </w:r>
            <w:r w:rsidRPr="003F5CC4">
              <w:rPr>
                <w:rFonts w:asciiTheme="minorHAnsi" w:hAnsiTheme="minorHAnsi" w:cstheme="minorHAnsi"/>
              </w:rPr>
              <w:t>GST</w:t>
            </w:r>
            <w:r w:rsidR="00A03629" w:rsidRPr="003F5CC4">
              <w:rPr>
                <w:rFonts w:asciiTheme="minorHAnsi" w:hAnsiTheme="minorHAnsi" w:cstheme="minorHAnsi"/>
              </w:rPr>
              <w:t xml:space="preserve"> </w:t>
            </w:r>
            <w:r w:rsidRPr="003F5CC4">
              <w:rPr>
                <w:rFonts w:asciiTheme="minorHAnsi" w:hAnsiTheme="minorHAnsi" w:cstheme="minorHAnsi"/>
              </w:rPr>
              <w:t>recoverable</w:t>
            </w:r>
            <w:r w:rsidR="00A03629" w:rsidRPr="003F5CC4">
              <w:rPr>
                <w:rFonts w:asciiTheme="minorHAnsi" w:hAnsiTheme="minorHAnsi" w:cstheme="minorHAnsi"/>
              </w:rPr>
              <w:t xml:space="preserve"> </w:t>
            </w:r>
            <w:r w:rsidRPr="003F5CC4">
              <w:rPr>
                <w:rFonts w:asciiTheme="minorHAnsi" w:hAnsiTheme="minorHAnsi" w:cstheme="minorHAnsi"/>
              </w:rPr>
              <w:t>from</w:t>
            </w:r>
            <w:r w:rsidR="00A03629" w:rsidRPr="003F5CC4">
              <w:rPr>
                <w:rFonts w:asciiTheme="minorHAnsi" w:hAnsiTheme="minorHAnsi" w:cstheme="minorHAnsi"/>
              </w:rPr>
              <w:t xml:space="preserve"> </w:t>
            </w:r>
            <w:r w:rsidRPr="003F5CC4">
              <w:rPr>
                <w:rFonts w:asciiTheme="minorHAnsi" w:hAnsiTheme="minorHAnsi" w:cstheme="minorHAnsi"/>
              </w:rPr>
              <w:t>the</w:t>
            </w:r>
            <w:r w:rsidR="00A03629" w:rsidRPr="003F5CC4">
              <w:rPr>
                <w:rFonts w:asciiTheme="minorHAnsi" w:hAnsiTheme="minorHAnsi" w:cstheme="minorHAnsi"/>
              </w:rPr>
              <w:t xml:space="preserve"> </w:t>
            </w:r>
            <w:r w:rsidRPr="003F5CC4">
              <w:rPr>
                <w:rFonts w:asciiTheme="minorHAnsi" w:hAnsiTheme="minorHAnsi" w:cstheme="minorHAnsi"/>
              </w:rPr>
              <w:t>ATO</w:t>
            </w:r>
          </w:p>
        </w:tc>
        <w:tc>
          <w:tcPr>
            <w:tcW w:w="1572" w:type="dxa"/>
          </w:tcPr>
          <w:p w14:paraId="0A2F5C7C" w14:textId="6388370E" w:rsidR="000756EB" w:rsidRPr="003F5CC4" w:rsidRDefault="004A4D88" w:rsidP="00872462">
            <w:pPr>
              <w:pStyle w:val="TableCopy"/>
              <w:jc w:val="right"/>
              <w:rPr>
                <w:rFonts w:asciiTheme="minorHAnsi" w:hAnsiTheme="minorHAnsi" w:cstheme="minorHAnsi"/>
              </w:rPr>
            </w:pPr>
            <w:r w:rsidRPr="003F5CC4">
              <w:rPr>
                <w:rFonts w:asciiTheme="minorHAnsi" w:hAnsiTheme="minorHAnsi" w:cstheme="minorHAnsi"/>
              </w:rPr>
              <w:t>–</w:t>
            </w:r>
          </w:p>
        </w:tc>
        <w:tc>
          <w:tcPr>
            <w:tcW w:w="1573" w:type="dxa"/>
          </w:tcPr>
          <w:p w14:paraId="55FBA8AF" w14:textId="68B93C04" w:rsidR="000756EB" w:rsidRPr="003F5CC4" w:rsidRDefault="004A4D88" w:rsidP="00872462">
            <w:pPr>
              <w:pStyle w:val="TableCopy"/>
              <w:jc w:val="right"/>
              <w:rPr>
                <w:rFonts w:asciiTheme="minorHAnsi" w:hAnsiTheme="minorHAnsi" w:cstheme="minorHAnsi"/>
              </w:rPr>
            </w:pPr>
            <w:r w:rsidRPr="003F5CC4">
              <w:rPr>
                <w:rFonts w:asciiTheme="minorHAnsi" w:hAnsiTheme="minorHAnsi" w:cstheme="minorHAnsi"/>
              </w:rPr>
              <w:t>–</w:t>
            </w:r>
          </w:p>
        </w:tc>
        <w:tc>
          <w:tcPr>
            <w:tcW w:w="1572" w:type="dxa"/>
          </w:tcPr>
          <w:p w14:paraId="32831EC9" w14:textId="25404F2E" w:rsidR="000756EB" w:rsidRPr="003F5CC4" w:rsidRDefault="004A4D88" w:rsidP="00872462">
            <w:pPr>
              <w:pStyle w:val="TableCopy"/>
              <w:jc w:val="right"/>
              <w:rPr>
                <w:rFonts w:asciiTheme="minorHAnsi" w:hAnsiTheme="minorHAnsi" w:cstheme="minorHAnsi"/>
              </w:rPr>
            </w:pPr>
            <w:r w:rsidRPr="003F5CC4">
              <w:rPr>
                <w:rFonts w:asciiTheme="minorHAnsi" w:hAnsiTheme="minorHAnsi" w:cstheme="minorHAnsi"/>
              </w:rPr>
              <w:t>(11,443)</w:t>
            </w:r>
          </w:p>
        </w:tc>
        <w:tc>
          <w:tcPr>
            <w:tcW w:w="1573" w:type="dxa"/>
          </w:tcPr>
          <w:p w14:paraId="6B40DD5C" w14:textId="2F2A5681" w:rsidR="000756EB" w:rsidRPr="003F5CC4" w:rsidRDefault="004A4D88" w:rsidP="00872462">
            <w:pPr>
              <w:pStyle w:val="TableCopy"/>
              <w:jc w:val="right"/>
              <w:rPr>
                <w:rFonts w:asciiTheme="minorHAnsi" w:hAnsiTheme="minorHAnsi" w:cstheme="minorHAnsi"/>
              </w:rPr>
            </w:pPr>
            <w:r w:rsidRPr="003F5CC4">
              <w:rPr>
                <w:rFonts w:asciiTheme="minorHAnsi" w:hAnsiTheme="minorHAnsi" w:cstheme="minorHAnsi"/>
              </w:rPr>
              <w:t>(21,095)</w:t>
            </w:r>
          </w:p>
        </w:tc>
      </w:tr>
      <w:tr w:rsidR="000756EB" w:rsidRPr="003F5CC4" w14:paraId="089B5CCF" w14:textId="77777777" w:rsidTr="00FB7B82">
        <w:trPr>
          <w:cantSplit/>
        </w:trPr>
        <w:tc>
          <w:tcPr>
            <w:tcW w:w="4195" w:type="dxa"/>
          </w:tcPr>
          <w:p w14:paraId="64EFADF1" w14:textId="51FC96E7" w:rsidR="000756EB" w:rsidRPr="003F5CC4" w:rsidRDefault="004A4D88" w:rsidP="003F5CC4">
            <w:pPr>
              <w:pStyle w:val="TableCopy"/>
              <w:rPr>
                <w:b/>
                <w:bCs/>
              </w:rPr>
            </w:pPr>
            <w:r w:rsidRPr="003F5CC4">
              <w:rPr>
                <w:b/>
                <w:bCs/>
              </w:rPr>
              <w:t>Total</w:t>
            </w:r>
            <w:r w:rsidR="00A03629" w:rsidRPr="003F5CC4">
              <w:rPr>
                <w:b/>
                <w:bCs/>
              </w:rPr>
              <w:t xml:space="preserve"> </w:t>
            </w:r>
            <w:r w:rsidRPr="003F5CC4">
              <w:rPr>
                <w:b/>
                <w:bCs/>
              </w:rPr>
              <w:t>commitments</w:t>
            </w:r>
            <w:r w:rsidR="00A03629" w:rsidRPr="003F5CC4">
              <w:rPr>
                <w:b/>
                <w:bCs/>
              </w:rPr>
              <w:t xml:space="preserve"> </w:t>
            </w:r>
            <w:r w:rsidRPr="003F5CC4">
              <w:rPr>
                <w:b/>
                <w:bCs/>
              </w:rPr>
              <w:t>receivable</w:t>
            </w:r>
            <w:r w:rsidR="00A03629" w:rsidRPr="003F5CC4">
              <w:rPr>
                <w:b/>
                <w:bCs/>
              </w:rPr>
              <w:t xml:space="preserve"> </w:t>
            </w:r>
            <w:r w:rsidRPr="003F5CC4">
              <w:rPr>
                <w:b/>
                <w:bCs/>
              </w:rPr>
              <w:t>for</w:t>
            </w:r>
            <w:r w:rsidR="00A03629" w:rsidRPr="003F5CC4">
              <w:rPr>
                <w:b/>
                <w:bCs/>
              </w:rPr>
              <w:t xml:space="preserve"> </w:t>
            </w:r>
            <w:r w:rsidRPr="003F5CC4">
              <w:rPr>
                <w:b/>
                <w:bCs/>
              </w:rPr>
              <w:t>PPPs</w:t>
            </w:r>
          </w:p>
        </w:tc>
        <w:tc>
          <w:tcPr>
            <w:tcW w:w="1572" w:type="dxa"/>
          </w:tcPr>
          <w:p w14:paraId="59F0F195" w14:textId="2BE47B0E" w:rsidR="000756EB" w:rsidRPr="003F5CC4" w:rsidRDefault="004A4D88" w:rsidP="00872462">
            <w:pPr>
              <w:pStyle w:val="TableCopy"/>
              <w:jc w:val="right"/>
              <w:rPr>
                <w:b/>
                <w:bCs/>
              </w:rPr>
            </w:pPr>
            <w:r w:rsidRPr="003F5CC4">
              <w:rPr>
                <w:b/>
                <w:bCs/>
              </w:rPr>
              <w:t>–</w:t>
            </w:r>
          </w:p>
        </w:tc>
        <w:tc>
          <w:tcPr>
            <w:tcW w:w="1573" w:type="dxa"/>
          </w:tcPr>
          <w:p w14:paraId="0B70C4B6" w14:textId="0CFB099B" w:rsidR="000756EB" w:rsidRPr="003F5CC4" w:rsidRDefault="004A4D88" w:rsidP="00872462">
            <w:pPr>
              <w:pStyle w:val="TableCopy"/>
              <w:jc w:val="right"/>
              <w:rPr>
                <w:b/>
                <w:bCs/>
              </w:rPr>
            </w:pPr>
            <w:r w:rsidRPr="003F5CC4">
              <w:rPr>
                <w:b/>
                <w:bCs/>
              </w:rPr>
              <w:t>–</w:t>
            </w:r>
          </w:p>
        </w:tc>
        <w:tc>
          <w:tcPr>
            <w:tcW w:w="1572" w:type="dxa"/>
          </w:tcPr>
          <w:p w14:paraId="00373CF5" w14:textId="77777777" w:rsidR="000756EB" w:rsidRPr="003F5CC4" w:rsidRDefault="004A4D88" w:rsidP="00872462">
            <w:pPr>
              <w:pStyle w:val="TableCopy"/>
              <w:jc w:val="right"/>
              <w:rPr>
                <w:b/>
                <w:bCs/>
              </w:rPr>
            </w:pPr>
            <w:r w:rsidRPr="003F5CC4">
              <w:rPr>
                <w:b/>
                <w:bCs/>
              </w:rPr>
              <w:t>(30,771)</w:t>
            </w:r>
          </w:p>
        </w:tc>
        <w:tc>
          <w:tcPr>
            <w:tcW w:w="1573" w:type="dxa"/>
          </w:tcPr>
          <w:p w14:paraId="622A3761" w14:textId="77777777" w:rsidR="000756EB" w:rsidRPr="003F5CC4" w:rsidRDefault="004A4D88" w:rsidP="00872462">
            <w:pPr>
              <w:pStyle w:val="TableCopy"/>
              <w:jc w:val="right"/>
              <w:rPr>
                <w:b/>
                <w:bCs/>
              </w:rPr>
            </w:pPr>
            <w:r w:rsidRPr="003F5CC4">
              <w:rPr>
                <w:b/>
                <w:bCs/>
              </w:rPr>
              <w:t>(54,144)</w:t>
            </w:r>
          </w:p>
        </w:tc>
      </w:tr>
      <w:tr w:rsidR="000756EB" w:rsidRPr="003F5CC4" w14:paraId="3024E39C" w14:textId="77777777" w:rsidTr="00FB7B82">
        <w:trPr>
          <w:cantSplit/>
        </w:trPr>
        <w:tc>
          <w:tcPr>
            <w:tcW w:w="4195" w:type="dxa"/>
          </w:tcPr>
          <w:p w14:paraId="4B442786" w14:textId="5B982B64" w:rsidR="000756EB" w:rsidRPr="003F5CC4" w:rsidRDefault="004A4D88" w:rsidP="003F5CC4">
            <w:pPr>
              <w:pStyle w:val="TableCopy"/>
              <w:rPr>
                <w:b/>
                <w:bCs/>
              </w:rPr>
            </w:pPr>
            <w:r w:rsidRPr="003F5CC4">
              <w:rPr>
                <w:b/>
                <w:bCs/>
              </w:rPr>
              <w:lastRenderedPageBreak/>
              <w:t>Net</w:t>
            </w:r>
            <w:r w:rsidR="00A03629" w:rsidRPr="003F5CC4">
              <w:rPr>
                <w:b/>
                <w:bCs/>
              </w:rPr>
              <w:t xml:space="preserve"> </w:t>
            </w:r>
            <w:r w:rsidRPr="003F5CC4">
              <w:rPr>
                <w:b/>
                <w:bCs/>
              </w:rPr>
              <w:t>commitments</w:t>
            </w:r>
            <w:r w:rsidR="00A03629" w:rsidRPr="003F5CC4">
              <w:rPr>
                <w:b/>
                <w:bCs/>
              </w:rPr>
              <w:t xml:space="preserve"> </w:t>
            </w:r>
            <w:r w:rsidRPr="003F5CC4">
              <w:rPr>
                <w:b/>
                <w:bCs/>
              </w:rPr>
              <w:t>for</w:t>
            </w:r>
            <w:r w:rsidR="00A03629" w:rsidRPr="003F5CC4">
              <w:rPr>
                <w:b/>
                <w:bCs/>
              </w:rPr>
              <w:t xml:space="preserve"> </w:t>
            </w:r>
            <w:r w:rsidRPr="003F5CC4">
              <w:rPr>
                <w:b/>
                <w:bCs/>
              </w:rPr>
              <w:t>PPP</w:t>
            </w:r>
            <w:r w:rsidR="00A03629" w:rsidRPr="003F5CC4">
              <w:rPr>
                <w:b/>
                <w:bCs/>
              </w:rPr>
              <w:t xml:space="preserve"> </w:t>
            </w:r>
            <w:r w:rsidRPr="003F5CC4">
              <w:rPr>
                <w:b/>
                <w:bCs/>
              </w:rPr>
              <w:t>(exclusive</w:t>
            </w:r>
            <w:r w:rsidR="00A03629" w:rsidRPr="003F5CC4">
              <w:rPr>
                <w:b/>
                <w:bCs/>
              </w:rPr>
              <w:t xml:space="preserve"> </w:t>
            </w:r>
            <w:r w:rsidRPr="003F5CC4">
              <w:rPr>
                <w:b/>
                <w:bCs/>
              </w:rPr>
              <w:t>of</w:t>
            </w:r>
            <w:r w:rsidR="00A03629" w:rsidRPr="003F5CC4">
              <w:rPr>
                <w:b/>
                <w:bCs/>
              </w:rPr>
              <w:t xml:space="preserve"> </w:t>
            </w:r>
            <w:r w:rsidRPr="003F5CC4">
              <w:rPr>
                <w:b/>
                <w:bCs/>
              </w:rPr>
              <w:t>GST)</w:t>
            </w:r>
          </w:p>
        </w:tc>
        <w:tc>
          <w:tcPr>
            <w:tcW w:w="1572" w:type="dxa"/>
          </w:tcPr>
          <w:p w14:paraId="10AD0D9C" w14:textId="0D3E7700" w:rsidR="000756EB" w:rsidRPr="003F5CC4" w:rsidRDefault="004A4D88" w:rsidP="00872462">
            <w:pPr>
              <w:pStyle w:val="TableCopy"/>
              <w:jc w:val="right"/>
              <w:rPr>
                <w:b/>
                <w:bCs/>
              </w:rPr>
            </w:pPr>
            <w:r w:rsidRPr="003F5CC4">
              <w:rPr>
                <w:b/>
                <w:bCs/>
              </w:rPr>
              <w:t>–</w:t>
            </w:r>
          </w:p>
        </w:tc>
        <w:tc>
          <w:tcPr>
            <w:tcW w:w="1573" w:type="dxa"/>
          </w:tcPr>
          <w:p w14:paraId="59EFC98D" w14:textId="2028B97E" w:rsidR="000756EB" w:rsidRPr="003F5CC4" w:rsidRDefault="004A4D88" w:rsidP="00872462">
            <w:pPr>
              <w:pStyle w:val="TableCopy"/>
              <w:jc w:val="right"/>
              <w:rPr>
                <w:b/>
                <w:bCs/>
              </w:rPr>
            </w:pPr>
            <w:r w:rsidRPr="003F5CC4">
              <w:rPr>
                <w:b/>
                <w:bCs/>
              </w:rPr>
              <w:t>–</w:t>
            </w:r>
          </w:p>
        </w:tc>
        <w:tc>
          <w:tcPr>
            <w:tcW w:w="1572" w:type="dxa"/>
          </w:tcPr>
          <w:p w14:paraId="5F1402AF" w14:textId="5560D5A3" w:rsidR="000756EB" w:rsidRPr="003F5CC4" w:rsidRDefault="004A4D88" w:rsidP="00872462">
            <w:pPr>
              <w:pStyle w:val="TableCopy"/>
              <w:jc w:val="right"/>
              <w:rPr>
                <w:b/>
                <w:bCs/>
              </w:rPr>
            </w:pPr>
            <w:r w:rsidRPr="003F5CC4">
              <w:rPr>
                <w:b/>
                <w:bCs/>
              </w:rPr>
              <w:t>114,438</w:t>
            </w:r>
          </w:p>
        </w:tc>
        <w:tc>
          <w:tcPr>
            <w:tcW w:w="1573" w:type="dxa"/>
          </w:tcPr>
          <w:p w14:paraId="1DB7D2F6" w14:textId="7EF0B743" w:rsidR="000756EB" w:rsidRPr="003F5CC4" w:rsidRDefault="004A4D88" w:rsidP="00872462">
            <w:pPr>
              <w:pStyle w:val="TableCopy"/>
              <w:jc w:val="right"/>
              <w:rPr>
                <w:b/>
                <w:bCs/>
              </w:rPr>
            </w:pPr>
            <w:r w:rsidRPr="003F5CC4">
              <w:rPr>
                <w:b/>
                <w:bCs/>
              </w:rPr>
              <w:t>210,945</w:t>
            </w:r>
          </w:p>
        </w:tc>
      </w:tr>
    </w:tbl>
    <w:p w14:paraId="666A1787" w14:textId="5EDDD144" w:rsidR="003F5CC4" w:rsidRDefault="003F5CC4" w:rsidP="002B209A">
      <w:pPr>
        <w:pStyle w:val="FootnoteText"/>
        <w:spacing w:before="120"/>
        <w:rPr>
          <w:i/>
          <w:iCs/>
        </w:rPr>
      </w:pPr>
      <w:r>
        <w:t>(</w:t>
      </w:r>
      <w:proofErr w:type="spellStart"/>
      <w:r>
        <w:t>i</w:t>
      </w:r>
      <w:proofErr w:type="spellEnd"/>
      <w:r>
        <w:t>)</w:t>
      </w:r>
      <w:r w:rsidR="002B209A">
        <w:t xml:space="preserve"> </w:t>
      </w:r>
      <w:r>
        <w:t>Other commitments relate to operating maintenance and life cycle costs.</w:t>
      </w:r>
    </w:p>
    <w:p w14:paraId="0F158C22" w14:textId="2004808D" w:rsidR="003F5CC4" w:rsidRDefault="003F5CC4" w:rsidP="003F5CC4">
      <w:pPr>
        <w:pStyle w:val="FootnoteText"/>
        <w:rPr>
          <w:i/>
          <w:iCs/>
        </w:rPr>
      </w:pPr>
      <w:r>
        <w:t>(ii)</w:t>
      </w:r>
      <w:r w:rsidR="002B209A">
        <w:t xml:space="preserve"> </w:t>
      </w:r>
      <w:r>
        <w:t>The figures in the prior year represent 100 per cent of the total commitment under the terms of the PPP with the concessionaire offset by a 50 per cent of the quarterly service payment recoupment under the terms of the joint arrangement with Royal Melbourne Showgrounds. The Department has recognised a financial guarantee liability in relation to the receivable from Royal Melbourne Showgrounds refer Note 7.2.1.</w:t>
      </w:r>
    </w:p>
    <w:p w14:paraId="48ADB204" w14:textId="67C4676E" w:rsidR="003F5CC4" w:rsidRDefault="003F5CC4" w:rsidP="003F5CC4">
      <w:pPr>
        <w:pStyle w:val="FootnoteText"/>
        <w:rPr>
          <w:i/>
          <w:iCs/>
        </w:rPr>
      </w:pPr>
      <w:r>
        <w:t>(iii) The figures in the prior year represent 100 per cent of the operating commitment under the terms of the PPP with the concessionaire, offset by a 25 per cent of the general operating costs recoupment from La Trobe University under the terms of the joint arrangement. In</w:t>
      </w:r>
      <w:r>
        <w:rPr>
          <w:rFonts w:ascii="Cambria" w:hAnsi="Cambria" w:cs="Cambria"/>
        </w:rPr>
        <w:t xml:space="preserve"> </w:t>
      </w:r>
      <w:r>
        <w:t>2016, La Trobe University has prepaid the net present value of its commitment to fund 25 per cent of the Biosciences Research Centre operating costs resulting in the Department recognising a liability for this prepayment that will be offset against the Bioscience Research Centre operating costs over the remaining contract term.</w:t>
      </w:r>
    </w:p>
    <w:p w14:paraId="63EFB969" w14:textId="74C0C85D" w:rsidR="000756EB" w:rsidRDefault="003F5CC4" w:rsidP="002B209A">
      <w:pPr>
        <w:pStyle w:val="FootnoteText"/>
        <w:spacing w:after="280"/>
      </w:pPr>
      <w:r>
        <w:t>(iv) Other operating commitments for the Biosciences Research Centre in the prior year, exclude pass through costs related to utilities, waste management and insurance on the basis that they are variable in nature and cannot be reliably estimated.</w:t>
      </w:r>
    </w:p>
    <w:p w14:paraId="2D6BAC9E" w14:textId="4AC712A5" w:rsidR="000756EB" w:rsidRDefault="004A4D88" w:rsidP="002B209A">
      <w:pPr>
        <w:pStyle w:val="Heading3"/>
      </w:pPr>
      <w:r>
        <w:t>7.5.3</w:t>
      </w:r>
      <w:r w:rsidR="00DE38B5">
        <w:t xml:space="preserve"> </w:t>
      </w:r>
      <w:r>
        <w:t>Administered</w:t>
      </w:r>
      <w:r w:rsidR="00A03629">
        <w:t xml:space="preserve"> </w:t>
      </w:r>
      <w:r>
        <w:t>Public</w:t>
      </w:r>
      <w:r w:rsidR="00A03629">
        <w:t xml:space="preserve"> </w:t>
      </w:r>
      <w:r>
        <w:t>Private</w:t>
      </w:r>
      <w:r w:rsidR="00A03629">
        <w:t xml:space="preserve"> </w:t>
      </w:r>
      <w:r>
        <w:t>Partnership</w:t>
      </w:r>
      <w:r w:rsidR="00A03629">
        <w:t xml:space="preserve"> </w:t>
      </w:r>
      <w:r>
        <w:t>(PPP)</w:t>
      </w:r>
      <w:r w:rsidR="00A03629">
        <w:t xml:space="preserve"> </w:t>
      </w:r>
      <w:r>
        <w:t>commitments</w:t>
      </w:r>
    </w:p>
    <w:p w14:paraId="16C9E3C5" w14:textId="204F801C" w:rsidR="000756EB" w:rsidRDefault="004A4D88" w:rsidP="002B209A">
      <w:r>
        <w:t>The</w:t>
      </w:r>
      <w:r w:rsidR="00A03629">
        <w:t xml:space="preserve"> </w:t>
      </w:r>
      <w:r>
        <w:t>PPP</w:t>
      </w:r>
      <w:r w:rsidR="00A03629">
        <w:t xml:space="preserve"> </w:t>
      </w:r>
      <w:r>
        <w:t>lease</w:t>
      </w:r>
      <w:r w:rsidR="00A03629">
        <w:t xml:space="preserve"> </w:t>
      </w:r>
      <w:r>
        <w:t>arrangements</w:t>
      </w:r>
      <w:r w:rsidR="00A03629">
        <w:t xml:space="preserve"> </w:t>
      </w:r>
      <w:r>
        <w:t>below</w:t>
      </w:r>
      <w:r w:rsidR="00A03629">
        <w:t xml:space="preserve"> </w:t>
      </w:r>
      <w:r>
        <w:t>were</w:t>
      </w:r>
      <w:r w:rsidR="00A03629">
        <w:t xml:space="preserve"> </w:t>
      </w:r>
      <w:r>
        <w:t>entered</w:t>
      </w:r>
      <w:r w:rsidR="00A03629">
        <w:t xml:space="preserve"> </w:t>
      </w:r>
      <w:r>
        <w:t>into</w:t>
      </w:r>
      <w:r w:rsidR="00A03629">
        <w:t xml:space="preserve"> </w:t>
      </w:r>
      <w:r>
        <w:t>by</w:t>
      </w:r>
      <w:r w:rsidR="00A03629">
        <w:t xml:space="preserve"> </w:t>
      </w:r>
      <w:r>
        <w:t>the</w:t>
      </w:r>
      <w:r w:rsidR="00A03629">
        <w:t xml:space="preserve"> </w:t>
      </w:r>
      <w:r>
        <w:t>Secretary,</w:t>
      </w:r>
      <w:r w:rsidR="00A03629">
        <w:t xml:space="preserve"> </w:t>
      </w:r>
      <w:r>
        <w:t>Project</w:t>
      </w:r>
      <w:r w:rsidR="00A03629">
        <w:t xml:space="preserve"> </w:t>
      </w:r>
      <w:r>
        <w:t>Development</w:t>
      </w:r>
      <w:r w:rsidR="00A03629">
        <w:t xml:space="preserve"> </w:t>
      </w:r>
      <w:r>
        <w:t>(body</w:t>
      </w:r>
      <w:r w:rsidR="00A03629">
        <w:t xml:space="preserve"> </w:t>
      </w:r>
      <w:r>
        <w:t>corporate</w:t>
      </w:r>
      <w:r w:rsidR="00A03629">
        <w:t xml:space="preserve"> </w:t>
      </w:r>
      <w:r>
        <w:t>established</w:t>
      </w:r>
      <w:r w:rsidR="00A03629">
        <w:t xml:space="preserve"> </w:t>
      </w:r>
      <w:r>
        <w:t>under</w:t>
      </w:r>
      <w:r w:rsidR="00A03629">
        <w:t xml:space="preserve"> </w:t>
      </w:r>
      <w:r>
        <w:t>Section</w:t>
      </w:r>
      <w:r w:rsidR="00A03629">
        <w:t xml:space="preserve"> </w:t>
      </w:r>
      <w:r>
        <w:t>41A</w:t>
      </w:r>
      <w:r w:rsidR="00A03629">
        <w:t xml:space="preserve"> </w:t>
      </w:r>
      <w:r>
        <w:t>of</w:t>
      </w:r>
      <w:r w:rsidR="00A03629">
        <w:t xml:space="preserve"> </w:t>
      </w:r>
      <w:r>
        <w:t>the</w:t>
      </w:r>
      <w:r w:rsidR="00A03629">
        <w:t xml:space="preserve"> </w:t>
      </w:r>
      <w:r w:rsidRPr="002B209A">
        <w:rPr>
          <w:i/>
          <w:iCs/>
        </w:rPr>
        <w:t>Project</w:t>
      </w:r>
      <w:r w:rsidR="00A03629" w:rsidRPr="002B209A">
        <w:rPr>
          <w:i/>
          <w:iCs/>
        </w:rPr>
        <w:t xml:space="preserve"> </w:t>
      </w:r>
      <w:r w:rsidRPr="002B209A">
        <w:rPr>
          <w:i/>
          <w:iCs/>
        </w:rPr>
        <w:t>Development</w:t>
      </w:r>
      <w:r w:rsidR="00A03629" w:rsidRPr="002B209A">
        <w:rPr>
          <w:i/>
          <w:iCs/>
        </w:rPr>
        <w:t xml:space="preserve"> </w:t>
      </w:r>
      <w:r w:rsidRPr="002B209A">
        <w:rPr>
          <w:i/>
          <w:iCs/>
        </w:rPr>
        <w:t>and</w:t>
      </w:r>
      <w:r w:rsidR="00A03629" w:rsidRPr="002B209A">
        <w:rPr>
          <w:i/>
          <w:iCs/>
        </w:rPr>
        <w:t xml:space="preserve"> </w:t>
      </w:r>
      <w:r w:rsidRPr="002B209A">
        <w:rPr>
          <w:i/>
          <w:iCs/>
        </w:rPr>
        <w:t>Construction</w:t>
      </w:r>
      <w:r w:rsidR="00A03629" w:rsidRPr="002B209A">
        <w:rPr>
          <w:i/>
          <w:iCs/>
        </w:rPr>
        <w:t xml:space="preserve"> </w:t>
      </w:r>
      <w:r w:rsidRPr="002B209A">
        <w:rPr>
          <w:i/>
          <w:iCs/>
        </w:rPr>
        <w:t>Management</w:t>
      </w:r>
      <w:r w:rsidR="00A03629" w:rsidRPr="002B209A">
        <w:rPr>
          <w:i/>
          <w:iCs/>
        </w:rPr>
        <w:t xml:space="preserve"> </w:t>
      </w:r>
      <w:r w:rsidRPr="002B209A">
        <w:rPr>
          <w:i/>
          <w:iCs/>
        </w:rPr>
        <w:t>Act</w:t>
      </w:r>
      <w:r w:rsidR="00A03629" w:rsidRPr="002B209A">
        <w:rPr>
          <w:i/>
          <w:iCs/>
        </w:rPr>
        <w:t xml:space="preserve"> </w:t>
      </w:r>
      <w:r w:rsidRPr="002B209A">
        <w:rPr>
          <w:i/>
          <w:iCs/>
        </w:rPr>
        <w:t>1994</w:t>
      </w:r>
      <w:r>
        <w:t>)</w:t>
      </w:r>
      <w:r w:rsidR="00A03629">
        <w:t xml:space="preserve"> </w:t>
      </w:r>
      <w:r>
        <w:t>that</w:t>
      </w:r>
      <w:r w:rsidR="00A03629">
        <w:t xml:space="preserve"> </w:t>
      </w:r>
      <w:r>
        <w:t>was</w:t>
      </w:r>
      <w:r w:rsidR="00A03629">
        <w:t xml:space="preserve"> </w:t>
      </w:r>
      <w:r>
        <w:t>established</w:t>
      </w:r>
      <w:r w:rsidR="00A03629">
        <w:t xml:space="preserve"> </w:t>
      </w:r>
      <w:r>
        <w:t>to</w:t>
      </w:r>
      <w:r w:rsidR="00A03629">
        <w:t xml:space="preserve"> </w:t>
      </w:r>
      <w:r>
        <w:t>facilitate</w:t>
      </w:r>
      <w:r w:rsidR="00A03629">
        <w:t xml:space="preserve"> </w:t>
      </w:r>
      <w:r>
        <w:t>and</w:t>
      </w:r>
      <w:r w:rsidR="00A03629">
        <w:t xml:space="preserve"> </w:t>
      </w:r>
      <w:r>
        <w:t>manage</w:t>
      </w:r>
      <w:r w:rsidR="00A03629">
        <w:t xml:space="preserve"> </w:t>
      </w:r>
      <w:r>
        <w:t>public</w:t>
      </w:r>
      <w:r w:rsidR="00A03629">
        <w:t xml:space="preserve"> </w:t>
      </w:r>
      <w:r>
        <w:t>construction</w:t>
      </w:r>
      <w:r w:rsidR="00A03629">
        <w:t xml:space="preserve"> </w:t>
      </w:r>
      <w:r>
        <w:t>for</w:t>
      </w:r>
      <w:r w:rsidR="00A03629">
        <w:t xml:space="preserve"> </w:t>
      </w:r>
      <w:r>
        <w:t>nominated</w:t>
      </w:r>
      <w:r w:rsidR="00A03629">
        <w:t xml:space="preserve"> </w:t>
      </w:r>
      <w:r>
        <w:t>projects</w:t>
      </w:r>
      <w:r w:rsidR="00A03629">
        <w:t xml:space="preserve"> </w:t>
      </w:r>
      <w:r>
        <w:t>under</w:t>
      </w:r>
      <w:r w:rsidR="00A03629">
        <w:t xml:space="preserve"> </w:t>
      </w:r>
      <w:r>
        <w:t>that</w:t>
      </w:r>
      <w:r w:rsidR="00A03629">
        <w:t xml:space="preserve"> </w:t>
      </w:r>
      <w:r>
        <w:t>Act.</w:t>
      </w:r>
      <w:r w:rsidR="00A03629">
        <w:t xml:space="preserve"> </w:t>
      </w:r>
      <w:r>
        <w:t>Effective</w:t>
      </w:r>
      <w:r w:rsidR="00A03629">
        <w:t xml:space="preserve"> </w:t>
      </w:r>
      <w:r>
        <w:t>from</w:t>
      </w:r>
      <w:r w:rsidR="00A03629">
        <w:t xml:space="preserve"> </w:t>
      </w:r>
      <w:r>
        <w:t>1</w:t>
      </w:r>
      <w:r w:rsidR="00A03629">
        <w:t xml:space="preserve"> </w:t>
      </w:r>
      <w:r>
        <w:t>August</w:t>
      </w:r>
      <w:r w:rsidR="00A03629">
        <w:t xml:space="preserve"> </w:t>
      </w:r>
      <w:r>
        <w:t>2023,</w:t>
      </w:r>
      <w:r w:rsidR="00A03629">
        <w:t xml:space="preserve"> </w:t>
      </w:r>
      <w:r>
        <w:t>the</w:t>
      </w:r>
      <w:r w:rsidR="00A03629">
        <w:t xml:space="preserve"> </w:t>
      </w:r>
      <w:r>
        <w:t>Secretary</w:t>
      </w:r>
      <w:r w:rsidR="00A03629">
        <w:t xml:space="preserve"> </w:t>
      </w:r>
      <w:r>
        <w:t>Project</w:t>
      </w:r>
      <w:r w:rsidR="00A03629">
        <w:t xml:space="preserve"> </w:t>
      </w:r>
      <w:r>
        <w:t>Development</w:t>
      </w:r>
      <w:r w:rsidR="00A03629">
        <w:t xml:space="preserve"> </w:t>
      </w:r>
      <w:r>
        <w:t>has</w:t>
      </w:r>
      <w:r w:rsidR="00A03629">
        <w:t xml:space="preserve"> </w:t>
      </w:r>
      <w:r>
        <w:t>been</w:t>
      </w:r>
      <w:r w:rsidR="00A03629">
        <w:t xml:space="preserve"> </w:t>
      </w:r>
      <w:r>
        <w:t>transferred</w:t>
      </w:r>
      <w:r w:rsidR="00A03629">
        <w:t xml:space="preserve"> </w:t>
      </w:r>
      <w:r>
        <w:t>to</w:t>
      </w:r>
      <w:r w:rsidR="00A03629">
        <w:t xml:space="preserve"> </w:t>
      </w:r>
      <w:r>
        <w:t>the</w:t>
      </w:r>
      <w:r w:rsidR="00A03629">
        <w:t xml:space="preserve"> </w:t>
      </w:r>
      <w:r>
        <w:t>Department</w:t>
      </w:r>
      <w:r w:rsidR="00A03629">
        <w:t xml:space="preserve"> </w:t>
      </w:r>
      <w:r>
        <w:t>of</w:t>
      </w:r>
      <w:r w:rsidR="00A03629">
        <w:t xml:space="preserve"> </w:t>
      </w:r>
      <w:r>
        <w:t>Transport</w:t>
      </w:r>
      <w:r w:rsidR="00A03629">
        <w:t xml:space="preserve"> </w:t>
      </w:r>
      <w:r>
        <w:t>and</w:t>
      </w:r>
      <w:r w:rsidR="00A03629">
        <w:t xml:space="preserve"> </w:t>
      </w:r>
      <w:r>
        <w:t>Planning.</w:t>
      </w:r>
    </w:p>
    <w:p w14:paraId="5A33C326" w14:textId="2394830F" w:rsidR="000756EB" w:rsidRPr="002B209A" w:rsidRDefault="004A4D88" w:rsidP="002B209A">
      <w:pPr>
        <w:pStyle w:val="Normalbeforebullets"/>
        <w:rPr>
          <w:b/>
          <w:bCs/>
        </w:rPr>
      </w:pPr>
      <w:r w:rsidRPr="002B209A">
        <w:rPr>
          <w:b/>
          <w:bCs/>
        </w:rPr>
        <w:t>Melbourne</w:t>
      </w:r>
      <w:r w:rsidR="00A03629" w:rsidRPr="002B209A">
        <w:rPr>
          <w:b/>
          <w:bCs/>
        </w:rPr>
        <w:t xml:space="preserve"> </w:t>
      </w:r>
      <w:r w:rsidRPr="002B209A">
        <w:rPr>
          <w:b/>
          <w:bCs/>
        </w:rPr>
        <w:t>Convention</w:t>
      </w:r>
      <w:r w:rsidR="00A03629" w:rsidRPr="002B209A">
        <w:rPr>
          <w:b/>
          <w:bCs/>
        </w:rPr>
        <w:t xml:space="preserve"> </w:t>
      </w:r>
      <w:r w:rsidRPr="002B209A">
        <w:rPr>
          <w:b/>
          <w:bCs/>
        </w:rPr>
        <w:t>Centre</w:t>
      </w:r>
      <w:r w:rsidR="00A03629" w:rsidRPr="002B209A">
        <w:rPr>
          <w:b/>
          <w:bCs/>
        </w:rPr>
        <w:t xml:space="preserve"> </w:t>
      </w:r>
      <w:r w:rsidRPr="002B209A">
        <w:rPr>
          <w:b/>
          <w:bCs/>
        </w:rPr>
        <w:t>development</w:t>
      </w:r>
      <w:r w:rsidR="00A03629" w:rsidRPr="002B209A">
        <w:rPr>
          <w:b/>
          <w:bCs/>
        </w:rPr>
        <w:t xml:space="preserve"> </w:t>
      </w:r>
      <w:r w:rsidRPr="002B209A">
        <w:rPr>
          <w:b/>
          <w:bCs/>
        </w:rPr>
        <w:t>project</w:t>
      </w:r>
      <w:r w:rsidR="00A03629" w:rsidRPr="002B209A">
        <w:rPr>
          <w:b/>
          <w:bCs/>
        </w:rPr>
        <w:t xml:space="preserve"> </w:t>
      </w:r>
      <w:r w:rsidRPr="002B209A">
        <w:rPr>
          <w:b/>
          <w:bCs/>
        </w:rPr>
        <w:t>lease</w:t>
      </w:r>
      <w:r w:rsidR="00A03629" w:rsidRPr="002B209A">
        <w:rPr>
          <w:b/>
          <w:bCs/>
        </w:rPr>
        <w:t xml:space="preserve"> </w:t>
      </w:r>
      <w:r w:rsidRPr="002B209A">
        <w:rPr>
          <w:b/>
          <w:bCs/>
        </w:rPr>
        <w:t>commitments</w:t>
      </w:r>
    </w:p>
    <w:tbl>
      <w:tblPr>
        <w:tblStyle w:val="TableGrid"/>
        <w:tblW w:w="10400" w:type="dxa"/>
        <w:tblLayout w:type="fixed"/>
        <w:tblLook w:val="0020" w:firstRow="1" w:lastRow="0" w:firstColumn="0" w:lastColumn="0" w:noHBand="0" w:noVBand="0"/>
      </w:tblPr>
      <w:tblGrid>
        <w:gridCol w:w="4957"/>
        <w:gridCol w:w="1361"/>
        <w:gridCol w:w="1361"/>
        <w:gridCol w:w="1360"/>
        <w:gridCol w:w="1361"/>
      </w:tblGrid>
      <w:tr w:rsidR="000756EB" w:rsidRPr="00AC65A6" w14:paraId="3796AA08" w14:textId="77777777" w:rsidTr="00872462">
        <w:trPr>
          <w:trHeight w:val="113"/>
          <w:tblHeader/>
        </w:trPr>
        <w:tc>
          <w:tcPr>
            <w:tcW w:w="4957" w:type="dxa"/>
          </w:tcPr>
          <w:p w14:paraId="1271A9CB" w14:textId="77777777" w:rsidR="000756EB" w:rsidRPr="00AC65A6" w:rsidRDefault="000756EB" w:rsidP="00AC65A6">
            <w:pPr>
              <w:pStyle w:val="TableColumnHeading"/>
              <w:rPr>
                <w:sz w:val="20"/>
                <w:szCs w:val="28"/>
              </w:rPr>
            </w:pPr>
            <w:bookmarkStart w:id="108" w:name="ColumnTitles_64"/>
            <w:bookmarkStart w:id="109" w:name="_Hlk149832885"/>
            <w:bookmarkEnd w:id="108"/>
          </w:p>
        </w:tc>
        <w:tc>
          <w:tcPr>
            <w:tcW w:w="1361" w:type="dxa"/>
          </w:tcPr>
          <w:p w14:paraId="2D8B7F47" w14:textId="422638B2" w:rsidR="000756EB" w:rsidRPr="00AC65A6" w:rsidRDefault="00AC65A6" w:rsidP="00872462">
            <w:pPr>
              <w:pStyle w:val="TableColumnHeading"/>
              <w:jc w:val="right"/>
              <w:rPr>
                <w:sz w:val="20"/>
                <w:szCs w:val="28"/>
              </w:rPr>
            </w:pPr>
            <w:r w:rsidRPr="00AC65A6">
              <w:rPr>
                <w:sz w:val="20"/>
                <w:szCs w:val="28"/>
              </w:rPr>
              <w:t>Minimum future lease payments</w:t>
            </w:r>
            <w:r>
              <w:rPr>
                <w:sz w:val="20"/>
                <w:szCs w:val="28"/>
              </w:rPr>
              <w:t xml:space="preserve"> </w:t>
            </w:r>
            <w:r w:rsidR="004A4D88" w:rsidRPr="00AC65A6">
              <w:rPr>
                <w:sz w:val="20"/>
                <w:szCs w:val="28"/>
              </w:rPr>
              <w:t>2023</w:t>
            </w:r>
            <w:r w:rsidR="00A03629" w:rsidRPr="00AC65A6">
              <w:rPr>
                <w:sz w:val="20"/>
                <w:szCs w:val="28"/>
              </w:rPr>
              <w:t xml:space="preserve"> </w:t>
            </w:r>
            <w:r w:rsidRPr="00AC65A6">
              <w:rPr>
                <w:sz w:val="20"/>
                <w:szCs w:val="28"/>
              </w:rPr>
              <w:t>($</w:t>
            </w:r>
            <w:r>
              <w:rPr>
                <w:sz w:val="20"/>
                <w:szCs w:val="28"/>
              </w:rPr>
              <w:t> </w:t>
            </w:r>
            <w:r w:rsidRPr="00AC65A6">
              <w:rPr>
                <w:sz w:val="20"/>
                <w:szCs w:val="28"/>
              </w:rPr>
              <w:t>thousand)</w:t>
            </w:r>
          </w:p>
        </w:tc>
        <w:tc>
          <w:tcPr>
            <w:tcW w:w="1361" w:type="dxa"/>
          </w:tcPr>
          <w:p w14:paraId="5B9E98EA" w14:textId="46A861CD" w:rsidR="000756EB" w:rsidRPr="00AC65A6" w:rsidRDefault="00AC65A6" w:rsidP="00872462">
            <w:pPr>
              <w:pStyle w:val="TableColumnHeading"/>
              <w:jc w:val="right"/>
              <w:rPr>
                <w:sz w:val="20"/>
                <w:szCs w:val="28"/>
              </w:rPr>
            </w:pPr>
            <w:r w:rsidRPr="00AC65A6">
              <w:rPr>
                <w:sz w:val="20"/>
                <w:szCs w:val="28"/>
              </w:rPr>
              <w:t>Minimum future lease payments</w:t>
            </w:r>
            <w:r>
              <w:rPr>
                <w:sz w:val="20"/>
                <w:szCs w:val="28"/>
              </w:rPr>
              <w:t xml:space="preserve"> </w:t>
            </w:r>
            <w:r w:rsidR="004A4D88" w:rsidRPr="00AC65A6">
              <w:rPr>
                <w:sz w:val="20"/>
                <w:szCs w:val="28"/>
              </w:rPr>
              <w:t>2022</w:t>
            </w:r>
            <w:r>
              <w:rPr>
                <w:sz w:val="20"/>
                <w:szCs w:val="28"/>
              </w:rPr>
              <w:t xml:space="preserve"> </w:t>
            </w:r>
            <w:r w:rsidRPr="00AC65A6">
              <w:rPr>
                <w:sz w:val="20"/>
                <w:szCs w:val="28"/>
              </w:rPr>
              <w:t>($</w:t>
            </w:r>
            <w:r>
              <w:rPr>
                <w:sz w:val="20"/>
                <w:szCs w:val="28"/>
              </w:rPr>
              <w:t> </w:t>
            </w:r>
            <w:r w:rsidRPr="00AC65A6">
              <w:rPr>
                <w:sz w:val="20"/>
                <w:szCs w:val="28"/>
              </w:rPr>
              <w:t>thousand)</w:t>
            </w:r>
          </w:p>
        </w:tc>
        <w:tc>
          <w:tcPr>
            <w:tcW w:w="1360" w:type="dxa"/>
          </w:tcPr>
          <w:p w14:paraId="6E5D25D7" w14:textId="1AD45CF4" w:rsidR="000756EB" w:rsidRPr="00AC65A6" w:rsidRDefault="00AC65A6" w:rsidP="00872462">
            <w:pPr>
              <w:pStyle w:val="TableColumnHeading"/>
              <w:jc w:val="right"/>
              <w:rPr>
                <w:sz w:val="20"/>
                <w:szCs w:val="28"/>
              </w:rPr>
            </w:pPr>
            <w:r w:rsidRPr="00AC65A6">
              <w:rPr>
                <w:sz w:val="20"/>
                <w:szCs w:val="28"/>
              </w:rPr>
              <w:t>Present value of future lease payments</w:t>
            </w:r>
            <w:r>
              <w:rPr>
                <w:sz w:val="20"/>
                <w:szCs w:val="28"/>
              </w:rPr>
              <w:t xml:space="preserve"> </w:t>
            </w:r>
            <w:r w:rsidR="004A4D88" w:rsidRPr="00AC65A6">
              <w:rPr>
                <w:sz w:val="20"/>
                <w:szCs w:val="28"/>
              </w:rPr>
              <w:t>2023</w:t>
            </w:r>
            <w:r w:rsidR="00A03629" w:rsidRPr="00AC65A6">
              <w:rPr>
                <w:sz w:val="20"/>
                <w:szCs w:val="28"/>
              </w:rPr>
              <w:t xml:space="preserve"> </w:t>
            </w:r>
            <w:r w:rsidRPr="00AC65A6">
              <w:rPr>
                <w:sz w:val="20"/>
                <w:szCs w:val="28"/>
              </w:rPr>
              <w:t>($</w:t>
            </w:r>
            <w:r>
              <w:rPr>
                <w:sz w:val="20"/>
                <w:szCs w:val="28"/>
              </w:rPr>
              <w:t> </w:t>
            </w:r>
            <w:r w:rsidRPr="00AC65A6">
              <w:rPr>
                <w:sz w:val="20"/>
                <w:szCs w:val="28"/>
              </w:rPr>
              <w:t>thousand)</w:t>
            </w:r>
          </w:p>
        </w:tc>
        <w:tc>
          <w:tcPr>
            <w:tcW w:w="1361" w:type="dxa"/>
          </w:tcPr>
          <w:p w14:paraId="0681AB56" w14:textId="48CB5FAA" w:rsidR="000756EB" w:rsidRPr="00AC65A6" w:rsidRDefault="00AC65A6" w:rsidP="00872462">
            <w:pPr>
              <w:pStyle w:val="TableColumnHeading"/>
              <w:jc w:val="right"/>
              <w:rPr>
                <w:sz w:val="20"/>
                <w:szCs w:val="28"/>
              </w:rPr>
            </w:pPr>
            <w:r w:rsidRPr="00AC65A6">
              <w:rPr>
                <w:sz w:val="20"/>
                <w:szCs w:val="28"/>
              </w:rPr>
              <w:t>Present value of future lease payments</w:t>
            </w:r>
            <w:r>
              <w:rPr>
                <w:sz w:val="20"/>
                <w:szCs w:val="28"/>
              </w:rPr>
              <w:t xml:space="preserve"> </w:t>
            </w:r>
            <w:r w:rsidR="004A4D88" w:rsidRPr="00AC65A6">
              <w:rPr>
                <w:sz w:val="20"/>
                <w:szCs w:val="28"/>
              </w:rPr>
              <w:t>2022</w:t>
            </w:r>
            <w:r>
              <w:rPr>
                <w:sz w:val="20"/>
                <w:szCs w:val="28"/>
              </w:rPr>
              <w:t xml:space="preserve"> </w:t>
            </w:r>
            <w:r w:rsidRPr="00AC65A6">
              <w:rPr>
                <w:sz w:val="20"/>
                <w:szCs w:val="28"/>
              </w:rPr>
              <w:t>($</w:t>
            </w:r>
            <w:r>
              <w:rPr>
                <w:sz w:val="20"/>
                <w:szCs w:val="28"/>
              </w:rPr>
              <w:t> </w:t>
            </w:r>
            <w:r w:rsidRPr="00AC65A6">
              <w:rPr>
                <w:sz w:val="20"/>
                <w:szCs w:val="28"/>
              </w:rPr>
              <w:t>thousand)</w:t>
            </w:r>
          </w:p>
        </w:tc>
      </w:tr>
      <w:bookmarkEnd w:id="109"/>
      <w:tr w:rsidR="000756EB" w:rsidRPr="00AC65A6" w14:paraId="15232F46" w14:textId="77777777" w:rsidTr="00872462">
        <w:trPr>
          <w:trHeight w:val="113"/>
        </w:trPr>
        <w:tc>
          <w:tcPr>
            <w:tcW w:w="4957" w:type="dxa"/>
          </w:tcPr>
          <w:p w14:paraId="2A05B9B1" w14:textId="3B97E366" w:rsidR="000756EB" w:rsidRPr="00AC65A6" w:rsidRDefault="004A4D88" w:rsidP="00AC65A6">
            <w:pPr>
              <w:pStyle w:val="TableHeading"/>
              <w:rPr>
                <w:rFonts w:asciiTheme="minorHAnsi" w:hAnsiTheme="minorHAnsi" w:cstheme="minorHAnsi"/>
              </w:rPr>
            </w:pPr>
            <w:r w:rsidRPr="00AC65A6">
              <w:rPr>
                <w:rFonts w:asciiTheme="minorHAnsi" w:hAnsiTheme="minorHAnsi" w:cstheme="minorHAnsi"/>
              </w:rPr>
              <w:t>Commissioned</w:t>
            </w:r>
            <w:r w:rsidR="00A03629" w:rsidRPr="00AC65A6">
              <w:rPr>
                <w:rFonts w:asciiTheme="minorHAnsi" w:hAnsiTheme="minorHAnsi" w:cstheme="minorHAnsi"/>
              </w:rPr>
              <w:t xml:space="preserve"> </w:t>
            </w:r>
            <w:r w:rsidRPr="00AC65A6">
              <w:rPr>
                <w:rFonts w:asciiTheme="minorHAnsi" w:hAnsiTheme="minorHAnsi" w:cstheme="minorHAnsi"/>
              </w:rPr>
              <w:t>PPP</w:t>
            </w:r>
            <w:r w:rsidR="00A03629" w:rsidRPr="00AC65A6">
              <w:rPr>
                <w:rFonts w:asciiTheme="minorHAnsi" w:hAnsiTheme="minorHAnsi" w:cstheme="minorHAnsi"/>
              </w:rPr>
              <w:t xml:space="preserve"> </w:t>
            </w:r>
            <w:r w:rsidRPr="00AC65A6">
              <w:rPr>
                <w:rFonts w:asciiTheme="minorHAnsi" w:hAnsiTheme="minorHAnsi" w:cstheme="minorHAnsi"/>
              </w:rPr>
              <w:t>related</w:t>
            </w:r>
            <w:r w:rsidR="00A03629" w:rsidRPr="00AC65A6">
              <w:rPr>
                <w:rFonts w:asciiTheme="minorHAnsi" w:hAnsiTheme="minorHAnsi" w:cstheme="minorHAnsi"/>
              </w:rPr>
              <w:t xml:space="preserve"> </w:t>
            </w:r>
            <w:r w:rsidRPr="00AC65A6">
              <w:rPr>
                <w:rFonts w:asciiTheme="minorHAnsi" w:hAnsiTheme="minorHAnsi" w:cstheme="minorHAnsi"/>
              </w:rPr>
              <w:t>lease</w:t>
            </w:r>
            <w:r w:rsidR="00A03629" w:rsidRPr="00AC65A6">
              <w:rPr>
                <w:rFonts w:asciiTheme="minorHAnsi" w:hAnsiTheme="minorHAnsi" w:cstheme="minorHAnsi"/>
              </w:rPr>
              <w:t xml:space="preserve"> </w:t>
            </w:r>
            <w:r w:rsidRPr="00AC65A6">
              <w:rPr>
                <w:rFonts w:asciiTheme="minorHAnsi" w:hAnsiTheme="minorHAnsi" w:cstheme="minorHAnsi"/>
              </w:rPr>
              <w:t>commitments</w:t>
            </w:r>
          </w:p>
        </w:tc>
        <w:tc>
          <w:tcPr>
            <w:tcW w:w="1361" w:type="dxa"/>
          </w:tcPr>
          <w:p w14:paraId="38B18B66" w14:textId="77777777" w:rsidR="000756EB" w:rsidRPr="00AC65A6" w:rsidRDefault="000756EB" w:rsidP="00872462">
            <w:pPr>
              <w:pStyle w:val="TableHeading"/>
              <w:jc w:val="right"/>
              <w:rPr>
                <w:rFonts w:asciiTheme="minorHAnsi" w:hAnsiTheme="minorHAnsi" w:cstheme="minorHAnsi"/>
                <w:lang w:val="en-AU"/>
              </w:rPr>
            </w:pPr>
          </w:p>
        </w:tc>
        <w:tc>
          <w:tcPr>
            <w:tcW w:w="1361" w:type="dxa"/>
          </w:tcPr>
          <w:p w14:paraId="0E3DA891" w14:textId="77777777" w:rsidR="000756EB" w:rsidRPr="00AC65A6" w:rsidRDefault="000756EB" w:rsidP="00872462">
            <w:pPr>
              <w:pStyle w:val="TableHeading"/>
              <w:jc w:val="right"/>
              <w:rPr>
                <w:rFonts w:asciiTheme="minorHAnsi" w:hAnsiTheme="minorHAnsi" w:cstheme="minorHAnsi"/>
                <w:lang w:val="en-AU"/>
              </w:rPr>
            </w:pPr>
          </w:p>
        </w:tc>
        <w:tc>
          <w:tcPr>
            <w:tcW w:w="1360" w:type="dxa"/>
          </w:tcPr>
          <w:p w14:paraId="6E78745A" w14:textId="77777777" w:rsidR="000756EB" w:rsidRPr="00AC65A6" w:rsidRDefault="000756EB" w:rsidP="00872462">
            <w:pPr>
              <w:pStyle w:val="TableHeading"/>
              <w:jc w:val="right"/>
              <w:rPr>
                <w:rFonts w:asciiTheme="minorHAnsi" w:hAnsiTheme="minorHAnsi" w:cstheme="minorHAnsi"/>
                <w:lang w:val="en-AU"/>
              </w:rPr>
            </w:pPr>
          </w:p>
        </w:tc>
        <w:tc>
          <w:tcPr>
            <w:tcW w:w="1361" w:type="dxa"/>
          </w:tcPr>
          <w:p w14:paraId="1E148AF2" w14:textId="77777777" w:rsidR="000756EB" w:rsidRPr="00AC65A6" w:rsidRDefault="000756EB" w:rsidP="00872462">
            <w:pPr>
              <w:pStyle w:val="TableHeading"/>
              <w:jc w:val="right"/>
              <w:rPr>
                <w:rFonts w:asciiTheme="minorHAnsi" w:hAnsiTheme="minorHAnsi" w:cstheme="minorHAnsi"/>
                <w:lang w:val="en-AU"/>
              </w:rPr>
            </w:pPr>
          </w:p>
        </w:tc>
      </w:tr>
      <w:tr w:rsidR="000756EB" w14:paraId="36291F52" w14:textId="77777777" w:rsidTr="00872462">
        <w:trPr>
          <w:trHeight w:val="113"/>
        </w:trPr>
        <w:tc>
          <w:tcPr>
            <w:tcW w:w="4957" w:type="dxa"/>
          </w:tcPr>
          <w:p w14:paraId="01D93D3E" w14:textId="13C04C80" w:rsidR="000756EB" w:rsidRDefault="004A4D88" w:rsidP="00AC65A6">
            <w:pPr>
              <w:pStyle w:val="TableCopy"/>
            </w:pPr>
            <w:proofErr w:type="spellStart"/>
            <w:r>
              <w:t>Not</w:t>
            </w:r>
            <w:r w:rsidR="00A03629">
              <w:t xml:space="preserve"> </w:t>
            </w:r>
            <w:r>
              <w:t>longer</w:t>
            </w:r>
            <w:proofErr w:type="spellEnd"/>
            <w:r w:rsidR="00A03629">
              <w:t xml:space="preserve"> </w:t>
            </w:r>
            <w:r>
              <w:t>than</w:t>
            </w:r>
            <w:r w:rsidR="00A03629">
              <w:t xml:space="preserve"> </w:t>
            </w:r>
            <w:r>
              <w:t>one</w:t>
            </w:r>
            <w:r w:rsidR="00A03629">
              <w:t xml:space="preserve"> </w:t>
            </w:r>
            <w:r>
              <w:t>year</w:t>
            </w:r>
          </w:p>
        </w:tc>
        <w:tc>
          <w:tcPr>
            <w:tcW w:w="1361" w:type="dxa"/>
          </w:tcPr>
          <w:p w14:paraId="060F1878" w14:textId="73B37880" w:rsidR="000756EB" w:rsidRDefault="004A4D88" w:rsidP="00872462">
            <w:pPr>
              <w:pStyle w:val="TableCopy"/>
              <w:jc w:val="right"/>
            </w:pPr>
            <w:r>
              <w:t>53,562</w:t>
            </w:r>
          </w:p>
        </w:tc>
        <w:tc>
          <w:tcPr>
            <w:tcW w:w="1361" w:type="dxa"/>
          </w:tcPr>
          <w:p w14:paraId="0C2A55C4" w14:textId="4722CDBF" w:rsidR="000756EB" w:rsidRDefault="004A4D88" w:rsidP="00872462">
            <w:pPr>
              <w:pStyle w:val="TableCopy"/>
              <w:jc w:val="right"/>
            </w:pPr>
            <w:r>
              <w:t>52,209</w:t>
            </w:r>
          </w:p>
        </w:tc>
        <w:tc>
          <w:tcPr>
            <w:tcW w:w="1360" w:type="dxa"/>
          </w:tcPr>
          <w:p w14:paraId="4F290414" w14:textId="1D3BECFC" w:rsidR="000756EB" w:rsidRDefault="004A4D88" w:rsidP="00872462">
            <w:pPr>
              <w:pStyle w:val="TableCopy"/>
              <w:jc w:val="right"/>
            </w:pPr>
            <w:r>
              <w:t>50,588</w:t>
            </w:r>
          </w:p>
        </w:tc>
        <w:tc>
          <w:tcPr>
            <w:tcW w:w="1361" w:type="dxa"/>
          </w:tcPr>
          <w:p w14:paraId="738E5393" w14:textId="1EFF35CC" w:rsidR="000756EB" w:rsidRDefault="004A4D88" w:rsidP="00872462">
            <w:pPr>
              <w:pStyle w:val="TableCopy"/>
              <w:jc w:val="right"/>
            </w:pPr>
            <w:r>
              <w:t>49,310</w:t>
            </w:r>
          </w:p>
        </w:tc>
      </w:tr>
      <w:tr w:rsidR="000756EB" w14:paraId="5A1AA8C7" w14:textId="77777777" w:rsidTr="00872462">
        <w:trPr>
          <w:trHeight w:val="113"/>
        </w:trPr>
        <w:tc>
          <w:tcPr>
            <w:tcW w:w="4957" w:type="dxa"/>
          </w:tcPr>
          <w:p w14:paraId="62A35C70" w14:textId="50256E82" w:rsidR="000756EB" w:rsidRDefault="004A4D88" w:rsidP="00AC65A6">
            <w:pPr>
              <w:pStyle w:val="TableCopy"/>
            </w:pPr>
            <w:r>
              <w:t>Longer</w:t>
            </w:r>
            <w:r w:rsidR="00A03629">
              <w:t xml:space="preserve"> </w:t>
            </w:r>
            <w:r>
              <w:t>than</w:t>
            </w:r>
            <w:r w:rsidR="00A03629">
              <w:t xml:space="preserve"> </w:t>
            </w:r>
            <w:r>
              <w:t>one</w:t>
            </w:r>
            <w:r w:rsidR="00A03629">
              <w:t xml:space="preserve"> </w:t>
            </w:r>
            <w:r>
              <w:t>year</w:t>
            </w:r>
            <w:r w:rsidR="00A03629">
              <w:t xml:space="preserve"> </w:t>
            </w:r>
            <w:r>
              <w:t>but</w:t>
            </w:r>
            <w:r w:rsidR="00A03629">
              <w:t xml:space="preserve"> </w:t>
            </w:r>
            <w:r>
              <w:t>not</w:t>
            </w:r>
            <w:r w:rsidR="00A03629">
              <w:t xml:space="preserve"> </w:t>
            </w:r>
            <w:r>
              <w:t>longer</w:t>
            </w:r>
            <w:r w:rsidR="00A03629">
              <w:t xml:space="preserve"> </w:t>
            </w:r>
            <w:r>
              <w:t>than</w:t>
            </w:r>
            <w:r w:rsidR="00A03629">
              <w:t xml:space="preserve"> </w:t>
            </w:r>
            <w:r>
              <w:t>five</w:t>
            </w:r>
            <w:r w:rsidR="00A03629">
              <w:t xml:space="preserve"> </w:t>
            </w:r>
            <w:r>
              <w:t>years</w:t>
            </w:r>
          </w:p>
        </w:tc>
        <w:tc>
          <w:tcPr>
            <w:tcW w:w="1361" w:type="dxa"/>
          </w:tcPr>
          <w:p w14:paraId="301E11C0" w14:textId="3FBF9A11" w:rsidR="000756EB" w:rsidRDefault="004A4D88" w:rsidP="00872462">
            <w:pPr>
              <w:pStyle w:val="TableCopy"/>
              <w:jc w:val="right"/>
            </w:pPr>
            <w:r>
              <w:t>228,506</w:t>
            </w:r>
          </w:p>
        </w:tc>
        <w:tc>
          <w:tcPr>
            <w:tcW w:w="1361" w:type="dxa"/>
          </w:tcPr>
          <w:p w14:paraId="0C9BBD28" w14:textId="3486588A" w:rsidR="000756EB" w:rsidRDefault="004A4D88" w:rsidP="00872462">
            <w:pPr>
              <w:pStyle w:val="TableCopy"/>
              <w:jc w:val="right"/>
            </w:pPr>
            <w:r>
              <w:t>222,732</w:t>
            </w:r>
          </w:p>
        </w:tc>
        <w:tc>
          <w:tcPr>
            <w:tcW w:w="1360" w:type="dxa"/>
          </w:tcPr>
          <w:p w14:paraId="4DB4692B" w14:textId="20FF8239" w:rsidR="000756EB" w:rsidRDefault="004A4D88" w:rsidP="00872462">
            <w:pPr>
              <w:pStyle w:val="TableCopy"/>
              <w:jc w:val="right"/>
            </w:pPr>
            <w:r>
              <w:t>172,022</w:t>
            </w:r>
          </w:p>
        </w:tc>
        <w:tc>
          <w:tcPr>
            <w:tcW w:w="1361" w:type="dxa"/>
          </w:tcPr>
          <w:p w14:paraId="1D3374F5" w14:textId="05338141" w:rsidR="000756EB" w:rsidRDefault="004A4D88" w:rsidP="00872462">
            <w:pPr>
              <w:pStyle w:val="TableCopy"/>
              <w:jc w:val="right"/>
            </w:pPr>
            <w:r>
              <w:t>167,674</w:t>
            </w:r>
          </w:p>
        </w:tc>
      </w:tr>
      <w:tr w:rsidR="000756EB" w14:paraId="57895878" w14:textId="77777777" w:rsidTr="00872462">
        <w:trPr>
          <w:trHeight w:val="113"/>
        </w:trPr>
        <w:tc>
          <w:tcPr>
            <w:tcW w:w="4957" w:type="dxa"/>
          </w:tcPr>
          <w:p w14:paraId="4BC9C8F6" w14:textId="08125510" w:rsidR="000756EB" w:rsidRDefault="004A4D88" w:rsidP="00AC65A6">
            <w:pPr>
              <w:pStyle w:val="TableCopy"/>
            </w:pPr>
            <w:r>
              <w:t>Longer</w:t>
            </w:r>
            <w:r w:rsidR="00A03629">
              <w:t xml:space="preserve"> </w:t>
            </w:r>
            <w:r>
              <w:t>than</w:t>
            </w:r>
            <w:r w:rsidR="00A03629">
              <w:t xml:space="preserve"> </w:t>
            </w:r>
            <w:r>
              <w:t>five</w:t>
            </w:r>
            <w:r w:rsidR="00A03629">
              <w:t xml:space="preserve"> </w:t>
            </w:r>
            <w:r>
              <w:t>years</w:t>
            </w:r>
          </w:p>
        </w:tc>
        <w:tc>
          <w:tcPr>
            <w:tcW w:w="1361" w:type="dxa"/>
          </w:tcPr>
          <w:p w14:paraId="172F6A13" w14:textId="23F2451A" w:rsidR="000756EB" w:rsidRDefault="004A4D88" w:rsidP="00872462">
            <w:pPr>
              <w:pStyle w:val="TableCopy"/>
              <w:jc w:val="right"/>
            </w:pPr>
            <w:r>
              <w:t>355,003</w:t>
            </w:r>
          </w:p>
        </w:tc>
        <w:tc>
          <w:tcPr>
            <w:tcW w:w="1361" w:type="dxa"/>
          </w:tcPr>
          <w:p w14:paraId="1105132D" w14:textId="2051A98C" w:rsidR="000756EB" w:rsidRDefault="004A4D88" w:rsidP="00872462">
            <w:pPr>
              <w:pStyle w:val="TableCopy"/>
              <w:jc w:val="right"/>
            </w:pPr>
            <w:r>
              <w:t>414,340</w:t>
            </w:r>
          </w:p>
        </w:tc>
        <w:tc>
          <w:tcPr>
            <w:tcW w:w="1360" w:type="dxa"/>
          </w:tcPr>
          <w:p w14:paraId="0ABD68A3" w14:textId="77E2350D" w:rsidR="000756EB" w:rsidRDefault="004A4D88" w:rsidP="00872462">
            <w:pPr>
              <w:pStyle w:val="TableCopy"/>
              <w:jc w:val="right"/>
            </w:pPr>
            <w:r>
              <w:t>173,301</w:t>
            </w:r>
          </w:p>
        </w:tc>
        <w:tc>
          <w:tcPr>
            <w:tcW w:w="1361" w:type="dxa"/>
          </w:tcPr>
          <w:p w14:paraId="1F63ED0A" w14:textId="3C1A21B8" w:rsidR="000756EB" w:rsidRDefault="004A4D88" w:rsidP="00872462">
            <w:pPr>
              <w:pStyle w:val="TableCopy"/>
              <w:jc w:val="right"/>
            </w:pPr>
            <w:r>
              <w:t>193,565</w:t>
            </w:r>
          </w:p>
        </w:tc>
      </w:tr>
      <w:tr w:rsidR="000756EB" w:rsidRPr="00AC65A6" w14:paraId="74FE1076" w14:textId="77777777" w:rsidTr="00872462">
        <w:trPr>
          <w:trHeight w:val="113"/>
        </w:trPr>
        <w:tc>
          <w:tcPr>
            <w:tcW w:w="4957" w:type="dxa"/>
          </w:tcPr>
          <w:p w14:paraId="4B13EA81" w14:textId="6509949E" w:rsidR="000756EB" w:rsidRPr="00AC65A6" w:rsidRDefault="004A4D88" w:rsidP="00AC65A6">
            <w:pPr>
              <w:pStyle w:val="TableCopy"/>
              <w:rPr>
                <w:b/>
                <w:bCs/>
              </w:rPr>
            </w:pPr>
            <w:r w:rsidRPr="00AC65A6">
              <w:rPr>
                <w:b/>
                <w:bCs/>
              </w:rPr>
              <w:lastRenderedPageBreak/>
              <w:t>Minimum</w:t>
            </w:r>
            <w:r w:rsidR="00A03629" w:rsidRPr="00AC65A6">
              <w:rPr>
                <w:b/>
                <w:bCs/>
              </w:rPr>
              <w:t xml:space="preserve"> </w:t>
            </w:r>
            <w:r w:rsidRPr="00AC65A6">
              <w:rPr>
                <w:b/>
                <w:bCs/>
              </w:rPr>
              <w:t>future</w:t>
            </w:r>
            <w:r w:rsidR="00A03629" w:rsidRPr="00AC65A6">
              <w:rPr>
                <w:b/>
                <w:bCs/>
              </w:rPr>
              <w:t xml:space="preserve"> </w:t>
            </w:r>
            <w:r w:rsidRPr="00AC65A6">
              <w:rPr>
                <w:b/>
                <w:bCs/>
              </w:rPr>
              <w:t>lease</w:t>
            </w:r>
            <w:r w:rsidR="00A03629" w:rsidRPr="00AC65A6">
              <w:rPr>
                <w:b/>
                <w:bCs/>
              </w:rPr>
              <w:t xml:space="preserve"> </w:t>
            </w:r>
            <w:r w:rsidRPr="00AC65A6">
              <w:rPr>
                <w:b/>
                <w:bCs/>
              </w:rPr>
              <w:t>payments</w:t>
            </w:r>
          </w:p>
        </w:tc>
        <w:tc>
          <w:tcPr>
            <w:tcW w:w="1361" w:type="dxa"/>
          </w:tcPr>
          <w:p w14:paraId="56183AD1" w14:textId="518C5C32" w:rsidR="000756EB" w:rsidRPr="00AC65A6" w:rsidRDefault="004A4D88" w:rsidP="00872462">
            <w:pPr>
              <w:pStyle w:val="TableCopy"/>
              <w:jc w:val="right"/>
              <w:rPr>
                <w:b/>
                <w:bCs/>
              </w:rPr>
            </w:pPr>
            <w:r w:rsidRPr="00AC65A6">
              <w:rPr>
                <w:b/>
                <w:bCs/>
              </w:rPr>
              <w:t>637,072</w:t>
            </w:r>
          </w:p>
        </w:tc>
        <w:tc>
          <w:tcPr>
            <w:tcW w:w="1361" w:type="dxa"/>
          </w:tcPr>
          <w:p w14:paraId="7A95499A" w14:textId="10B9C787" w:rsidR="000756EB" w:rsidRPr="00AC65A6" w:rsidRDefault="004A4D88" w:rsidP="00872462">
            <w:pPr>
              <w:pStyle w:val="TableCopy"/>
              <w:jc w:val="right"/>
              <w:rPr>
                <w:b/>
                <w:bCs/>
              </w:rPr>
            </w:pPr>
            <w:r w:rsidRPr="00AC65A6">
              <w:rPr>
                <w:b/>
                <w:bCs/>
              </w:rPr>
              <w:t>689,281</w:t>
            </w:r>
          </w:p>
        </w:tc>
        <w:tc>
          <w:tcPr>
            <w:tcW w:w="1360" w:type="dxa"/>
          </w:tcPr>
          <w:p w14:paraId="4C358571" w14:textId="422845F5" w:rsidR="000756EB" w:rsidRPr="00AC65A6" w:rsidRDefault="004A4D88" w:rsidP="00872462">
            <w:pPr>
              <w:pStyle w:val="TableCopy"/>
              <w:jc w:val="right"/>
              <w:rPr>
                <w:b/>
                <w:bCs/>
              </w:rPr>
            </w:pPr>
            <w:r w:rsidRPr="00AC65A6">
              <w:rPr>
                <w:b/>
                <w:bCs/>
              </w:rPr>
              <w:t>395,911</w:t>
            </w:r>
          </w:p>
        </w:tc>
        <w:tc>
          <w:tcPr>
            <w:tcW w:w="1361" w:type="dxa"/>
          </w:tcPr>
          <w:p w14:paraId="3C4D1A7D" w14:textId="1E109F86" w:rsidR="000756EB" w:rsidRPr="00AC65A6" w:rsidRDefault="004A4D88" w:rsidP="00872462">
            <w:pPr>
              <w:pStyle w:val="TableCopy"/>
              <w:jc w:val="right"/>
              <w:rPr>
                <w:b/>
                <w:bCs/>
              </w:rPr>
            </w:pPr>
            <w:r w:rsidRPr="00AC65A6">
              <w:rPr>
                <w:b/>
                <w:bCs/>
              </w:rPr>
              <w:t>410,549</w:t>
            </w:r>
          </w:p>
        </w:tc>
      </w:tr>
      <w:tr w:rsidR="000756EB" w14:paraId="6C5EE803" w14:textId="77777777" w:rsidTr="00872462">
        <w:trPr>
          <w:trHeight w:val="113"/>
        </w:trPr>
        <w:tc>
          <w:tcPr>
            <w:tcW w:w="4957" w:type="dxa"/>
          </w:tcPr>
          <w:p w14:paraId="51CA8404" w14:textId="7BEBED48" w:rsidR="000756EB" w:rsidRDefault="004A4D88" w:rsidP="00AC65A6">
            <w:pPr>
              <w:pStyle w:val="TableCopy"/>
              <w:keepNext/>
            </w:pPr>
            <w:r>
              <w:t>Less</w:t>
            </w:r>
            <w:r w:rsidR="00A03629">
              <w:t xml:space="preserve"> </w:t>
            </w:r>
            <w:r>
              <w:t>future</w:t>
            </w:r>
            <w:r w:rsidR="00A03629">
              <w:t xml:space="preserve"> </w:t>
            </w:r>
            <w:r>
              <w:t>finance</w:t>
            </w:r>
            <w:r w:rsidR="00A03629">
              <w:t xml:space="preserve"> </w:t>
            </w:r>
            <w:r>
              <w:t>charges</w:t>
            </w:r>
          </w:p>
        </w:tc>
        <w:tc>
          <w:tcPr>
            <w:tcW w:w="1361" w:type="dxa"/>
          </w:tcPr>
          <w:p w14:paraId="61375EC0" w14:textId="77777777" w:rsidR="000756EB" w:rsidRDefault="004A4D88" w:rsidP="00872462">
            <w:pPr>
              <w:pStyle w:val="TableCopy"/>
              <w:keepNext/>
              <w:jc w:val="right"/>
            </w:pPr>
            <w:r>
              <w:t>(241,161)</w:t>
            </w:r>
          </w:p>
        </w:tc>
        <w:tc>
          <w:tcPr>
            <w:tcW w:w="1361" w:type="dxa"/>
          </w:tcPr>
          <w:p w14:paraId="243AC8AA" w14:textId="77777777" w:rsidR="000756EB" w:rsidRDefault="004A4D88" w:rsidP="00872462">
            <w:pPr>
              <w:pStyle w:val="TableCopy"/>
              <w:keepNext/>
              <w:jc w:val="right"/>
            </w:pPr>
            <w:r>
              <w:t>(278,732)</w:t>
            </w:r>
          </w:p>
        </w:tc>
        <w:tc>
          <w:tcPr>
            <w:tcW w:w="1360" w:type="dxa"/>
          </w:tcPr>
          <w:p w14:paraId="7E30DE39" w14:textId="560144DB" w:rsidR="000756EB" w:rsidRDefault="004A4D88" w:rsidP="00872462">
            <w:pPr>
              <w:pStyle w:val="TableCopy"/>
              <w:keepNext/>
              <w:jc w:val="right"/>
            </w:pPr>
            <w:r>
              <w:t>–</w:t>
            </w:r>
          </w:p>
        </w:tc>
        <w:tc>
          <w:tcPr>
            <w:tcW w:w="1361" w:type="dxa"/>
          </w:tcPr>
          <w:p w14:paraId="33CA20F3" w14:textId="76920357" w:rsidR="000756EB" w:rsidRDefault="004A4D88" w:rsidP="00872462">
            <w:pPr>
              <w:pStyle w:val="TableCopy"/>
              <w:keepNext/>
              <w:jc w:val="right"/>
            </w:pPr>
            <w:r>
              <w:t>–</w:t>
            </w:r>
          </w:p>
        </w:tc>
      </w:tr>
      <w:tr w:rsidR="000756EB" w:rsidRPr="00AC65A6" w14:paraId="537E65F2" w14:textId="77777777" w:rsidTr="00872462">
        <w:trPr>
          <w:trHeight w:val="113"/>
        </w:trPr>
        <w:tc>
          <w:tcPr>
            <w:tcW w:w="4957" w:type="dxa"/>
          </w:tcPr>
          <w:p w14:paraId="0FF79DD9" w14:textId="4F68F11D" w:rsidR="000756EB" w:rsidRPr="00AC65A6" w:rsidRDefault="004A4D88" w:rsidP="00AC65A6">
            <w:pPr>
              <w:pStyle w:val="TableCopy"/>
              <w:rPr>
                <w:b/>
                <w:bCs/>
              </w:rPr>
            </w:pPr>
            <w:r w:rsidRPr="00AC65A6">
              <w:rPr>
                <w:b/>
                <w:bCs/>
              </w:rPr>
              <w:t>Present</w:t>
            </w:r>
            <w:r w:rsidR="00A03629" w:rsidRPr="00AC65A6">
              <w:rPr>
                <w:b/>
                <w:bCs/>
              </w:rPr>
              <w:t xml:space="preserve"> </w:t>
            </w:r>
            <w:r w:rsidRPr="00AC65A6">
              <w:rPr>
                <w:b/>
                <w:bCs/>
              </w:rPr>
              <w:t>value</w:t>
            </w:r>
            <w:r w:rsidR="00A03629" w:rsidRPr="00AC65A6">
              <w:rPr>
                <w:b/>
                <w:bCs/>
              </w:rPr>
              <w:t xml:space="preserve"> </w:t>
            </w:r>
            <w:r w:rsidRPr="00AC65A6">
              <w:rPr>
                <w:b/>
                <w:bCs/>
              </w:rPr>
              <w:t>of</w:t>
            </w:r>
            <w:r w:rsidR="00A03629" w:rsidRPr="00AC65A6">
              <w:rPr>
                <w:b/>
                <w:bCs/>
              </w:rPr>
              <w:t xml:space="preserve"> </w:t>
            </w:r>
            <w:r w:rsidRPr="00AC65A6">
              <w:rPr>
                <w:b/>
                <w:bCs/>
              </w:rPr>
              <w:t>minimum</w:t>
            </w:r>
            <w:r w:rsidR="00A03629" w:rsidRPr="00AC65A6">
              <w:rPr>
                <w:b/>
                <w:bCs/>
              </w:rPr>
              <w:t xml:space="preserve"> </w:t>
            </w:r>
            <w:r w:rsidRPr="00AC65A6">
              <w:rPr>
                <w:b/>
                <w:bCs/>
              </w:rPr>
              <w:t>lease</w:t>
            </w:r>
            <w:r w:rsidR="00A03629" w:rsidRPr="00AC65A6">
              <w:rPr>
                <w:b/>
                <w:bCs/>
              </w:rPr>
              <w:t xml:space="preserve"> </w:t>
            </w:r>
            <w:r w:rsidRPr="00AC65A6">
              <w:rPr>
                <w:b/>
                <w:bCs/>
              </w:rPr>
              <w:t>payments</w:t>
            </w:r>
          </w:p>
        </w:tc>
        <w:tc>
          <w:tcPr>
            <w:tcW w:w="1361" w:type="dxa"/>
          </w:tcPr>
          <w:p w14:paraId="296F50E5" w14:textId="5A9723A7" w:rsidR="000756EB" w:rsidRPr="00AC65A6" w:rsidRDefault="004A4D88" w:rsidP="00872462">
            <w:pPr>
              <w:pStyle w:val="TableCopy"/>
              <w:jc w:val="right"/>
              <w:rPr>
                <w:b/>
                <w:bCs/>
              </w:rPr>
            </w:pPr>
            <w:r w:rsidRPr="00AC65A6">
              <w:rPr>
                <w:b/>
                <w:bCs/>
              </w:rPr>
              <w:t>395,911</w:t>
            </w:r>
          </w:p>
        </w:tc>
        <w:tc>
          <w:tcPr>
            <w:tcW w:w="1361" w:type="dxa"/>
          </w:tcPr>
          <w:p w14:paraId="2E7F2A79" w14:textId="733FB207" w:rsidR="000756EB" w:rsidRPr="00AC65A6" w:rsidRDefault="004A4D88" w:rsidP="00872462">
            <w:pPr>
              <w:pStyle w:val="TableCopy"/>
              <w:jc w:val="right"/>
              <w:rPr>
                <w:b/>
                <w:bCs/>
              </w:rPr>
            </w:pPr>
            <w:r w:rsidRPr="00AC65A6">
              <w:rPr>
                <w:b/>
                <w:bCs/>
              </w:rPr>
              <w:t>410,549</w:t>
            </w:r>
          </w:p>
        </w:tc>
        <w:tc>
          <w:tcPr>
            <w:tcW w:w="1360" w:type="dxa"/>
          </w:tcPr>
          <w:p w14:paraId="5F8D3028" w14:textId="6D9DBA1D" w:rsidR="000756EB" w:rsidRPr="00AC65A6" w:rsidRDefault="004A4D88" w:rsidP="00872462">
            <w:pPr>
              <w:pStyle w:val="TableCopy"/>
              <w:jc w:val="right"/>
              <w:rPr>
                <w:b/>
                <w:bCs/>
              </w:rPr>
            </w:pPr>
            <w:r w:rsidRPr="00AC65A6">
              <w:rPr>
                <w:b/>
                <w:bCs/>
              </w:rPr>
              <w:t>395,911</w:t>
            </w:r>
          </w:p>
        </w:tc>
        <w:tc>
          <w:tcPr>
            <w:tcW w:w="1361" w:type="dxa"/>
          </w:tcPr>
          <w:p w14:paraId="467D6452" w14:textId="56F9E93D" w:rsidR="000756EB" w:rsidRPr="00AC65A6" w:rsidRDefault="004A4D88" w:rsidP="00872462">
            <w:pPr>
              <w:pStyle w:val="TableCopy"/>
              <w:jc w:val="right"/>
              <w:rPr>
                <w:b/>
                <w:bCs/>
              </w:rPr>
            </w:pPr>
            <w:r w:rsidRPr="00AC65A6">
              <w:rPr>
                <w:b/>
                <w:bCs/>
              </w:rPr>
              <w:t>410,549</w:t>
            </w:r>
          </w:p>
        </w:tc>
      </w:tr>
    </w:tbl>
    <w:p w14:paraId="3319CBAF" w14:textId="77777777" w:rsidR="000756EB" w:rsidRDefault="000756EB" w:rsidP="00872462"/>
    <w:p w14:paraId="7FA7B915" w14:textId="5E9CA5AB" w:rsidR="000756EB" w:rsidRPr="00872462" w:rsidRDefault="004A4D88" w:rsidP="00872462">
      <w:pPr>
        <w:pStyle w:val="Normalbeforebullets"/>
        <w:rPr>
          <w:b/>
          <w:bCs/>
        </w:rPr>
      </w:pPr>
      <w:r w:rsidRPr="00872462">
        <w:rPr>
          <w:b/>
          <w:bCs/>
        </w:rPr>
        <w:t>Melbourne</w:t>
      </w:r>
      <w:r w:rsidR="00A03629" w:rsidRPr="00872462">
        <w:rPr>
          <w:b/>
          <w:bCs/>
        </w:rPr>
        <w:t xml:space="preserve"> </w:t>
      </w:r>
      <w:r w:rsidRPr="00872462">
        <w:rPr>
          <w:b/>
          <w:bCs/>
        </w:rPr>
        <w:t>Convention</w:t>
      </w:r>
      <w:r w:rsidR="00A03629" w:rsidRPr="00872462">
        <w:rPr>
          <w:b/>
          <w:bCs/>
        </w:rPr>
        <w:t xml:space="preserve"> </w:t>
      </w:r>
      <w:r w:rsidRPr="00872462">
        <w:rPr>
          <w:b/>
          <w:bCs/>
        </w:rPr>
        <w:t>Centre</w:t>
      </w:r>
      <w:r w:rsidR="00A03629" w:rsidRPr="00872462">
        <w:rPr>
          <w:b/>
          <w:bCs/>
        </w:rPr>
        <w:t xml:space="preserve"> </w:t>
      </w:r>
      <w:r w:rsidRPr="00872462">
        <w:rPr>
          <w:b/>
          <w:bCs/>
        </w:rPr>
        <w:t>development</w:t>
      </w:r>
      <w:r w:rsidR="00A03629" w:rsidRPr="00872462">
        <w:rPr>
          <w:b/>
          <w:bCs/>
        </w:rPr>
        <w:t xml:space="preserve"> </w:t>
      </w:r>
      <w:r w:rsidRPr="00872462">
        <w:rPr>
          <w:b/>
          <w:bCs/>
        </w:rPr>
        <w:t>project</w:t>
      </w:r>
      <w:r w:rsidR="00A03629" w:rsidRPr="00872462">
        <w:rPr>
          <w:b/>
          <w:bCs/>
        </w:rPr>
        <w:t xml:space="preserve"> </w:t>
      </w:r>
      <w:r w:rsidRPr="00872462">
        <w:rPr>
          <w:b/>
          <w:bCs/>
        </w:rPr>
        <w:t>lease</w:t>
      </w:r>
      <w:r w:rsidR="00A03629" w:rsidRPr="00872462">
        <w:rPr>
          <w:b/>
          <w:bCs/>
        </w:rPr>
        <w:t xml:space="preserve"> </w:t>
      </w:r>
      <w:r w:rsidRPr="00872462">
        <w:rPr>
          <w:b/>
          <w:bCs/>
        </w:rPr>
        <w:t>commitments</w:t>
      </w:r>
      <w:r w:rsidR="00A03629" w:rsidRPr="00872462">
        <w:rPr>
          <w:rFonts w:ascii="Cambria" w:hAnsi="Cambria" w:cs="Cambria"/>
          <w:b/>
          <w:bCs/>
        </w:rPr>
        <w:t xml:space="preserve"> </w:t>
      </w:r>
      <w:r w:rsidRPr="00872462">
        <w:rPr>
          <w:b/>
          <w:bCs/>
        </w:rPr>
        <w:t>(Expansion)</w:t>
      </w:r>
    </w:p>
    <w:tbl>
      <w:tblPr>
        <w:tblStyle w:val="TableGrid"/>
        <w:tblW w:w="10400" w:type="dxa"/>
        <w:tblLayout w:type="fixed"/>
        <w:tblLook w:val="04A0" w:firstRow="1" w:lastRow="0" w:firstColumn="1" w:lastColumn="0" w:noHBand="0" w:noVBand="1"/>
      </w:tblPr>
      <w:tblGrid>
        <w:gridCol w:w="4957"/>
        <w:gridCol w:w="1360"/>
        <w:gridCol w:w="1361"/>
        <w:gridCol w:w="1361"/>
        <w:gridCol w:w="1361"/>
      </w:tblGrid>
      <w:tr w:rsidR="00872462" w:rsidRPr="00AC65A6" w14:paraId="3F732B84" w14:textId="77777777" w:rsidTr="0099644C">
        <w:trPr>
          <w:cantSplit/>
          <w:tblHeader/>
        </w:trPr>
        <w:tc>
          <w:tcPr>
            <w:tcW w:w="4957" w:type="dxa"/>
          </w:tcPr>
          <w:p w14:paraId="4B141A36" w14:textId="77777777" w:rsidR="00872462" w:rsidRPr="00AC65A6" w:rsidRDefault="00872462" w:rsidP="00F8467A">
            <w:pPr>
              <w:pStyle w:val="TableColumnHeading"/>
              <w:rPr>
                <w:sz w:val="20"/>
                <w:szCs w:val="28"/>
              </w:rPr>
            </w:pPr>
            <w:bookmarkStart w:id="110" w:name="ColumnTitles_65"/>
            <w:bookmarkEnd w:id="110"/>
          </w:p>
        </w:tc>
        <w:tc>
          <w:tcPr>
            <w:tcW w:w="1360" w:type="dxa"/>
          </w:tcPr>
          <w:p w14:paraId="5D3E7596" w14:textId="77777777" w:rsidR="00872462" w:rsidRPr="00AC65A6" w:rsidRDefault="00872462" w:rsidP="0099644C">
            <w:pPr>
              <w:pStyle w:val="TableColumnHeading"/>
              <w:jc w:val="right"/>
              <w:rPr>
                <w:sz w:val="20"/>
                <w:szCs w:val="28"/>
              </w:rPr>
            </w:pPr>
            <w:r w:rsidRPr="00AC65A6">
              <w:rPr>
                <w:sz w:val="20"/>
                <w:szCs w:val="28"/>
              </w:rPr>
              <w:t>Minimum future lease payments</w:t>
            </w:r>
            <w:r>
              <w:rPr>
                <w:sz w:val="20"/>
                <w:szCs w:val="28"/>
              </w:rPr>
              <w:t xml:space="preserve"> </w:t>
            </w:r>
            <w:r w:rsidRPr="00AC65A6">
              <w:rPr>
                <w:sz w:val="20"/>
                <w:szCs w:val="28"/>
              </w:rPr>
              <w:t>2023 ($</w:t>
            </w:r>
            <w:r>
              <w:rPr>
                <w:sz w:val="20"/>
                <w:szCs w:val="28"/>
              </w:rPr>
              <w:t> </w:t>
            </w:r>
            <w:r w:rsidRPr="00AC65A6">
              <w:rPr>
                <w:sz w:val="20"/>
                <w:szCs w:val="28"/>
              </w:rPr>
              <w:t>thousand)</w:t>
            </w:r>
          </w:p>
        </w:tc>
        <w:tc>
          <w:tcPr>
            <w:tcW w:w="1361" w:type="dxa"/>
          </w:tcPr>
          <w:p w14:paraId="4031F1E1" w14:textId="77777777" w:rsidR="00872462" w:rsidRPr="00AC65A6" w:rsidRDefault="00872462" w:rsidP="0099644C">
            <w:pPr>
              <w:pStyle w:val="TableColumnHeading"/>
              <w:jc w:val="right"/>
              <w:rPr>
                <w:sz w:val="20"/>
                <w:szCs w:val="28"/>
              </w:rPr>
            </w:pPr>
            <w:r w:rsidRPr="00AC65A6">
              <w:rPr>
                <w:sz w:val="20"/>
                <w:szCs w:val="28"/>
              </w:rPr>
              <w:t>Minimum future lease payments</w:t>
            </w:r>
            <w:r>
              <w:rPr>
                <w:sz w:val="20"/>
                <w:szCs w:val="28"/>
              </w:rPr>
              <w:t xml:space="preserve"> </w:t>
            </w:r>
            <w:r w:rsidRPr="00AC65A6">
              <w:rPr>
                <w:sz w:val="20"/>
                <w:szCs w:val="28"/>
              </w:rPr>
              <w:t>2022</w:t>
            </w:r>
            <w:r>
              <w:rPr>
                <w:sz w:val="20"/>
                <w:szCs w:val="28"/>
              </w:rPr>
              <w:t xml:space="preserve"> </w:t>
            </w:r>
            <w:r w:rsidRPr="00AC65A6">
              <w:rPr>
                <w:sz w:val="20"/>
                <w:szCs w:val="28"/>
              </w:rPr>
              <w:t>($</w:t>
            </w:r>
            <w:r>
              <w:rPr>
                <w:sz w:val="20"/>
                <w:szCs w:val="28"/>
              </w:rPr>
              <w:t> </w:t>
            </w:r>
            <w:r w:rsidRPr="00AC65A6">
              <w:rPr>
                <w:sz w:val="20"/>
                <w:szCs w:val="28"/>
              </w:rPr>
              <w:t>thousand)</w:t>
            </w:r>
          </w:p>
        </w:tc>
        <w:tc>
          <w:tcPr>
            <w:tcW w:w="1361" w:type="dxa"/>
          </w:tcPr>
          <w:p w14:paraId="57191E47" w14:textId="77777777" w:rsidR="00872462" w:rsidRPr="00AC65A6" w:rsidRDefault="00872462" w:rsidP="0099644C">
            <w:pPr>
              <w:pStyle w:val="TableColumnHeading"/>
              <w:jc w:val="right"/>
              <w:rPr>
                <w:sz w:val="20"/>
                <w:szCs w:val="28"/>
              </w:rPr>
            </w:pPr>
            <w:r w:rsidRPr="00AC65A6">
              <w:rPr>
                <w:sz w:val="20"/>
                <w:szCs w:val="28"/>
              </w:rPr>
              <w:t>Present value of future lease payments</w:t>
            </w:r>
            <w:r>
              <w:rPr>
                <w:sz w:val="20"/>
                <w:szCs w:val="28"/>
              </w:rPr>
              <w:t xml:space="preserve"> </w:t>
            </w:r>
            <w:r w:rsidRPr="00AC65A6">
              <w:rPr>
                <w:sz w:val="20"/>
                <w:szCs w:val="28"/>
              </w:rPr>
              <w:t>2023 ($</w:t>
            </w:r>
            <w:r>
              <w:rPr>
                <w:sz w:val="20"/>
                <w:szCs w:val="28"/>
              </w:rPr>
              <w:t> </w:t>
            </w:r>
            <w:r w:rsidRPr="00AC65A6">
              <w:rPr>
                <w:sz w:val="20"/>
                <w:szCs w:val="28"/>
              </w:rPr>
              <w:t>thousand)</w:t>
            </w:r>
          </w:p>
        </w:tc>
        <w:tc>
          <w:tcPr>
            <w:tcW w:w="1361" w:type="dxa"/>
          </w:tcPr>
          <w:p w14:paraId="79AB65F4" w14:textId="77777777" w:rsidR="00872462" w:rsidRPr="00AC65A6" w:rsidRDefault="00872462" w:rsidP="0099644C">
            <w:pPr>
              <w:pStyle w:val="TableColumnHeading"/>
              <w:jc w:val="right"/>
              <w:rPr>
                <w:sz w:val="20"/>
                <w:szCs w:val="28"/>
              </w:rPr>
            </w:pPr>
            <w:r w:rsidRPr="00AC65A6">
              <w:rPr>
                <w:sz w:val="20"/>
                <w:szCs w:val="28"/>
              </w:rPr>
              <w:t>Present value of future lease payments</w:t>
            </w:r>
            <w:r>
              <w:rPr>
                <w:sz w:val="20"/>
                <w:szCs w:val="28"/>
              </w:rPr>
              <w:t xml:space="preserve"> </w:t>
            </w:r>
            <w:r w:rsidRPr="00AC65A6">
              <w:rPr>
                <w:sz w:val="20"/>
                <w:szCs w:val="28"/>
              </w:rPr>
              <w:t>2022</w:t>
            </w:r>
            <w:r>
              <w:rPr>
                <w:sz w:val="20"/>
                <w:szCs w:val="28"/>
              </w:rPr>
              <w:t xml:space="preserve"> </w:t>
            </w:r>
            <w:r w:rsidRPr="00AC65A6">
              <w:rPr>
                <w:sz w:val="20"/>
                <w:szCs w:val="28"/>
              </w:rPr>
              <w:t>($</w:t>
            </w:r>
            <w:r>
              <w:rPr>
                <w:sz w:val="20"/>
                <w:szCs w:val="28"/>
              </w:rPr>
              <w:t> </w:t>
            </w:r>
            <w:r w:rsidRPr="00AC65A6">
              <w:rPr>
                <w:sz w:val="20"/>
                <w:szCs w:val="28"/>
              </w:rPr>
              <w:t>thousand)</w:t>
            </w:r>
          </w:p>
        </w:tc>
      </w:tr>
      <w:tr w:rsidR="000756EB" w:rsidRPr="00872462" w14:paraId="3691D91D" w14:textId="77777777" w:rsidTr="0099644C">
        <w:tblPrEx>
          <w:tblLook w:val="0020" w:firstRow="1" w:lastRow="0" w:firstColumn="0" w:lastColumn="0" w:noHBand="0" w:noVBand="0"/>
        </w:tblPrEx>
        <w:trPr>
          <w:cantSplit/>
        </w:trPr>
        <w:tc>
          <w:tcPr>
            <w:tcW w:w="4957" w:type="dxa"/>
          </w:tcPr>
          <w:p w14:paraId="4F7BD57F" w14:textId="6A574252" w:rsidR="000756EB" w:rsidRPr="00872462" w:rsidRDefault="004A4D88" w:rsidP="00872462">
            <w:pPr>
              <w:pStyle w:val="TableColumnHeading"/>
              <w:rPr>
                <w:rFonts w:asciiTheme="minorHAnsi" w:hAnsiTheme="minorHAnsi" w:cstheme="minorHAnsi"/>
              </w:rPr>
            </w:pPr>
            <w:r w:rsidRPr="00872462">
              <w:rPr>
                <w:rFonts w:asciiTheme="minorHAnsi" w:hAnsiTheme="minorHAnsi" w:cstheme="minorHAnsi"/>
              </w:rPr>
              <w:t>Commissioned</w:t>
            </w:r>
            <w:r w:rsidR="00A03629" w:rsidRPr="00872462">
              <w:rPr>
                <w:rFonts w:asciiTheme="minorHAnsi" w:hAnsiTheme="minorHAnsi" w:cstheme="minorHAnsi"/>
              </w:rPr>
              <w:t xml:space="preserve"> </w:t>
            </w:r>
            <w:r w:rsidRPr="00872462">
              <w:rPr>
                <w:rFonts w:asciiTheme="minorHAnsi" w:hAnsiTheme="minorHAnsi" w:cstheme="minorHAnsi"/>
              </w:rPr>
              <w:t>PPP</w:t>
            </w:r>
            <w:r w:rsidR="00A03629" w:rsidRPr="00872462">
              <w:rPr>
                <w:rFonts w:asciiTheme="minorHAnsi" w:hAnsiTheme="minorHAnsi" w:cstheme="minorHAnsi"/>
              </w:rPr>
              <w:t xml:space="preserve"> </w:t>
            </w:r>
            <w:r w:rsidRPr="00872462">
              <w:rPr>
                <w:rFonts w:asciiTheme="minorHAnsi" w:hAnsiTheme="minorHAnsi" w:cstheme="minorHAnsi"/>
              </w:rPr>
              <w:t>related</w:t>
            </w:r>
            <w:r w:rsidR="00A03629" w:rsidRPr="00872462">
              <w:rPr>
                <w:rFonts w:asciiTheme="minorHAnsi" w:hAnsiTheme="minorHAnsi" w:cstheme="minorHAnsi"/>
              </w:rPr>
              <w:t xml:space="preserve"> </w:t>
            </w:r>
            <w:r w:rsidRPr="00872462">
              <w:rPr>
                <w:rFonts w:asciiTheme="minorHAnsi" w:hAnsiTheme="minorHAnsi" w:cstheme="minorHAnsi"/>
              </w:rPr>
              <w:t>lease</w:t>
            </w:r>
            <w:r w:rsidR="00A03629" w:rsidRPr="00872462">
              <w:rPr>
                <w:rFonts w:asciiTheme="minorHAnsi" w:hAnsiTheme="minorHAnsi" w:cstheme="minorHAnsi"/>
              </w:rPr>
              <w:t xml:space="preserve"> </w:t>
            </w:r>
            <w:r w:rsidRPr="00872462">
              <w:rPr>
                <w:rFonts w:asciiTheme="minorHAnsi" w:hAnsiTheme="minorHAnsi" w:cstheme="minorHAnsi"/>
              </w:rPr>
              <w:t>commitments</w:t>
            </w:r>
          </w:p>
        </w:tc>
        <w:tc>
          <w:tcPr>
            <w:tcW w:w="1360" w:type="dxa"/>
          </w:tcPr>
          <w:p w14:paraId="5CBA534F" w14:textId="77777777" w:rsidR="000756EB" w:rsidRPr="00872462" w:rsidRDefault="000756EB" w:rsidP="0099644C">
            <w:pPr>
              <w:pStyle w:val="TableColumnHeading"/>
              <w:jc w:val="right"/>
              <w:rPr>
                <w:rFonts w:asciiTheme="minorHAnsi" w:hAnsiTheme="minorHAnsi" w:cstheme="minorHAnsi"/>
                <w:lang w:val="en-AU"/>
              </w:rPr>
            </w:pPr>
          </w:p>
        </w:tc>
        <w:tc>
          <w:tcPr>
            <w:tcW w:w="1361" w:type="dxa"/>
          </w:tcPr>
          <w:p w14:paraId="731AE64C" w14:textId="77777777" w:rsidR="000756EB" w:rsidRPr="00872462" w:rsidRDefault="000756EB" w:rsidP="0099644C">
            <w:pPr>
              <w:pStyle w:val="TableColumnHeading"/>
              <w:jc w:val="right"/>
              <w:rPr>
                <w:rFonts w:asciiTheme="minorHAnsi" w:hAnsiTheme="minorHAnsi" w:cstheme="minorHAnsi"/>
                <w:lang w:val="en-AU"/>
              </w:rPr>
            </w:pPr>
          </w:p>
        </w:tc>
        <w:tc>
          <w:tcPr>
            <w:tcW w:w="1361" w:type="dxa"/>
          </w:tcPr>
          <w:p w14:paraId="6A01E153" w14:textId="77777777" w:rsidR="000756EB" w:rsidRPr="00872462" w:rsidRDefault="000756EB" w:rsidP="0099644C">
            <w:pPr>
              <w:pStyle w:val="TableColumnHeading"/>
              <w:jc w:val="right"/>
              <w:rPr>
                <w:rFonts w:asciiTheme="minorHAnsi" w:hAnsiTheme="minorHAnsi" w:cstheme="minorHAnsi"/>
                <w:lang w:val="en-AU"/>
              </w:rPr>
            </w:pPr>
          </w:p>
        </w:tc>
        <w:tc>
          <w:tcPr>
            <w:tcW w:w="1361" w:type="dxa"/>
          </w:tcPr>
          <w:p w14:paraId="652E26C2" w14:textId="77777777" w:rsidR="000756EB" w:rsidRPr="00872462" w:rsidRDefault="000756EB" w:rsidP="0099644C">
            <w:pPr>
              <w:pStyle w:val="TableColumnHeading"/>
              <w:jc w:val="right"/>
              <w:rPr>
                <w:rFonts w:asciiTheme="minorHAnsi" w:hAnsiTheme="minorHAnsi" w:cstheme="minorHAnsi"/>
                <w:lang w:val="en-AU"/>
              </w:rPr>
            </w:pPr>
          </w:p>
        </w:tc>
      </w:tr>
      <w:tr w:rsidR="000756EB" w14:paraId="59D589B6" w14:textId="77777777" w:rsidTr="0099644C">
        <w:tblPrEx>
          <w:tblLook w:val="0020" w:firstRow="1" w:lastRow="0" w:firstColumn="0" w:lastColumn="0" w:noHBand="0" w:noVBand="0"/>
        </w:tblPrEx>
        <w:trPr>
          <w:cantSplit/>
        </w:trPr>
        <w:tc>
          <w:tcPr>
            <w:tcW w:w="4957" w:type="dxa"/>
          </w:tcPr>
          <w:p w14:paraId="1442F1F3" w14:textId="34A77202" w:rsidR="000756EB" w:rsidRDefault="004A4D88" w:rsidP="00872462">
            <w:pPr>
              <w:pStyle w:val="TableCopy"/>
            </w:pPr>
            <w:proofErr w:type="spellStart"/>
            <w:r>
              <w:t>Not</w:t>
            </w:r>
            <w:r w:rsidR="00A03629">
              <w:t xml:space="preserve"> </w:t>
            </w:r>
            <w:r>
              <w:t>longer</w:t>
            </w:r>
            <w:proofErr w:type="spellEnd"/>
            <w:r w:rsidR="00A03629">
              <w:t xml:space="preserve"> </w:t>
            </w:r>
            <w:r>
              <w:t>than</w:t>
            </w:r>
            <w:r w:rsidR="00A03629">
              <w:t xml:space="preserve"> </w:t>
            </w:r>
            <w:r>
              <w:t>one</w:t>
            </w:r>
            <w:r w:rsidR="00A03629">
              <w:t xml:space="preserve"> </w:t>
            </w:r>
            <w:r>
              <w:t>year</w:t>
            </w:r>
          </w:p>
        </w:tc>
        <w:tc>
          <w:tcPr>
            <w:tcW w:w="1360" w:type="dxa"/>
          </w:tcPr>
          <w:p w14:paraId="6748A488" w14:textId="4C75A8FE" w:rsidR="000756EB" w:rsidRDefault="004A4D88" w:rsidP="0099644C">
            <w:pPr>
              <w:pStyle w:val="TableCopy"/>
              <w:jc w:val="right"/>
            </w:pPr>
            <w:r>
              <w:t>3,643</w:t>
            </w:r>
          </w:p>
        </w:tc>
        <w:tc>
          <w:tcPr>
            <w:tcW w:w="1361" w:type="dxa"/>
          </w:tcPr>
          <w:p w14:paraId="68DCEA84" w14:textId="58E0FE53" w:rsidR="000756EB" w:rsidRDefault="004A4D88" w:rsidP="0099644C">
            <w:pPr>
              <w:pStyle w:val="TableCopy"/>
              <w:jc w:val="right"/>
            </w:pPr>
            <w:r>
              <w:t>3,643</w:t>
            </w:r>
          </w:p>
        </w:tc>
        <w:tc>
          <w:tcPr>
            <w:tcW w:w="1361" w:type="dxa"/>
          </w:tcPr>
          <w:p w14:paraId="7E1DC67B" w14:textId="4A899F20" w:rsidR="000756EB" w:rsidRDefault="004A4D88" w:rsidP="0099644C">
            <w:pPr>
              <w:pStyle w:val="TableCopy"/>
              <w:jc w:val="right"/>
            </w:pPr>
            <w:r>
              <w:t>3,509</w:t>
            </w:r>
          </w:p>
        </w:tc>
        <w:tc>
          <w:tcPr>
            <w:tcW w:w="1361" w:type="dxa"/>
          </w:tcPr>
          <w:p w14:paraId="5754588A" w14:textId="1CAA7AD3" w:rsidR="000756EB" w:rsidRDefault="004A4D88" w:rsidP="0099644C">
            <w:pPr>
              <w:pStyle w:val="TableCopy"/>
              <w:jc w:val="right"/>
            </w:pPr>
            <w:r>
              <w:t>3,509</w:t>
            </w:r>
          </w:p>
        </w:tc>
      </w:tr>
      <w:tr w:rsidR="000756EB" w14:paraId="55D9BBD8" w14:textId="77777777" w:rsidTr="0099644C">
        <w:tblPrEx>
          <w:tblLook w:val="0020" w:firstRow="1" w:lastRow="0" w:firstColumn="0" w:lastColumn="0" w:noHBand="0" w:noVBand="0"/>
        </w:tblPrEx>
        <w:trPr>
          <w:cantSplit/>
        </w:trPr>
        <w:tc>
          <w:tcPr>
            <w:tcW w:w="4957" w:type="dxa"/>
          </w:tcPr>
          <w:p w14:paraId="7010F450" w14:textId="3EED157B" w:rsidR="000756EB" w:rsidRDefault="004A4D88" w:rsidP="00872462">
            <w:pPr>
              <w:pStyle w:val="TableCopy"/>
            </w:pPr>
            <w:r>
              <w:t>Longer</w:t>
            </w:r>
            <w:r w:rsidR="00A03629">
              <w:t xml:space="preserve"> </w:t>
            </w:r>
            <w:r>
              <w:t>than</w:t>
            </w:r>
            <w:r w:rsidR="00A03629">
              <w:t xml:space="preserve"> </w:t>
            </w:r>
            <w:r>
              <w:t>one</w:t>
            </w:r>
            <w:r w:rsidR="00A03629">
              <w:t xml:space="preserve"> </w:t>
            </w:r>
            <w:r>
              <w:t>year</w:t>
            </w:r>
            <w:r w:rsidR="00A03629">
              <w:t xml:space="preserve"> </w:t>
            </w:r>
            <w:r>
              <w:t>but</w:t>
            </w:r>
            <w:r w:rsidR="00A03629">
              <w:t xml:space="preserve"> </w:t>
            </w:r>
            <w:r>
              <w:t>not</w:t>
            </w:r>
            <w:r w:rsidR="00A03629">
              <w:t xml:space="preserve"> </w:t>
            </w:r>
            <w:r>
              <w:t>longer</w:t>
            </w:r>
            <w:r w:rsidR="00A03629">
              <w:t xml:space="preserve"> </w:t>
            </w:r>
            <w:r>
              <w:t>than</w:t>
            </w:r>
            <w:r w:rsidR="00A03629">
              <w:t xml:space="preserve"> </w:t>
            </w:r>
            <w:r>
              <w:t>five</w:t>
            </w:r>
            <w:r w:rsidR="00A03629">
              <w:t xml:space="preserve"> </w:t>
            </w:r>
            <w:r>
              <w:t>years</w:t>
            </w:r>
          </w:p>
        </w:tc>
        <w:tc>
          <w:tcPr>
            <w:tcW w:w="1360" w:type="dxa"/>
          </w:tcPr>
          <w:p w14:paraId="5579A22A" w14:textId="5336AF37" w:rsidR="000756EB" w:rsidRDefault="004A4D88" w:rsidP="0099644C">
            <w:pPr>
              <w:pStyle w:val="TableCopy"/>
              <w:jc w:val="right"/>
            </w:pPr>
            <w:r>
              <w:t>14,573</w:t>
            </w:r>
          </w:p>
        </w:tc>
        <w:tc>
          <w:tcPr>
            <w:tcW w:w="1361" w:type="dxa"/>
          </w:tcPr>
          <w:p w14:paraId="364EFDE6" w14:textId="73ECC484" w:rsidR="000756EB" w:rsidRDefault="004A4D88" w:rsidP="0099644C">
            <w:pPr>
              <w:pStyle w:val="TableCopy"/>
              <w:jc w:val="right"/>
            </w:pPr>
            <w:r>
              <w:t>14,573</w:t>
            </w:r>
          </w:p>
        </w:tc>
        <w:tc>
          <w:tcPr>
            <w:tcW w:w="1361" w:type="dxa"/>
          </w:tcPr>
          <w:p w14:paraId="0F6F35D4" w14:textId="5D3BFF9A" w:rsidR="000756EB" w:rsidRDefault="004A4D88" w:rsidP="0099644C">
            <w:pPr>
              <w:pStyle w:val="TableCopy"/>
              <w:jc w:val="right"/>
            </w:pPr>
            <w:r>
              <w:t>12,097</w:t>
            </w:r>
          </w:p>
        </w:tc>
        <w:tc>
          <w:tcPr>
            <w:tcW w:w="1361" w:type="dxa"/>
          </w:tcPr>
          <w:p w14:paraId="3870AE41" w14:textId="61C99654" w:rsidR="000756EB" w:rsidRDefault="004A4D88" w:rsidP="0099644C">
            <w:pPr>
              <w:pStyle w:val="TableCopy"/>
              <w:jc w:val="right"/>
            </w:pPr>
            <w:r>
              <w:t>12,097</w:t>
            </w:r>
          </w:p>
        </w:tc>
      </w:tr>
      <w:tr w:rsidR="000756EB" w14:paraId="363DF447" w14:textId="77777777" w:rsidTr="0099644C">
        <w:tblPrEx>
          <w:tblLook w:val="0020" w:firstRow="1" w:lastRow="0" w:firstColumn="0" w:lastColumn="0" w:noHBand="0" w:noVBand="0"/>
        </w:tblPrEx>
        <w:trPr>
          <w:cantSplit/>
        </w:trPr>
        <w:tc>
          <w:tcPr>
            <w:tcW w:w="4957" w:type="dxa"/>
          </w:tcPr>
          <w:p w14:paraId="1D082B35" w14:textId="7EE5D1F4" w:rsidR="000756EB" w:rsidRDefault="004A4D88" w:rsidP="00872462">
            <w:pPr>
              <w:pStyle w:val="TableCopy"/>
            </w:pPr>
            <w:r>
              <w:t>Longer</w:t>
            </w:r>
            <w:r w:rsidR="00A03629">
              <w:t xml:space="preserve"> </w:t>
            </w:r>
            <w:r>
              <w:t>than</w:t>
            </w:r>
            <w:r w:rsidR="00A03629">
              <w:t xml:space="preserve"> </w:t>
            </w:r>
            <w:r>
              <w:t>five</w:t>
            </w:r>
            <w:r w:rsidR="00A03629">
              <w:t xml:space="preserve"> </w:t>
            </w:r>
            <w:r>
              <w:t>years</w:t>
            </w:r>
          </w:p>
        </w:tc>
        <w:tc>
          <w:tcPr>
            <w:tcW w:w="1360" w:type="dxa"/>
          </w:tcPr>
          <w:p w14:paraId="5D6E4CA5" w14:textId="0D98F720" w:rsidR="000756EB" w:rsidRDefault="004A4D88" w:rsidP="0099644C">
            <w:pPr>
              <w:pStyle w:val="TableCopy"/>
              <w:jc w:val="right"/>
            </w:pPr>
            <w:r>
              <w:t>20,948</w:t>
            </w:r>
          </w:p>
        </w:tc>
        <w:tc>
          <w:tcPr>
            <w:tcW w:w="1361" w:type="dxa"/>
          </w:tcPr>
          <w:p w14:paraId="6B7F3F37" w14:textId="404D3B9A" w:rsidR="000756EB" w:rsidRDefault="004A4D88" w:rsidP="0099644C">
            <w:pPr>
              <w:pStyle w:val="TableCopy"/>
              <w:jc w:val="right"/>
            </w:pPr>
            <w:r>
              <w:t>24,591</w:t>
            </w:r>
          </w:p>
        </w:tc>
        <w:tc>
          <w:tcPr>
            <w:tcW w:w="1361" w:type="dxa"/>
          </w:tcPr>
          <w:p w14:paraId="0BA902B1" w14:textId="6DF44687" w:rsidR="000756EB" w:rsidRDefault="004A4D88" w:rsidP="0099644C">
            <w:pPr>
              <w:pStyle w:val="TableCopy"/>
              <w:jc w:val="right"/>
            </w:pPr>
            <w:r>
              <w:t>12,991</w:t>
            </w:r>
          </w:p>
        </w:tc>
        <w:tc>
          <w:tcPr>
            <w:tcW w:w="1361" w:type="dxa"/>
          </w:tcPr>
          <w:p w14:paraId="6DD8EE61" w14:textId="4F42A31A" w:rsidR="000756EB" w:rsidRDefault="004A4D88" w:rsidP="0099644C">
            <w:pPr>
              <w:pStyle w:val="TableCopy"/>
              <w:jc w:val="right"/>
            </w:pPr>
            <w:r>
              <w:t>14,825</w:t>
            </w:r>
          </w:p>
        </w:tc>
      </w:tr>
      <w:tr w:rsidR="000756EB" w:rsidRPr="00872462" w14:paraId="454B7583" w14:textId="77777777" w:rsidTr="0099644C">
        <w:tblPrEx>
          <w:tblLook w:val="0020" w:firstRow="1" w:lastRow="0" w:firstColumn="0" w:lastColumn="0" w:noHBand="0" w:noVBand="0"/>
        </w:tblPrEx>
        <w:trPr>
          <w:cantSplit/>
        </w:trPr>
        <w:tc>
          <w:tcPr>
            <w:tcW w:w="4957" w:type="dxa"/>
          </w:tcPr>
          <w:p w14:paraId="01D11725" w14:textId="77777777" w:rsidR="000756EB" w:rsidRPr="00872462" w:rsidRDefault="000756EB" w:rsidP="00872462">
            <w:pPr>
              <w:pStyle w:val="TableCopy"/>
              <w:rPr>
                <w:b/>
                <w:bCs/>
              </w:rPr>
            </w:pPr>
          </w:p>
        </w:tc>
        <w:tc>
          <w:tcPr>
            <w:tcW w:w="1360" w:type="dxa"/>
          </w:tcPr>
          <w:p w14:paraId="4D71A7A1" w14:textId="4A77F23D" w:rsidR="000756EB" w:rsidRPr="00872462" w:rsidRDefault="004A4D88" w:rsidP="0099644C">
            <w:pPr>
              <w:pStyle w:val="TableCopy"/>
              <w:jc w:val="right"/>
              <w:rPr>
                <w:b/>
                <w:bCs/>
              </w:rPr>
            </w:pPr>
            <w:r w:rsidRPr="00872462">
              <w:rPr>
                <w:b/>
                <w:bCs/>
              </w:rPr>
              <w:t>39,164</w:t>
            </w:r>
          </w:p>
        </w:tc>
        <w:tc>
          <w:tcPr>
            <w:tcW w:w="1361" w:type="dxa"/>
          </w:tcPr>
          <w:p w14:paraId="1C38A662" w14:textId="7694E72C" w:rsidR="000756EB" w:rsidRPr="00872462" w:rsidRDefault="004A4D88" w:rsidP="0099644C">
            <w:pPr>
              <w:pStyle w:val="TableCopy"/>
              <w:jc w:val="right"/>
              <w:rPr>
                <w:b/>
                <w:bCs/>
              </w:rPr>
            </w:pPr>
            <w:r w:rsidRPr="00872462">
              <w:rPr>
                <w:b/>
                <w:bCs/>
              </w:rPr>
              <w:t>42,807</w:t>
            </w:r>
          </w:p>
        </w:tc>
        <w:tc>
          <w:tcPr>
            <w:tcW w:w="1361" w:type="dxa"/>
          </w:tcPr>
          <w:p w14:paraId="4453AE61" w14:textId="49757B18" w:rsidR="000756EB" w:rsidRPr="00872462" w:rsidRDefault="004A4D88" w:rsidP="0099644C">
            <w:pPr>
              <w:pStyle w:val="TableCopy"/>
              <w:jc w:val="right"/>
              <w:rPr>
                <w:b/>
                <w:bCs/>
              </w:rPr>
            </w:pPr>
            <w:r w:rsidRPr="00872462">
              <w:rPr>
                <w:b/>
                <w:bCs/>
              </w:rPr>
              <w:t>28,597</w:t>
            </w:r>
          </w:p>
        </w:tc>
        <w:tc>
          <w:tcPr>
            <w:tcW w:w="1361" w:type="dxa"/>
          </w:tcPr>
          <w:p w14:paraId="5955A298" w14:textId="3B002827" w:rsidR="000756EB" w:rsidRPr="00872462" w:rsidRDefault="004A4D88" w:rsidP="0099644C">
            <w:pPr>
              <w:pStyle w:val="TableCopy"/>
              <w:jc w:val="right"/>
              <w:rPr>
                <w:b/>
                <w:bCs/>
              </w:rPr>
            </w:pPr>
            <w:r w:rsidRPr="00872462">
              <w:rPr>
                <w:b/>
                <w:bCs/>
              </w:rPr>
              <w:t>30,431</w:t>
            </w:r>
          </w:p>
        </w:tc>
      </w:tr>
      <w:tr w:rsidR="000756EB" w:rsidRPr="00872462" w14:paraId="16460190" w14:textId="77777777" w:rsidTr="0099644C">
        <w:tblPrEx>
          <w:tblLook w:val="0020" w:firstRow="1" w:lastRow="0" w:firstColumn="0" w:lastColumn="0" w:noHBand="0" w:noVBand="0"/>
        </w:tblPrEx>
        <w:trPr>
          <w:cantSplit/>
        </w:trPr>
        <w:tc>
          <w:tcPr>
            <w:tcW w:w="4957" w:type="dxa"/>
          </w:tcPr>
          <w:p w14:paraId="7AE809B0" w14:textId="765E4B39" w:rsidR="000756EB" w:rsidRPr="00872462" w:rsidRDefault="004A4D88" w:rsidP="00872462">
            <w:pPr>
              <w:pStyle w:val="TableHeading"/>
              <w:rPr>
                <w:rFonts w:asciiTheme="minorHAnsi" w:hAnsiTheme="minorHAnsi" w:cstheme="minorHAnsi"/>
              </w:rPr>
            </w:pPr>
            <w:r w:rsidRPr="00872462">
              <w:rPr>
                <w:rFonts w:asciiTheme="minorHAnsi" w:hAnsiTheme="minorHAnsi" w:cstheme="minorHAnsi"/>
              </w:rPr>
              <w:t>Commissioned</w:t>
            </w:r>
            <w:r w:rsidR="00A03629" w:rsidRPr="00872462">
              <w:rPr>
                <w:rFonts w:asciiTheme="minorHAnsi" w:hAnsiTheme="minorHAnsi" w:cstheme="minorHAnsi"/>
              </w:rPr>
              <w:t xml:space="preserve"> </w:t>
            </w:r>
            <w:r w:rsidRPr="00872462">
              <w:rPr>
                <w:rFonts w:asciiTheme="minorHAnsi" w:hAnsiTheme="minorHAnsi" w:cstheme="minorHAnsi"/>
              </w:rPr>
              <w:t>PPP</w:t>
            </w:r>
            <w:r w:rsidR="00A03629" w:rsidRPr="00872462">
              <w:rPr>
                <w:rFonts w:asciiTheme="minorHAnsi" w:hAnsiTheme="minorHAnsi" w:cstheme="minorHAnsi"/>
              </w:rPr>
              <w:t xml:space="preserve"> </w:t>
            </w:r>
            <w:r w:rsidRPr="00872462">
              <w:rPr>
                <w:rFonts w:asciiTheme="minorHAnsi" w:hAnsiTheme="minorHAnsi" w:cstheme="minorHAnsi"/>
              </w:rPr>
              <w:t>commitments</w:t>
            </w:r>
            <w:r w:rsidR="00A03629" w:rsidRPr="00872462">
              <w:rPr>
                <w:rFonts w:asciiTheme="minorHAnsi" w:hAnsiTheme="minorHAnsi" w:cstheme="minorHAnsi"/>
              </w:rPr>
              <w:t xml:space="preserve"> </w:t>
            </w:r>
            <w:r w:rsidRPr="00872462">
              <w:rPr>
                <w:rFonts w:asciiTheme="minorHAnsi" w:hAnsiTheme="minorHAnsi" w:cstheme="minorHAnsi"/>
              </w:rPr>
              <w:t>receivable</w:t>
            </w:r>
          </w:p>
        </w:tc>
        <w:tc>
          <w:tcPr>
            <w:tcW w:w="1360" w:type="dxa"/>
          </w:tcPr>
          <w:p w14:paraId="32C8A2BE" w14:textId="77777777" w:rsidR="000756EB" w:rsidRPr="00872462" w:rsidRDefault="000756EB" w:rsidP="0099644C">
            <w:pPr>
              <w:pStyle w:val="TableHeading"/>
              <w:jc w:val="right"/>
              <w:rPr>
                <w:rFonts w:asciiTheme="minorHAnsi" w:hAnsiTheme="minorHAnsi" w:cstheme="minorHAnsi"/>
                <w:lang w:val="en-AU"/>
              </w:rPr>
            </w:pPr>
          </w:p>
        </w:tc>
        <w:tc>
          <w:tcPr>
            <w:tcW w:w="1361" w:type="dxa"/>
          </w:tcPr>
          <w:p w14:paraId="56182BF6" w14:textId="77777777" w:rsidR="000756EB" w:rsidRPr="00872462" w:rsidRDefault="000756EB" w:rsidP="0099644C">
            <w:pPr>
              <w:pStyle w:val="TableHeading"/>
              <w:jc w:val="right"/>
              <w:rPr>
                <w:rFonts w:asciiTheme="minorHAnsi" w:hAnsiTheme="minorHAnsi" w:cstheme="minorHAnsi"/>
                <w:lang w:val="en-AU"/>
              </w:rPr>
            </w:pPr>
          </w:p>
        </w:tc>
        <w:tc>
          <w:tcPr>
            <w:tcW w:w="1361" w:type="dxa"/>
          </w:tcPr>
          <w:p w14:paraId="785B6D81" w14:textId="77777777" w:rsidR="000756EB" w:rsidRPr="00872462" w:rsidRDefault="000756EB" w:rsidP="0099644C">
            <w:pPr>
              <w:pStyle w:val="TableHeading"/>
              <w:jc w:val="right"/>
              <w:rPr>
                <w:rFonts w:asciiTheme="minorHAnsi" w:hAnsiTheme="minorHAnsi" w:cstheme="minorHAnsi"/>
                <w:lang w:val="en-AU"/>
              </w:rPr>
            </w:pPr>
          </w:p>
        </w:tc>
        <w:tc>
          <w:tcPr>
            <w:tcW w:w="1361" w:type="dxa"/>
          </w:tcPr>
          <w:p w14:paraId="6684F8B4" w14:textId="77777777" w:rsidR="000756EB" w:rsidRPr="00872462" w:rsidRDefault="000756EB" w:rsidP="0099644C">
            <w:pPr>
              <w:pStyle w:val="TableHeading"/>
              <w:jc w:val="right"/>
              <w:rPr>
                <w:rFonts w:asciiTheme="minorHAnsi" w:hAnsiTheme="minorHAnsi" w:cstheme="minorHAnsi"/>
                <w:lang w:val="en-AU"/>
              </w:rPr>
            </w:pPr>
          </w:p>
        </w:tc>
      </w:tr>
      <w:tr w:rsidR="000756EB" w14:paraId="042272D2" w14:textId="77777777" w:rsidTr="0099644C">
        <w:tblPrEx>
          <w:tblLook w:val="0020" w:firstRow="1" w:lastRow="0" w:firstColumn="0" w:lastColumn="0" w:noHBand="0" w:noVBand="0"/>
        </w:tblPrEx>
        <w:trPr>
          <w:cantSplit/>
        </w:trPr>
        <w:tc>
          <w:tcPr>
            <w:tcW w:w="4957" w:type="dxa"/>
          </w:tcPr>
          <w:p w14:paraId="16B6A192" w14:textId="0568CE11" w:rsidR="000756EB" w:rsidRDefault="004A4D88" w:rsidP="00872462">
            <w:pPr>
              <w:pStyle w:val="TableCopy"/>
            </w:pPr>
            <w:proofErr w:type="spellStart"/>
            <w:r>
              <w:t>Not</w:t>
            </w:r>
            <w:r w:rsidR="00A03629">
              <w:t xml:space="preserve"> </w:t>
            </w:r>
            <w:r>
              <w:t>longer</w:t>
            </w:r>
            <w:proofErr w:type="spellEnd"/>
            <w:r w:rsidR="00A03629">
              <w:t xml:space="preserve"> </w:t>
            </w:r>
            <w:r>
              <w:t>than</w:t>
            </w:r>
            <w:r w:rsidR="00A03629">
              <w:t xml:space="preserve"> </w:t>
            </w:r>
            <w:r>
              <w:t>one</w:t>
            </w:r>
            <w:r w:rsidR="00A03629">
              <w:t xml:space="preserve"> </w:t>
            </w:r>
            <w:r>
              <w:t>year</w:t>
            </w:r>
          </w:p>
        </w:tc>
        <w:tc>
          <w:tcPr>
            <w:tcW w:w="1360" w:type="dxa"/>
          </w:tcPr>
          <w:p w14:paraId="7761109D" w14:textId="77777777" w:rsidR="000756EB" w:rsidRDefault="004A4D88" w:rsidP="0099644C">
            <w:pPr>
              <w:pStyle w:val="TableCopy"/>
              <w:jc w:val="right"/>
            </w:pPr>
            <w:r>
              <w:t>(3,643)</w:t>
            </w:r>
          </w:p>
        </w:tc>
        <w:tc>
          <w:tcPr>
            <w:tcW w:w="1361" w:type="dxa"/>
          </w:tcPr>
          <w:p w14:paraId="61C7482D" w14:textId="77777777" w:rsidR="000756EB" w:rsidRDefault="004A4D88" w:rsidP="0099644C">
            <w:pPr>
              <w:pStyle w:val="TableCopy"/>
              <w:jc w:val="right"/>
            </w:pPr>
            <w:r>
              <w:t>(3,643)</w:t>
            </w:r>
          </w:p>
        </w:tc>
        <w:tc>
          <w:tcPr>
            <w:tcW w:w="1361" w:type="dxa"/>
          </w:tcPr>
          <w:p w14:paraId="3528CAFA" w14:textId="77777777" w:rsidR="000756EB" w:rsidRDefault="004A4D88" w:rsidP="0099644C">
            <w:pPr>
              <w:pStyle w:val="TableCopy"/>
              <w:jc w:val="right"/>
            </w:pPr>
            <w:r>
              <w:t>(3,509)</w:t>
            </w:r>
          </w:p>
        </w:tc>
        <w:tc>
          <w:tcPr>
            <w:tcW w:w="1361" w:type="dxa"/>
          </w:tcPr>
          <w:p w14:paraId="78FFB07C" w14:textId="77777777" w:rsidR="000756EB" w:rsidRDefault="004A4D88" w:rsidP="0099644C">
            <w:pPr>
              <w:pStyle w:val="TableCopy"/>
              <w:jc w:val="right"/>
            </w:pPr>
            <w:r>
              <w:t>(3,509)</w:t>
            </w:r>
          </w:p>
        </w:tc>
      </w:tr>
      <w:tr w:rsidR="000756EB" w14:paraId="5C316825" w14:textId="77777777" w:rsidTr="0099644C">
        <w:tblPrEx>
          <w:tblLook w:val="0020" w:firstRow="1" w:lastRow="0" w:firstColumn="0" w:lastColumn="0" w:noHBand="0" w:noVBand="0"/>
        </w:tblPrEx>
        <w:trPr>
          <w:cantSplit/>
        </w:trPr>
        <w:tc>
          <w:tcPr>
            <w:tcW w:w="4957" w:type="dxa"/>
          </w:tcPr>
          <w:p w14:paraId="389B99D0" w14:textId="766ACD85" w:rsidR="000756EB" w:rsidRDefault="004A4D88" w:rsidP="00872462">
            <w:pPr>
              <w:pStyle w:val="TableCopy"/>
            </w:pPr>
            <w:r>
              <w:t>Longer</w:t>
            </w:r>
            <w:r w:rsidR="00A03629">
              <w:t xml:space="preserve"> </w:t>
            </w:r>
            <w:r>
              <w:t>than</w:t>
            </w:r>
            <w:r w:rsidR="00A03629">
              <w:t xml:space="preserve"> </w:t>
            </w:r>
            <w:r>
              <w:t>one</w:t>
            </w:r>
            <w:r w:rsidR="00A03629">
              <w:t xml:space="preserve"> </w:t>
            </w:r>
            <w:r>
              <w:t>year</w:t>
            </w:r>
            <w:r w:rsidR="00A03629">
              <w:t xml:space="preserve"> </w:t>
            </w:r>
            <w:r>
              <w:t>but</w:t>
            </w:r>
            <w:r w:rsidR="00A03629">
              <w:t xml:space="preserve"> </w:t>
            </w:r>
            <w:r>
              <w:t>not</w:t>
            </w:r>
            <w:r w:rsidR="00A03629">
              <w:t xml:space="preserve"> </w:t>
            </w:r>
            <w:r>
              <w:t>longer</w:t>
            </w:r>
            <w:r w:rsidR="00A03629">
              <w:t xml:space="preserve"> </w:t>
            </w:r>
            <w:r>
              <w:t>than</w:t>
            </w:r>
            <w:r w:rsidR="00A03629">
              <w:t xml:space="preserve"> </w:t>
            </w:r>
            <w:r>
              <w:t>five</w:t>
            </w:r>
            <w:r w:rsidR="00A03629">
              <w:t xml:space="preserve"> </w:t>
            </w:r>
            <w:r>
              <w:t>years</w:t>
            </w:r>
          </w:p>
        </w:tc>
        <w:tc>
          <w:tcPr>
            <w:tcW w:w="1360" w:type="dxa"/>
          </w:tcPr>
          <w:p w14:paraId="44688AE4" w14:textId="77777777" w:rsidR="000756EB" w:rsidRDefault="004A4D88" w:rsidP="0099644C">
            <w:pPr>
              <w:pStyle w:val="TableCopy"/>
              <w:jc w:val="right"/>
            </w:pPr>
            <w:r>
              <w:t>(14,573)</w:t>
            </w:r>
          </w:p>
        </w:tc>
        <w:tc>
          <w:tcPr>
            <w:tcW w:w="1361" w:type="dxa"/>
          </w:tcPr>
          <w:p w14:paraId="79A52DDB" w14:textId="77777777" w:rsidR="000756EB" w:rsidRDefault="004A4D88" w:rsidP="0099644C">
            <w:pPr>
              <w:pStyle w:val="TableCopy"/>
              <w:jc w:val="right"/>
            </w:pPr>
            <w:r>
              <w:t>(14,573)</w:t>
            </w:r>
          </w:p>
        </w:tc>
        <w:tc>
          <w:tcPr>
            <w:tcW w:w="1361" w:type="dxa"/>
          </w:tcPr>
          <w:p w14:paraId="50DD3361" w14:textId="77777777" w:rsidR="000756EB" w:rsidRDefault="004A4D88" w:rsidP="0099644C">
            <w:pPr>
              <w:pStyle w:val="TableCopy"/>
              <w:jc w:val="right"/>
            </w:pPr>
            <w:r>
              <w:t>(12,097)</w:t>
            </w:r>
          </w:p>
        </w:tc>
        <w:tc>
          <w:tcPr>
            <w:tcW w:w="1361" w:type="dxa"/>
          </w:tcPr>
          <w:p w14:paraId="5108DDCA" w14:textId="77777777" w:rsidR="000756EB" w:rsidRDefault="004A4D88" w:rsidP="0099644C">
            <w:pPr>
              <w:pStyle w:val="TableCopy"/>
              <w:jc w:val="right"/>
            </w:pPr>
            <w:r>
              <w:t>(12,097)</w:t>
            </w:r>
          </w:p>
        </w:tc>
      </w:tr>
      <w:tr w:rsidR="000756EB" w14:paraId="67DCC5A8" w14:textId="77777777" w:rsidTr="0099644C">
        <w:tblPrEx>
          <w:tblLook w:val="0020" w:firstRow="1" w:lastRow="0" w:firstColumn="0" w:lastColumn="0" w:noHBand="0" w:noVBand="0"/>
        </w:tblPrEx>
        <w:trPr>
          <w:cantSplit/>
        </w:trPr>
        <w:tc>
          <w:tcPr>
            <w:tcW w:w="4957" w:type="dxa"/>
          </w:tcPr>
          <w:p w14:paraId="6E754481" w14:textId="18BD848D" w:rsidR="000756EB" w:rsidRDefault="004A4D88" w:rsidP="00872462">
            <w:pPr>
              <w:pStyle w:val="TableCopy"/>
            </w:pPr>
            <w:r>
              <w:t>Longer</w:t>
            </w:r>
            <w:r w:rsidR="00A03629">
              <w:t xml:space="preserve"> </w:t>
            </w:r>
            <w:r>
              <w:t>than</w:t>
            </w:r>
            <w:r w:rsidR="00A03629">
              <w:t xml:space="preserve"> </w:t>
            </w:r>
            <w:r>
              <w:t>five</w:t>
            </w:r>
            <w:r w:rsidR="00A03629">
              <w:t xml:space="preserve"> </w:t>
            </w:r>
            <w:r>
              <w:t>years</w:t>
            </w:r>
          </w:p>
        </w:tc>
        <w:tc>
          <w:tcPr>
            <w:tcW w:w="1360" w:type="dxa"/>
          </w:tcPr>
          <w:p w14:paraId="23D20CBD" w14:textId="77777777" w:rsidR="000756EB" w:rsidRDefault="004A4D88" w:rsidP="0099644C">
            <w:pPr>
              <w:pStyle w:val="TableCopy"/>
              <w:jc w:val="right"/>
            </w:pPr>
            <w:r>
              <w:t>(20,948)</w:t>
            </w:r>
          </w:p>
        </w:tc>
        <w:tc>
          <w:tcPr>
            <w:tcW w:w="1361" w:type="dxa"/>
          </w:tcPr>
          <w:p w14:paraId="4C3F7C83" w14:textId="77777777" w:rsidR="000756EB" w:rsidRDefault="004A4D88" w:rsidP="0099644C">
            <w:pPr>
              <w:pStyle w:val="TableCopy"/>
              <w:jc w:val="right"/>
            </w:pPr>
            <w:r>
              <w:t>(24,591)</w:t>
            </w:r>
          </w:p>
        </w:tc>
        <w:tc>
          <w:tcPr>
            <w:tcW w:w="1361" w:type="dxa"/>
          </w:tcPr>
          <w:p w14:paraId="3A987CDD" w14:textId="77777777" w:rsidR="000756EB" w:rsidRDefault="004A4D88" w:rsidP="0099644C">
            <w:pPr>
              <w:pStyle w:val="TableCopy"/>
              <w:jc w:val="right"/>
            </w:pPr>
            <w:r>
              <w:t>(12,991)</w:t>
            </w:r>
          </w:p>
        </w:tc>
        <w:tc>
          <w:tcPr>
            <w:tcW w:w="1361" w:type="dxa"/>
          </w:tcPr>
          <w:p w14:paraId="06FB0ADF" w14:textId="77777777" w:rsidR="000756EB" w:rsidRDefault="004A4D88" w:rsidP="0099644C">
            <w:pPr>
              <w:pStyle w:val="TableCopy"/>
              <w:jc w:val="right"/>
            </w:pPr>
            <w:r>
              <w:t>(14,825)</w:t>
            </w:r>
          </w:p>
        </w:tc>
      </w:tr>
      <w:tr w:rsidR="000756EB" w:rsidRPr="00872462" w14:paraId="76502F1B" w14:textId="77777777" w:rsidTr="0099644C">
        <w:tblPrEx>
          <w:tblLook w:val="0020" w:firstRow="1" w:lastRow="0" w:firstColumn="0" w:lastColumn="0" w:noHBand="0" w:noVBand="0"/>
        </w:tblPrEx>
        <w:trPr>
          <w:cantSplit/>
        </w:trPr>
        <w:tc>
          <w:tcPr>
            <w:tcW w:w="4957" w:type="dxa"/>
          </w:tcPr>
          <w:p w14:paraId="1B97A429" w14:textId="77777777" w:rsidR="000756EB" w:rsidRPr="00872462" w:rsidRDefault="000756EB" w:rsidP="00872462">
            <w:pPr>
              <w:pStyle w:val="TableCopy"/>
              <w:rPr>
                <w:b/>
                <w:bCs/>
              </w:rPr>
            </w:pPr>
          </w:p>
        </w:tc>
        <w:tc>
          <w:tcPr>
            <w:tcW w:w="1360" w:type="dxa"/>
          </w:tcPr>
          <w:p w14:paraId="2381827A" w14:textId="77777777" w:rsidR="000756EB" w:rsidRPr="00872462" w:rsidRDefault="004A4D88" w:rsidP="0099644C">
            <w:pPr>
              <w:pStyle w:val="TableCopy"/>
              <w:jc w:val="right"/>
              <w:rPr>
                <w:b/>
                <w:bCs/>
              </w:rPr>
            </w:pPr>
            <w:r w:rsidRPr="00872462">
              <w:rPr>
                <w:b/>
                <w:bCs/>
              </w:rPr>
              <w:t>(39,164)</w:t>
            </w:r>
          </w:p>
        </w:tc>
        <w:tc>
          <w:tcPr>
            <w:tcW w:w="1361" w:type="dxa"/>
          </w:tcPr>
          <w:p w14:paraId="3A774408" w14:textId="77777777" w:rsidR="000756EB" w:rsidRPr="00872462" w:rsidRDefault="004A4D88" w:rsidP="0099644C">
            <w:pPr>
              <w:pStyle w:val="TableCopy"/>
              <w:jc w:val="right"/>
              <w:rPr>
                <w:b/>
                <w:bCs/>
              </w:rPr>
            </w:pPr>
            <w:r w:rsidRPr="00872462">
              <w:rPr>
                <w:b/>
                <w:bCs/>
              </w:rPr>
              <w:t>(42,807)</w:t>
            </w:r>
          </w:p>
        </w:tc>
        <w:tc>
          <w:tcPr>
            <w:tcW w:w="1361" w:type="dxa"/>
          </w:tcPr>
          <w:p w14:paraId="0C79CC36" w14:textId="77777777" w:rsidR="000756EB" w:rsidRPr="00872462" w:rsidRDefault="004A4D88" w:rsidP="0099644C">
            <w:pPr>
              <w:pStyle w:val="TableCopy"/>
              <w:jc w:val="right"/>
              <w:rPr>
                <w:b/>
                <w:bCs/>
              </w:rPr>
            </w:pPr>
            <w:r w:rsidRPr="00872462">
              <w:rPr>
                <w:b/>
                <w:bCs/>
              </w:rPr>
              <w:t>(28,597)</w:t>
            </w:r>
          </w:p>
        </w:tc>
        <w:tc>
          <w:tcPr>
            <w:tcW w:w="1361" w:type="dxa"/>
          </w:tcPr>
          <w:p w14:paraId="379BFD46" w14:textId="77777777" w:rsidR="000756EB" w:rsidRPr="00872462" w:rsidRDefault="004A4D88" w:rsidP="0099644C">
            <w:pPr>
              <w:pStyle w:val="TableCopy"/>
              <w:jc w:val="right"/>
              <w:rPr>
                <w:b/>
                <w:bCs/>
              </w:rPr>
            </w:pPr>
            <w:r w:rsidRPr="00872462">
              <w:rPr>
                <w:b/>
                <w:bCs/>
              </w:rPr>
              <w:t>(30,431)</w:t>
            </w:r>
          </w:p>
        </w:tc>
      </w:tr>
      <w:tr w:rsidR="000756EB" w:rsidRPr="00872462" w14:paraId="3E17A32F" w14:textId="77777777" w:rsidTr="0099644C">
        <w:tblPrEx>
          <w:tblLook w:val="0020" w:firstRow="1" w:lastRow="0" w:firstColumn="0" w:lastColumn="0" w:noHBand="0" w:noVBand="0"/>
        </w:tblPrEx>
        <w:trPr>
          <w:cantSplit/>
        </w:trPr>
        <w:tc>
          <w:tcPr>
            <w:tcW w:w="4957" w:type="dxa"/>
          </w:tcPr>
          <w:p w14:paraId="7D2C265A" w14:textId="5118B674" w:rsidR="000756EB" w:rsidRPr="00872462" w:rsidRDefault="004A4D88" w:rsidP="0099644C">
            <w:pPr>
              <w:pStyle w:val="TableCopy"/>
              <w:keepNext/>
              <w:rPr>
                <w:b/>
                <w:bCs/>
              </w:rPr>
            </w:pPr>
            <w:r w:rsidRPr="00872462">
              <w:rPr>
                <w:b/>
                <w:bCs/>
              </w:rPr>
              <w:lastRenderedPageBreak/>
              <w:t>Net</w:t>
            </w:r>
            <w:r w:rsidR="00A03629" w:rsidRPr="00872462">
              <w:rPr>
                <w:b/>
                <w:bCs/>
              </w:rPr>
              <w:t xml:space="preserve"> </w:t>
            </w:r>
            <w:r w:rsidRPr="00872462">
              <w:rPr>
                <w:b/>
                <w:bCs/>
              </w:rPr>
              <w:t>Commitment</w:t>
            </w:r>
          </w:p>
        </w:tc>
        <w:tc>
          <w:tcPr>
            <w:tcW w:w="1360" w:type="dxa"/>
          </w:tcPr>
          <w:p w14:paraId="21C83B2A" w14:textId="7E9ADF87" w:rsidR="000756EB" w:rsidRPr="00872462" w:rsidRDefault="004A4D88" w:rsidP="0099644C">
            <w:pPr>
              <w:pStyle w:val="TableCopy"/>
              <w:keepNext/>
              <w:jc w:val="right"/>
              <w:rPr>
                <w:b/>
                <w:bCs/>
              </w:rPr>
            </w:pPr>
            <w:r w:rsidRPr="00872462">
              <w:rPr>
                <w:b/>
                <w:bCs/>
              </w:rPr>
              <w:t>–</w:t>
            </w:r>
          </w:p>
        </w:tc>
        <w:tc>
          <w:tcPr>
            <w:tcW w:w="1361" w:type="dxa"/>
          </w:tcPr>
          <w:p w14:paraId="19928676" w14:textId="019A45EB" w:rsidR="000756EB" w:rsidRPr="00872462" w:rsidRDefault="004A4D88" w:rsidP="0099644C">
            <w:pPr>
              <w:pStyle w:val="TableCopy"/>
              <w:keepNext/>
              <w:jc w:val="right"/>
              <w:rPr>
                <w:b/>
                <w:bCs/>
              </w:rPr>
            </w:pPr>
            <w:r w:rsidRPr="00872462">
              <w:rPr>
                <w:b/>
                <w:bCs/>
              </w:rPr>
              <w:t>–</w:t>
            </w:r>
          </w:p>
        </w:tc>
        <w:tc>
          <w:tcPr>
            <w:tcW w:w="1361" w:type="dxa"/>
          </w:tcPr>
          <w:p w14:paraId="253D2C4B" w14:textId="3C878CCE" w:rsidR="000756EB" w:rsidRPr="00872462" w:rsidRDefault="004A4D88" w:rsidP="0099644C">
            <w:pPr>
              <w:pStyle w:val="TableCopy"/>
              <w:keepNext/>
              <w:jc w:val="right"/>
              <w:rPr>
                <w:b/>
                <w:bCs/>
              </w:rPr>
            </w:pPr>
            <w:r w:rsidRPr="00872462">
              <w:rPr>
                <w:b/>
                <w:bCs/>
              </w:rPr>
              <w:t>–</w:t>
            </w:r>
          </w:p>
        </w:tc>
        <w:tc>
          <w:tcPr>
            <w:tcW w:w="1361" w:type="dxa"/>
          </w:tcPr>
          <w:p w14:paraId="36D90167" w14:textId="02CFC1AF" w:rsidR="000756EB" w:rsidRPr="00872462" w:rsidRDefault="004A4D88" w:rsidP="0099644C">
            <w:pPr>
              <w:pStyle w:val="TableCopy"/>
              <w:keepNext/>
              <w:jc w:val="right"/>
              <w:rPr>
                <w:b/>
                <w:bCs/>
              </w:rPr>
            </w:pPr>
            <w:r w:rsidRPr="00872462">
              <w:rPr>
                <w:b/>
                <w:bCs/>
              </w:rPr>
              <w:t>–</w:t>
            </w:r>
          </w:p>
        </w:tc>
      </w:tr>
    </w:tbl>
    <w:p w14:paraId="1FB43294" w14:textId="1C134E8C" w:rsidR="000756EB" w:rsidRDefault="0099644C" w:rsidP="0099644C">
      <w:pPr>
        <w:pStyle w:val="FootnoteText"/>
        <w:spacing w:before="120" w:after="280"/>
      </w:pPr>
      <w:r>
        <w:t>The figures represent 100 per cent of commitment payable under the terms of the PPP with the concessionaire for the expansion stage of</w:t>
      </w:r>
      <w:r>
        <w:rPr>
          <w:rFonts w:ascii="Cambria" w:hAnsi="Cambria" w:cs="Cambria"/>
        </w:rPr>
        <w:t xml:space="preserve"> </w:t>
      </w:r>
      <w:r>
        <w:t>the Melbourne Centre and Exhibition Project which commenced in April 2018, offset by a 100% recoupment of the quarterly service payment under the terms of the memorandum of understanding with Melbourne Convention and Exhibition Trust.</w:t>
      </w:r>
    </w:p>
    <w:p w14:paraId="5F051A73" w14:textId="116F0D2E" w:rsidR="000756EB" w:rsidRPr="0099644C" w:rsidRDefault="004A4D88" w:rsidP="0099644C">
      <w:pPr>
        <w:pStyle w:val="Normalbeforebullets"/>
        <w:rPr>
          <w:b/>
          <w:bCs/>
        </w:rPr>
      </w:pPr>
      <w:r w:rsidRPr="0099644C">
        <w:rPr>
          <w:b/>
          <w:bCs/>
        </w:rPr>
        <w:t>Melbourne</w:t>
      </w:r>
      <w:r w:rsidR="00A03629" w:rsidRPr="0099644C">
        <w:rPr>
          <w:b/>
          <w:bCs/>
        </w:rPr>
        <w:t xml:space="preserve"> </w:t>
      </w:r>
      <w:r w:rsidRPr="0099644C">
        <w:rPr>
          <w:b/>
          <w:bCs/>
        </w:rPr>
        <w:t>Convention</w:t>
      </w:r>
      <w:r w:rsidR="00A03629" w:rsidRPr="0099644C">
        <w:rPr>
          <w:b/>
          <w:bCs/>
        </w:rPr>
        <w:t xml:space="preserve"> </w:t>
      </w:r>
      <w:r w:rsidRPr="0099644C">
        <w:rPr>
          <w:b/>
          <w:bCs/>
        </w:rPr>
        <w:t>Centre</w:t>
      </w:r>
      <w:r w:rsidR="00A03629" w:rsidRPr="0099644C">
        <w:rPr>
          <w:b/>
          <w:bCs/>
        </w:rPr>
        <w:t xml:space="preserve"> </w:t>
      </w:r>
      <w:r w:rsidRPr="0099644C">
        <w:rPr>
          <w:b/>
          <w:bCs/>
        </w:rPr>
        <w:t>development</w:t>
      </w:r>
      <w:r w:rsidR="00A03629" w:rsidRPr="0099644C">
        <w:rPr>
          <w:b/>
          <w:bCs/>
        </w:rPr>
        <w:t xml:space="preserve"> </w:t>
      </w:r>
      <w:r w:rsidRPr="0099644C">
        <w:rPr>
          <w:b/>
          <w:bCs/>
        </w:rPr>
        <w:t>project</w:t>
      </w:r>
      <w:r w:rsidR="00A03629" w:rsidRPr="0099644C">
        <w:rPr>
          <w:rFonts w:ascii="Cambria" w:hAnsi="Cambria" w:cs="Cambria"/>
          <w:b/>
          <w:bCs/>
        </w:rPr>
        <w:t xml:space="preserve"> </w:t>
      </w:r>
      <w:r w:rsidRPr="0099644C">
        <w:rPr>
          <w:b/>
          <w:bCs/>
        </w:rPr>
        <w:t>other</w:t>
      </w:r>
      <w:r w:rsidR="00A03629" w:rsidRPr="0099644C">
        <w:rPr>
          <w:rFonts w:ascii="Cambria" w:hAnsi="Cambria" w:cs="Cambria"/>
          <w:b/>
          <w:bCs/>
        </w:rPr>
        <w:t xml:space="preserve"> </w:t>
      </w:r>
      <w:r w:rsidRPr="0099644C">
        <w:rPr>
          <w:b/>
          <w:bCs/>
        </w:rPr>
        <w:t>commitments</w:t>
      </w:r>
      <w:r w:rsidR="00A03629" w:rsidRPr="0099644C">
        <w:rPr>
          <w:rFonts w:ascii="Cambria" w:hAnsi="Cambria" w:cs="Cambria"/>
          <w:b/>
          <w:bCs/>
        </w:rPr>
        <w:t xml:space="preserve"> </w:t>
      </w:r>
      <w:r w:rsidRPr="0099644C">
        <w:rPr>
          <w:b/>
          <w:bCs/>
        </w:rPr>
        <w:t>(Development)</w:t>
      </w:r>
    </w:p>
    <w:tbl>
      <w:tblPr>
        <w:tblStyle w:val="TableGrid"/>
        <w:tblW w:w="10343" w:type="dxa"/>
        <w:tblLayout w:type="fixed"/>
        <w:tblLook w:val="04A0" w:firstRow="1" w:lastRow="0" w:firstColumn="1" w:lastColumn="0" w:noHBand="0" w:noVBand="1"/>
      </w:tblPr>
      <w:tblGrid>
        <w:gridCol w:w="4957"/>
        <w:gridCol w:w="1346"/>
        <w:gridCol w:w="1347"/>
        <w:gridCol w:w="1346"/>
        <w:gridCol w:w="1347"/>
      </w:tblGrid>
      <w:tr w:rsidR="00F64AF4" w:rsidRPr="00AC65A6" w14:paraId="31536295" w14:textId="77777777" w:rsidTr="006B557E">
        <w:trPr>
          <w:cantSplit/>
          <w:tblHeader/>
        </w:trPr>
        <w:tc>
          <w:tcPr>
            <w:tcW w:w="4957" w:type="dxa"/>
          </w:tcPr>
          <w:p w14:paraId="5E80229F" w14:textId="77777777" w:rsidR="00F64AF4" w:rsidRPr="00AC65A6" w:rsidRDefault="00F64AF4" w:rsidP="0072703F">
            <w:pPr>
              <w:pStyle w:val="TableColumnHeading"/>
              <w:rPr>
                <w:sz w:val="20"/>
                <w:szCs w:val="28"/>
              </w:rPr>
            </w:pPr>
            <w:bookmarkStart w:id="111" w:name="ColumnTitles_66"/>
            <w:bookmarkEnd w:id="111"/>
          </w:p>
        </w:tc>
        <w:tc>
          <w:tcPr>
            <w:tcW w:w="1346" w:type="dxa"/>
          </w:tcPr>
          <w:p w14:paraId="74BD1D8D" w14:textId="77777777" w:rsidR="00F64AF4" w:rsidRPr="00AC65A6" w:rsidRDefault="00F64AF4" w:rsidP="00F64AF4">
            <w:pPr>
              <w:pStyle w:val="TableColumnHeading"/>
              <w:jc w:val="right"/>
              <w:rPr>
                <w:sz w:val="20"/>
                <w:szCs w:val="28"/>
              </w:rPr>
            </w:pPr>
            <w:r w:rsidRPr="00AC65A6">
              <w:rPr>
                <w:sz w:val="20"/>
                <w:szCs w:val="28"/>
              </w:rPr>
              <w:t>Minimum future lease payments</w:t>
            </w:r>
            <w:r>
              <w:rPr>
                <w:sz w:val="20"/>
                <w:szCs w:val="28"/>
              </w:rPr>
              <w:t xml:space="preserve"> </w:t>
            </w:r>
            <w:r w:rsidRPr="00AC65A6">
              <w:rPr>
                <w:sz w:val="20"/>
                <w:szCs w:val="28"/>
              </w:rPr>
              <w:t>2023 ($</w:t>
            </w:r>
            <w:r>
              <w:rPr>
                <w:sz w:val="20"/>
                <w:szCs w:val="28"/>
              </w:rPr>
              <w:t> </w:t>
            </w:r>
            <w:r w:rsidRPr="00AC65A6">
              <w:rPr>
                <w:sz w:val="20"/>
                <w:szCs w:val="28"/>
              </w:rPr>
              <w:t>thousand)</w:t>
            </w:r>
          </w:p>
        </w:tc>
        <w:tc>
          <w:tcPr>
            <w:tcW w:w="1347" w:type="dxa"/>
          </w:tcPr>
          <w:p w14:paraId="1623AABA" w14:textId="77777777" w:rsidR="00F64AF4" w:rsidRPr="00AC65A6" w:rsidRDefault="00F64AF4" w:rsidP="00F64AF4">
            <w:pPr>
              <w:pStyle w:val="TableColumnHeading"/>
              <w:jc w:val="right"/>
              <w:rPr>
                <w:sz w:val="20"/>
                <w:szCs w:val="28"/>
              </w:rPr>
            </w:pPr>
            <w:r w:rsidRPr="00AC65A6">
              <w:rPr>
                <w:sz w:val="20"/>
                <w:szCs w:val="28"/>
              </w:rPr>
              <w:t>Minimum future lease payments</w:t>
            </w:r>
            <w:r>
              <w:rPr>
                <w:sz w:val="20"/>
                <w:szCs w:val="28"/>
              </w:rPr>
              <w:t xml:space="preserve"> </w:t>
            </w:r>
            <w:r w:rsidRPr="00AC65A6">
              <w:rPr>
                <w:sz w:val="20"/>
                <w:szCs w:val="28"/>
              </w:rPr>
              <w:t>2022</w:t>
            </w:r>
            <w:r>
              <w:rPr>
                <w:sz w:val="20"/>
                <w:szCs w:val="28"/>
              </w:rPr>
              <w:t xml:space="preserve"> </w:t>
            </w:r>
            <w:r w:rsidRPr="00AC65A6">
              <w:rPr>
                <w:sz w:val="20"/>
                <w:szCs w:val="28"/>
              </w:rPr>
              <w:t>($</w:t>
            </w:r>
            <w:r>
              <w:rPr>
                <w:sz w:val="20"/>
                <w:szCs w:val="28"/>
              </w:rPr>
              <w:t> </w:t>
            </w:r>
            <w:r w:rsidRPr="00AC65A6">
              <w:rPr>
                <w:sz w:val="20"/>
                <w:szCs w:val="28"/>
              </w:rPr>
              <w:t>thousand)</w:t>
            </w:r>
          </w:p>
        </w:tc>
        <w:tc>
          <w:tcPr>
            <w:tcW w:w="1346" w:type="dxa"/>
          </w:tcPr>
          <w:p w14:paraId="715968D3" w14:textId="77777777" w:rsidR="00F64AF4" w:rsidRPr="00AC65A6" w:rsidRDefault="00F64AF4" w:rsidP="00F64AF4">
            <w:pPr>
              <w:pStyle w:val="TableColumnHeading"/>
              <w:jc w:val="right"/>
              <w:rPr>
                <w:sz w:val="20"/>
                <w:szCs w:val="28"/>
              </w:rPr>
            </w:pPr>
            <w:r w:rsidRPr="00AC65A6">
              <w:rPr>
                <w:sz w:val="20"/>
                <w:szCs w:val="28"/>
              </w:rPr>
              <w:t>Present value of future lease payments</w:t>
            </w:r>
            <w:r>
              <w:rPr>
                <w:sz w:val="20"/>
                <w:szCs w:val="28"/>
              </w:rPr>
              <w:t xml:space="preserve"> </w:t>
            </w:r>
            <w:r w:rsidRPr="00AC65A6">
              <w:rPr>
                <w:sz w:val="20"/>
                <w:szCs w:val="28"/>
              </w:rPr>
              <w:t>2023 ($</w:t>
            </w:r>
            <w:r>
              <w:rPr>
                <w:sz w:val="20"/>
                <w:szCs w:val="28"/>
              </w:rPr>
              <w:t> </w:t>
            </w:r>
            <w:r w:rsidRPr="00AC65A6">
              <w:rPr>
                <w:sz w:val="20"/>
                <w:szCs w:val="28"/>
              </w:rPr>
              <w:t>thousand)</w:t>
            </w:r>
          </w:p>
        </w:tc>
        <w:tc>
          <w:tcPr>
            <w:tcW w:w="1347" w:type="dxa"/>
          </w:tcPr>
          <w:p w14:paraId="0E175CE4" w14:textId="77777777" w:rsidR="00F64AF4" w:rsidRPr="00AC65A6" w:rsidRDefault="00F64AF4" w:rsidP="00F64AF4">
            <w:pPr>
              <w:pStyle w:val="TableColumnHeading"/>
              <w:jc w:val="right"/>
              <w:rPr>
                <w:sz w:val="20"/>
                <w:szCs w:val="28"/>
              </w:rPr>
            </w:pPr>
            <w:r w:rsidRPr="00AC65A6">
              <w:rPr>
                <w:sz w:val="20"/>
                <w:szCs w:val="28"/>
              </w:rPr>
              <w:t>Present value of future lease payments</w:t>
            </w:r>
            <w:r>
              <w:rPr>
                <w:sz w:val="20"/>
                <w:szCs w:val="28"/>
              </w:rPr>
              <w:t xml:space="preserve"> </w:t>
            </w:r>
            <w:r w:rsidRPr="00AC65A6">
              <w:rPr>
                <w:sz w:val="20"/>
                <w:szCs w:val="28"/>
              </w:rPr>
              <w:t>2022</w:t>
            </w:r>
            <w:r>
              <w:rPr>
                <w:sz w:val="20"/>
                <w:szCs w:val="28"/>
              </w:rPr>
              <w:t xml:space="preserve"> </w:t>
            </w:r>
            <w:r w:rsidRPr="00AC65A6">
              <w:rPr>
                <w:sz w:val="20"/>
                <w:szCs w:val="28"/>
              </w:rPr>
              <w:t>($</w:t>
            </w:r>
            <w:r>
              <w:rPr>
                <w:sz w:val="20"/>
                <w:szCs w:val="28"/>
              </w:rPr>
              <w:t> </w:t>
            </w:r>
            <w:r w:rsidRPr="00AC65A6">
              <w:rPr>
                <w:sz w:val="20"/>
                <w:szCs w:val="28"/>
              </w:rPr>
              <w:t>thousand)</w:t>
            </w:r>
          </w:p>
        </w:tc>
      </w:tr>
      <w:tr w:rsidR="000756EB" w:rsidRPr="00F64AF4" w14:paraId="27C2EE2D" w14:textId="77777777" w:rsidTr="006B557E">
        <w:tblPrEx>
          <w:tblLook w:val="0020" w:firstRow="1" w:lastRow="0" w:firstColumn="0" w:lastColumn="0" w:noHBand="0" w:noVBand="0"/>
        </w:tblPrEx>
        <w:trPr>
          <w:cantSplit/>
        </w:trPr>
        <w:tc>
          <w:tcPr>
            <w:tcW w:w="4957" w:type="dxa"/>
          </w:tcPr>
          <w:p w14:paraId="0162F3F5" w14:textId="69956AED" w:rsidR="000756EB" w:rsidRPr="00F64AF4" w:rsidRDefault="004A4D88" w:rsidP="00F64AF4">
            <w:pPr>
              <w:pStyle w:val="TableHeading"/>
              <w:rPr>
                <w:rFonts w:asciiTheme="minorHAnsi" w:hAnsiTheme="minorHAnsi" w:cstheme="minorHAnsi"/>
              </w:rPr>
            </w:pPr>
            <w:r w:rsidRPr="00F64AF4">
              <w:rPr>
                <w:rFonts w:asciiTheme="minorHAnsi" w:hAnsiTheme="minorHAnsi" w:cstheme="minorHAnsi"/>
              </w:rPr>
              <w:t>Commissioned</w:t>
            </w:r>
            <w:r w:rsidR="00A03629" w:rsidRPr="00F64AF4">
              <w:rPr>
                <w:rFonts w:asciiTheme="minorHAnsi" w:hAnsiTheme="minorHAnsi" w:cstheme="minorHAnsi"/>
              </w:rPr>
              <w:t xml:space="preserve"> </w:t>
            </w:r>
            <w:r w:rsidRPr="00F64AF4">
              <w:rPr>
                <w:rFonts w:asciiTheme="minorHAnsi" w:hAnsiTheme="minorHAnsi" w:cstheme="minorHAnsi"/>
              </w:rPr>
              <w:t>PPP</w:t>
            </w:r>
            <w:r w:rsidR="00A03629" w:rsidRPr="00F64AF4">
              <w:rPr>
                <w:rFonts w:asciiTheme="minorHAnsi" w:hAnsiTheme="minorHAnsi" w:cstheme="minorHAnsi"/>
              </w:rPr>
              <w:t xml:space="preserve"> </w:t>
            </w:r>
            <w:r w:rsidRPr="00F64AF4">
              <w:rPr>
                <w:rFonts w:asciiTheme="minorHAnsi" w:hAnsiTheme="minorHAnsi" w:cstheme="minorHAnsi"/>
              </w:rPr>
              <w:t>related</w:t>
            </w:r>
            <w:r w:rsidR="00A03629" w:rsidRPr="00F64AF4">
              <w:rPr>
                <w:rFonts w:asciiTheme="minorHAnsi" w:hAnsiTheme="minorHAnsi" w:cstheme="minorHAnsi"/>
              </w:rPr>
              <w:t xml:space="preserve"> </w:t>
            </w:r>
            <w:r w:rsidRPr="00F64AF4">
              <w:rPr>
                <w:rFonts w:asciiTheme="minorHAnsi" w:hAnsiTheme="minorHAnsi" w:cstheme="minorHAnsi"/>
              </w:rPr>
              <w:t>other</w:t>
            </w:r>
            <w:r w:rsidR="00A03629" w:rsidRPr="00F64AF4">
              <w:rPr>
                <w:rFonts w:asciiTheme="minorHAnsi" w:hAnsiTheme="minorHAnsi" w:cstheme="minorHAnsi"/>
              </w:rPr>
              <w:t xml:space="preserve"> </w:t>
            </w:r>
            <w:r w:rsidRPr="00F64AF4">
              <w:rPr>
                <w:rFonts w:asciiTheme="minorHAnsi" w:hAnsiTheme="minorHAnsi" w:cstheme="minorHAnsi"/>
              </w:rPr>
              <w:t>commitments</w:t>
            </w:r>
          </w:p>
        </w:tc>
        <w:tc>
          <w:tcPr>
            <w:tcW w:w="1346" w:type="dxa"/>
          </w:tcPr>
          <w:p w14:paraId="4C35B108" w14:textId="77777777" w:rsidR="000756EB" w:rsidRPr="00F64AF4" w:rsidRDefault="000756EB" w:rsidP="00F64AF4">
            <w:pPr>
              <w:pStyle w:val="TableHeading"/>
              <w:jc w:val="right"/>
              <w:rPr>
                <w:rFonts w:asciiTheme="minorHAnsi" w:hAnsiTheme="minorHAnsi" w:cstheme="minorHAnsi"/>
                <w:lang w:val="en-AU"/>
              </w:rPr>
            </w:pPr>
          </w:p>
        </w:tc>
        <w:tc>
          <w:tcPr>
            <w:tcW w:w="1347" w:type="dxa"/>
          </w:tcPr>
          <w:p w14:paraId="42D54E22" w14:textId="77777777" w:rsidR="000756EB" w:rsidRPr="00F64AF4" w:rsidRDefault="000756EB" w:rsidP="00F64AF4">
            <w:pPr>
              <w:pStyle w:val="TableHeading"/>
              <w:jc w:val="right"/>
              <w:rPr>
                <w:rFonts w:asciiTheme="minorHAnsi" w:hAnsiTheme="minorHAnsi" w:cstheme="minorHAnsi"/>
                <w:lang w:val="en-AU"/>
              </w:rPr>
            </w:pPr>
          </w:p>
        </w:tc>
        <w:tc>
          <w:tcPr>
            <w:tcW w:w="1346" w:type="dxa"/>
          </w:tcPr>
          <w:p w14:paraId="0C234592" w14:textId="77777777" w:rsidR="000756EB" w:rsidRPr="00F64AF4" w:rsidRDefault="000756EB" w:rsidP="00F64AF4">
            <w:pPr>
              <w:pStyle w:val="TableHeading"/>
              <w:jc w:val="right"/>
              <w:rPr>
                <w:rFonts w:asciiTheme="minorHAnsi" w:hAnsiTheme="minorHAnsi" w:cstheme="minorHAnsi"/>
                <w:lang w:val="en-AU"/>
              </w:rPr>
            </w:pPr>
          </w:p>
        </w:tc>
        <w:tc>
          <w:tcPr>
            <w:tcW w:w="1347" w:type="dxa"/>
          </w:tcPr>
          <w:p w14:paraId="4030B600" w14:textId="77777777" w:rsidR="000756EB" w:rsidRPr="00F64AF4" w:rsidRDefault="000756EB" w:rsidP="00F64AF4">
            <w:pPr>
              <w:pStyle w:val="TableHeading"/>
              <w:jc w:val="right"/>
              <w:rPr>
                <w:rFonts w:asciiTheme="minorHAnsi" w:hAnsiTheme="minorHAnsi" w:cstheme="minorHAnsi"/>
                <w:lang w:val="en-AU"/>
              </w:rPr>
            </w:pPr>
          </w:p>
        </w:tc>
      </w:tr>
      <w:tr w:rsidR="000756EB" w14:paraId="087A1852" w14:textId="77777777" w:rsidTr="006B557E">
        <w:tblPrEx>
          <w:tblLook w:val="0020" w:firstRow="1" w:lastRow="0" w:firstColumn="0" w:lastColumn="0" w:noHBand="0" w:noVBand="0"/>
        </w:tblPrEx>
        <w:trPr>
          <w:cantSplit/>
        </w:trPr>
        <w:tc>
          <w:tcPr>
            <w:tcW w:w="4957" w:type="dxa"/>
          </w:tcPr>
          <w:p w14:paraId="7C37F575" w14:textId="5ADFDDF3" w:rsidR="000756EB" w:rsidRDefault="004A4D88" w:rsidP="00F64AF4">
            <w:pPr>
              <w:pStyle w:val="TableCopy"/>
            </w:pPr>
            <w:proofErr w:type="spellStart"/>
            <w:r>
              <w:t>Not</w:t>
            </w:r>
            <w:r w:rsidR="00A03629">
              <w:t xml:space="preserve"> </w:t>
            </w:r>
            <w:r>
              <w:t>longer</w:t>
            </w:r>
            <w:proofErr w:type="spellEnd"/>
            <w:r w:rsidR="00A03629">
              <w:t xml:space="preserve"> </w:t>
            </w:r>
            <w:r>
              <w:t>than</w:t>
            </w:r>
            <w:r w:rsidR="00A03629">
              <w:t xml:space="preserve"> </w:t>
            </w:r>
            <w:r>
              <w:t>one</w:t>
            </w:r>
            <w:r w:rsidR="00A03629">
              <w:t xml:space="preserve"> </w:t>
            </w:r>
            <w:r>
              <w:t>year</w:t>
            </w:r>
          </w:p>
        </w:tc>
        <w:tc>
          <w:tcPr>
            <w:tcW w:w="1346" w:type="dxa"/>
          </w:tcPr>
          <w:p w14:paraId="09D083CA" w14:textId="3097EE6D" w:rsidR="000756EB" w:rsidRDefault="004A4D88" w:rsidP="00F64AF4">
            <w:pPr>
              <w:pStyle w:val="TableCopy"/>
              <w:jc w:val="right"/>
            </w:pPr>
            <w:r>
              <w:t>22,984</w:t>
            </w:r>
          </w:p>
        </w:tc>
        <w:tc>
          <w:tcPr>
            <w:tcW w:w="1347" w:type="dxa"/>
          </w:tcPr>
          <w:p w14:paraId="1F5CA0A5" w14:textId="4FA2AA9B" w:rsidR="000756EB" w:rsidRDefault="004A4D88" w:rsidP="00F64AF4">
            <w:pPr>
              <w:pStyle w:val="TableCopy"/>
              <w:jc w:val="right"/>
            </w:pPr>
            <w:r>
              <w:t>22,453</w:t>
            </w:r>
          </w:p>
        </w:tc>
        <w:tc>
          <w:tcPr>
            <w:tcW w:w="1346" w:type="dxa"/>
          </w:tcPr>
          <w:p w14:paraId="3F8B9FA0" w14:textId="2E77E270" w:rsidR="000756EB" w:rsidRDefault="004A4D88" w:rsidP="00F64AF4">
            <w:pPr>
              <w:pStyle w:val="TableCopy"/>
              <w:jc w:val="right"/>
            </w:pPr>
            <w:r>
              <w:t>24,035</w:t>
            </w:r>
          </w:p>
        </w:tc>
        <w:tc>
          <w:tcPr>
            <w:tcW w:w="1347" w:type="dxa"/>
          </w:tcPr>
          <w:p w14:paraId="6A77941D" w14:textId="4836AC44" w:rsidR="000756EB" w:rsidRDefault="004A4D88" w:rsidP="00F64AF4">
            <w:pPr>
              <w:pStyle w:val="TableCopy"/>
              <w:jc w:val="right"/>
            </w:pPr>
            <w:r>
              <w:t>23,480</w:t>
            </w:r>
          </w:p>
        </w:tc>
      </w:tr>
      <w:tr w:rsidR="000756EB" w14:paraId="63821D96" w14:textId="77777777" w:rsidTr="006B557E">
        <w:tblPrEx>
          <w:tblLook w:val="0020" w:firstRow="1" w:lastRow="0" w:firstColumn="0" w:lastColumn="0" w:noHBand="0" w:noVBand="0"/>
        </w:tblPrEx>
        <w:trPr>
          <w:cantSplit/>
        </w:trPr>
        <w:tc>
          <w:tcPr>
            <w:tcW w:w="4957" w:type="dxa"/>
          </w:tcPr>
          <w:p w14:paraId="4F03B7F6" w14:textId="012A4CBF" w:rsidR="000756EB" w:rsidRDefault="004A4D88" w:rsidP="00F64AF4">
            <w:pPr>
              <w:pStyle w:val="TableCopy"/>
            </w:pPr>
            <w:r>
              <w:t>Longer</w:t>
            </w:r>
            <w:r w:rsidR="00A03629">
              <w:t xml:space="preserve"> </w:t>
            </w:r>
            <w:r>
              <w:t>than</w:t>
            </w:r>
            <w:r w:rsidR="00A03629">
              <w:t xml:space="preserve"> </w:t>
            </w:r>
            <w:r>
              <w:t>one</w:t>
            </w:r>
            <w:r w:rsidR="00A03629">
              <w:t xml:space="preserve"> </w:t>
            </w:r>
            <w:r>
              <w:t>year</w:t>
            </w:r>
            <w:r w:rsidR="00A03629">
              <w:t xml:space="preserve"> </w:t>
            </w:r>
            <w:r>
              <w:t>but</w:t>
            </w:r>
            <w:r w:rsidR="00A03629">
              <w:t xml:space="preserve"> </w:t>
            </w:r>
            <w:r>
              <w:t>not</w:t>
            </w:r>
            <w:r w:rsidR="00A03629">
              <w:t xml:space="preserve"> </w:t>
            </w:r>
            <w:r>
              <w:t>longer</w:t>
            </w:r>
            <w:r w:rsidR="00A03629">
              <w:t xml:space="preserve"> </w:t>
            </w:r>
            <w:r>
              <w:t>than</w:t>
            </w:r>
            <w:r w:rsidR="00A03629">
              <w:t xml:space="preserve"> </w:t>
            </w:r>
            <w:r>
              <w:t>five</w:t>
            </w:r>
            <w:r w:rsidR="00A03629">
              <w:t xml:space="preserve"> </w:t>
            </w:r>
            <w:r>
              <w:t>years</w:t>
            </w:r>
          </w:p>
        </w:tc>
        <w:tc>
          <w:tcPr>
            <w:tcW w:w="1346" w:type="dxa"/>
          </w:tcPr>
          <w:p w14:paraId="5CB53EB8" w14:textId="747B94C7" w:rsidR="000756EB" w:rsidRDefault="004A4D88" w:rsidP="00F64AF4">
            <w:pPr>
              <w:pStyle w:val="TableCopy"/>
              <w:jc w:val="right"/>
            </w:pPr>
            <w:r>
              <w:t>97,490</w:t>
            </w:r>
          </w:p>
        </w:tc>
        <w:tc>
          <w:tcPr>
            <w:tcW w:w="1347" w:type="dxa"/>
          </w:tcPr>
          <w:p w14:paraId="3033F754" w14:textId="44077B99" w:rsidR="000756EB" w:rsidRDefault="004A4D88" w:rsidP="00F64AF4">
            <w:pPr>
              <w:pStyle w:val="TableCopy"/>
              <w:jc w:val="right"/>
            </w:pPr>
            <w:r>
              <w:t>95,240</w:t>
            </w:r>
          </w:p>
        </w:tc>
        <w:tc>
          <w:tcPr>
            <w:tcW w:w="1346" w:type="dxa"/>
          </w:tcPr>
          <w:p w14:paraId="54A42D3A" w14:textId="6E1D663C" w:rsidR="000756EB" w:rsidRDefault="004A4D88" w:rsidP="00F64AF4">
            <w:pPr>
              <w:pStyle w:val="TableCopy"/>
              <w:jc w:val="right"/>
            </w:pPr>
            <w:r>
              <w:t>83,385</w:t>
            </w:r>
          </w:p>
        </w:tc>
        <w:tc>
          <w:tcPr>
            <w:tcW w:w="1347" w:type="dxa"/>
          </w:tcPr>
          <w:p w14:paraId="3967F07F" w14:textId="78E7FAD6" w:rsidR="000756EB" w:rsidRDefault="004A4D88" w:rsidP="00F64AF4">
            <w:pPr>
              <w:pStyle w:val="TableCopy"/>
              <w:jc w:val="right"/>
            </w:pPr>
            <w:r>
              <w:t>81,462</w:t>
            </w:r>
          </w:p>
        </w:tc>
      </w:tr>
      <w:tr w:rsidR="000756EB" w14:paraId="269A0158" w14:textId="77777777" w:rsidTr="006B557E">
        <w:tblPrEx>
          <w:tblLook w:val="0020" w:firstRow="1" w:lastRow="0" w:firstColumn="0" w:lastColumn="0" w:noHBand="0" w:noVBand="0"/>
        </w:tblPrEx>
        <w:trPr>
          <w:cantSplit/>
        </w:trPr>
        <w:tc>
          <w:tcPr>
            <w:tcW w:w="4957" w:type="dxa"/>
          </w:tcPr>
          <w:p w14:paraId="11B60173" w14:textId="27765885" w:rsidR="000756EB" w:rsidRDefault="004A4D88" w:rsidP="00F64AF4">
            <w:pPr>
              <w:pStyle w:val="TableCopy"/>
            </w:pPr>
            <w:r>
              <w:t>Longer</w:t>
            </w:r>
            <w:r w:rsidR="00A03629">
              <w:t xml:space="preserve"> </w:t>
            </w:r>
            <w:r>
              <w:t>than</w:t>
            </w:r>
            <w:r w:rsidR="00A03629">
              <w:t xml:space="preserve"> </w:t>
            </w:r>
            <w:r>
              <w:t>five</w:t>
            </w:r>
            <w:r w:rsidR="00A03629">
              <w:t xml:space="preserve"> </w:t>
            </w:r>
            <w:r>
              <w:t>years</w:t>
            </w:r>
          </w:p>
        </w:tc>
        <w:tc>
          <w:tcPr>
            <w:tcW w:w="1346" w:type="dxa"/>
          </w:tcPr>
          <w:p w14:paraId="0E625938" w14:textId="768EEB6F" w:rsidR="000756EB" w:rsidRDefault="004A4D88" w:rsidP="00F64AF4">
            <w:pPr>
              <w:pStyle w:val="TableCopy"/>
              <w:jc w:val="right"/>
            </w:pPr>
            <w:r>
              <w:t>149,760</w:t>
            </w:r>
          </w:p>
        </w:tc>
        <w:tc>
          <w:tcPr>
            <w:tcW w:w="1347" w:type="dxa"/>
          </w:tcPr>
          <w:p w14:paraId="6E0574E9" w14:textId="63EAFFBA" w:rsidR="000756EB" w:rsidRDefault="004A4D88" w:rsidP="00F64AF4">
            <w:pPr>
              <w:pStyle w:val="TableCopy"/>
              <w:jc w:val="right"/>
            </w:pPr>
            <w:r>
              <w:t>174,993</w:t>
            </w:r>
          </w:p>
        </w:tc>
        <w:tc>
          <w:tcPr>
            <w:tcW w:w="1346" w:type="dxa"/>
          </w:tcPr>
          <w:p w14:paraId="6262F7FE" w14:textId="49616CE5" w:rsidR="000756EB" w:rsidRDefault="004A4D88" w:rsidP="00F64AF4">
            <w:pPr>
              <w:pStyle w:val="TableCopy"/>
              <w:jc w:val="right"/>
            </w:pPr>
            <w:r>
              <w:t>87,289</w:t>
            </w:r>
          </w:p>
        </w:tc>
        <w:tc>
          <w:tcPr>
            <w:tcW w:w="1347" w:type="dxa"/>
          </w:tcPr>
          <w:p w14:paraId="09D0B41A" w14:textId="399B5D5E" w:rsidR="000756EB" w:rsidRDefault="004A4D88" w:rsidP="00F64AF4">
            <w:pPr>
              <w:pStyle w:val="TableCopy"/>
              <w:jc w:val="right"/>
            </w:pPr>
            <w:r>
              <w:t>98,080</w:t>
            </w:r>
          </w:p>
        </w:tc>
      </w:tr>
      <w:tr w:rsidR="000756EB" w:rsidRPr="00F64AF4" w14:paraId="62C0C467" w14:textId="77777777" w:rsidTr="006B557E">
        <w:tblPrEx>
          <w:tblLook w:val="0020" w:firstRow="1" w:lastRow="0" w:firstColumn="0" w:lastColumn="0" w:noHBand="0" w:noVBand="0"/>
        </w:tblPrEx>
        <w:trPr>
          <w:cantSplit/>
        </w:trPr>
        <w:tc>
          <w:tcPr>
            <w:tcW w:w="4957" w:type="dxa"/>
          </w:tcPr>
          <w:p w14:paraId="7D3253C6" w14:textId="5EE82E72" w:rsidR="000756EB" w:rsidRPr="00F64AF4" w:rsidRDefault="004A4D88" w:rsidP="00F64AF4">
            <w:pPr>
              <w:pStyle w:val="TableCopy"/>
              <w:rPr>
                <w:b/>
                <w:bCs/>
              </w:rPr>
            </w:pPr>
            <w:r w:rsidRPr="00F64AF4">
              <w:rPr>
                <w:b/>
                <w:bCs/>
              </w:rPr>
              <w:t>Minimum</w:t>
            </w:r>
            <w:r w:rsidR="00A03629" w:rsidRPr="00F64AF4">
              <w:rPr>
                <w:b/>
                <w:bCs/>
              </w:rPr>
              <w:t xml:space="preserve"> </w:t>
            </w:r>
            <w:r w:rsidRPr="00F64AF4">
              <w:rPr>
                <w:b/>
                <w:bCs/>
              </w:rPr>
              <w:t>future</w:t>
            </w:r>
            <w:r w:rsidR="00A03629" w:rsidRPr="00F64AF4">
              <w:rPr>
                <w:b/>
                <w:bCs/>
              </w:rPr>
              <w:t xml:space="preserve"> </w:t>
            </w:r>
            <w:r w:rsidRPr="00F64AF4">
              <w:rPr>
                <w:b/>
                <w:bCs/>
              </w:rPr>
              <w:t>payments</w:t>
            </w:r>
          </w:p>
        </w:tc>
        <w:tc>
          <w:tcPr>
            <w:tcW w:w="1346" w:type="dxa"/>
          </w:tcPr>
          <w:p w14:paraId="0EC4C5B9" w14:textId="1859A044" w:rsidR="000756EB" w:rsidRPr="00F64AF4" w:rsidRDefault="004A4D88" w:rsidP="00F64AF4">
            <w:pPr>
              <w:pStyle w:val="TableCopy"/>
              <w:jc w:val="right"/>
              <w:rPr>
                <w:b/>
                <w:bCs/>
              </w:rPr>
            </w:pPr>
            <w:r w:rsidRPr="00F64AF4">
              <w:rPr>
                <w:b/>
                <w:bCs/>
              </w:rPr>
              <w:t>270,233</w:t>
            </w:r>
          </w:p>
        </w:tc>
        <w:tc>
          <w:tcPr>
            <w:tcW w:w="1347" w:type="dxa"/>
          </w:tcPr>
          <w:p w14:paraId="2DE2082D" w14:textId="4165FE43" w:rsidR="000756EB" w:rsidRPr="00F64AF4" w:rsidRDefault="004A4D88" w:rsidP="00F64AF4">
            <w:pPr>
              <w:pStyle w:val="TableCopy"/>
              <w:jc w:val="right"/>
              <w:rPr>
                <w:b/>
                <w:bCs/>
              </w:rPr>
            </w:pPr>
            <w:r w:rsidRPr="00F64AF4">
              <w:rPr>
                <w:b/>
                <w:bCs/>
              </w:rPr>
              <w:t>292,686</w:t>
            </w:r>
          </w:p>
        </w:tc>
        <w:tc>
          <w:tcPr>
            <w:tcW w:w="1346" w:type="dxa"/>
          </w:tcPr>
          <w:p w14:paraId="53606224" w14:textId="00D8149B" w:rsidR="000756EB" w:rsidRPr="00F64AF4" w:rsidRDefault="004A4D88" w:rsidP="00F64AF4">
            <w:pPr>
              <w:pStyle w:val="TableCopy"/>
              <w:jc w:val="right"/>
              <w:rPr>
                <w:b/>
                <w:bCs/>
              </w:rPr>
            </w:pPr>
            <w:r w:rsidRPr="00F64AF4">
              <w:rPr>
                <w:b/>
                <w:bCs/>
              </w:rPr>
              <w:t>194,709</w:t>
            </w:r>
          </w:p>
        </w:tc>
        <w:tc>
          <w:tcPr>
            <w:tcW w:w="1347" w:type="dxa"/>
          </w:tcPr>
          <w:p w14:paraId="33A1D6F8" w14:textId="7C9B1DA0" w:rsidR="000756EB" w:rsidRPr="00F64AF4" w:rsidRDefault="004A4D88" w:rsidP="00F64AF4">
            <w:pPr>
              <w:pStyle w:val="TableCopy"/>
              <w:jc w:val="right"/>
              <w:rPr>
                <w:b/>
                <w:bCs/>
              </w:rPr>
            </w:pPr>
            <w:r w:rsidRPr="00F64AF4">
              <w:rPr>
                <w:b/>
                <w:bCs/>
              </w:rPr>
              <w:t>203,022</w:t>
            </w:r>
          </w:p>
        </w:tc>
      </w:tr>
      <w:tr w:rsidR="000756EB" w14:paraId="010FEDB0" w14:textId="77777777" w:rsidTr="006B557E">
        <w:tblPrEx>
          <w:tblLook w:val="0020" w:firstRow="1" w:lastRow="0" w:firstColumn="0" w:lastColumn="0" w:noHBand="0" w:noVBand="0"/>
        </w:tblPrEx>
        <w:trPr>
          <w:cantSplit/>
        </w:trPr>
        <w:tc>
          <w:tcPr>
            <w:tcW w:w="4957" w:type="dxa"/>
          </w:tcPr>
          <w:p w14:paraId="183B9B3B" w14:textId="5739368F" w:rsidR="000756EB" w:rsidRDefault="004A4D88" w:rsidP="00F64AF4">
            <w:pPr>
              <w:pStyle w:val="TableCopy"/>
            </w:pPr>
            <w:r>
              <w:t>Less</w:t>
            </w:r>
            <w:r w:rsidR="00A03629">
              <w:t xml:space="preserve"> </w:t>
            </w:r>
            <w:r>
              <w:t>future</w:t>
            </w:r>
            <w:r w:rsidR="00A03629">
              <w:t xml:space="preserve"> </w:t>
            </w:r>
            <w:r>
              <w:t>finance</w:t>
            </w:r>
            <w:r w:rsidR="00A03629">
              <w:t xml:space="preserve"> </w:t>
            </w:r>
            <w:r>
              <w:t>charges</w:t>
            </w:r>
          </w:p>
        </w:tc>
        <w:tc>
          <w:tcPr>
            <w:tcW w:w="1346" w:type="dxa"/>
          </w:tcPr>
          <w:p w14:paraId="41BEEAEB" w14:textId="77777777" w:rsidR="000756EB" w:rsidRDefault="004A4D88" w:rsidP="00F64AF4">
            <w:pPr>
              <w:pStyle w:val="TableCopy"/>
              <w:jc w:val="right"/>
            </w:pPr>
            <w:r>
              <w:t>(75,524)</w:t>
            </w:r>
          </w:p>
        </w:tc>
        <w:tc>
          <w:tcPr>
            <w:tcW w:w="1347" w:type="dxa"/>
          </w:tcPr>
          <w:p w14:paraId="544713F5" w14:textId="77777777" w:rsidR="000756EB" w:rsidRDefault="004A4D88" w:rsidP="00F64AF4">
            <w:pPr>
              <w:pStyle w:val="TableCopy"/>
              <w:jc w:val="right"/>
            </w:pPr>
            <w:r>
              <w:t>(89,664)</w:t>
            </w:r>
          </w:p>
        </w:tc>
        <w:tc>
          <w:tcPr>
            <w:tcW w:w="1346" w:type="dxa"/>
          </w:tcPr>
          <w:p w14:paraId="45D58EFF" w14:textId="7169CFB7" w:rsidR="000756EB" w:rsidRDefault="004A4D88" w:rsidP="00F64AF4">
            <w:pPr>
              <w:pStyle w:val="TableCopy"/>
              <w:jc w:val="right"/>
            </w:pPr>
            <w:r>
              <w:t>–</w:t>
            </w:r>
          </w:p>
        </w:tc>
        <w:tc>
          <w:tcPr>
            <w:tcW w:w="1347" w:type="dxa"/>
          </w:tcPr>
          <w:p w14:paraId="2CDBA32E" w14:textId="0F4FA1BE" w:rsidR="000756EB" w:rsidRDefault="004A4D88" w:rsidP="00F64AF4">
            <w:pPr>
              <w:pStyle w:val="TableCopy"/>
              <w:jc w:val="right"/>
            </w:pPr>
            <w:r>
              <w:t>–</w:t>
            </w:r>
          </w:p>
        </w:tc>
      </w:tr>
      <w:tr w:rsidR="000756EB" w:rsidRPr="00F64AF4" w14:paraId="294191B1" w14:textId="77777777" w:rsidTr="006B557E">
        <w:tblPrEx>
          <w:tblLook w:val="0020" w:firstRow="1" w:lastRow="0" w:firstColumn="0" w:lastColumn="0" w:noHBand="0" w:noVBand="0"/>
        </w:tblPrEx>
        <w:trPr>
          <w:cantSplit/>
        </w:trPr>
        <w:tc>
          <w:tcPr>
            <w:tcW w:w="4957" w:type="dxa"/>
          </w:tcPr>
          <w:p w14:paraId="5B1E2179" w14:textId="29BE5897" w:rsidR="000756EB" w:rsidRPr="00F64AF4" w:rsidRDefault="004A4D88" w:rsidP="00F64AF4">
            <w:pPr>
              <w:pStyle w:val="TableCopy"/>
              <w:rPr>
                <w:b/>
                <w:bCs/>
              </w:rPr>
            </w:pPr>
            <w:r w:rsidRPr="00F64AF4">
              <w:rPr>
                <w:b/>
                <w:bCs/>
              </w:rPr>
              <w:t>Present</w:t>
            </w:r>
            <w:r w:rsidR="00A03629" w:rsidRPr="00F64AF4">
              <w:rPr>
                <w:b/>
                <w:bCs/>
              </w:rPr>
              <w:t xml:space="preserve"> </w:t>
            </w:r>
            <w:r w:rsidRPr="00F64AF4">
              <w:rPr>
                <w:b/>
                <w:bCs/>
              </w:rPr>
              <w:t>value</w:t>
            </w:r>
            <w:r w:rsidR="00A03629" w:rsidRPr="00F64AF4">
              <w:rPr>
                <w:b/>
                <w:bCs/>
              </w:rPr>
              <w:t xml:space="preserve"> </w:t>
            </w:r>
            <w:r w:rsidRPr="00F64AF4">
              <w:rPr>
                <w:b/>
                <w:bCs/>
              </w:rPr>
              <w:t>of</w:t>
            </w:r>
            <w:r w:rsidR="00A03629" w:rsidRPr="00F64AF4">
              <w:rPr>
                <w:b/>
                <w:bCs/>
              </w:rPr>
              <w:t xml:space="preserve"> </w:t>
            </w:r>
            <w:r w:rsidRPr="00F64AF4">
              <w:rPr>
                <w:b/>
                <w:bCs/>
              </w:rPr>
              <w:t>minimum</w:t>
            </w:r>
            <w:r w:rsidR="00A03629" w:rsidRPr="00F64AF4">
              <w:rPr>
                <w:b/>
                <w:bCs/>
              </w:rPr>
              <w:t xml:space="preserve"> </w:t>
            </w:r>
            <w:r w:rsidRPr="00F64AF4">
              <w:rPr>
                <w:b/>
                <w:bCs/>
              </w:rPr>
              <w:t>other</w:t>
            </w:r>
            <w:r w:rsidR="00A03629" w:rsidRPr="00F64AF4">
              <w:rPr>
                <w:b/>
                <w:bCs/>
              </w:rPr>
              <w:t xml:space="preserve"> </w:t>
            </w:r>
            <w:r w:rsidRPr="00F64AF4">
              <w:rPr>
                <w:b/>
                <w:bCs/>
              </w:rPr>
              <w:t>payments</w:t>
            </w:r>
          </w:p>
        </w:tc>
        <w:tc>
          <w:tcPr>
            <w:tcW w:w="1346" w:type="dxa"/>
          </w:tcPr>
          <w:p w14:paraId="2DF70310" w14:textId="7CFCA96C" w:rsidR="000756EB" w:rsidRPr="00F64AF4" w:rsidRDefault="004A4D88" w:rsidP="00F64AF4">
            <w:pPr>
              <w:pStyle w:val="TableCopy"/>
              <w:jc w:val="right"/>
              <w:rPr>
                <w:b/>
                <w:bCs/>
              </w:rPr>
            </w:pPr>
            <w:r w:rsidRPr="00F64AF4">
              <w:rPr>
                <w:b/>
                <w:bCs/>
              </w:rPr>
              <w:t>194,709</w:t>
            </w:r>
          </w:p>
        </w:tc>
        <w:tc>
          <w:tcPr>
            <w:tcW w:w="1347" w:type="dxa"/>
          </w:tcPr>
          <w:p w14:paraId="783D5586" w14:textId="03FC9C4F" w:rsidR="000756EB" w:rsidRPr="00F64AF4" w:rsidRDefault="004A4D88" w:rsidP="00F64AF4">
            <w:pPr>
              <w:pStyle w:val="TableCopy"/>
              <w:jc w:val="right"/>
              <w:rPr>
                <w:b/>
                <w:bCs/>
              </w:rPr>
            </w:pPr>
            <w:r w:rsidRPr="00F64AF4">
              <w:rPr>
                <w:b/>
                <w:bCs/>
              </w:rPr>
              <w:t>203,022</w:t>
            </w:r>
          </w:p>
        </w:tc>
        <w:tc>
          <w:tcPr>
            <w:tcW w:w="1346" w:type="dxa"/>
          </w:tcPr>
          <w:p w14:paraId="6406F847" w14:textId="0D0530C9" w:rsidR="000756EB" w:rsidRPr="00F64AF4" w:rsidRDefault="004A4D88" w:rsidP="00F64AF4">
            <w:pPr>
              <w:pStyle w:val="TableCopy"/>
              <w:jc w:val="right"/>
              <w:rPr>
                <w:b/>
                <w:bCs/>
              </w:rPr>
            </w:pPr>
            <w:r w:rsidRPr="00F64AF4">
              <w:rPr>
                <w:b/>
                <w:bCs/>
              </w:rPr>
              <w:t>194,709</w:t>
            </w:r>
          </w:p>
        </w:tc>
        <w:tc>
          <w:tcPr>
            <w:tcW w:w="1347" w:type="dxa"/>
          </w:tcPr>
          <w:p w14:paraId="7A6FACB5" w14:textId="1B2D3755" w:rsidR="000756EB" w:rsidRPr="00F64AF4" w:rsidRDefault="004A4D88" w:rsidP="00F64AF4">
            <w:pPr>
              <w:pStyle w:val="TableCopy"/>
              <w:jc w:val="right"/>
              <w:rPr>
                <w:b/>
                <w:bCs/>
              </w:rPr>
            </w:pPr>
            <w:r w:rsidRPr="00F64AF4">
              <w:rPr>
                <w:b/>
                <w:bCs/>
              </w:rPr>
              <w:t>203,022</w:t>
            </w:r>
          </w:p>
        </w:tc>
      </w:tr>
    </w:tbl>
    <w:p w14:paraId="537F098B" w14:textId="77777777" w:rsidR="000756EB" w:rsidRDefault="000756EB" w:rsidP="006B557E"/>
    <w:p w14:paraId="4B9DF5F5" w14:textId="067EB8F7" w:rsidR="000756EB" w:rsidRPr="006B557E" w:rsidRDefault="004A4D88" w:rsidP="006B557E">
      <w:pPr>
        <w:pStyle w:val="Normalbeforebullets"/>
        <w:rPr>
          <w:b/>
          <w:bCs/>
        </w:rPr>
      </w:pPr>
      <w:r w:rsidRPr="006B557E">
        <w:rPr>
          <w:b/>
          <w:bCs/>
        </w:rPr>
        <w:lastRenderedPageBreak/>
        <w:t>Melbourne</w:t>
      </w:r>
      <w:r w:rsidR="00A03629" w:rsidRPr="006B557E">
        <w:rPr>
          <w:b/>
          <w:bCs/>
        </w:rPr>
        <w:t xml:space="preserve"> </w:t>
      </w:r>
      <w:r w:rsidRPr="006B557E">
        <w:rPr>
          <w:b/>
          <w:bCs/>
        </w:rPr>
        <w:t>Convention</w:t>
      </w:r>
      <w:r w:rsidR="00A03629" w:rsidRPr="006B557E">
        <w:rPr>
          <w:b/>
          <w:bCs/>
        </w:rPr>
        <w:t xml:space="preserve"> </w:t>
      </w:r>
      <w:r w:rsidRPr="006B557E">
        <w:rPr>
          <w:b/>
          <w:bCs/>
        </w:rPr>
        <w:t>and</w:t>
      </w:r>
      <w:r w:rsidR="00A03629" w:rsidRPr="006B557E">
        <w:rPr>
          <w:b/>
          <w:bCs/>
        </w:rPr>
        <w:t xml:space="preserve"> </w:t>
      </w:r>
      <w:r w:rsidRPr="006B557E">
        <w:rPr>
          <w:b/>
          <w:bCs/>
        </w:rPr>
        <w:t>Exhibition</w:t>
      </w:r>
      <w:r w:rsidR="00A03629" w:rsidRPr="006B557E">
        <w:rPr>
          <w:b/>
          <w:bCs/>
        </w:rPr>
        <w:t xml:space="preserve"> </w:t>
      </w:r>
      <w:r w:rsidRPr="006B557E">
        <w:rPr>
          <w:b/>
          <w:bCs/>
        </w:rPr>
        <w:t>Centre</w:t>
      </w:r>
      <w:r w:rsidR="00A03629" w:rsidRPr="006B557E">
        <w:rPr>
          <w:b/>
          <w:bCs/>
        </w:rPr>
        <w:t xml:space="preserve"> </w:t>
      </w:r>
      <w:r w:rsidRPr="006B557E">
        <w:rPr>
          <w:b/>
          <w:bCs/>
        </w:rPr>
        <w:t>Expansion</w:t>
      </w:r>
      <w:r w:rsidR="00A03629" w:rsidRPr="006B557E">
        <w:rPr>
          <w:b/>
          <w:bCs/>
        </w:rPr>
        <w:t xml:space="preserve"> </w:t>
      </w:r>
      <w:r w:rsidRPr="006B557E">
        <w:rPr>
          <w:b/>
          <w:bCs/>
        </w:rPr>
        <w:t>Project</w:t>
      </w:r>
      <w:r w:rsidR="00A03629" w:rsidRPr="006B557E">
        <w:rPr>
          <w:b/>
          <w:bCs/>
        </w:rPr>
        <w:t xml:space="preserve"> </w:t>
      </w:r>
      <w:r w:rsidRPr="006B557E">
        <w:rPr>
          <w:b/>
          <w:bCs/>
        </w:rPr>
        <w:t>Other</w:t>
      </w:r>
      <w:r w:rsidR="00A03629" w:rsidRPr="006B557E">
        <w:rPr>
          <w:b/>
          <w:bCs/>
        </w:rPr>
        <w:t xml:space="preserve"> </w:t>
      </w:r>
      <w:r w:rsidRPr="006B557E">
        <w:rPr>
          <w:b/>
          <w:bCs/>
        </w:rPr>
        <w:t>commitments</w:t>
      </w:r>
      <w:r w:rsidR="00A03629" w:rsidRPr="006B557E">
        <w:rPr>
          <w:b/>
          <w:bCs/>
        </w:rPr>
        <w:t xml:space="preserve"> </w:t>
      </w:r>
      <w:r w:rsidRPr="006B557E">
        <w:rPr>
          <w:b/>
          <w:bCs/>
        </w:rPr>
        <w:t>(Expansion)</w:t>
      </w:r>
    </w:p>
    <w:tbl>
      <w:tblPr>
        <w:tblStyle w:val="TableGrid"/>
        <w:tblW w:w="10369" w:type="dxa"/>
        <w:tblLayout w:type="fixed"/>
        <w:tblLook w:val="04A0" w:firstRow="1" w:lastRow="0" w:firstColumn="1" w:lastColumn="0" w:noHBand="0" w:noVBand="1"/>
      </w:tblPr>
      <w:tblGrid>
        <w:gridCol w:w="4926"/>
        <w:gridCol w:w="1361"/>
        <w:gridCol w:w="1361"/>
        <w:gridCol w:w="1360"/>
        <w:gridCol w:w="1361"/>
      </w:tblGrid>
      <w:tr w:rsidR="006B557E" w:rsidRPr="00AC65A6" w14:paraId="4060FEE4" w14:textId="77777777" w:rsidTr="006B557E">
        <w:trPr>
          <w:trHeight w:val="113"/>
          <w:tblHeader/>
        </w:trPr>
        <w:tc>
          <w:tcPr>
            <w:tcW w:w="4926" w:type="dxa"/>
          </w:tcPr>
          <w:p w14:paraId="757AD355" w14:textId="77777777" w:rsidR="006B557E" w:rsidRPr="00AC65A6" w:rsidRDefault="006B557E" w:rsidP="00F8467A">
            <w:pPr>
              <w:pStyle w:val="TableColumnHeading"/>
              <w:rPr>
                <w:sz w:val="20"/>
                <w:szCs w:val="28"/>
              </w:rPr>
            </w:pPr>
            <w:bookmarkStart w:id="112" w:name="ColumnTitles_67"/>
            <w:bookmarkEnd w:id="112"/>
          </w:p>
        </w:tc>
        <w:tc>
          <w:tcPr>
            <w:tcW w:w="1361" w:type="dxa"/>
          </w:tcPr>
          <w:p w14:paraId="040A5027" w14:textId="77777777" w:rsidR="006B557E" w:rsidRPr="00AC65A6" w:rsidRDefault="006B557E" w:rsidP="006B557E">
            <w:pPr>
              <w:pStyle w:val="TableColumnHeading"/>
              <w:jc w:val="right"/>
              <w:rPr>
                <w:sz w:val="20"/>
                <w:szCs w:val="28"/>
              </w:rPr>
            </w:pPr>
            <w:r w:rsidRPr="00AC65A6">
              <w:rPr>
                <w:sz w:val="20"/>
                <w:szCs w:val="28"/>
              </w:rPr>
              <w:t>Minimum future lease payments</w:t>
            </w:r>
            <w:r>
              <w:rPr>
                <w:sz w:val="20"/>
                <w:szCs w:val="28"/>
              </w:rPr>
              <w:t xml:space="preserve"> </w:t>
            </w:r>
            <w:r w:rsidRPr="00AC65A6">
              <w:rPr>
                <w:sz w:val="20"/>
                <w:szCs w:val="28"/>
              </w:rPr>
              <w:t>2023 ($</w:t>
            </w:r>
            <w:r>
              <w:rPr>
                <w:sz w:val="20"/>
                <w:szCs w:val="28"/>
              </w:rPr>
              <w:t> </w:t>
            </w:r>
            <w:r w:rsidRPr="00AC65A6">
              <w:rPr>
                <w:sz w:val="20"/>
                <w:szCs w:val="28"/>
              </w:rPr>
              <w:t>thousand)</w:t>
            </w:r>
          </w:p>
        </w:tc>
        <w:tc>
          <w:tcPr>
            <w:tcW w:w="1361" w:type="dxa"/>
          </w:tcPr>
          <w:p w14:paraId="1AB1ADC7" w14:textId="77777777" w:rsidR="006B557E" w:rsidRPr="00AC65A6" w:rsidRDefault="006B557E" w:rsidP="006B557E">
            <w:pPr>
              <w:pStyle w:val="TableColumnHeading"/>
              <w:jc w:val="right"/>
              <w:rPr>
                <w:sz w:val="20"/>
                <w:szCs w:val="28"/>
              </w:rPr>
            </w:pPr>
            <w:r w:rsidRPr="00AC65A6">
              <w:rPr>
                <w:sz w:val="20"/>
                <w:szCs w:val="28"/>
              </w:rPr>
              <w:t>Minimum future lease payments</w:t>
            </w:r>
            <w:r>
              <w:rPr>
                <w:sz w:val="20"/>
                <w:szCs w:val="28"/>
              </w:rPr>
              <w:t xml:space="preserve"> </w:t>
            </w:r>
            <w:r w:rsidRPr="00AC65A6">
              <w:rPr>
                <w:sz w:val="20"/>
                <w:szCs w:val="28"/>
              </w:rPr>
              <w:t>2022</w:t>
            </w:r>
            <w:r>
              <w:rPr>
                <w:sz w:val="20"/>
                <w:szCs w:val="28"/>
              </w:rPr>
              <w:t xml:space="preserve"> </w:t>
            </w:r>
            <w:r w:rsidRPr="00AC65A6">
              <w:rPr>
                <w:sz w:val="20"/>
                <w:szCs w:val="28"/>
              </w:rPr>
              <w:t>($</w:t>
            </w:r>
            <w:r>
              <w:rPr>
                <w:sz w:val="20"/>
                <w:szCs w:val="28"/>
              </w:rPr>
              <w:t> </w:t>
            </w:r>
            <w:r w:rsidRPr="00AC65A6">
              <w:rPr>
                <w:sz w:val="20"/>
                <w:szCs w:val="28"/>
              </w:rPr>
              <w:t>thousand)</w:t>
            </w:r>
          </w:p>
        </w:tc>
        <w:tc>
          <w:tcPr>
            <w:tcW w:w="1360" w:type="dxa"/>
          </w:tcPr>
          <w:p w14:paraId="2D647B51" w14:textId="77777777" w:rsidR="006B557E" w:rsidRPr="00AC65A6" w:rsidRDefault="006B557E" w:rsidP="006B557E">
            <w:pPr>
              <w:pStyle w:val="TableColumnHeading"/>
              <w:jc w:val="right"/>
              <w:rPr>
                <w:sz w:val="20"/>
                <w:szCs w:val="28"/>
              </w:rPr>
            </w:pPr>
            <w:r w:rsidRPr="00AC65A6">
              <w:rPr>
                <w:sz w:val="20"/>
                <w:szCs w:val="28"/>
              </w:rPr>
              <w:t>Present value of future lease payments</w:t>
            </w:r>
            <w:r>
              <w:rPr>
                <w:sz w:val="20"/>
                <w:szCs w:val="28"/>
              </w:rPr>
              <w:t xml:space="preserve"> </w:t>
            </w:r>
            <w:r w:rsidRPr="00AC65A6">
              <w:rPr>
                <w:sz w:val="20"/>
                <w:szCs w:val="28"/>
              </w:rPr>
              <w:t>2023 ($</w:t>
            </w:r>
            <w:r>
              <w:rPr>
                <w:sz w:val="20"/>
                <w:szCs w:val="28"/>
              </w:rPr>
              <w:t> </w:t>
            </w:r>
            <w:r w:rsidRPr="00AC65A6">
              <w:rPr>
                <w:sz w:val="20"/>
                <w:szCs w:val="28"/>
              </w:rPr>
              <w:t>thousand)</w:t>
            </w:r>
          </w:p>
        </w:tc>
        <w:tc>
          <w:tcPr>
            <w:tcW w:w="1361" w:type="dxa"/>
          </w:tcPr>
          <w:p w14:paraId="02DBABF8" w14:textId="77777777" w:rsidR="006B557E" w:rsidRPr="00AC65A6" w:rsidRDefault="006B557E" w:rsidP="006B557E">
            <w:pPr>
              <w:pStyle w:val="TableColumnHeading"/>
              <w:jc w:val="right"/>
              <w:rPr>
                <w:sz w:val="20"/>
                <w:szCs w:val="28"/>
              </w:rPr>
            </w:pPr>
            <w:r w:rsidRPr="00AC65A6">
              <w:rPr>
                <w:sz w:val="20"/>
                <w:szCs w:val="28"/>
              </w:rPr>
              <w:t>Present value of future lease payments</w:t>
            </w:r>
            <w:r>
              <w:rPr>
                <w:sz w:val="20"/>
                <w:szCs w:val="28"/>
              </w:rPr>
              <w:t xml:space="preserve"> </w:t>
            </w:r>
            <w:r w:rsidRPr="00AC65A6">
              <w:rPr>
                <w:sz w:val="20"/>
                <w:szCs w:val="28"/>
              </w:rPr>
              <w:t>2022</w:t>
            </w:r>
            <w:r>
              <w:rPr>
                <w:sz w:val="20"/>
                <w:szCs w:val="28"/>
              </w:rPr>
              <w:t xml:space="preserve"> </w:t>
            </w:r>
            <w:r w:rsidRPr="00AC65A6">
              <w:rPr>
                <w:sz w:val="20"/>
                <w:szCs w:val="28"/>
              </w:rPr>
              <w:t>($</w:t>
            </w:r>
            <w:r>
              <w:rPr>
                <w:sz w:val="20"/>
                <w:szCs w:val="28"/>
              </w:rPr>
              <w:t> </w:t>
            </w:r>
            <w:r w:rsidRPr="00AC65A6">
              <w:rPr>
                <w:sz w:val="20"/>
                <w:szCs w:val="28"/>
              </w:rPr>
              <w:t>thousand)</w:t>
            </w:r>
          </w:p>
        </w:tc>
      </w:tr>
      <w:tr w:rsidR="000756EB" w:rsidRPr="006B557E" w14:paraId="4DC55EE5" w14:textId="77777777" w:rsidTr="006B557E">
        <w:tblPrEx>
          <w:tblLook w:val="0020" w:firstRow="1" w:lastRow="0" w:firstColumn="0" w:lastColumn="0" w:noHBand="0" w:noVBand="0"/>
        </w:tblPrEx>
        <w:trPr>
          <w:cantSplit/>
        </w:trPr>
        <w:tc>
          <w:tcPr>
            <w:tcW w:w="4926" w:type="dxa"/>
          </w:tcPr>
          <w:p w14:paraId="0AEF16DD" w14:textId="48621A94" w:rsidR="000756EB" w:rsidRPr="006B557E" w:rsidRDefault="004A4D88" w:rsidP="006B557E">
            <w:pPr>
              <w:pStyle w:val="TableHeading"/>
              <w:rPr>
                <w:rFonts w:asciiTheme="minorHAnsi" w:hAnsiTheme="minorHAnsi" w:cstheme="minorHAnsi"/>
              </w:rPr>
            </w:pPr>
            <w:r w:rsidRPr="006B557E">
              <w:rPr>
                <w:rFonts w:asciiTheme="minorHAnsi" w:hAnsiTheme="minorHAnsi" w:cstheme="minorHAnsi"/>
              </w:rPr>
              <w:t>Commissioned</w:t>
            </w:r>
            <w:r w:rsidR="00A03629" w:rsidRPr="006B557E">
              <w:rPr>
                <w:rFonts w:asciiTheme="minorHAnsi" w:hAnsiTheme="minorHAnsi" w:cstheme="minorHAnsi"/>
              </w:rPr>
              <w:t xml:space="preserve"> </w:t>
            </w:r>
            <w:r w:rsidRPr="006B557E">
              <w:rPr>
                <w:rFonts w:asciiTheme="minorHAnsi" w:hAnsiTheme="minorHAnsi" w:cstheme="minorHAnsi"/>
              </w:rPr>
              <w:t>PPP</w:t>
            </w:r>
            <w:r w:rsidR="00A03629" w:rsidRPr="006B557E">
              <w:rPr>
                <w:rFonts w:asciiTheme="minorHAnsi" w:hAnsiTheme="minorHAnsi" w:cstheme="minorHAnsi"/>
              </w:rPr>
              <w:t xml:space="preserve"> </w:t>
            </w:r>
            <w:r w:rsidRPr="006B557E">
              <w:rPr>
                <w:rFonts w:asciiTheme="minorHAnsi" w:hAnsiTheme="minorHAnsi" w:cstheme="minorHAnsi"/>
              </w:rPr>
              <w:t>related</w:t>
            </w:r>
            <w:r w:rsidR="00A03629" w:rsidRPr="006B557E">
              <w:rPr>
                <w:rFonts w:asciiTheme="minorHAnsi" w:hAnsiTheme="minorHAnsi" w:cstheme="minorHAnsi"/>
              </w:rPr>
              <w:t xml:space="preserve"> </w:t>
            </w:r>
            <w:r w:rsidRPr="006B557E">
              <w:rPr>
                <w:rFonts w:asciiTheme="minorHAnsi" w:hAnsiTheme="minorHAnsi" w:cstheme="minorHAnsi"/>
              </w:rPr>
              <w:t>lease</w:t>
            </w:r>
            <w:r w:rsidR="00A03629" w:rsidRPr="006B557E">
              <w:rPr>
                <w:rFonts w:asciiTheme="minorHAnsi" w:hAnsiTheme="minorHAnsi" w:cstheme="minorHAnsi"/>
              </w:rPr>
              <w:t xml:space="preserve"> </w:t>
            </w:r>
            <w:r w:rsidRPr="006B557E">
              <w:rPr>
                <w:rFonts w:asciiTheme="minorHAnsi" w:hAnsiTheme="minorHAnsi" w:cstheme="minorHAnsi"/>
              </w:rPr>
              <w:t>commitments</w:t>
            </w:r>
          </w:p>
        </w:tc>
        <w:tc>
          <w:tcPr>
            <w:tcW w:w="1361" w:type="dxa"/>
          </w:tcPr>
          <w:p w14:paraId="114CE412" w14:textId="77777777" w:rsidR="000756EB" w:rsidRPr="006B557E" w:rsidRDefault="000756EB" w:rsidP="006B557E">
            <w:pPr>
              <w:pStyle w:val="TableHeading"/>
              <w:jc w:val="right"/>
              <w:rPr>
                <w:rFonts w:asciiTheme="minorHAnsi" w:hAnsiTheme="minorHAnsi" w:cstheme="minorHAnsi"/>
                <w:lang w:val="en-AU"/>
              </w:rPr>
            </w:pPr>
          </w:p>
        </w:tc>
        <w:tc>
          <w:tcPr>
            <w:tcW w:w="1361" w:type="dxa"/>
          </w:tcPr>
          <w:p w14:paraId="4DD63A77" w14:textId="77777777" w:rsidR="000756EB" w:rsidRPr="006B557E" w:rsidRDefault="000756EB" w:rsidP="006B557E">
            <w:pPr>
              <w:pStyle w:val="TableHeading"/>
              <w:jc w:val="right"/>
              <w:rPr>
                <w:rFonts w:asciiTheme="minorHAnsi" w:hAnsiTheme="minorHAnsi" w:cstheme="minorHAnsi"/>
                <w:lang w:val="en-AU"/>
              </w:rPr>
            </w:pPr>
          </w:p>
        </w:tc>
        <w:tc>
          <w:tcPr>
            <w:tcW w:w="1360" w:type="dxa"/>
          </w:tcPr>
          <w:p w14:paraId="2E8DBC5A" w14:textId="77777777" w:rsidR="000756EB" w:rsidRPr="006B557E" w:rsidRDefault="000756EB" w:rsidP="006B557E">
            <w:pPr>
              <w:pStyle w:val="TableHeading"/>
              <w:jc w:val="right"/>
              <w:rPr>
                <w:rFonts w:asciiTheme="minorHAnsi" w:hAnsiTheme="minorHAnsi" w:cstheme="minorHAnsi"/>
                <w:lang w:val="en-AU"/>
              </w:rPr>
            </w:pPr>
          </w:p>
        </w:tc>
        <w:tc>
          <w:tcPr>
            <w:tcW w:w="1361" w:type="dxa"/>
          </w:tcPr>
          <w:p w14:paraId="0E7F895D" w14:textId="77777777" w:rsidR="000756EB" w:rsidRPr="006B557E" w:rsidRDefault="000756EB" w:rsidP="006B557E">
            <w:pPr>
              <w:pStyle w:val="TableHeading"/>
              <w:jc w:val="right"/>
              <w:rPr>
                <w:rFonts w:asciiTheme="minorHAnsi" w:hAnsiTheme="minorHAnsi" w:cstheme="minorHAnsi"/>
                <w:lang w:val="en-AU"/>
              </w:rPr>
            </w:pPr>
          </w:p>
        </w:tc>
      </w:tr>
      <w:tr w:rsidR="000756EB" w14:paraId="1E7DD37C" w14:textId="77777777" w:rsidTr="006B557E">
        <w:tblPrEx>
          <w:tblLook w:val="0020" w:firstRow="1" w:lastRow="0" w:firstColumn="0" w:lastColumn="0" w:noHBand="0" w:noVBand="0"/>
        </w:tblPrEx>
        <w:trPr>
          <w:cantSplit/>
        </w:trPr>
        <w:tc>
          <w:tcPr>
            <w:tcW w:w="4926" w:type="dxa"/>
          </w:tcPr>
          <w:p w14:paraId="27D6542E" w14:textId="55DA49B3" w:rsidR="000756EB" w:rsidRDefault="004A4D88" w:rsidP="006B557E">
            <w:pPr>
              <w:pStyle w:val="TableCopy"/>
            </w:pPr>
            <w:proofErr w:type="spellStart"/>
            <w:r>
              <w:t>Not</w:t>
            </w:r>
            <w:r w:rsidR="00A03629">
              <w:t xml:space="preserve"> </w:t>
            </w:r>
            <w:r>
              <w:t>longer</w:t>
            </w:r>
            <w:proofErr w:type="spellEnd"/>
            <w:r w:rsidR="00A03629">
              <w:t xml:space="preserve"> </w:t>
            </w:r>
            <w:r>
              <w:t>than</w:t>
            </w:r>
            <w:r w:rsidR="00A03629">
              <w:t xml:space="preserve"> </w:t>
            </w:r>
            <w:r>
              <w:t>one</w:t>
            </w:r>
            <w:r w:rsidR="00A03629">
              <w:t xml:space="preserve"> </w:t>
            </w:r>
            <w:r>
              <w:t>year</w:t>
            </w:r>
          </w:p>
        </w:tc>
        <w:tc>
          <w:tcPr>
            <w:tcW w:w="1361" w:type="dxa"/>
          </w:tcPr>
          <w:p w14:paraId="64682C25" w14:textId="30B08714" w:rsidR="000756EB" w:rsidRDefault="004A4D88" w:rsidP="006B557E">
            <w:pPr>
              <w:pStyle w:val="TableCopy"/>
              <w:jc w:val="right"/>
            </w:pPr>
            <w:r>
              <w:t>4,488</w:t>
            </w:r>
          </w:p>
        </w:tc>
        <w:tc>
          <w:tcPr>
            <w:tcW w:w="1361" w:type="dxa"/>
          </w:tcPr>
          <w:p w14:paraId="0B727391" w14:textId="7F3AE3E0" w:rsidR="000756EB" w:rsidRDefault="004A4D88" w:rsidP="006B557E">
            <w:pPr>
              <w:pStyle w:val="TableCopy"/>
              <w:jc w:val="right"/>
            </w:pPr>
            <w:r>
              <w:t>4,355</w:t>
            </w:r>
          </w:p>
        </w:tc>
        <w:tc>
          <w:tcPr>
            <w:tcW w:w="1360" w:type="dxa"/>
          </w:tcPr>
          <w:p w14:paraId="40C83946" w14:textId="114511DF" w:rsidR="000756EB" w:rsidRDefault="004A4D88" w:rsidP="006B557E">
            <w:pPr>
              <w:pStyle w:val="TableCopy"/>
              <w:jc w:val="right"/>
            </w:pPr>
            <w:r>
              <w:t>4,326</w:t>
            </w:r>
          </w:p>
        </w:tc>
        <w:tc>
          <w:tcPr>
            <w:tcW w:w="1361" w:type="dxa"/>
          </w:tcPr>
          <w:p w14:paraId="5C4A03BA" w14:textId="21CB577A" w:rsidR="000756EB" w:rsidRDefault="004A4D88" w:rsidP="006B557E">
            <w:pPr>
              <w:pStyle w:val="TableCopy"/>
              <w:jc w:val="right"/>
            </w:pPr>
            <w:r>
              <w:t>4,198</w:t>
            </w:r>
          </w:p>
        </w:tc>
      </w:tr>
      <w:tr w:rsidR="000756EB" w14:paraId="085178D6" w14:textId="77777777" w:rsidTr="006B557E">
        <w:tblPrEx>
          <w:tblLook w:val="0020" w:firstRow="1" w:lastRow="0" w:firstColumn="0" w:lastColumn="0" w:noHBand="0" w:noVBand="0"/>
        </w:tblPrEx>
        <w:trPr>
          <w:cantSplit/>
        </w:trPr>
        <w:tc>
          <w:tcPr>
            <w:tcW w:w="4926" w:type="dxa"/>
          </w:tcPr>
          <w:p w14:paraId="5C26F883" w14:textId="3FD24C3F" w:rsidR="000756EB" w:rsidRDefault="004A4D88" w:rsidP="006B557E">
            <w:pPr>
              <w:pStyle w:val="TableCopy"/>
            </w:pPr>
            <w:r>
              <w:t>Longer</w:t>
            </w:r>
            <w:r w:rsidR="00A03629">
              <w:t xml:space="preserve"> </w:t>
            </w:r>
            <w:r>
              <w:t>than</w:t>
            </w:r>
            <w:r w:rsidR="00A03629">
              <w:t xml:space="preserve"> </w:t>
            </w:r>
            <w:r>
              <w:t>one</w:t>
            </w:r>
            <w:r w:rsidR="00A03629">
              <w:t xml:space="preserve"> </w:t>
            </w:r>
            <w:r>
              <w:t>year</w:t>
            </w:r>
            <w:r w:rsidR="00A03629">
              <w:t xml:space="preserve"> </w:t>
            </w:r>
            <w:r>
              <w:t>but</w:t>
            </w:r>
            <w:r w:rsidR="00A03629">
              <w:t xml:space="preserve"> </w:t>
            </w:r>
            <w:r>
              <w:t>not</w:t>
            </w:r>
            <w:r w:rsidR="00A03629">
              <w:t xml:space="preserve"> </w:t>
            </w:r>
            <w:r>
              <w:t>longer</w:t>
            </w:r>
            <w:r w:rsidR="00A03629">
              <w:t xml:space="preserve"> </w:t>
            </w:r>
            <w:r>
              <w:t>than</w:t>
            </w:r>
            <w:r w:rsidR="00A03629">
              <w:t xml:space="preserve"> </w:t>
            </w:r>
            <w:r>
              <w:t>five</w:t>
            </w:r>
            <w:r w:rsidR="00A03629">
              <w:t xml:space="preserve"> </w:t>
            </w:r>
            <w:r>
              <w:t>years</w:t>
            </w:r>
          </w:p>
        </w:tc>
        <w:tc>
          <w:tcPr>
            <w:tcW w:w="1361" w:type="dxa"/>
          </w:tcPr>
          <w:p w14:paraId="5E18A9D5" w14:textId="10E7B765" w:rsidR="000756EB" w:rsidRDefault="004A4D88" w:rsidP="006B557E">
            <w:pPr>
              <w:pStyle w:val="TableCopy"/>
              <w:jc w:val="right"/>
            </w:pPr>
            <w:r>
              <w:t>19,364</w:t>
            </w:r>
          </w:p>
        </w:tc>
        <w:tc>
          <w:tcPr>
            <w:tcW w:w="1361" w:type="dxa"/>
          </w:tcPr>
          <w:p w14:paraId="73382DF6" w14:textId="24734987" w:rsidR="000756EB" w:rsidRDefault="004A4D88" w:rsidP="006B557E">
            <w:pPr>
              <w:pStyle w:val="TableCopy"/>
              <w:jc w:val="right"/>
            </w:pPr>
            <w:r>
              <w:t>18,790</w:t>
            </w:r>
          </w:p>
        </w:tc>
        <w:tc>
          <w:tcPr>
            <w:tcW w:w="1360" w:type="dxa"/>
          </w:tcPr>
          <w:p w14:paraId="4D48318C" w14:textId="75D87D7B" w:rsidR="000756EB" w:rsidRDefault="004A4D88" w:rsidP="006B557E">
            <w:pPr>
              <w:pStyle w:val="TableCopy"/>
              <w:jc w:val="right"/>
            </w:pPr>
            <w:r>
              <w:t>16,115</w:t>
            </w:r>
          </w:p>
        </w:tc>
        <w:tc>
          <w:tcPr>
            <w:tcW w:w="1361" w:type="dxa"/>
          </w:tcPr>
          <w:p w14:paraId="65A1B960" w14:textId="0D52D5CB" w:rsidR="000756EB" w:rsidRDefault="004A4D88" w:rsidP="006B557E">
            <w:pPr>
              <w:pStyle w:val="TableCopy"/>
              <w:jc w:val="right"/>
            </w:pPr>
            <w:r>
              <w:t>15,638</w:t>
            </w:r>
          </w:p>
        </w:tc>
      </w:tr>
      <w:tr w:rsidR="000756EB" w14:paraId="3CF221CA" w14:textId="77777777" w:rsidTr="006B557E">
        <w:tblPrEx>
          <w:tblLook w:val="0020" w:firstRow="1" w:lastRow="0" w:firstColumn="0" w:lastColumn="0" w:noHBand="0" w:noVBand="0"/>
        </w:tblPrEx>
        <w:trPr>
          <w:cantSplit/>
        </w:trPr>
        <w:tc>
          <w:tcPr>
            <w:tcW w:w="4926" w:type="dxa"/>
          </w:tcPr>
          <w:p w14:paraId="38955EDE" w14:textId="5161CD68" w:rsidR="000756EB" w:rsidRDefault="004A4D88" w:rsidP="006B557E">
            <w:pPr>
              <w:pStyle w:val="TableCopy"/>
            </w:pPr>
            <w:r>
              <w:t>Longer</w:t>
            </w:r>
            <w:r w:rsidR="00A03629">
              <w:t xml:space="preserve"> </w:t>
            </w:r>
            <w:r>
              <w:t>than</w:t>
            </w:r>
            <w:r w:rsidR="00A03629">
              <w:t xml:space="preserve"> </w:t>
            </w:r>
            <w:r>
              <w:t>five</w:t>
            </w:r>
            <w:r w:rsidR="00A03629">
              <w:t xml:space="preserve"> </w:t>
            </w:r>
            <w:r>
              <w:t>years</w:t>
            </w:r>
          </w:p>
        </w:tc>
        <w:tc>
          <w:tcPr>
            <w:tcW w:w="1361" w:type="dxa"/>
          </w:tcPr>
          <w:p w14:paraId="55653C2B" w14:textId="3DE074D5" w:rsidR="000756EB" w:rsidRDefault="004A4D88" w:rsidP="006B557E">
            <w:pPr>
              <w:pStyle w:val="TableCopy"/>
              <w:jc w:val="right"/>
            </w:pPr>
            <w:r>
              <w:t>32,246</w:t>
            </w:r>
          </w:p>
        </w:tc>
        <w:tc>
          <w:tcPr>
            <w:tcW w:w="1361" w:type="dxa"/>
          </w:tcPr>
          <w:p w14:paraId="27C22F70" w14:textId="66EEF009" w:rsidR="000756EB" w:rsidRDefault="004A4D88" w:rsidP="006B557E">
            <w:pPr>
              <w:pStyle w:val="TableCopy"/>
              <w:jc w:val="right"/>
            </w:pPr>
            <w:r>
              <w:t>37,308</w:t>
            </w:r>
          </w:p>
        </w:tc>
        <w:tc>
          <w:tcPr>
            <w:tcW w:w="1360" w:type="dxa"/>
          </w:tcPr>
          <w:p w14:paraId="5FA2B227" w14:textId="777B6F3E" w:rsidR="000756EB" w:rsidRDefault="004A4D88" w:rsidP="006B557E">
            <w:pPr>
              <w:pStyle w:val="TableCopy"/>
              <w:jc w:val="right"/>
            </w:pPr>
            <w:r>
              <w:t>20,154</w:t>
            </w:r>
          </w:p>
        </w:tc>
        <w:tc>
          <w:tcPr>
            <w:tcW w:w="1361" w:type="dxa"/>
          </w:tcPr>
          <w:p w14:paraId="7F997388" w14:textId="5567A5E4" w:rsidR="000756EB" w:rsidRDefault="004A4D88" w:rsidP="006B557E">
            <w:pPr>
              <w:pStyle w:val="TableCopy"/>
              <w:jc w:val="right"/>
            </w:pPr>
            <w:r>
              <w:t>22,642</w:t>
            </w:r>
          </w:p>
        </w:tc>
      </w:tr>
      <w:tr w:rsidR="000756EB" w:rsidRPr="006B557E" w14:paraId="09237181" w14:textId="77777777" w:rsidTr="006B557E">
        <w:tblPrEx>
          <w:tblLook w:val="0020" w:firstRow="1" w:lastRow="0" w:firstColumn="0" w:lastColumn="0" w:noHBand="0" w:noVBand="0"/>
        </w:tblPrEx>
        <w:trPr>
          <w:cantSplit/>
        </w:trPr>
        <w:tc>
          <w:tcPr>
            <w:tcW w:w="4926" w:type="dxa"/>
          </w:tcPr>
          <w:p w14:paraId="3007261D" w14:textId="4B2AD0D1" w:rsidR="000756EB" w:rsidRPr="006B557E" w:rsidRDefault="004A4D88" w:rsidP="006B557E">
            <w:pPr>
              <w:pStyle w:val="TableCopy"/>
              <w:rPr>
                <w:b/>
                <w:bCs/>
              </w:rPr>
            </w:pPr>
            <w:r w:rsidRPr="006B557E">
              <w:rPr>
                <w:b/>
                <w:bCs/>
              </w:rPr>
              <w:t>Minimum</w:t>
            </w:r>
            <w:r w:rsidR="00A03629" w:rsidRPr="006B557E">
              <w:rPr>
                <w:b/>
                <w:bCs/>
              </w:rPr>
              <w:t xml:space="preserve"> </w:t>
            </w:r>
            <w:r w:rsidRPr="006B557E">
              <w:rPr>
                <w:b/>
                <w:bCs/>
              </w:rPr>
              <w:t>future</w:t>
            </w:r>
            <w:r w:rsidR="00A03629" w:rsidRPr="006B557E">
              <w:rPr>
                <w:b/>
                <w:bCs/>
              </w:rPr>
              <w:t xml:space="preserve"> </w:t>
            </w:r>
            <w:r w:rsidRPr="006B557E">
              <w:rPr>
                <w:b/>
                <w:bCs/>
              </w:rPr>
              <w:t>lease</w:t>
            </w:r>
            <w:r w:rsidR="00A03629" w:rsidRPr="006B557E">
              <w:rPr>
                <w:b/>
                <w:bCs/>
              </w:rPr>
              <w:t xml:space="preserve"> </w:t>
            </w:r>
            <w:r w:rsidRPr="006B557E">
              <w:rPr>
                <w:b/>
                <w:bCs/>
              </w:rPr>
              <w:t>payments</w:t>
            </w:r>
          </w:p>
        </w:tc>
        <w:tc>
          <w:tcPr>
            <w:tcW w:w="1361" w:type="dxa"/>
          </w:tcPr>
          <w:p w14:paraId="1D4DF74F" w14:textId="04540C26" w:rsidR="000756EB" w:rsidRPr="006B557E" w:rsidRDefault="004A4D88" w:rsidP="006B557E">
            <w:pPr>
              <w:pStyle w:val="TableCopy"/>
              <w:jc w:val="right"/>
              <w:rPr>
                <w:b/>
                <w:bCs/>
              </w:rPr>
            </w:pPr>
            <w:r w:rsidRPr="006B557E">
              <w:rPr>
                <w:b/>
                <w:bCs/>
              </w:rPr>
              <w:t>56,098</w:t>
            </w:r>
          </w:p>
        </w:tc>
        <w:tc>
          <w:tcPr>
            <w:tcW w:w="1361" w:type="dxa"/>
          </w:tcPr>
          <w:p w14:paraId="53156432" w14:textId="2762CBFF" w:rsidR="000756EB" w:rsidRPr="006B557E" w:rsidRDefault="004A4D88" w:rsidP="006B557E">
            <w:pPr>
              <w:pStyle w:val="TableCopy"/>
              <w:jc w:val="right"/>
              <w:rPr>
                <w:b/>
                <w:bCs/>
              </w:rPr>
            </w:pPr>
            <w:r w:rsidRPr="006B557E">
              <w:rPr>
                <w:b/>
                <w:bCs/>
              </w:rPr>
              <w:t>60,453</w:t>
            </w:r>
          </w:p>
        </w:tc>
        <w:tc>
          <w:tcPr>
            <w:tcW w:w="1360" w:type="dxa"/>
          </w:tcPr>
          <w:p w14:paraId="76B1AB7A" w14:textId="1438C656" w:rsidR="000756EB" w:rsidRPr="006B557E" w:rsidRDefault="004A4D88" w:rsidP="006B557E">
            <w:pPr>
              <w:pStyle w:val="TableCopy"/>
              <w:jc w:val="right"/>
              <w:rPr>
                <w:b/>
                <w:bCs/>
              </w:rPr>
            </w:pPr>
            <w:r w:rsidRPr="006B557E">
              <w:rPr>
                <w:b/>
                <w:bCs/>
              </w:rPr>
              <w:t>40,595</w:t>
            </w:r>
          </w:p>
        </w:tc>
        <w:tc>
          <w:tcPr>
            <w:tcW w:w="1361" w:type="dxa"/>
          </w:tcPr>
          <w:p w14:paraId="190C54F1" w14:textId="611D9CC5" w:rsidR="000756EB" w:rsidRPr="006B557E" w:rsidRDefault="004A4D88" w:rsidP="006B557E">
            <w:pPr>
              <w:pStyle w:val="TableCopy"/>
              <w:jc w:val="right"/>
              <w:rPr>
                <w:b/>
                <w:bCs/>
              </w:rPr>
            </w:pPr>
            <w:r w:rsidRPr="006B557E">
              <w:rPr>
                <w:b/>
                <w:bCs/>
              </w:rPr>
              <w:t>42,478</w:t>
            </w:r>
          </w:p>
        </w:tc>
      </w:tr>
      <w:tr w:rsidR="000756EB" w14:paraId="38CF2092" w14:textId="77777777" w:rsidTr="006B557E">
        <w:tblPrEx>
          <w:tblLook w:val="0020" w:firstRow="1" w:lastRow="0" w:firstColumn="0" w:lastColumn="0" w:noHBand="0" w:noVBand="0"/>
        </w:tblPrEx>
        <w:trPr>
          <w:cantSplit/>
        </w:trPr>
        <w:tc>
          <w:tcPr>
            <w:tcW w:w="4926" w:type="dxa"/>
          </w:tcPr>
          <w:p w14:paraId="2FC60E13" w14:textId="41A2E8AD" w:rsidR="000756EB" w:rsidRDefault="004A4D88" w:rsidP="006B557E">
            <w:pPr>
              <w:pStyle w:val="TableCopy"/>
            </w:pPr>
            <w:r>
              <w:t>Less</w:t>
            </w:r>
            <w:r w:rsidR="00A03629">
              <w:t xml:space="preserve"> </w:t>
            </w:r>
            <w:r>
              <w:t>future</w:t>
            </w:r>
            <w:r w:rsidR="00A03629">
              <w:t xml:space="preserve"> </w:t>
            </w:r>
            <w:r>
              <w:t>finance</w:t>
            </w:r>
            <w:r w:rsidR="00A03629">
              <w:t xml:space="preserve"> </w:t>
            </w:r>
            <w:r>
              <w:t>charges</w:t>
            </w:r>
          </w:p>
        </w:tc>
        <w:tc>
          <w:tcPr>
            <w:tcW w:w="1361" w:type="dxa"/>
          </w:tcPr>
          <w:p w14:paraId="5C16A8D2" w14:textId="77777777" w:rsidR="000756EB" w:rsidRDefault="004A4D88" w:rsidP="006B557E">
            <w:pPr>
              <w:pStyle w:val="TableCopy"/>
              <w:jc w:val="right"/>
            </w:pPr>
            <w:r>
              <w:t>(15,503)</w:t>
            </w:r>
          </w:p>
        </w:tc>
        <w:tc>
          <w:tcPr>
            <w:tcW w:w="1361" w:type="dxa"/>
          </w:tcPr>
          <w:p w14:paraId="6C5769C9" w14:textId="77777777" w:rsidR="000756EB" w:rsidRDefault="004A4D88" w:rsidP="006B557E">
            <w:pPr>
              <w:pStyle w:val="TableCopy"/>
              <w:jc w:val="right"/>
            </w:pPr>
            <w:r>
              <w:t>(17,977)</w:t>
            </w:r>
          </w:p>
        </w:tc>
        <w:tc>
          <w:tcPr>
            <w:tcW w:w="1360" w:type="dxa"/>
          </w:tcPr>
          <w:p w14:paraId="70823AA1" w14:textId="4490603F" w:rsidR="000756EB" w:rsidRDefault="004A4D88" w:rsidP="006B557E">
            <w:pPr>
              <w:pStyle w:val="TableCopy"/>
              <w:jc w:val="right"/>
            </w:pPr>
            <w:r>
              <w:t>–</w:t>
            </w:r>
          </w:p>
        </w:tc>
        <w:tc>
          <w:tcPr>
            <w:tcW w:w="1361" w:type="dxa"/>
          </w:tcPr>
          <w:p w14:paraId="4F102102" w14:textId="4C81BE5D" w:rsidR="000756EB" w:rsidRDefault="004A4D88" w:rsidP="006B557E">
            <w:pPr>
              <w:pStyle w:val="TableCopy"/>
              <w:jc w:val="right"/>
            </w:pPr>
            <w:r>
              <w:t>–</w:t>
            </w:r>
          </w:p>
        </w:tc>
      </w:tr>
      <w:tr w:rsidR="000756EB" w:rsidRPr="006B557E" w14:paraId="550E67A4" w14:textId="77777777" w:rsidTr="006B557E">
        <w:tblPrEx>
          <w:tblLook w:val="0020" w:firstRow="1" w:lastRow="0" w:firstColumn="0" w:lastColumn="0" w:noHBand="0" w:noVBand="0"/>
        </w:tblPrEx>
        <w:trPr>
          <w:cantSplit/>
        </w:trPr>
        <w:tc>
          <w:tcPr>
            <w:tcW w:w="4926" w:type="dxa"/>
          </w:tcPr>
          <w:p w14:paraId="7D214884" w14:textId="4C7B3003" w:rsidR="000756EB" w:rsidRPr="006B557E" w:rsidRDefault="004A4D88" w:rsidP="006B557E">
            <w:pPr>
              <w:pStyle w:val="TableCopy"/>
              <w:rPr>
                <w:b/>
                <w:bCs/>
              </w:rPr>
            </w:pPr>
            <w:r w:rsidRPr="006B557E">
              <w:rPr>
                <w:b/>
                <w:bCs/>
              </w:rPr>
              <w:t>Present</w:t>
            </w:r>
            <w:r w:rsidR="00A03629" w:rsidRPr="006B557E">
              <w:rPr>
                <w:b/>
                <w:bCs/>
              </w:rPr>
              <w:t xml:space="preserve"> </w:t>
            </w:r>
            <w:r w:rsidRPr="006B557E">
              <w:rPr>
                <w:b/>
                <w:bCs/>
              </w:rPr>
              <w:t>value</w:t>
            </w:r>
            <w:r w:rsidR="00A03629" w:rsidRPr="006B557E">
              <w:rPr>
                <w:b/>
                <w:bCs/>
              </w:rPr>
              <w:t xml:space="preserve"> </w:t>
            </w:r>
            <w:r w:rsidRPr="006B557E">
              <w:rPr>
                <w:b/>
                <w:bCs/>
              </w:rPr>
              <w:t>of</w:t>
            </w:r>
            <w:r w:rsidR="00A03629" w:rsidRPr="006B557E">
              <w:rPr>
                <w:b/>
                <w:bCs/>
              </w:rPr>
              <w:t xml:space="preserve"> </w:t>
            </w:r>
            <w:r w:rsidRPr="006B557E">
              <w:rPr>
                <w:b/>
                <w:bCs/>
              </w:rPr>
              <w:t>minimum</w:t>
            </w:r>
            <w:r w:rsidR="00A03629" w:rsidRPr="006B557E">
              <w:rPr>
                <w:b/>
                <w:bCs/>
              </w:rPr>
              <w:t xml:space="preserve"> </w:t>
            </w:r>
            <w:r w:rsidRPr="006B557E">
              <w:rPr>
                <w:b/>
                <w:bCs/>
              </w:rPr>
              <w:t>lease</w:t>
            </w:r>
            <w:r w:rsidR="00A03629" w:rsidRPr="006B557E">
              <w:rPr>
                <w:b/>
                <w:bCs/>
              </w:rPr>
              <w:t xml:space="preserve"> </w:t>
            </w:r>
            <w:r w:rsidRPr="006B557E">
              <w:rPr>
                <w:b/>
                <w:bCs/>
              </w:rPr>
              <w:t>payments</w:t>
            </w:r>
          </w:p>
        </w:tc>
        <w:tc>
          <w:tcPr>
            <w:tcW w:w="1361" w:type="dxa"/>
          </w:tcPr>
          <w:p w14:paraId="00E7FB19" w14:textId="2870D851" w:rsidR="000756EB" w:rsidRPr="006B557E" w:rsidRDefault="004A4D88" w:rsidP="006B557E">
            <w:pPr>
              <w:pStyle w:val="TableCopy"/>
              <w:jc w:val="right"/>
              <w:rPr>
                <w:b/>
                <w:bCs/>
              </w:rPr>
            </w:pPr>
            <w:r w:rsidRPr="006B557E">
              <w:rPr>
                <w:b/>
                <w:bCs/>
              </w:rPr>
              <w:t>40,595</w:t>
            </w:r>
          </w:p>
        </w:tc>
        <w:tc>
          <w:tcPr>
            <w:tcW w:w="1361" w:type="dxa"/>
          </w:tcPr>
          <w:p w14:paraId="5E98AD65" w14:textId="0C276FCC" w:rsidR="000756EB" w:rsidRPr="006B557E" w:rsidRDefault="004A4D88" w:rsidP="006B557E">
            <w:pPr>
              <w:pStyle w:val="TableCopy"/>
              <w:jc w:val="right"/>
              <w:rPr>
                <w:b/>
                <w:bCs/>
              </w:rPr>
            </w:pPr>
            <w:r w:rsidRPr="006B557E">
              <w:rPr>
                <w:b/>
                <w:bCs/>
              </w:rPr>
              <w:t>42,476</w:t>
            </w:r>
          </w:p>
        </w:tc>
        <w:tc>
          <w:tcPr>
            <w:tcW w:w="1360" w:type="dxa"/>
          </w:tcPr>
          <w:p w14:paraId="2240E831" w14:textId="5FF8ACD0" w:rsidR="000756EB" w:rsidRPr="006B557E" w:rsidRDefault="004A4D88" w:rsidP="006B557E">
            <w:pPr>
              <w:pStyle w:val="TableCopy"/>
              <w:jc w:val="right"/>
              <w:rPr>
                <w:b/>
                <w:bCs/>
              </w:rPr>
            </w:pPr>
            <w:r w:rsidRPr="006B557E">
              <w:rPr>
                <w:b/>
                <w:bCs/>
              </w:rPr>
              <w:t>40,595</w:t>
            </w:r>
          </w:p>
        </w:tc>
        <w:tc>
          <w:tcPr>
            <w:tcW w:w="1361" w:type="dxa"/>
          </w:tcPr>
          <w:p w14:paraId="2F185F57" w14:textId="620AA13F" w:rsidR="000756EB" w:rsidRPr="006B557E" w:rsidRDefault="004A4D88" w:rsidP="006B557E">
            <w:pPr>
              <w:pStyle w:val="TableCopy"/>
              <w:jc w:val="right"/>
              <w:rPr>
                <w:b/>
                <w:bCs/>
              </w:rPr>
            </w:pPr>
            <w:r w:rsidRPr="006B557E">
              <w:rPr>
                <w:b/>
                <w:bCs/>
              </w:rPr>
              <w:t>42,478</w:t>
            </w:r>
          </w:p>
        </w:tc>
      </w:tr>
    </w:tbl>
    <w:p w14:paraId="24AAF305" w14:textId="77777777" w:rsidR="000756EB" w:rsidRDefault="000756EB" w:rsidP="006B557E"/>
    <w:p w14:paraId="3C394F12" w14:textId="4F835BB9" w:rsidR="000756EB" w:rsidRPr="006B557E" w:rsidRDefault="004A4D88" w:rsidP="006B557E">
      <w:pPr>
        <w:pStyle w:val="Normalbeforebullets"/>
        <w:rPr>
          <w:b/>
          <w:bCs/>
        </w:rPr>
      </w:pPr>
      <w:r w:rsidRPr="006B557E">
        <w:rPr>
          <w:b/>
          <w:bCs/>
        </w:rPr>
        <w:t>Melbourne</w:t>
      </w:r>
      <w:r w:rsidR="00A03629" w:rsidRPr="006B557E">
        <w:rPr>
          <w:b/>
          <w:bCs/>
        </w:rPr>
        <w:t xml:space="preserve"> </w:t>
      </w:r>
      <w:r w:rsidRPr="006B557E">
        <w:rPr>
          <w:b/>
          <w:bCs/>
        </w:rPr>
        <w:t>Exhibition</w:t>
      </w:r>
      <w:r w:rsidR="00A03629" w:rsidRPr="006B557E">
        <w:rPr>
          <w:b/>
          <w:bCs/>
        </w:rPr>
        <w:t xml:space="preserve"> </w:t>
      </w:r>
      <w:r w:rsidRPr="006B557E">
        <w:rPr>
          <w:b/>
          <w:bCs/>
        </w:rPr>
        <w:t>and</w:t>
      </w:r>
      <w:r w:rsidR="00A03629" w:rsidRPr="006B557E">
        <w:rPr>
          <w:b/>
          <w:bCs/>
        </w:rPr>
        <w:t xml:space="preserve"> </w:t>
      </w:r>
      <w:r w:rsidRPr="006B557E">
        <w:rPr>
          <w:b/>
          <w:bCs/>
        </w:rPr>
        <w:t>Convention</w:t>
      </w:r>
      <w:r w:rsidR="00A03629" w:rsidRPr="006B557E">
        <w:rPr>
          <w:b/>
          <w:bCs/>
        </w:rPr>
        <w:t xml:space="preserve"> </w:t>
      </w:r>
      <w:r w:rsidRPr="006B557E">
        <w:rPr>
          <w:b/>
          <w:bCs/>
        </w:rPr>
        <w:t>Centre</w:t>
      </w:r>
      <w:r w:rsidR="00A03629" w:rsidRPr="006B557E">
        <w:rPr>
          <w:b/>
          <w:bCs/>
        </w:rPr>
        <w:t xml:space="preserve"> </w:t>
      </w:r>
      <w:r w:rsidRPr="006B557E">
        <w:rPr>
          <w:b/>
          <w:bCs/>
        </w:rPr>
        <w:t>(Development</w:t>
      </w:r>
      <w:r w:rsidR="00A03629" w:rsidRPr="006B557E">
        <w:rPr>
          <w:b/>
          <w:bCs/>
        </w:rPr>
        <w:t xml:space="preserve"> </w:t>
      </w:r>
      <w:r w:rsidRPr="006B557E">
        <w:rPr>
          <w:b/>
          <w:bCs/>
        </w:rPr>
        <w:t>Stage)</w:t>
      </w:r>
      <w:r w:rsidR="00A03629" w:rsidRPr="006B557E">
        <w:rPr>
          <w:b/>
          <w:bCs/>
        </w:rPr>
        <w:t xml:space="preserve"> </w:t>
      </w:r>
    </w:p>
    <w:p w14:paraId="7D9B45AB" w14:textId="6AC8265A" w:rsidR="000756EB" w:rsidRDefault="004A4D88" w:rsidP="006B557E">
      <w:r>
        <w:t>In</w:t>
      </w:r>
      <w:r w:rsidR="00A03629">
        <w:t xml:space="preserve"> </w:t>
      </w:r>
      <w:r>
        <w:t>May</w:t>
      </w:r>
      <w:r w:rsidR="00A03629">
        <w:t xml:space="preserve"> </w:t>
      </w:r>
      <w:r>
        <w:t>2006,</w:t>
      </w:r>
      <w:r w:rsidR="00A03629">
        <w:t xml:space="preserve"> </w:t>
      </w:r>
      <w:r>
        <w:t>the</w:t>
      </w:r>
      <w:r w:rsidR="00A03629">
        <w:t xml:space="preserve"> </w:t>
      </w:r>
      <w:r>
        <w:t>State</w:t>
      </w:r>
      <w:r w:rsidR="00A03629">
        <w:t xml:space="preserve"> </w:t>
      </w:r>
      <w:r>
        <w:t>of</w:t>
      </w:r>
      <w:r w:rsidR="00A03629">
        <w:t xml:space="preserve"> </w:t>
      </w:r>
      <w:r>
        <w:t>Victoria</w:t>
      </w:r>
      <w:r w:rsidR="00A03629">
        <w:t xml:space="preserve"> </w:t>
      </w:r>
      <w:r>
        <w:t>entered</w:t>
      </w:r>
      <w:r w:rsidR="00A03629">
        <w:t xml:space="preserve"> </w:t>
      </w:r>
      <w:r>
        <w:t>into</w:t>
      </w:r>
      <w:r w:rsidR="00A03629">
        <w:t xml:space="preserve"> </w:t>
      </w:r>
      <w:r>
        <w:t>an</w:t>
      </w:r>
      <w:r w:rsidR="00A03629">
        <w:t xml:space="preserve"> </w:t>
      </w:r>
      <w:r>
        <w:t>agreement</w:t>
      </w:r>
      <w:r w:rsidR="00A03629">
        <w:t xml:space="preserve"> </w:t>
      </w:r>
      <w:r>
        <w:t>under</w:t>
      </w:r>
      <w:r w:rsidR="00A03629">
        <w:t xml:space="preserve"> </w:t>
      </w:r>
      <w:r>
        <w:t>its</w:t>
      </w:r>
      <w:r w:rsidR="00A03629">
        <w:t xml:space="preserve"> </w:t>
      </w:r>
      <w:r>
        <w:t>Partnerships</w:t>
      </w:r>
      <w:r w:rsidR="00A03629">
        <w:t xml:space="preserve"> </w:t>
      </w:r>
      <w:r>
        <w:t>Victoria</w:t>
      </w:r>
      <w:r w:rsidR="00A03629">
        <w:t xml:space="preserve"> </w:t>
      </w:r>
      <w:r>
        <w:t>policy</w:t>
      </w:r>
      <w:r w:rsidR="00A03629">
        <w:t xml:space="preserve"> </w:t>
      </w:r>
      <w:r>
        <w:t>for</w:t>
      </w:r>
      <w:r w:rsidR="00A03629">
        <w:t xml:space="preserve"> </w:t>
      </w:r>
      <w:r>
        <w:t>the</w:t>
      </w:r>
      <w:r w:rsidR="00A03629">
        <w:t xml:space="preserve"> </w:t>
      </w:r>
      <w:r>
        <w:t>development</w:t>
      </w:r>
      <w:r w:rsidR="00A03629">
        <w:t xml:space="preserve"> </w:t>
      </w:r>
      <w:r>
        <w:t>and</w:t>
      </w:r>
      <w:r w:rsidR="00A03629">
        <w:t xml:space="preserve"> </w:t>
      </w:r>
      <w:r>
        <w:t>maintenance</w:t>
      </w:r>
      <w:r w:rsidR="00A03629">
        <w:t xml:space="preserve"> </w:t>
      </w:r>
      <w:r>
        <w:t>of</w:t>
      </w:r>
      <w:r w:rsidR="00A03629">
        <w:t xml:space="preserve"> </w:t>
      </w:r>
      <w:r>
        <w:t>the</w:t>
      </w:r>
      <w:r w:rsidR="00A03629">
        <w:t xml:space="preserve"> </w:t>
      </w:r>
      <w:r>
        <w:t>Melbourne</w:t>
      </w:r>
      <w:r w:rsidR="00A03629">
        <w:t xml:space="preserve"> </w:t>
      </w:r>
      <w:r>
        <w:t>Convention</w:t>
      </w:r>
      <w:r w:rsidR="00A03629">
        <w:t xml:space="preserve"> </w:t>
      </w:r>
      <w:r>
        <w:t>Centre</w:t>
      </w:r>
      <w:r w:rsidR="00A03629">
        <w:t xml:space="preserve"> </w:t>
      </w:r>
      <w:r>
        <w:t>(MCC)</w:t>
      </w:r>
      <w:r w:rsidR="00A03629">
        <w:t xml:space="preserve"> </w:t>
      </w:r>
      <w:r>
        <w:t>facility</w:t>
      </w:r>
      <w:r w:rsidR="00A03629">
        <w:t xml:space="preserve"> </w:t>
      </w:r>
      <w:r>
        <w:t>by</w:t>
      </w:r>
      <w:r w:rsidR="00A03629">
        <w:t xml:space="preserve"> </w:t>
      </w:r>
      <w:r>
        <w:t>a</w:t>
      </w:r>
      <w:r w:rsidR="00A03629">
        <w:t xml:space="preserve"> </w:t>
      </w:r>
      <w:r>
        <w:t>private</w:t>
      </w:r>
      <w:r w:rsidR="00A03629">
        <w:t xml:space="preserve"> </w:t>
      </w:r>
      <w:r>
        <w:t>sector</w:t>
      </w:r>
      <w:r w:rsidR="00A03629">
        <w:t xml:space="preserve"> </w:t>
      </w:r>
      <w:r>
        <w:t>consortium</w:t>
      </w:r>
      <w:r w:rsidR="00A03629">
        <w:t xml:space="preserve"> </w:t>
      </w:r>
      <w:r>
        <w:t>(the</w:t>
      </w:r>
      <w:r w:rsidR="00A03629">
        <w:t xml:space="preserve"> </w:t>
      </w:r>
      <w:r>
        <w:t>lessor).</w:t>
      </w:r>
    </w:p>
    <w:p w14:paraId="48CCB30C" w14:textId="0A03882B" w:rsidR="000756EB" w:rsidRDefault="004A4D88" w:rsidP="006B557E">
      <w:r>
        <w:t>The</w:t>
      </w:r>
      <w:r w:rsidR="00A03629">
        <w:t xml:space="preserve"> </w:t>
      </w:r>
      <w:r>
        <w:t>lessor</w:t>
      </w:r>
      <w:r w:rsidR="00A03629">
        <w:t xml:space="preserve"> </w:t>
      </w:r>
      <w:r>
        <w:t>was</w:t>
      </w:r>
      <w:r w:rsidR="00A03629">
        <w:t xml:space="preserve"> </w:t>
      </w:r>
      <w:r>
        <w:t>responsible</w:t>
      </w:r>
      <w:r w:rsidR="00A03629">
        <w:t xml:space="preserve"> </w:t>
      </w:r>
      <w:r>
        <w:t>for</w:t>
      </w:r>
      <w:r w:rsidR="00A03629">
        <w:t xml:space="preserve"> </w:t>
      </w:r>
      <w:r>
        <w:t>construction</w:t>
      </w:r>
      <w:r w:rsidR="00A03629">
        <w:t xml:space="preserve"> </w:t>
      </w:r>
      <w:r>
        <w:t>of</w:t>
      </w:r>
      <w:r w:rsidR="00A03629">
        <w:t xml:space="preserve"> </w:t>
      </w:r>
      <w:r>
        <w:t>the</w:t>
      </w:r>
      <w:r w:rsidR="00A03629">
        <w:t xml:space="preserve"> </w:t>
      </w:r>
      <w:r>
        <w:t>new</w:t>
      </w:r>
      <w:r w:rsidR="00A03629">
        <w:t xml:space="preserve"> </w:t>
      </w:r>
      <w:r>
        <w:t>facility</w:t>
      </w:r>
      <w:r w:rsidR="00A03629">
        <w:t xml:space="preserve"> </w:t>
      </w:r>
      <w:r>
        <w:t>convention</w:t>
      </w:r>
      <w:r w:rsidR="00A03629">
        <w:t xml:space="preserve"> </w:t>
      </w:r>
      <w:r>
        <w:t>centre</w:t>
      </w:r>
      <w:r w:rsidR="00A03629">
        <w:t xml:space="preserve"> </w:t>
      </w:r>
      <w:r>
        <w:t>(Stage</w:t>
      </w:r>
      <w:r w:rsidR="00A03629">
        <w:t xml:space="preserve"> </w:t>
      </w:r>
      <w:r>
        <w:t>1),</w:t>
      </w:r>
      <w:r w:rsidR="00A03629">
        <w:t xml:space="preserve"> </w:t>
      </w:r>
      <w:r>
        <w:t>which</w:t>
      </w:r>
      <w:r w:rsidR="00A03629">
        <w:t xml:space="preserve"> </w:t>
      </w:r>
      <w:r>
        <w:t>commenced</w:t>
      </w:r>
      <w:r w:rsidR="00A03629">
        <w:t xml:space="preserve"> </w:t>
      </w:r>
      <w:r>
        <w:t>in</w:t>
      </w:r>
      <w:r w:rsidR="00A03629">
        <w:t xml:space="preserve"> </w:t>
      </w:r>
      <w:r>
        <w:t>June</w:t>
      </w:r>
      <w:r w:rsidR="00A03629">
        <w:t xml:space="preserve"> </w:t>
      </w:r>
      <w:r>
        <w:t>2006</w:t>
      </w:r>
      <w:r w:rsidR="00A03629">
        <w:t xml:space="preserve"> </w:t>
      </w:r>
      <w:r>
        <w:t>and</w:t>
      </w:r>
      <w:r w:rsidR="00A03629">
        <w:t xml:space="preserve"> </w:t>
      </w:r>
      <w:r>
        <w:t>commercial</w:t>
      </w:r>
      <w:r w:rsidR="00A03629">
        <w:t xml:space="preserve"> </w:t>
      </w:r>
      <w:r>
        <w:t>acceptance</w:t>
      </w:r>
      <w:r w:rsidR="00A03629">
        <w:t xml:space="preserve"> </w:t>
      </w:r>
      <w:r>
        <w:t>was</w:t>
      </w:r>
      <w:r w:rsidR="00A03629">
        <w:t xml:space="preserve"> </w:t>
      </w:r>
      <w:r>
        <w:t>achieved</w:t>
      </w:r>
      <w:r w:rsidR="00A03629">
        <w:t xml:space="preserve"> </w:t>
      </w:r>
      <w:r>
        <w:t>on</w:t>
      </w:r>
      <w:r w:rsidR="00A03629">
        <w:t xml:space="preserve"> </w:t>
      </w:r>
      <w:r>
        <w:t>31</w:t>
      </w:r>
      <w:r w:rsidR="00A03629">
        <w:t xml:space="preserve"> </w:t>
      </w:r>
      <w:r>
        <w:t>March</w:t>
      </w:r>
      <w:r w:rsidR="00A03629">
        <w:t xml:space="preserve"> </w:t>
      </w:r>
      <w:r>
        <w:t>2009.</w:t>
      </w:r>
      <w:r w:rsidR="00A03629">
        <w:t xml:space="preserve"> </w:t>
      </w:r>
      <w:r>
        <w:t>Upon</w:t>
      </w:r>
      <w:r w:rsidR="00A03629">
        <w:t xml:space="preserve"> </w:t>
      </w:r>
      <w:r>
        <w:t>its</w:t>
      </w:r>
      <w:r w:rsidR="00A03629">
        <w:t xml:space="preserve"> </w:t>
      </w:r>
      <w:r>
        <w:t>completion,</w:t>
      </w:r>
      <w:r w:rsidR="00A03629">
        <w:t xml:space="preserve"> </w:t>
      </w:r>
      <w:r>
        <w:t>DJSIR</w:t>
      </w:r>
      <w:r w:rsidR="00A03629">
        <w:t xml:space="preserve"> </w:t>
      </w:r>
      <w:r>
        <w:t>on</w:t>
      </w:r>
      <w:r w:rsidR="00A03629">
        <w:t xml:space="preserve"> </w:t>
      </w:r>
      <w:r>
        <w:t>behalf</w:t>
      </w:r>
      <w:r w:rsidR="00A03629">
        <w:t xml:space="preserve"> </w:t>
      </w:r>
      <w:r>
        <w:t>of</w:t>
      </w:r>
      <w:r w:rsidR="00A03629">
        <w:t xml:space="preserve"> </w:t>
      </w:r>
      <w:r>
        <w:t>the</w:t>
      </w:r>
      <w:r w:rsidR="00A03629">
        <w:t xml:space="preserve"> </w:t>
      </w:r>
      <w:r>
        <w:t>State</w:t>
      </w:r>
      <w:r w:rsidR="00A03629">
        <w:t xml:space="preserve"> </w:t>
      </w:r>
      <w:r>
        <w:t>of</w:t>
      </w:r>
      <w:r w:rsidR="00A03629">
        <w:t xml:space="preserve"> </w:t>
      </w:r>
      <w:r>
        <w:t>Victoria</w:t>
      </w:r>
      <w:r w:rsidR="00A03629">
        <w:t xml:space="preserve"> </w:t>
      </w:r>
      <w:r>
        <w:t>was</w:t>
      </w:r>
      <w:r w:rsidR="00A03629">
        <w:t xml:space="preserve"> </w:t>
      </w:r>
      <w:r>
        <w:t>granted</w:t>
      </w:r>
      <w:r w:rsidR="00A03629">
        <w:t xml:space="preserve"> </w:t>
      </w:r>
      <w:r>
        <w:t>a</w:t>
      </w:r>
      <w:r w:rsidR="00A03629">
        <w:t xml:space="preserve"> </w:t>
      </w:r>
      <w:proofErr w:type="gramStart"/>
      <w:r>
        <w:t>25</w:t>
      </w:r>
      <w:r w:rsidR="00A03629">
        <w:t xml:space="preserve"> </w:t>
      </w:r>
      <w:r>
        <w:t>year</w:t>
      </w:r>
      <w:proofErr w:type="gramEnd"/>
      <w:r w:rsidR="00A03629">
        <w:t xml:space="preserve"> </w:t>
      </w:r>
      <w:r>
        <w:t>finance</w:t>
      </w:r>
      <w:r w:rsidR="00A03629">
        <w:t xml:space="preserve"> </w:t>
      </w:r>
      <w:r>
        <w:t>lease</w:t>
      </w:r>
      <w:r w:rsidR="00A03629">
        <w:t xml:space="preserve"> </w:t>
      </w:r>
      <w:r>
        <w:t>by</w:t>
      </w:r>
      <w:r w:rsidR="00A03629">
        <w:t xml:space="preserve"> </w:t>
      </w:r>
      <w:r>
        <w:t>the</w:t>
      </w:r>
      <w:r w:rsidR="00A03629">
        <w:t xml:space="preserve"> </w:t>
      </w:r>
      <w:r>
        <w:t>lessor,</w:t>
      </w:r>
      <w:r w:rsidR="00A03629">
        <w:t xml:space="preserve"> </w:t>
      </w:r>
      <w:r>
        <w:t>and</w:t>
      </w:r>
      <w:r w:rsidR="00A03629">
        <w:t xml:space="preserve"> </w:t>
      </w:r>
      <w:r>
        <w:t>entered</w:t>
      </w:r>
      <w:r w:rsidR="00A03629">
        <w:t xml:space="preserve"> </w:t>
      </w:r>
      <w:r>
        <w:t>into</w:t>
      </w:r>
      <w:r w:rsidR="00A03629">
        <w:t xml:space="preserve"> </w:t>
      </w:r>
      <w:r>
        <w:t>an</w:t>
      </w:r>
      <w:r w:rsidR="00A03629">
        <w:t xml:space="preserve"> </w:t>
      </w:r>
      <w:r>
        <w:t>agreement</w:t>
      </w:r>
      <w:r w:rsidR="00A03629">
        <w:t xml:space="preserve"> </w:t>
      </w:r>
      <w:r>
        <w:t>under</w:t>
      </w:r>
      <w:r w:rsidR="00A03629">
        <w:t xml:space="preserve"> </w:t>
      </w:r>
      <w:r>
        <w:t>which</w:t>
      </w:r>
      <w:r w:rsidR="00A03629">
        <w:t xml:space="preserve"> </w:t>
      </w:r>
      <w:r>
        <w:t>the</w:t>
      </w:r>
      <w:r w:rsidR="00A03629">
        <w:t xml:space="preserve"> </w:t>
      </w:r>
      <w:r>
        <w:t>new</w:t>
      </w:r>
      <w:r w:rsidR="00A03629">
        <w:t xml:space="preserve"> </w:t>
      </w:r>
      <w:r>
        <w:t>facility</w:t>
      </w:r>
      <w:r w:rsidR="00A03629">
        <w:t xml:space="preserve"> </w:t>
      </w:r>
      <w:r>
        <w:t>will</w:t>
      </w:r>
      <w:r w:rsidR="00A03629">
        <w:t xml:space="preserve"> </w:t>
      </w:r>
      <w:r>
        <w:t>be</w:t>
      </w:r>
      <w:r w:rsidR="00A03629">
        <w:t xml:space="preserve"> </w:t>
      </w:r>
      <w:r>
        <w:t>operated</w:t>
      </w:r>
      <w:r w:rsidR="00A03629">
        <w:t xml:space="preserve"> </w:t>
      </w:r>
      <w:r>
        <w:t>by</w:t>
      </w:r>
      <w:r w:rsidR="00A03629">
        <w:t xml:space="preserve"> </w:t>
      </w:r>
      <w:r>
        <w:t>the</w:t>
      </w:r>
      <w:r w:rsidR="00A03629">
        <w:t xml:space="preserve"> </w:t>
      </w:r>
      <w:r>
        <w:t>Melbourne</w:t>
      </w:r>
      <w:r w:rsidR="00A03629">
        <w:t xml:space="preserve"> </w:t>
      </w:r>
      <w:r>
        <w:t>Convention</w:t>
      </w:r>
      <w:r w:rsidR="00A03629">
        <w:t xml:space="preserve"> </w:t>
      </w:r>
      <w:r>
        <w:t>and</w:t>
      </w:r>
      <w:r w:rsidR="00A03629">
        <w:t xml:space="preserve"> </w:t>
      </w:r>
      <w:r>
        <w:t>Exhibition</w:t>
      </w:r>
      <w:r w:rsidR="00A03629">
        <w:t xml:space="preserve"> </w:t>
      </w:r>
      <w:r>
        <w:t>Trust</w:t>
      </w:r>
      <w:r w:rsidR="00A03629">
        <w:t xml:space="preserve"> </w:t>
      </w:r>
      <w:r>
        <w:t>(MCET).</w:t>
      </w:r>
    </w:p>
    <w:p w14:paraId="6FFDABFF" w14:textId="5FB0C6DD" w:rsidR="000756EB" w:rsidRPr="006B557E" w:rsidRDefault="004A4D88" w:rsidP="006B557E">
      <w:pPr>
        <w:rPr>
          <w:spacing w:val="-2"/>
        </w:rPr>
      </w:pPr>
      <w:r w:rsidRPr="006B557E">
        <w:rPr>
          <w:spacing w:val="-2"/>
        </w:rPr>
        <w:t>It</w:t>
      </w:r>
      <w:r w:rsidR="00A03629" w:rsidRPr="006B557E">
        <w:rPr>
          <w:spacing w:val="-2"/>
        </w:rPr>
        <w:t xml:space="preserve"> </w:t>
      </w:r>
      <w:r w:rsidRPr="006B557E">
        <w:rPr>
          <w:spacing w:val="-2"/>
        </w:rPr>
        <w:t>is</w:t>
      </w:r>
      <w:r w:rsidR="00A03629" w:rsidRPr="006B557E">
        <w:rPr>
          <w:spacing w:val="-2"/>
        </w:rPr>
        <w:t xml:space="preserve"> </w:t>
      </w:r>
      <w:r w:rsidRPr="006B557E">
        <w:rPr>
          <w:spacing w:val="-2"/>
        </w:rPr>
        <w:t>estimated</w:t>
      </w:r>
      <w:r w:rsidR="00A03629" w:rsidRPr="006B557E">
        <w:rPr>
          <w:spacing w:val="-2"/>
        </w:rPr>
        <w:t xml:space="preserve"> </w:t>
      </w:r>
      <w:r w:rsidRPr="006B557E">
        <w:rPr>
          <w:spacing w:val="-2"/>
        </w:rPr>
        <w:t>as</w:t>
      </w:r>
      <w:r w:rsidR="00A03629" w:rsidRPr="006B557E">
        <w:rPr>
          <w:spacing w:val="-2"/>
        </w:rPr>
        <w:t xml:space="preserve"> </w:t>
      </w:r>
      <w:proofErr w:type="gramStart"/>
      <w:r w:rsidRPr="006B557E">
        <w:rPr>
          <w:spacing w:val="-2"/>
        </w:rPr>
        <w:t>at</w:t>
      </w:r>
      <w:proofErr w:type="gramEnd"/>
      <w:r w:rsidR="00A03629" w:rsidRPr="006B557E">
        <w:rPr>
          <w:spacing w:val="-2"/>
        </w:rPr>
        <w:t xml:space="preserve"> </w:t>
      </w:r>
      <w:r w:rsidRPr="006B557E">
        <w:rPr>
          <w:spacing w:val="-2"/>
        </w:rPr>
        <w:t>30</w:t>
      </w:r>
      <w:r w:rsidR="00A03629" w:rsidRPr="006B557E">
        <w:rPr>
          <w:spacing w:val="-2"/>
        </w:rPr>
        <w:t xml:space="preserve"> </w:t>
      </w:r>
      <w:r w:rsidRPr="006B557E">
        <w:rPr>
          <w:spacing w:val="-2"/>
        </w:rPr>
        <w:t>June</w:t>
      </w:r>
      <w:r w:rsidR="00A03629" w:rsidRPr="006B557E">
        <w:rPr>
          <w:spacing w:val="-2"/>
        </w:rPr>
        <w:t xml:space="preserve"> </w:t>
      </w:r>
      <w:r w:rsidRPr="006B557E">
        <w:rPr>
          <w:spacing w:val="-2"/>
        </w:rPr>
        <w:t>2023</w:t>
      </w:r>
      <w:r w:rsidR="00A03629" w:rsidRPr="006B557E">
        <w:rPr>
          <w:spacing w:val="-2"/>
        </w:rPr>
        <w:t xml:space="preserve"> </w:t>
      </w:r>
      <w:r w:rsidRPr="006B557E">
        <w:rPr>
          <w:spacing w:val="-2"/>
        </w:rPr>
        <w:t>that</w:t>
      </w:r>
      <w:r w:rsidR="00A03629" w:rsidRPr="006B557E">
        <w:rPr>
          <w:spacing w:val="-2"/>
        </w:rPr>
        <w:t xml:space="preserve"> </w:t>
      </w:r>
      <w:r w:rsidRPr="006B557E">
        <w:rPr>
          <w:spacing w:val="-2"/>
        </w:rPr>
        <w:t>future</w:t>
      </w:r>
      <w:r w:rsidR="00A03629" w:rsidRPr="006B557E">
        <w:rPr>
          <w:spacing w:val="-2"/>
        </w:rPr>
        <w:t xml:space="preserve"> </w:t>
      </w:r>
      <w:r w:rsidRPr="006B557E">
        <w:rPr>
          <w:spacing w:val="-2"/>
        </w:rPr>
        <w:t>lease</w:t>
      </w:r>
      <w:r w:rsidR="00A03629" w:rsidRPr="006B557E">
        <w:rPr>
          <w:spacing w:val="-2"/>
        </w:rPr>
        <w:t xml:space="preserve"> </w:t>
      </w:r>
      <w:r w:rsidRPr="006B557E">
        <w:rPr>
          <w:spacing w:val="-2"/>
        </w:rPr>
        <w:t>payments</w:t>
      </w:r>
      <w:r w:rsidR="00A03629" w:rsidRPr="006B557E">
        <w:rPr>
          <w:spacing w:val="-2"/>
        </w:rPr>
        <w:t xml:space="preserve"> </w:t>
      </w:r>
      <w:r w:rsidRPr="006B557E">
        <w:rPr>
          <w:spacing w:val="-2"/>
        </w:rPr>
        <w:t>relating</w:t>
      </w:r>
      <w:r w:rsidR="00A03629" w:rsidRPr="006B557E">
        <w:rPr>
          <w:spacing w:val="-2"/>
        </w:rPr>
        <w:t xml:space="preserve"> </w:t>
      </w:r>
      <w:r w:rsidRPr="006B557E">
        <w:rPr>
          <w:spacing w:val="-2"/>
        </w:rPr>
        <w:t>to</w:t>
      </w:r>
      <w:r w:rsidR="00A03629" w:rsidRPr="006B557E">
        <w:rPr>
          <w:spacing w:val="-2"/>
        </w:rPr>
        <w:t xml:space="preserve"> </w:t>
      </w:r>
      <w:r w:rsidRPr="006B557E">
        <w:rPr>
          <w:spacing w:val="-2"/>
        </w:rPr>
        <w:t>the</w:t>
      </w:r>
      <w:r w:rsidR="00A03629" w:rsidRPr="006B557E">
        <w:rPr>
          <w:spacing w:val="-2"/>
        </w:rPr>
        <w:t xml:space="preserve"> </w:t>
      </w:r>
      <w:r w:rsidRPr="006B557E">
        <w:rPr>
          <w:spacing w:val="-2"/>
        </w:rPr>
        <w:t>facility</w:t>
      </w:r>
      <w:r w:rsidR="00A03629" w:rsidRPr="006B557E">
        <w:rPr>
          <w:spacing w:val="-2"/>
        </w:rPr>
        <w:t xml:space="preserve"> </w:t>
      </w:r>
      <w:r w:rsidRPr="006B557E">
        <w:rPr>
          <w:spacing w:val="-2"/>
        </w:rPr>
        <w:t>constructed</w:t>
      </w:r>
      <w:r w:rsidR="00A03629" w:rsidRPr="006B557E">
        <w:rPr>
          <w:spacing w:val="-2"/>
        </w:rPr>
        <w:t xml:space="preserve"> </w:t>
      </w:r>
      <w:r w:rsidRPr="006B557E">
        <w:rPr>
          <w:spacing w:val="-2"/>
        </w:rPr>
        <w:t>in</w:t>
      </w:r>
      <w:r w:rsidR="00A03629" w:rsidRPr="006B557E">
        <w:rPr>
          <w:spacing w:val="-2"/>
        </w:rPr>
        <w:t xml:space="preserve"> </w:t>
      </w:r>
      <w:r w:rsidRPr="006B557E">
        <w:rPr>
          <w:spacing w:val="-2"/>
        </w:rPr>
        <w:t>2009</w:t>
      </w:r>
      <w:r w:rsidR="00A03629" w:rsidRPr="006B557E">
        <w:rPr>
          <w:spacing w:val="-2"/>
        </w:rPr>
        <w:t xml:space="preserve"> </w:t>
      </w:r>
      <w:r w:rsidRPr="006B557E">
        <w:rPr>
          <w:spacing w:val="-2"/>
        </w:rPr>
        <w:t>amount</w:t>
      </w:r>
      <w:r w:rsidR="00A03629" w:rsidRPr="006B557E">
        <w:rPr>
          <w:spacing w:val="-2"/>
        </w:rPr>
        <w:t xml:space="preserve"> </w:t>
      </w:r>
      <w:r w:rsidRPr="006B557E">
        <w:rPr>
          <w:spacing w:val="-2"/>
        </w:rPr>
        <w:t>to</w:t>
      </w:r>
      <w:r w:rsidR="00A03629" w:rsidRPr="006B557E">
        <w:rPr>
          <w:spacing w:val="-2"/>
        </w:rPr>
        <w:t xml:space="preserve"> </w:t>
      </w:r>
      <w:r w:rsidRPr="006B557E">
        <w:rPr>
          <w:spacing w:val="-2"/>
        </w:rPr>
        <w:t>$396</w:t>
      </w:r>
      <w:r w:rsidR="00A03629" w:rsidRPr="006B557E">
        <w:rPr>
          <w:spacing w:val="-2"/>
        </w:rPr>
        <w:t xml:space="preserve"> </w:t>
      </w:r>
      <w:r w:rsidRPr="006B557E">
        <w:rPr>
          <w:spacing w:val="-2"/>
        </w:rPr>
        <w:t>million</w:t>
      </w:r>
      <w:r w:rsidR="00A03629" w:rsidRPr="006B557E">
        <w:rPr>
          <w:spacing w:val="-2"/>
        </w:rPr>
        <w:t xml:space="preserve"> </w:t>
      </w:r>
      <w:r w:rsidRPr="006B557E">
        <w:rPr>
          <w:spacing w:val="-2"/>
        </w:rPr>
        <w:t>in</w:t>
      </w:r>
      <w:r w:rsidR="00A03629" w:rsidRPr="006B557E">
        <w:rPr>
          <w:spacing w:val="-2"/>
        </w:rPr>
        <w:t xml:space="preserve"> </w:t>
      </w:r>
      <w:r w:rsidRPr="006B557E">
        <w:rPr>
          <w:spacing w:val="-2"/>
        </w:rPr>
        <w:t>net</w:t>
      </w:r>
      <w:r w:rsidR="00A03629" w:rsidRPr="006B557E">
        <w:rPr>
          <w:spacing w:val="-2"/>
        </w:rPr>
        <w:t xml:space="preserve"> </w:t>
      </w:r>
      <w:r w:rsidRPr="006B557E">
        <w:rPr>
          <w:spacing w:val="-2"/>
        </w:rPr>
        <w:t>present</w:t>
      </w:r>
      <w:r w:rsidR="00A03629" w:rsidRPr="006B557E">
        <w:rPr>
          <w:spacing w:val="-2"/>
        </w:rPr>
        <w:t xml:space="preserve"> </w:t>
      </w:r>
      <w:r w:rsidRPr="006B557E">
        <w:rPr>
          <w:spacing w:val="-2"/>
        </w:rPr>
        <w:t>value</w:t>
      </w:r>
      <w:r w:rsidR="00A03629" w:rsidRPr="006B557E">
        <w:rPr>
          <w:spacing w:val="-2"/>
        </w:rPr>
        <w:t xml:space="preserve"> </w:t>
      </w:r>
      <w:r w:rsidRPr="006B557E">
        <w:rPr>
          <w:spacing w:val="-2"/>
        </w:rPr>
        <w:t>terms,</w:t>
      </w:r>
      <w:r w:rsidR="00A03629" w:rsidRPr="006B557E">
        <w:rPr>
          <w:spacing w:val="-2"/>
        </w:rPr>
        <w:t xml:space="preserve"> </w:t>
      </w:r>
      <w:r w:rsidRPr="006B557E">
        <w:rPr>
          <w:spacing w:val="-2"/>
        </w:rPr>
        <w:t>or</w:t>
      </w:r>
      <w:r w:rsidR="00A03629" w:rsidRPr="006B557E">
        <w:rPr>
          <w:spacing w:val="-2"/>
        </w:rPr>
        <w:t xml:space="preserve"> </w:t>
      </w:r>
      <w:r w:rsidRPr="006B557E">
        <w:rPr>
          <w:spacing w:val="-2"/>
        </w:rPr>
        <w:t>$637</w:t>
      </w:r>
      <w:r w:rsidR="00A03629" w:rsidRPr="006B557E">
        <w:rPr>
          <w:spacing w:val="-2"/>
        </w:rPr>
        <w:t xml:space="preserve"> </w:t>
      </w:r>
      <w:r w:rsidRPr="006B557E">
        <w:rPr>
          <w:spacing w:val="-2"/>
        </w:rPr>
        <w:t>million</w:t>
      </w:r>
      <w:r w:rsidR="00A03629" w:rsidRPr="006B557E">
        <w:rPr>
          <w:spacing w:val="-2"/>
        </w:rPr>
        <w:t xml:space="preserve"> </w:t>
      </w:r>
      <w:r w:rsidRPr="006B557E">
        <w:rPr>
          <w:spacing w:val="-2"/>
        </w:rPr>
        <w:t>in</w:t>
      </w:r>
      <w:r w:rsidR="00A03629" w:rsidRPr="006B557E">
        <w:rPr>
          <w:spacing w:val="-2"/>
        </w:rPr>
        <w:t xml:space="preserve"> </w:t>
      </w:r>
      <w:r w:rsidRPr="006B557E">
        <w:rPr>
          <w:spacing w:val="-2"/>
        </w:rPr>
        <w:t>nominal</w:t>
      </w:r>
      <w:r w:rsidR="00A03629" w:rsidRPr="006B557E">
        <w:rPr>
          <w:spacing w:val="-2"/>
        </w:rPr>
        <w:t xml:space="preserve"> </w:t>
      </w:r>
      <w:r w:rsidRPr="006B557E">
        <w:rPr>
          <w:spacing w:val="-2"/>
        </w:rPr>
        <w:t>dollars,</w:t>
      </w:r>
      <w:r w:rsidR="00A03629" w:rsidRPr="006B557E">
        <w:rPr>
          <w:spacing w:val="-2"/>
        </w:rPr>
        <w:t xml:space="preserve"> </w:t>
      </w:r>
      <w:r w:rsidRPr="006B557E">
        <w:rPr>
          <w:spacing w:val="-2"/>
        </w:rPr>
        <w:t>to</w:t>
      </w:r>
      <w:r w:rsidR="00A03629" w:rsidRPr="006B557E">
        <w:rPr>
          <w:spacing w:val="-2"/>
        </w:rPr>
        <w:t xml:space="preserve"> </w:t>
      </w:r>
      <w:r w:rsidRPr="006B557E">
        <w:rPr>
          <w:spacing w:val="-2"/>
        </w:rPr>
        <w:t>be</w:t>
      </w:r>
      <w:r w:rsidR="00A03629" w:rsidRPr="006B557E">
        <w:rPr>
          <w:spacing w:val="-2"/>
        </w:rPr>
        <w:t xml:space="preserve"> </w:t>
      </w:r>
      <w:r w:rsidRPr="006B557E">
        <w:rPr>
          <w:spacing w:val="-2"/>
        </w:rPr>
        <w:t>paid</w:t>
      </w:r>
      <w:r w:rsidR="00A03629" w:rsidRPr="006B557E">
        <w:rPr>
          <w:spacing w:val="-2"/>
        </w:rPr>
        <w:t xml:space="preserve"> </w:t>
      </w:r>
      <w:r w:rsidRPr="006B557E">
        <w:rPr>
          <w:spacing w:val="-2"/>
        </w:rPr>
        <w:t>to</w:t>
      </w:r>
      <w:r w:rsidR="00A03629" w:rsidRPr="006B557E">
        <w:rPr>
          <w:spacing w:val="-2"/>
        </w:rPr>
        <w:t xml:space="preserve"> </w:t>
      </w:r>
      <w:r w:rsidRPr="006B557E">
        <w:rPr>
          <w:spacing w:val="-2"/>
        </w:rPr>
        <w:t>the</w:t>
      </w:r>
      <w:r w:rsidR="00A03629" w:rsidRPr="006B557E">
        <w:rPr>
          <w:spacing w:val="-2"/>
        </w:rPr>
        <w:t xml:space="preserve"> </w:t>
      </w:r>
      <w:r w:rsidRPr="006B557E">
        <w:rPr>
          <w:spacing w:val="-2"/>
        </w:rPr>
        <w:t>lessor</w:t>
      </w:r>
      <w:r w:rsidR="00A03629" w:rsidRPr="006B557E">
        <w:rPr>
          <w:spacing w:val="-2"/>
        </w:rPr>
        <w:t xml:space="preserve"> </w:t>
      </w:r>
      <w:r w:rsidRPr="006B557E">
        <w:rPr>
          <w:spacing w:val="-2"/>
        </w:rPr>
        <w:t>over</w:t>
      </w:r>
      <w:r w:rsidR="00A03629" w:rsidRPr="006B557E">
        <w:rPr>
          <w:spacing w:val="-2"/>
        </w:rPr>
        <w:t xml:space="preserve"> </w:t>
      </w:r>
      <w:r w:rsidRPr="006B557E">
        <w:rPr>
          <w:spacing w:val="-2"/>
        </w:rPr>
        <w:t>a</w:t>
      </w:r>
      <w:r w:rsidR="00A03629" w:rsidRPr="006B557E">
        <w:rPr>
          <w:spacing w:val="-2"/>
        </w:rPr>
        <w:t xml:space="preserve"> </w:t>
      </w:r>
      <w:r w:rsidRPr="006B557E">
        <w:rPr>
          <w:spacing w:val="-2"/>
        </w:rPr>
        <w:t>25</w:t>
      </w:r>
      <w:r w:rsidR="00A03629" w:rsidRPr="006B557E">
        <w:rPr>
          <w:spacing w:val="-2"/>
        </w:rPr>
        <w:t xml:space="preserve"> </w:t>
      </w:r>
      <w:r w:rsidRPr="006B557E">
        <w:rPr>
          <w:spacing w:val="-2"/>
        </w:rPr>
        <w:t>year</w:t>
      </w:r>
      <w:r w:rsidR="00A03629" w:rsidRPr="006B557E">
        <w:rPr>
          <w:spacing w:val="-2"/>
        </w:rPr>
        <w:t xml:space="preserve"> </w:t>
      </w:r>
      <w:r w:rsidRPr="006B557E">
        <w:rPr>
          <w:spacing w:val="-2"/>
        </w:rPr>
        <w:t>period</w:t>
      </w:r>
      <w:r w:rsidR="00A03629" w:rsidRPr="006B557E">
        <w:rPr>
          <w:spacing w:val="-2"/>
        </w:rPr>
        <w:t xml:space="preserve"> </w:t>
      </w:r>
      <w:r w:rsidRPr="006B557E">
        <w:rPr>
          <w:spacing w:val="-2"/>
        </w:rPr>
        <w:t>which</w:t>
      </w:r>
      <w:r w:rsidR="00A03629" w:rsidRPr="006B557E">
        <w:rPr>
          <w:spacing w:val="-2"/>
        </w:rPr>
        <w:t xml:space="preserve"> </w:t>
      </w:r>
      <w:r w:rsidRPr="006B557E">
        <w:rPr>
          <w:spacing w:val="-2"/>
        </w:rPr>
        <w:t>commenced</w:t>
      </w:r>
      <w:r w:rsidR="00A03629" w:rsidRPr="006B557E">
        <w:rPr>
          <w:spacing w:val="-2"/>
        </w:rPr>
        <w:t xml:space="preserve"> </w:t>
      </w:r>
      <w:r w:rsidRPr="006B557E">
        <w:rPr>
          <w:spacing w:val="-2"/>
        </w:rPr>
        <w:t>1</w:t>
      </w:r>
      <w:r w:rsidR="00A03629" w:rsidRPr="006B557E">
        <w:rPr>
          <w:spacing w:val="-2"/>
        </w:rPr>
        <w:t xml:space="preserve"> </w:t>
      </w:r>
      <w:r w:rsidRPr="006B557E">
        <w:rPr>
          <w:spacing w:val="-2"/>
        </w:rPr>
        <w:t>January</w:t>
      </w:r>
      <w:r w:rsidR="00A03629" w:rsidRPr="006B557E">
        <w:rPr>
          <w:spacing w:val="-2"/>
        </w:rPr>
        <w:t xml:space="preserve"> </w:t>
      </w:r>
      <w:r w:rsidRPr="006B557E">
        <w:rPr>
          <w:spacing w:val="-2"/>
        </w:rPr>
        <w:t>2009</w:t>
      </w:r>
      <w:r w:rsidR="00A03629" w:rsidRPr="006B557E">
        <w:rPr>
          <w:spacing w:val="-2"/>
        </w:rPr>
        <w:t xml:space="preserve"> </w:t>
      </w:r>
      <w:r w:rsidRPr="006B557E">
        <w:rPr>
          <w:spacing w:val="-2"/>
        </w:rPr>
        <w:t>over</w:t>
      </w:r>
      <w:r w:rsidR="00A03629" w:rsidRPr="006B557E">
        <w:rPr>
          <w:spacing w:val="-2"/>
        </w:rPr>
        <w:t xml:space="preserve"> </w:t>
      </w:r>
      <w:r w:rsidRPr="006B557E">
        <w:rPr>
          <w:spacing w:val="-2"/>
        </w:rPr>
        <w:t>the</w:t>
      </w:r>
      <w:r w:rsidR="00A03629" w:rsidRPr="006B557E">
        <w:rPr>
          <w:spacing w:val="-2"/>
        </w:rPr>
        <w:t xml:space="preserve"> </w:t>
      </w:r>
      <w:r w:rsidRPr="006B557E">
        <w:rPr>
          <w:spacing w:val="-2"/>
        </w:rPr>
        <w:t>respective</w:t>
      </w:r>
      <w:r w:rsidR="00A03629" w:rsidRPr="006B557E">
        <w:rPr>
          <w:spacing w:val="-2"/>
        </w:rPr>
        <w:t xml:space="preserve"> </w:t>
      </w:r>
      <w:r w:rsidRPr="006B557E">
        <w:rPr>
          <w:spacing w:val="-2"/>
        </w:rPr>
        <w:t>lease</w:t>
      </w:r>
      <w:r w:rsidR="00A03629" w:rsidRPr="006B557E">
        <w:rPr>
          <w:spacing w:val="-2"/>
        </w:rPr>
        <w:t xml:space="preserve"> </w:t>
      </w:r>
      <w:r w:rsidRPr="006B557E">
        <w:rPr>
          <w:spacing w:val="-2"/>
        </w:rPr>
        <w:t>period</w:t>
      </w:r>
      <w:r w:rsidR="00A03629" w:rsidRPr="006B557E">
        <w:rPr>
          <w:spacing w:val="-2"/>
        </w:rPr>
        <w:t xml:space="preserve"> </w:t>
      </w:r>
      <w:r w:rsidRPr="006B557E">
        <w:rPr>
          <w:spacing w:val="-2"/>
        </w:rPr>
        <w:t>till</w:t>
      </w:r>
      <w:r w:rsidR="00A03629" w:rsidRPr="006B557E">
        <w:rPr>
          <w:spacing w:val="-2"/>
        </w:rPr>
        <w:t xml:space="preserve"> </w:t>
      </w:r>
      <w:r w:rsidRPr="006B557E">
        <w:rPr>
          <w:spacing w:val="-2"/>
        </w:rPr>
        <w:t>2034.</w:t>
      </w:r>
      <w:r w:rsidR="00A03629" w:rsidRPr="006B557E">
        <w:rPr>
          <w:spacing w:val="-2"/>
        </w:rPr>
        <w:t xml:space="preserve"> </w:t>
      </w:r>
      <w:r w:rsidRPr="006B557E">
        <w:rPr>
          <w:spacing w:val="-2"/>
        </w:rPr>
        <w:t>At</w:t>
      </w:r>
      <w:r w:rsidR="00A03629" w:rsidRPr="006B557E">
        <w:rPr>
          <w:spacing w:val="-2"/>
        </w:rPr>
        <w:t xml:space="preserve"> </w:t>
      </w:r>
      <w:r w:rsidRPr="006B557E">
        <w:rPr>
          <w:spacing w:val="-2"/>
        </w:rPr>
        <w:t>the</w:t>
      </w:r>
      <w:r w:rsidR="00A03629" w:rsidRPr="006B557E">
        <w:rPr>
          <w:spacing w:val="-2"/>
        </w:rPr>
        <w:t xml:space="preserve"> </w:t>
      </w:r>
      <w:r w:rsidRPr="006B557E">
        <w:rPr>
          <w:spacing w:val="-2"/>
        </w:rPr>
        <w:t>initial</w:t>
      </w:r>
      <w:r w:rsidR="00A03629" w:rsidRPr="006B557E">
        <w:rPr>
          <w:spacing w:val="-2"/>
        </w:rPr>
        <w:t xml:space="preserve"> </w:t>
      </w:r>
      <w:r w:rsidRPr="006B557E">
        <w:rPr>
          <w:spacing w:val="-2"/>
        </w:rPr>
        <w:t>construction</w:t>
      </w:r>
      <w:r w:rsidR="00A03629" w:rsidRPr="006B557E">
        <w:rPr>
          <w:spacing w:val="-2"/>
        </w:rPr>
        <w:t xml:space="preserve"> </w:t>
      </w:r>
      <w:r w:rsidRPr="006B557E">
        <w:rPr>
          <w:spacing w:val="-2"/>
        </w:rPr>
        <w:t>of</w:t>
      </w:r>
      <w:r w:rsidR="00A03629" w:rsidRPr="006B557E">
        <w:rPr>
          <w:spacing w:val="-2"/>
        </w:rPr>
        <w:t xml:space="preserve"> </w:t>
      </w:r>
      <w:r w:rsidRPr="006B557E">
        <w:rPr>
          <w:spacing w:val="-2"/>
        </w:rPr>
        <w:t>the</w:t>
      </w:r>
      <w:r w:rsidR="00A03629" w:rsidRPr="006B557E">
        <w:rPr>
          <w:spacing w:val="-2"/>
        </w:rPr>
        <w:t xml:space="preserve"> </w:t>
      </w:r>
      <w:r w:rsidRPr="006B557E">
        <w:rPr>
          <w:spacing w:val="-2"/>
        </w:rPr>
        <w:t>convention</w:t>
      </w:r>
      <w:r w:rsidR="00A03629" w:rsidRPr="006B557E">
        <w:rPr>
          <w:spacing w:val="-2"/>
        </w:rPr>
        <w:t xml:space="preserve"> </w:t>
      </w:r>
      <w:r w:rsidRPr="006B557E">
        <w:rPr>
          <w:spacing w:val="-2"/>
        </w:rPr>
        <w:t>centre</w:t>
      </w:r>
      <w:r w:rsidR="00A03629" w:rsidRPr="006B557E">
        <w:rPr>
          <w:spacing w:val="-2"/>
        </w:rPr>
        <w:t xml:space="preserve"> </w:t>
      </w:r>
      <w:r w:rsidRPr="006B557E">
        <w:rPr>
          <w:spacing w:val="-2"/>
        </w:rPr>
        <w:t>in</w:t>
      </w:r>
      <w:r w:rsidR="00A03629" w:rsidRPr="006B557E">
        <w:rPr>
          <w:spacing w:val="-2"/>
        </w:rPr>
        <w:t xml:space="preserve"> </w:t>
      </w:r>
      <w:r w:rsidRPr="006B557E">
        <w:rPr>
          <w:spacing w:val="-2"/>
        </w:rPr>
        <w:t>2009,</w:t>
      </w:r>
      <w:r w:rsidR="00A03629" w:rsidRPr="006B557E">
        <w:rPr>
          <w:spacing w:val="-2"/>
        </w:rPr>
        <w:t xml:space="preserve"> </w:t>
      </w:r>
      <w:r w:rsidRPr="006B557E">
        <w:rPr>
          <w:spacing w:val="-2"/>
        </w:rPr>
        <w:t>DJSIR</w:t>
      </w:r>
      <w:r w:rsidR="00A03629" w:rsidRPr="006B557E">
        <w:rPr>
          <w:spacing w:val="-2"/>
        </w:rPr>
        <w:t xml:space="preserve"> </w:t>
      </w:r>
      <w:r w:rsidRPr="006B557E">
        <w:rPr>
          <w:spacing w:val="-2"/>
        </w:rPr>
        <w:t>on</w:t>
      </w:r>
      <w:r w:rsidR="00A03629" w:rsidRPr="006B557E">
        <w:rPr>
          <w:spacing w:val="-2"/>
        </w:rPr>
        <w:t xml:space="preserve"> </w:t>
      </w:r>
      <w:r w:rsidRPr="006B557E">
        <w:rPr>
          <w:spacing w:val="-2"/>
        </w:rPr>
        <w:t>behalf</w:t>
      </w:r>
      <w:r w:rsidR="00A03629" w:rsidRPr="006B557E">
        <w:rPr>
          <w:spacing w:val="-2"/>
        </w:rPr>
        <w:t xml:space="preserve"> </w:t>
      </w:r>
      <w:r w:rsidRPr="006B557E">
        <w:rPr>
          <w:spacing w:val="-2"/>
        </w:rPr>
        <w:t>of</w:t>
      </w:r>
      <w:r w:rsidR="00A03629" w:rsidRPr="006B557E">
        <w:rPr>
          <w:spacing w:val="-2"/>
        </w:rPr>
        <w:t xml:space="preserve"> </w:t>
      </w:r>
      <w:r w:rsidRPr="006B557E">
        <w:rPr>
          <w:spacing w:val="-2"/>
        </w:rPr>
        <w:t>the</w:t>
      </w:r>
      <w:r w:rsidR="00A03629" w:rsidRPr="006B557E">
        <w:rPr>
          <w:spacing w:val="-2"/>
        </w:rPr>
        <w:t xml:space="preserve"> </w:t>
      </w:r>
      <w:r w:rsidRPr="006B557E">
        <w:rPr>
          <w:spacing w:val="-2"/>
        </w:rPr>
        <w:t>State</w:t>
      </w:r>
      <w:r w:rsidR="00A03629" w:rsidRPr="006B557E">
        <w:rPr>
          <w:spacing w:val="-2"/>
        </w:rPr>
        <w:t xml:space="preserve"> </w:t>
      </w:r>
      <w:r w:rsidRPr="006B557E">
        <w:rPr>
          <w:spacing w:val="-2"/>
        </w:rPr>
        <w:t>of</w:t>
      </w:r>
      <w:r w:rsidR="00A03629" w:rsidRPr="006B557E">
        <w:rPr>
          <w:spacing w:val="-2"/>
        </w:rPr>
        <w:t xml:space="preserve"> </w:t>
      </w:r>
      <w:r w:rsidRPr="006B557E">
        <w:rPr>
          <w:spacing w:val="-2"/>
        </w:rPr>
        <w:t>Victoria</w:t>
      </w:r>
      <w:r w:rsidR="00A03629" w:rsidRPr="006B557E">
        <w:rPr>
          <w:spacing w:val="-2"/>
        </w:rPr>
        <w:t xml:space="preserve"> </w:t>
      </w:r>
      <w:r w:rsidRPr="006B557E">
        <w:rPr>
          <w:spacing w:val="-2"/>
        </w:rPr>
        <w:t>had</w:t>
      </w:r>
      <w:r w:rsidR="00A03629" w:rsidRPr="006B557E">
        <w:rPr>
          <w:spacing w:val="-2"/>
        </w:rPr>
        <w:t xml:space="preserve"> </w:t>
      </w:r>
      <w:r w:rsidRPr="006B557E">
        <w:rPr>
          <w:spacing w:val="-2"/>
        </w:rPr>
        <w:t>entered</w:t>
      </w:r>
      <w:r w:rsidR="00A03629" w:rsidRPr="006B557E">
        <w:rPr>
          <w:spacing w:val="-2"/>
        </w:rPr>
        <w:t xml:space="preserve"> </w:t>
      </w:r>
      <w:r w:rsidRPr="006B557E">
        <w:rPr>
          <w:spacing w:val="-2"/>
        </w:rPr>
        <w:t>into</w:t>
      </w:r>
      <w:r w:rsidR="00A03629" w:rsidRPr="006B557E">
        <w:rPr>
          <w:spacing w:val="-2"/>
        </w:rPr>
        <w:t xml:space="preserve"> </w:t>
      </w:r>
      <w:r w:rsidRPr="006B557E">
        <w:rPr>
          <w:spacing w:val="-2"/>
        </w:rPr>
        <w:t>a</w:t>
      </w:r>
      <w:r w:rsidR="00A03629" w:rsidRPr="006B557E">
        <w:rPr>
          <w:spacing w:val="-2"/>
        </w:rPr>
        <w:t xml:space="preserve"> </w:t>
      </w:r>
      <w:r w:rsidRPr="006B557E">
        <w:rPr>
          <w:spacing w:val="-2"/>
        </w:rPr>
        <w:t>loan</w:t>
      </w:r>
      <w:r w:rsidR="00A03629" w:rsidRPr="006B557E">
        <w:rPr>
          <w:spacing w:val="-2"/>
        </w:rPr>
        <w:t xml:space="preserve"> </w:t>
      </w:r>
      <w:r w:rsidRPr="006B557E">
        <w:rPr>
          <w:spacing w:val="-2"/>
        </w:rPr>
        <w:t>agreement</w:t>
      </w:r>
      <w:r w:rsidR="00A03629" w:rsidRPr="006B557E">
        <w:rPr>
          <w:spacing w:val="-2"/>
        </w:rPr>
        <w:t xml:space="preserve"> </w:t>
      </w:r>
      <w:r w:rsidRPr="006B557E">
        <w:rPr>
          <w:spacing w:val="-2"/>
        </w:rPr>
        <w:t>with</w:t>
      </w:r>
      <w:r w:rsidR="00A03629" w:rsidRPr="006B557E">
        <w:rPr>
          <w:spacing w:val="-2"/>
        </w:rPr>
        <w:t xml:space="preserve"> </w:t>
      </w:r>
      <w:r w:rsidRPr="006B557E">
        <w:rPr>
          <w:spacing w:val="-2"/>
        </w:rPr>
        <w:t>MCET</w:t>
      </w:r>
      <w:r w:rsidR="00A03629" w:rsidRPr="006B557E">
        <w:rPr>
          <w:spacing w:val="-2"/>
        </w:rPr>
        <w:t xml:space="preserve"> </w:t>
      </w:r>
      <w:r w:rsidRPr="006B557E">
        <w:rPr>
          <w:spacing w:val="-2"/>
        </w:rPr>
        <w:t>under</w:t>
      </w:r>
      <w:r w:rsidR="00A03629" w:rsidRPr="006B557E">
        <w:rPr>
          <w:spacing w:val="-2"/>
        </w:rPr>
        <w:t xml:space="preserve"> </w:t>
      </w:r>
      <w:r w:rsidRPr="006B557E">
        <w:rPr>
          <w:spacing w:val="-2"/>
        </w:rPr>
        <w:t>which</w:t>
      </w:r>
      <w:r w:rsidR="00A03629" w:rsidRPr="006B557E">
        <w:rPr>
          <w:spacing w:val="-2"/>
        </w:rPr>
        <w:t xml:space="preserve"> </w:t>
      </w:r>
      <w:r w:rsidRPr="006B557E">
        <w:rPr>
          <w:spacing w:val="-2"/>
        </w:rPr>
        <w:t>MCET</w:t>
      </w:r>
      <w:r w:rsidR="00A03629" w:rsidRPr="006B557E">
        <w:rPr>
          <w:spacing w:val="-2"/>
        </w:rPr>
        <w:t xml:space="preserve"> </w:t>
      </w:r>
      <w:r w:rsidRPr="006B557E">
        <w:rPr>
          <w:spacing w:val="-2"/>
        </w:rPr>
        <w:t>undertook</w:t>
      </w:r>
      <w:r w:rsidR="00A03629" w:rsidRPr="006B557E">
        <w:rPr>
          <w:spacing w:val="-2"/>
        </w:rPr>
        <w:t xml:space="preserve"> </w:t>
      </w:r>
      <w:r w:rsidRPr="006B557E">
        <w:rPr>
          <w:spacing w:val="-2"/>
        </w:rPr>
        <w:t>to</w:t>
      </w:r>
      <w:r w:rsidR="00A03629" w:rsidRPr="006B557E">
        <w:rPr>
          <w:spacing w:val="-2"/>
        </w:rPr>
        <w:t xml:space="preserve"> </w:t>
      </w:r>
      <w:r w:rsidRPr="006B557E">
        <w:rPr>
          <w:spacing w:val="-2"/>
        </w:rPr>
        <w:t>repay</w:t>
      </w:r>
      <w:r w:rsidR="00A03629" w:rsidRPr="006B557E">
        <w:rPr>
          <w:spacing w:val="-2"/>
        </w:rPr>
        <w:t xml:space="preserve"> </w:t>
      </w:r>
      <w:r w:rsidRPr="006B557E">
        <w:rPr>
          <w:spacing w:val="-2"/>
        </w:rPr>
        <w:t>the</w:t>
      </w:r>
      <w:r w:rsidR="00A03629" w:rsidRPr="006B557E">
        <w:rPr>
          <w:spacing w:val="-2"/>
        </w:rPr>
        <w:t xml:space="preserve"> </w:t>
      </w:r>
      <w:r w:rsidRPr="006B557E">
        <w:rPr>
          <w:spacing w:val="-2"/>
        </w:rPr>
        <w:t>State</w:t>
      </w:r>
      <w:r w:rsidR="00A03629" w:rsidRPr="006B557E">
        <w:rPr>
          <w:spacing w:val="-2"/>
        </w:rPr>
        <w:t xml:space="preserve"> </w:t>
      </w:r>
      <w:r w:rsidRPr="006B557E">
        <w:rPr>
          <w:spacing w:val="-2"/>
        </w:rPr>
        <w:t>of</w:t>
      </w:r>
      <w:r w:rsidR="00A03629" w:rsidRPr="006B557E">
        <w:rPr>
          <w:spacing w:val="-2"/>
        </w:rPr>
        <w:t xml:space="preserve"> </w:t>
      </w:r>
      <w:r w:rsidRPr="006B557E">
        <w:rPr>
          <w:spacing w:val="-2"/>
        </w:rPr>
        <w:t>Victoria</w:t>
      </w:r>
      <w:r w:rsidR="00A03629" w:rsidRPr="006B557E">
        <w:rPr>
          <w:spacing w:val="-2"/>
        </w:rPr>
        <w:t xml:space="preserve"> </w:t>
      </w:r>
      <w:r w:rsidRPr="006B557E">
        <w:rPr>
          <w:spacing w:val="-2"/>
        </w:rPr>
        <w:t>50</w:t>
      </w:r>
      <w:r w:rsidR="00A03629" w:rsidRPr="006B557E">
        <w:rPr>
          <w:spacing w:val="-2"/>
        </w:rPr>
        <w:t xml:space="preserve"> </w:t>
      </w:r>
      <w:r w:rsidRPr="006B557E">
        <w:rPr>
          <w:spacing w:val="-2"/>
        </w:rPr>
        <w:t>per</w:t>
      </w:r>
      <w:r w:rsidR="00A03629" w:rsidRPr="006B557E">
        <w:rPr>
          <w:spacing w:val="-2"/>
        </w:rPr>
        <w:t xml:space="preserve"> </w:t>
      </w:r>
      <w:r w:rsidRPr="006B557E">
        <w:rPr>
          <w:spacing w:val="-2"/>
        </w:rPr>
        <w:t>cent</w:t>
      </w:r>
      <w:r w:rsidR="00A03629" w:rsidRPr="006B557E">
        <w:rPr>
          <w:spacing w:val="-2"/>
        </w:rPr>
        <w:t xml:space="preserve"> </w:t>
      </w:r>
      <w:r w:rsidRPr="006B557E">
        <w:rPr>
          <w:spacing w:val="-2"/>
        </w:rPr>
        <w:t>($228</w:t>
      </w:r>
      <w:r w:rsidR="00A03629" w:rsidRPr="006B557E">
        <w:rPr>
          <w:rFonts w:ascii="Cambria" w:hAnsi="Cambria" w:cs="Cambria"/>
          <w:spacing w:val="-2"/>
        </w:rPr>
        <w:t xml:space="preserve"> </w:t>
      </w:r>
      <w:r w:rsidRPr="006B557E">
        <w:rPr>
          <w:spacing w:val="-2"/>
        </w:rPr>
        <w:t>million)</w:t>
      </w:r>
      <w:r w:rsidR="00A03629" w:rsidRPr="006B557E">
        <w:rPr>
          <w:spacing w:val="-2"/>
        </w:rPr>
        <w:t xml:space="preserve"> </w:t>
      </w:r>
      <w:r w:rsidRPr="006B557E">
        <w:rPr>
          <w:spacing w:val="-2"/>
        </w:rPr>
        <w:t>of</w:t>
      </w:r>
      <w:r w:rsidR="00A03629" w:rsidRPr="006B557E">
        <w:rPr>
          <w:spacing w:val="-2"/>
        </w:rPr>
        <w:t xml:space="preserve"> </w:t>
      </w:r>
      <w:r w:rsidRPr="006B557E">
        <w:rPr>
          <w:spacing w:val="-2"/>
        </w:rPr>
        <w:t>the</w:t>
      </w:r>
      <w:r w:rsidR="00A03629" w:rsidRPr="006B557E">
        <w:rPr>
          <w:spacing w:val="-2"/>
        </w:rPr>
        <w:t xml:space="preserve"> </w:t>
      </w:r>
      <w:r w:rsidRPr="006B557E">
        <w:rPr>
          <w:spacing w:val="-2"/>
        </w:rPr>
        <w:t>value</w:t>
      </w:r>
      <w:r w:rsidR="00A03629" w:rsidRPr="006B557E">
        <w:rPr>
          <w:spacing w:val="-2"/>
        </w:rPr>
        <w:t xml:space="preserve"> </w:t>
      </w:r>
      <w:r w:rsidRPr="006B557E">
        <w:rPr>
          <w:spacing w:val="-2"/>
        </w:rPr>
        <w:t>of</w:t>
      </w:r>
      <w:r w:rsidR="00A03629" w:rsidRPr="006B557E">
        <w:rPr>
          <w:spacing w:val="-2"/>
        </w:rPr>
        <w:t xml:space="preserve"> </w:t>
      </w:r>
      <w:r w:rsidRPr="006B557E">
        <w:rPr>
          <w:spacing w:val="-2"/>
        </w:rPr>
        <w:t>the</w:t>
      </w:r>
      <w:r w:rsidR="00A03629" w:rsidRPr="006B557E">
        <w:rPr>
          <w:spacing w:val="-2"/>
        </w:rPr>
        <w:t xml:space="preserve"> </w:t>
      </w:r>
      <w:r w:rsidRPr="006B557E">
        <w:rPr>
          <w:spacing w:val="-2"/>
        </w:rPr>
        <w:t>asset</w:t>
      </w:r>
      <w:r w:rsidR="00A03629" w:rsidRPr="006B557E">
        <w:rPr>
          <w:spacing w:val="-2"/>
        </w:rPr>
        <w:t xml:space="preserve"> </w:t>
      </w:r>
      <w:r w:rsidRPr="006B557E">
        <w:rPr>
          <w:spacing w:val="-2"/>
        </w:rPr>
        <w:t>($455</w:t>
      </w:r>
      <w:r w:rsidR="00A03629" w:rsidRPr="006B557E">
        <w:rPr>
          <w:spacing w:val="-2"/>
        </w:rPr>
        <w:t xml:space="preserve"> </w:t>
      </w:r>
      <w:r w:rsidRPr="006B557E">
        <w:rPr>
          <w:spacing w:val="-2"/>
        </w:rPr>
        <w:t>million)</w:t>
      </w:r>
      <w:r w:rsidR="00A03629" w:rsidRPr="006B557E">
        <w:rPr>
          <w:spacing w:val="-2"/>
        </w:rPr>
        <w:t xml:space="preserve"> </w:t>
      </w:r>
      <w:r w:rsidRPr="006B557E">
        <w:rPr>
          <w:spacing w:val="-2"/>
        </w:rPr>
        <w:t>over</w:t>
      </w:r>
      <w:r w:rsidR="00A03629" w:rsidRPr="006B557E">
        <w:rPr>
          <w:spacing w:val="-2"/>
        </w:rPr>
        <w:t xml:space="preserve"> </w:t>
      </w:r>
      <w:r w:rsidRPr="006B557E">
        <w:rPr>
          <w:spacing w:val="-2"/>
        </w:rPr>
        <w:t>a</w:t>
      </w:r>
      <w:r w:rsidR="00A03629" w:rsidRPr="006B557E">
        <w:rPr>
          <w:spacing w:val="-2"/>
        </w:rPr>
        <w:t xml:space="preserve"> </w:t>
      </w:r>
      <w:proofErr w:type="gramStart"/>
      <w:r w:rsidRPr="006B557E">
        <w:rPr>
          <w:spacing w:val="-2"/>
        </w:rPr>
        <w:t>25</w:t>
      </w:r>
      <w:r w:rsidR="00A03629" w:rsidRPr="006B557E">
        <w:rPr>
          <w:rFonts w:ascii="Cambria" w:hAnsi="Cambria" w:cs="Cambria"/>
          <w:spacing w:val="-2"/>
        </w:rPr>
        <w:t xml:space="preserve"> </w:t>
      </w:r>
      <w:r w:rsidRPr="006B557E">
        <w:rPr>
          <w:spacing w:val="-2"/>
        </w:rPr>
        <w:t>year</w:t>
      </w:r>
      <w:proofErr w:type="gramEnd"/>
      <w:r w:rsidR="00A03629" w:rsidRPr="006B557E">
        <w:rPr>
          <w:spacing w:val="-2"/>
        </w:rPr>
        <w:t xml:space="preserve"> </w:t>
      </w:r>
      <w:r w:rsidRPr="006B557E">
        <w:rPr>
          <w:spacing w:val="-2"/>
        </w:rPr>
        <w:t>period.</w:t>
      </w:r>
      <w:r w:rsidR="00A03629" w:rsidRPr="006B557E">
        <w:rPr>
          <w:spacing w:val="-2"/>
        </w:rPr>
        <w:t xml:space="preserve"> </w:t>
      </w:r>
      <w:r w:rsidRPr="006B557E">
        <w:rPr>
          <w:spacing w:val="-2"/>
        </w:rPr>
        <w:t>In</w:t>
      </w:r>
      <w:r w:rsidR="00A03629" w:rsidRPr="006B557E">
        <w:rPr>
          <w:spacing w:val="-2"/>
        </w:rPr>
        <w:t xml:space="preserve"> </w:t>
      </w:r>
      <w:r w:rsidRPr="006B557E">
        <w:rPr>
          <w:spacing w:val="-2"/>
        </w:rPr>
        <w:t>the</w:t>
      </w:r>
      <w:r w:rsidR="00A03629" w:rsidRPr="006B557E">
        <w:rPr>
          <w:spacing w:val="-2"/>
        </w:rPr>
        <w:t xml:space="preserve"> </w:t>
      </w:r>
      <w:r w:rsidRPr="006B557E">
        <w:rPr>
          <w:spacing w:val="-2"/>
        </w:rPr>
        <w:t>prior</w:t>
      </w:r>
      <w:r w:rsidR="00A03629" w:rsidRPr="006B557E">
        <w:rPr>
          <w:spacing w:val="-2"/>
        </w:rPr>
        <w:t xml:space="preserve"> </w:t>
      </w:r>
      <w:r w:rsidRPr="006B557E">
        <w:rPr>
          <w:spacing w:val="-2"/>
        </w:rPr>
        <w:t>year,</w:t>
      </w:r>
      <w:r w:rsidR="00A03629" w:rsidRPr="006B557E">
        <w:rPr>
          <w:spacing w:val="-2"/>
        </w:rPr>
        <w:t xml:space="preserve"> </w:t>
      </w:r>
      <w:r w:rsidRPr="006B557E">
        <w:rPr>
          <w:spacing w:val="-2"/>
        </w:rPr>
        <w:t>an</w:t>
      </w:r>
      <w:r w:rsidR="00A03629" w:rsidRPr="006B557E">
        <w:rPr>
          <w:spacing w:val="-2"/>
        </w:rPr>
        <w:t xml:space="preserve"> </w:t>
      </w:r>
      <w:r w:rsidRPr="006B557E">
        <w:rPr>
          <w:spacing w:val="-2"/>
        </w:rPr>
        <w:t>assessment</w:t>
      </w:r>
      <w:r w:rsidR="00A03629" w:rsidRPr="006B557E">
        <w:rPr>
          <w:spacing w:val="-2"/>
        </w:rPr>
        <w:t xml:space="preserve"> </w:t>
      </w:r>
      <w:r w:rsidRPr="006B557E">
        <w:rPr>
          <w:spacing w:val="-2"/>
        </w:rPr>
        <w:t>of</w:t>
      </w:r>
      <w:r w:rsidR="00A03629" w:rsidRPr="006B557E">
        <w:rPr>
          <w:spacing w:val="-2"/>
        </w:rPr>
        <w:t xml:space="preserve"> </w:t>
      </w:r>
      <w:r w:rsidRPr="006B557E">
        <w:rPr>
          <w:spacing w:val="-2"/>
        </w:rPr>
        <w:t>future</w:t>
      </w:r>
      <w:r w:rsidR="00A03629" w:rsidRPr="006B557E">
        <w:rPr>
          <w:spacing w:val="-2"/>
        </w:rPr>
        <w:t xml:space="preserve"> </w:t>
      </w:r>
      <w:r w:rsidRPr="006B557E">
        <w:rPr>
          <w:spacing w:val="-2"/>
        </w:rPr>
        <w:t>loan</w:t>
      </w:r>
      <w:r w:rsidR="00A03629" w:rsidRPr="006B557E">
        <w:rPr>
          <w:spacing w:val="-2"/>
        </w:rPr>
        <w:t xml:space="preserve"> </w:t>
      </w:r>
      <w:r w:rsidRPr="006B557E">
        <w:rPr>
          <w:spacing w:val="-2"/>
        </w:rPr>
        <w:t>serviceability</w:t>
      </w:r>
      <w:r w:rsidR="00A03629" w:rsidRPr="006B557E">
        <w:rPr>
          <w:spacing w:val="-2"/>
        </w:rPr>
        <w:t xml:space="preserve"> </w:t>
      </w:r>
      <w:r w:rsidRPr="006B557E">
        <w:rPr>
          <w:spacing w:val="-2"/>
        </w:rPr>
        <w:t>was</w:t>
      </w:r>
      <w:r w:rsidR="00A03629" w:rsidRPr="006B557E">
        <w:rPr>
          <w:spacing w:val="-2"/>
        </w:rPr>
        <w:t xml:space="preserve"> </w:t>
      </w:r>
      <w:proofErr w:type="gramStart"/>
      <w:r w:rsidRPr="006B557E">
        <w:rPr>
          <w:spacing w:val="-2"/>
        </w:rPr>
        <w:t>undertaken</w:t>
      </w:r>
      <w:proofErr w:type="gramEnd"/>
      <w:r w:rsidR="00A03629" w:rsidRPr="006B557E">
        <w:rPr>
          <w:spacing w:val="-2"/>
        </w:rPr>
        <w:t xml:space="preserve"> </w:t>
      </w:r>
      <w:r w:rsidRPr="006B557E">
        <w:rPr>
          <w:spacing w:val="-2"/>
        </w:rPr>
        <w:t>and</w:t>
      </w:r>
      <w:r w:rsidR="00A03629" w:rsidRPr="006B557E">
        <w:rPr>
          <w:spacing w:val="-2"/>
        </w:rPr>
        <w:t xml:space="preserve"> </w:t>
      </w:r>
      <w:r w:rsidRPr="006B557E">
        <w:rPr>
          <w:spacing w:val="-2"/>
        </w:rPr>
        <w:t>which</w:t>
      </w:r>
      <w:r w:rsidR="00A03629" w:rsidRPr="006B557E">
        <w:rPr>
          <w:spacing w:val="-2"/>
        </w:rPr>
        <w:t xml:space="preserve"> </w:t>
      </w:r>
      <w:r w:rsidRPr="006B557E">
        <w:rPr>
          <w:spacing w:val="-2"/>
        </w:rPr>
        <w:t>identified</w:t>
      </w:r>
      <w:r w:rsidR="00A03629" w:rsidRPr="006B557E">
        <w:rPr>
          <w:spacing w:val="-2"/>
        </w:rPr>
        <w:t xml:space="preserve"> </w:t>
      </w:r>
      <w:r w:rsidRPr="006B557E">
        <w:rPr>
          <w:spacing w:val="-2"/>
        </w:rPr>
        <w:t>that</w:t>
      </w:r>
      <w:r w:rsidR="00A03629" w:rsidRPr="006B557E">
        <w:rPr>
          <w:spacing w:val="-2"/>
        </w:rPr>
        <w:t xml:space="preserve"> </w:t>
      </w:r>
      <w:r w:rsidRPr="006B557E">
        <w:rPr>
          <w:spacing w:val="-2"/>
        </w:rPr>
        <w:t>the</w:t>
      </w:r>
      <w:r w:rsidR="00A03629" w:rsidRPr="006B557E">
        <w:rPr>
          <w:spacing w:val="-2"/>
        </w:rPr>
        <w:t xml:space="preserve"> </w:t>
      </w:r>
      <w:r w:rsidRPr="006B557E">
        <w:rPr>
          <w:spacing w:val="-2"/>
        </w:rPr>
        <w:t>loan</w:t>
      </w:r>
      <w:r w:rsidR="00A03629" w:rsidRPr="006B557E">
        <w:rPr>
          <w:spacing w:val="-2"/>
        </w:rPr>
        <w:t xml:space="preserve"> </w:t>
      </w:r>
      <w:r w:rsidRPr="006B557E">
        <w:rPr>
          <w:spacing w:val="-2"/>
        </w:rPr>
        <w:t>was</w:t>
      </w:r>
      <w:r w:rsidR="00A03629" w:rsidRPr="006B557E">
        <w:rPr>
          <w:spacing w:val="-2"/>
        </w:rPr>
        <w:t xml:space="preserve"> </w:t>
      </w:r>
      <w:r w:rsidRPr="006B557E">
        <w:rPr>
          <w:spacing w:val="-2"/>
        </w:rPr>
        <w:t>impaired</w:t>
      </w:r>
      <w:r w:rsidR="00A03629" w:rsidRPr="006B557E">
        <w:rPr>
          <w:spacing w:val="-2"/>
        </w:rPr>
        <w:t xml:space="preserve"> </w:t>
      </w:r>
      <w:r w:rsidRPr="006B557E">
        <w:rPr>
          <w:spacing w:val="-2"/>
        </w:rPr>
        <w:t>and</w:t>
      </w:r>
      <w:r w:rsidR="00A03629" w:rsidRPr="006B557E">
        <w:rPr>
          <w:spacing w:val="-2"/>
        </w:rPr>
        <w:t xml:space="preserve"> </w:t>
      </w:r>
      <w:r w:rsidRPr="006B557E">
        <w:rPr>
          <w:spacing w:val="-2"/>
        </w:rPr>
        <w:t>an</w:t>
      </w:r>
      <w:r w:rsidR="00A03629" w:rsidRPr="006B557E">
        <w:rPr>
          <w:spacing w:val="-2"/>
        </w:rPr>
        <w:t xml:space="preserve"> </w:t>
      </w:r>
      <w:r w:rsidRPr="006B557E">
        <w:rPr>
          <w:spacing w:val="-2"/>
        </w:rPr>
        <w:t>allowance</w:t>
      </w:r>
      <w:r w:rsidR="00A03629" w:rsidRPr="006B557E">
        <w:rPr>
          <w:spacing w:val="-2"/>
        </w:rPr>
        <w:t xml:space="preserve"> </w:t>
      </w:r>
      <w:r w:rsidRPr="006B557E">
        <w:rPr>
          <w:spacing w:val="-2"/>
        </w:rPr>
        <w:t>for</w:t>
      </w:r>
      <w:r w:rsidR="00A03629" w:rsidRPr="006B557E">
        <w:rPr>
          <w:spacing w:val="-2"/>
        </w:rPr>
        <w:t xml:space="preserve"> </w:t>
      </w:r>
      <w:r w:rsidRPr="006B557E">
        <w:rPr>
          <w:spacing w:val="-2"/>
        </w:rPr>
        <w:t>impairment</w:t>
      </w:r>
      <w:r w:rsidR="00A03629" w:rsidRPr="006B557E">
        <w:rPr>
          <w:spacing w:val="-2"/>
        </w:rPr>
        <w:t xml:space="preserve"> </w:t>
      </w:r>
      <w:r w:rsidRPr="006B557E">
        <w:rPr>
          <w:spacing w:val="-2"/>
        </w:rPr>
        <w:t>of</w:t>
      </w:r>
      <w:r w:rsidR="00A03629" w:rsidRPr="006B557E">
        <w:rPr>
          <w:spacing w:val="-2"/>
        </w:rPr>
        <w:t xml:space="preserve"> </w:t>
      </w:r>
      <w:r w:rsidRPr="006B557E">
        <w:rPr>
          <w:spacing w:val="-2"/>
        </w:rPr>
        <w:t>$142</w:t>
      </w:r>
      <w:r w:rsidR="00A03629" w:rsidRPr="006B557E">
        <w:rPr>
          <w:spacing w:val="-2"/>
        </w:rPr>
        <w:t xml:space="preserve"> </w:t>
      </w:r>
      <w:r w:rsidRPr="006B557E">
        <w:rPr>
          <w:spacing w:val="-2"/>
        </w:rPr>
        <w:t>million</w:t>
      </w:r>
      <w:r w:rsidR="00A03629" w:rsidRPr="006B557E">
        <w:rPr>
          <w:spacing w:val="-2"/>
        </w:rPr>
        <w:t xml:space="preserve"> </w:t>
      </w:r>
      <w:r w:rsidRPr="006B557E">
        <w:rPr>
          <w:spacing w:val="-2"/>
        </w:rPr>
        <w:t>was</w:t>
      </w:r>
      <w:r w:rsidR="00A03629" w:rsidRPr="006B557E">
        <w:rPr>
          <w:spacing w:val="-2"/>
        </w:rPr>
        <w:t xml:space="preserve"> </w:t>
      </w:r>
      <w:r w:rsidRPr="006B557E">
        <w:rPr>
          <w:spacing w:val="-2"/>
        </w:rPr>
        <w:t>reflected</w:t>
      </w:r>
      <w:r w:rsidR="00A03629" w:rsidRPr="006B557E">
        <w:rPr>
          <w:spacing w:val="-2"/>
        </w:rPr>
        <w:t xml:space="preserve"> </w:t>
      </w:r>
      <w:r w:rsidRPr="006B557E">
        <w:rPr>
          <w:spacing w:val="-2"/>
        </w:rPr>
        <w:t>in</w:t>
      </w:r>
      <w:r w:rsidR="00A03629" w:rsidRPr="006B557E">
        <w:rPr>
          <w:spacing w:val="-2"/>
        </w:rPr>
        <w:t xml:space="preserve"> </w:t>
      </w:r>
      <w:r w:rsidRPr="006B557E">
        <w:rPr>
          <w:spacing w:val="-2"/>
        </w:rPr>
        <w:t>FY2021–22</w:t>
      </w:r>
      <w:r w:rsidR="00A03629" w:rsidRPr="006B557E">
        <w:rPr>
          <w:spacing w:val="-2"/>
        </w:rPr>
        <w:t xml:space="preserve"> </w:t>
      </w:r>
      <w:r w:rsidRPr="006B557E">
        <w:rPr>
          <w:spacing w:val="-2"/>
        </w:rPr>
        <w:t>in</w:t>
      </w:r>
      <w:r w:rsidR="00A03629" w:rsidRPr="006B557E">
        <w:rPr>
          <w:spacing w:val="-2"/>
        </w:rPr>
        <w:t xml:space="preserve"> </w:t>
      </w:r>
      <w:r w:rsidRPr="006B557E">
        <w:rPr>
          <w:spacing w:val="-2"/>
        </w:rPr>
        <w:t>DJPR</w:t>
      </w:r>
      <w:r w:rsidR="00A03629" w:rsidRPr="006B557E">
        <w:rPr>
          <w:spacing w:val="-2"/>
        </w:rPr>
        <w:t xml:space="preserve"> </w:t>
      </w:r>
      <w:r w:rsidRPr="006B557E">
        <w:rPr>
          <w:spacing w:val="-2"/>
        </w:rPr>
        <w:t>administered</w:t>
      </w:r>
      <w:r w:rsidR="00A03629" w:rsidRPr="006B557E">
        <w:rPr>
          <w:spacing w:val="-2"/>
        </w:rPr>
        <w:t xml:space="preserve"> </w:t>
      </w:r>
      <w:r w:rsidRPr="006B557E">
        <w:rPr>
          <w:spacing w:val="-2"/>
        </w:rPr>
        <w:t>balance</w:t>
      </w:r>
      <w:r w:rsidR="00A03629" w:rsidRPr="006B557E">
        <w:rPr>
          <w:spacing w:val="-2"/>
        </w:rPr>
        <w:t xml:space="preserve"> </w:t>
      </w:r>
      <w:r w:rsidRPr="006B557E">
        <w:rPr>
          <w:spacing w:val="-2"/>
        </w:rPr>
        <w:t>sheet.</w:t>
      </w:r>
    </w:p>
    <w:p w14:paraId="71BC5144" w14:textId="2CB6C483" w:rsidR="000756EB" w:rsidRDefault="004A4D88" w:rsidP="006B557E">
      <w:r>
        <w:lastRenderedPageBreak/>
        <w:t>As</w:t>
      </w:r>
      <w:r w:rsidR="00A03629">
        <w:t xml:space="preserve"> </w:t>
      </w:r>
      <w:r>
        <w:t>part</w:t>
      </w:r>
      <w:r w:rsidR="00A03629">
        <w:t xml:space="preserve"> </w:t>
      </w:r>
      <w:r>
        <w:t>of</w:t>
      </w:r>
      <w:r w:rsidR="00A03629">
        <w:t xml:space="preserve"> </w:t>
      </w:r>
      <w:r>
        <w:t>the</w:t>
      </w:r>
      <w:r w:rsidR="00A03629">
        <w:t xml:space="preserve"> </w:t>
      </w:r>
      <w:proofErr w:type="gramStart"/>
      <w:r>
        <w:t>25</w:t>
      </w:r>
      <w:r w:rsidR="00A03629">
        <w:t xml:space="preserve"> </w:t>
      </w:r>
      <w:r>
        <w:t>year</w:t>
      </w:r>
      <w:proofErr w:type="gramEnd"/>
      <w:r w:rsidR="00A03629">
        <w:t xml:space="preserve"> </w:t>
      </w:r>
      <w:r>
        <w:t>lease</w:t>
      </w:r>
      <w:r w:rsidR="00A03629">
        <w:t xml:space="preserve"> </w:t>
      </w:r>
      <w:r>
        <w:t>arrangement,</w:t>
      </w:r>
      <w:r w:rsidR="00A03629">
        <w:t xml:space="preserve"> </w:t>
      </w:r>
      <w:r>
        <w:t>the</w:t>
      </w:r>
      <w:r w:rsidR="00A03629">
        <w:t xml:space="preserve"> </w:t>
      </w:r>
      <w:r>
        <w:t>lessor</w:t>
      </w:r>
      <w:r w:rsidR="00A03629">
        <w:t xml:space="preserve"> </w:t>
      </w:r>
      <w:r>
        <w:t>provides</w:t>
      </w:r>
      <w:r w:rsidR="00A03629">
        <w:t xml:space="preserve"> </w:t>
      </w:r>
      <w:r>
        <w:t>services,</w:t>
      </w:r>
      <w:r w:rsidR="00A03629">
        <w:t xml:space="preserve"> </w:t>
      </w:r>
      <w:r>
        <w:t>maintenance,</w:t>
      </w:r>
      <w:r w:rsidR="00A03629">
        <w:t xml:space="preserve"> </w:t>
      </w:r>
      <w:r>
        <w:t>and</w:t>
      </w:r>
      <w:r w:rsidR="00A03629">
        <w:t xml:space="preserve"> </w:t>
      </w:r>
      <w:r>
        <w:t>refurbishments</w:t>
      </w:r>
      <w:r w:rsidR="00A03629">
        <w:t xml:space="preserve"> </w:t>
      </w:r>
      <w:r>
        <w:t>in</w:t>
      </w:r>
      <w:r w:rsidR="00A03629">
        <w:t xml:space="preserve"> </w:t>
      </w:r>
      <w:r>
        <w:t>return</w:t>
      </w:r>
      <w:r w:rsidR="00A03629">
        <w:t xml:space="preserve"> </w:t>
      </w:r>
      <w:r>
        <w:t>for</w:t>
      </w:r>
      <w:r w:rsidR="00A03629">
        <w:t xml:space="preserve"> </w:t>
      </w:r>
      <w:r>
        <w:t>a</w:t>
      </w:r>
      <w:r w:rsidR="00A03629">
        <w:t xml:space="preserve"> </w:t>
      </w:r>
      <w:r>
        <w:t>fixed</w:t>
      </w:r>
      <w:r w:rsidR="00A03629">
        <w:t xml:space="preserve"> </w:t>
      </w:r>
      <w:r>
        <w:t>(inflation</w:t>
      </w:r>
      <w:r w:rsidR="00A03629">
        <w:t xml:space="preserve"> </w:t>
      </w:r>
      <w:r>
        <w:t>adjusted)</w:t>
      </w:r>
      <w:r w:rsidR="00A03629">
        <w:t xml:space="preserve"> </w:t>
      </w:r>
      <w:r>
        <w:t>quarterly</w:t>
      </w:r>
      <w:r w:rsidR="00A03629">
        <w:t xml:space="preserve"> </w:t>
      </w:r>
      <w:r>
        <w:t>service</w:t>
      </w:r>
      <w:r w:rsidR="00A03629">
        <w:t xml:space="preserve"> </w:t>
      </w:r>
      <w:r>
        <w:t>payment</w:t>
      </w:r>
      <w:r w:rsidR="00A03629">
        <w:t xml:space="preserve"> </w:t>
      </w:r>
      <w:r>
        <w:t>from</w:t>
      </w:r>
      <w:r w:rsidR="00A03629">
        <w:t xml:space="preserve"> </w:t>
      </w:r>
      <w:r>
        <w:t>the</w:t>
      </w:r>
      <w:r w:rsidR="00A03629">
        <w:t xml:space="preserve"> </w:t>
      </w:r>
      <w:r>
        <w:t>State</w:t>
      </w:r>
      <w:r w:rsidR="00A03629">
        <w:t xml:space="preserve"> </w:t>
      </w:r>
      <w:r>
        <w:t>of</w:t>
      </w:r>
      <w:r w:rsidR="00A03629">
        <w:t xml:space="preserve"> </w:t>
      </w:r>
      <w:r>
        <w:t>Victoria</w:t>
      </w:r>
      <w:r w:rsidR="00A03629">
        <w:t xml:space="preserve"> </w:t>
      </w:r>
      <w:r>
        <w:t>for</w:t>
      </w:r>
      <w:r w:rsidR="00A03629">
        <w:t xml:space="preserve"> </w:t>
      </w:r>
      <w:r>
        <w:t>the</w:t>
      </w:r>
      <w:r w:rsidR="00A03629">
        <w:t xml:space="preserve"> </w:t>
      </w:r>
      <w:r>
        <w:t>existing</w:t>
      </w:r>
      <w:r w:rsidR="00A03629">
        <w:t xml:space="preserve"> </w:t>
      </w:r>
      <w:r>
        <w:t>facility.</w:t>
      </w:r>
      <w:r w:rsidR="00A03629">
        <w:t xml:space="preserve"> </w:t>
      </w:r>
      <w:r>
        <w:t>It</w:t>
      </w:r>
      <w:r w:rsidR="00A03629">
        <w:t xml:space="preserve"> </w:t>
      </w:r>
      <w:r>
        <w:t>is</w:t>
      </w:r>
      <w:r w:rsidR="00A03629">
        <w:t xml:space="preserve"> </w:t>
      </w:r>
      <w:r>
        <w:t>estimated</w:t>
      </w:r>
      <w:r w:rsidR="00A03629">
        <w:t xml:space="preserve"> </w:t>
      </w:r>
      <w:r>
        <w:t>that</w:t>
      </w:r>
      <w:r w:rsidR="00A03629">
        <w:t xml:space="preserve"> </w:t>
      </w:r>
      <w:r>
        <w:t>as</w:t>
      </w:r>
      <w:r w:rsidR="00A03629">
        <w:t xml:space="preserve"> </w:t>
      </w:r>
      <w:proofErr w:type="gramStart"/>
      <w:r>
        <w:t>at</w:t>
      </w:r>
      <w:proofErr w:type="gramEnd"/>
      <w:r w:rsidR="00A03629">
        <w:t xml:space="preserve"> </w:t>
      </w:r>
      <w:r>
        <w:t>30</w:t>
      </w:r>
      <w:r w:rsidR="00A03629">
        <w:rPr>
          <w:rFonts w:ascii="Cambria" w:hAnsi="Cambria" w:cs="Cambria"/>
        </w:rPr>
        <w:t xml:space="preserve"> </w:t>
      </w:r>
      <w:r>
        <w:t>June</w:t>
      </w:r>
      <w:r w:rsidR="00A03629">
        <w:t xml:space="preserve"> </w:t>
      </w:r>
      <w:r>
        <w:t>2023,</w:t>
      </w:r>
      <w:r w:rsidR="00A03629">
        <w:t xml:space="preserve"> </w:t>
      </w:r>
      <w:r>
        <w:t>these</w:t>
      </w:r>
      <w:r w:rsidR="00A03629">
        <w:t xml:space="preserve"> </w:t>
      </w:r>
      <w:r>
        <w:t>future</w:t>
      </w:r>
      <w:r w:rsidR="00A03629">
        <w:t xml:space="preserve"> </w:t>
      </w:r>
      <w:r>
        <w:t>service</w:t>
      </w:r>
      <w:r w:rsidR="00A03629">
        <w:t xml:space="preserve"> </w:t>
      </w:r>
      <w:r>
        <w:t>payments</w:t>
      </w:r>
      <w:r w:rsidR="00A03629">
        <w:t xml:space="preserve"> </w:t>
      </w:r>
      <w:r>
        <w:t>amount</w:t>
      </w:r>
      <w:r w:rsidR="00A03629">
        <w:t xml:space="preserve"> </w:t>
      </w:r>
      <w:r>
        <w:t>to</w:t>
      </w:r>
      <w:r w:rsidR="00A03629">
        <w:t xml:space="preserve"> </w:t>
      </w:r>
      <w:r>
        <w:t>$285</w:t>
      </w:r>
      <w:r w:rsidR="00A03629">
        <w:rPr>
          <w:rFonts w:ascii="Cambria" w:hAnsi="Cambria" w:cs="Cambria"/>
        </w:rPr>
        <w:t xml:space="preserve"> </w:t>
      </w:r>
      <w:r>
        <w:t>million</w:t>
      </w:r>
      <w:r w:rsidR="00A03629">
        <w:t xml:space="preserve"> </w:t>
      </w:r>
      <w:r>
        <w:t>in</w:t>
      </w:r>
      <w:r w:rsidR="00A03629">
        <w:t xml:space="preserve"> </w:t>
      </w:r>
      <w:r>
        <w:t>net</w:t>
      </w:r>
      <w:r w:rsidR="00A03629">
        <w:t xml:space="preserve"> </w:t>
      </w:r>
      <w:r>
        <w:t>present</w:t>
      </w:r>
      <w:r w:rsidR="00A03629">
        <w:t xml:space="preserve"> </w:t>
      </w:r>
      <w:r>
        <w:t>value</w:t>
      </w:r>
      <w:r w:rsidR="00A03629">
        <w:t xml:space="preserve"> </w:t>
      </w:r>
      <w:r>
        <w:t>terms,</w:t>
      </w:r>
      <w:r w:rsidR="00A03629">
        <w:t xml:space="preserve"> </w:t>
      </w:r>
      <w:r>
        <w:t>or</w:t>
      </w:r>
      <w:r w:rsidR="00A03629">
        <w:t xml:space="preserve"> </w:t>
      </w:r>
      <w:r>
        <w:t>$401</w:t>
      </w:r>
      <w:r w:rsidR="00A03629">
        <w:rPr>
          <w:rFonts w:ascii="Cambria" w:hAnsi="Cambria" w:cs="Cambria"/>
        </w:rPr>
        <w:t xml:space="preserve"> </w:t>
      </w:r>
      <w:r>
        <w:t>million</w:t>
      </w:r>
      <w:r w:rsidR="00A03629">
        <w:t xml:space="preserve"> </w:t>
      </w:r>
      <w:r>
        <w:t>in</w:t>
      </w:r>
      <w:r w:rsidR="00A03629">
        <w:t xml:space="preserve"> </w:t>
      </w:r>
      <w:r>
        <w:t>nominal</w:t>
      </w:r>
      <w:r w:rsidR="00A03629">
        <w:t xml:space="preserve"> </w:t>
      </w:r>
      <w:r>
        <w:t>dollars,</w:t>
      </w:r>
      <w:r w:rsidR="00A03629">
        <w:t xml:space="preserve"> </w:t>
      </w:r>
      <w:r>
        <w:t>over</w:t>
      </w:r>
      <w:r w:rsidR="00A03629">
        <w:t xml:space="preserve"> </w:t>
      </w:r>
      <w:r>
        <w:t>the</w:t>
      </w:r>
      <w:r w:rsidR="00A03629">
        <w:t xml:space="preserve"> </w:t>
      </w:r>
      <w:r>
        <w:t>25</w:t>
      </w:r>
      <w:r w:rsidR="00A03629">
        <w:t xml:space="preserve"> </w:t>
      </w:r>
      <w:r>
        <w:t>year</w:t>
      </w:r>
      <w:r w:rsidR="00A03629">
        <w:t xml:space="preserve"> </w:t>
      </w:r>
      <w:r>
        <w:t>lease</w:t>
      </w:r>
      <w:r w:rsidR="00A03629">
        <w:rPr>
          <w:rFonts w:ascii="Cambria" w:hAnsi="Cambria" w:cs="Cambria"/>
        </w:rPr>
        <w:t xml:space="preserve"> </w:t>
      </w:r>
      <w:r>
        <w:t>term.</w:t>
      </w:r>
    </w:p>
    <w:p w14:paraId="608692D0" w14:textId="4F89464E" w:rsidR="000756EB" w:rsidRDefault="004A4D88" w:rsidP="006B557E">
      <w:r>
        <w:t>Ownership</w:t>
      </w:r>
      <w:r w:rsidR="00A03629">
        <w:t xml:space="preserve"> </w:t>
      </w:r>
      <w:r>
        <w:t>of</w:t>
      </w:r>
      <w:r w:rsidR="00A03629">
        <w:t xml:space="preserve"> </w:t>
      </w:r>
      <w:r>
        <w:t>the</w:t>
      </w:r>
      <w:r w:rsidR="00A03629">
        <w:t xml:space="preserve"> </w:t>
      </w:r>
      <w:r>
        <w:t>MCC</w:t>
      </w:r>
      <w:r w:rsidR="00A03629">
        <w:t xml:space="preserve"> </w:t>
      </w:r>
      <w:r>
        <w:t>facility</w:t>
      </w:r>
      <w:r w:rsidR="00A03629">
        <w:t xml:space="preserve"> </w:t>
      </w:r>
      <w:r>
        <w:t>will</w:t>
      </w:r>
      <w:r w:rsidR="00A03629">
        <w:t xml:space="preserve"> </w:t>
      </w:r>
      <w:r>
        <w:t>transfer</w:t>
      </w:r>
      <w:r w:rsidR="00A03629">
        <w:t xml:space="preserve"> </w:t>
      </w:r>
      <w:r>
        <w:t>to</w:t>
      </w:r>
      <w:r w:rsidR="00A03629">
        <w:t xml:space="preserve"> </w:t>
      </w:r>
      <w:r>
        <w:t>the</w:t>
      </w:r>
      <w:r w:rsidR="00A03629">
        <w:t xml:space="preserve"> </w:t>
      </w:r>
      <w:r>
        <w:t>State</w:t>
      </w:r>
      <w:r w:rsidR="00A03629">
        <w:t xml:space="preserve"> </w:t>
      </w:r>
      <w:r>
        <w:t>of</w:t>
      </w:r>
      <w:r w:rsidR="00A03629">
        <w:t xml:space="preserve"> </w:t>
      </w:r>
      <w:r>
        <w:t>Victoria</w:t>
      </w:r>
      <w:r w:rsidR="00A03629">
        <w:t xml:space="preserve"> </w:t>
      </w:r>
      <w:r>
        <w:t>at</w:t>
      </w:r>
      <w:r w:rsidR="00A03629">
        <w:t xml:space="preserve"> </w:t>
      </w:r>
      <w:r>
        <w:t>the</w:t>
      </w:r>
      <w:r w:rsidR="00A03629">
        <w:t xml:space="preserve"> </w:t>
      </w:r>
      <w:r>
        <w:t>end</w:t>
      </w:r>
      <w:r w:rsidR="00A03629">
        <w:t xml:space="preserve"> </w:t>
      </w:r>
      <w:r>
        <w:t>of</w:t>
      </w:r>
      <w:r w:rsidR="00A03629">
        <w:t xml:space="preserve"> </w:t>
      </w:r>
      <w:r>
        <w:t>the</w:t>
      </w:r>
      <w:r w:rsidR="00A03629">
        <w:t xml:space="preserve"> </w:t>
      </w:r>
      <w:proofErr w:type="gramStart"/>
      <w:r>
        <w:t>25</w:t>
      </w:r>
      <w:r w:rsidR="00A03629">
        <w:t xml:space="preserve"> </w:t>
      </w:r>
      <w:r>
        <w:t>year</w:t>
      </w:r>
      <w:proofErr w:type="gramEnd"/>
      <w:r w:rsidR="00A03629">
        <w:t xml:space="preserve"> </w:t>
      </w:r>
      <w:r>
        <w:t>lease</w:t>
      </w:r>
      <w:r w:rsidR="00A03629">
        <w:t xml:space="preserve"> </w:t>
      </w:r>
      <w:r>
        <w:t>period</w:t>
      </w:r>
      <w:r w:rsidR="00A03629">
        <w:t xml:space="preserve"> </w:t>
      </w:r>
      <w:r>
        <w:t>at</w:t>
      </w:r>
      <w:r w:rsidR="00A03629">
        <w:t xml:space="preserve"> </w:t>
      </w:r>
      <w:r>
        <w:t>no</w:t>
      </w:r>
      <w:r w:rsidR="00A03629">
        <w:t xml:space="preserve"> </w:t>
      </w:r>
      <w:r>
        <w:t>cost.</w:t>
      </w:r>
    </w:p>
    <w:p w14:paraId="25BB322C" w14:textId="6009B3CB" w:rsidR="000756EB" w:rsidRPr="006B557E" w:rsidRDefault="004A4D88" w:rsidP="006B557E">
      <w:pPr>
        <w:pStyle w:val="Normalbeforebullets"/>
        <w:rPr>
          <w:b/>
          <w:bCs/>
        </w:rPr>
      </w:pPr>
      <w:r w:rsidRPr="006B557E">
        <w:rPr>
          <w:b/>
          <w:bCs/>
        </w:rPr>
        <w:t>Melbourne</w:t>
      </w:r>
      <w:r w:rsidR="00A03629" w:rsidRPr="006B557E">
        <w:rPr>
          <w:b/>
          <w:bCs/>
        </w:rPr>
        <w:t xml:space="preserve"> </w:t>
      </w:r>
      <w:r w:rsidRPr="006B557E">
        <w:rPr>
          <w:b/>
          <w:bCs/>
        </w:rPr>
        <w:t>Exhibition</w:t>
      </w:r>
      <w:r w:rsidR="00A03629" w:rsidRPr="006B557E">
        <w:rPr>
          <w:b/>
          <w:bCs/>
        </w:rPr>
        <w:t xml:space="preserve"> </w:t>
      </w:r>
      <w:r w:rsidRPr="006B557E">
        <w:rPr>
          <w:b/>
          <w:bCs/>
        </w:rPr>
        <w:t>and</w:t>
      </w:r>
      <w:r w:rsidR="00A03629" w:rsidRPr="006B557E">
        <w:rPr>
          <w:b/>
          <w:bCs/>
        </w:rPr>
        <w:t xml:space="preserve"> </w:t>
      </w:r>
      <w:r w:rsidRPr="006B557E">
        <w:rPr>
          <w:b/>
          <w:bCs/>
        </w:rPr>
        <w:t>Convention</w:t>
      </w:r>
      <w:r w:rsidR="00A03629" w:rsidRPr="006B557E">
        <w:rPr>
          <w:b/>
          <w:bCs/>
        </w:rPr>
        <w:t xml:space="preserve"> </w:t>
      </w:r>
      <w:r w:rsidRPr="006B557E">
        <w:rPr>
          <w:b/>
          <w:bCs/>
        </w:rPr>
        <w:t>Centre</w:t>
      </w:r>
      <w:r w:rsidR="00A03629" w:rsidRPr="006B557E">
        <w:rPr>
          <w:b/>
          <w:bCs/>
        </w:rPr>
        <w:t xml:space="preserve"> </w:t>
      </w:r>
      <w:r w:rsidRPr="006B557E">
        <w:rPr>
          <w:b/>
          <w:bCs/>
        </w:rPr>
        <w:t>(Expansion</w:t>
      </w:r>
      <w:r w:rsidR="00A03629" w:rsidRPr="006B557E">
        <w:rPr>
          <w:b/>
          <w:bCs/>
        </w:rPr>
        <w:t xml:space="preserve"> </w:t>
      </w:r>
      <w:r w:rsidRPr="006B557E">
        <w:rPr>
          <w:b/>
          <w:bCs/>
        </w:rPr>
        <w:t>Stage)</w:t>
      </w:r>
      <w:r w:rsidR="00A03629" w:rsidRPr="006B557E">
        <w:rPr>
          <w:b/>
          <w:bCs/>
        </w:rPr>
        <w:t xml:space="preserve"> </w:t>
      </w:r>
    </w:p>
    <w:p w14:paraId="19807816" w14:textId="6C1A405E" w:rsidR="000756EB" w:rsidRDefault="004A4D88" w:rsidP="006B557E">
      <w:r>
        <w:t>The</w:t>
      </w:r>
      <w:r w:rsidR="00A03629">
        <w:t xml:space="preserve"> </w:t>
      </w:r>
      <w:r>
        <w:t>Melbourne</w:t>
      </w:r>
      <w:r w:rsidR="00A03629">
        <w:t xml:space="preserve"> </w:t>
      </w:r>
      <w:r>
        <w:t>Convention</w:t>
      </w:r>
      <w:r w:rsidR="00A03629">
        <w:t xml:space="preserve"> </w:t>
      </w:r>
      <w:r>
        <w:t>and</w:t>
      </w:r>
      <w:r w:rsidR="00A03629">
        <w:t xml:space="preserve"> </w:t>
      </w:r>
      <w:r>
        <w:t>Exhibition</w:t>
      </w:r>
      <w:r w:rsidR="00A03629">
        <w:t xml:space="preserve"> </w:t>
      </w:r>
      <w:r>
        <w:t>Centre</w:t>
      </w:r>
      <w:r w:rsidR="00A03629">
        <w:t xml:space="preserve"> </w:t>
      </w:r>
      <w:r>
        <w:t>Expansion</w:t>
      </w:r>
      <w:r w:rsidR="00A03629">
        <w:t xml:space="preserve"> </w:t>
      </w:r>
      <w:r>
        <w:t>Project</w:t>
      </w:r>
      <w:r w:rsidR="00A03629">
        <w:t xml:space="preserve"> </w:t>
      </w:r>
      <w:r>
        <w:t>(Stage</w:t>
      </w:r>
      <w:r w:rsidR="00A03629">
        <w:t xml:space="preserve"> </w:t>
      </w:r>
      <w:r>
        <w:t>2)</w:t>
      </w:r>
      <w:r w:rsidR="00A03629">
        <w:t xml:space="preserve"> </w:t>
      </w:r>
      <w:r>
        <w:t>was</w:t>
      </w:r>
      <w:r w:rsidR="00A03629">
        <w:t xml:space="preserve"> </w:t>
      </w:r>
      <w:r>
        <w:t>announced</w:t>
      </w:r>
      <w:r w:rsidR="00A03629">
        <w:t xml:space="preserve"> </w:t>
      </w:r>
      <w:r>
        <w:t>in</w:t>
      </w:r>
      <w:r w:rsidR="00A03629">
        <w:t xml:space="preserve"> </w:t>
      </w:r>
      <w:r>
        <w:t>the</w:t>
      </w:r>
      <w:r w:rsidR="00A03629">
        <w:t xml:space="preserve"> </w:t>
      </w:r>
      <w:r>
        <w:t>2015–16</w:t>
      </w:r>
      <w:r w:rsidR="00A03629">
        <w:t xml:space="preserve"> </w:t>
      </w:r>
      <w:r>
        <w:t>Budget.</w:t>
      </w:r>
      <w:r w:rsidR="00A03629">
        <w:t xml:space="preserve"> </w:t>
      </w:r>
      <w:r>
        <w:t>The</w:t>
      </w:r>
      <w:r w:rsidR="00A03629">
        <w:t xml:space="preserve"> </w:t>
      </w:r>
      <w:r>
        <w:t>project</w:t>
      </w:r>
      <w:r w:rsidR="00A03629">
        <w:t xml:space="preserve"> </w:t>
      </w:r>
      <w:r>
        <w:t>was</w:t>
      </w:r>
      <w:r w:rsidR="00A03629">
        <w:t xml:space="preserve"> </w:t>
      </w:r>
      <w:r>
        <w:t>being</w:t>
      </w:r>
      <w:r w:rsidR="00A03629">
        <w:t xml:space="preserve"> </w:t>
      </w:r>
      <w:r>
        <w:t>delivered</w:t>
      </w:r>
      <w:r w:rsidR="00A03629">
        <w:t xml:space="preserve"> </w:t>
      </w:r>
      <w:r>
        <w:t>as</w:t>
      </w:r>
      <w:r w:rsidR="00A03629">
        <w:t xml:space="preserve"> </w:t>
      </w:r>
      <w:r>
        <w:t>a</w:t>
      </w:r>
      <w:r w:rsidR="00A03629">
        <w:t xml:space="preserve"> </w:t>
      </w:r>
      <w:r>
        <w:t>modification</w:t>
      </w:r>
      <w:r w:rsidR="00A03629">
        <w:t xml:space="preserve"> </w:t>
      </w:r>
      <w:r>
        <w:t>under</w:t>
      </w:r>
      <w:r w:rsidR="00A03629">
        <w:t xml:space="preserve"> </w:t>
      </w:r>
      <w:r>
        <w:t>the</w:t>
      </w:r>
      <w:r w:rsidR="00A03629">
        <w:t xml:space="preserve"> </w:t>
      </w:r>
      <w:r>
        <w:t>existing</w:t>
      </w:r>
      <w:r w:rsidR="00A03629">
        <w:t xml:space="preserve"> </w:t>
      </w:r>
      <w:r>
        <w:t>Melbourne</w:t>
      </w:r>
      <w:r w:rsidR="00A03629">
        <w:t xml:space="preserve"> </w:t>
      </w:r>
      <w:r>
        <w:t>Convention</w:t>
      </w:r>
      <w:r w:rsidR="00A03629">
        <w:t xml:space="preserve"> </w:t>
      </w:r>
      <w:r>
        <w:t>Centre</w:t>
      </w:r>
      <w:r w:rsidR="00A03629">
        <w:t xml:space="preserve"> </w:t>
      </w:r>
      <w:r>
        <w:t>Development</w:t>
      </w:r>
      <w:r w:rsidR="00A03629">
        <w:t xml:space="preserve"> </w:t>
      </w:r>
      <w:r>
        <w:t>(MCCD)</w:t>
      </w:r>
      <w:r w:rsidR="00A03629">
        <w:t xml:space="preserve"> </w:t>
      </w:r>
      <w:r>
        <w:t>Project.</w:t>
      </w:r>
      <w:r w:rsidR="00A03629">
        <w:t xml:space="preserve"> </w:t>
      </w:r>
      <w:r>
        <w:t>The</w:t>
      </w:r>
      <w:r w:rsidR="00A03629">
        <w:t xml:space="preserve"> </w:t>
      </w:r>
      <w:r>
        <w:t>project</w:t>
      </w:r>
      <w:r w:rsidR="00A03629">
        <w:t xml:space="preserve"> </w:t>
      </w:r>
      <w:r>
        <w:t>extended</w:t>
      </w:r>
      <w:r w:rsidR="00A03629">
        <w:t xml:space="preserve"> </w:t>
      </w:r>
      <w:r>
        <w:t>the</w:t>
      </w:r>
      <w:r w:rsidR="00A03629">
        <w:t xml:space="preserve"> </w:t>
      </w:r>
      <w:r>
        <w:t>existing</w:t>
      </w:r>
      <w:r w:rsidR="00A03629">
        <w:t xml:space="preserve"> </w:t>
      </w:r>
      <w:r>
        <w:t>MCEC</w:t>
      </w:r>
      <w:r w:rsidR="00A03629">
        <w:t xml:space="preserve"> </w:t>
      </w:r>
      <w:r>
        <w:t>facilities,</w:t>
      </w:r>
      <w:r w:rsidR="00A03629">
        <w:t xml:space="preserve"> </w:t>
      </w:r>
      <w:r>
        <w:t>adding</w:t>
      </w:r>
      <w:r w:rsidR="00A03629">
        <w:t xml:space="preserve"> </w:t>
      </w:r>
      <w:r>
        <w:t>nearly</w:t>
      </w:r>
      <w:r w:rsidR="00A03629">
        <w:t xml:space="preserve"> </w:t>
      </w:r>
      <w:r>
        <w:t>20,000</w:t>
      </w:r>
      <w:r w:rsidR="00A03629">
        <w:t xml:space="preserve"> </w:t>
      </w:r>
      <w:r>
        <w:t>square</w:t>
      </w:r>
      <w:r w:rsidR="00A03629">
        <w:t xml:space="preserve"> </w:t>
      </w:r>
      <w:r>
        <w:t>metres</w:t>
      </w:r>
      <w:r w:rsidR="00A03629">
        <w:t xml:space="preserve"> </w:t>
      </w:r>
      <w:r>
        <w:t>of</w:t>
      </w:r>
      <w:r w:rsidR="00A03629">
        <w:t xml:space="preserve"> </w:t>
      </w:r>
      <w:r>
        <w:t>flexible,</w:t>
      </w:r>
      <w:r w:rsidR="00A03629">
        <w:t xml:space="preserve"> </w:t>
      </w:r>
      <w:r>
        <w:t>multi-purpose</w:t>
      </w:r>
      <w:r w:rsidR="00A03629">
        <w:t xml:space="preserve"> </w:t>
      </w:r>
      <w:r>
        <w:t>event</w:t>
      </w:r>
      <w:r w:rsidR="00A03629">
        <w:t xml:space="preserve"> </w:t>
      </w:r>
      <w:r>
        <w:t>space,</w:t>
      </w:r>
      <w:r w:rsidR="00A03629">
        <w:t xml:space="preserve"> </w:t>
      </w:r>
      <w:r>
        <w:t>including</w:t>
      </w:r>
      <w:r w:rsidR="00A03629">
        <w:t xml:space="preserve"> </w:t>
      </w:r>
      <w:r>
        <w:t>meeting</w:t>
      </w:r>
      <w:r w:rsidR="00A03629">
        <w:t xml:space="preserve"> </w:t>
      </w:r>
      <w:r>
        <w:t>rooms,</w:t>
      </w:r>
      <w:r w:rsidR="00A03629">
        <w:t xml:space="preserve"> </w:t>
      </w:r>
      <w:r>
        <w:t>a</w:t>
      </w:r>
      <w:r w:rsidR="00A03629">
        <w:t xml:space="preserve"> </w:t>
      </w:r>
      <w:r>
        <w:t>new</w:t>
      </w:r>
      <w:r w:rsidR="00A03629">
        <w:t xml:space="preserve"> </w:t>
      </w:r>
      <w:r>
        <w:t>banquet</w:t>
      </w:r>
      <w:r w:rsidR="00A03629">
        <w:t xml:space="preserve"> </w:t>
      </w:r>
      <w:r>
        <w:t>hall</w:t>
      </w:r>
      <w:r w:rsidR="00A03629">
        <w:t xml:space="preserve"> </w:t>
      </w:r>
      <w:r>
        <w:t>and</w:t>
      </w:r>
      <w:r w:rsidR="00A03629">
        <w:t xml:space="preserve"> </w:t>
      </w:r>
      <w:r>
        <w:t>9,000</w:t>
      </w:r>
      <w:r w:rsidR="00A03629">
        <w:t xml:space="preserve"> </w:t>
      </w:r>
      <w:r>
        <w:t>square</w:t>
      </w:r>
      <w:r w:rsidR="00A03629">
        <w:t xml:space="preserve"> </w:t>
      </w:r>
      <w:r>
        <w:t>metres</w:t>
      </w:r>
      <w:r w:rsidR="00A03629">
        <w:t xml:space="preserve"> </w:t>
      </w:r>
      <w:r>
        <w:t>of</w:t>
      </w:r>
      <w:r w:rsidR="00A03629">
        <w:t xml:space="preserve"> </w:t>
      </w:r>
      <w:r>
        <w:t>new</w:t>
      </w:r>
      <w:r w:rsidR="00A03629">
        <w:t xml:space="preserve"> </w:t>
      </w:r>
      <w:r>
        <w:t>exhibition</w:t>
      </w:r>
      <w:r w:rsidR="00A03629">
        <w:t xml:space="preserve"> </w:t>
      </w:r>
      <w:r>
        <w:t>space,</w:t>
      </w:r>
      <w:r w:rsidR="00A03629">
        <w:t xml:space="preserve"> </w:t>
      </w:r>
      <w:r>
        <w:t>and</w:t>
      </w:r>
      <w:r w:rsidR="00A03629">
        <w:t xml:space="preserve"> </w:t>
      </w:r>
      <w:r>
        <w:t>a</w:t>
      </w:r>
      <w:r w:rsidR="00A03629">
        <w:t xml:space="preserve"> </w:t>
      </w:r>
      <w:r>
        <w:t>central</w:t>
      </w:r>
      <w:r w:rsidR="00A03629">
        <w:t xml:space="preserve"> </w:t>
      </w:r>
      <w:r>
        <w:t>hub</w:t>
      </w:r>
      <w:r w:rsidR="00A03629">
        <w:t xml:space="preserve"> </w:t>
      </w:r>
      <w:r>
        <w:t>linking</w:t>
      </w:r>
      <w:r w:rsidR="00A03629">
        <w:t xml:space="preserve"> </w:t>
      </w:r>
      <w:r>
        <w:t>to</w:t>
      </w:r>
      <w:r w:rsidR="00A03629">
        <w:t xml:space="preserve"> </w:t>
      </w:r>
      <w:r>
        <w:t>the</w:t>
      </w:r>
      <w:r w:rsidR="00A03629">
        <w:t xml:space="preserve"> </w:t>
      </w:r>
      <w:r>
        <w:t>existing</w:t>
      </w:r>
      <w:r w:rsidR="00A03629">
        <w:t xml:space="preserve"> </w:t>
      </w:r>
      <w:r>
        <w:t>MCEC</w:t>
      </w:r>
      <w:r w:rsidR="00A03629">
        <w:t xml:space="preserve"> </w:t>
      </w:r>
      <w:r>
        <w:t>facilities.</w:t>
      </w:r>
      <w:r w:rsidR="00A03629">
        <w:t xml:space="preserve"> </w:t>
      </w:r>
      <w:r>
        <w:t>On</w:t>
      </w:r>
      <w:r w:rsidR="00A03629">
        <w:t xml:space="preserve"> </w:t>
      </w:r>
      <w:r>
        <w:t>28</w:t>
      </w:r>
      <w:r w:rsidR="00A03629">
        <w:t xml:space="preserve"> </w:t>
      </w:r>
      <w:r>
        <w:t>May</w:t>
      </w:r>
      <w:r w:rsidR="00A03629">
        <w:t xml:space="preserve"> </w:t>
      </w:r>
      <w:r>
        <w:t>2016,</w:t>
      </w:r>
      <w:r w:rsidR="00A03629">
        <w:t xml:space="preserve"> </w:t>
      </w:r>
      <w:r>
        <w:t>the</w:t>
      </w:r>
      <w:r w:rsidR="00A03629">
        <w:t xml:space="preserve"> </w:t>
      </w:r>
      <w:r>
        <w:t>State</w:t>
      </w:r>
      <w:r w:rsidR="00A03629">
        <w:t xml:space="preserve"> </w:t>
      </w:r>
      <w:r>
        <w:t>entered</w:t>
      </w:r>
      <w:r w:rsidR="00A03629">
        <w:t xml:space="preserve"> </w:t>
      </w:r>
      <w:r>
        <w:t>into</w:t>
      </w:r>
      <w:r w:rsidR="00A03629">
        <w:t xml:space="preserve"> </w:t>
      </w:r>
      <w:r>
        <w:t>a</w:t>
      </w:r>
      <w:r w:rsidR="00A03629">
        <w:t xml:space="preserve"> </w:t>
      </w:r>
      <w:r>
        <w:t>Project</w:t>
      </w:r>
      <w:r w:rsidR="00A03629">
        <w:t xml:space="preserve"> </w:t>
      </w:r>
      <w:r>
        <w:t>Agreement</w:t>
      </w:r>
      <w:r w:rsidR="00A03629">
        <w:t xml:space="preserve"> </w:t>
      </w:r>
      <w:r>
        <w:t>with</w:t>
      </w:r>
      <w:r w:rsidR="00A03629">
        <w:t xml:space="preserve"> </w:t>
      </w:r>
      <w:r>
        <w:t>MECE</w:t>
      </w:r>
      <w:r w:rsidR="00A03629">
        <w:t xml:space="preserve"> </w:t>
      </w:r>
      <w:r>
        <w:t>Project</w:t>
      </w:r>
      <w:r w:rsidR="00A03629">
        <w:t xml:space="preserve"> </w:t>
      </w:r>
      <w:r>
        <w:t>Pty</w:t>
      </w:r>
      <w:r w:rsidR="00A03629">
        <w:t xml:space="preserve"> </w:t>
      </w:r>
      <w:r>
        <w:t>Ltd</w:t>
      </w:r>
      <w:r w:rsidR="00A03629">
        <w:t xml:space="preserve"> </w:t>
      </w:r>
      <w:r>
        <w:t>(the</w:t>
      </w:r>
      <w:r w:rsidR="00A03629">
        <w:t xml:space="preserve"> </w:t>
      </w:r>
      <w:r>
        <w:t>Concessionaire)</w:t>
      </w:r>
      <w:r w:rsidR="00A03629">
        <w:t xml:space="preserve"> </w:t>
      </w:r>
      <w:r>
        <w:t>for</w:t>
      </w:r>
      <w:r w:rsidR="00A03629">
        <w:t xml:space="preserve"> </w:t>
      </w:r>
      <w:r>
        <w:t>the</w:t>
      </w:r>
      <w:r w:rsidR="00A03629">
        <w:t xml:space="preserve"> </w:t>
      </w:r>
      <w:r>
        <w:t>design,</w:t>
      </w:r>
      <w:r w:rsidR="00A03629">
        <w:t xml:space="preserve"> </w:t>
      </w:r>
      <w:r>
        <w:t>construction,</w:t>
      </w:r>
      <w:r w:rsidR="00A03629">
        <w:t xml:space="preserve"> </w:t>
      </w:r>
      <w:r>
        <w:t>partial</w:t>
      </w:r>
      <w:r w:rsidR="00A03629">
        <w:t xml:space="preserve"> </w:t>
      </w:r>
      <w:proofErr w:type="gramStart"/>
      <w:r>
        <w:t>financing</w:t>
      </w:r>
      <w:proofErr w:type="gramEnd"/>
      <w:r w:rsidR="00A03629">
        <w:t xml:space="preserve"> </w:t>
      </w:r>
      <w:r>
        <w:t>and</w:t>
      </w:r>
      <w:r w:rsidR="00A03629">
        <w:t xml:space="preserve"> </w:t>
      </w:r>
      <w:r>
        <w:t>maintenance</w:t>
      </w:r>
      <w:r w:rsidR="00A03629">
        <w:t xml:space="preserve"> </w:t>
      </w:r>
      <w:r>
        <w:t>of</w:t>
      </w:r>
      <w:r w:rsidR="00A03629">
        <w:t xml:space="preserve"> </w:t>
      </w:r>
      <w:r>
        <w:t>the</w:t>
      </w:r>
      <w:r w:rsidR="00A03629">
        <w:t xml:space="preserve"> </w:t>
      </w:r>
      <w:r>
        <w:t>MCEC</w:t>
      </w:r>
      <w:r w:rsidR="00A03629">
        <w:t xml:space="preserve"> </w:t>
      </w:r>
      <w:r>
        <w:t>Expansion</w:t>
      </w:r>
      <w:r w:rsidR="00A03629">
        <w:t xml:space="preserve"> </w:t>
      </w:r>
      <w:r>
        <w:t>over</w:t>
      </w:r>
      <w:r w:rsidR="00A03629">
        <w:t xml:space="preserve"> </w:t>
      </w:r>
      <w:r>
        <w:t>the</w:t>
      </w:r>
      <w:r w:rsidR="00A03629">
        <w:t xml:space="preserve"> </w:t>
      </w:r>
      <w:r>
        <w:t>project’s</w:t>
      </w:r>
      <w:r w:rsidR="00A03629">
        <w:t xml:space="preserve"> </w:t>
      </w:r>
      <w:r>
        <w:t>operating</w:t>
      </w:r>
      <w:r w:rsidR="00A03629">
        <w:t xml:space="preserve"> </w:t>
      </w:r>
      <w:r>
        <w:t>term</w:t>
      </w:r>
      <w:r w:rsidR="00A03629">
        <w:t xml:space="preserve"> </w:t>
      </w:r>
      <w:r>
        <w:t>to</w:t>
      </w:r>
      <w:r w:rsidR="00A03629">
        <w:t xml:space="preserve"> </w:t>
      </w:r>
      <w:r>
        <w:t>2034.</w:t>
      </w:r>
      <w:r w:rsidR="00A03629">
        <w:t xml:space="preserve"> </w:t>
      </w:r>
      <w:r>
        <w:t>The</w:t>
      </w:r>
      <w:r w:rsidR="00A03629">
        <w:t xml:space="preserve"> </w:t>
      </w:r>
      <w:r>
        <w:t>project</w:t>
      </w:r>
      <w:r w:rsidR="00A03629">
        <w:t xml:space="preserve"> </w:t>
      </w:r>
      <w:r>
        <w:t>operation</w:t>
      </w:r>
      <w:r w:rsidR="00A03629">
        <w:t xml:space="preserve"> </w:t>
      </w:r>
      <w:r>
        <w:t>term</w:t>
      </w:r>
      <w:r w:rsidR="00A03629">
        <w:t xml:space="preserve"> </w:t>
      </w:r>
      <w:r>
        <w:t>is</w:t>
      </w:r>
      <w:r w:rsidR="00A03629">
        <w:t xml:space="preserve"> </w:t>
      </w:r>
      <w:r>
        <w:t>16</w:t>
      </w:r>
      <w:r w:rsidR="00A03629">
        <w:t xml:space="preserve"> </w:t>
      </w:r>
      <w:r>
        <w:t>years</w:t>
      </w:r>
      <w:r w:rsidR="00A03629">
        <w:t xml:space="preserve"> </w:t>
      </w:r>
      <w:r>
        <w:t>for</w:t>
      </w:r>
      <w:r w:rsidR="00A03629">
        <w:t xml:space="preserve"> </w:t>
      </w:r>
      <w:r>
        <w:t>partial</w:t>
      </w:r>
      <w:r w:rsidR="00A03629">
        <w:t xml:space="preserve"> </w:t>
      </w:r>
      <w:r>
        <w:t>build</w:t>
      </w:r>
      <w:r w:rsidR="00A03629">
        <w:t xml:space="preserve"> </w:t>
      </w:r>
      <w:r>
        <w:t>cost.</w:t>
      </w:r>
      <w:r w:rsidR="00A03629">
        <w:t xml:space="preserve"> </w:t>
      </w:r>
      <w:r>
        <w:t>The</w:t>
      </w:r>
      <w:r w:rsidR="00A03629">
        <w:t xml:space="preserve"> </w:t>
      </w:r>
      <w:r>
        <w:t>MCEC</w:t>
      </w:r>
      <w:r w:rsidR="00A03629">
        <w:t xml:space="preserve"> </w:t>
      </w:r>
      <w:r>
        <w:t>Expansion</w:t>
      </w:r>
      <w:r w:rsidR="00A03629">
        <w:t xml:space="preserve"> </w:t>
      </w:r>
      <w:r>
        <w:t>was</w:t>
      </w:r>
      <w:r w:rsidR="00A03629">
        <w:t xml:space="preserve"> </w:t>
      </w:r>
      <w:r>
        <w:t>officially</w:t>
      </w:r>
      <w:r w:rsidR="00A03629">
        <w:t xml:space="preserve"> </w:t>
      </w:r>
      <w:r>
        <w:t>opened</w:t>
      </w:r>
      <w:r w:rsidR="00A03629">
        <w:t xml:space="preserve"> </w:t>
      </w:r>
      <w:r>
        <w:t>on</w:t>
      </w:r>
      <w:r w:rsidR="00A03629">
        <w:t xml:space="preserve"> </w:t>
      </w:r>
      <w:r>
        <w:t>8</w:t>
      </w:r>
      <w:r w:rsidR="00A03629">
        <w:t xml:space="preserve"> </w:t>
      </w:r>
      <w:r>
        <w:t>July</w:t>
      </w:r>
      <w:r w:rsidR="00A03629">
        <w:t xml:space="preserve"> </w:t>
      </w:r>
      <w:r>
        <w:t>2018,</w:t>
      </w:r>
      <w:r w:rsidR="00A03629">
        <w:t xml:space="preserve"> </w:t>
      </w:r>
      <w:r>
        <w:t>with</w:t>
      </w:r>
      <w:r w:rsidR="00A03629">
        <w:t xml:space="preserve"> </w:t>
      </w:r>
      <w:r>
        <w:t>Commercial</w:t>
      </w:r>
      <w:r w:rsidR="00A03629">
        <w:t xml:space="preserve"> </w:t>
      </w:r>
      <w:r>
        <w:t>Acceptance</w:t>
      </w:r>
      <w:r w:rsidR="00A03629">
        <w:t xml:space="preserve"> </w:t>
      </w:r>
      <w:r>
        <w:t>achieved</w:t>
      </w:r>
      <w:r w:rsidR="00A03629">
        <w:t xml:space="preserve"> </w:t>
      </w:r>
      <w:r>
        <w:t>on</w:t>
      </w:r>
      <w:r w:rsidR="00A03629">
        <w:t xml:space="preserve"> </w:t>
      </w:r>
      <w:r>
        <w:t>13</w:t>
      </w:r>
      <w:r w:rsidR="00A03629">
        <w:t xml:space="preserve"> </w:t>
      </w:r>
      <w:r>
        <w:t>July</w:t>
      </w:r>
      <w:r w:rsidR="00A03629">
        <w:t xml:space="preserve"> </w:t>
      </w:r>
      <w:r>
        <w:t>2018.</w:t>
      </w:r>
    </w:p>
    <w:p w14:paraId="37135EB2" w14:textId="75962EED" w:rsidR="000756EB" w:rsidRDefault="004A4D88" w:rsidP="006B557E">
      <w:pPr>
        <w:pStyle w:val="Heading1"/>
      </w:pPr>
      <w:bookmarkStart w:id="113" w:name="_Toc149911830"/>
      <w:r>
        <w:lastRenderedPageBreak/>
        <w:t>8.</w:t>
      </w:r>
      <w:r w:rsidR="00A03629">
        <w:t xml:space="preserve"> </w:t>
      </w:r>
      <w:r>
        <w:t>Risks,</w:t>
      </w:r>
      <w:r w:rsidR="00A03629">
        <w:t xml:space="preserve"> </w:t>
      </w:r>
      <w:r>
        <w:t>Contingencies</w:t>
      </w:r>
      <w:r w:rsidR="006B557E">
        <w:t xml:space="preserve"> </w:t>
      </w:r>
      <w:r>
        <w:t>and</w:t>
      </w:r>
      <w:r w:rsidR="00A03629">
        <w:t xml:space="preserve"> </w:t>
      </w:r>
      <w:r>
        <w:t>Valuation</w:t>
      </w:r>
      <w:r w:rsidR="00A03629">
        <w:t xml:space="preserve"> </w:t>
      </w:r>
      <w:r>
        <w:t>Judgements</w:t>
      </w:r>
      <w:bookmarkEnd w:id="113"/>
    </w:p>
    <w:p w14:paraId="7D24AE00" w14:textId="77777777" w:rsidR="000756EB" w:rsidRDefault="004A4D88" w:rsidP="006B557E">
      <w:pPr>
        <w:pStyle w:val="Heading2"/>
      </w:pPr>
      <w:bookmarkStart w:id="114" w:name="_Toc149911831"/>
      <w:r>
        <w:t>Introduction</w:t>
      </w:r>
      <w:bookmarkEnd w:id="114"/>
    </w:p>
    <w:p w14:paraId="03341FF4" w14:textId="4A858345" w:rsidR="000756EB" w:rsidRDefault="004A4D88" w:rsidP="006B557E">
      <w:r>
        <w:t>DJSIR</w:t>
      </w:r>
      <w:r w:rsidR="00A03629">
        <w:t xml:space="preserve"> </w:t>
      </w:r>
      <w:r>
        <w:t>is</w:t>
      </w:r>
      <w:r w:rsidR="00A03629">
        <w:t xml:space="preserve"> </w:t>
      </w:r>
      <w:r>
        <w:t>exposed</w:t>
      </w:r>
      <w:r w:rsidR="00A03629">
        <w:t xml:space="preserve"> </w:t>
      </w:r>
      <w:r>
        <w:t>to</w:t>
      </w:r>
      <w:r w:rsidR="00A03629">
        <w:t xml:space="preserve"> </w:t>
      </w:r>
      <w:r>
        <w:t>risk</w:t>
      </w:r>
      <w:r w:rsidR="00A03629">
        <w:t xml:space="preserve"> </w:t>
      </w:r>
      <w:r>
        <w:t>from</w:t>
      </w:r>
      <w:r w:rsidR="00A03629">
        <w:t xml:space="preserve"> </w:t>
      </w:r>
      <w:r>
        <w:t>its</w:t>
      </w:r>
      <w:r w:rsidR="00A03629">
        <w:t xml:space="preserve"> </w:t>
      </w:r>
      <w:r>
        <w:t>activities</w:t>
      </w:r>
      <w:r w:rsidR="00A03629">
        <w:t xml:space="preserve"> </w:t>
      </w:r>
      <w:r>
        <w:t>and</w:t>
      </w:r>
      <w:r w:rsidR="00A03629">
        <w:t xml:space="preserve"> </w:t>
      </w:r>
      <w:r>
        <w:t>outside</w:t>
      </w:r>
      <w:r w:rsidR="00A03629">
        <w:t xml:space="preserve"> </w:t>
      </w:r>
      <w:r>
        <w:t>factors.</w:t>
      </w:r>
      <w:r w:rsidR="00A03629">
        <w:t xml:space="preserve"> </w:t>
      </w:r>
      <w:r>
        <w:t>In</w:t>
      </w:r>
      <w:r w:rsidR="00A03629">
        <w:t xml:space="preserve"> </w:t>
      </w:r>
      <w:r>
        <w:t>addition,</w:t>
      </w:r>
      <w:r w:rsidR="00A03629">
        <w:t xml:space="preserve"> </w:t>
      </w:r>
      <w:r>
        <w:t>it</w:t>
      </w:r>
      <w:r w:rsidR="00A03629">
        <w:t xml:space="preserve"> </w:t>
      </w:r>
      <w:r>
        <w:t>is</w:t>
      </w:r>
      <w:r w:rsidR="00A03629">
        <w:t xml:space="preserve"> </w:t>
      </w:r>
      <w:r>
        <w:t>often</w:t>
      </w:r>
      <w:r w:rsidR="00A03629">
        <w:t xml:space="preserve"> </w:t>
      </w:r>
      <w:r>
        <w:t>necessary</w:t>
      </w:r>
      <w:r w:rsidR="00A03629">
        <w:t xml:space="preserve"> </w:t>
      </w:r>
      <w:r>
        <w:t>to</w:t>
      </w:r>
      <w:r w:rsidR="00A03629">
        <w:t xml:space="preserve"> </w:t>
      </w:r>
      <w:r>
        <w:t>make</w:t>
      </w:r>
      <w:r w:rsidR="00A03629">
        <w:t xml:space="preserve"> </w:t>
      </w:r>
      <w:r>
        <w:t>judgements</w:t>
      </w:r>
      <w:r w:rsidR="00A03629">
        <w:t xml:space="preserve"> </w:t>
      </w:r>
      <w:r>
        <w:t>and</w:t>
      </w:r>
      <w:r w:rsidR="00A03629">
        <w:t xml:space="preserve"> </w:t>
      </w:r>
      <w:r>
        <w:t>estimates</w:t>
      </w:r>
      <w:r w:rsidR="00A03629">
        <w:t xml:space="preserve"> </w:t>
      </w:r>
      <w:r>
        <w:t>associated</w:t>
      </w:r>
      <w:r w:rsidR="00A03629">
        <w:t xml:space="preserve"> </w:t>
      </w:r>
      <w:r>
        <w:t>with</w:t>
      </w:r>
      <w:r w:rsidR="00A03629">
        <w:t xml:space="preserve"> </w:t>
      </w:r>
      <w:r>
        <w:t>recognition</w:t>
      </w:r>
      <w:r w:rsidR="00A03629">
        <w:t xml:space="preserve"> </w:t>
      </w:r>
      <w:r>
        <w:t>and</w:t>
      </w:r>
      <w:r w:rsidR="00A03629">
        <w:t xml:space="preserve"> </w:t>
      </w:r>
      <w:r>
        <w:t>measurement</w:t>
      </w:r>
      <w:r w:rsidR="00A03629">
        <w:t xml:space="preserve"> </w:t>
      </w:r>
      <w:r>
        <w:t>of</w:t>
      </w:r>
      <w:r w:rsidR="00A03629">
        <w:t xml:space="preserve"> </w:t>
      </w:r>
      <w:r>
        <w:t>items</w:t>
      </w:r>
      <w:r w:rsidR="00A03629">
        <w:t xml:space="preserve"> </w:t>
      </w:r>
      <w:r>
        <w:t>in</w:t>
      </w:r>
      <w:r w:rsidR="00A03629">
        <w:t xml:space="preserve"> </w:t>
      </w:r>
      <w:r>
        <w:t>the</w:t>
      </w:r>
      <w:r w:rsidR="00A03629">
        <w:t xml:space="preserve"> </w:t>
      </w:r>
      <w:r>
        <w:t>financial</w:t>
      </w:r>
      <w:r w:rsidR="00A03629">
        <w:t xml:space="preserve"> </w:t>
      </w:r>
      <w:r>
        <w:t>statements.</w:t>
      </w:r>
      <w:r w:rsidR="00A03629">
        <w:t xml:space="preserve"> </w:t>
      </w:r>
      <w:r>
        <w:t>This</w:t>
      </w:r>
      <w:r w:rsidR="00A03629">
        <w:t xml:space="preserve"> </w:t>
      </w:r>
      <w:r>
        <w:t>section</w:t>
      </w:r>
      <w:r w:rsidR="00A03629">
        <w:t xml:space="preserve"> </w:t>
      </w:r>
      <w:r>
        <w:t>sets</w:t>
      </w:r>
      <w:r w:rsidR="00A03629">
        <w:t xml:space="preserve"> </w:t>
      </w:r>
      <w:r>
        <w:t>out</w:t>
      </w:r>
      <w:r w:rsidR="00A03629">
        <w:t xml:space="preserve"> </w:t>
      </w:r>
      <w:r>
        <w:t>financial</w:t>
      </w:r>
      <w:r w:rsidR="00A03629">
        <w:t xml:space="preserve"> </w:t>
      </w:r>
      <w:r>
        <w:t>instrument</w:t>
      </w:r>
      <w:r w:rsidR="00A03629">
        <w:t xml:space="preserve"> </w:t>
      </w:r>
      <w:r>
        <w:t>specific</w:t>
      </w:r>
      <w:r w:rsidR="00A03629">
        <w:t xml:space="preserve"> </w:t>
      </w:r>
      <w:r>
        <w:t>information,</w:t>
      </w:r>
      <w:r w:rsidR="00A03629">
        <w:t xml:space="preserve"> </w:t>
      </w:r>
      <w:r>
        <w:t>(including</w:t>
      </w:r>
      <w:r w:rsidR="00A03629">
        <w:t xml:space="preserve"> </w:t>
      </w:r>
      <w:r>
        <w:t>exposures</w:t>
      </w:r>
      <w:r w:rsidR="00A03629">
        <w:t xml:space="preserve"> </w:t>
      </w:r>
      <w:r>
        <w:t>to</w:t>
      </w:r>
      <w:r w:rsidR="00A03629">
        <w:t xml:space="preserve"> </w:t>
      </w:r>
      <w:r>
        <w:t>financial</w:t>
      </w:r>
      <w:r w:rsidR="00A03629">
        <w:t xml:space="preserve"> </w:t>
      </w:r>
      <w:r>
        <w:t>risks)</w:t>
      </w:r>
      <w:r w:rsidR="00A03629">
        <w:t xml:space="preserve"> </w:t>
      </w:r>
      <w:r>
        <w:t>as</w:t>
      </w:r>
      <w:r w:rsidR="00A03629">
        <w:t xml:space="preserve"> </w:t>
      </w:r>
      <w:r>
        <w:t>well</w:t>
      </w:r>
      <w:r w:rsidR="00A03629">
        <w:t xml:space="preserve"> </w:t>
      </w:r>
      <w:r>
        <w:t>as</w:t>
      </w:r>
      <w:r w:rsidR="00A03629">
        <w:t xml:space="preserve"> </w:t>
      </w:r>
      <w:r>
        <w:t>those</w:t>
      </w:r>
      <w:r w:rsidR="00A03629">
        <w:t xml:space="preserve"> </w:t>
      </w:r>
      <w:r>
        <w:t>items</w:t>
      </w:r>
      <w:r w:rsidR="00A03629">
        <w:t xml:space="preserve"> </w:t>
      </w:r>
      <w:r>
        <w:t>that</w:t>
      </w:r>
      <w:r w:rsidR="00A03629">
        <w:t xml:space="preserve"> </w:t>
      </w:r>
      <w:r>
        <w:t>are</w:t>
      </w:r>
      <w:r w:rsidR="00A03629">
        <w:t xml:space="preserve"> </w:t>
      </w:r>
      <w:r>
        <w:t>contingent</w:t>
      </w:r>
      <w:r w:rsidR="00A03629">
        <w:t xml:space="preserve"> </w:t>
      </w:r>
      <w:r>
        <w:t>in</w:t>
      </w:r>
      <w:r w:rsidR="00A03629">
        <w:t xml:space="preserve"> </w:t>
      </w:r>
      <w:r>
        <w:t>nature</w:t>
      </w:r>
      <w:r w:rsidR="00A03629">
        <w:t xml:space="preserve"> </w:t>
      </w:r>
      <w:r>
        <w:t>or</w:t>
      </w:r>
      <w:r w:rsidR="00A03629">
        <w:t xml:space="preserve"> </w:t>
      </w:r>
      <w:r>
        <w:t>require</w:t>
      </w:r>
      <w:r w:rsidR="00A03629">
        <w:t xml:space="preserve"> </w:t>
      </w:r>
      <w:r>
        <w:t>a</w:t>
      </w:r>
      <w:r w:rsidR="00A03629">
        <w:t xml:space="preserve"> </w:t>
      </w:r>
      <w:r>
        <w:t>higher</w:t>
      </w:r>
      <w:r w:rsidR="00A03629">
        <w:t xml:space="preserve"> </w:t>
      </w:r>
      <w:r>
        <w:t>level</w:t>
      </w:r>
      <w:r w:rsidR="00A03629">
        <w:t xml:space="preserve"> </w:t>
      </w:r>
      <w:r>
        <w:t>of</w:t>
      </w:r>
      <w:r w:rsidR="00A03629">
        <w:t xml:space="preserve"> </w:t>
      </w:r>
      <w:r>
        <w:t>judgement</w:t>
      </w:r>
      <w:r w:rsidR="00A03629">
        <w:t xml:space="preserve"> </w:t>
      </w:r>
      <w:r>
        <w:t>to</w:t>
      </w:r>
      <w:r w:rsidR="00A03629">
        <w:t xml:space="preserve"> </w:t>
      </w:r>
      <w:r>
        <w:t>be</w:t>
      </w:r>
      <w:r w:rsidR="00A03629">
        <w:t xml:space="preserve"> </w:t>
      </w:r>
      <w:r>
        <w:t>applied,</w:t>
      </w:r>
      <w:r w:rsidR="00A03629">
        <w:t xml:space="preserve"> </w:t>
      </w:r>
      <w:r>
        <w:t>which</w:t>
      </w:r>
      <w:r w:rsidR="00A03629">
        <w:t xml:space="preserve"> </w:t>
      </w:r>
      <w:r>
        <w:t>for</w:t>
      </w:r>
      <w:r w:rsidR="00A03629">
        <w:t xml:space="preserve"> </w:t>
      </w:r>
      <w:r>
        <w:t>DJSIR</w:t>
      </w:r>
      <w:r w:rsidR="00A03629">
        <w:t xml:space="preserve"> </w:t>
      </w:r>
      <w:r>
        <w:t>related</w:t>
      </w:r>
      <w:r w:rsidR="00A03629">
        <w:t xml:space="preserve"> </w:t>
      </w:r>
      <w:r>
        <w:t>mainly</w:t>
      </w:r>
      <w:r w:rsidR="00A03629">
        <w:t xml:space="preserve"> </w:t>
      </w:r>
      <w:r>
        <w:t>to</w:t>
      </w:r>
      <w:r w:rsidR="00A03629">
        <w:t xml:space="preserve"> </w:t>
      </w:r>
      <w:r>
        <w:t>fair</w:t>
      </w:r>
      <w:r w:rsidR="00A03629">
        <w:t xml:space="preserve"> </w:t>
      </w:r>
      <w:r>
        <w:t>value</w:t>
      </w:r>
      <w:r w:rsidR="00A03629">
        <w:t xml:space="preserve"> </w:t>
      </w:r>
      <w:r>
        <w:t>determination.</w:t>
      </w:r>
    </w:p>
    <w:p w14:paraId="01BA8120" w14:textId="34168EF6" w:rsidR="000756EB" w:rsidRDefault="004A4D88" w:rsidP="006B557E">
      <w:pPr>
        <w:pStyle w:val="Heading2"/>
      </w:pPr>
      <w:bookmarkStart w:id="115" w:name="_Toc149911832"/>
      <w:r>
        <w:t>Significant</w:t>
      </w:r>
      <w:r w:rsidR="00A03629">
        <w:t xml:space="preserve"> </w:t>
      </w:r>
      <w:r>
        <w:t>judgement:</w:t>
      </w:r>
      <w:r w:rsidR="006B557E">
        <w:t xml:space="preserve"> </w:t>
      </w:r>
      <w:r>
        <w:t>Asset</w:t>
      </w:r>
      <w:r w:rsidR="00A03629">
        <w:t xml:space="preserve"> </w:t>
      </w:r>
      <w:r>
        <w:t>valuation</w:t>
      </w:r>
      <w:r w:rsidR="00A03629">
        <w:t xml:space="preserve"> </w:t>
      </w:r>
      <w:r>
        <w:t>impact</w:t>
      </w:r>
      <w:bookmarkEnd w:id="115"/>
    </w:p>
    <w:p w14:paraId="6AF865EB" w14:textId="52870451" w:rsidR="000756EB" w:rsidRDefault="004A4D88" w:rsidP="006B557E">
      <w:r>
        <w:t>The</w:t>
      </w:r>
      <w:r w:rsidR="00A03629">
        <w:t xml:space="preserve"> </w:t>
      </w:r>
      <w:r>
        <w:t>market</w:t>
      </w:r>
      <w:r w:rsidR="00A03629">
        <w:t xml:space="preserve"> </w:t>
      </w:r>
      <w:r>
        <w:t>in</w:t>
      </w:r>
      <w:r w:rsidR="00A03629">
        <w:t xml:space="preserve"> </w:t>
      </w:r>
      <w:r>
        <w:t>which</w:t>
      </w:r>
      <w:r w:rsidR="00A03629">
        <w:t xml:space="preserve"> </w:t>
      </w:r>
      <w:r>
        <w:t>DJSIR</w:t>
      </w:r>
      <w:r w:rsidR="00A03629">
        <w:t xml:space="preserve"> </w:t>
      </w:r>
      <w:r>
        <w:t>assets</w:t>
      </w:r>
      <w:r w:rsidR="00A03629">
        <w:t xml:space="preserve"> </w:t>
      </w:r>
      <w:r>
        <w:t>were</w:t>
      </w:r>
      <w:r w:rsidR="00A03629">
        <w:t xml:space="preserve"> </w:t>
      </w:r>
      <w:r>
        <w:t>last</w:t>
      </w:r>
      <w:r w:rsidR="00A03629">
        <w:t xml:space="preserve"> </w:t>
      </w:r>
      <w:r>
        <w:t>independently</w:t>
      </w:r>
      <w:r w:rsidR="00A03629">
        <w:t xml:space="preserve"> </w:t>
      </w:r>
      <w:r>
        <w:t>revalued</w:t>
      </w:r>
      <w:r w:rsidR="00A03629">
        <w:t xml:space="preserve"> </w:t>
      </w:r>
      <w:r>
        <w:t>in</w:t>
      </w:r>
      <w:r w:rsidR="00A03629">
        <w:t xml:space="preserve"> </w:t>
      </w:r>
      <w:r>
        <w:t>FY2020–21</w:t>
      </w:r>
      <w:r w:rsidR="00A03629">
        <w:t xml:space="preserve"> </w:t>
      </w:r>
      <w:r>
        <w:t>was</w:t>
      </w:r>
      <w:r w:rsidR="00A03629">
        <w:t xml:space="preserve"> </w:t>
      </w:r>
      <w:r>
        <w:t>impacted</w:t>
      </w:r>
      <w:r w:rsidR="00A03629">
        <w:t xml:space="preserve"> </w:t>
      </w:r>
      <w:r>
        <w:t>by</w:t>
      </w:r>
      <w:r w:rsidR="00A03629">
        <w:t xml:space="preserve"> </w:t>
      </w:r>
      <w:r>
        <w:t>the</w:t>
      </w:r>
      <w:r w:rsidR="00A03629">
        <w:t xml:space="preserve"> </w:t>
      </w:r>
      <w:r>
        <w:t>uncertainty</w:t>
      </w:r>
      <w:r w:rsidR="00A03629">
        <w:t xml:space="preserve"> </w:t>
      </w:r>
      <w:r>
        <w:t>the</w:t>
      </w:r>
      <w:r w:rsidR="00A03629">
        <w:t xml:space="preserve"> </w:t>
      </w:r>
      <w:r>
        <w:t>coronavirus</w:t>
      </w:r>
      <w:r w:rsidR="00A03629">
        <w:t xml:space="preserve"> </w:t>
      </w:r>
      <w:r>
        <w:t>(COVID-19)</w:t>
      </w:r>
      <w:r w:rsidR="00A03629">
        <w:t xml:space="preserve"> </w:t>
      </w:r>
      <w:r>
        <w:t>had</w:t>
      </w:r>
      <w:r w:rsidR="00A03629">
        <w:t xml:space="preserve"> </w:t>
      </w:r>
      <w:r>
        <w:t>caused</w:t>
      </w:r>
      <w:r w:rsidR="00A03629">
        <w:t xml:space="preserve"> </w:t>
      </w:r>
      <w:r>
        <w:t>which</w:t>
      </w:r>
      <w:r w:rsidR="00A03629">
        <w:t xml:space="preserve"> </w:t>
      </w:r>
      <w:r>
        <w:t>created</w:t>
      </w:r>
      <w:r w:rsidR="00A03629">
        <w:t xml:space="preserve"> </w:t>
      </w:r>
      <w:r>
        <w:t>significant</w:t>
      </w:r>
      <w:r w:rsidR="00A03629">
        <w:t xml:space="preserve"> </w:t>
      </w:r>
      <w:r>
        <w:t>valuation</w:t>
      </w:r>
      <w:r w:rsidR="00A03629">
        <w:t xml:space="preserve"> </w:t>
      </w:r>
      <w:r>
        <w:t>uncertainty.</w:t>
      </w:r>
      <w:r w:rsidR="00A03629">
        <w:t xml:space="preserve"> </w:t>
      </w:r>
      <w:r>
        <w:t>The</w:t>
      </w:r>
      <w:r w:rsidR="00A03629">
        <w:t xml:space="preserve"> </w:t>
      </w:r>
      <w:r>
        <w:t>valuer</w:t>
      </w:r>
      <w:r w:rsidR="00A03629">
        <w:t xml:space="preserve"> </w:t>
      </w:r>
      <w:r>
        <w:t>has</w:t>
      </w:r>
      <w:r w:rsidR="00A03629">
        <w:t xml:space="preserve"> </w:t>
      </w:r>
      <w:r>
        <w:t>advised</w:t>
      </w:r>
      <w:r w:rsidR="00A03629">
        <w:t xml:space="preserve"> </w:t>
      </w:r>
      <w:r>
        <w:t>us</w:t>
      </w:r>
      <w:r w:rsidR="00A03629">
        <w:t xml:space="preserve"> </w:t>
      </w:r>
      <w:r>
        <w:t>that</w:t>
      </w:r>
      <w:r w:rsidR="00A03629">
        <w:t xml:space="preserve"> </w:t>
      </w:r>
      <w:r>
        <w:t>since</w:t>
      </w:r>
      <w:r w:rsidR="00A03629">
        <w:t xml:space="preserve"> </w:t>
      </w:r>
      <w:r>
        <w:t>December</w:t>
      </w:r>
      <w:r w:rsidR="00A03629">
        <w:t xml:space="preserve"> </w:t>
      </w:r>
      <w:r>
        <w:t>2022,</w:t>
      </w:r>
      <w:r w:rsidR="00A03629">
        <w:t xml:space="preserve"> </w:t>
      </w:r>
      <w:r>
        <w:t>the</w:t>
      </w:r>
      <w:r w:rsidR="00A03629">
        <w:t xml:space="preserve"> </w:t>
      </w:r>
      <w:r>
        <w:t>State</w:t>
      </w:r>
      <w:r w:rsidR="00A03629">
        <w:t xml:space="preserve"> </w:t>
      </w:r>
      <w:r>
        <w:t>of</w:t>
      </w:r>
      <w:r w:rsidR="00A03629">
        <w:t xml:space="preserve"> </w:t>
      </w:r>
      <w:r>
        <w:t>Emergency</w:t>
      </w:r>
      <w:r w:rsidR="00A03629">
        <w:t xml:space="preserve"> </w:t>
      </w:r>
      <w:r>
        <w:t>valuation</w:t>
      </w:r>
      <w:r w:rsidR="00A03629">
        <w:t xml:space="preserve"> </w:t>
      </w:r>
      <w:r>
        <w:t>protocols</w:t>
      </w:r>
      <w:r w:rsidR="00A03629">
        <w:t xml:space="preserve"> </w:t>
      </w:r>
      <w:r>
        <w:t>have</w:t>
      </w:r>
      <w:r w:rsidR="00A03629">
        <w:t xml:space="preserve"> </w:t>
      </w:r>
      <w:r>
        <w:t>been</w:t>
      </w:r>
      <w:r w:rsidR="00A03629">
        <w:t xml:space="preserve"> </w:t>
      </w:r>
      <w:r>
        <w:t>lifted.</w:t>
      </w:r>
      <w:r w:rsidR="00A03629">
        <w:t xml:space="preserve"> </w:t>
      </w:r>
      <w:r>
        <w:t>The</w:t>
      </w:r>
      <w:r w:rsidR="00A03629">
        <w:t xml:space="preserve"> </w:t>
      </w:r>
      <w:r>
        <w:t>fair</w:t>
      </w:r>
      <w:r w:rsidR="00A03629">
        <w:t xml:space="preserve"> </w:t>
      </w:r>
      <w:r>
        <w:t>value</w:t>
      </w:r>
      <w:r w:rsidR="00A03629">
        <w:rPr>
          <w:rFonts w:ascii="Cambria" w:hAnsi="Cambria" w:cs="Cambria"/>
        </w:rPr>
        <w:t xml:space="preserve"> </w:t>
      </w:r>
      <w:r>
        <w:t>assessment</w:t>
      </w:r>
      <w:r w:rsidR="00A03629">
        <w:t xml:space="preserve"> </w:t>
      </w:r>
      <w:r>
        <w:t>undertaken</w:t>
      </w:r>
      <w:r w:rsidR="00A03629">
        <w:t xml:space="preserve"> </w:t>
      </w:r>
      <w:r>
        <w:t>by</w:t>
      </w:r>
      <w:r w:rsidR="00A03629">
        <w:t xml:space="preserve"> </w:t>
      </w:r>
      <w:r>
        <w:t>DJSIR</w:t>
      </w:r>
      <w:r w:rsidR="00A03629">
        <w:t xml:space="preserve"> </w:t>
      </w:r>
      <w:r>
        <w:t>indicate</w:t>
      </w:r>
      <w:r w:rsidR="00A03629">
        <w:t xml:space="preserve"> </w:t>
      </w:r>
      <w:r>
        <w:t>no</w:t>
      </w:r>
      <w:r w:rsidR="00A03629">
        <w:rPr>
          <w:rFonts w:ascii="Cambria" w:hAnsi="Cambria" w:cs="Cambria"/>
        </w:rPr>
        <w:t xml:space="preserve"> </w:t>
      </w:r>
      <w:r>
        <w:t>material</w:t>
      </w:r>
      <w:r w:rsidR="00A03629">
        <w:t xml:space="preserve"> </w:t>
      </w:r>
      <w:r>
        <w:t>change</w:t>
      </w:r>
      <w:r w:rsidR="00A03629">
        <w:t xml:space="preserve"> </w:t>
      </w:r>
      <w:r>
        <w:t>in</w:t>
      </w:r>
      <w:r w:rsidR="00A03629">
        <w:t xml:space="preserve"> </w:t>
      </w:r>
      <w:r>
        <w:t>values</w:t>
      </w:r>
      <w:r w:rsidR="00A03629">
        <w:t xml:space="preserve"> </w:t>
      </w:r>
      <w:r>
        <w:t>as</w:t>
      </w:r>
      <w:r w:rsidR="00A03629">
        <w:t xml:space="preserve"> </w:t>
      </w:r>
      <w:proofErr w:type="gramStart"/>
      <w:r>
        <w:t>at</w:t>
      </w:r>
      <w:proofErr w:type="gramEnd"/>
      <w:r w:rsidR="00A03629">
        <w:t xml:space="preserve"> </w:t>
      </w:r>
      <w:r>
        <w:t>30</w:t>
      </w:r>
      <w:r w:rsidR="00A03629">
        <w:t xml:space="preserve"> </w:t>
      </w:r>
      <w:r>
        <w:t>June</w:t>
      </w:r>
      <w:r w:rsidR="00A03629">
        <w:t xml:space="preserve"> </w:t>
      </w:r>
      <w:r>
        <w:t>2023.</w:t>
      </w:r>
    </w:p>
    <w:p w14:paraId="59B48968" w14:textId="77777777" w:rsidR="000756EB" w:rsidRDefault="004A4D88" w:rsidP="006B557E">
      <w:pPr>
        <w:pStyle w:val="Heading3"/>
      </w:pPr>
      <w:r>
        <w:t>Structure</w:t>
      </w:r>
    </w:p>
    <w:p w14:paraId="7E082E3F" w14:textId="125B9186" w:rsidR="000756EB" w:rsidRDefault="004A4D88" w:rsidP="006B557E">
      <w:r>
        <w:t>8.1</w:t>
      </w:r>
      <w:r>
        <w:tab/>
        <w:t>Financial</w:t>
      </w:r>
      <w:r w:rsidR="00A03629">
        <w:t xml:space="preserve"> </w:t>
      </w:r>
      <w:r>
        <w:t>instruments</w:t>
      </w:r>
      <w:r w:rsidR="00A03629">
        <w:t xml:space="preserve"> </w:t>
      </w:r>
      <w:r>
        <w:t>specific</w:t>
      </w:r>
      <w:r w:rsidR="00A03629">
        <w:t xml:space="preserve"> </w:t>
      </w:r>
      <w:r>
        <w:t>disclosures</w:t>
      </w:r>
    </w:p>
    <w:p w14:paraId="1AE3346E" w14:textId="06F63A0E" w:rsidR="000756EB" w:rsidRDefault="004A4D88" w:rsidP="006B557E">
      <w:r>
        <w:t>8.2</w:t>
      </w:r>
      <w:r>
        <w:tab/>
        <w:t>Contingent</w:t>
      </w:r>
      <w:r w:rsidR="00A03629">
        <w:t xml:space="preserve"> </w:t>
      </w:r>
      <w:r>
        <w:t>assets</w:t>
      </w:r>
      <w:r w:rsidR="00A03629">
        <w:t xml:space="preserve"> </w:t>
      </w:r>
      <w:r>
        <w:t>and</w:t>
      </w:r>
      <w:r w:rsidR="00A03629">
        <w:t xml:space="preserve"> </w:t>
      </w:r>
      <w:r>
        <w:t>contingent</w:t>
      </w:r>
      <w:r w:rsidR="00A03629">
        <w:t xml:space="preserve"> </w:t>
      </w:r>
      <w:r>
        <w:t>liabilities</w:t>
      </w:r>
    </w:p>
    <w:p w14:paraId="195F1816" w14:textId="0F765066" w:rsidR="000756EB" w:rsidRDefault="004A4D88" w:rsidP="006B557E">
      <w:r>
        <w:t>8.3</w:t>
      </w:r>
      <w:r>
        <w:tab/>
        <w:t>Fair</w:t>
      </w:r>
      <w:r w:rsidR="00A03629">
        <w:t xml:space="preserve"> </w:t>
      </w:r>
      <w:r>
        <w:t>value</w:t>
      </w:r>
      <w:r w:rsidR="00A03629">
        <w:t xml:space="preserve"> </w:t>
      </w:r>
      <w:r>
        <w:t>determination</w:t>
      </w:r>
    </w:p>
    <w:p w14:paraId="58722508" w14:textId="2B2B7172" w:rsidR="000756EB" w:rsidRDefault="004A4D88" w:rsidP="006B557E">
      <w:pPr>
        <w:pStyle w:val="Heading2"/>
        <w:rPr>
          <w:sz w:val="24"/>
          <w:szCs w:val="24"/>
        </w:rPr>
      </w:pPr>
      <w:bookmarkStart w:id="116" w:name="_Toc149911833"/>
      <w:r>
        <w:t>8.1</w:t>
      </w:r>
      <w:r w:rsidR="00DE38B5">
        <w:t xml:space="preserve"> </w:t>
      </w:r>
      <w:r>
        <w:t>Financial</w:t>
      </w:r>
      <w:r w:rsidR="00A03629">
        <w:t xml:space="preserve"> </w:t>
      </w:r>
      <w:r>
        <w:t>instruments</w:t>
      </w:r>
      <w:r w:rsidR="00A03629">
        <w:t xml:space="preserve"> </w:t>
      </w:r>
      <w:r>
        <w:t>specific</w:t>
      </w:r>
      <w:r w:rsidR="00A03629">
        <w:t xml:space="preserve"> </w:t>
      </w:r>
      <w:r>
        <w:t>disclosures</w:t>
      </w:r>
      <w:bookmarkEnd w:id="116"/>
    </w:p>
    <w:p w14:paraId="2E03896F" w14:textId="77777777" w:rsidR="000756EB" w:rsidRDefault="004A4D88" w:rsidP="006B557E">
      <w:pPr>
        <w:pStyle w:val="Heading3"/>
        <w:rPr>
          <w:rFonts w:ascii="VIC Light" w:hAnsi="VIC Light" w:cs="VIC Light"/>
          <w:color w:val="000000"/>
          <w:sz w:val="18"/>
          <w:szCs w:val="18"/>
        </w:rPr>
      </w:pPr>
      <w:r>
        <w:t>Introduction</w:t>
      </w:r>
    </w:p>
    <w:p w14:paraId="58BC45E2" w14:textId="4A67E17F" w:rsidR="000756EB" w:rsidRDefault="004A4D88" w:rsidP="006B557E">
      <w:r>
        <w:t>Financial</w:t>
      </w:r>
      <w:r w:rsidR="00A03629">
        <w:t xml:space="preserve"> </w:t>
      </w:r>
      <w:r>
        <w:t>instruments</w:t>
      </w:r>
      <w:r w:rsidR="00A03629">
        <w:t xml:space="preserve"> </w:t>
      </w:r>
      <w:r>
        <w:t>arise</w:t>
      </w:r>
      <w:r w:rsidR="00A03629">
        <w:t xml:space="preserve"> </w:t>
      </w:r>
      <w:r>
        <w:t>out</w:t>
      </w:r>
      <w:r w:rsidR="00A03629">
        <w:t xml:space="preserve"> </w:t>
      </w:r>
      <w:r>
        <w:t>of</w:t>
      </w:r>
      <w:r w:rsidR="00A03629">
        <w:t xml:space="preserve"> </w:t>
      </w:r>
      <w:r>
        <w:t>contractual</w:t>
      </w:r>
      <w:r w:rsidR="00A03629">
        <w:t xml:space="preserve"> </w:t>
      </w:r>
      <w:r>
        <w:t>agreements</w:t>
      </w:r>
      <w:r w:rsidR="00A03629">
        <w:t xml:space="preserve"> </w:t>
      </w:r>
      <w:r>
        <w:t>that</w:t>
      </w:r>
      <w:r w:rsidR="00A03629">
        <w:t xml:space="preserve"> </w:t>
      </w:r>
      <w:r>
        <w:t>give</w:t>
      </w:r>
      <w:r w:rsidR="00A03629">
        <w:t xml:space="preserve"> </w:t>
      </w:r>
      <w:r>
        <w:t>rise</w:t>
      </w:r>
      <w:r w:rsidR="00A03629">
        <w:t xml:space="preserve"> </w:t>
      </w:r>
      <w:r>
        <w:t>to</w:t>
      </w:r>
      <w:r w:rsidR="00A03629">
        <w:t xml:space="preserve"> </w:t>
      </w:r>
      <w:r>
        <w:t>a</w:t>
      </w:r>
      <w:r w:rsidR="00A03629">
        <w:t xml:space="preserve"> </w:t>
      </w:r>
      <w:r>
        <w:t>financial</w:t>
      </w:r>
      <w:r w:rsidR="00A03629">
        <w:t xml:space="preserve"> </w:t>
      </w:r>
      <w:r>
        <w:t>asset</w:t>
      </w:r>
      <w:r w:rsidR="00A03629">
        <w:t xml:space="preserve"> </w:t>
      </w:r>
      <w:r>
        <w:t>of</w:t>
      </w:r>
      <w:r w:rsidR="00A03629">
        <w:t xml:space="preserve"> </w:t>
      </w:r>
      <w:r>
        <w:t>one</w:t>
      </w:r>
      <w:r w:rsidR="00A03629">
        <w:t xml:space="preserve"> </w:t>
      </w:r>
      <w:r>
        <w:t>entity</w:t>
      </w:r>
      <w:r w:rsidR="00A03629">
        <w:t xml:space="preserve"> </w:t>
      </w:r>
      <w:r>
        <w:t>and</w:t>
      </w:r>
      <w:r w:rsidR="00A03629">
        <w:t xml:space="preserve"> </w:t>
      </w:r>
      <w:r>
        <w:t>a</w:t>
      </w:r>
      <w:r w:rsidR="00A03629">
        <w:t xml:space="preserve"> </w:t>
      </w:r>
      <w:r>
        <w:t>financial</w:t>
      </w:r>
      <w:r w:rsidR="00A03629">
        <w:t xml:space="preserve"> </w:t>
      </w:r>
      <w:r>
        <w:t>liability</w:t>
      </w:r>
      <w:r w:rsidR="00A03629">
        <w:t xml:space="preserve"> </w:t>
      </w:r>
      <w:r>
        <w:t>or</w:t>
      </w:r>
      <w:r w:rsidR="00A03629">
        <w:t xml:space="preserve"> </w:t>
      </w:r>
      <w:r>
        <w:t>equity</w:t>
      </w:r>
      <w:r w:rsidR="00A03629">
        <w:t xml:space="preserve"> </w:t>
      </w:r>
      <w:r>
        <w:t>instrument</w:t>
      </w:r>
      <w:r w:rsidR="00A03629">
        <w:t xml:space="preserve"> </w:t>
      </w:r>
      <w:r>
        <w:t>of</w:t>
      </w:r>
      <w:r w:rsidR="00A03629">
        <w:t xml:space="preserve"> </w:t>
      </w:r>
      <w:r>
        <w:t>another</w:t>
      </w:r>
      <w:r w:rsidR="00A03629">
        <w:t xml:space="preserve"> </w:t>
      </w:r>
      <w:r>
        <w:t>entity.</w:t>
      </w:r>
      <w:r w:rsidR="00A03629">
        <w:t xml:space="preserve"> </w:t>
      </w:r>
      <w:r>
        <w:t>Due</w:t>
      </w:r>
      <w:r w:rsidR="00A03629">
        <w:t xml:space="preserve"> </w:t>
      </w:r>
      <w:r>
        <w:t>to</w:t>
      </w:r>
      <w:r w:rsidR="00A03629">
        <w:t xml:space="preserve"> </w:t>
      </w:r>
      <w:r>
        <w:t>the</w:t>
      </w:r>
      <w:r w:rsidR="00A03629">
        <w:t xml:space="preserve"> </w:t>
      </w:r>
      <w:r>
        <w:t>nature</w:t>
      </w:r>
      <w:r w:rsidR="00A03629">
        <w:t xml:space="preserve"> </w:t>
      </w:r>
      <w:r>
        <w:t>of</w:t>
      </w:r>
      <w:r w:rsidR="00A03629">
        <w:t xml:space="preserve"> </w:t>
      </w:r>
      <w:r>
        <w:t>DJSIR’s</w:t>
      </w:r>
      <w:r w:rsidR="00A03629">
        <w:t xml:space="preserve"> </w:t>
      </w:r>
      <w:r>
        <w:t>activities,</w:t>
      </w:r>
      <w:r w:rsidR="00A03629">
        <w:t xml:space="preserve"> </w:t>
      </w:r>
      <w:r>
        <w:t>certain</w:t>
      </w:r>
      <w:r w:rsidR="00A03629">
        <w:t xml:space="preserve"> </w:t>
      </w:r>
      <w:r>
        <w:t>financial</w:t>
      </w:r>
      <w:r w:rsidR="00A03629">
        <w:t xml:space="preserve"> </w:t>
      </w:r>
      <w:r>
        <w:t>assets</w:t>
      </w:r>
      <w:r w:rsidR="00A03629">
        <w:t xml:space="preserve"> </w:t>
      </w:r>
      <w:r>
        <w:t>and</w:t>
      </w:r>
      <w:r w:rsidR="00A03629">
        <w:t xml:space="preserve"> </w:t>
      </w:r>
      <w:r>
        <w:t>financial</w:t>
      </w:r>
      <w:r w:rsidR="00A03629">
        <w:t xml:space="preserve"> </w:t>
      </w:r>
      <w:r>
        <w:t>liabilities</w:t>
      </w:r>
      <w:r w:rsidR="00A03629">
        <w:t xml:space="preserve"> </w:t>
      </w:r>
      <w:r>
        <w:t>arise</w:t>
      </w:r>
      <w:r w:rsidR="00A03629">
        <w:t xml:space="preserve"> </w:t>
      </w:r>
      <w:r>
        <w:t>under</w:t>
      </w:r>
      <w:r w:rsidR="00A03629">
        <w:t xml:space="preserve"> </w:t>
      </w:r>
      <w:r>
        <w:t>statute</w:t>
      </w:r>
      <w:r w:rsidR="00A03629">
        <w:t xml:space="preserve"> </w:t>
      </w:r>
      <w:r>
        <w:t>rather</w:t>
      </w:r>
      <w:r w:rsidR="00A03629">
        <w:t xml:space="preserve"> </w:t>
      </w:r>
      <w:r>
        <w:t>than</w:t>
      </w:r>
      <w:r w:rsidR="00A03629">
        <w:t xml:space="preserve"> </w:t>
      </w:r>
      <w:r>
        <w:t>a</w:t>
      </w:r>
      <w:r w:rsidR="00A03629">
        <w:t xml:space="preserve"> </w:t>
      </w:r>
      <w:r>
        <w:t>contract</w:t>
      </w:r>
      <w:r w:rsidR="00A03629">
        <w:t xml:space="preserve"> </w:t>
      </w:r>
      <w:r>
        <w:t>(for</w:t>
      </w:r>
      <w:r w:rsidR="00A03629">
        <w:t xml:space="preserve"> </w:t>
      </w:r>
      <w:r>
        <w:t>example</w:t>
      </w:r>
      <w:r w:rsidR="00A03629">
        <w:t xml:space="preserve"> </w:t>
      </w:r>
      <w:r>
        <w:t>taxes,</w:t>
      </w:r>
      <w:r w:rsidR="00A03629">
        <w:t xml:space="preserve"> </w:t>
      </w:r>
      <w:proofErr w:type="gramStart"/>
      <w:r>
        <w:t>fines</w:t>
      </w:r>
      <w:proofErr w:type="gramEnd"/>
      <w:r w:rsidR="00A03629">
        <w:t xml:space="preserve"> </w:t>
      </w:r>
      <w:r>
        <w:t>and</w:t>
      </w:r>
      <w:r w:rsidR="00A03629">
        <w:t xml:space="preserve"> </w:t>
      </w:r>
      <w:r>
        <w:t>penalties).</w:t>
      </w:r>
      <w:r w:rsidR="00A03629">
        <w:t xml:space="preserve"> </w:t>
      </w:r>
      <w:r>
        <w:t>Such</w:t>
      </w:r>
      <w:r w:rsidR="00A03629">
        <w:t xml:space="preserve"> </w:t>
      </w:r>
      <w:r>
        <w:t>assets</w:t>
      </w:r>
      <w:r w:rsidR="00A03629">
        <w:t xml:space="preserve"> </w:t>
      </w:r>
      <w:r>
        <w:t>and</w:t>
      </w:r>
      <w:r w:rsidR="00A03629">
        <w:t xml:space="preserve"> </w:t>
      </w:r>
      <w:r>
        <w:t>liabilities</w:t>
      </w:r>
      <w:r w:rsidR="00A03629">
        <w:t xml:space="preserve"> </w:t>
      </w:r>
      <w:r>
        <w:t>do</w:t>
      </w:r>
      <w:r w:rsidR="00A03629">
        <w:t xml:space="preserve"> </w:t>
      </w:r>
      <w:r>
        <w:t>not</w:t>
      </w:r>
      <w:r w:rsidR="00A03629">
        <w:t xml:space="preserve"> </w:t>
      </w:r>
      <w:r>
        <w:t>meet</w:t>
      </w:r>
      <w:r w:rsidR="00A03629">
        <w:t xml:space="preserve"> </w:t>
      </w:r>
      <w:r>
        <w:t>the</w:t>
      </w:r>
      <w:r w:rsidR="00A03629">
        <w:t xml:space="preserve"> </w:t>
      </w:r>
      <w:r>
        <w:t>definition</w:t>
      </w:r>
      <w:r w:rsidR="00A03629">
        <w:t xml:space="preserve"> </w:t>
      </w:r>
      <w:r>
        <w:t>of</w:t>
      </w:r>
      <w:r w:rsidR="00A03629">
        <w:t xml:space="preserve"> </w:t>
      </w:r>
      <w:r>
        <w:t>financial</w:t>
      </w:r>
      <w:r w:rsidR="00A03629">
        <w:t xml:space="preserve"> </w:t>
      </w:r>
      <w:r>
        <w:t>instruments</w:t>
      </w:r>
      <w:r w:rsidR="00A03629">
        <w:t xml:space="preserve"> </w:t>
      </w:r>
      <w:r>
        <w:t>in</w:t>
      </w:r>
      <w:r w:rsidR="00A03629">
        <w:rPr>
          <w:rFonts w:ascii="Cambria" w:hAnsi="Cambria" w:cs="Cambria"/>
        </w:rPr>
        <w:t xml:space="preserve"> </w:t>
      </w:r>
      <w:r>
        <w:t>AASB</w:t>
      </w:r>
      <w:r w:rsidR="00A03629">
        <w:t xml:space="preserve"> </w:t>
      </w:r>
      <w:r>
        <w:t>132</w:t>
      </w:r>
      <w:r w:rsidR="00A03629" w:rsidRPr="00560218">
        <w:t xml:space="preserve"> </w:t>
      </w:r>
      <w:r w:rsidRPr="006B557E">
        <w:rPr>
          <w:i/>
          <w:iCs/>
        </w:rPr>
        <w:t>Financial</w:t>
      </w:r>
      <w:r w:rsidR="00A03629" w:rsidRPr="006B557E">
        <w:rPr>
          <w:i/>
          <w:iCs/>
        </w:rPr>
        <w:t xml:space="preserve"> </w:t>
      </w:r>
      <w:r w:rsidRPr="006B557E">
        <w:rPr>
          <w:i/>
          <w:iCs/>
        </w:rPr>
        <w:t>Instruments:</w:t>
      </w:r>
      <w:r w:rsidR="00A03629">
        <w:t xml:space="preserve"> </w:t>
      </w:r>
      <w:r>
        <w:t>Presentation.</w:t>
      </w:r>
    </w:p>
    <w:p w14:paraId="49D1D1C8" w14:textId="6C2BDDF8" w:rsidR="000756EB" w:rsidRDefault="004A4D88" w:rsidP="006B557E">
      <w:r>
        <w:t>Guarantees</w:t>
      </w:r>
      <w:r w:rsidR="00A03629">
        <w:t xml:space="preserve"> </w:t>
      </w:r>
      <w:r>
        <w:t>issued</w:t>
      </w:r>
      <w:r w:rsidR="00A03629">
        <w:t xml:space="preserve"> </w:t>
      </w:r>
      <w:r>
        <w:t>on</w:t>
      </w:r>
      <w:r w:rsidR="00A03629">
        <w:t xml:space="preserve"> </w:t>
      </w:r>
      <w:r>
        <w:t>behalf</w:t>
      </w:r>
      <w:r w:rsidR="00A03629">
        <w:t xml:space="preserve"> </w:t>
      </w:r>
      <w:r>
        <w:t>of</w:t>
      </w:r>
      <w:r w:rsidR="00A03629">
        <w:t xml:space="preserve"> </w:t>
      </w:r>
      <w:r>
        <w:t>DJSIR</w:t>
      </w:r>
      <w:r w:rsidR="00A03629">
        <w:t xml:space="preserve"> </w:t>
      </w:r>
      <w:r>
        <w:t>are</w:t>
      </w:r>
      <w:r w:rsidR="00A03629">
        <w:t xml:space="preserve"> </w:t>
      </w:r>
      <w:r>
        <w:t>financial</w:t>
      </w:r>
      <w:r w:rsidR="00A03629">
        <w:t xml:space="preserve"> </w:t>
      </w:r>
      <w:r>
        <w:t>instruments</w:t>
      </w:r>
      <w:r w:rsidR="00A03629">
        <w:t xml:space="preserve"> </w:t>
      </w:r>
      <w:r>
        <w:t>because,</w:t>
      </w:r>
      <w:r w:rsidR="00A03629">
        <w:t xml:space="preserve"> </w:t>
      </w:r>
      <w:r>
        <w:t>although</w:t>
      </w:r>
      <w:r w:rsidR="00A03629">
        <w:t xml:space="preserve"> </w:t>
      </w:r>
      <w:r>
        <w:t>authorised</w:t>
      </w:r>
      <w:r w:rsidR="00A03629">
        <w:t xml:space="preserve"> </w:t>
      </w:r>
      <w:r>
        <w:t>under</w:t>
      </w:r>
      <w:r w:rsidR="00A03629">
        <w:t xml:space="preserve"> </w:t>
      </w:r>
      <w:r>
        <w:t>statute,</w:t>
      </w:r>
      <w:r w:rsidR="00A03629">
        <w:t xml:space="preserve"> </w:t>
      </w:r>
      <w:r>
        <w:t>terms</w:t>
      </w:r>
      <w:r w:rsidR="00A03629">
        <w:t xml:space="preserve"> </w:t>
      </w:r>
      <w:r>
        <w:t>and</w:t>
      </w:r>
      <w:r w:rsidR="00A03629">
        <w:t xml:space="preserve"> </w:t>
      </w:r>
      <w:r>
        <w:t>conditions</w:t>
      </w:r>
      <w:r w:rsidR="00A03629">
        <w:t xml:space="preserve"> </w:t>
      </w:r>
      <w:r>
        <w:t>for</w:t>
      </w:r>
      <w:r w:rsidR="00A03629">
        <w:t xml:space="preserve"> </w:t>
      </w:r>
      <w:r>
        <w:t>each</w:t>
      </w:r>
      <w:r w:rsidR="00A03629">
        <w:t xml:space="preserve"> </w:t>
      </w:r>
      <w:r>
        <w:t>financial</w:t>
      </w:r>
      <w:r w:rsidR="00A03629">
        <w:t xml:space="preserve"> </w:t>
      </w:r>
      <w:r>
        <w:t>guarantee</w:t>
      </w:r>
      <w:r w:rsidR="00A03629">
        <w:t xml:space="preserve"> </w:t>
      </w:r>
      <w:r>
        <w:t>may</w:t>
      </w:r>
      <w:r w:rsidR="00A03629">
        <w:t xml:space="preserve"> </w:t>
      </w:r>
      <w:r>
        <w:t>vary</w:t>
      </w:r>
      <w:r w:rsidR="00A03629">
        <w:t xml:space="preserve"> </w:t>
      </w:r>
      <w:r>
        <w:t>and</w:t>
      </w:r>
      <w:r w:rsidR="00A03629">
        <w:t xml:space="preserve"> </w:t>
      </w:r>
      <w:r>
        <w:t>are</w:t>
      </w:r>
      <w:r w:rsidR="00A03629">
        <w:t xml:space="preserve"> </w:t>
      </w:r>
      <w:r>
        <w:t>subject</w:t>
      </w:r>
      <w:r w:rsidR="00A03629">
        <w:t xml:space="preserve"> </w:t>
      </w:r>
      <w:r>
        <w:t>to</w:t>
      </w:r>
      <w:r w:rsidR="00A03629">
        <w:t xml:space="preserve"> </w:t>
      </w:r>
      <w:r>
        <w:t>an</w:t>
      </w:r>
      <w:r w:rsidR="00A03629">
        <w:t xml:space="preserve"> </w:t>
      </w:r>
      <w:r>
        <w:t>agreement.</w:t>
      </w:r>
    </w:p>
    <w:p w14:paraId="1169C7F7" w14:textId="7AA3A7CC" w:rsidR="000756EB" w:rsidRPr="00476B80" w:rsidRDefault="004A4D88" w:rsidP="00476B80">
      <w:pPr>
        <w:pStyle w:val="Normalbeforebullets"/>
        <w:rPr>
          <w:b/>
          <w:bCs/>
        </w:rPr>
      </w:pPr>
      <w:r w:rsidRPr="00476B80">
        <w:rPr>
          <w:b/>
          <w:bCs/>
        </w:rPr>
        <w:lastRenderedPageBreak/>
        <w:t>Financial</w:t>
      </w:r>
      <w:r w:rsidR="00A03629" w:rsidRPr="00476B80">
        <w:rPr>
          <w:b/>
          <w:bCs/>
        </w:rPr>
        <w:t xml:space="preserve"> </w:t>
      </w:r>
      <w:r w:rsidRPr="00476B80">
        <w:rPr>
          <w:b/>
          <w:bCs/>
        </w:rPr>
        <w:t>assets</w:t>
      </w:r>
      <w:r w:rsidR="00A03629" w:rsidRPr="00476B80">
        <w:rPr>
          <w:b/>
          <w:bCs/>
        </w:rPr>
        <w:t xml:space="preserve"> </w:t>
      </w:r>
      <w:r w:rsidRPr="00476B80">
        <w:rPr>
          <w:b/>
          <w:bCs/>
        </w:rPr>
        <w:t>at</w:t>
      </w:r>
      <w:r w:rsidR="00A03629" w:rsidRPr="00476B80">
        <w:rPr>
          <w:b/>
          <w:bCs/>
        </w:rPr>
        <w:t xml:space="preserve"> </w:t>
      </w:r>
      <w:r w:rsidRPr="00476B80">
        <w:rPr>
          <w:b/>
          <w:bCs/>
        </w:rPr>
        <w:t>amortised</w:t>
      </w:r>
      <w:r w:rsidR="00A03629" w:rsidRPr="00476B80">
        <w:rPr>
          <w:b/>
          <w:bCs/>
        </w:rPr>
        <w:t xml:space="preserve"> </w:t>
      </w:r>
      <w:r w:rsidRPr="00476B80">
        <w:rPr>
          <w:b/>
          <w:bCs/>
        </w:rPr>
        <w:t>cost</w:t>
      </w:r>
    </w:p>
    <w:p w14:paraId="22290E32" w14:textId="38F16DB1" w:rsidR="000756EB" w:rsidRDefault="004A4D88" w:rsidP="00476B80">
      <w:pPr>
        <w:pStyle w:val="Normalbeforebullets"/>
      </w:pPr>
      <w:r>
        <w:t>Financial</w:t>
      </w:r>
      <w:r w:rsidR="00A03629">
        <w:t xml:space="preserve"> </w:t>
      </w:r>
      <w:r>
        <w:t>assets</w:t>
      </w:r>
      <w:r w:rsidR="00A03629">
        <w:t xml:space="preserve"> </w:t>
      </w:r>
      <w:r>
        <w:t>are</w:t>
      </w:r>
      <w:r w:rsidR="00A03629">
        <w:t xml:space="preserve"> </w:t>
      </w:r>
      <w:r>
        <w:t>measured</w:t>
      </w:r>
      <w:r w:rsidR="00A03629">
        <w:t xml:space="preserve"> </w:t>
      </w:r>
      <w:r>
        <w:t>at</w:t>
      </w:r>
      <w:r w:rsidR="00A03629">
        <w:t xml:space="preserve"> </w:t>
      </w:r>
      <w:r>
        <w:t>amortised</w:t>
      </w:r>
      <w:r w:rsidR="00A03629">
        <w:t xml:space="preserve"> </w:t>
      </w:r>
      <w:r>
        <w:t>costs</w:t>
      </w:r>
      <w:r w:rsidR="00A03629">
        <w:t xml:space="preserve"> </w:t>
      </w:r>
      <w:r>
        <w:t>if</w:t>
      </w:r>
      <w:r w:rsidR="00A03629">
        <w:rPr>
          <w:rFonts w:ascii="Cambria" w:hAnsi="Cambria" w:cs="Cambria"/>
        </w:rPr>
        <w:t xml:space="preserve"> </w:t>
      </w:r>
      <w:r>
        <w:t>both</w:t>
      </w:r>
      <w:r w:rsidR="00A03629">
        <w:t xml:space="preserve"> </w:t>
      </w:r>
      <w:r>
        <w:t>of</w:t>
      </w:r>
      <w:r w:rsidR="00A03629">
        <w:t xml:space="preserve"> </w:t>
      </w:r>
      <w:r>
        <w:t>the</w:t>
      </w:r>
      <w:r w:rsidR="00A03629">
        <w:t xml:space="preserve"> </w:t>
      </w:r>
      <w:r>
        <w:t>following</w:t>
      </w:r>
      <w:r w:rsidR="00A03629">
        <w:t xml:space="preserve"> </w:t>
      </w:r>
      <w:r>
        <w:t>criteria</w:t>
      </w:r>
      <w:r w:rsidR="00A03629">
        <w:t xml:space="preserve"> </w:t>
      </w:r>
      <w:r>
        <w:t>are</w:t>
      </w:r>
      <w:r w:rsidR="00A03629">
        <w:t xml:space="preserve"> </w:t>
      </w:r>
      <w:proofErr w:type="gramStart"/>
      <w:r>
        <w:t>met</w:t>
      </w:r>
      <w:proofErr w:type="gramEnd"/>
      <w:r w:rsidR="00A03629">
        <w:t xml:space="preserve"> </w:t>
      </w:r>
      <w:r>
        <w:t>and</w:t>
      </w:r>
      <w:r w:rsidR="00A03629">
        <w:t xml:space="preserve"> </w:t>
      </w:r>
      <w:r>
        <w:t>the</w:t>
      </w:r>
      <w:r w:rsidR="00A03629">
        <w:t xml:space="preserve"> </w:t>
      </w:r>
      <w:r>
        <w:t>assets</w:t>
      </w:r>
      <w:r w:rsidR="00A03629">
        <w:t xml:space="preserve"> </w:t>
      </w:r>
      <w:r>
        <w:t>are</w:t>
      </w:r>
      <w:r w:rsidR="00A03629">
        <w:t xml:space="preserve"> </w:t>
      </w:r>
      <w:r>
        <w:t>not</w:t>
      </w:r>
      <w:r w:rsidR="00A03629">
        <w:t xml:space="preserve"> </w:t>
      </w:r>
      <w:r>
        <w:t>designated</w:t>
      </w:r>
      <w:r w:rsidR="00A03629">
        <w:t xml:space="preserve"> </w:t>
      </w:r>
      <w:r>
        <w:t>as</w:t>
      </w:r>
      <w:r w:rsidR="00A03629">
        <w:t xml:space="preserve"> </w:t>
      </w:r>
      <w:r>
        <w:t>fair</w:t>
      </w:r>
      <w:r w:rsidR="00A03629">
        <w:t xml:space="preserve"> </w:t>
      </w:r>
      <w:r>
        <w:t>value</w:t>
      </w:r>
      <w:r w:rsidR="00A03629">
        <w:t xml:space="preserve"> </w:t>
      </w:r>
      <w:r>
        <w:t>through</w:t>
      </w:r>
      <w:r w:rsidR="00A03629">
        <w:t xml:space="preserve"> </w:t>
      </w:r>
      <w:r>
        <w:t>net</w:t>
      </w:r>
      <w:r w:rsidR="00A03629">
        <w:rPr>
          <w:rFonts w:ascii="Cambria" w:hAnsi="Cambria" w:cs="Cambria"/>
        </w:rPr>
        <w:t xml:space="preserve"> </w:t>
      </w:r>
      <w:r>
        <w:t>result:</w:t>
      </w:r>
    </w:p>
    <w:p w14:paraId="1C12683C" w14:textId="13927860" w:rsidR="000756EB" w:rsidRDefault="004A4D88" w:rsidP="00476B80">
      <w:pPr>
        <w:pStyle w:val="Bullet"/>
      </w:pPr>
      <w:r>
        <w:t>the</w:t>
      </w:r>
      <w:r w:rsidR="00A03629">
        <w:t xml:space="preserve"> </w:t>
      </w:r>
      <w:r>
        <w:t>assets</w:t>
      </w:r>
      <w:r w:rsidR="00A03629">
        <w:t xml:space="preserve"> </w:t>
      </w:r>
      <w:r>
        <w:t>are</w:t>
      </w:r>
      <w:r w:rsidR="00A03629">
        <w:t xml:space="preserve"> </w:t>
      </w:r>
      <w:r>
        <w:t>held</w:t>
      </w:r>
      <w:r w:rsidR="00A03629">
        <w:t xml:space="preserve"> </w:t>
      </w:r>
      <w:r>
        <w:t>by</w:t>
      </w:r>
      <w:r w:rsidR="00A03629">
        <w:t xml:space="preserve"> </w:t>
      </w:r>
      <w:r>
        <w:t>DJSIR</w:t>
      </w:r>
      <w:r w:rsidR="00A03629">
        <w:t xml:space="preserve"> </w:t>
      </w:r>
      <w:r>
        <w:t>to</w:t>
      </w:r>
      <w:r w:rsidR="00A03629">
        <w:t xml:space="preserve"> </w:t>
      </w:r>
      <w:r>
        <w:t>collect</w:t>
      </w:r>
      <w:r w:rsidR="00A03629">
        <w:t xml:space="preserve"> </w:t>
      </w:r>
      <w:r>
        <w:t>the</w:t>
      </w:r>
      <w:r w:rsidR="00A03629">
        <w:t xml:space="preserve"> </w:t>
      </w:r>
      <w:r>
        <w:t>contractual</w:t>
      </w:r>
      <w:r w:rsidR="00A03629">
        <w:t xml:space="preserve"> </w:t>
      </w:r>
      <w:r>
        <w:t>cash</w:t>
      </w:r>
      <w:r w:rsidR="00A03629">
        <w:t xml:space="preserve"> </w:t>
      </w:r>
      <w:r>
        <w:t>flows,</w:t>
      </w:r>
      <w:r w:rsidR="00A03629">
        <w:t xml:space="preserve"> </w:t>
      </w:r>
      <w:r>
        <w:t>and</w:t>
      </w:r>
    </w:p>
    <w:p w14:paraId="093597FF" w14:textId="3D5E6B4A" w:rsidR="000756EB" w:rsidRDefault="004A4D88" w:rsidP="00476B80">
      <w:pPr>
        <w:pStyle w:val="Bulletlast"/>
      </w:pPr>
      <w:r>
        <w:t>the</w:t>
      </w:r>
      <w:r w:rsidR="00A03629">
        <w:t xml:space="preserve"> </w:t>
      </w:r>
      <w:r>
        <w:t>assets’</w:t>
      </w:r>
      <w:r w:rsidR="00A03629">
        <w:t xml:space="preserve"> </w:t>
      </w:r>
      <w:r>
        <w:t>contractual</w:t>
      </w:r>
      <w:r w:rsidR="00A03629">
        <w:t xml:space="preserve"> </w:t>
      </w:r>
      <w:r>
        <w:t>terms</w:t>
      </w:r>
      <w:r w:rsidR="00A03629">
        <w:t xml:space="preserve"> </w:t>
      </w:r>
      <w:r>
        <w:t>give</w:t>
      </w:r>
      <w:r w:rsidR="00A03629">
        <w:t xml:space="preserve"> </w:t>
      </w:r>
      <w:r>
        <w:t>rise</w:t>
      </w:r>
      <w:r w:rsidR="00A03629">
        <w:t xml:space="preserve"> </w:t>
      </w:r>
      <w:r>
        <w:t>to</w:t>
      </w:r>
      <w:r w:rsidR="00A03629">
        <w:t xml:space="preserve"> </w:t>
      </w:r>
      <w:r>
        <w:t>cash</w:t>
      </w:r>
      <w:r w:rsidR="00A03629">
        <w:t xml:space="preserve"> </w:t>
      </w:r>
      <w:r>
        <w:t>flows</w:t>
      </w:r>
      <w:r w:rsidR="00A03629">
        <w:t xml:space="preserve"> </w:t>
      </w:r>
      <w:r>
        <w:t>that</w:t>
      </w:r>
      <w:r w:rsidR="00A03629">
        <w:t xml:space="preserve"> </w:t>
      </w:r>
      <w:r>
        <w:t>are</w:t>
      </w:r>
      <w:r w:rsidR="00A03629">
        <w:t xml:space="preserve"> </w:t>
      </w:r>
      <w:r>
        <w:t>solely</w:t>
      </w:r>
      <w:r w:rsidR="00A03629">
        <w:t xml:space="preserve"> </w:t>
      </w:r>
      <w:r>
        <w:t>payments</w:t>
      </w:r>
      <w:r w:rsidR="00A03629">
        <w:t xml:space="preserve"> </w:t>
      </w:r>
      <w:r>
        <w:t>of</w:t>
      </w:r>
      <w:r w:rsidR="00A03629">
        <w:t xml:space="preserve"> </w:t>
      </w:r>
      <w:r>
        <w:t>principal</w:t>
      </w:r>
      <w:r w:rsidR="00A03629">
        <w:t xml:space="preserve"> </w:t>
      </w:r>
      <w:r>
        <w:t>and</w:t>
      </w:r>
      <w:r w:rsidR="00A03629">
        <w:rPr>
          <w:rFonts w:ascii="Cambria" w:hAnsi="Cambria" w:cs="Cambria"/>
        </w:rPr>
        <w:t xml:space="preserve"> </w:t>
      </w:r>
      <w:r>
        <w:t>interests.</w:t>
      </w:r>
    </w:p>
    <w:p w14:paraId="6814CF13" w14:textId="09FBE4C1" w:rsidR="000756EB" w:rsidRDefault="004A4D88" w:rsidP="00476B80">
      <w:r>
        <w:t>These</w:t>
      </w:r>
      <w:r w:rsidR="00A03629">
        <w:t xml:space="preserve"> </w:t>
      </w:r>
      <w:r>
        <w:t>assets</w:t>
      </w:r>
      <w:r w:rsidR="00A03629">
        <w:t xml:space="preserve"> </w:t>
      </w:r>
      <w:r>
        <w:t>are</w:t>
      </w:r>
      <w:r w:rsidR="00A03629">
        <w:t xml:space="preserve"> </w:t>
      </w:r>
      <w:r>
        <w:t>initially</w:t>
      </w:r>
      <w:r w:rsidR="00A03629">
        <w:t xml:space="preserve"> </w:t>
      </w:r>
      <w:r>
        <w:t>recognised</w:t>
      </w:r>
      <w:r w:rsidR="00A03629">
        <w:t xml:space="preserve"> </w:t>
      </w:r>
      <w:r>
        <w:t>at</w:t>
      </w:r>
      <w:r w:rsidR="00A03629">
        <w:t xml:space="preserve"> </w:t>
      </w:r>
      <w:r>
        <w:t>fair</w:t>
      </w:r>
      <w:r w:rsidR="00A03629">
        <w:t xml:space="preserve"> </w:t>
      </w:r>
      <w:r>
        <w:t>value</w:t>
      </w:r>
      <w:r w:rsidR="00A03629">
        <w:t xml:space="preserve"> </w:t>
      </w:r>
      <w:r>
        <w:t>plus</w:t>
      </w:r>
      <w:r w:rsidR="00A03629">
        <w:t xml:space="preserve"> </w:t>
      </w:r>
      <w:r>
        <w:t>any</w:t>
      </w:r>
      <w:r w:rsidR="00A03629">
        <w:t xml:space="preserve"> </w:t>
      </w:r>
      <w:r>
        <w:t>directly</w:t>
      </w:r>
      <w:r w:rsidR="00A03629">
        <w:t xml:space="preserve"> </w:t>
      </w:r>
      <w:r>
        <w:t>attributable</w:t>
      </w:r>
      <w:r w:rsidR="00A03629">
        <w:t xml:space="preserve"> </w:t>
      </w:r>
      <w:r>
        <w:t>transaction</w:t>
      </w:r>
      <w:r w:rsidR="00A03629">
        <w:t xml:space="preserve"> </w:t>
      </w:r>
      <w:r>
        <w:t>costs</w:t>
      </w:r>
      <w:r w:rsidR="00A03629">
        <w:t xml:space="preserve"> </w:t>
      </w:r>
      <w:r>
        <w:t>and</w:t>
      </w:r>
      <w:r w:rsidR="00A03629">
        <w:t xml:space="preserve"> </w:t>
      </w:r>
      <w:r>
        <w:t>subsequently</w:t>
      </w:r>
      <w:r w:rsidR="00A03629">
        <w:t xml:space="preserve"> </w:t>
      </w:r>
      <w:r>
        <w:t>measured</w:t>
      </w:r>
      <w:r w:rsidR="00A03629">
        <w:t xml:space="preserve"> </w:t>
      </w:r>
      <w:r>
        <w:t>at</w:t>
      </w:r>
      <w:r w:rsidR="00A03629">
        <w:t xml:space="preserve"> </w:t>
      </w:r>
      <w:r>
        <w:t>amortised</w:t>
      </w:r>
      <w:r w:rsidR="00A03629">
        <w:t xml:space="preserve"> </w:t>
      </w:r>
      <w:r>
        <w:t>cost</w:t>
      </w:r>
      <w:r w:rsidR="00A03629">
        <w:t xml:space="preserve"> </w:t>
      </w:r>
      <w:r>
        <w:t>using</w:t>
      </w:r>
      <w:r w:rsidR="00A03629">
        <w:t xml:space="preserve"> </w:t>
      </w:r>
      <w:r>
        <w:t>the</w:t>
      </w:r>
      <w:r w:rsidR="00A03629">
        <w:t xml:space="preserve"> </w:t>
      </w:r>
      <w:r>
        <w:t>effective</w:t>
      </w:r>
      <w:r w:rsidR="00A03629">
        <w:t xml:space="preserve"> </w:t>
      </w:r>
      <w:r>
        <w:t>interest</w:t>
      </w:r>
      <w:r w:rsidR="00A03629">
        <w:t xml:space="preserve"> </w:t>
      </w:r>
      <w:r>
        <w:t>method</w:t>
      </w:r>
      <w:r w:rsidR="00A03629">
        <w:t xml:space="preserve"> </w:t>
      </w:r>
      <w:r>
        <w:t>less</w:t>
      </w:r>
      <w:r w:rsidR="00A03629">
        <w:t xml:space="preserve"> </w:t>
      </w:r>
      <w:r>
        <w:t>any</w:t>
      </w:r>
      <w:r w:rsidR="00A03629">
        <w:t xml:space="preserve"> </w:t>
      </w:r>
      <w:r>
        <w:t>impairment.</w:t>
      </w:r>
    </w:p>
    <w:p w14:paraId="01590A03" w14:textId="231B7F89" w:rsidR="000756EB" w:rsidRDefault="004A4D88" w:rsidP="00476B80">
      <w:pPr>
        <w:pStyle w:val="Normalbeforebullets"/>
      </w:pPr>
      <w:r>
        <w:t>DJSIR</w:t>
      </w:r>
      <w:r w:rsidR="00A03629">
        <w:t xml:space="preserve"> </w:t>
      </w:r>
      <w:r>
        <w:t>recognises</w:t>
      </w:r>
      <w:r w:rsidR="00A03629">
        <w:t xml:space="preserve"> </w:t>
      </w:r>
      <w:r>
        <w:t>the</w:t>
      </w:r>
      <w:r w:rsidR="00A03629">
        <w:t xml:space="preserve"> </w:t>
      </w:r>
      <w:r>
        <w:t>following</w:t>
      </w:r>
      <w:r w:rsidR="00A03629">
        <w:t xml:space="preserve"> </w:t>
      </w:r>
      <w:r>
        <w:t>assets</w:t>
      </w:r>
      <w:r w:rsidR="00A03629">
        <w:t xml:space="preserve"> </w:t>
      </w:r>
      <w:r>
        <w:t>in</w:t>
      </w:r>
      <w:r w:rsidR="00A03629">
        <w:t xml:space="preserve"> </w:t>
      </w:r>
      <w:r>
        <w:t>this</w:t>
      </w:r>
      <w:r w:rsidR="00A03629">
        <w:t xml:space="preserve"> </w:t>
      </w:r>
      <w:r>
        <w:t>category:</w:t>
      </w:r>
    </w:p>
    <w:p w14:paraId="4FE1BD1A" w14:textId="7C276568" w:rsidR="000756EB" w:rsidRDefault="004A4D88" w:rsidP="00476B80">
      <w:pPr>
        <w:pStyle w:val="Bullet"/>
      </w:pPr>
      <w:r>
        <w:t>cash</w:t>
      </w:r>
      <w:r w:rsidR="00A03629">
        <w:t xml:space="preserve"> </w:t>
      </w:r>
      <w:r>
        <w:t>and</w:t>
      </w:r>
      <w:r w:rsidR="00A03629">
        <w:t xml:space="preserve"> </w:t>
      </w:r>
      <w:proofErr w:type="gramStart"/>
      <w:r>
        <w:t>deposits;</w:t>
      </w:r>
      <w:proofErr w:type="gramEnd"/>
    </w:p>
    <w:p w14:paraId="22206823" w14:textId="77777777" w:rsidR="000756EB" w:rsidRDefault="004A4D88" w:rsidP="00476B80">
      <w:pPr>
        <w:pStyle w:val="Bullet"/>
      </w:pPr>
      <w:proofErr w:type="gramStart"/>
      <w:r>
        <w:t>investments;</w:t>
      </w:r>
      <w:proofErr w:type="gramEnd"/>
    </w:p>
    <w:p w14:paraId="5047D5EA" w14:textId="3E3F80C0" w:rsidR="000756EB" w:rsidRDefault="004A4D88" w:rsidP="00476B80">
      <w:pPr>
        <w:pStyle w:val="Bullet"/>
      </w:pPr>
      <w:r>
        <w:t>receivables</w:t>
      </w:r>
      <w:r w:rsidR="00A03629">
        <w:t xml:space="preserve"> </w:t>
      </w:r>
      <w:r>
        <w:t>(excluding</w:t>
      </w:r>
      <w:r w:rsidR="00A03629">
        <w:t xml:space="preserve"> </w:t>
      </w:r>
      <w:r>
        <w:t>statutory</w:t>
      </w:r>
      <w:r w:rsidR="00A03629">
        <w:t xml:space="preserve"> </w:t>
      </w:r>
      <w:r>
        <w:t>receivables);</w:t>
      </w:r>
      <w:r w:rsidR="00A03629">
        <w:t xml:space="preserve"> </w:t>
      </w:r>
      <w:r>
        <w:t>and</w:t>
      </w:r>
    </w:p>
    <w:p w14:paraId="6EE64B9F" w14:textId="255146F4" w:rsidR="000756EB" w:rsidRDefault="004A4D88" w:rsidP="00476B80">
      <w:pPr>
        <w:pStyle w:val="Bulletlast"/>
      </w:pPr>
      <w:r>
        <w:t>term</w:t>
      </w:r>
      <w:r w:rsidR="00A03629">
        <w:t xml:space="preserve"> </w:t>
      </w:r>
      <w:r>
        <w:t>deposits.</w:t>
      </w:r>
      <w:r w:rsidR="00A03629">
        <w:t xml:space="preserve"> </w:t>
      </w:r>
    </w:p>
    <w:p w14:paraId="77B911A7" w14:textId="58E89BB5" w:rsidR="000756EB" w:rsidRDefault="004A4D88" w:rsidP="00476B80">
      <w:r w:rsidRPr="00476B80">
        <w:rPr>
          <w:b/>
          <w:bCs/>
        </w:rPr>
        <w:t>Financial</w:t>
      </w:r>
      <w:r w:rsidR="00A03629" w:rsidRPr="00476B80">
        <w:rPr>
          <w:b/>
          <w:bCs/>
        </w:rPr>
        <w:t xml:space="preserve"> </w:t>
      </w:r>
      <w:r w:rsidRPr="00476B80">
        <w:rPr>
          <w:b/>
          <w:bCs/>
        </w:rPr>
        <w:t>assets</w:t>
      </w:r>
      <w:r w:rsidR="00A03629" w:rsidRPr="00476B80">
        <w:rPr>
          <w:b/>
          <w:bCs/>
        </w:rPr>
        <w:t xml:space="preserve"> </w:t>
      </w:r>
      <w:r w:rsidRPr="00476B80">
        <w:rPr>
          <w:b/>
          <w:bCs/>
        </w:rPr>
        <w:t>and</w:t>
      </w:r>
      <w:r w:rsidR="00A03629" w:rsidRPr="00476B80">
        <w:rPr>
          <w:b/>
          <w:bCs/>
        </w:rPr>
        <w:t xml:space="preserve"> </w:t>
      </w:r>
      <w:r w:rsidRPr="00476B80">
        <w:rPr>
          <w:b/>
          <w:bCs/>
        </w:rPr>
        <w:t>liabilities</w:t>
      </w:r>
      <w:r w:rsidR="00A03629" w:rsidRPr="00476B80">
        <w:rPr>
          <w:b/>
          <w:bCs/>
        </w:rPr>
        <w:t xml:space="preserve"> </w:t>
      </w:r>
      <w:r w:rsidRPr="00476B80">
        <w:rPr>
          <w:b/>
          <w:bCs/>
        </w:rPr>
        <w:t>at</w:t>
      </w:r>
      <w:r w:rsidR="00A03629" w:rsidRPr="00476B80">
        <w:rPr>
          <w:b/>
          <w:bCs/>
        </w:rPr>
        <w:t xml:space="preserve"> </w:t>
      </w:r>
      <w:r w:rsidRPr="00476B80">
        <w:rPr>
          <w:b/>
          <w:bCs/>
        </w:rPr>
        <w:t>fair</w:t>
      </w:r>
      <w:r w:rsidR="00A03629" w:rsidRPr="00476B80">
        <w:rPr>
          <w:b/>
          <w:bCs/>
        </w:rPr>
        <w:t xml:space="preserve"> </w:t>
      </w:r>
      <w:r w:rsidRPr="00476B80">
        <w:rPr>
          <w:b/>
          <w:bCs/>
        </w:rPr>
        <w:t>value</w:t>
      </w:r>
      <w:r w:rsidR="00A03629" w:rsidRPr="00476B80">
        <w:rPr>
          <w:b/>
          <w:bCs/>
        </w:rPr>
        <w:t xml:space="preserve"> </w:t>
      </w:r>
      <w:r w:rsidRPr="00476B80">
        <w:rPr>
          <w:b/>
          <w:bCs/>
        </w:rPr>
        <w:t>through</w:t>
      </w:r>
      <w:r w:rsidR="00A03629" w:rsidRPr="00476B80">
        <w:rPr>
          <w:b/>
          <w:bCs/>
        </w:rPr>
        <w:t xml:space="preserve"> </w:t>
      </w:r>
      <w:r w:rsidRPr="00476B80">
        <w:rPr>
          <w:b/>
          <w:bCs/>
        </w:rPr>
        <w:t>net</w:t>
      </w:r>
      <w:r w:rsidR="00A03629" w:rsidRPr="00476B80">
        <w:rPr>
          <w:b/>
          <w:bCs/>
        </w:rPr>
        <w:t xml:space="preserve"> </w:t>
      </w:r>
      <w:r w:rsidRPr="00476B80">
        <w:rPr>
          <w:b/>
          <w:bCs/>
        </w:rPr>
        <w:t>result</w:t>
      </w:r>
      <w:r w:rsidR="00A03629">
        <w:t xml:space="preserve"> </w:t>
      </w:r>
      <w:r>
        <w:t>are</w:t>
      </w:r>
      <w:r w:rsidR="00A03629">
        <w:t xml:space="preserve"> </w:t>
      </w:r>
      <w:r>
        <w:t>categorised</w:t>
      </w:r>
      <w:r w:rsidR="00A03629">
        <w:t xml:space="preserve"> </w:t>
      </w:r>
      <w:r>
        <w:t>as</w:t>
      </w:r>
      <w:r w:rsidR="00A03629">
        <w:t xml:space="preserve"> </w:t>
      </w:r>
      <w:r>
        <w:t>such</w:t>
      </w:r>
      <w:r w:rsidR="00A03629">
        <w:t xml:space="preserve"> </w:t>
      </w:r>
      <w:r>
        <w:t>at</w:t>
      </w:r>
      <w:r w:rsidR="00A03629">
        <w:t xml:space="preserve"> </w:t>
      </w:r>
      <w:r>
        <w:t>trade</w:t>
      </w:r>
      <w:r w:rsidR="00A03629">
        <w:rPr>
          <w:rFonts w:ascii="Cambria" w:hAnsi="Cambria" w:cs="Cambria"/>
        </w:rPr>
        <w:t xml:space="preserve"> </w:t>
      </w:r>
      <w:r>
        <w:t>date,</w:t>
      </w:r>
      <w:r w:rsidR="00A03629">
        <w:t xml:space="preserve"> </w:t>
      </w:r>
      <w:r>
        <w:t>or</w:t>
      </w:r>
      <w:r w:rsidR="00A03629">
        <w:t xml:space="preserve"> </w:t>
      </w:r>
      <w:r>
        <w:t>if</w:t>
      </w:r>
      <w:r w:rsidR="00A03629">
        <w:rPr>
          <w:rFonts w:ascii="Cambria" w:hAnsi="Cambria" w:cs="Cambria"/>
        </w:rPr>
        <w:t xml:space="preserve"> </w:t>
      </w:r>
      <w:r>
        <w:t>they</w:t>
      </w:r>
      <w:r w:rsidR="00A03629">
        <w:t xml:space="preserve"> </w:t>
      </w:r>
      <w:r>
        <w:t>are</w:t>
      </w:r>
      <w:r w:rsidR="00A03629">
        <w:t xml:space="preserve"> </w:t>
      </w:r>
      <w:r>
        <w:t>classified</w:t>
      </w:r>
      <w:r w:rsidR="00A03629">
        <w:t xml:space="preserve"> </w:t>
      </w:r>
      <w:r>
        <w:t>as</w:t>
      </w:r>
      <w:r w:rsidR="00A03629">
        <w:t xml:space="preserve"> </w:t>
      </w:r>
      <w:r>
        <w:t>held</w:t>
      </w:r>
      <w:r w:rsidR="00A03629">
        <w:t xml:space="preserve"> </w:t>
      </w:r>
      <w:r>
        <w:t>for</w:t>
      </w:r>
      <w:r w:rsidR="00A03629">
        <w:t xml:space="preserve"> </w:t>
      </w:r>
      <w:r>
        <w:t>trading</w:t>
      </w:r>
      <w:r w:rsidR="00A03629">
        <w:t xml:space="preserve"> </w:t>
      </w:r>
      <w:r>
        <w:t>or</w:t>
      </w:r>
      <w:r w:rsidR="00A03629">
        <w:t xml:space="preserve"> </w:t>
      </w:r>
      <w:r>
        <w:t>designated</w:t>
      </w:r>
      <w:r w:rsidR="00A03629">
        <w:t xml:space="preserve"> </w:t>
      </w:r>
      <w:r>
        <w:t>as</w:t>
      </w:r>
      <w:r w:rsidR="00A03629">
        <w:t xml:space="preserve"> </w:t>
      </w:r>
      <w:r>
        <w:t>such</w:t>
      </w:r>
      <w:r w:rsidR="00A03629">
        <w:t xml:space="preserve"> </w:t>
      </w:r>
      <w:r>
        <w:t>upon</w:t>
      </w:r>
      <w:r w:rsidR="00A03629">
        <w:t xml:space="preserve"> </w:t>
      </w:r>
      <w:r>
        <w:t>initial</w:t>
      </w:r>
      <w:r w:rsidR="00A03629">
        <w:t xml:space="preserve"> </w:t>
      </w:r>
      <w:r>
        <w:t>recognition.</w:t>
      </w:r>
      <w:r w:rsidR="00A03629">
        <w:t xml:space="preserve"> </w:t>
      </w:r>
      <w:r>
        <w:t>Financial</w:t>
      </w:r>
      <w:r w:rsidR="00A03629">
        <w:t xml:space="preserve"> </w:t>
      </w:r>
      <w:r>
        <w:t>instrument</w:t>
      </w:r>
      <w:r w:rsidR="00A03629">
        <w:t xml:space="preserve"> </w:t>
      </w:r>
      <w:r>
        <w:t>assets</w:t>
      </w:r>
      <w:r w:rsidR="00A03629">
        <w:t xml:space="preserve"> </w:t>
      </w:r>
      <w:r>
        <w:t>are</w:t>
      </w:r>
      <w:r w:rsidR="00A03629">
        <w:t xml:space="preserve"> </w:t>
      </w:r>
      <w:r>
        <w:t>designated</w:t>
      </w:r>
      <w:r w:rsidR="00A03629">
        <w:t xml:space="preserve"> </w:t>
      </w:r>
      <w:r>
        <w:t>at</w:t>
      </w:r>
      <w:r w:rsidR="00A03629">
        <w:t xml:space="preserve"> </w:t>
      </w:r>
      <w:r>
        <w:t>fair</w:t>
      </w:r>
      <w:r w:rsidR="00A03629">
        <w:t xml:space="preserve"> </w:t>
      </w:r>
      <w:r>
        <w:t>value</w:t>
      </w:r>
      <w:r w:rsidR="00A03629">
        <w:t xml:space="preserve"> </w:t>
      </w:r>
      <w:r>
        <w:t>through</w:t>
      </w:r>
      <w:r w:rsidR="00A03629">
        <w:t xml:space="preserve"> </w:t>
      </w:r>
      <w:r>
        <w:t>net</w:t>
      </w:r>
      <w:r w:rsidR="00A03629">
        <w:t xml:space="preserve"> </w:t>
      </w:r>
      <w:r>
        <w:t>result</w:t>
      </w:r>
      <w:r w:rsidR="00A03629">
        <w:t xml:space="preserve"> </w:t>
      </w:r>
      <w:r>
        <w:t>on</w:t>
      </w:r>
      <w:r w:rsidR="00A03629">
        <w:t xml:space="preserve"> </w:t>
      </w:r>
      <w:r>
        <w:t>the</w:t>
      </w:r>
      <w:r w:rsidR="00A03629">
        <w:t xml:space="preserve"> </w:t>
      </w:r>
      <w:r>
        <w:t>basis</w:t>
      </w:r>
      <w:r w:rsidR="00A03629">
        <w:t xml:space="preserve"> </w:t>
      </w:r>
      <w:r>
        <w:t>that</w:t>
      </w:r>
      <w:r w:rsidR="00A03629">
        <w:t xml:space="preserve"> </w:t>
      </w:r>
      <w:r>
        <w:t>the</w:t>
      </w:r>
      <w:r w:rsidR="00A03629">
        <w:t xml:space="preserve"> </w:t>
      </w:r>
      <w:r>
        <w:t>financial</w:t>
      </w:r>
      <w:r w:rsidR="00A03629">
        <w:t xml:space="preserve"> </w:t>
      </w:r>
      <w:r>
        <w:t>assets</w:t>
      </w:r>
      <w:r w:rsidR="00A03629">
        <w:t xml:space="preserve"> </w:t>
      </w:r>
      <w:r>
        <w:t>form</w:t>
      </w:r>
      <w:r w:rsidR="00A03629">
        <w:t xml:space="preserve"> </w:t>
      </w:r>
      <w:r>
        <w:t>part</w:t>
      </w:r>
      <w:r w:rsidR="00A03629">
        <w:t xml:space="preserve"> </w:t>
      </w:r>
      <w:r>
        <w:t>of</w:t>
      </w:r>
      <w:r w:rsidR="00A03629">
        <w:t xml:space="preserve"> </w:t>
      </w:r>
      <w:r>
        <w:t>a</w:t>
      </w:r>
      <w:r w:rsidR="00A03629">
        <w:t xml:space="preserve"> </w:t>
      </w:r>
      <w:r>
        <w:t>group</w:t>
      </w:r>
      <w:r w:rsidR="00A03629">
        <w:t xml:space="preserve"> </w:t>
      </w:r>
      <w:r>
        <w:t>of</w:t>
      </w:r>
      <w:r w:rsidR="00A03629">
        <w:t xml:space="preserve"> </w:t>
      </w:r>
      <w:r>
        <w:t>financial</w:t>
      </w:r>
      <w:r w:rsidR="00A03629">
        <w:t xml:space="preserve"> </w:t>
      </w:r>
      <w:r>
        <w:t>assets</w:t>
      </w:r>
      <w:r w:rsidR="00A03629">
        <w:t xml:space="preserve"> </w:t>
      </w:r>
      <w:r>
        <w:t>that</w:t>
      </w:r>
      <w:r w:rsidR="00A03629">
        <w:t xml:space="preserve"> </w:t>
      </w:r>
      <w:r>
        <w:t>are</w:t>
      </w:r>
      <w:r w:rsidR="00A03629">
        <w:t xml:space="preserve"> </w:t>
      </w:r>
      <w:r>
        <w:t>managed</w:t>
      </w:r>
      <w:r w:rsidR="00A03629">
        <w:t xml:space="preserve"> </w:t>
      </w:r>
      <w:r>
        <w:t>based</w:t>
      </w:r>
      <w:r w:rsidR="00A03629">
        <w:t xml:space="preserve"> </w:t>
      </w:r>
      <w:r>
        <w:t>on</w:t>
      </w:r>
      <w:r w:rsidR="00A03629">
        <w:t xml:space="preserve"> </w:t>
      </w:r>
      <w:r>
        <w:t>their</w:t>
      </w:r>
      <w:r w:rsidR="00A03629">
        <w:t xml:space="preserve"> </w:t>
      </w:r>
      <w:r>
        <w:t>fair</w:t>
      </w:r>
      <w:r w:rsidR="00A03629">
        <w:t xml:space="preserve"> </w:t>
      </w:r>
      <w:r>
        <w:t>values</w:t>
      </w:r>
      <w:r w:rsidR="00A03629">
        <w:t xml:space="preserve"> </w:t>
      </w:r>
      <w:r>
        <w:t>and</w:t>
      </w:r>
      <w:r w:rsidR="00A03629">
        <w:t xml:space="preserve"> </w:t>
      </w:r>
      <w:r>
        <w:t>have</w:t>
      </w:r>
      <w:r w:rsidR="00A03629">
        <w:t xml:space="preserve"> </w:t>
      </w:r>
      <w:r>
        <w:t>their</w:t>
      </w:r>
      <w:r w:rsidR="00A03629">
        <w:t xml:space="preserve"> </w:t>
      </w:r>
      <w:r>
        <w:t>performance</w:t>
      </w:r>
      <w:r w:rsidR="00A03629">
        <w:t xml:space="preserve"> </w:t>
      </w:r>
      <w:r>
        <w:t>evaluated</w:t>
      </w:r>
      <w:r w:rsidR="00A03629">
        <w:t xml:space="preserve"> </w:t>
      </w:r>
      <w:r>
        <w:t>in</w:t>
      </w:r>
      <w:r w:rsidR="00A03629">
        <w:t xml:space="preserve"> </w:t>
      </w:r>
      <w:r>
        <w:t>accordance</w:t>
      </w:r>
      <w:r w:rsidR="00A03629">
        <w:t xml:space="preserve"> </w:t>
      </w:r>
      <w:r>
        <w:t>with</w:t>
      </w:r>
      <w:r w:rsidR="00A03629">
        <w:t xml:space="preserve"> </w:t>
      </w:r>
      <w:r>
        <w:t>documented</w:t>
      </w:r>
      <w:r w:rsidR="00A03629">
        <w:t xml:space="preserve"> </w:t>
      </w:r>
      <w:r>
        <w:t>risk</w:t>
      </w:r>
      <w:r w:rsidR="00A03629">
        <w:t xml:space="preserve"> </w:t>
      </w:r>
      <w:r>
        <w:t>management</w:t>
      </w:r>
      <w:r w:rsidR="00A03629">
        <w:t xml:space="preserve"> </w:t>
      </w:r>
      <w:r>
        <w:t>and</w:t>
      </w:r>
      <w:r w:rsidR="00A03629">
        <w:t xml:space="preserve"> </w:t>
      </w:r>
      <w:r>
        <w:t>investment</w:t>
      </w:r>
      <w:r w:rsidR="00A03629">
        <w:t xml:space="preserve"> </w:t>
      </w:r>
      <w:r>
        <w:t>strategies.</w:t>
      </w:r>
      <w:r w:rsidR="00A03629">
        <w:t xml:space="preserve"> </w:t>
      </w:r>
      <w:r>
        <w:t>Financial</w:t>
      </w:r>
      <w:r w:rsidR="00A03629">
        <w:t xml:space="preserve"> </w:t>
      </w:r>
      <w:r>
        <w:t>instruments</w:t>
      </w:r>
      <w:r w:rsidR="00A03629">
        <w:t xml:space="preserve"> </w:t>
      </w:r>
      <w:r>
        <w:t>at</w:t>
      </w:r>
      <w:r w:rsidR="00A03629">
        <w:rPr>
          <w:rFonts w:ascii="Cambria" w:hAnsi="Cambria" w:cs="Cambria"/>
        </w:rPr>
        <w:t xml:space="preserve"> </w:t>
      </w:r>
      <w:r>
        <w:t>fair</w:t>
      </w:r>
      <w:r w:rsidR="00A03629">
        <w:t xml:space="preserve"> </w:t>
      </w:r>
      <w:r>
        <w:t>value</w:t>
      </w:r>
      <w:r w:rsidR="00A03629">
        <w:t xml:space="preserve"> </w:t>
      </w:r>
      <w:r>
        <w:t>through</w:t>
      </w:r>
      <w:r w:rsidR="00A03629">
        <w:t xml:space="preserve"> </w:t>
      </w:r>
      <w:r>
        <w:t>net</w:t>
      </w:r>
      <w:r w:rsidR="00A03629">
        <w:t xml:space="preserve"> </w:t>
      </w:r>
      <w:r>
        <w:t>result</w:t>
      </w:r>
      <w:r w:rsidR="00A03629">
        <w:t xml:space="preserve"> </w:t>
      </w:r>
      <w:r>
        <w:t>are</w:t>
      </w:r>
      <w:r w:rsidR="00A03629">
        <w:t xml:space="preserve"> </w:t>
      </w:r>
      <w:r>
        <w:t>initially</w:t>
      </w:r>
      <w:r w:rsidR="00A03629">
        <w:t xml:space="preserve"> </w:t>
      </w:r>
      <w:r>
        <w:t>measured</w:t>
      </w:r>
      <w:r w:rsidR="00A03629">
        <w:t xml:space="preserve"> </w:t>
      </w:r>
      <w:r>
        <w:t>at</w:t>
      </w:r>
      <w:r w:rsidR="00A03629">
        <w:t xml:space="preserve"> </w:t>
      </w:r>
      <w:r>
        <w:t>fair</w:t>
      </w:r>
      <w:r w:rsidR="00A03629">
        <w:t xml:space="preserve"> </w:t>
      </w:r>
      <w:r>
        <w:t>value;</w:t>
      </w:r>
      <w:r w:rsidR="00A03629">
        <w:t xml:space="preserve"> </w:t>
      </w:r>
      <w:r>
        <w:t>attributable</w:t>
      </w:r>
      <w:r w:rsidR="00A03629">
        <w:t xml:space="preserve"> </w:t>
      </w:r>
      <w:r>
        <w:t>transaction</w:t>
      </w:r>
      <w:r w:rsidR="00A03629">
        <w:t xml:space="preserve"> </w:t>
      </w:r>
      <w:r>
        <w:t>costs</w:t>
      </w:r>
      <w:r w:rsidR="00A03629">
        <w:t xml:space="preserve"> </w:t>
      </w:r>
      <w:r>
        <w:t>are</w:t>
      </w:r>
      <w:r w:rsidR="00A03629">
        <w:t xml:space="preserve"> </w:t>
      </w:r>
      <w:r>
        <w:t>expensed</w:t>
      </w:r>
      <w:r w:rsidR="00A03629">
        <w:t xml:space="preserve"> </w:t>
      </w:r>
      <w:r>
        <w:t>as</w:t>
      </w:r>
      <w:r w:rsidR="00A03629">
        <w:t xml:space="preserve"> </w:t>
      </w:r>
      <w:r>
        <w:t>incurred.</w:t>
      </w:r>
      <w:r w:rsidR="00A03629">
        <w:t xml:space="preserve"> </w:t>
      </w:r>
      <w:r>
        <w:t>Subsequently,</w:t>
      </w:r>
      <w:r w:rsidR="00A03629">
        <w:t xml:space="preserve"> </w:t>
      </w:r>
      <w:r>
        <w:t>any</w:t>
      </w:r>
      <w:r w:rsidR="00A03629">
        <w:t xml:space="preserve"> </w:t>
      </w:r>
      <w:r>
        <w:t>changes</w:t>
      </w:r>
      <w:r w:rsidR="00A03629">
        <w:t xml:space="preserve"> </w:t>
      </w:r>
      <w:r>
        <w:t>in</w:t>
      </w:r>
      <w:r w:rsidR="00A03629">
        <w:t xml:space="preserve"> </w:t>
      </w:r>
      <w:r>
        <w:t>fair</w:t>
      </w:r>
      <w:r w:rsidR="00A03629">
        <w:t xml:space="preserve"> </w:t>
      </w:r>
      <w:r>
        <w:t>value</w:t>
      </w:r>
      <w:r w:rsidR="00A03629">
        <w:t xml:space="preserve"> </w:t>
      </w:r>
      <w:r>
        <w:t>are</w:t>
      </w:r>
      <w:r w:rsidR="00A03629">
        <w:t xml:space="preserve"> </w:t>
      </w:r>
      <w:r>
        <w:t>recognised</w:t>
      </w:r>
      <w:r w:rsidR="00A03629">
        <w:t xml:space="preserve"> </w:t>
      </w:r>
      <w:r>
        <w:t>in</w:t>
      </w:r>
      <w:r w:rsidR="00A03629">
        <w:t xml:space="preserve"> </w:t>
      </w:r>
      <w:r>
        <w:t>the</w:t>
      </w:r>
      <w:r w:rsidR="00A03629">
        <w:t xml:space="preserve"> </w:t>
      </w:r>
      <w:r>
        <w:t>net</w:t>
      </w:r>
      <w:r w:rsidR="00A03629">
        <w:t xml:space="preserve"> </w:t>
      </w:r>
      <w:r>
        <w:t>result</w:t>
      </w:r>
      <w:r w:rsidR="00A03629">
        <w:t xml:space="preserve"> </w:t>
      </w:r>
      <w:r>
        <w:t>as</w:t>
      </w:r>
      <w:r w:rsidR="00A03629">
        <w:t xml:space="preserve"> </w:t>
      </w:r>
      <w:r>
        <w:t>other</w:t>
      </w:r>
      <w:r w:rsidR="00A03629">
        <w:t xml:space="preserve"> </w:t>
      </w:r>
      <w:r>
        <w:t>economic</w:t>
      </w:r>
      <w:r w:rsidR="00A03629">
        <w:t xml:space="preserve"> </w:t>
      </w:r>
      <w:r>
        <w:t>flows</w:t>
      </w:r>
      <w:r w:rsidR="00A03629">
        <w:t xml:space="preserve"> </w:t>
      </w:r>
      <w:r>
        <w:t>unless</w:t>
      </w:r>
      <w:r w:rsidR="00A03629">
        <w:t xml:space="preserve"> </w:t>
      </w:r>
      <w:r>
        <w:t>the</w:t>
      </w:r>
      <w:r w:rsidR="00A03629">
        <w:t xml:space="preserve"> </w:t>
      </w:r>
      <w:r>
        <w:t>changes</w:t>
      </w:r>
      <w:r w:rsidR="00A03629">
        <w:t xml:space="preserve"> </w:t>
      </w:r>
      <w:r>
        <w:t>in</w:t>
      </w:r>
      <w:r w:rsidR="00A03629">
        <w:t xml:space="preserve"> </w:t>
      </w:r>
      <w:r>
        <w:t>fair</w:t>
      </w:r>
      <w:r w:rsidR="00A03629">
        <w:t xml:space="preserve"> </w:t>
      </w:r>
      <w:r>
        <w:t>value</w:t>
      </w:r>
      <w:r w:rsidR="00A03629">
        <w:t xml:space="preserve"> </w:t>
      </w:r>
      <w:r>
        <w:t>relate</w:t>
      </w:r>
      <w:r w:rsidR="00A03629">
        <w:t xml:space="preserve"> </w:t>
      </w:r>
      <w:r>
        <w:t>to</w:t>
      </w:r>
      <w:r w:rsidR="00A03629">
        <w:t xml:space="preserve"> </w:t>
      </w:r>
      <w:r>
        <w:t>changes</w:t>
      </w:r>
      <w:r w:rsidR="00A03629">
        <w:t xml:space="preserve"> </w:t>
      </w:r>
      <w:r>
        <w:t>in</w:t>
      </w:r>
      <w:r w:rsidR="00A03629">
        <w:t xml:space="preserve"> </w:t>
      </w:r>
      <w:r>
        <w:t>DJSIR’s</w:t>
      </w:r>
      <w:r w:rsidR="00A03629">
        <w:t xml:space="preserve"> </w:t>
      </w:r>
      <w:r>
        <w:t>own</w:t>
      </w:r>
      <w:r w:rsidR="00A03629">
        <w:t xml:space="preserve"> </w:t>
      </w:r>
      <w:r>
        <w:t>credit</w:t>
      </w:r>
      <w:r w:rsidR="00A03629">
        <w:t xml:space="preserve"> </w:t>
      </w:r>
      <w:r>
        <w:t>risk.</w:t>
      </w:r>
      <w:r w:rsidR="00A03629">
        <w:t xml:space="preserve"> </w:t>
      </w:r>
      <w:r>
        <w:t>In</w:t>
      </w:r>
      <w:r w:rsidR="00A03629">
        <w:t xml:space="preserve"> </w:t>
      </w:r>
      <w:r>
        <w:t>this</w:t>
      </w:r>
      <w:r w:rsidR="00A03629">
        <w:t xml:space="preserve"> </w:t>
      </w:r>
      <w:r>
        <w:t>case,</w:t>
      </w:r>
      <w:r w:rsidR="00A03629">
        <w:t xml:space="preserve"> </w:t>
      </w:r>
      <w:r>
        <w:t>the</w:t>
      </w:r>
      <w:r w:rsidR="00A03629">
        <w:t xml:space="preserve"> </w:t>
      </w:r>
      <w:r>
        <w:t>portion</w:t>
      </w:r>
      <w:r w:rsidR="00A03629">
        <w:t xml:space="preserve"> </w:t>
      </w:r>
      <w:r>
        <w:t>of</w:t>
      </w:r>
      <w:r w:rsidR="00A03629">
        <w:t xml:space="preserve"> </w:t>
      </w:r>
      <w:r>
        <w:t>the</w:t>
      </w:r>
      <w:r w:rsidR="00A03629">
        <w:t xml:space="preserve"> </w:t>
      </w:r>
      <w:r>
        <w:t>change</w:t>
      </w:r>
      <w:r w:rsidR="00A03629">
        <w:t xml:space="preserve"> </w:t>
      </w:r>
      <w:r>
        <w:t>attributable</w:t>
      </w:r>
      <w:r w:rsidR="00A03629">
        <w:t xml:space="preserve"> </w:t>
      </w:r>
      <w:r>
        <w:t>to</w:t>
      </w:r>
      <w:r w:rsidR="00A03629">
        <w:t xml:space="preserve"> </w:t>
      </w:r>
      <w:r>
        <w:t>changes</w:t>
      </w:r>
      <w:r w:rsidR="00A03629">
        <w:t xml:space="preserve"> </w:t>
      </w:r>
      <w:r>
        <w:t>in</w:t>
      </w:r>
      <w:r w:rsidR="00A03629">
        <w:t xml:space="preserve"> </w:t>
      </w:r>
      <w:r>
        <w:t>DJSIR’s</w:t>
      </w:r>
      <w:r w:rsidR="00A03629">
        <w:t xml:space="preserve"> </w:t>
      </w:r>
      <w:r>
        <w:t>own</w:t>
      </w:r>
      <w:r w:rsidR="00A03629">
        <w:t xml:space="preserve"> </w:t>
      </w:r>
      <w:r>
        <w:t>credit</w:t>
      </w:r>
      <w:r w:rsidR="00A03629">
        <w:t xml:space="preserve"> </w:t>
      </w:r>
      <w:r>
        <w:t>risk</w:t>
      </w:r>
      <w:r w:rsidR="00A03629">
        <w:t xml:space="preserve"> </w:t>
      </w:r>
      <w:r>
        <w:t>is</w:t>
      </w:r>
      <w:r w:rsidR="00A03629">
        <w:t xml:space="preserve"> </w:t>
      </w:r>
      <w:r>
        <w:t>recognised</w:t>
      </w:r>
      <w:r w:rsidR="00A03629">
        <w:t xml:space="preserve"> </w:t>
      </w:r>
      <w:r>
        <w:t>in</w:t>
      </w:r>
      <w:r w:rsidR="00A03629">
        <w:t xml:space="preserve"> </w:t>
      </w:r>
      <w:r>
        <w:t>other</w:t>
      </w:r>
      <w:r w:rsidR="00A03629">
        <w:t xml:space="preserve"> </w:t>
      </w:r>
      <w:r>
        <w:t>comprehensive</w:t>
      </w:r>
      <w:r w:rsidR="00A03629">
        <w:t xml:space="preserve"> </w:t>
      </w:r>
      <w:r>
        <w:t>income</w:t>
      </w:r>
      <w:r w:rsidR="00A03629">
        <w:t xml:space="preserve"> </w:t>
      </w:r>
      <w:r>
        <w:t>with</w:t>
      </w:r>
      <w:r w:rsidR="00A03629">
        <w:t xml:space="preserve"> </w:t>
      </w:r>
      <w:r>
        <w:t>no</w:t>
      </w:r>
      <w:r w:rsidR="00A03629">
        <w:t xml:space="preserve"> </w:t>
      </w:r>
      <w:r>
        <w:t>subsequent</w:t>
      </w:r>
      <w:r w:rsidR="00A03629">
        <w:t xml:space="preserve"> </w:t>
      </w:r>
      <w:r>
        <w:t>recycling</w:t>
      </w:r>
      <w:r w:rsidR="00A03629">
        <w:t xml:space="preserve"> </w:t>
      </w:r>
      <w:r>
        <w:t>to</w:t>
      </w:r>
      <w:r w:rsidR="00A03629">
        <w:t xml:space="preserve"> </w:t>
      </w:r>
      <w:r>
        <w:t>net</w:t>
      </w:r>
      <w:r w:rsidR="00A03629">
        <w:t xml:space="preserve"> </w:t>
      </w:r>
      <w:r>
        <w:t>result</w:t>
      </w:r>
      <w:r w:rsidR="00A03629">
        <w:t xml:space="preserve"> </w:t>
      </w:r>
      <w:r>
        <w:t>when</w:t>
      </w:r>
      <w:r w:rsidR="00A03629">
        <w:t xml:space="preserve"> </w:t>
      </w:r>
      <w:r>
        <w:t>the</w:t>
      </w:r>
      <w:r w:rsidR="00A03629">
        <w:t xml:space="preserve"> </w:t>
      </w:r>
      <w:r>
        <w:t>financial</w:t>
      </w:r>
      <w:r w:rsidR="00A03629">
        <w:t xml:space="preserve"> </w:t>
      </w:r>
      <w:r>
        <w:t>liability</w:t>
      </w:r>
      <w:r w:rsidR="00A03629">
        <w:t xml:space="preserve"> </w:t>
      </w:r>
      <w:r>
        <w:t>is</w:t>
      </w:r>
      <w:r w:rsidR="00A03629">
        <w:rPr>
          <w:rFonts w:ascii="Cambria" w:hAnsi="Cambria" w:cs="Cambria"/>
        </w:rPr>
        <w:t xml:space="preserve"> </w:t>
      </w:r>
      <w:r>
        <w:t>derecognised.</w:t>
      </w:r>
    </w:p>
    <w:p w14:paraId="11E72E1B" w14:textId="2F38411C" w:rsidR="000756EB" w:rsidRDefault="004A4D88" w:rsidP="00476B80">
      <w:pPr>
        <w:pStyle w:val="Normalbeforebullets"/>
      </w:pPr>
      <w:r w:rsidRPr="00476B80">
        <w:rPr>
          <w:b/>
          <w:bCs/>
        </w:rPr>
        <w:t>Financial</w:t>
      </w:r>
      <w:r w:rsidR="00A03629" w:rsidRPr="00476B80">
        <w:rPr>
          <w:b/>
          <w:bCs/>
        </w:rPr>
        <w:t xml:space="preserve"> </w:t>
      </w:r>
      <w:r w:rsidRPr="00476B80">
        <w:rPr>
          <w:b/>
          <w:bCs/>
        </w:rPr>
        <w:t>liabilities</w:t>
      </w:r>
      <w:r w:rsidR="00A03629">
        <w:t xml:space="preserve"> </w:t>
      </w:r>
      <w:r>
        <w:t>at</w:t>
      </w:r>
      <w:r w:rsidR="00A03629">
        <w:t xml:space="preserve"> </w:t>
      </w:r>
      <w:r>
        <w:t>amortised</w:t>
      </w:r>
      <w:r w:rsidR="00A03629">
        <w:t xml:space="preserve"> </w:t>
      </w:r>
      <w:r>
        <w:t>cost</w:t>
      </w:r>
      <w:r w:rsidR="00A03629">
        <w:t xml:space="preserve"> </w:t>
      </w:r>
      <w:r>
        <w:t>are</w:t>
      </w:r>
      <w:r w:rsidR="00A03629">
        <w:t xml:space="preserve"> </w:t>
      </w:r>
      <w:r>
        <w:t>initially</w:t>
      </w:r>
      <w:r w:rsidR="00A03629">
        <w:t xml:space="preserve"> </w:t>
      </w:r>
      <w:r>
        <w:t>recognised</w:t>
      </w:r>
      <w:r w:rsidR="00A03629">
        <w:t xml:space="preserve"> </w:t>
      </w:r>
      <w:r>
        <w:t>on</w:t>
      </w:r>
      <w:r w:rsidR="00A03629">
        <w:t xml:space="preserve"> </w:t>
      </w:r>
      <w:r>
        <w:t>the</w:t>
      </w:r>
      <w:r w:rsidR="00A03629">
        <w:t xml:space="preserve"> </w:t>
      </w:r>
      <w:r>
        <w:t>date</w:t>
      </w:r>
      <w:r w:rsidR="00A03629">
        <w:t xml:space="preserve"> </w:t>
      </w:r>
      <w:r>
        <w:t>they</w:t>
      </w:r>
      <w:r w:rsidR="00A03629">
        <w:t xml:space="preserve"> </w:t>
      </w:r>
      <w:r>
        <w:t>are</w:t>
      </w:r>
      <w:r w:rsidR="00A03629">
        <w:t xml:space="preserve"> </w:t>
      </w:r>
      <w:r>
        <w:t>originated.</w:t>
      </w:r>
      <w:r w:rsidR="00A03629">
        <w:t xml:space="preserve"> </w:t>
      </w:r>
      <w:r>
        <w:t>They</w:t>
      </w:r>
      <w:r w:rsidR="00A03629">
        <w:rPr>
          <w:rFonts w:ascii="Cambria" w:hAnsi="Cambria" w:cs="Cambria"/>
        </w:rPr>
        <w:t xml:space="preserve"> </w:t>
      </w:r>
      <w:r>
        <w:t>are</w:t>
      </w:r>
      <w:r w:rsidR="00A03629">
        <w:rPr>
          <w:rFonts w:ascii="Cambria" w:hAnsi="Cambria" w:cs="Cambria"/>
        </w:rPr>
        <w:t xml:space="preserve"> </w:t>
      </w:r>
      <w:r>
        <w:t>initially</w:t>
      </w:r>
      <w:r w:rsidR="00A03629">
        <w:t xml:space="preserve"> </w:t>
      </w:r>
      <w:r>
        <w:t>measured</w:t>
      </w:r>
      <w:r w:rsidR="00A03629">
        <w:t xml:space="preserve"> </w:t>
      </w:r>
      <w:r>
        <w:t>at</w:t>
      </w:r>
      <w:r w:rsidR="00A03629">
        <w:t xml:space="preserve"> </w:t>
      </w:r>
      <w:r>
        <w:t>fair</w:t>
      </w:r>
      <w:r w:rsidR="00A03629">
        <w:t xml:space="preserve"> </w:t>
      </w:r>
      <w:r>
        <w:t>value</w:t>
      </w:r>
      <w:r w:rsidR="00A03629">
        <w:t xml:space="preserve"> </w:t>
      </w:r>
      <w:r>
        <w:t>plus</w:t>
      </w:r>
      <w:r w:rsidR="00A03629">
        <w:t xml:space="preserve"> </w:t>
      </w:r>
      <w:r>
        <w:t>any</w:t>
      </w:r>
      <w:r w:rsidR="00A03629">
        <w:t xml:space="preserve"> </w:t>
      </w:r>
      <w:r>
        <w:t>directly</w:t>
      </w:r>
      <w:r w:rsidR="00A03629">
        <w:t xml:space="preserve"> </w:t>
      </w:r>
      <w:r>
        <w:t>attributable</w:t>
      </w:r>
      <w:r w:rsidR="00A03629">
        <w:t xml:space="preserve"> </w:t>
      </w:r>
      <w:r>
        <w:t>transaction</w:t>
      </w:r>
      <w:r w:rsidR="00A03629">
        <w:t xml:space="preserve"> </w:t>
      </w:r>
      <w:r>
        <w:t>costs.</w:t>
      </w:r>
      <w:r w:rsidR="00A03629">
        <w:t xml:space="preserve"> </w:t>
      </w:r>
      <w:r>
        <w:t>Subsequent</w:t>
      </w:r>
      <w:r w:rsidR="00A03629">
        <w:t xml:space="preserve"> </w:t>
      </w:r>
      <w:r>
        <w:t>to</w:t>
      </w:r>
      <w:r w:rsidR="00A03629">
        <w:t xml:space="preserve"> </w:t>
      </w:r>
      <w:r>
        <w:t>initial</w:t>
      </w:r>
      <w:r w:rsidR="00A03629">
        <w:t xml:space="preserve"> </w:t>
      </w:r>
      <w:r>
        <w:t>recognition,</w:t>
      </w:r>
      <w:r w:rsidR="00A03629">
        <w:t xml:space="preserve"> </w:t>
      </w:r>
      <w:r>
        <w:t>these</w:t>
      </w:r>
      <w:r w:rsidR="00A03629">
        <w:t xml:space="preserve"> </w:t>
      </w:r>
      <w:r>
        <w:t>financial</w:t>
      </w:r>
      <w:r w:rsidR="00A03629">
        <w:t xml:space="preserve"> </w:t>
      </w:r>
      <w:r>
        <w:t>instruments</w:t>
      </w:r>
      <w:r w:rsidR="00A03629">
        <w:t xml:space="preserve"> </w:t>
      </w:r>
      <w:r>
        <w:t>are</w:t>
      </w:r>
      <w:r w:rsidR="00A03629">
        <w:rPr>
          <w:rFonts w:ascii="Cambria" w:hAnsi="Cambria" w:cs="Cambria"/>
        </w:rPr>
        <w:t xml:space="preserve"> </w:t>
      </w:r>
      <w:r>
        <w:t>measured</w:t>
      </w:r>
      <w:r w:rsidR="00A03629">
        <w:t xml:space="preserve"> </w:t>
      </w:r>
      <w:r>
        <w:t>at</w:t>
      </w:r>
      <w:r w:rsidR="00A03629">
        <w:t xml:space="preserve"> </w:t>
      </w:r>
      <w:r>
        <w:t>amortised</w:t>
      </w:r>
      <w:r w:rsidR="00A03629">
        <w:t xml:space="preserve"> </w:t>
      </w:r>
      <w:r>
        <w:t>cost</w:t>
      </w:r>
      <w:r w:rsidR="00A03629">
        <w:t xml:space="preserve"> </w:t>
      </w:r>
      <w:r>
        <w:t>with</w:t>
      </w:r>
      <w:r w:rsidR="00A03629">
        <w:t xml:space="preserve"> </w:t>
      </w:r>
      <w:r>
        <w:t>any</w:t>
      </w:r>
      <w:r w:rsidR="00A03629">
        <w:t xml:space="preserve"> </w:t>
      </w:r>
      <w:r>
        <w:t>difference</w:t>
      </w:r>
      <w:r w:rsidR="00A03629">
        <w:t xml:space="preserve"> </w:t>
      </w:r>
      <w:r>
        <w:t>between</w:t>
      </w:r>
      <w:r w:rsidR="00A03629">
        <w:t xml:space="preserve"> </w:t>
      </w:r>
      <w:r>
        <w:t>the</w:t>
      </w:r>
      <w:r w:rsidR="00A03629">
        <w:t xml:space="preserve"> </w:t>
      </w:r>
      <w:r>
        <w:t>initial</w:t>
      </w:r>
      <w:r w:rsidR="00A03629">
        <w:t xml:space="preserve"> </w:t>
      </w:r>
      <w:r>
        <w:t>recognised</w:t>
      </w:r>
      <w:r w:rsidR="00A03629">
        <w:t xml:space="preserve"> </w:t>
      </w:r>
      <w:r>
        <w:t>amount</w:t>
      </w:r>
      <w:r w:rsidR="00A03629">
        <w:t xml:space="preserve"> </w:t>
      </w:r>
      <w:r>
        <w:t>and</w:t>
      </w:r>
      <w:r w:rsidR="00A03629">
        <w:t xml:space="preserve"> </w:t>
      </w:r>
      <w:r>
        <w:t>the</w:t>
      </w:r>
      <w:r w:rsidR="00A03629">
        <w:t xml:space="preserve"> </w:t>
      </w:r>
      <w:r>
        <w:t>redemption</w:t>
      </w:r>
      <w:r w:rsidR="00A03629">
        <w:t xml:space="preserve"> </w:t>
      </w:r>
      <w:r>
        <w:t>value</w:t>
      </w:r>
      <w:r w:rsidR="00A03629">
        <w:t xml:space="preserve"> </w:t>
      </w:r>
      <w:r>
        <w:t>being</w:t>
      </w:r>
      <w:r w:rsidR="00A03629">
        <w:t xml:space="preserve"> </w:t>
      </w:r>
      <w:r>
        <w:t>recognised</w:t>
      </w:r>
      <w:r w:rsidR="00A03629">
        <w:t xml:space="preserve"> </w:t>
      </w:r>
      <w:r>
        <w:t>in</w:t>
      </w:r>
      <w:r w:rsidR="00A03629">
        <w:t xml:space="preserve"> </w:t>
      </w:r>
      <w:r>
        <w:t>profit</w:t>
      </w:r>
      <w:r w:rsidR="00A03629">
        <w:t xml:space="preserve"> </w:t>
      </w:r>
      <w:r>
        <w:t>and</w:t>
      </w:r>
      <w:r w:rsidR="00A03629">
        <w:t xml:space="preserve"> </w:t>
      </w:r>
      <w:r>
        <w:t>loss</w:t>
      </w:r>
      <w:r w:rsidR="00A03629">
        <w:t xml:space="preserve"> </w:t>
      </w:r>
      <w:r>
        <w:t>over</w:t>
      </w:r>
      <w:r w:rsidR="00A03629">
        <w:t xml:space="preserve"> </w:t>
      </w:r>
      <w:r>
        <w:t>the</w:t>
      </w:r>
      <w:r w:rsidR="00A03629">
        <w:t xml:space="preserve"> </w:t>
      </w:r>
      <w:r>
        <w:t>period</w:t>
      </w:r>
      <w:r w:rsidR="00A03629">
        <w:t xml:space="preserve"> </w:t>
      </w:r>
      <w:r>
        <w:t>of</w:t>
      </w:r>
      <w:r w:rsidR="00A03629">
        <w:t xml:space="preserve"> </w:t>
      </w:r>
      <w:r>
        <w:t>the</w:t>
      </w:r>
      <w:r w:rsidR="00A03629">
        <w:t xml:space="preserve"> </w:t>
      </w:r>
      <w:proofErr w:type="gramStart"/>
      <w:r>
        <w:t>interest</w:t>
      </w:r>
      <w:r w:rsidR="00A03629">
        <w:t xml:space="preserve"> </w:t>
      </w:r>
      <w:r>
        <w:t>bearing</w:t>
      </w:r>
      <w:proofErr w:type="gramEnd"/>
      <w:r w:rsidR="00A03629">
        <w:t xml:space="preserve"> </w:t>
      </w:r>
      <w:r>
        <w:t>liability,</w:t>
      </w:r>
      <w:r w:rsidR="00A03629">
        <w:t xml:space="preserve"> </w:t>
      </w:r>
      <w:r>
        <w:t>using</w:t>
      </w:r>
      <w:r w:rsidR="00A03629">
        <w:t xml:space="preserve"> </w:t>
      </w:r>
      <w:r>
        <w:t>the</w:t>
      </w:r>
      <w:r w:rsidR="00A03629">
        <w:t xml:space="preserve"> </w:t>
      </w:r>
      <w:r>
        <w:t>effective</w:t>
      </w:r>
      <w:r w:rsidR="00A03629">
        <w:t xml:space="preserve"> </w:t>
      </w:r>
      <w:r>
        <w:t>interest</w:t>
      </w:r>
      <w:r w:rsidR="00A03629">
        <w:t xml:space="preserve"> </w:t>
      </w:r>
      <w:r>
        <w:t>rate</w:t>
      </w:r>
      <w:r w:rsidR="00A03629">
        <w:t xml:space="preserve"> </w:t>
      </w:r>
      <w:r>
        <w:t>method.</w:t>
      </w:r>
      <w:r w:rsidR="00A03629">
        <w:t xml:space="preserve"> </w:t>
      </w:r>
      <w:r>
        <w:t>DJSIR</w:t>
      </w:r>
      <w:r w:rsidR="00A03629">
        <w:t xml:space="preserve"> </w:t>
      </w:r>
      <w:r>
        <w:t>recognises</w:t>
      </w:r>
      <w:r w:rsidR="00A03629">
        <w:t xml:space="preserve"> </w:t>
      </w:r>
      <w:r>
        <w:t>the</w:t>
      </w:r>
      <w:r w:rsidR="00A03629">
        <w:t xml:space="preserve"> </w:t>
      </w:r>
      <w:r>
        <w:t>following</w:t>
      </w:r>
      <w:r w:rsidR="00A03629">
        <w:t xml:space="preserve"> </w:t>
      </w:r>
      <w:r>
        <w:t>liabilities</w:t>
      </w:r>
      <w:r w:rsidR="00A03629">
        <w:t xml:space="preserve"> </w:t>
      </w:r>
      <w:r>
        <w:t>in</w:t>
      </w:r>
      <w:r w:rsidR="00A03629">
        <w:t xml:space="preserve"> </w:t>
      </w:r>
      <w:r>
        <w:t>this</w:t>
      </w:r>
      <w:r w:rsidR="00A03629">
        <w:t xml:space="preserve"> </w:t>
      </w:r>
      <w:r>
        <w:t>category:</w:t>
      </w:r>
    </w:p>
    <w:p w14:paraId="6CE06DCA" w14:textId="10B72F7B" w:rsidR="000756EB" w:rsidRDefault="004A4D88" w:rsidP="00476B80">
      <w:pPr>
        <w:pStyle w:val="Bullet"/>
      </w:pPr>
      <w:r>
        <w:t>payables</w:t>
      </w:r>
      <w:r w:rsidR="00A03629">
        <w:t xml:space="preserve"> </w:t>
      </w:r>
      <w:r>
        <w:t>(excluding</w:t>
      </w:r>
      <w:r w:rsidR="00A03629">
        <w:t xml:space="preserve"> </w:t>
      </w:r>
      <w:r>
        <w:t>statutory</w:t>
      </w:r>
      <w:r w:rsidR="00A03629">
        <w:t xml:space="preserve"> </w:t>
      </w:r>
      <w:r>
        <w:t>payables</w:t>
      </w:r>
      <w:proofErr w:type="gramStart"/>
      <w:r>
        <w:t>);</w:t>
      </w:r>
      <w:proofErr w:type="gramEnd"/>
      <w:r w:rsidR="00A03629">
        <w:t xml:space="preserve"> </w:t>
      </w:r>
    </w:p>
    <w:p w14:paraId="78E0D01F" w14:textId="77777777" w:rsidR="000756EB" w:rsidRDefault="004A4D88" w:rsidP="00476B80">
      <w:pPr>
        <w:pStyle w:val="Bullet"/>
      </w:pPr>
      <w:proofErr w:type="gramStart"/>
      <w:r>
        <w:t>borrowings;</w:t>
      </w:r>
      <w:proofErr w:type="gramEnd"/>
    </w:p>
    <w:p w14:paraId="639D2B46" w14:textId="6E7D2C33" w:rsidR="000756EB" w:rsidRDefault="004A4D88" w:rsidP="00476B80">
      <w:pPr>
        <w:pStyle w:val="Bullet"/>
      </w:pPr>
      <w:r>
        <w:t>financial</w:t>
      </w:r>
      <w:r w:rsidR="00A03629">
        <w:t xml:space="preserve"> </w:t>
      </w:r>
      <w:r>
        <w:t>guarantee;</w:t>
      </w:r>
      <w:r w:rsidR="00A03629">
        <w:t xml:space="preserve"> </w:t>
      </w:r>
      <w:r>
        <w:t>and</w:t>
      </w:r>
    </w:p>
    <w:p w14:paraId="1F91F991" w14:textId="7F5F5C21" w:rsidR="000756EB" w:rsidRDefault="004A4D88" w:rsidP="00476B80">
      <w:pPr>
        <w:pStyle w:val="Bulletlast"/>
      </w:pPr>
      <w:r>
        <w:t>lease</w:t>
      </w:r>
      <w:r w:rsidR="00A03629">
        <w:t xml:space="preserve"> </w:t>
      </w:r>
      <w:r>
        <w:t>liabilities.</w:t>
      </w:r>
    </w:p>
    <w:p w14:paraId="6CD50D3D" w14:textId="7F23F0E0" w:rsidR="000756EB" w:rsidRDefault="004A4D88" w:rsidP="00476B80">
      <w:r w:rsidRPr="00476B80">
        <w:rPr>
          <w:b/>
          <w:bCs/>
        </w:rPr>
        <w:lastRenderedPageBreak/>
        <w:t>Derivative</w:t>
      </w:r>
      <w:r w:rsidR="00A03629" w:rsidRPr="00476B80">
        <w:rPr>
          <w:b/>
          <w:bCs/>
        </w:rPr>
        <w:t xml:space="preserve"> </w:t>
      </w:r>
      <w:r w:rsidRPr="00476B80">
        <w:rPr>
          <w:b/>
          <w:bCs/>
        </w:rPr>
        <w:t>financial</w:t>
      </w:r>
      <w:r w:rsidR="00A03629" w:rsidRPr="00476B80">
        <w:rPr>
          <w:b/>
          <w:bCs/>
        </w:rPr>
        <w:t xml:space="preserve"> </w:t>
      </w:r>
      <w:r w:rsidRPr="00476B80">
        <w:rPr>
          <w:b/>
          <w:bCs/>
        </w:rPr>
        <w:t>instruments</w:t>
      </w:r>
      <w:r w:rsidR="00A03629" w:rsidRPr="00D05F44">
        <w:t xml:space="preserve"> </w:t>
      </w:r>
      <w:r>
        <w:t>are</w:t>
      </w:r>
      <w:r w:rsidR="00A03629">
        <w:t xml:space="preserve"> </w:t>
      </w:r>
      <w:r>
        <w:t>classified</w:t>
      </w:r>
      <w:r w:rsidR="00A03629">
        <w:t xml:space="preserve"> </w:t>
      </w:r>
      <w:r>
        <w:t>as</w:t>
      </w:r>
      <w:r w:rsidR="00A03629">
        <w:t xml:space="preserve"> </w:t>
      </w:r>
      <w:r>
        <w:t>held</w:t>
      </w:r>
      <w:r w:rsidR="00A03629">
        <w:t xml:space="preserve"> </w:t>
      </w:r>
      <w:r>
        <w:t>for</w:t>
      </w:r>
      <w:r w:rsidR="00A03629">
        <w:t xml:space="preserve"> </w:t>
      </w:r>
      <w:r>
        <w:t>trading</w:t>
      </w:r>
      <w:r w:rsidR="00A03629">
        <w:t xml:space="preserve"> </w:t>
      </w:r>
      <w:r>
        <w:t>financial</w:t>
      </w:r>
      <w:r w:rsidR="00A03629">
        <w:t xml:space="preserve"> </w:t>
      </w:r>
      <w:r>
        <w:t>assets</w:t>
      </w:r>
      <w:r w:rsidR="00A03629">
        <w:t xml:space="preserve"> </w:t>
      </w:r>
      <w:r>
        <w:t>and</w:t>
      </w:r>
      <w:r w:rsidR="00A03629">
        <w:t xml:space="preserve"> </w:t>
      </w:r>
      <w:r>
        <w:t>liabilities.</w:t>
      </w:r>
      <w:r w:rsidR="00A03629">
        <w:t xml:space="preserve"> </w:t>
      </w:r>
      <w:r>
        <w:t>They</w:t>
      </w:r>
      <w:r w:rsidR="00A03629">
        <w:t xml:space="preserve"> </w:t>
      </w:r>
      <w:r>
        <w:t>are</w:t>
      </w:r>
      <w:r w:rsidR="00A03629">
        <w:t xml:space="preserve"> </w:t>
      </w:r>
      <w:r>
        <w:t>initially</w:t>
      </w:r>
      <w:r w:rsidR="00A03629">
        <w:t xml:space="preserve"> </w:t>
      </w:r>
      <w:r>
        <w:t>recognised</w:t>
      </w:r>
      <w:r w:rsidR="00A03629">
        <w:t xml:space="preserve"> </w:t>
      </w:r>
      <w:r>
        <w:t>at</w:t>
      </w:r>
      <w:r w:rsidR="00A03629">
        <w:t xml:space="preserve"> </w:t>
      </w:r>
      <w:r>
        <w:t>fair</w:t>
      </w:r>
      <w:r w:rsidR="00A03629">
        <w:t xml:space="preserve"> </w:t>
      </w:r>
      <w:r>
        <w:t>value</w:t>
      </w:r>
      <w:r w:rsidR="00A03629">
        <w:t xml:space="preserve"> </w:t>
      </w:r>
      <w:r>
        <w:t>on</w:t>
      </w:r>
      <w:r w:rsidR="00A03629">
        <w:t xml:space="preserve"> </w:t>
      </w:r>
      <w:r>
        <w:t>the</w:t>
      </w:r>
      <w:r w:rsidR="00A03629">
        <w:t xml:space="preserve"> </w:t>
      </w:r>
      <w:r>
        <w:t>date</w:t>
      </w:r>
      <w:r w:rsidR="00A03629">
        <w:t xml:space="preserve"> </w:t>
      </w:r>
      <w:r>
        <w:t>on</w:t>
      </w:r>
      <w:r w:rsidR="00A03629">
        <w:t xml:space="preserve"> </w:t>
      </w:r>
      <w:r>
        <w:t>which</w:t>
      </w:r>
      <w:r w:rsidR="00A03629">
        <w:t xml:space="preserve"> </w:t>
      </w:r>
      <w:r>
        <w:t>a</w:t>
      </w:r>
      <w:r w:rsidR="00A03629">
        <w:t xml:space="preserve"> </w:t>
      </w:r>
      <w:r>
        <w:t>derivative</w:t>
      </w:r>
      <w:r w:rsidR="00A03629">
        <w:t xml:space="preserve"> </w:t>
      </w:r>
      <w:r>
        <w:t>contract</w:t>
      </w:r>
      <w:r w:rsidR="00A03629">
        <w:t xml:space="preserve"> </w:t>
      </w:r>
      <w:r>
        <w:t>is</w:t>
      </w:r>
      <w:r w:rsidR="00A03629">
        <w:t xml:space="preserve"> </w:t>
      </w:r>
      <w:r>
        <w:t>entered</w:t>
      </w:r>
      <w:r w:rsidR="00A03629">
        <w:t xml:space="preserve"> </w:t>
      </w:r>
      <w:r>
        <w:t>into.</w:t>
      </w:r>
      <w:r w:rsidR="00A03629">
        <w:t xml:space="preserve"> </w:t>
      </w:r>
      <w:r>
        <w:t>Derivatives</w:t>
      </w:r>
      <w:r w:rsidR="00A03629">
        <w:t xml:space="preserve"> </w:t>
      </w:r>
      <w:r>
        <w:t>are</w:t>
      </w:r>
      <w:r w:rsidR="00A03629">
        <w:t xml:space="preserve"> </w:t>
      </w:r>
      <w:r>
        <w:t>carried</w:t>
      </w:r>
      <w:r w:rsidR="00A03629">
        <w:t xml:space="preserve"> </w:t>
      </w:r>
      <w:r>
        <w:t>as</w:t>
      </w:r>
      <w:r w:rsidR="00A03629">
        <w:t xml:space="preserve"> </w:t>
      </w:r>
      <w:r>
        <w:t>assets</w:t>
      </w:r>
      <w:r w:rsidR="00A03629">
        <w:t xml:space="preserve"> </w:t>
      </w:r>
      <w:r>
        <w:t>when</w:t>
      </w:r>
      <w:r w:rsidR="00A03629">
        <w:t xml:space="preserve"> </w:t>
      </w:r>
      <w:r>
        <w:t>their</w:t>
      </w:r>
      <w:r w:rsidR="00A03629">
        <w:t xml:space="preserve"> </w:t>
      </w:r>
      <w:r>
        <w:t>fair</w:t>
      </w:r>
      <w:r w:rsidR="00A03629">
        <w:t xml:space="preserve"> </w:t>
      </w:r>
      <w:r>
        <w:t>value</w:t>
      </w:r>
      <w:r w:rsidR="00A03629">
        <w:t xml:space="preserve"> </w:t>
      </w:r>
      <w:r>
        <w:t>is</w:t>
      </w:r>
      <w:r w:rsidR="00A03629">
        <w:t xml:space="preserve"> </w:t>
      </w:r>
      <w:r>
        <w:t>positive</w:t>
      </w:r>
      <w:r w:rsidR="00A03629">
        <w:t xml:space="preserve"> </w:t>
      </w:r>
      <w:r>
        <w:t>and</w:t>
      </w:r>
      <w:r w:rsidR="00A03629">
        <w:t xml:space="preserve"> </w:t>
      </w:r>
      <w:r>
        <w:t>as</w:t>
      </w:r>
      <w:r w:rsidR="00A03629">
        <w:t xml:space="preserve"> </w:t>
      </w:r>
      <w:r>
        <w:t>liabilities</w:t>
      </w:r>
      <w:r w:rsidR="00A03629">
        <w:t xml:space="preserve"> </w:t>
      </w:r>
      <w:r>
        <w:t>when</w:t>
      </w:r>
      <w:r w:rsidR="00A03629">
        <w:t xml:space="preserve"> </w:t>
      </w:r>
      <w:r>
        <w:t>their</w:t>
      </w:r>
      <w:r w:rsidR="00A03629">
        <w:t xml:space="preserve"> </w:t>
      </w:r>
      <w:r>
        <w:t>fair</w:t>
      </w:r>
      <w:r w:rsidR="00A03629">
        <w:t xml:space="preserve"> </w:t>
      </w:r>
      <w:r>
        <w:t>value</w:t>
      </w:r>
      <w:r w:rsidR="00A03629">
        <w:t xml:space="preserve"> </w:t>
      </w:r>
      <w:r>
        <w:t>is</w:t>
      </w:r>
      <w:r w:rsidR="00A03629">
        <w:t xml:space="preserve"> </w:t>
      </w:r>
      <w:r>
        <w:t>negative.</w:t>
      </w:r>
      <w:r w:rsidR="00A03629">
        <w:t xml:space="preserve"> </w:t>
      </w:r>
      <w:r>
        <w:t>Any</w:t>
      </w:r>
      <w:r w:rsidR="00A03629">
        <w:t xml:space="preserve"> </w:t>
      </w:r>
      <w:r>
        <w:t>gains</w:t>
      </w:r>
      <w:r w:rsidR="00A03629">
        <w:t xml:space="preserve"> </w:t>
      </w:r>
      <w:r>
        <w:t>or</w:t>
      </w:r>
      <w:r w:rsidR="00A03629">
        <w:t xml:space="preserve"> </w:t>
      </w:r>
      <w:r>
        <w:t>losses</w:t>
      </w:r>
      <w:r w:rsidR="00A03629">
        <w:t xml:space="preserve"> </w:t>
      </w:r>
      <w:r>
        <w:t>arising</w:t>
      </w:r>
      <w:r w:rsidR="00A03629">
        <w:t xml:space="preserve"> </w:t>
      </w:r>
      <w:r>
        <w:t>from</w:t>
      </w:r>
      <w:r w:rsidR="00A03629">
        <w:t xml:space="preserve"> </w:t>
      </w:r>
      <w:r>
        <w:t>changes</w:t>
      </w:r>
      <w:r w:rsidR="00A03629">
        <w:t xml:space="preserve"> </w:t>
      </w:r>
      <w:r>
        <w:t>in</w:t>
      </w:r>
      <w:r w:rsidR="00A03629">
        <w:t xml:space="preserve"> </w:t>
      </w:r>
      <w:r>
        <w:t>the</w:t>
      </w:r>
      <w:r w:rsidR="00A03629">
        <w:t xml:space="preserve"> </w:t>
      </w:r>
      <w:r>
        <w:t>fair</w:t>
      </w:r>
      <w:r w:rsidR="00A03629">
        <w:t xml:space="preserve"> </w:t>
      </w:r>
      <w:r>
        <w:t>value</w:t>
      </w:r>
      <w:r w:rsidR="00A03629">
        <w:t xml:space="preserve"> </w:t>
      </w:r>
      <w:r>
        <w:t>of</w:t>
      </w:r>
      <w:r w:rsidR="00A03629">
        <w:t xml:space="preserve"> </w:t>
      </w:r>
      <w:r>
        <w:t>derivatives</w:t>
      </w:r>
      <w:r w:rsidR="00A03629">
        <w:t xml:space="preserve"> </w:t>
      </w:r>
      <w:r>
        <w:t>after</w:t>
      </w:r>
      <w:r w:rsidR="00A03629">
        <w:t xml:space="preserve"> </w:t>
      </w:r>
      <w:r>
        <w:t>initial</w:t>
      </w:r>
      <w:r w:rsidR="00A03629">
        <w:t xml:space="preserve"> </w:t>
      </w:r>
      <w:r>
        <w:t>recognition</w:t>
      </w:r>
      <w:r w:rsidR="00A03629">
        <w:t xml:space="preserve"> </w:t>
      </w:r>
      <w:r>
        <w:t>are</w:t>
      </w:r>
      <w:r w:rsidR="00A03629">
        <w:t xml:space="preserve"> </w:t>
      </w:r>
      <w:r>
        <w:t>recognised</w:t>
      </w:r>
      <w:r w:rsidR="00A03629">
        <w:t xml:space="preserve"> </w:t>
      </w:r>
      <w:r>
        <w:t>in</w:t>
      </w:r>
      <w:r w:rsidR="00A03629">
        <w:t xml:space="preserve"> </w:t>
      </w:r>
      <w:r>
        <w:t>the</w:t>
      </w:r>
      <w:r w:rsidR="00A03629">
        <w:t xml:space="preserve"> </w:t>
      </w:r>
      <w:r>
        <w:t>comprehensive</w:t>
      </w:r>
      <w:r w:rsidR="00A03629">
        <w:t xml:space="preserve"> </w:t>
      </w:r>
      <w:r>
        <w:t>operating</w:t>
      </w:r>
      <w:r w:rsidR="00A03629">
        <w:t xml:space="preserve"> </w:t>
      </w:r>
      <w:r>
        <w:t>statement</w:t>
      </w:r>
      <w:r w:rsidR="00A03629">
        <w:t xml:space="preserve"> </w:t>
      </w:r>
      <w:r>
        <w:t>as</w:t>
      </w:r>
      <w:r w:rsidR="00A03629">
        <w:t xml:space="preserve"> </w:t>
      </w:r>
      <w:r>
        <w:t>an</w:t>
      </w:r>
      <w:r w:rsidR="00A03629">
        <w:t xml:space="preserve"> </w:t>
      </w:r>
      <w:r>
        <w:t>‘other</w:t>
      </w:r>
      <w:r w:rsidR="00A03629">
        <w:t xml:space="preserve"> </w:t>
      </w:r>
      <w:r>
        <w:t>economic</w:t>
      </w:r>
      <w:r w:rsidR="00A03629">
        <w:t xml:space="preserve"> </w:t>
      </w:r>
      <w:r>
        <w:t>flow’</w:t>
      </w:r>
      <w:r w:rsidR="00A03629">
        <w:t xml:space="preserve"> </w:t>
      </w:r>
      <w:r>
        <w:t>included</w:t>
      </w:r>
      <w:r w:rsidR="00A03629">
        <w:t xml:space="preserve"> </w:t>
      </w:r>
      <w:r>
        <w:t>in</w:t>
      </w:r>
      <w:r w:rsidR="00A03629">
        <w:t xml:space="preserve"> </w:t>
      </w:r>
      <w:r>
        <w:t>the</w:t>
      </w:r>
      <w:r w:rsidR="00A03629">
        <w:t xml:space="preserve"> </w:t>
      </w:r>
      <w:r>
        <w:t>net</w:t>
      </w:r>
      <w:r w:rsidR="00A03629">
        <w:t xml:space="preserve"> </w:t>
      </w:r>
      <w:r>
        <w:t>result.</w:t>
      </w:r>
    </w:p>
    <w:p w14:paraId="4469BBDF" w14:textId="0DE954F8" w:rsidR="000756EB" w:rsidRDefault="004A4D88" w:rsidP="00476B80">
      <w:r w:rsidRPr="00476B80">
        <w:rPr>
          <w:b/>
          <w:bCs/>
        </w:rPr>
        <w:t>Offsetting</w:t>
      </w:r>
      <w:r w:rsidR="00A03629" w:rsidRPr="00476B80">
        <w:rPr>
          <w:b/>
          <w:bCs/>
        </w:rPr>
        <w:t xml:space="preserve"> </w:t>
      </w:r>
      <w:r w:rsidRPr="00476B80">
        <w:rPr>
          <w:b/>
          <w:bCs/>
        </w:rPr>
        <w:t>financial</w:t>
      </w:r>
      <w:r w:rsidR="00A03629" w:rsidRPr="00476B80">
        <w:rPr>
          <w:b/>
          <w:bCs/>
        </w:rPr>
        <w:t xml:space="preserve"> </w:t>
      </w:r>
      <w:r w:rsidRPr="00476B80">
        <w:rPr>
          <w:b/>
          <w:bCs/>
        </w:rPr>
        <w:t>instruments:</w:t>
      </w:r>
      <w:r w:rsidR="00A03629">
        <w:t xml:space="preserve"> </w:t>
      </w:r>
      <w:r>
        <w:t>Financial</w:t>
      </w:r>
      <w:r w:rsidR="00A03629">
        <w:t xml:space="preserve"> </w:t>
      </w:r>
      <w:r>
        <w:t>instrument</w:t>
      </w:r>
      <w:r w:rsidR="00A03629">
        <w:t xml:space="preserve"> </w:t>
      </w:r>
      <w:r>
        <w:t>assets</w:t>
      </w:r>
      <w:r w:rsidR="00A03629">
        <w:t xml:space="preserve"> </w:t>
      </w:r>
      <w:r>
        <w:t>and</w:t>
      </w:r>
      <w:r w:rsidR="00A03629">
        <w:t xml:space="preserve"> </w:t>
      </w:r>
      <w:r>
        <w:t>liabilities</w:t>
      </w:r>
      <w:r w:rsidR="00A03629">
        <w:t xml:space="preserve"> </w:t>
      </w:r>
      <w:r>
        <w:t>are</w:t>
      </w:r>
      <w:r w:rsidR="00A03629">
        <w:t xml:space="preserve"> </w:t>
      </w:r>
      <w:proofErr w:type="gramStart"/>
      <w:r>
        <w:t>offset</w:t>
      </w:r>
      <w:proofErr w:type="gramEnd"/>
      <w:r w:rsidR="00A03629">
        <w:t xml:space="preserve"> </w:t>
      </w:r>
      <w:r>
        <w:t>and</w:t>
      </w:r>
      <w:r w:rsidR="00A03629">
        <w:t xml:space="preserve"> </w:t>
      </w:r>
      <w:r>
        <w:t>the</w:t>
      </w:r>
      <w:r w:rsidR="00A03629">
        <w:t xml:space="preserve"> </w:t>
      </w:r>
      <w:r>
        <w:t>net</w:t>
      </w:r>
      <w:r w:rsidR="00A03629">
        <w:t xml:space="preserve"> </w:t>
      </w:r>
      <w:r>
        <w:t>amount</w:t>
      </w:r>
      <w:r w:rsidR="00A03629">
        <w:t xml:space="preserve"> </w:t>
      </w:r>
      <w:r>
        <w:t>presented</w:t>
      </w:r>
      <w:r w:rsidR="00A03629">
        <w:t xml:space="preserve"> </w:t>
      </w:r>
      <w:r>
        <w:t>in</w:t>
      </w:r>
      <w:r w:rsidR="00A03629">
        <w:t xml:space="preserve"> </w:t>
      </w:r>
      <w:r>
        <w:t>the</w:t>
      </w:r>
      <w:r w:rsidR="00A03629">
        <w:t xml:space="preserve"> </w:t>
      </w:r>
      <w:r>
        <w:t>balance</w:t>
      </w:r>
      <w:r w:rsidR="00A03629">
        <w:t xml:space="preserve"> </w:t>
      </w:r>
      <w:r>
        <w:t>sheet</w:t>
      </w:r>
      <w:r w:rsidR="00A03629">
        <w:t xml:space="preserve"> </w:t>
      </w:r>
      <w:r>
        <w:t>when,</w:t>
      </w:r>
      <w:r w:rsidR="00A03629">
        <w:t xml:space="preserve"> </w:t>
      </w:r>
      <w:r>
        <w:t>and</w:t>
      </w:r>
      <w:r w:rsidR="00A03629">
        <w:t xml:space="preserve"> </w:t>
      </w:r>
      <w:r>
        <w:t>only</w:t>
      </w:r>
      <w:r w:rsidR="00A03629">
        <w:t xml:space="preserve"> </w:t>
      </w:r>
      <w:r>
        <w:t>when,</w:t>
      </w:r>
      <w:r w:rsidR="00A03629">
        <w:t xml:space="preserve"> </w:t>
      </w:r>
      <w:r>
        <w:t>DJSIR</w:t>
      </w:r>
      <w:r w:rsidR="00A03629">
        <w:t xml:space="preserve"> </w:t>
      </w:r>
      <w:r>
        <w:t>concerned</w:t>
      </w:r>
      <w:r w:rsidR="00A03629">
        <w:t xml:space="preserve"> </w:t>
      </w:r>
      <w:r>
        <w:t>has</w:t>
      </w:r>
      <w:r w:rsidR="00A03629">
        <w:t xml:space="preserve"> </w:t>
      </w:r>
      <w:r>
        <w:t>a</w:t>
      </w:r>
      <w:r w:rsidR="00A03629">
        <w:t xml:space="preserve"> </w:t>
      </w:r>
      <w:r>
        <w:t>legal</w:t>
      </w:r>
      <w:r w:rsidR="00A03629">
        <w:t xml:space="preserve"> </w:t>
      </w:r>
      <w:r>
        <w:t>right</w:t>
      </w:r>
      <w:r w:rsidR="00A03629">
        <w:t xml:space="preserve"> </w:t>
      </w:r>
      <w:r>
        <w:t>to</w:t>
      </w:r>
      <w:r w:rsidR="00A03629">
        <w:t xml:space="preserve"> </w:t>
      </w:r>
      <w:r>
        <w:t>offset</w:t>
      </w:r>
      <w:r w:rsidR="00A03629">
        <w:t xml:space="preserve"> </w:t>
      </w:r>
      <w:r>
        <w:t>the</w:t>
      </w:r>
      <w:r w:rsidR="00A03629">
        <w:t xml:space="preserve"> </w:t>
      </w:r>
      <w:r>
        <w:t>amounts</w:t>
      </w:r>
      <w:r w:rsidR="00A03629">
        <w:t xml:space="preserve"> </w:t>
      </w:r>
      <w:r>
        <w:t>and</w:t>
      </w:r>
      <w:r w:rsidR="00A03629">
        <w:t xml:space="preserve"> </w:t>
      </w:r>
      <w:r>
        <w:t>intends</w:t>
      </w:r>
      <w:r w:rsidR="00A03629">
        <w:t xml:space="preserve"> </w:t>
      </w:r>
      <w:r>
        <w:t>either</w:t>
      </w:r>
      <w:r w:rsidR="00A03629">
        <w:t xml:space="preserve"> </w:t>
      </w:r>
      <w:r>
        <w:t>to</w:t>
      </w:r>
      <w:r w:rsidR="00A03629">
        <w:t xml:space="preserve"> </w:t>
      </w:r>
      <w:r>
        <w:t>settle</w:t>
      </w:r>
      <w:r w:rsidR="00A03629">
        <w:t xml:space="preserve"> </w:t>
      </w:r>
      <w:r>
        <w:t>on</w:t>
      </w:r>
      <w:r w:rsidR="00A03629">
        <w:t xml:space="preserve"> </w:t>
      </w:r>
      <w:r>
        <w:t>a</w:t>
      </w:r>
      <w:r w:rsidR="00A03629">
        <w:t xml:space="preserve"> </w:t>
      </w:r>
      <w:r>
        <w:t>net</w:t>
      </w:r>
      <w:r w:rsidR="00A03629">
        <w:t xml:space="preserve"> </w:t>
      </w:r>
      <w:r>
        <w:t>basis</w:t>
      </w:r>
      <w:r w:rsidR="00A03629">
        <w:t xml:space="preserve"> </w:t>
      </w:r>
      <w:r>
        <w:t>or</w:t>
      </w:r>
      <w:r w:rsidR="00A03629">
        <w:t xml:space="preserve"> </w:t>
      </w:r>
      <w:r>
        <w:t>to</w:t>
      </w:r>
      <w:r w:rsidR="00A03629">
        <w:t xml:space="preserve"> </w:t>
      </w:r>
      <w:r>
        <w:t>realise</w:t>
      </w:r>
      <w:r w:rsidR="00A03629">
        <w:t xml:space="preserve"> </w:t>
      </w:r>
      <w:r>
        <w:t>the</w:t>
      </w:r>
      <w:r w:rsidR="00A03629">
        <w:t xml:space="preserve"> </w:t>
      </w:r>
      <w:r>
        <w:t>asset</w:t>
      </w:r>
      <w:r w:rsidR="00A03629">
        <w:t xml:space="preserve"> </w:t>
      </w:r>
      <w:r>
        <w:t>and</w:t>
      </w:r>
      <w:r w:rsidR="00A03629">
        <w:t xml:space="preserve"> </w:t>
      </w:r>
      <w:r>
        <w:t>settle</w:t>
      </w:r>
      <w:r w:rsidR="00A03629">
        <w:t xml:space="preserve"> </w:t>
      </w:r>
      <w:r>
        <w:t>the</w:t>
      </w:r>
      <w:r w:rsidR="00A03629">
        <w:rPr>
          <w:rFonts w:ascii="Cambria" w:hAnsi="Cambria" w:cs="Cambria"/>
        </w:rPr>
        <w:t xml:space="preserve"> </w:t>
      </w:r>
      <w:r>
        <w:t>liability</w:t>
      </w:r>
      <w:r w:rsidR="00A03629">
        <w:t xml:space="preserve"> </w:t>
      </w:r>
      <w:r>
        <w:t>simultaneously.</w:t>
      </w:r>
    </w:p>
    <w:p w14:paraId="27592444" w14:textId="01F531F1" w:rsidR="000756EB" w:rsidRDefault="004A4D88" w:rsidP="00476B80">
      <w:r>
        <w:t>Some</w:t>
      </w:r>
      <w:r w:rsidR="00A03629">
        <w:t xml:space="preserve"> </w:t>
      </w:r>
      <w:r>
        <w:t>master</w:t>
      </w:r>
      <w:r w:rsidR="00A03629">
        <w:t xml:space="preserve"> </w:t>
      </w:r>
      <w:r>
        <w:t>netting</w:t>
      </w:r>
      <w:r w:rsidR="00A03629">
        <w:t xml:space="preserve"> </w:t>
      </w:r>
      <w:r>
        <w:t>arrangements</w:t>
      </w:r>
      <w:r w:rsidR="00A03629">
        <w:t xml:space="preserve"> </w:t>
      </w:r>
      <w:r>
        <w:t>do</w:t>
      </w:r>
      <w:r w:rsidR="00A03629">
        <w:t xml:space="preserve"> </w:t>
      </w:r>
      <w:r>
        <w:t>not</w:t>
      </w:r>
      <w:r w:rsidR="00A03629">
        <w:t xml:space="preserve"> </w:t>
      </w:r>
      <w:r>
        <w:t>result</w:t>
      </w:r>
      <w:r w:rsidR="00A03629">
        <w:t xml:space="preserve"> </w:t>
      </w:r>
      <w:r>
        <w:t>in</w:t>
      </w:r>
      <w:r w:rsidR="00A03629">
        <w:t xml:space="preserve"> </w:t>
      </w:r>
      <w:r>
        <w:t>an</w:t>
      </w:r>
      <w:r w:rsidR="00A03629">
        <w:t xml:space="preserve"> </w:t>
      </w:r>
      <w:r>
        <w:t>offset</w:t>
      </w:r>
      <w:r w:rsidR="00A03629">
        <w:t xml:space="preserve"> </w:t>
      </w:r>
      <w:r>
        <w:t>of</w:t>
      </w:r>
      <w:r w:rsidR="00A03629">
        <w:t xml:space="preserve"> </w:t>
      </w:r>
      <w:r>
        <w:t>balance</w:t>
      </w:r>
      <w:r w:rsidR="00A03629">
        <w:t xml:space="preserve"> </w:t>
      </w:r>
      <w:r>
        <w:t>sheet</w:t>
      </w:r>
      <w:r w:rsidR="00A03629">
        <w:t xml:space="preserve"> </w:t>
      </w:r>
      <w:r>
        <w:t>assets</w:t>
      </w:r>
      <w:r w:rsidR="00A03629">
        <w:t xml:space="preserve"> </w:t>
      </w:r>
      <w:r>
        <w:t>and</w:t>
      </w:r>
      <w:r w:rsidR="00A03629">
        <w:t xml:space="preserve"> </w:t>
      </w:r>
      <w:r>
        <w:t>liabilities.</w:t>
      </w:r>
      <w:r w:rsidR="00A03629">
        <w:t xml:space="preserve"> </w:t>
      </w:r>
      <w:r>
        <w:t>Where</w:t>
      </w:r>
      <w:r w:rsidR="00A03629">
        <w:t xml:space="preserve"> </w:t>
      </w:r>
      <w:r>
        <w:t>DJSIR</w:t>
      </w:r>
      <w:r w:rsidR="00A03629">
        <w:t xml:space="preserve"> </w:t>
      </w:r>
      <w:r>
        <w:t>does</w:t>
      </w:r>
      <w:r w:rsidR="00A03629">
        <w:t xml:space="preserve"> </w:t>
      </w:r>
      <w:r>
        <w:t>not</w:t>
      </w:r>
      <w:r w:rsidR="00A03629">
        <w:t xml:space="preserve"> </w:t>
      </w:r>
      <w:r>
        <w:t>have</w:t>
      </w:r>
      <w:r w:rsidR="00A03629">
        <w:t xml:space="preserve"> </w:t>
      </w:r>
      <w:r>
        <w:t>a</w:t>
      </w:r>
      <w:r w:rsidR="00A03629">
        <w:t xml:space="preserve"> </w:t>
      </w:r>
      <w:r>
        <w:t>legally</w:t>
      </w:r>
      <w:r w:rsidR="00A03629">
        <w:t xml:space="preserve"> </w:t>
      </w:r>
      <w:r>
        <w:t>enforceable</w:t>
      </w:r>
      <w:r w:rsidR="00A03629">
        <w:t xml:space="preserve"> </w:t>
      </w:r>
      <w:r>
        <w:t>right</w:t>
      </w:r>
      <w:r w:rsidR="00A03629">
        <w:t xml:space="preserve"> </w:t>
      </w:r>
      <w:r>
        <w:t>to</w:t>
      </w:r>
      <w:r w:rsidR="00A03629">
        <w:t xml:space="preserve"> </w:t>
      </w:r>
      <w:r>
        <w:t>offset</w:t>
      </w:r>
      <w:r w:rsidR="00A03629">
        <w:t xml:space="preserve"> </w:t>
      </w:r>
      <w:r>
        <w:t>recognised</w:t>
      </w:r>
      <w:r w:rsidR="00A03629">
        <w:t xml:space="preserve"> </w:t>
      </w:r>
      <w:r>
        <w:t>amounts,</w:t>
      </w:r>
      <w:r w:rsidR="00A03629">
        <w:t xml:space="preserve"> </w:t>
      </w:r>
      <w:r>
        <w:t>because</w:t>
      </w:r>
      <w:r w:rsidR="00A03629">
        <w:t xml:space="preserve"> </w:t>
      </w:r>
      <w:r>
        <w:t>the</w:t>
      </w:r>
      <w:r w:rsidR="00A03629">
        <w:t xml:space="preserve"> </w:t>
      </w:r>
      <w:r>
        <w:t>right</w:t>
      </w:r>
      <w:r w:rsidR="00A03629">
        <w:t xml:space="preserve"> </w:t>
      </w:r>
      <w:r>
        <w:t>to</w:t>
      </w:r>
      <w:r w:rsidR="00A03629">
        <w:t xml:space="preserve"> </w:t>
      </w:r>
      <w:r>
        <w:t>offset</w:t>
      </w:r>
      <w:r w:rsidR="00A03629">
        <w:t xml:space="preserve"> </w:t>
      </w:r>
      <w:r>
        <w:t>is</w:t>
      </w:r>
      <w:r w:rsidR="00A03629">
        <w:t xml:space="preserve"> </w:t>
      </w:r>
      <w:r>
        <w:t>enforceable</w:t>
      </w:r>
      <w:r w:rsidR="00A03629">
        <w:t xml:space="preserve"> </w:t>
      </w:r>
      <w:r>
        <w:t>only</w:t>
      </w:r>
      <w:r w:rsidR="00A03629">
        <w:t xml:space="preserve"> </w:t>
      </w:r>
      <w:r>
        <w:t>on</w:t>
      </w:r>
      <w:r w:rsidR="00A03629">
        <w:t xml:space="preserve"> </w:t>
      </w:r>
      <w:r>
        <w:t>the</w:t>
      </w:r>
      <w:r w:rsidR="00A03629">
        <w:t xml:space="preserve"> </w:t>
      </w:r>
      <w:r>
        <w:t>occurrence</w:t>
      </w:r>
      <w:r w:rsidR="00A03629">
        <w:t xml:space="preserve"> </w:t>
      </w:r>
      <w:r>
        <w:t>of</w:t>
      </w:r>
      <w:r w:rsidR="00A03629">
        <w:t xml:space="preserve"> </w:t>
      </w:r>
      <w:r>
        <w:t>future</w:t>
      </w:r>
      <w:r w:rsidR="00A03629">
        <w:t xml:space="preserve"> </w:t>
      </w:r>
      <w:r>
        <w:t>events</w:t>
      </w:r>
      <w:r w:rsidR="00A03629">
        <w:t xml:space="preserve"> </w:t>
      </w:r>
      <w:r>
        <w:t>such</w:t>
      </w:r>
      <w:r w:rsidR="00A03629">
        <w:t xml:space="preserve"> </w:t>
      </w:r>
      <w:r>
        <w:t>as</w:t>
      </w:r>
      <w:r w:rsidR="00A03629">
        <w:t xml:space="preserve"> </w:t>
      </w:r>
      <w:r>
        <w:t>default,</w:t>
      </w:r>
      <w:r w:rsidR="00A03629">
        <w:t xml:space="preserve"> </w:t>
      </w:r>
      <w:proofErr w:type="gramStart"/>
      <w:r>
        <w:t>insolvency</w:t>
      </w:r>
      <w:proofErr w:type="gramEnd"/>
      <w:r w:rsidR="00A03629">
        <w:t xml:space="preserve"> </w:t>
      </w:r>
      <w:r>
        <w:t>or</w:t>
      </w:r>
      <w:r w:rsidR="00A03629">
        <w:t xml:space="preserve"> </w:t>
      </w:r>
      <w:r>
        <w:t>bankruptcy,</w:t>
      </w:r>
      <w:r w:rsidR="00A03629">
        <w:t xml:space="preserve"> </w:t>
      </w:r>
      <w:r>
        <w:t>they</w:t>
      </w:r>
      <w:r w:rsidR="00A03629">
        <w:t xml:space="preserve"> </w:t>
      </w:r>
      <w:r>
        <w:t>are</w:t>
      </w:r>
      <w:r w:rsidR="00A03629">
        <w:t xml:space="preserve"> </w:t>
      </w:r>
      <w:r>
        <w:t>reported</w:t>
      </w:r>
      <w:r w:rsidR="00A03629">
        <w:t xml:space="preserve"> </w:t>
      </w:r>
      <w:r>
        <w:t>on</w:t>
      </w:r>
      <w:r w:rsidR="00A03629">
        <w:t xml:space="preserve"> </w:t>
      </w:r>
      <w:r>
        <w:t>a</w:t>
      </w:r>
      <w:r w:rsidR="00A03629">
        <w:t xml:space="preserve"> </w:t>
      </w:r>
      <w:r>
        <w:t>gross</w:t>
      </w:r>
      <w:r w:rsidR="00A03629">
        <w:t xml:space="preserve"> </w:t>
      </w:r>
      <w:r>
        <w:t>basis.</w:t>
      </w:r>
    </w:p>
    <w:p w14:paraId="21D11EC5" w14:textId="18798E6D" w:rsidR="000756EB" w:rsidRPr="00476B80" w:rsidRDefault="004A4D88" w:rsidP="00476B80">
      <w:pPr>
        <w:pStyle w:val="Normalbeforebullets"/>
        <w:rPr>
          <w:b/>
          <w:bCs/>
        </w:rPr>
      </w:pPr>
      <w:r w:rsidRPr="00476B80">
        <w:rPr>
          <w:b/>
          <w:bCs/>
        </w:rPr>
        <w:t>Derecognition</w:t>
      </w:r>
      <w:r w:rsidR="00A03629" w:rsidRPr="00476B80">
        <w:rPr>
          <w:b/>
          <w:bCs/>
        </w:rPr>
        <w:t xml:space="preserve"> </w:t>
      </w:r>
      <w:r w:rsidRPr="00476B80">
        <w:rPr>
          <w:b/>
          <w:bCs/>
        </w:rPr>
        <w:t>of</w:t>
      </w:r>
      <w:r w:rsidR="00A03629" w:rsidRPr="00476B80">
        <w:rPr>
          <w:b/>
          <w:bCs/>
        </w:rPr>
        <w:t xml:space="preserve"> </w:t>
      </w:r>
      <w:r w:rsidRPr="00476B80">
        <w:rPr>
          <w:b/>
          <w:bCs/>
        </w:rPr>
        <w:t>financial</w:t>
      </w:r>
      <w:r w:rsidR="00A03629" w:rsidRPr="00476B80">
        <w:rPr>
          <w:b/>
          <w:bCs/>
        </w:rPr>
        <w:t xml:space="preserve"> </w:t>
      </w:r>
      <w:r w:rsidRPr="00476B80">
        <w:rPr>
          <w:b/>
          <w:bCs/>
        </w:rPr>
        <w:t>assets</w:t>
      </w:r>
      <w:r w:rsidR="00A03629" w:rsidRPr="00476B80">
        <w:rPr>
          <w:b/>
          <w:bCs/>
        </w:rPr>
        <w:t xml:space="preserve"> </w:t>
      </w:r>
    </w:p>
    <w:p w14:paraId="6E962BC7" w14:textId="26CD4CE7" w:rsidR="000756EB" w:rsidRDefault="004A4D88" w:rsidP="00476B80">
      <w:pPr>
        <w:pStyle w:val="Normalbeforebullets"/>
      </w:pPr>
      <w:r>
        <w:t>A</w:t>
      </w:r>
      <w:r w:rsidR="00A03629">
        <w:t xml:space="preserve"> </w:t>
      </w:r>
      <w:r>
        <w:t>financial</w:t>
      </w:r>
      <w:r w:rsidR="00A03629">
        <w:t xml:space="preserve"> </w:t>
      </w:r>
      <w:r>
        <w:t>asset</w:t>
      </w:r>
      <w:r w:rsidR="00A03629">
        <w:t xml:space="preserve"> </w:t>
      </w:r>
      <w:r>
        <w:t>(or,</w:t>
      </w:r>
      <w:r w:rsidR="00A03629">
        <w:t xml:space="preserve"> </w:t>
      </w:r>
      <w:r>
        <w:t>where</w:t>
      </w:r>
      <w:r w:rsidR="00A03629">
        <w:t xml:space="preserve"> </w:t>
      </w:r>
      <w:r>
        <w:t>applicable,</w:t>
      </w:r>
      <w:r w:rsidR="00A03629">
        <w:t xml:space="preserve"> </w:t>
      </w:r>
      <w:r>
        <w:t>a</w:t>
      </w:r>
      <w:r w:rsidR="00A03629">
        <w:t xml:space="preserve"> </w:t>
      </w:r>
      <w:r>
        <w:t>part</w:t>
      </w:r>
      <w:r w:rsidR="00A03629">
        <w:t xml:space="preserve"> </w:t>
      </w:r>
      <w:r>
        <w:t>of</w:t>
      </w:r>
      <w:r w:rsidR="00A03629">
        <w:t xml:space="preserve"> </w:t>
      </w:r>
      <w:r>
        <w:t>a</w:t>
      </w:r>
      <w:r w:rsidR="00A03629">
        <w:rPr>
          <w:rFonts w:ascii="Cambria" w:hAnsi="Cambria" w:cs="Cambria"/>
        </w:rPr>
        <w:t xml:space="preserve"> </w:t>
      </w:r>
      <w:r>
        <w:t>financial</w:t>
      </w:r>
      <w:r w:rsidR="00A03629">
        <w:t xml:space="preserve"> </w:t>
      </w:r>
      <w:r>
        <w:t>asset</w:t>
      </w:r>
      <w:r w:rsidR="00A03629">
        <w:t xml:space="preserve"> </w:t>
      </w:r>
      <w:r>
        <w:t>or</w:t>
      </w:r>
      <w:r w:rsidR="00A03629">
        <w:t xml:space="preserve"> </w:t>
      </w:r>
      <w:r>
        <w:t>part</w:t>
      </w:r>
      <w:r w:rsidR="00A03629">
        <w:t xml:space="preserve"> </w:t>
      </w:r>
      <w:r>
        <w:t>of</w:t>
      </w:r>
      <w:r w:rsidR="00A03629">
        <w:t xml:space="preserve"> </w:t>
      </w:r>
      <w:r>
        <w:t>a</w:t>
      </w:r>
      <w:r w:rsidR="00A03629">
        <w:t xml:space="preserve"> </w:t>
      </w:r>
      <w:r>
        <w:t>group</w:t>
      </w:r>
      <w:r w:rsidR="00A03629">
        <w:t xml:space="preserve"> </w:t>
      </w:r>
      <w:r>
        <w:t>of</w:t>
      </w:r>
      <w:r w:rsidR="00A03629">
        <w:t xml:space="preserve"> </w:t>
      </w:r>
      <w:r>
        <w:t>similar</w:t>
      </w:r>
      <w:r w:rsidR="00A03629">
        <w:t xml:space="preserve"> </w:t>
      </w:r>
      <w:r>
        <w:t>financial</w:t>
      </w:r>
      <w:r w:rsidR="00A03629">
        <w:t xml:space="preserve"> </w:t>
      </w:r>
      <w:r>
        <w:t>assets)</w:t>
      </w:r>
      <w:r w:rsidR="00A03629">
        <w:t xml:space="preserve"> </w:t>
      </w:r>
      <w:r>
        <w:t>is</w:t>
      </w:r>
      <w:r w:rsidR="00A03629">
        <w:t xml:space="preserve"> </w:t>
      </w:r>
      <w:r>
        <w:t>derecognised</w:t>
      </w:r>
      <w:r w:rsidR="00A03629">
        <w:t xml:space="preserve"> </w:t>
      </w:r>
      <w:r>
        <w:t>when:</w:t>
      </w:r>
    </w:p>
    <w:p w14:paraId="121A64B0" w14:textId="35EF29D1" w:rsidR="000756EB" w:rsidRDefault="004A4D88" w:rsidP="00476B80">
      <w:pPr>
        <w:pStyle w:val="Bullet"/>
      </w:pPr>
      <w:r>
        <w:t>the</w:t>
      </w:r>
      <w:r w:rsidR="00A03629">
        <w:t xml:space="preserve"> </w:t>
      </w:r>
      <w:r>
        <w:t>rights</w:t>
      </w:r>
      <w:r w:rsidR="00A03629">
        <w:t xml:space="preserve"> </w:t>
      </w:r>
      <w:r>
        <w:t>to</w:t>
      </w:r>
      <w:r w:rsidR="00A03629">
        <w:t xml:space="preserve"> </w:t>
      </w:r>
      <w:r>
        <w:t>receive</w:t>
      </w:r>
      <w:r w:rsidR="00A03629">
        <w:t xml:space="preserve"> </w:t>
      </w:r>
      <w:r>
        <w:t>cash</w:t>
      </w:r>
      <w:r w:rsidR="00A03629">
        <w:t xml:space="preserve"> </w:t>
      </w:r>
      <w:r>
        <w:t>flows</w:t>
      </w:r>
      <w:r w:rsidR="00A03629">
        <w:t xml:space="preserve"> </w:t>
      </w:r>
      <w:r>
        <w:t>from</w:t>
      </w:r>
      <w:r w:rsidR="00A03629">
        <w:t xml:space="preserve"> </w:t>
      </w:r>
      <w:r>
        <w:t>the</w:t>
      </w:r>
      <w:r w:rsidR="00A03629">
        <w:t xml:space="preserve"> </w:t>
      </w:r>
      <w:r>
        <w:t>asset</w:t>
      </w:r>
      <w:r w:rsidR="00A03629">
        <w:t xml:space="preserve"> </w:t>
      </w:r>
      <w:r>
        <w:t>have</w:t>
      </w:r>
      <w:r w:rsidR="00A03629">
        <w:t xml:space="preserve"> </w:t>
      </w:r>
      <w:r>
        <w:t>expired;</w:t>
      </w:r>
      <w:r w:rsidR="00A03629">
        <w:t xml:space="preserve"> </w:t>
      </w:r>
      <w:r>
        <w:t>or</w:t>
      </w:r>
    </w:p>
    <w:p w14:paraId="19955CED" w14:textId="67574A1C" w:rsidR="000756EB" w:rsidRDefault="004A4D88" w:rsidP="00476B80">
      <w:pPr>
        <w:pStyle w:val="Bullet"/>
      </w:pPr>
      <w:r>
        <w:t>DJSIR</w:t>
      </w:r>
      <w:r w:rsidR="00A03629">
        <w:t xml:space="preserve"> </w:t>
      </w:r>
      <w:r>
        <w:t>retains</w:t>
      </w:r>
      <w:r w:rsidR="00A03629">
        <w:t xml:space="preserve"> </w:t>
      </w:r>
      <w:r>
        <w:t>the</w:t>
      </w:r>
      <w:r w:rsidR="00A03629">
        <w:t xml:space="preserve"> </w:t>
      </w:r>
      <w:r>
        <w:t>right</w:t>
      </w:r>
      <w:r w:rsidR="00A03629">
        <w:t xml:space="preserve"> </w:t>
      </w:r>
      <w:r>
        <w:t>to</w:t>
      </w:r>
      <w:r w:rsidR="00A03629">
        <w:t xml:space="preserve"> </w:t>
      </w:r>
      <w:r>
        <w:t>receive</w:t>
      </w:r>
      <w:r w:rsidR="00A03629">
        <w:t xml:space="preserve"> </w:t>
      </w:r>
      <w:r>
        <w:t>cash</w:t>
      </w:r>
      <w:r w:rsidR="00A03629">
        <w:t xml:space="preserve"> </w:t>
      </w:r>
      <w:r>
        <w:t>flows</w:t>
      </w:r>
      <w:r w:rsidR="00A03629">
        <w:t xml:space="preserve"> </w:t>
      </w:r>
      <w:r>
        <w:t>from</w:t>
      </w:r>
      <w:r w:rsidR="00A03629">
        <w:t xml:space="preserve"> </w:t>
      </w:r>
      <w:r>
        <w:t>the</w:t>
      </w:r>
      <w:r w:rsidR="00A03629">
        <w:t xml:space="preserve"> </w:t>
      </w:r>
      <w:r>
        <w:t>asset,</w:t>
      </w:r>
      <w:r w:rsidR="00A03629">
        <w:t xml:space="preserve"> </w:t>
      </w:r>
      <w:r>
        <w:t>but</w:t>
      </w:r>
      <w:r w:rsidR="00A03629">
        <w:t xml:space="preserve"> </w:t>
      </w:r>
      <w:r>
        <w:t>has</w:t>
      </w:r>
      <w:r w:rsidR="00A03629">
        <w:t xml:space="preserve"> </w:t>
      </w:r>
      <w:r>
        <w:t>assumed</w:t>
      </w:r>
      <w:r w:rsidR="00A03629">
        <w:t xml:space="preserve"> </w:t>
      </w:r>
      <w:r>
        <w:t>an</w:t>
      </w:r>
      <w:r w:rsidR="00A03629">
        <w:t xml:space="preserve"> </w:t>
      </w:r>
      <w:r>
        <w:t>obligation</w:t>
      </w:r>
      <w:r w:rsidR="00A03629">
        <w:t xml:space="preserve"> </w:t>
      </w:r>
      <w:r>
        <w:t>to</w:t>
      </w:r>
      <w:r w:rsidR="00A03629">
        <w:t xml:space="preserve"> </w:t>
      </w:r>
      <w:r>
        <w:t>pay</w:t>
      </w:r>
      <w:r w:rsidR="00A03629">
        <w:t xml:space="preserve"> </w:t>
      </w:r>
      <w:r>
        <w:t>them</w:t>
      </w:r>
      <w:r w:rsidR="00A03629">
        <w:t xml:space="preserve"> </w:t>
      </w:r>
      <w:r>
        <w:t>in</w:t>
      </w:r>
      <w:r w:rsidR="00A03629">
        <w:t xml:space="preserve"> </w:t>
      </w:r>
      <w:r>
        <w:t>full</w:t>
      </w:r>
      <w:r w:rsidR="00A03629">
        <w:t xml:space="preserve"> </w:t>
      </w:r>
      <w:r>
        <w:t>without</w:t>
      </w:r>
      <w:r w:rsidR="00A03629">
        <w:t xml:space="preserve"> </w:t>
      </w:r>
      <w:r>
        <w:t>material</w:t>
      </w:r>
      <w:r w:rsidR="00A03629">
        <w:t xml:space="preserve"> </w:t>
      </w:r>
      <w:r>
        <w:t>delay</w:t>
      </w:r>
      <w:r w:rsidR="00A03629">
        <w:t xml:space="preserve"> </w:t>
      </w:r>
      <w:r>
        <w:t>to</w:t>
      </w:r>
      <w:r w:rsidR="00A03629">
        <w:t xml:space="preserve"> </w:t>
      </w:r>
      <w:r>
        <w:t>a</w:t>
      </w:r>
      <w:r w:rsidR="00A03629">
        <w:t xml:space="preserve"> </w:t>
      </w:r>
      <w:r>
        <w:t>third</w:t>
      </w:r>
      <w:r w:rsidR="00A03629">
        <w:t xml:space="preserve"> </w:t>
      </w:r>
      <w:r>
        <w:t>party</w:t>
      </w:r>
      <w:r w:rsidR="00A03629">
        <w:t xml:space="preserve"> </w:t>
      </w:r>
      <w:r>
        <w:t>under</w:t>
      </w:r>
      <w:r w:rsidR="00A03629">
        <w:t xml:space="preserve"> </w:t>
      </w:r>
      <w:r>
        <w:t>a</w:t>
      </w:r>
      <w:r w:rsidR="00A03629">
        <w:t xml:space="preserve"> </w:t>
      </w:r>
      <w:r>
        <w:t>‘pass</w:t>
      </w:r>
      <w:r w:rsidR="00A03629">
        <w:t xml:space="preserve"> </w:t>
      </w:r>
      <w:r>
        <w:t>through’</w:t>
      </w:r>
      <w:r w:rsidR="00A03629">
        <w:t xml:space="preserve"> </w:t>
      </w:r>
      <w:r>
        <w:t>arrangement;</w:t>
      </w:r>
      <w:r w:rsidR="00A03629">
        <w:t xml:space="preserve"> </w:t>
      </w:r>
      <w:r>
        <w:t>or</w:t>
      </w:r>
    </w:p>
    <w:p w14:paraId="121AB14A" w14:textId="1F448F40" w:rsidR="000756EB" w:rsidRDefault="004A4D88" w:rsidP="00476B80">
      <w:pPr>
        <w:pStyle w:val="Bullet"/>
      </w:pPr>
      <w:r>
        <w:t>DJSIR</w:t>
      </w:r>
      <w:r w:rsidR="00A03629">
        <w:t xml:space="preserve"> </w:t>
      </w:r>
      <w:r>
        <w:t>has</w:t>
      </w:r>
      <w:r w:rsidR="00A03629">
        <w:t xml:space="preserve"> </w:t>
      </w:r>
      <w:r>
        <w:t>transferred</w:t>
      </w:r>
      <w:r w:rsidR="00A03629">
        <w:t xml:space="preserve"> </w:t>
      </w:r>
      <w:r>
        <w:t>its</w:t>
      </w:r>
      <w:r w:rsidR="00A03629">
        <w:t xml:space="preserve"> </w:t>
      </w:r>
      <w:r>
        <w:t>rights</w:t>
      </w:r>
      <w:r w:rsidR="00A03629">
        <w:t xml:space="preserve"> </w:t>
      </w:r>
      <w:r>
        <w:t>to</w:t>
      </w:r>
      <w:r w:rsidR="00A03629">
        <w:t xml:space="preserve"> </w:t>
      </w:r>
      <w:r>
        <w:t>receive</w:t>
      </w:r>
      <w:r w:rsidR="00A03629">
        <w:t xml:space="preserve"> </w:t>
      </w:r>
      <w:r>
        <w:t>cash</w:t>
      </w:r>
      <w:r w:rsidR="00A03629">
        <w:t xml:space="preserve"> </w:t>
      </w:r>
      <w:r>
        <w:t>flows</w:t>
      </w:r>
      <w:r w:rsidR="00A03629">
        <w:t xml:space="preserve"> </w:t>
      </w:r>
      <w:r>
        <w:t>from</w:t>
      </w:r>
      <w:r w:rsidR="00A03629">
        <w:t xml:space="preserve"> </w:t>
      </w:r>
      <w:r>
        <w:t>the</w:t>
      </w:r>
      <w:r w:rsidR="00A03629">
        <w:t xml:space="preserve"> </w:t>
      </w:r>
      <w:r>
        <w:t>asset</w:t>
      </w:r>
      <w:r w:rsidR="00A03629">
        <w:t xml:space="preserve"> </w:t>
      </w:r>
      <w:r>
        <w:t>and</w:t>
      </w:r>
      <w:r w:rsidR="00A03629">
        <w:t xml:space="preserve"> </w:t>
      </w:r>
      <w:r>
        <w:t>either:</w:t>
      </w:r>
    </w:p>
    <w:p w14:paraId="25101869" w14:textId="07DFEEDA" w:rsidR="000756EB" w:rsidRDefault="004A4D88" w:rsidP="00476B80">
      <w:pPr>
        <w:pStyle w:val="ListParagraph-a"/>
      </w:pPr>
      <w:r>
        <w:t>has</w:t>
      </w:r>
      <w:r w:rsidR="00A03629">
        <w:t xml:space="preserve"> </w:t>
      </w:r>
      <w:r>
        <w:t>transferred</w:t>
      </w:r>
      <w:r w:rsidR="00A03629">
        <w:t xml:space="preserve"> </w:t>
      </w:r>
      <w:r>
        <w:t>substantially</w:t>
      </w:r>
      <w:r w:rsidR="00A03629">
        <w:t xml:space="preserve"> </w:t>
      </w:r>
      <w:r>
        <w:t>all</w:t>
      </w:r>
      <w:r w:rsidR="00A03629">
        <w:t xml:space="preserve"> </w:t>
      </w:r>
      <w:r>
        <w:t>the</w:t>
      </w:r>
      <w:r w:rsidR="00A03629">
        <w:t xml:space="preserve"> </w:t>
      </w:r>
      <w:r>
        <w:t>risks</w:t>
      </w:r>
      <w:r w:rsidR="00A03629">
        <w:t xml:space="preserve"> </w:t>
      </w:r>
      <w:r>
        <w:t>and</w:t>
      </w:r>
      <w:r w:rsidR="00A03629">
        <w:rPr>
          <w:rFonts w:ascii="Cambria" w:hAnsi="Cambria" w:cs="Cambria"/>
        </w:rPr>
        <w:t xml:space="preserve"> </w:t>
      </w:r>
      <w:r>
        <w:t>rewards</w:t>
      </w:r>
      <w:r w:rsidR="00A03629">
        <w:t xml:space="preserve"> </w:t>
      </w:r>
      <w:r>
        <w:t>of</w:t>
      </w:r>
      <w:r w:rsidR="00A03629">
        <w:t xml:space="preserve"> </w:t>
      </w:r>
      <w:r>
        <w:t>the</w:t>
      </w:r>
      <w:r w:rsidR="00A03629">
        <w:t xml:space="preserve"> </w:t>
      </w:r>
      <w:r>
        <w:t>asset;</w:t>
      </w:r>
      <w:r w:rsidR="00A03629">
        <w:t xml:space="preserve"> </w:t>
      </w:r>
      <w:r>
        <w:t>or</w:t>
      </w:r>
    </w:p>
    <w:p w14:paraId="75853448" w14:textId="49C8B20E" w:rsidR="000756EB" w:rsidRDefault="004A4D88" w:rsidP="00476B80">
      <w:pPr>
        <w:pStyle w:val="ListParagraph-a"/>
        <w:spacing w:after="280"/>
      </w:pPr>
      <w:r>
        <w:t>has</w:t>
      </w:r>
      <w:r w:rsidR="00A03629">
        <w:t xml:space="preserve"> </w:t>
      </w:r>
      <w:r>
        <w:t>neither</w:t>
      </w:r>
      <w:r w:rsidR="00A03629">
        <w:t xml:space="preserve"> </w:t>
      </w:r>
      <w:r>
        <w:t>transferred</w:t>
      </w:r>
      <w:r w:rsidR="00A03629">
        <w:t xml:space="preserve"> </w:t>
      </w:r>
      <w:r>
        <w:t>nor</w:t>
      </w:r>
      <w:r w:rsidR="00A03629">
        <w:t xml:space="preserve"> </w:t>
      </w:r>
      <w:r>
        <w:t>retained</w:t>
      </w:r>
      <w:r w:rsidR="00A03629">
        <w:t xml:space="preserve"> </w:t>
      </w:r>
      <w:r>
        <w:t>substantially</w:t>
      </w:r>
      <w:r w:rsidR="00A03629">
        <w:t xml:space="preserve"> </w:t>
      </w:r>
      <w:r>
        <w:t>all</w:t>
      </w:r>
      <w:r w:rsidR="00A03629">
        <w:t xml:space="preserve"> </w:t>
      </w:r>
      <w:r>
        <w:t>the</w:t>
      </w:r>
      <w:r w:rsidR="00A03629">
        <w:t xml:space="preserve"> </w:t>
      </w:r>
      <w:r>
        <w:t>risks</w:t>
      </w:r>
      <w:r w:rsidR="00A03629">
        <w:t xml:space="preserve"> </w:t>
      </w:r>
      <w:r>
        <w:t>and</w:t>
      </w:r>
      <w:r w:rsidR="00A03629">
        <w:t xml:space="preserve"> </w:t>
      </w:r>
      <w:r>
        <w:t>rewards</w:t>
      </w:r>
      <w:r w:rsidR="00A03629">
        <w:t xml:space="preserve"> </w:t>
      </w:r>
      <w:r>
        <w:t>of</w:t>
      </w:r>
      <w:r w:rsidR="00A03629">
        <w:t xml:space="preserve"> </w:t>
      </w:r>
      <w:r>
        <w:t>the</w:t>
      </w:r>
      <w:r w:rsidR="00A03629">
        <w:t xml:space="preserve"> </w:t>
      </w:r>
      <w:proofErr w:type="gramStart"/>
      <w:r>
        <w:t>asset,</w:t>
      </w:r>
      <w:r w:rsidR="00A03629">
        <w:t xml:space="preserve"> </w:t>
      </w:r>
      <w:r>
        <w:t>but</w:t>
      </w:r>
      <w:proofErr w:type="gramEnd"/>
      <w:r w:rsidR="00A03629">
        <w:t xml:space="preserve"> </w:t>
      </w:r>
      <w:r>
        <w:t>has</w:t>
      </w:r>
      <w:r w:rsidR="00A03629">
        <w:t xml:space="preserve"> </w:t>
      </w:r>
      <w:r>
        <w:t>transferred</w:t>
      </w:r>
      <w:r w:rsidR="00A03629">
        <w:t xml:space="preserve"> </w:t>
      </w:r>
      <w:r>
        <w:t>control</w:t>
      </w:r>
      <w:r w:rsidR="00A03629">
        <w:t xml:space="preserve"> </w:t>
      </w:r>
      <w:r>
        <w:t>of</w:t>
      </w:r>
      <w:r w:rsidR="00A03629">
        <w:t xml:space="preserve"> </w:t>
      </w:r>
      <w:r>
        <w:t>the</w:t>
      </w:r>
      <w:r w:rsidR="00A03629">
        <w:t xml:space="preserve"> </w:t>
      </w:r>
      <w:r>
        <w:t>asset.</w:t>
      </w:r>
    </w:p>
    <w:p w14:paraId="12339A95" w14:textId="136C42F1" w:rsidR="000756EB" w:rsidRDefault="004A4D88" w:rsidP="00476B80">
      <w:r>
        <w:t>Where</w:t>
      </w:r>
      <w:r w:rsidR="00A03629">
        <w:t xml:space="preserve"> </w:t>
      </w:r>
      <w:r>
        <w:t>DJSIR</w:t>
      </w:r>
      <w:r w:rsidR="00A03629">
        <w:t xml:space="preserve"> </w:t>
      </w:r>
      <w:r>
        <w:t>has</w:t>
      </w:r>
      <w:r w:rsidR="00A03629">
        <w:t xml:space="preserve"> </w:t>
      </w:r>
      <w:r>
        <w:t>neither</w:t>
      </w:r>
      <w:r w:rsidR="00A03629">
        <w:t xml:space="preserve"> </w:t>
      </w:r>
      <w:r>
        <w:t>transferred</w:t>
      </w:r>
      <w:r w:rsidR="00A03629">
        <w:t xml:space="preserve"> </w:t>
      </w:r>
      <w:r>
        <w:t>nor</w:t>
      </w:r>
      <w:r w:rsidR="00A03629">
        <w:t xml:space="preserve"> </w:t>
      </w:r>
      <w:r>
        <w:t>retained</w:t>
      </w:r>
      <w:r w:rsidR="00A03629">
        <w:t xml:space="preserve"> </w:t>
      </w:r>
      <w:r>
        <w:t>substantially</w:t>
      </w:r>
      <w:r w:rsidR="00A03629">
        <w:t xml:space="preserve"> </w:t>
      </w:r>
      <w:r>
        <w:t>all</w:t>
      </w:r>
      <w:r w:rsidR="00A03629">
        <w:t xml:space="preserve"> </w:t>
      </w:r>
      <w:r>
        <w:t>the</w:t>
      </w:r>
      <w:r w:rsidR="00A03629">
        <w:t xml:space="preserve"> </w:t>
      </w:r>
      <w:r>
        <w:t>risks</w:t>
      </w:r>
      <w:r w:rsidR="00A03629">
        <w:t xml:space="preserve"> </w:t>
      </w:r>
      <w:r>
        <w:t>and</w:t>
      </w:r>
      <w:r w:rsidR="00A03629">
        <w:t xml:space="preserve"> </w:t>
      </w:r>
      <w:r>
        <w:t>rewards</w:t>
      </w:r>
      <w:r w:rsidR="00A03629">
        <w:t xml:space="preserve"> </w:t>
      </w:r>
      <w:r>
        <w:t>or</w:t>
      </w:r>
      <w:r w:rsidR="00A03629">
        <w:t xml:space="preserve"> </w:t>
      </w:r>
      <w:r>
        <w:t>transferred</w:t>
      </w:r>
      <w:r w:rsidR="00A03629">
        <w:t xml:space="preserve"> </w:t>
      </w:r>
      <w:r>
        <w:t>control,</w:t>
      </w:r>
      <w:r w:rsidR="00A03629">
        <w:t xml:space="preserve"> </w:t>
      </w:r>
      <w:r>
        <w:t>the</w:t>
      </w:r>
      <w:r w:rsidR="00A03629">
        <w:t xml:space="preserve"> </w:t>
      </w:r>
      <w:r>
        <w:t>asset</w:t>
      </w:r>
      <w:r w:rsidR="00A03629">
        <w:t xml:space="preserve"> </w:t>
      </w:r>
      <w:r>
        <w:t>is</w:t>
      </w:r>
      <w:r w:rsidR="00A03629">
        <w:t xml:space="preserve"> </w:t>
      </w:r>
      <w:r>
        <w:t>recognised</w:t>
      </w:r>
      <w:r w:rsidR="00A03629">
        <w:t xml:space="preserve"> </w:t>
      </w:r>
      <w:r>
        <w:t>to</w:t>
      </w:r>
      <w:r w:rsidR="00A03629">
        <w:t xml:space="preserve"> </w:t>
      </w:r>
      <w:r>
        <w:t>the</w:t>
      </w:r>
      <w:r w:rsidR="00A03629">
        <w:t xml:space="preserve"> </w:t>
      </w:r>
      <w:r>
        <w:t>extent</w:t>
      </w:r>
      <w:r w:rsidR="00A03629">
        <w:t xml:space="preserve"> </w:t>
      </w:r>
      <w:r>
        <w:t>of</w:t>
      </w:r>
      <w:r w:rsidR="00A03629">
        <w:t xml:space="preserve"> </w:t>
      </w:r>
      <w:r>
        <w:t>DJSIR’s</w:t>
      </w:r>
      <w:r w:rsidR="00A03629">
        <w:t xml:space="preserve"> </w:t>
      </w:r>
      <w:r>
        <w:t>continuing</w:t>
      </w:r>
      <w:r w:rsidR="00A03629">
        <w:t xml:space="preserve"> </w:t>
      </w:r>
      <w:r>
        <w:t>involvement</w:t>
      </w:r>
      <w:r w:rsidR="00A03629">
        <w:t xml:space="preserve"> </w:t>
      </w:r>
      <w:r>
        <w:t>in</w:t>
      </w:r>
      <w:r w:rsidR="00A03629">
        <w:t xml:space="preserve"> </w:t>
      </w:r>
      <w:r>
        <w:t>the</w:t>
      </w:r>
      <w:r w:rsidR="00A03629">
        <w:t xml:space="preserve"> </w:t>
      </w:r>
      <w:r>
        <w:t>asset.</w:t>
      </w:r>
    </w:p>
    <w:p w14:paraId="60BDF34F" w14:textId="377970B9" w:rsidR="000756EB" w:rsidRPr="00476B80" w:rsidRDefault="004A4D88" w:rsidP="00476B80">
      <w:pPr>
        <w:pStyle w:val="Normalbeforebullets"/>
        <w:rPr>
          <w:b/>
          <w:bCs/>
        </w:rPr>
      </w:pPr>
      <w:r w:rsidRPr="00476B80">
        <w:rPr>
          <w:b/>
          <w:bCs/>
        </w:rPr>
        <w:t>Derecognition</w:t>
      </w:r>
      <w:r w:rsidR="00A03629" w:rsidRPr="00476B80">
        <w:rPr>
          <w:b/>
          <w:bCs/>
        </w:rPr>
        <w:t xml:space="preserve"> </w:t>
      </w:r>
      <w:r w:rsidRPr="00476B80">
        <w:rPr>
          <w:b/>
          <w:bCs/>
        </w:rPr>
        <w:t>of</w:t>
      </w:r>
      <w:r w:rsidR="00A03629" w:rsidRPr="00476B80">
        <w:rPr>
          <w:b/>
          <w:bCs/>
        </w:rPr>
        <w:t xml:space="preserve"> </w:t>
      </w:r>
      <w:r w:rsidRPr="00476B80">
        <w:rPr>
          <w:b/>
          <w:bCs/>
        </w:rPr>
        <w:t>financial</w:t>
      </w:r>
      <w:r w:rsidR="00A03629" w:rsidRPr="00476B80">
        <w:rPr>
          <w:b/>
          <w:bCs/>
        </w:rPr>
        <w:t xml:space="preserve"> </w:t>
      </w:r>
      <w:r w:rsidRPr="00476B80">
        <w:rPr>
          <w:b/>
          <w:bCs/>
        </w:rPr>
        <w:t>liabilities</w:t>
      </w:r>
    </w:p>
    <w:p w14:paraId="722C0BD7" w14:textId="2FACA240" w:rsidR="000756EB" w:rsidRDefault="004A4D88" w:rsidP="00476B80">
      <w:r>
        <w:t>A</w:t>
      </w:r>
      <w:r w:rsidR="00A03629">
        <w:t xml:space="preserve"> </w:t>
      </w:r>
      <w:r>
        <w:t>financial</w:t>
      </w:r>
      <w:r w:rsidR="00A03629">
        <w:t xml:space="preserve"> </w:t>
      </w:r>
      <w:r>
        <w:t>liability</w:t>
      </w:r>
      <w:r w:rsidR="00A03629">
        <w:t xml:space="preserve"> </w:t>
      </w:r>
      <w:r>
        <w:t>is</w:t>
      </w:r>
      <w:r w:rsidR="00A03629">
        <w:t xml:space="preserve"> </w:t>
      </w:r>
      <w:r>
        <w:t>derecognised</w:t>
      </w:r>
      <w:r w:rsidR="00A03629">
        <w:t xml:space="preserve"> </w:t>
      </w:r>
      <w:r>
        <w:t>when</w:t>
      </w:r>
      <w:r w:rsidR="00A03629">
        <w:t xml:space="preserve"> </w:t>
      </w:r>
      <w:r>
        <w:t>the</w:t>
      </w:r>
      <w:r w:rsidR="00A03629">
        <w:t xml:space="preserve"> </w:t>
      </w:r>
      <w:r>
        <w:t>obligation</w:t>
      </w:r>
      <w:r w:rsidR="00A03629">
        <w:t xml:space="preserve"> </w:t>
      </w:r>
      <w:r>
        <w:t>under</w:t>
      </w:r>
      <w:r w:rsidR="00A03629">
        <w:t xml:space="preserve"> </w:t>
      </w:r>
      <w:r>
        <w:t>the</w:t>
      </w:r>
      <w:r w:rsidR="00A03629">
        <w:t xml:space="preserve"> </w:t>
      </w:r>
      <w:r>
        <w:t>liability</w:t>
      </w:r>
      <w:r w:rsidR="00A03629">
        <w:t xml:space="preserve"> </w:t>
      </w:r>
      <w:r>
        <w:t>is</w:t>
      </w:r>
      <w:r w:rsidR="00A03629">
        <w:t xml:space="preserve"> </w:t>
      </w:r>
      <w:r>
        <w:t>discharged,</w:t>
      </w:r>
      <w:r w:rsidR="00A03629">
        <w:t xml:space="preserve"> </w:t>
      </w:r>
      <w:proofErr w:type="gramStart"/>
      <w:r>
        <w:t>cancelled</w:t>
      </w:r>
      <w:proofErr w:type="gramEnd"/>
      <w:r w:rsidR="00A03629">
        <w:rPr>
          <w:rFonts w:ascii="Cambria" w:hAnsi="Cambria" w:cs="Cambria"/>
        </w:rPr>
        <w:t xml:space="preserve"> </w:t>
      </w:r>
      <w:r>
        <w:t>or</w:t>
      </w:r>
      <w:r w:rsidR="00A03629">
        <w:t xml:space="preserve"> </w:t>
      </w:r>
      <w:r>
        <w:t>expires.</w:t>
      </w:r>
    </w:p>
    <w:p w14:paraId="1ECF37C2" w14:textId="5138F28A" w:rsidR="000756EB" w:rsidRDefault="004A4D88" w:rsidP="00476B80">
      <w:r>
        <w:t>When</w:t>
      </w:r>
      <w:r w:rsidR="00A03629">
        <w:t xml:space="preserve"> </w:t>
      </w:r>
      <w:r>
        <w:t>an</w:t>
      </w:r>
      <w:r w:rsidR="00A03629">
        <w:t xml:space="preserve"> </w:t>
      </w:r>
      <w:r>
        <w:t>existing</w:t>
      </w:r>
      <w:r w:rsidR="00A03629">
        <w:t xml:space="preserve"> </w:t>
      </w:r>
      <w:r>
        <w:t>financial</w:t>
      </w:r>
      <w:r w:rsidR="00A03629">
        <w:t xml:space="preserve"> </w:t>
      </w:r>
      <w:r>
        <w:t>liability</w:t>
      </w:r>
      <w:r w:rsidR="00A03629">
        <w:t xml:space="preserve"> </w:t>
      </w:r>
      <w:r>
        <w:t>is</w:t>
      </w:r>
      <w:r w:rsidR="00A03629">
        <w:t xml:space="preserve"> </w:t>
      </w:r>
      <w:r>
        <w:t>replaced</w:t>
      </w:r>
      <w:r w:rsidR="00A03629">
        <w:t xml:space="preserve"> </w:t>
      </w:r>
      <w:r>
        <w:t>by</w:t>
      </w:r>
      <w:r w:rsidR="00A03629">
        <w:rPr>
          <w:rFonts w:ascii="Cambria" w:hAnsi="Cambria" w:cs="Cambria"/>
        </w:rPr>
        <w:t xml:space="preserve"> </w:t>
      </w:r>
      <w:r>
        <w:t>another</w:t>
      </w:r>
      <w:r w:rsidR="00A03629">
        <w:t xml:space="preserve"> </w:t>
      </w:r>
      <w:r>
        <w:t>from</w:t>
      </w:r>
      <w:r w:rsidR="00A03629">
        <w:t xml:space="preserve"> </w:t>
      </w:r>
      <w:r>
        <w:t>the</w:t>
      </w:r>
      <w:r w:rsidR="00A03629">
        <w:t xml:space="preserve"> </w:t>
      </w:r>
      <w:r>
        <w:t>same</w:t>
      </w:r>
      <w:r w:rsidR="00A03629">
        <w:t xml:space="preserve"> </w:t>
      </w:r>
      <w:r>
        <w:t>lender</w:t>
      </w:r>
      <w:r w:rsidR="00A03629">
        <w:t xml:space="preserve"> </w:t>
      </w:r>
      <w:r>
        <w:t>on</w:t>
      </w:r>
      <w:r w:rsidR="00A03629">
        <w:t xml:space="preserve"> </w:t>
      </w:r>
      <w:r>
        <w:t>substantially</w:t>
      </w:r>
      <w:r w:rsidR="00A03629">
        <w:t xml:space="preserve"> </w:t>
      </w:r>
      <w:r>
        <w:t>different</w:t>
      </w:r>
      <w:r w:rsidR="00A03629">
        <w:t xml:space="preserve"> </w:t>
      </w:r>
      <w:r>
        <w:t>terms,</w:t>
      </w:r>
      <w:r w:rsidR="00A03629">
        <w:t xml:space="preserve"> </w:t>
      </w:r>
      <w:r>
        <w:t>or</w:t>
      </w:r>
      <w:r w:rsidR="00A03629">
        <w:t xml:space="preserve"> </w:t>
      </w:r>
      <w:r>
        <w:t>the</w:t>
      </w:r>
      <w:r w:rsidR="00A03629">
        <w:t xml:space="preserve"> </w:t>
      </w:r>
      <w:r>
        <w:t>terms</w:t>
      </w:r>
      <w:r w:rsidR="00A03629">
        <w:t xml:space="preserve"> </w:t>
      </w:r>
      <w:r>
        <w:t>of</w:t>
      </w:r>
      <w:r w:rsidR="00A03629">
        <w:t xml:space="preserve"> </w:t>
      </w:r>
      <w:r>
        <w:t>an</w:t>
      </w:r>
      <w:r w:rsidR="00A03629">
        <w:t xml:space="preserve"> </w:t>
      </w:r>
      <w:r>
        <w:t>existing</w:t>
      </w:r>
      <w:r w:rsidR="00A03629">
        <w:t xml:space="preserve"> </w:t>
      </w:r>
      <w:r>
        <w:t>liability</w:t>
      </w:r>
      <w:r w:rsidR="00A03629">
        <w:t xml:space="preserve"> </w:t>
      </w:r>
      <w:r>
        <w:t>are</w:t>
      </w:r>
      <w:r w:rsidR="00A03629">
        <w:t xml:space="preserve"> </w:t>
      </w:r>
      <w:r>
        <w:t>substantially</w:t>
      </w:r>
      <w:r w:rsidR="00A03629">
        <w:t xml:space="preserve"> </w:t>
      </w:r>
      <w:r>
        <w:t>modified,</w:t>
      </w:r>
      <w:r w:rsidR="00A03629">
        <w:t xml:space="preserve"> </w:t>
      </w:r>
      <w:r>
        <w:t>such</w:t>
      </w:r>
      <w:r w:rsidR="00A03629">
        <w:t xml:space="preserve"> </w:t>
      </w:r>
      <w:r>
        <w:t>an</w:t>
      </w:r>
      <w:r w:rsidR="00A03629">
        <w:t xml:space="preserve"> </w:t>
      </w:r>
      <w:r>
        <w:t>exchange</w:t>
      </w:r>
      <w:r w:rsidR="00A03629">
        <w:t xml:space="preserve"> </w:t>
      </w:r>
      <w:r>
        <w:t>or</w:t>
      </w:r>
      <w:r w:rsidR="00A03629">
        <w:t xml:space="preserve"> </w:t>
      </w:r>
      <w:r>
        <w:t>modification</w:t>
      </w:r>
      <w:r w:rsidR="00A03629">
        <w:t xml:space="preserve"> </w:t>
      </w:r>
      <w:r>
        <w:t>is</w:t>
      </w:r>
      <w:r w:rsidR="00A03629">
        <w:t xml:space="preserve"> </w:t>
      </w:r>
      <w:r>
        <w:t>treated</w:t>
      </w:r>
      <w:r w:rsidR="00A03629">
        <w:t xml:space="preserve"> </w:t>
      </w:r>
      <w:r>
        <w:t>as</w:t>
      </w:r>
      <w:r w:rsidR="00A03629">
        <w:t xml:space="preserve"> </w:t>
      </w:r>
      <w:r>
        <w:t>a</w:t>
      </w:r>
      <w:r w:rsidR="00A03629">
        <w:t xml:space="preserve"> </w:t>
      </w:r>
      <w:r>
        <w:t>derecognition</w:t>
      </w:r>
      <w:r w:rsidR="00A03629">
        <w:t xml:space="preserve"> </w:t>
      </w:r>
      <w:r>
        <w:t>of</w:t>
      </w:r>
      <w:r w:rsidR="00A03629">
        <w:t xml:space="preserve"> </w:t>
      </w:r>
      <w:r>
        <w:t>the</w:t>
      </w:r>
      <w:r w:rsidR="00A03629">
        <w:t xml:space="preserve"> </w:t>
      </w:r>
      <w:r>
        <w:t>original</w:t>
      </w:r>
      <w:r w:rsidR="00A03629">
        <w:t xml:space="preserve"> </w:t>
      </w:r>
      <w:r>
        <w:t>liability</w:t>
      </w:r>
      <w:r w:rsidR="00A03629">
        <w:t xml:space="preserve"> </w:t>
      </w:r>
      <w:r>
        <w:t>and</w:t>
      </w:r>
      <w:r w:rsidR="00A03629">
        <w:t xml:space="preserve"> </w:t>
      </w:r>
      <w:r>
        <w:t>the</w:t>
      </w:r>
      <w:r w:rsidR="00A03629">
        <w:t xml:space="preserve"> </w:t>
      </w:r>
      <w:r>
        <w:t>recognition</w:t>
      </w:r>
      <w:r w:rsidR="00A03629">
        <w:t xml:space="preserve"> </w:t>
      </w:r>
      <w:r>
        <w:t>of</w:t>
      </w:r>
      <w:r w:rsidR="00A03629">
        <w:t xml:space="preserve"> </w:t>
      </w:r>
      <w:r>
        <w:t>a</w:t>
      </w:r>
      <w:r w:rsidR="00A03629">
        <w:t xml:space="preserve"> </w:t>
      </w:r>
      <w:r>
        <w:t>new</w:t>
      </w:r>
      <w:r w:rsidR="00A03629">
        <w:t xml:space="preserve"> </w:t>
      </w:r>
      <w:r>
        <w:t>liability.</w:t>
      </w:r>
      <w:r w:rsidR="00A03629">
        <w:t xml:space="preserve"> </w:t>
      </w:r>
      <w:r>
        <w:t>The</w:t>
      </w:r>
      <w:r w:rsidR="00A03629">
        <w:t xml:space="preserve"> </w:t>
      </w:r>
      <w:r>
        <w:t>difference</w:t>
      </w:r>
      <w:r w:rsidR="00A03629">
        <w:t xml:space="preserve"> </w:t>
      </w:r>
      <w:r>
        <w:t>in</w:t>
      </w:r>
      <w:r w:rsidR="00A03629">
        <w:t xml:space="preserve"> </w:t>
      </w:r>
      <w:r>
        <w:t>the</w:t>
      </w:r>
      <w:r w:rsidR="00A03629">
        <w:t xml:space="preserve"> </w:t>
      </w:r>
      <w:r>
        <w:t>respective</w:t>
      </w:r>
      <w:r w:rsidR="00A03629">
        <w:t xml:space="preserve"> </w:t>
      </w:r>
      <w:r>
        <w:t>carrying</w:t>
      </w:r>
      <w:r w:rsidR="00A03629">
        <w:t xml:space="preserve"> </w:t>
      </w:r>
      <w:r>
        <w:t>amounts</w:t>
      </w:r>
      <w:r w:rsidR="00A03629">
        <w:t xml:space="preserve"> </w:t>
      </w:r>
      <w:r>
        <w:t>is</w:t>
      </w:r>
      <w:r w:rsidR="00A03629">
        <w:t xml:space="preserve"> </w:t>
      </w:r>
      <w:r>
        <w:t>recognised</w:t>
      </w:r>
      <w:r w:rsidR="00A03629">
        <w:t xml:space="preserve"> </w:t>
      </w:r>
      <w:r>
        <w:t>as</w:t>
      </w:r>
      <w:r w:rsidR="00A03629">
        <w:t xml:space="preserve"> </w:t>
      </w:r>
      <w:proofErr w:type="gramStart"/>
      <w:r>
        <w:t>an</w:t>
      </w:r>
      <w:r w:rsidR="00A03629">
        <w:t xml:space="preserve"> </w:t>
      </w:r>
      <w:r>
        <w:t>other</w:t>
      </w:r>
      <w:proofErr w:type="gramEnd"/>
      <w:r w:rsidR="00A03629">
        <w:t xml:space="preserve"> </w:t>
      </w:r>
      <w:r>
        <w:t>economic</w:t>
      </w:r>
      <w:r w:rsidR="00A03629">
        <w:t xml:space="preserve"> </w:t>
      </w:r>
      <w:r>
        <w:t>flow</w:t>
      </w:r>
      <w:r w:rsidR="00A03629">
        <w:t xml:space="preserve"> </w:t>
      </w:r>
      <w:r>
        <w:t>in</w:t>
      </w:r>
      <w:r w:rsidR="00A03629">
        <w:t xml:space="preserve"> </w:t>
      </w:r>
      <w:r>
        <w:t>the</w:t>
      </w:r>
      <w:r w:rsidR="00A03629">
        <w:t xml:space="preserve"> </w:t>
      </w:r>
      <w:r>
        <w:t>estimated</w:t>
      </w:r>
      <w:r w:rsidR="00A03629">
        <w:t xml:space="preserve"> </w:t>
      </w:r>
      <w:r>
        <w:t>comprehensive</w:t>
      </w:r>
      <w:r w:rsidR="00A03629">
        <w:t xml:space="preserve"> </w:t>
      </w:r>
      <w:r>
        <w:t>operating</w:t>
      </w:r>
      <w:r w:rsidR="00A03629">
        <w:t xml:space="preserve"> </w:t>
      </w:r>
      <w:r>
        <w:t>statement.</w:t>
      </w:r>
    </w:p>
    <w:p w14:paraId="0E9AE2AC" w14:textId="25CBCC73" w:rsidR="000756EB" w:rsidRDefault="004A4D88" w:rsidP="00DB0639">
      <w:r>
        <w:lastRenderedPageBreak/>
        <w:t>Reclassification</w:t>
      </w:r>
      <w:r w:rsidR="00A03629">
        <w:t xml:space="preserve"> </w:t>
      </w:r>
      <w:r>
        <w:t>of</w:t>
      </w:r>
      <w:r w:rsidR="00A03629">
        <w:t xml:space="preserve"> </w:t>
      </w:r>
      <w:r>
        <w:t>financial</w:t>
      </w:r>
      <w:r w:rsidR="00A03629">
        <w:t xml:space="preserve"> </w:t>
      </w:r>
      <w:r>
        <w:t>instruments:</w:t>
      </w:r>
      <w:r w:rsidR="00A03629">
        <w:t xml:space="preserve"> </w:t>
      </w:r>
      <w:proofErr w:type="gramStart"/>
      <w:r>
        <w:t>Subsequent</w:t>
      </w:r>
      <w:r w:rsidR="00A03629">
        <w:t xml:space="preserve"> </w:t>
      </w:r>
      <w:r>
        <w:t>to</w:t>
      </w:r>
      <w:proofErr w:type="gramEnd"/>
      <w:r w:rsidR="00A03629">
        <w:t xml:space="preserve"> </w:t>
      </w:r>
      <w:r>
        <w:t>initial</w:t>
      </w:r>
      <w:r w:rsidR="00A03629">
        <w:t xml:space="preserve"> </w:t>
      </w:r>
      <w:r>
        <w:t>recognition</w:t>
      </w:r>
      <w:r w:rsidR="00A03629">
        <w:t xml:space="preserve"> </w:t>
      </w:r>
      <w:r>
        <w:t>reclassification</w:t>
      </w:r>
      <w:r w:rsidR="00A03629">
        <w:t xml:space="preserve"> </w:t>
      </w:r>
      <w:r>
        <w:t>of</w:t>
      </w:r>
      <w:r w:rsidR="00A03629">
        <w:t xml:space="preserve"> </w:t>
      </w:r>
      <w:r>
        <w:t>financial</w:t>
      </w:r>
      <w:r w:rsidR="00A03629">
        <w:t xml:space="preserve"> </w:t>
      </w:r>
      <w:r>
        <w:t>liabilities</w:t>
      </w:r>
      <w:r w:rsidR="00A03629">
        <w:t xml:space="preserve"> </w:t>
      </w:r>
      <w:r>
        <w:t>is</w:t>
      </w:r>
      <w:r w:rsidR="00A03629">
        <w:t xml:space="preserve"> </w:t>
      </w:r>
      <w:r>
        <w:t>not</w:t>
      </w:r>
      <w:r w:rsidR="00A03629">
        <w:t xml:space="preserve"> </w:t>
      </w:r>
      <w:r>
        <w:t>permitted.</w:t>
      </w:r>
      <w:r w:rsidR="00A03629">
        <w:t xml:space="preserve"> </w:t>
      </w:r>
      <w:r>
        <w:t>Financial</w:t>
      </w:r>
      <w:r w:rsidR="00A03629">
        <w:t xml:space="preserve"> </w:t>
      </w:r>
      <w:r>
        <w:t>assets</w:t>
      </w:r>
      <w:r w:rsidR="00A03629">
        <w:t xml:space="preserve"> </w:t>
      </w:r>
      <w:r>
        <w:t>are</w:t>
      </w:r>
      <w:r w:rsidR="00A03629">
        <w:t xml:space="preserve"> </w:t>
      </w:r>
      <w:r>
        <w:t>required</w:t>
      </w:r>
      <w:r w:rsidR="00A03629">
        <w:t xml:space="preserve"> </w:t>
      </w:r>
      <w:r>
        <w:t>to</w:t>
      </w:r>
      <w:r w:rsidR="00A03629">
        <w:t xml:space="preserve"> </w:t>
      </w:r>
      <w:r>
        <w:t>reclassified</w:t>
      </w:r>
      <w:r w:rsidR="00A03629">
        <w:t xml:space="preserve"> </w:t>
      </w:r>
      <w:r>
        <w:t>between</w:t>
      </w:r>
      <w:r w:rsidR="00A03629">
        <w:t xml:space="preserve"> </w:t>
      </w:r>
      <w:r>
        <w:t>fair</w:t>
      </w:r>
      <w:r w:rsidR="00A03629">
        <w:t xml:space="preserve"> </w:t>
      </w:r>
      <w:r>
        <w:t>value</w:t>
      </w:r>
      <w:r w:rsidR="00A03629">
        <w:t xml:space="preserve"> </w:t>
      </w:r>
      <w:r>
        <w:t>through</w:t>
      </w:r>
      <w:r w:rsidR="00A03629">
        <w:t xml:space="preserve"> </w:t>
      </w:r>
      <w:r>
        <w:t>net</w:t>
      </w:r>
      <w:r w:rsidR="00A03629">
        <w:t xml:space="preserve"> </w:t>
      </w:r>
      <w:r>
        <w:t>result,</w:t>
      </w:r>
      <w:r w:rsidR="00A03629">
        <w:t xml:space="preserve"> </w:t>
      </w:r>
      <w:r>
        <w:t>fair</w:t>
      </w:r>
      <w:r w:rsidR="00A03629">
        <w:t xml:space="preserve"> </w:t>
      </w:r>
      <w:r>
        <w:t>value</w:t>
      </w:r>
      <w:r w:rsidR="00A03629">
        <w:t xml:space="preserve"> </w:t>
      </w:r>
      <w:r>
        <w:t>through</w:t>
      </w:r>
      <w:r w:rsidR="00A03629">
        <w:t xml:space="preserve"> </w:t>
      </w:r>
      <w:r>
        <w:t>other</w:t>
      </w:r>
      <w:r w:rsidR="00A03629">
        <w:t xml:space="preserve"> </w:t>
      </w:r>
      <w:r>
        <w:t>comprehensive</w:t>
      </w:r>
      <w:r w:rsidR="00A03629">
        <w:t xml:space="preserve"> </w:t>
      </w:r>
      <w:r>
        <w:t>income</w:t>
      </w:r>
      <w:r w:rsidR="00A03629">
        <w:t xml:space="preserve"> </w:t>
      </w:r>
      <w:r>
        <w:t>and</w:t>
      </w:r>
      <w:r w:rsidR="00A03629">
        <w:t xml:space="preserve"> </w:t>
      </w:r>
      <w:r>
        <w:t>amortised</w:t>
      </w:r>
      <w:r w:rsidR="00A03629">
        <w:t xml:space="preserve"> </w:t>
      </w:r>
      <w:r>
        <w:t>cost</w:t>
      </w:r>
      <w:r w:rsidR="00A03629">
        <w:t xml:space="preserve"> </w:t>
      </w:r>
      <w:r>
        <w:t>when</w:t>
      </w:r>
      <w:r w:rsidR="00A03629">
        <w:t xml:space="preserve"> </w:t>
      </w:r>
      <w:r>
        <w:t>and</w:t>
      </w:r>
      <w:r w:rsidR="00A03629">
        <w:t xml:space="preserve"> </w:t>
      </w:r>
      <w:r>
        <w:t>only</w:t>
      </w:r>
      <w:r w:rsidR="00A03629">
        <w:t xml:space="preserve"> </w:t>
      </w:r>
      <w:r>
        <w:t>when</w:t>
      </w:r>
      <w:r w:rsidR="00A03629">
        <w:t xml:space="preserve"> </w:t>
      </w:r>
      <w:r>
        <w:t>DJSIRs’</w:t>
      </w:r>
      <w:r w:rsidR="00A03629">
        <w:t xml:space="preserve"> </w:t>
      </w:r>
      <w:r>
        <w:t>business</w:t>
      </w:r>
      <w:r w:rsidR="00A03629">
        <w:t xml:space="preserve"> </w:t>
      </w:r>
      <w:r>
        <w:t>model</w:t>
      </w:r>
      <w:r w:rsidR="00A03629">
        <w:t xml:space="preserve"> </w:t>
      </w:r>
      <w:r>
        <w:t>for</w:t>
      </w:r>
      <w:r w:rsidR="00A03629">
        <w:t xml:space="preserve"> </w:t>
      </w:r>
      <w:r>
        <w:t>managing</w:t>
      </w:r>
      <w:r w:rsidR="00A03629">
        <w:t xml:space="preserve"> </w:t>
      </w:r>
      <w:r>
        <w:t>its</w:t>
      </w:r>
      <w:r w:rsidR="00A03629">
        <w:t xml:space="preserve"> </w:t>
      </w:r>
      <w:r>
        <w:t>financial</w:t>
      </w:r>
      <w:r w:rsidR="00A03629">
        <w:t xml:space="preserve"> </w:t>
      </w:r>
      <w:r>
        <w:t>assets</w:t>
      </w:r>
      <w:r w:rsidR="00A03629">
        <w:t xml:space="preserve"> </w:t>
      </w:r>
      <w:r>
        <w:t>has</w:t>
      </w:r>
      <w:r w:rsidR="00A03629">
        <w:t xml:space="preserve"> </w:t>
      </w:r>
      <w:r>
        <w:t>changes</w:t>
      </w:r>
      <w:r w:rsidR="00A03629">
        <w:t xml:space="preserve"> </w:t>
      </w:r>
      <w:r>
        <w:t>such</w:t>
      </w:r>
      <w:r w:rsidR="00A03629">
        <w:t xml:space="preserve"> </w:t>
      </w:r>
      <w:r>
        <w:t>that</w:t>
      </w:r>
      <w:r w:rsidR="00A03629">
        <w:t xml:space="preserve"> </w:t>
      </w:r>
      <w:r>
        <w:t>its</w:t>
      </w:r>
      <w:r w:rsidR="00A03629">
        <w:t xml:space="preserve"> </w:t>
      </w:r>
      <w:r>
        <w:t>previous</w:t>
      </w:r>
      <w:r w:rsidR="00A03629">
        <w:t xml:space="preserve"> </w:t>
      </w:r>
      <w:r>
        <w:t>model</w:t>
      </w:r>
      <w:r w:rsidR="00A03629">
        <w:t xml:space="preserve"> </w:t>
      </w:r>
      <w:r>
        <w:t>would</w:t>
      </w:r>
      <w:r w:rsidR="00A03629">
        <w:t xml:space="preserve"> </w:t>
      </w:r>
      <w:r>
        <w:t>no</w:t>
      </w:r>
      <w:r w:rsidR="00A03629">
        <w:t xml:space="preserve"> </w:t>
      </w:r>
      <w:r>
        <w:t>longer</w:t>
      </w:r>
      <w:r w:rsidR="00A03629">
        <w:t xml:space="preserve"> </w:t>
      </w:r>
      <w:r>
        <w:t>apply.</w:t>
      </w:r>
      <w:r w:rsidR="00A03629">
        <w:t xml:space="preserve"> </w:t>
      </w:r>
      <w:r>
        <w:t>However,</w:t>
      </w:r>
      <w:r w:rsidR="00A03629">
        <w:rPr>
          <w:rFonts w:ascii="Cambria" w:hAnsi="Cambria" w:cs="Cambria"/>
        </w:rPr>
        <w:t xml:space="preserve"> </w:t>
      </w:r>
      <w:r>
        <w:t>DJSIR</w:t>
      </w:r>
      <w:r w:rsidR="00A03629">
        <w:t xml:space="preserve"> </w:t>
      </w:r>
      <w:r>
        <w:t>is</w:t>
      </w:r>
      <w:r w:rsidR="00A03629">
        <w:t xml:space="preserve"> </w:t>
      </w:r>
      <w:r>
        <w:t>generally</w:t>
      </w:r>
      <w:r w:rsidR="00A03629">
        <w:t xml:space="preserve"> </w:t>
      </w:r>
      <w:r>
        <w:t>unable</w:t>
      </w:r>
      <w:r w:rsidR="00A03629">
        <w:t xml:space="preserve"> </w:t>
      </w:r>
      <w:r>
        <w:t>to</w:t>
      </w:r>
      <w:r w:rsidR="00A03629">
        <w:t xml:space="preserve"> </w:t>
      </w:r>
      <w:r>
        <w:t>change</w:t>
      </w:r>
      <w:r w:rsidR="00A03629">
        <w:t xml:space="preserve"> </w:t>
      </w:r>
      <w:r>
        <w:t>its</w:t>
      </w:r>
      <w:r w:rsidR="00A03629">
        <w:t xml:space="preserve"> </w:t>
      </w:r>
      <w:r>
        <w:t>business</w:t>
      </w:r>
      <w:r w:rsidR="00A03629">
        <w:t xml:space="preserve"> </w:t>
      </w:r>
      <w:r>
        <w:t>model</w:t>
      </w:r>
      <w:r w:rsidR="00A03629">
        <w:t xml:space="preserve"> </w:t>
      </w:r>
      <w:r>
        <w:t>because</w:t>
      </w:r>
      <w:r w:rsidR="00A03629">
        <w:t xml:space="preserve"> </w:t>
      </w:r>
      <w:r>
        <w:t>it</w:t>
      </w:r>
      <w:r w:rsidR="00A03629">
        <w:t xml:space="preserve"> </w:t>
      </w:r>
      <w:r>
        <w:t>is</w:t>
      </w:r>
      <w:r w:rsidR="00A03629">
        <w:t xml:space="preserve"> </w:t>
      </w:r>
      <w:r>
        <w:t>determined</w:t>
      </w:r>
      <w:r w:rsidR="00A03629">
        <w:t xml:space="preserve"> </w:t>
      </w:r>
      <w:r>
        <w:t>by</w:t>
      </w:r>
      <w:r w:rsidR="00A03629">
        <w:t xml:space="preserve"> </w:t>
      </w:r>
      <w:r>
        <w:t>the</w:t>
      </w:r>
      <w:r w:rsidR="00A03629">
        <w:t xml:space="preserve"> </w:t>
      </w:r>
      <w:r>
        <w:t>Performance</w:t>
      </w:r>
      <w:r w:rsidR="00A03629">
        <w:t xml:space="preserve"> </w:t>
      </w:r>
      <w:r>
        <w:t>Management</w:t>
      </w:r>
      <w:r w:rsidR="00A03629">
        <w:t xml:space="preserve"> </w:t>
      </w:r>
      <w:r>
        <w:t>Framework</w:t>
      </w:r>
      <w:r w:rsidR="00A03629">
        <w:t xml:space="preserve"> </w:t>
      </w:r>
      <w:r>
        <w:t>(PMF)</w:t>
      </w:r>
      <w:r w:rsidR="00A03629">
        <w:t xml:space="preserve"> </w:t>
      </w:r>
      <w:r>
        <w:t>and</w:t>
      </w:r>
      <w:r w:rsidR="00A03629">
        <w:t xml:space="preserve"> </w:t>
      </w:r>
      <w:r>
        <w:t>all</w:t>
      </w:r>
      <w:r w:rsidR="00A03629">
        <w:t xml:space="preserve"> </w:t>
      </w:r>
      <w:r>
        <w:t>Victorian</w:t>
      </w:r>
      <w:r w:rsidR="00A03629">
        <w:t xml:space="preserve"> </w:t>
      </w:r>
      <w:r>
        <w:t>government</w:t>
      </w:r>
      <w:r w:rsidR="00A03629">
        <w:t xml:space="preserve"> </w:t>
      </w:r>
      <w:r>
        <w:t>departments</w:t>
      </w:r>
      <w:r w:rsidR="00A03629">
        <w:t xml:space="preserve"> </w:t>
      </w:r>
      <w:r>
        <w:t>are</w:t>
      </w:r>
      <w:r w:rsidR="00A03629">
        <w:t xml:space="preserve"> </w:t>
      </w:r>
      <w:r>
        <w:t>required</w:t>
      </w:r>
      <w:r w:rsidR="00A03629">
        <w:t xml:space="preserve"> </w:t>
      </w:r>
      <w:r>
        <w:t>to</w:t>
      </w:r>
      <w:r w:rsidR="00A03629">
        <w:t xml:space="preserve"> </w:t>
      </w:r>
      <w:r>
        <w:t>apply</w:t>
      </w:r>
      <w:r w:rsidR="00A03629">
        <w:t xml:space="preserve"> </w:t>
      </w:r>
      <w:r>
        <w:t>the</w:t>
      </w:r>
      <w:r w:rsidR="00A03629">
        <w:t xml:space="preserve"> </w:t>
      </w:r>
      <w:r>
        <w:t>PMF</w:t>
      </w:r>
      <w:r w:rsidR="00A03629">
        <w:t xml:space="preserve"> </w:t>
      </w:r>
      <w:r>
        <w:t>under</w:t>
      </w:r>
      <w:r w:rsidR="00A03629">
        <w:t xml:space="preserve"> </w:t>
      </w:r>
      <w:r>
        <w:t>the</w:t>
      </w:r>
      <w:r w:rsidR="00A03629">
        <w:t xml:space="preserve"> </w:t>
      </w:r>
      <w:r>
        <w:t>Standing</w:t>
      </w:r>
      <w:r w:rsidR="00A03629">
        <w:t xml:space="preserve"> </w:t>
      </w:r>
      <w:r>
        <w:t>Directions</w:t>
      </w:r>
      <w:r w:rsidR="00A03629">
        <w:t xml:space="preserve"> </w:t>
      </w:r>
      <w:r>
        <w:t>under</w:t>
      </w:r>
      <w:r w:rsidR="00A03629">
        <w:t xml:space="preserve"> </w:t>
      </w:r>
      <w:r>
        <w:t>the</w:t>
      </w:r>
      <w:r w:rsidR="00A03629">
        <w:t xml:space="preserve"> </w:t>
      </w:r>
      <w:r>
        <w:t>FMA.</w:t>
      </w:r>
    </w:p>
    <w:p w14:paraId="66F6A81D" w14:textId="3560B5AB" w:rsidR="000756EB" w:rsidRDefault="004A4D88" w:rsidP="00DB0639">
      <w:r>
        <w:t>If</w:t>
      </w:r>
      <w:r w:rsidR="00A03629">
        <w:t xml:space="preserve"> </w:t>
      </w:r>
      <w:r>
        <w:t>under</w:t>
      </w:r>
      <w:r w:rsidR="00A03629">
        <w:t xml:space="preserve"> </w:t>
      </w:r>
      <w:r>
        <w:t>rare</w:t>
      </w:r>
      <w:r w:rsidR="00A03629">
        <w:t xml:space="preserve"> </w:t>
      </w:r>
      <w:r>
        <w:t>circumstances</w:t>
      </w:r>
      <w:r w:rsidR="00A03629">
        <w:t xml:space="preserve"> </w:t>
      </w:r>
      <w:r>
        <w:t>an</w:t>
      </w:r>
      <w:r w:rsidR="00A03629">
        <w:t xml:space="preserve"> </w:t>
      </w:r>
      <w:r>
        <w:t>asset</w:t>
      </w:r>
      <w:r w:rsidR="00A03629">
        <w:t xml:space="preserve"> </w:t>
      </w:r>
      <w:r>
        <w:t>is</w:t>
      </w:r>
      <w:r w:rsidR="00A03629">
        <w:t xml:space="preserve"> </w:t>
      </w:r>
      <w:r>
        <w:t>reclassified,</w:t>
      </w:r>
      <w:r w:rsidR="00A03629">
        <w:t xml:space="preserve"> </w:t>
      </w:r>
      <w:r>
        <w:t>the</w:t>
      </w:r>
      <w:r w:rsidR="00A03629">
        <w:t xml:space="preserve"> </w:t>
      </w:r>
      <w:r>
        <w:t>reclassification</w:t>
      </w:r>
      <w:r w:rsidR="00A03629">
        <w:t xml:space="preserve"> </w:t>
      </w:r>
      <w:r>
        <w:t>is</w:t>
      </w:r>
      <w:r w:rsidR="00A03629">
        <w:t xml:space="preserve"> </w:t>
      </w:r>
      <w:r>
        <w:t>applied</w:t>
      </w:r>
      <w:r w:rsidR="00A03629">
        <w:t xml:space="preserve"> </w:t>
      </w:r>
      <w:r>
        <w:t>prospectively</w:t>
      </w:r>
      <w:r w:rsidR="00A03629">
        <w:t xml:space="preserve"> </w:t>
      </w:r>
      <w:r>
        <w:t>from</w:t>
      </w:r>
      <w:r w:rsidR="00A03629">
        <w:t xml:space="preserve"> </w:t>
      </w:r>
      <w:r>
        <w:t>the</w:t>
      </w:r>
      <w:r w:rsidR="00A03629">
        <w:t xml:space="preserve"> </w:t>
      </w:r>
      <w:r>
        <w:t>reclassification</w:t>
      </w:r>
      <w:r w:rsidR="00A03629">
        <w:t xml:space="preserve"> </w:t>
      </w:r>
      <w:r>
        <w:t>date</w:t>
      </w:r>
      <w:r w:rsidR="00A03629">
        <w:t xml:space="preserve"> </w:t>
      </w:r>
      <w:r>
        <w:t>and</w:t>
      </w:r>
      <w:r w:rsidR="00A03629">
        <w:t xml:space="preserve"> </w:t>
      </w:r>
      <w:r>
        <w:t>previously</w:t>
      </w:r>
      <w:r w:rsidR="00A03629">
        <w:t xml:space="preserve"> </w:t>
      </w:r>
      <w:r>
        <w:t>recognised</w:t>
      </w:r>
      <w:r w:rsidR="00A03629">
        <w:t xml:space="preserve"> </w:t>
      </w:r>
      <w:r>
        <w:t>gains,</w:t>
      </w:r>
      <w:r w:rsidR="00A03629">
        <w:t xml:space="preserve"> </w:t>
      </w:r>
      <w:r>
        <w:t>losses</w:t>
      </w:r>
      <w:r w:rsidR="00A03629">
        <w:t xml:space="preserve"> </w:t>
      </w:r>
      <w:r>
        <w:t>or</w:t>
      </w:r>
      <w:r w:rsidR="00A03629">
        <w:t xml:space="preserve"> </w:t>
      </w:r>
      <w:r>
        <w:t>interest</w:t>
      </w:r>
      <w:r w:rsidR="00A03629">
        <w:t xml:space="preserve"> </w:t>
      </w:r>
      <w:r>
        <w:t>should</w:t>
      </w:r>
      <w:r w:rsidR="00A03629">
        <w:t xml:space="preserve"> </w:t>
      </w:r>
      <w:r>
        <w:t>not</w:t>
      </w:r>
      <w:r w:rsidR="00A03629">
        <w:t xml:space="preserve"> </w:t>
      </w:r>
      <w:r>
        <w:t>be</w:t>
      </w:r>
      <w:r w:rsidR="00A03629">
        <w:t xml:space="preserve"> </w:t>
      </w:r>
      <w:r>
        <w:t>restated.</w:t>
      </w:r>
      <w:r w:rsidR="00A03629">
        <w:t xml:space="preserve"> </w:t>
      </w:r>
      <w:r>
        <w:t>If</w:t>
      </w:r>
      <w:r w:rsidR="00A03629">
        <w:t xml:space="preserve"> </w:t>
      </w:r>
      <w:r>
        <w:t>the</w:t>
      </w:r>
      <w:r w:rsidR="00A03629">
        <w:t xml:space="preserve"> </w:t>
      </w:r>
      <w:r>
        <w:t>asset</w:t>
      </w:r>
      <w:r w:rsidR="00A03629">
        <w:t xml:space="preserve"> </w:t>
      </w:r>
      <w:r>
        <w:t>is</w:t>
      </w:r>
      <w:r w:rsidR="00A03629">
        <w:t xml:space="preserve"> </w:t>
      </w:r>
      <w:r>
        <w:t>reclassified</w:t>
      </w:r>
      <w:r w:rsidR="00A03629">
        <w:t xml:space="preserve"> </w:t>
      </w:r>
      <w:r>
        <w:t>to</w:t>
      </w:r>
      <w:r w:rsidR="00A03629">
        <w:t xml:space="preserve"> </w:t>
      </w:r>
      <w:r>
        <w:t>fair</w:t>
      </w:r>
      <w:r w:rsidR="00A03629">
        <w:t xml:space="preserve"> </w:t>
      </w:r>
      <w:r>
        <w:t>value,</w:t>
      </w:r>
      <w:r w:rsidR="00A03629">
        <w:t xml:space="preserve"> </w:t>
      </w:r>
      <w:r>
        <w:t>the</w:t>
      </w:r>
      <w:r w:rsidR="00A03629">
        <w:t xml:space="preserve"> </w:t>
      </w:r>
      <w:r>
        <w:t>fair</w:t>
      </w:r>
      <w:r w:rsidR="00A03629">
        <w:t xml:space="preserve"> </w:t>
      </w:r>
      <w:r>
        <w:t>value</w:t>
      </w:r>
      <w:r w:rsidR="00A03629">
        <w:t xml:space="preserve"> </w:t>
      </w:r>
      <w:r>
        <w:t>should</w:t>
      </w:r>
      <w:r w:rsidR="00A03629">
        <w:t xml:space="preserve"> </w:t>
      </w:r>
      <w:r>
        <w:t>be</w:t>
      </w:r>
      <w:r w:rsidR="00A03629">
        <w:t xml:space="preserve"> </w:t>
      </w:r>
      <w:r>
        <w:t>determined</w:t>
      </w:r>
      <w:r w:rsidR="00A03629">
        <w:t xml:space="preserve"> </w:t>
      </w:r>
      <w:r>
        <w:t>at</w:t>
      </w:r>
      <w:r w:rsidR="00A03629">
        <w:t xml:space="preserve"> </w:t>
      </w:r>
      <w:r>
        <w:t>the</w:t>
      </w:r>
      <w:r w:rsidR="00A03629">
        <w:t xml:space="preserve"> </w:t>
      </w:r>
      <w:r>
        <w:t>reclassification</w:t>
      </w:r>
      <w:r w:rsidR="00A03629">
        <w:t xml:space="preserve"> </w:t>
      </w:r>
      <w:r>
        <w:t>date</w:t>
      </w:r>
      <w:r w:rsidR="00A03629">
        <w:t xml:space="preserve"> </w:t>
      </w:r>
      <w:r>
        <w:t>and</w:t>
      </w:r>
      <w:r w:rsidR="00A03629">
        <w:t xml:space="preserve"> </w:t>
      </w:r>
      <w:r>
        <w:t>any</w:t>
      </w:r>
      <w:r w:rsidR="00A03629">
        <w:t xml:space="preserve"> </w:t>
      </w:r>
      <w:r>
        <w:t>gain</w:t>
      </w:r>
      <w:r w:rsidR="00A03629">
        <w:t xml:space="preserve"> </w:t>
      </w:r>
      <w:r>
        <w:t>or</w:t>
      </w:r>
      <w:r w:rsidR="00A03629">
        <w:t xml:space="preserve"> </w:t>
      </w:r>
      <w:r>
        <w:t>loss</w:t>
      </w:r>
      <w:r w:rsidR="00A03629">
        <w:t xml:space="preserve"> </w:t>
      </w:r>
      <w:r>
        <w:t>arising</w:t>
      </w:r>
      <w:r w:rsidR="00A03629">
        <w:t xml:space="preserve"> </w:t>
      </w:r>
      <w:r>
        <w:t>from</w:t>
      </w:r>
      <w:r w:rsidR="00A03629">
        <w:t xml:space="preserve"> </w:t>
      </w:r>
      <w:r>
        <w:t>a</w:t>
      </w:r>
      <w:r w:rsidR="00A03629">
        <w:t xml:space="preserve"> </w:t>
      </w:r>
      <w:r>
        <w:t>difference</w:t>
      </w:r>
      <w:r w:rsidR="00A03629">
        <w:t xml:space="preserve"> </w:t>
      </w:r>
      <w:r>
        <w:t>between</w:t>
      </w:r>
      <w:r w:rsidR="00A03629">
        <w:t xml:space="preserve"> </w:t>
      </w:r>
      <w:r>
        <w:t>the</w:t>
      </w:r>
      <w:r w:rsidR="00A03629">
        <w:t xml:space="preserve"> </w:t>
      </w:r>
      <w:r>
        <w:t>previous</w:t>
      </w:r>
      <w:r w:rsidR="00A03629">
        <w:t xml:space="preserve"> </w:t>
      </w:r>
      <w:r>
        <w:t>carrying</w:t>
      </w:r>
      <w:r w:rsidR="00A03629">
        <w:t xml:space="preserve"> </w:t>
      </w:r>
      <w:r>
        <w:t>amount</w:t>
      </w:r>
      <w:r w:rsidR="00A03629">
        <w:t xml:space="preserve"> </w:t>
      </w:r>
      <w:r>
        <w:t>and</w:t>
      </w:r>
      <w:r w:rsidR="00A03629">
        <w:t xml:space="preserve"> </w:t>
      </w:r>
      <w:r>
        <w:t>fair</w:t>
      </w:r>
      <w:r w:rsidR="00A03629">
        <w:t xml:space="preserve"> </w:t>
      </w:r>
      <w:r>
        <w:t>value</w:t>
      </w:r>
      <w:r w:rsidR="00A03629">
        <w:t xml:space="preserve"> </w:t>
      </w:r>
      <w:r>
        <w:t>is</w:t>
      </w:r>
      <w:r w:rsidR="00A03629">
        <w:t xml:space="preserve"> </w:t>
      </w:r>
      <w:r>
        <w:t>recognised</w:t>
      </w:r>
      <w:r w:rsidR="00A03629">
        <w:t xml:space="preserve"> </w:t>
      </w:r>
      <w:r>
        <w:t>in</w:t>
      </w:r>
      <w:r w:rsidR="00A03629">
        <w:t xml:space="preserve"> </w:t>
      </w:r>
      <w:r>
        <w:t>net</w:t>
      </w:r>
      <w:r w:rsidR="00A03629">
        <w:t xml:space="preserve"> </w:t>
      </w:r>
      <w:r>
        <w:t>result.</w:t>
      </w:r>
    </w:p>
    <w:p w14:paraId="1F9C5341" w14:textId="7B7DE3E3" w:rsidR="000756EB" w:rsidRDefault="004A4D88" w:rsidP="00DB0639">
      <w:pPr>
        <w:pStyle w:val="Heading3"/>
      </w:pPr>
      <w:r>
        <w:t>8.1.1</w:t>
      </w:r>
      <w:r w:rsidR="00DE38B5">
        <w:t xml:space="preserve"> </w:t>
      </w:r>
      <w:r>
        <w:t>Financial</w:t>
      </w:r>
      <w:r w:rsidR="00A03629">
        <w:t xml:space="preserve"> </w:t>
      </w:r>
      <w:r>
        <w:t>instruments:</w:t>
      </w:r>
      <w:r w:rsidR="00A03629">
        <w:t xml:space="preserve"> </w:t>
      </w:r>
      <w:r>
        <w:t>Categorisation</w:t>
      </w:r>
    </w:p>
    <w:tbl>
      <w:tblPr>
        <w:tblStyle w:val="TableGrid"/>
        <w:tblW w:w="10340" w:type="dxa"/>
        <w:tblLayout w:type="fixed"/>
        <w:tblLook w:val="0020" w:firstRow="1" w:lastRow="0" w:firstColumn="0" w:lastColumn="0" w:noHBand="0" w:noVBand="0"/>
      </w:tblPr>
      <w:tblGrid>
        <w:gridCol w:w="4390"/>
        <w:gridCol w:w="1180"/>
        <w:gridCol w:w="1229"/>
        <w:gridCol w:w="1180"/>
        <w:gridCol w:w="1180"/>
        <w:gridCol w:w="1181"/>
      </w:tblGrid>
      <w:tr w:rsidR="000756EB" w:rsidRPr="00B633B6" w14:paraId="3EB7CA40" w14:textId="77777777" w:rsidTr="00785106">
        <w:trPr>
          <w:cantSplit/>
          <w:tblHeader/>
        </w:trPr>
        <w:tc>
          <w:tcPr>
            <w:tcW w:w="4390" w:type="dxa"/>
          </w:tcPr>
          <w:p w14:paraId="5EF3E594" w14:textId="77777777" w:rsidR="000756EB" w:rsidRPr="00B633B6" w:rsidRDefault="000756EB" w:rsidP="00B633B6">
            <w:pPr>
              <w:pStyle w:val="TableColumnHeading"/>
              <w:rPr>
                <w:sz w:val="20"/>
                <w:szCs w:val="28"/>
              </w:rPr>
            </w:pPr>
            <w:bookmarkStart w:id="117" w:name="ColumnTitles_68"/>
            <w:bookmarkStart w:id="118" w:name="_Hlk149836279"/>
            <w:bookmarkEnd w:id="117"/>
          </w:p>
        </w:tc>
        <w:tc>
          <w:tcPr>
            <w:tcW w:w="1180" w:type="dxa"/>
          </w:tcPr>
          <w:p w14:paraId="4DBB44D1" w14:textId="5BA7D0F9" w:rsidR="000756EB" w:rsidRPr="00B633B6" w:rsidRDefault="004A4D88" w:rsidP="00785106">
            <w:pPr>
              <w:pStyle w:val="TableColumnHeading"/>
              <w:jc w:val="right"/>
              <w:rPr>
                <w:sz w:val="20"/>
                <w:szCs w:val="28"/>
              </w:rPr>
            </w:pPr>
            <w:r w:rsidRPr="00B633B6">
              <w:rPr>
                <w:sz w:val="20"/>
                <w:szCs w:val="28"/>
              </w:rPr>
              <w:t>Cash</w:t>
            </w:r>
            <w:r w:rsidR="00A03629" w:rsidRPr="00B633B6">
              <w:rPr>
                <w:sz w:val="20"/>
                <w:szCs w:val="28"/>
              </w:rPr>
              <w:t xml:space="preserve"> </w:t>
            </w:r>
            <w:r w:rsidRPr="00B633B6">
              <w:rPr>
                <w:sz w:val="20"/>
                <w:szCs w:val="28"/>
              </w:rPr>
              <w:t>and</w:t>
            </w:r>
            <w:r w:rsidR="00A03629" w:rsidRPr="00B633B6">
              <w:rPr>
                <w:sz w:val="20"/>
                <w:szCs w:val="28"/>
              </w:rPr>
              <w:t xml:space="preserve"> </w:t>
            </w:r>
            <w:r w:rsidRPr="00B633B6">
              <w:rPr>
                <w:sz w:val="20"/>
                <w:szCs w:val="28"/>
              </w:rPr>
              <w:t>deposits</w:t>
            </w:r>
            <w:r w:rsidR="00B633B6">
              <w:rPr>
                <w:sz w:val="20"/>
                <w:szCs w:val="28"/>
              </w:rPr>
              <w:t xml:space="preserve"> </w:t>
            </w:r>
            <w:r w:rsidR="00B633B6" w:rsidRPr="00B633B6">
              <w:rPr>
                <w:sz w:val="20"/>
                <w:szCs w:val="28"/>
              </w:rPr>
              <w:t>($ thousand)</w:t>
            </w:r>
          </w:p>
        </w:tc>
        <w:tc>
          <w:tcPr>
            <w:tcW w:w="1229" w:type="dxa"/>
          </w:tcPr>
          <w:p w14:paraId="244BEEE7" w14:textId="463AB44F" w:rsidR="000756EB" w:rsidRPr="00B633B6" w:rsidRDefault="004A4D88" w:rsidP="00785106">
            <w:pPr>
              <w:pStyle w:val="TableColumnHeading"/>
              <w:jc w:val="right"/>
              <w:rPr>
                <w:sz w:val="20"/>
                <w:szCs w:val="28"/>
              </w:rPr>
            </w:pPr>
            <w:r w:rsidRPr="00B633B6">
              <w:rPr>
                <w:sz w:val="20"/>
                <w:szCs w:val="28"/>
              </w:rPr>
              <w:t>Financial</w:t>
            </w:r>
            <w:r w:rsidR="00A03629" w:rsidRPr="00B633B6">
              <w:rPr>
                <w:sz w:val="20"/>
                <w:szCs w:val="28"/>
              </w:rPr>
              <w:t xml:space="preserve"> </w:t>
            </w:r>
            <w:r w:rsidRPr="00B633B6">
              <w:rPr>
                <w:sz w:val="20"/>
                <w:szCs w:val="28"/>
              </w:rPr>
              <w:t>assets/</w:t>
            </w:r>
            <w:r w:rsidR="00A03629" w:rsidRPr="00B633B6">
              <w:rPr>
                <w:sz w:val="20"/>
                <w:szCs w:val="28"/>
              </w:rPr>
              <w:t xml:space="preserve"> </w:t>
            </w:r>
            <w:r w:rsidRPr="00B633B6">
              <w:rPr>
                <w:sz w:val="20"/>
                <w:szCs w:val="28"/>
              </w:rPr>
              <w:t>liabilities</w:t>
            </w:r>
            <w:r w:rsidR="00A03629" w:rsidRPr="00B633B6">
              <w:rPr>
                <w:sz w:val="20"/>
                <w:szCs w:val="28"/>
              </w:rPr>
              <w:t xml:space="preserve"> </w:t>
            </w:r>
            <w:r w:rsidRPr="00B633B6">
              <w:rPr>
                <w:sz w:val="20"/>
                <w:szCs w:val="28"/>
              </w:rPr>
              <w:t>at</w:t>
            </w:r>
            <w:r w:rsidR="00A03629" w:rsidRPr="00B633B6">
              <w:rPr>
                <w:sz w:val="20"/>
                <w:szCs w:val="28"/>
              </w:rPr>
              <w:t xml:space="preserve"> </w:t>
            </w:r>
            <w:r w:rsidRPr="00B633B6">
              <w:rPr>
                <w:sz w:val="20"/>
                <w:szCs w:val="28"/>
              </w:rPr>
              <w:t>fair</w:t>
            </w:r>
            <w:r w:rsidR="00A03629" w:rsidRPr="00B633B6">
              <w:rPr>
                <w:sz w:val="20"/>
                <w:szCs w:val="28"/>
              </w:rPr>
              <w:t xml:space="preserve"> </w:t>
            </w:r>
            <w:r w:rsidRPr="00B633B6">
              <w:rPr>
                <w:sz w:val="20"/>
                <w:szCs w:val="28"/>
              </w:rPr>
              <w:t>value</w:t>
            </w:r>
            <w:r w:rsidR="00A03629" w:rsidRPr="00B633B6">
              <w:rPr>
                <w:sz w:val="20"/>
                <w:szCs w:val="28"/>
              </w:rPr>
              <w:t xml:space="preserve"> </w:t>
            </w:r>
            <w:r w:rsidRPr="00B633B6">
              <w:rPr>
                <w:sz w:val="20"/>
                <w:szCs w:val="28"/>
              </w:rPr>
              <w:t>through</w:t>
            </w:r>
            <w:r w:rsidR="00A03629" w:rsidRPr="00B633B6">
              <w:rPr>
                <w:sz w:val="20"/>
                <w:szCs w:val="28"/>
              </w:rPr>
              <w:t xml:space="preserve"> </w:t>
            </w:r>
            <w:r w:rsidRPr="00B633B6">
              <w:rPr>
                <w:sz w:val="20"/>
                <w:szCs w:val="28"/>
              </w:rPr>
              <w:t>net</w:t>
            </w:r>
            <w:r w:rsidR="00A03629" w:rsidRPr="00B633B6">
              <w:rPr>
                <w:sz w:val="20"/>
                <w:szCs w:val="28"/>
              </w:rPr>
              <w:t xml:space="preserve"> </w:t>
            </w:r>
            <w:r w:rsidRPr="00B633B6">
              <w:rPr>
                <w:sz w:val="20"/>
                <w:szCs w:val="28"/>
              </w:rPr>
              <w:t>result</w:t>
            </w:r>
            <w:r w:rsidR="00B633B6">
              <w:rPr>
                <w:sz w:val="20"/>
                <w:szCs w:val="28"/>
              </w:rPr>
              <w:t xml:space="preserve"> </w:t>
            </w:r>
            <w:r w:rsidR="00B633B6" w:rsidRPr="00B633B6">
              <w:rPr>
                <w:sz w:val="20"/>
                <w:szCs w:val="28"/>
              </w:rPr>
              <w:t>($ thousand)</w:t>
            </w:r>
          </w:p>
        </w:tc>
        <w:tc>
          <w:tcPr>
            <w:tcW w:w="1180" w:type="dxa"/>
          </w:tcPr>
          <w:p w14:paraId="1018D9C1" w14:textId="1308750C" w:rsidR="000756EB" w:rsidRPr="00B633B6" w:rsidRDefault="004A4D88" w:rsidP="00785106">
            <w:pPr>
              <w:pStyle w:val="TableColumnHeading"/>
              <w:jc w:val="right"/>
              <w:rPr>
                <w:sz w:val="20"/>
                <w:szCs w:val="28"/>
              </w:rPr>
            </w:pPr>
            <w:r w:rsidRPr="00B633B6">
              <w:rPr>
                <w:sz w:val="20"/>
                <w:szCs w:val="28"/>
              </w:rPr>
              <w:t>Financial</w:t>
            </w:r>
            <w:r w:rsidR="00A03629" w:rsidRPr="00B633B6">
              <w:rPr>
                <w:sz w:val="20"/>
                <w:szCs w:val="28"/>
              </w:rPr>
              <w:t xml:space="preserve"> </w:t>
            </w:r>
            <w:r w:rsidRPr="00B633B6">
              <w:rPr>
                <w:sz w:val="20"/>
                <w:szCs w:val="28"/>
              </w:rPr>
              <w:t>assets</w:t>
            </w:r>
            <w:r w:rsidR="00A03629" w:rsidRPr="00B633B6">
              <w:rPr>
                <w:sz w:val="20"/>
                <w:szCs w:val="28"/>
              </w:rPr>
              <w:t xml:space="preserve"> </w:t>
            </w:r>
            <w:r w:rsidRPr="00B633B6">
              <w:rPr>
                <w:sz w:val="20"/>
                <w:szCs w:val="28"/>
              </w:rPr>
              <w:t>at</w:t>
            </w:r>
            <w:r w:rsidR="00A03629" w:rsidRPr="00B633B6">
              <w:rPr>
                <w:sz w:val="20"/>
                <w:szCs w:val="28"/>
              </w:rPr>
              <w:t xml:space="preserve"> </w:t>
            </w:r>
            <w:r w:rsidRPr="00B633B6">
              <w:rPr>
                <w:sz w:val="20"/>
                <w:szCs w:val="28"/>
              </w:rPr>
              <w:t>amortised</w:t>
            </w:r>
            <w:r w:rsidR="00A03629" w:rsidRPr="00B633B6">
              <w:rPr>
                <w:sz w:val="20"/>
                <w:szCs w:val="28"/>
              </w:rPr>
              <w:t xml:space="preserve"> </w:t>
            </w:r>
            <w:r w:rsidRPr="00B633B6">
              <w:rPr>
                <w:sz w:val="20"/>
                <w:szCs w:val="28"/>
              </w:rPr>
              <w:t>cost</w:t>
            </w:r>
            <w:r w:rsidR="00B633B6">
              <w:rPr>
                <w:sz w:val="20"/>
                <w:szCs w:val="28"/>
              </w:rPr>
              <w:t xml:space="preserve"> </w:t>
            </w:r>
            <w:r w:rsidR="00B633B6" w:rsidRPr="00B633B6">
              <w:rPr>
                <w:sz w:val="20"/>
                <w:szCs w:val="28"/>
              </w:rPr>
              <w:t>($ thousand)</w:t>
            </w:r>
          </w:p>
        </w:tc>
        <w:tc>
          <w:tcPr>
            <w:tcW w:w="1180" w:type="dxa"/>
          </w:tcPr>
          <w:p w14:paraId="24667FAE" w14:textId="7E8A4B42" w:rsidR="000756EB" w:rsidRPr="00B633B6" w:rsidRDefault="004A4D88" w:rsidP="00785106">
            <w:pPr>
              <w:pStyle w:val="TableColumnHeading"/>
              <w:jc w:val="right"/>
              <w:rPr>
                <w:sz w:val="20"/>
                <w:szCs w:val="28"/>
              </w:rPr>
            </w:pPr>
            <w:r w:rsidRPr="00B633B6">
              <w:rPr>
                <w:sz w:val="20"/>
                <w:szCs w:val="28"/>
              </w:rPr>
              <w:t>Financial</w:t>
            </w:r>
            <w:r w:rsidR="00A03629" w:rsidRPr="00B633B6">
              <w:rPr>
                <w:sz w:val="20"/>
                <w:szCs w:val="28"/>
              </w:rPr>
              <w:t xml:space="preserve"> </w:t>
            </w:r>
            <w:r w:rsidRPr="00B633B6">
              <w:rPr>
                <w:sz w:val="20"/>
                <w:szCs w:val="28"/>
              </w:rPr>
              <w:t>liabilities</w:t>
            </w:r>
            <w:r w:rsidR="00A03629" w:rsidRPr="00B633B6">
              <w:rPr>
                <w:sz w:val="20"/>
                <w:szCs w:val="28"/>
              </w:rPr>
              <w:t xml:space="preserve"> </w:t>
            </w:r>
            <w:r w:rsidRPr="00B633B6">
              <w:rPr>
                <w:sz w:val="20"/>
                <w:szCs w:val="28"/>
              </w:rPr>
              <w:t>at</w:t>
            </w:r>
            <w:r w:rsidR="00A03629" w:rsidRPr="00B633B6">
              <w:rPr>
                <w:sz w:val="20"/>
                <w:szCs w:val="28"/>
              </w:rPr>
              <w:t xml:space="preserve"> </w:t>
            </w:r>
            <w:r w:rsidRPr="00B633B6">
              <w:rPr>
                <w:sz w:val="20"/>
                <w:szCs w:val="28"/>
              </w:rPr>
              <w:t>amortised</w:t>
            </w:r>
            <w:r w:rsidR="00A03629" w:rsidRPr="00B633B6">
              <w:rPr>
                <w:sz w:val="20"/>
                <w:szCs w:val="28"/>
              </w:rPr>
              <w:t xml:space="preserve"> </w:t>
            </w:r>
            <w:r w:rsidRPr="00B633B6">
              <w:rPr>
                <w:sz w:val="20"/>
                <w:szCs w:val="28"/>
              </w:rPr>
              <w:t>cost</w:t>
            </w:r>
            <w:r w:rsidR="00B633B6">
              <w:rPr>
                <w:sz w:val="20"/>
                <w:szCs w:val="28"/>
              </w:rPr>
              <w:t xml:space="preserve"> </w:t>
            </w:r>
            <w:r w:rsidR="00B633B6" w:rsidRPr="00B633B6">
              <w:rPr>
                <w:sz w:val="20"/>
                <w:szCs w:val="28"/>
              </w:rPr>
              <w:t>($ thousand)</w:t>
            </w:r>
          </w:p>
        </w:tc>
        <w:tc>
          <w:tcPr>
            <w:tcW w:w="1181" w:type="dxa"/>
          </w:tcPr>
          <w:p w14:paraId="0B3D0364" w14:textId="33BB88BE" w:rsidR="000756EB" w:rsidRPr="00B633B6" w:rsidRDefault="004A4D88" w:rsidP="00785106">
            <w:pPr>
              <w:pStyle w:val="TableColumnHeading"/>
              <w:jc w:val="right"/>
              <w:rPr>
                <w:sz w:val="20"/>
                <w:szCs w:val="28"/>
              </w:rPr>
            </w:pPr>
            <w:r w:rsidRPr="00B633B6">
              <w:rPr>
                <w:sz w:val="20"/>
                <w:szCs w:val="28"/>
              </w:rPr>
              <w:t>Total</w:t>
            </w:r>
            <w:r w:rsidR="00B633B6">
              <w:rPr>
                <w:sz w:val="20"/>
                <w:szCs w:val="28"/>
              </w:rPr>
              <w:t xml:space="preserve"> </w:t>
            </w:r>
            <w:r w:rsidR="00B633B6" w:rsidRPr="00B633B6">
              <w:rPr>
                <w:sz w:val="20"/>
                <w:szCs w:val="28"/>
              </w:rPr>
              <w:t>($ thousand)</w:t>
            </w:r>
          </w:p>
        </w:tc>
      </w:tr>
      <w:bookmarkEnd w:id="118"/>
      <w:tr w:rsidR="000756EB" w:rsidRPr="00B633B6" w14:paraId="1DC6C12D" w14:textId="77777777" w:rsidTr="00785106">
        <w:trPr>
          <w:cantSplit/>
        </w:trPr>
        <w:tc>
          <w:tcPr>
            <w:tcW w:w="4390" w:type="dxa"/>
          </w:tcPr>
          <w:p w14:paraId="2BD6D88F" w14:textId="77777777" w:rsidR="000756EB" w:rsidRPr="00B633B6" w:rsidRDefault="004A4D88" w:rsidP="00B633B6">
            <w:pPr>
              <w:pStyle w:val="TableHeading"/>
              <w:rPr>
                <w:rFonts w:asciiTheme="minorHAnsi" w:hAnsiTheme="minorHAnsi" w:cstheme="minorHAnsi"/>
              </w:rPr>
            </w:pPr>
            <w:r w:rsidRPr="00B633B6">
              <w:rPr>
                <w:rFonts w:asciiTheme="minorHAnsi" w:hAnsiTheme="minorHAnsi" w:cstheme="minorHAnsi"/>
              </w:rPr>
              <w:t>2023</w:t>
            </w:r>
          </w:p>
        </w:tc>
        <w:tc>
          <w:tcPr>
            <w:tcW w:w="1180" w:type="dxa"/>
          </w:tcPr>
          <w:p w14:paraId="6C3EC196" w14:textId="77777777" w:rsidR="000756EB" w:rsidRPr="00B633B6" w:rsidRDefault="000756EB" w:rsidP="00785106">
            <w:pPr>
              <w:pStyle w:val="TableHeading"/>
              <w:jc w:val="right"/>
              <w:rPr>
                <w:rFonts w:asciiTheme="minorHAnsi" w:hAnsiTheme="minorHAnsi" w:cstheme="minorHAnsi"/>
                <w:lang w:val="en-AU"/>
              </w:rPr>
            </w:pPr>
          </w:p>
        </w:tc>
        <w:tc>
          <w:tcPr>
            <w:tcW w:w="1229" w:type="dxa"/>
          </w:tcPr>
          <w:p w14:paraId="3E9576F4" w14:textId="77777777" w:rsidR="000756EB" w:rsidRPr="00B633B6" w:rsidRDefault="000756EB" w:rsidP="00785106">
            <w:pPr>
              <w:pStyle w:val="TableHeading"/>
              <w:jc w:val="right"/>
              <w:rPr>
                <w:rFonts w:asciiTheme="minorHAnsi" w:hAnsiTheme="minorHAnsi" w:cstheme="minorHAnsi"/>
                <w:lang w:val="en-AU"/>
              </w:rPr>
            </w:pPr>
          </w:p>
        </w:tc>
        <w:tc>
          <w:tcPr>
            <w:tcW w:w="1180" w:type="dxa"/>
          </w:tcPr>
          <w:p w14:paraId="07013201" w14:textId="77777777" w:rsidR="000756EB" w:rsidRPr="00B633B6" w:rsidRDefault="000756EB" w:rsidP="00785106">
            <w:pPr>
              <w:pStyle w:val="TableHeading"/>
              <w:jc w:val="right"/>
              <w:rPr>
                <w:rFonts w:asciiTheme="minorHAnsi" w:hAnsiTheme="minorHAnsi" w:cstheme="minorHAnsi"/>
                <w:lang w:val="en-AU"/>
              </w:rPr>
            </w:pPr>
          </w:p>
        </w:tc>
        <w:tc>
          <w:tcPr>
            <w:tcW w:w="1180" w:type="dxa"/>
          </w:tcPr>
          <w:p w14:paraId="53E80F27" w14:textId="77777777" w:rsidR="000756EB" w:rsidRPr="00B633B6" w:rsidRDefault="000756EB" w:rsidP="00785106">
            <w:pPr>
              <w:pStyle w:val="TableHeading"/>
              <w:jc w:val="right"/>
              <w:rPr>
                <w:rFonts w:asciiTheme="minorHAnsi" w:hAnsiTheme="minorHAnsi" w:cstheme="minorHAnsi"/>
                <w:lang w:val="en-AU"/>
              </w:rPr>
            </w:pPr>
          </w:p>
        </w:tc>
        <w:tc>
          <w:tcPr>
            <w:tcW w:w="1181" w:type="dxa"/>
          </w:tcPr>
          <w:p w14:paraId="089A2D41" w14:textId="77777777" w:rsidR="000756EB" w:rsidRPr="00B633B6" w:rsidRDefault="000756EB" w:rsidP="00785106">
            <w:pPr>
              <w:pStyle w:val="TableHeading"/>
              <w:jc w:val="right"/>
              <w:rPr>
                <w:rFonts w:asciiTheme="minorHAnsi" w:hAnsiTheme="minorHAnsi" w:cstheme="minorHAnsi"/>
                <w:lang w:val="en-AU"/>
              </w:rPr>
            </w:pPr>
          </w:p>
        </w:tc>
      </w:tr>
      <w:tr w:rsidR="000756EB" w:rsidRPr="00B633B6" w14:paraId="0A607763" w14:textId="77777777" w:rsidTr="00785106">
        <w:trPr>
          <w:cantSplit/>
        </w:trPr>
        <w:tc>
          <w:tcPr>
            <w:tcW w:w="4390" w:type="dxa"/>
          </w:tcPr>
          <w:p w14:paraId="6CED956A" w14:textId="2105AEC4" w:rsidR="000756EB" w:rsidRPr="00B633B6" w:rsidRDefault="004A4D88" w:rsidP="00B633B6">
            <w:pPr>
              <w:pStyle w:val="TableHeading"/>
              <w:rPr>
                <w:rFonts w:asciiTheme="minorHAnsi" w:hAnsiTheme="minorHAnsi" w:cstheme="minorHAnsi"/>
              </w:rPr>
            </w:pPr>
            <w:r w:rsidRPr="00B633B6">
              <w:rPr>
                <w:rFonts w:asciiTheme="minorHAnsi" w:hAnsiTheme="minorHAnsi" w:cstheme="minorHAnsi"/>
              </w:rPr>
              <w:t>Contractual</w:t>
            </w:r>
            <w:r w:rsidR="00A03629" w:rsidRPr="00B633B6">
              <w:rPr>
                <w:rFonts w:asciiTheme="minorHAnsi" w:hAnsiTheme="minorHAnsi" w:cstheme="minorHAnsi"/>
              </w:rPr>
              <w:t xml:space="preserve"> </w:t>
            </w:r>
            <w:r w:rsidRPr="00B633B6">
              <w:rPr>
                <w:rFonts w:asciiTheme="minorHAnsi" w:hAnsiTheme="minorHAnsi" w:cstheme="minorHAnsi"/>
              </w:rPr>
              <w:t>financial</w:t>
            </w:r>
            <w:r w:rsidR="00A03629" w:rsidRPr="00B633B6">
              <w:rPr>
                <w:rFonts w:asciiTheme="minorHAnsi" w:hAnsiTheme="minorHAnsi" w:cstheme="minorHAnsi"/>
              </w:rPr>
              <w:t xml:space="preserve"> </w:t>
            </w:r>
            <w:r w:rsidRPr="00B633B6">
              <w:rPr>
                <w:rFonts w:asciiTheme="minorHAnsi" w:hAnsiTheme="minorHAnsi" w:cstheme="minorHAnsi"/>
              </w:rPr>
              <w:t>assets</w:t>
            </w:r>
          </w:p>
        </w:tc>
        <w:tc>
          <w:tcPr>
            <w:tcW w:w="1180" w:type="dxa"/>
          </w:tcPr>
          <w:p w14:paraId="7189FAF1" w14:textId="77777777" w:rsidR="000756EB" w:rsidRPr="00B633B6" w:rsidRDefault="000756EB" w:rsidP="00785106">
            <w:pPr>
              <w:pStyle w:val="TableHeading"/>
              <w:jc w:val="right"/>
              <w:rPr>
                <w:rFonts w:asciiTheme="minorHAnsi" w:hAnsiTheme="minorHAnsi" w:cstheme="minorHAnsi"/>
                <w:lang w:val="en-AU"/>
              </w:rPr>
            </w:pPr>
          </w:p>
        </w:tc>
        <w:tc>
          <w:tcPr>
            <w:tcW w:w="1229" w:type="dxa"/>
          </w:tcPr>
          <w:p w14:paraId="556CDE12" w14:textId="77777777" w:rsidR="000756EB" w:rsidRPr="00B633B6" w:rsidRDefault="000756EB" w:rsidP="00785106">
            <w:pPr>
              <w:pStyle w:val="TableHeading"/>
              <w:jc w:val="right"/>
              <w:rPr>
                <w:rFonts w:asciiTheme="minorHAnsi" w:hAnsiTheme="minorHAnsi" w:cstheme="minorHAnsi"/>
                <w:lang w:val="en-AU"/>
              </w:rPr>
            </w:pPr>
          </w:p>
        </w:tc>
        <w:tc>
          <w:tcPr>
            <w:tcW w:w="1180" w:type="dxa"/>
          </w:tcPr>
          <w:p w14:paraId="4C902F61" w14:textId="77777777" w:rsidR="000756EB" w:rsidRPr="00B633B6" w:rsidRDefault="000756EB" w:rsidP="00785106">
            <w:pPr>
              <w:pStyle w:val="TableHeading"/>
              <w:jc w:val="right"/>
              <w:rPr>
                <w:rFonts w:asciiTheme="minorHAnsi" w:hAnsiTheme="minorHAnsi" w:cstheme="minorHAnsi"/>
                <w:lang w:val="en-AU"/>
              </w:rPr>
            </w:pPr>
          </w:p>
        </w:tc>
        <w:tc>
          <w:tcPr>
            <w:tcW w:w="1180" w:type="dxa"/>
          </w:tcPr>
          <w:p w14:paraId="52768A15" w14:textId="77777777" w:rsidR="000756EB" w:rsidRPr="00B633B6" w:rsidRDefault="000756EB" w:rsidP="00785106">
            <w:pPr>
              <w:pStyle w:val="TableHeading"/>
              <w:jc w:val="right"/>
              <w:rPr>
                <w:rFonts w:asciiTheme="minorHAnsi" w:hAnsiTheme="minorHAnsi" w:cstheme="minorHAnsi"/>
                <w:lang w:val="en-AU"/>
              </w:rPr>
            </w:pPr>
          </w:p>
        </w:tc>
        <w:tc>
          <w:tcPr>
            <w:tcW w:w="1181" w:type="dxa"/>
          </w:tcPr>
          <w:p w14:paraId="289C2C69" w14:textId="77777777" w:rsidR="000756EB" w:rsidRPr="00B633B6" w:rsidRDefault="000756EB" w:rsidP="00785106">
            <w:pPr>
              <w:pStyle w:val="TableHeading"/>
              <w:jc w:val="right"/>
              <w:rPr>
                <w:rFonts w:asciiTheme="minorHAnsi" w:hAnsiTheme="minorHAnsi" w:cstheme="minorHAnsi"/>
                <w:lang w:val="en-AU"/>
              </w:rPr>
            </w:pPr>
          </w:p>
        </w:tc>
      </w:tr>
      <w:tr w:rsidR="000756EB" w:rsidRPr="00B633B6" w14:paraId="442C1F60" w14:textId="77777777" w:rsidTr="00785106">
        <w:trPr>
          <w:cantSplit/>
        </w:trPr>
        <w:tc>
          <w:tcPr>
            <w:tcW w:w="4390" w:type="dxa"/>
          </w:tcPr>
          <w:p w14:paraId="31D0D021" w14:textId="6AE7E895" w:rsidR="000756EB" w:rsidRPr="00B633B6" w:rsidRDefault="004A4D88" w:rsidP="00B633B6">
            <w:pPr>
              <w:pStyle w:val="TableCopy"/>
              <w:rPr>
                <w:rFonts w:asciiTheme="minorHAnsi" w:hAnsiTheme="minorHAnsi" w:cstheme="minorHAnsi"/>
              </w:rPr>
            </w:pPr>
            <w:r w:rsidRPr="00B633B6">
              <w:rPr>
                <w:rFonts w:asciiTheme="minorHAnsi" w:hAnsiTheme="minorHAnsi" w:cstheme="minorHAnsi"/>
              </w:rPr>
              <w:t>Cash</w:t>
            </w:r>
            <w:r w:rsidR="00A03629" w:rsidRPr="00B633B6">
              <w:rPr>
                <w:rFonts w:asciiTheme="minorHAnsi" w:hAnsiTheme="minorHAnsi" w:cstheme="minorHAnsi"/>
              </w:rPr>
              <w:t xml:space="preserve"> </w:t>
            </w:r>
            <w:r w:rsidRPr="00B633B6">
              <w:rPr>
                <w:rFonts w:asciiTheme="minorHAnsi" w:hAnsiTheme="minorHAnsi" w:cstheme="minorHAnsi"/>
              </w:rPr>
              <w:t>and</w:t>
            </w:r>
            <w:r w:rsidR="00A03629" w:rsidRPr="00B633B6">
              <w:rPr>
                <w:rFonts w:asciiTheme="minorHAnsi" w:hAnsiTheme="minorHAnsi" w:cstheme="minorHAnsi"/>
              </w:rPr>
              <w:t xml:space="preserve"> </w:t>
            </w:r>
            <w:r w:rsidRPr="00B633B6">
              <w:rPr>
                <w:rFonts w:asciiTheme="minorHAnsi" w:hAnsiTheme="minorHAnsi" w:cstheme="minorHAnsi"/>
              </w:rPr>
              <w:t>deposits</w:t>
            </w:r>
          </w:p>
        </w:tc>
        <w:tc>
          <w:tcPr>
            <w:tcW w:w="1180" w:type="dxa"/>
          </w:tcPr>
          <w:p w14:paraId="32CD608D" w14:textId="6B1060C9" w:rsidR="000756EB" w:rsidRPr="00B633B6" w:rsidRDefault="004A4D88" w:rsidP="00785106">
            <w:pPr>
              <w:pStyle w:val="TableCopy"/>
              <w:jc w:val="right"/>
              <w:rPr>
                <w:rFonts w:asciiTheme="minorHAnsi" w:hAnsiTheme="minorHAnsi" w:cstheme="minorHAnsi"/>
              </w:rPr>
            </w:pPr>
            <w:r w:rsidRPr="00B633B6">
              <w:rPr>
                <w:rFonts w:asciiTheme="minorHAnsi" w:hAnsiTheme="minorHAnsi" w:cstheme="minorHAnsi"/>
              </w:rPr>
              <w:t>322,133</w:t>
            </w:r>
          </w:p>
        </w:tc>
        <w:tc>
          <w:tcPr>
            <w:tcW w:w="1229" w:type="dxa"/>
          </w:tcPr>
          <w:p w14:paraId="0BFDBD8B" w14:textId="24E47899" w:rsidR="000756EB" w:rsidRPr="00B633B6" w:rsidRDefault="004A4D88" w:rsidP="00785106">
            <w:pPr>
              <w:pStyle w:val="TableCopy"/>
              <w:jc w:val="right"/>
              <w:rPr>
                <w:rFonts w:asciiTheme="minorHAnsi" w:hAnsiTheme="minorHAnsi" w:cstheme="minorHAnsi"/>
              </w:rPr>
            </w:pPr>
            <w:r w:rsidRPr="00B633B6">
              <w:rPr>
                <w:rFonts w:asciiTheme="minorHAnsi" w:hAnsiTheme="minorHAnsi" w:cstheme="minorHAnsi"/>
              </w:rPr>
              <w:t>–</w:t>
            </w:r>
          </w:p>
        </w:tc>
        <w:tc>
          <w:tcPr>
            <w:tcW w:w="1180" w:type="dxa"/>
          </w:tcPr>
          <w:p w14:paraId="205D3971" w14:textId="7244880B" w:rsidR="000756EB" w:rsidRPr="00B633B6" w:rsidRDefault="004A4D88" w:rsidP="00785106">
            <w:pPr>
              <w:pStyle w:val="TableCopy"/>
              <w:jc w:val="right"/>
              <w:rPr>
                <w:rFonts w:asciiTheme="minorHAnsi" w:hAnsiTheme="minorHAnsi" w:cstheme="minorHAnsi"/>
              </w:rPr>
            </w:pPr>
            <w:r w:rsidRPr="00B633B6">
              <w:rPr>
                <w:rFonts w:asciiTheme="minorHAnsi" w:hAnsiTheme="minorHAnsi" w:cstheme="minorHAnsi"/>
              </w:rPr>
              <w:t>–</w:t>
            </w:r>
          </w:p>
        </w:tc>
        <w:tc>
          <w:tcPr>
            <w:tcW w:w="1180" w:type="dxa"/>
          </w:tcPr>
          <w:p w14:paraId="33716384" w14:textId="60FA3209" w:rsidR="000756EB" w:rsidRPr="00B633B6" w:rsidRDefault="004A4D88" w:rsidP="00785106">
            <w:pPr>
              <w:pStyle w:val="TableCopy"/>
              <w:jc w:val="right"/>
              <w:rPr>
                <w:rFonts w:asciiTheme="minorHAnsi" w:hAnsiTheme="minorHAnsi" w:cstheme="minorHAnsi"/>
              </w:rPr>
            </w:pPr>
            <w:r w:rsidRPr="00B633B6">
              <w:rPr>
                <w:rFonts w:asciiTheme="minorHAnsi" w:hAnsiTheme="minorHAnsi" w:cstheme="minorHAnsi"/>
              </w:rPr>
              <w:t>–</w:t>
            </w:r>
          </w:p>
        </w:tc>
        <w:tc>
          <w:tcPr>
            <w:tcW w:w="1181" w:type="dxa"/>
          </w:tcPr>
          <w:p w14:paraId="20039306" w14:textId="795E71B6" w:rsidR="000756EB" w:rsidRPr="00B633B6" w:rsidRDefault="004A4D88" w:rsidP="00785106">
            <w:pPr>
              <w:pStyle w:val="TableCopy"/>
              <w:jc w:val="right"/>
              <w:rPr>
                <w:rFonts w:asciiTheme="minorHAnsi" w:hAnsiTheme="minorHAnsi" w:cstheme="minorHAnsi"/>
              </w:rPr>
            </w:pPr>
            <w:r w:rsidRPr="00B633B6">
              <w:rPr>
                <w:rFonts w:asciiTheme="minorHAnsi" w:hAnsiTheme="minorHAnsi" w:cstheme="minorHAnsi"/>
              </w:rPr>
              <w:t>322,133</w:t>
            </w:r>
          </w:p>
        </w:tc>
      </w:tr>
      <w:tr w:rsidR="000756EB" w:rsidRPr="00B633B6" w14:paraId="7F7BDD06" w14:textId="77777777" w:rsidTr="00785106">
        <w:trPr>
          <w:cantSplit/>
        </w:trPr>
        <w:tc>
          <w:tcPr>
            <w:tcW w:w="4390" w:type="dxa"/>
          </w:tcPr>
          <w:p w14:paraId="6BBC89AD" w14:textId="7B26EADF" w:rsidR="000756EB" w:rsidRPr="00B633B6" w:rsidRDefault="004A4D88" w:rsidP="00B633B6">
            <w:pPr>
              <w:pStyle w:val="TableCopy"/>
              <w:rPr>
                <w:rFonts w:asciiTheme="minorHAnsi" w:hAnsiTheme="minorHAnsi" w:cstheme="minorHAnsi"/>
              </w:rPr>
            </w:pPr>
            <w:r w:rsidRPr="00B633B6">
              <w:rPr>
                <w:rFonts w:asciiTheme="minorHAnsi" w:hAnsiTheme="minorHAnsi" w:cstheme="minorHAnsi"/>
              </w:rPr>
              <w:t>Receivables</w:t>
            </w:r>
            <w:r w:rsidR="00A03629" w:rsidRPr="00B633B6">
              <w:rPr>
                <w:rFonts w:asciiTheme="minorHAnsi" w:hAnsiTheme="minorHAnsi" w:cstheme="minorHAnsi"/>
              </w:rPr>
              <w:t xml:space="preserve"> </w:t>
            </w:r>
            <w:r w:rsidRPr="00614829">
              <w:rPr>
                <w:rStyle w:val="FootnotereferencessuperscriptMisc"/>
              </w:rPr>
              <w:t>(</w:t>
            </w:r>
            <w:proofErr w:type="spellStart"/>
            <w:r w:rsidRPr="00614829">
              <w:rPr>
                <w:rStyle w:val="FootnotereferencessuperscriptMisc"/>
              </w:rPr>
              <w:t>i</w:t>
            </w:r>
            <w:proofErr w:type="spellEnd"/>
            <w:r w:rsidRPr="00614829">
              <w:rPr>
                <w:rStyle w:val="FootnotereferencessuperscriptMisc"/>
              </w:rPr>
              <w:t>)</w:t>
            </w:r>
          </w:p>
        </w:tc>
        <w:tc>
          <w:tcPr>
            <w:tcW w:w="1180" w:type="dxa"/>
          </w:tcPr>
          <w:p w14:paraId="3AFAAFF4" w14:textId="453113DE" w:rsidR="000756EB" w:rsidRPr="00B633B6" w:rsidRDefault="004A4D88" w:rsidP="00785106">
            <w:pPr>
              <w:pStyle w:val="TableCopy"/>
              <w:jc w:val="right"/>
              <w:rPr>
                <w:rFonts w:asciiTheme="minorHAnsi" w:hAnsiTheme="minorHAnsi" w:cstheme="minorHAnsi"/>
              </w:rPr>
            </w:pPr>
            <w:r w:rsidRPr="00B633B6">
              <w:rPr>
                <w:rFonts w:asciiTheme="minorHAnsi" w:hAnsiTheme="minorHAnsi" w:cstheme="minorHAnsi"/>
              </w:rPr>
              <w:t>–</w:t>
            </w:r>
          </w:p>
        </w:tc>
        <w:tc>
          <w:tcPr>
            <w:tcW w:w="1229" w:type="dxa"/>
          </w:tcPr>
          <w:p w14:paraId="3E3CF217" w14:textId="0C625AED" w:rsidR="000756EB" w:rsidRPr="00B633B6" w:rsidRDefault="004A4D88" w:rsidP="00785106">
            <w:pPr>
              <w:pStyle w:val="TableCopy"/>
              <w:jc w:val="right"/>
              <w:rPr>
                <w:rFonts w:asciiTheme="minorHAnsi" w:hAnsiTheme="minorHAnsi" w:cstheme="minorHAnsi"/>
              </w:rPr>
            </w:pPr>
            <w:r w:rsidRPr="00B633B6">
              <w:rPr>
                <w:rFonts w:asciiTheme="minorHAnsi" w:hAnsiTheme="minorHAnsi" w:cstheme="minorHAnsi"/>
              </w:rPr>
              <w:t>2,180</w:t>
            </w:r>
          </w:p>
        </w:tc>
        <w:tc>
          <w:tcPr>
            <w:tcW w:w="1180" w:type="dxa"/>
          </w:tcPr>
          <w:p w14:paraId="43203D03" w14:textId="3446E767" w:rsidR="000756EB" w:rsidRPr="00B633B6" w:rsidRDefault="004A4D88" w:rsidP="00785106">
            <w:pPr>
              <w:pStyle w:val="TableCopy"/>
              <w:jc w:val="right"/>
              <w:rPr>
                <w:rFonts w:asciiTheme="minorHAnsi" w:hAnsiTheme="minorHAnsi" w:cstheme="minorHAnsi"/>
              </w:rPr>
            </w:pPr>
            <w:r w:rsidRPr="00B633B6">
              <w:rPr>
                <w:rFonts w:asciiTheme="minorHAnsi" w:hAnsiTheme="minorHAnsi" w:cstheme="minorHAnsi"/>
              </w:rPr>
              <w:t>225,347</w:t>
            </w:r>
          </w:p>
        </w:tc>
        <w:tc>
          <w:tcPr>
            <w:tcW w:w="1180" w:type="dxa"/>
          </w:tcPr>
          <w:p w14:paraId="46D18211" w14:textId="61A67976" w:rsidR="000756EB" w:rsidRPr="00B633B6" w:rsidRDefault="004A4D88" w:rsidP="00785106">
            <w:pPr>
              <w:pStyle w:val="TableCopy"/>
              <w:jc w:val="right"/>
              <w:rPr>
                <w:rFonts w:asciiTheme="minorHAnsi" w:hAnsiTheme="minorHAnsi" w:cstheme="minorHAnsi"/>
              </w:rPr>
            </w:pPr>
            <w:r w:rsidRPr="00B633B6">
              <w:rPr>
                <w:rFonts w:asciiTheme="minorHAnsi" w:hAnsiTheme="minorHAnsi" w:cstheme="minorHAnsi"/>
              </w:rPr>
              <w:t>–</w:t>
            </w:r>
          </w:p>
        </w:tc>
        <w:tc>
          <w:tcPr>
            <w:tcW w:w="1181" w:type="dxa"/>
          </w:tcPr>
          <w:p w14:paraId="6E77A82E" w14:textId="4A8E8D97" w:rsidR="000756EB" w:rsidRPr="00B633B6" w:rsidRDefault="004A4D88" w:rsidP="00785106">
            <w:pPr>
              <w:pStyle w:val="TableCopy"/>
              <w:jc w:val="right"/>
              <w:rPr>
                <w:rFonts w:asciiTheme="minorHAnsi" w:hAnsiTheme="minorHAnsi" w:cstheme="minorHAnsi"/>
              </w:rPr>
            </w:pPr>
            <w:r w:rsidRPr="00B633B6">
              <w:rPr>
                <w:rFonts w:asciiTheme="minorHAnsi" w:hAnsiTheme="minorHAnsi" w:cstheme="minorHAnsi"/>
              </w:rPr>
              <w:t>227,528</w:t>
            </w:r>
          </w:p>
        </w:tc>
      </w:tr>
      <w:tr w:rsidR="000756EB" w:rsidRPr="00B633B6" w14:paraId="1D4F4272" w14:textId="77777777" w:rsidTr="00785106">
        <w:trPr>
          <w:cantSplit/>
        </w:trPr>
        <w:tc>
          <w:tcPr>
            <w:tcW w:w="4390" w:type="dxa"/>
          </w:tcPr>
          <w:p w14:paraId="4DDB3A2C" w14:textId="77777777" w:rsidR="000756EB" w:rsidRPr="00B633B6" w:rsidRDefault="004A4D88" w:rsidP="00B633B6">
            <w:pPr>
              <w:pStyle w:val="TableCopy"/>
              <w:rPr>
                <w:rFonts w:asciiTheme="minorHAnsi" w:hAnsiTheme="minorHAnsi" w:cstheme="minorHAnsi"/>
              </w:rPr>
            </w:pPr>
            <w:r w:rsidRPr="00B633B6">
              <w:rPr>
                <w:rFonts w:asciiTheme="minorHAnsi" w:hAnsiTheme="minorHAnsi" w:cstheme="minorHAnsi"/>
              </w:rPr>
              <w:t>Investments</w:t>
            </w:r>
          </w:p>
        </w:tc>
        <w:tc>
          <w:tcPr>
            <w:tcW w:w="1180" w:type="dxa"/>
          </w:tcPr>
          <w:p w14:paraId="6E5381B9" w14:textId="37DE91CF" w:rsidR="000756EB" w:rsidRPr="00B633B6" w:rsidRDefault="004A4D88" w:rsidP="00785106">
            <w:pPr>
              <w:pStyle w:val="TableCopy"/>
              <w:jc w:val="right"/>
              <w:rPr>
                <w:rFonts w:asciiTheme="minorHAnsi" w:hAnsiTheme="minorHAnsi" w:cstheme="minorHAnsi"/>
              </w:rPr>
            </w:pPr>
            <w:r w:rsidRPr="00B633B6">
              <w:rPr>
                <w:rFonts w:asciiTheme="minorHAnsi" w:hAnsiTheme="minorHAnsi" w:cstheme="minorHAnsi"/>
              </w:rPr>
              <w:t>–</w:t>
            </w:r>
          </w:p>
        </w:tc>
        <w:tc>
          <w:tcPr>
            <w:tcW w:w="1229" w:type="dxa"/>
          </w:tcPr>
          <w:p w14:paraId="14A48AF3" w14:textId="708C831E" w:rsidR="000756EB" w:rsidRPr="00B633B6" w:rsidRDefault="004A4D88" w:rsidP="00785106">
            <w:pPr>
              <w:pStyle w:val="TableCopy"/>
              <w:jc w:val="right"/>
              <w:rPr>
                <w:rFonts w:asciiTheme="minorHAnsi" w:hAnsiTheme="minorHAnsi" w:cstheme="minorHAnsi"/>
              </w:rPr>
            </w:pPr>
            <w:r w:rsidRPr="00B633B6">
              <w:rPr>
                <w:rFonts w:asciiTheme="minorHAnsi" w:hAnsiTheme="minorHAnsi" w:cstheme="minorHAnsi"/>
              </w:rPr>
              <w:t>3,261</w:t>
            </w:r>
          </w:p>
        </w:tc>
        <w:tc>
          <w:tcPr>
            <w:tcW w:w="1180" w:type="dxa"/>
          </w:tcPr>
          <w:p w14:paraId="07733FC2" w14:textId="624CA9CF" w:rsidR="000756EB" w:rsidRPr="00B633B6" w:rsidRDefault="004A4D88" w:rsidP="00785106">
            <w:pPr>
              <w:pStyle w:val="TableCopy"/>
              <w:jc w:val="right"/>
              <w:rPr>
                <w:rFonts w:asciiTheme="minorHAnsi" w:hAnsiTheme="minorHAnsi" w:cstheme="minorHAnsi"/>
              </w:rPr>
            </w:pPr>
            <w:r w:rsidRPr="00B633B6">
              <w:rPr>
                <w:rFonts w:asciiTheme="minorHAnsi" w:hAnsiTheme="minorHAnsi" w:cstheme="minorHAnsi"/>
              </w:rPr>
              <w:t>–</w:t>
            </w:r>
          </w:p>
        </w:tc>
        <w:tc>
          <w:tcPr>
            <w:tcW w:w="1180" w:type="dxa"/>
          </w:tcPr>
          <w:p w14:paraId="6B61A0C8" w14:textId="5F2CF5D7" w:rsidR="000756EB" w:rsidRPr="00B633B6" w:rsidRDefault="004A4D88" w:rsidP="00785106">
            <w:pPr>
              <w:pStyle w:val="TableCopy"/>
              <w:jc w:val="right"/>
              <w:rPr>
                <w:rFonts w:asciiTheme="minorHAnsi" w:hAnsiTheme="minorHAnsi" w:cstheme="minorHAnsi"/>
              </w:rPr>
            </w:pPr>
            <w:r w:rsidRPr="00B633B6">
              <w:rPr>
                <w:rFonts w:asciiTheme="minorHAnsi" w:hAnsiTheme="minorHAnsi" w:cstheme="minorHAnsi"/>
              </w:rPr>
              <w:t>–</w:t>
            </w:r>
          </w:p>
        </w:tc>
        <w:tc>
          <w:tcPr>
            <w:tcW w:w="1181" w:type="dxa"/>
          </w:tcPr>
          <w:p w14:paraId="1B621869" w14:textId="5AE02899" w:rsidR="000756EB" w:rsidRPr="00B633B6" w:rsidRDefault="004A4D88" w:rsidP="00785106">
            <w:pPr>
              <w:pStyle w:val="TableCopy"/>
              <w:jc w:val="right"/>
              <w:rPr>
                <w:rFonts w:asciiTheme="minorHAnsi" w:hAnsiTheme="minorHAnsi" w:cstheme="minorHAnsi"/>
              </w:rPr>
            </w:pPr>
            <w:r w:rsidRPr="00B633B6">
              <w:rPr>
                <w:rFonts w:asciiTheme="minorHAnsi" w:hAnsiTheme="minorHAnsi" w:cstheme="minorHAnsi"/>
              </w:rPr>
              <w:t>3,261</w:t>
            </w:r>
          </w:p>
        </w:tc>
      </w:tr>
      <w:tr w:rsidR="000756EB" w:rsidRPr="00B633B6" w14:paraId="5B5ABACF" w14:textId="77777777" w:rsidTr="00785106">
        <w:trPr>
          <w:cantSplit/>
        </w:trPr>
        <w:tc>
          <w:tcPr>
            <w:tcW w:w="4390" w:type="dxa"/>
          </w:tcPr>
          <w:p w14:paraId="04B4E224" w14:textId="3043A0EC" w:rsidR="000756EB" w:rsidRPr="00B633B6" w:rsidRDefault="004A4D88" w:rsidP="00B633B6">
            <w:pPr>
              <w:pStyle w:val="TableCopy"/>
              <w:rPr>
                <w:b/>
                <w:bCs/>
              </w:rPr>
            </w:pPr>
            <w:r w:rsidRPr="00B633B6">
              <w:rPr>
                <w:b/>
                <w:bCs/>
              </w:rPr>
              <w:t>Total</w:t>
            </w:r>
            <w:r w:rsidR="00A03629" w:rsidRPr="00B633B6">
              <w:rPr>
                <w:b/>
                <w:bCs/>
              </w:rPr>
              <w:t xml:space="preserve"> </w:t>
            </w:r>
            <w:r w:rsidRPr="00B633B6">
              <w:rPr>
                <w:b/>
                <w:bCs/>
              </w:rPr>
              <w:t>contractual</w:t>
            </w:r>
            <w:r w:rsidR="00A03629" w:rsidRPr="00B633B6">
              <w:rPr>
                <w:b/>
                <w:bCs/>
              </w:rPr>
              <w:t xml:space="preserve"> </w:t>
            </w:r>
            <w:r w:rsidRPr="00B633B6">
              <w:rPr>
                <w:b/>
                <w:bCs/>
              </w:rPr>
              <w:t>financial</w:t>
            </w:r>
            <w:r w:rsidR="00A03629" w:rsidRPr="00B633B6">
              <w:rPr>
                <w:b/>
                <w:bCs/>
              </w:rPr>
              <w:t xml:space="preserve"> </w:t>
            </w:r>
            <w:r w:rsidRPr="00B633B6">
              <w:rPr>
                <w:b/>
                <w:bCs/>
              </w:rPr>
              <w:t>assets</w:t>
            </w:r>
          </w:p>
        </w:tc>
        <w:tc>
          <w:tcPr>
            <w:tcW w:w="1180" w:type="dxa"/>
          </w:tcPr>
          <w:p w14:paraId="2A542093" w14:textId="64825A35" w:rsidR="000756EB" w:rsidRPr="00B633B6" w:rsidRDefault="004A4D88" w:rsidP="00785106">
            <w:pPr>
              <w:pStyle w:val="TableCopy"/>
              <w:jc w:val="right"/>
              <w:rPr>
                <w:b/>
                <w:bCs/>
              </w:rPr>
            </w:pPr>
            <w:r w:rsidRPr="00B633B6">
              <w:rPr>
                <w:b/>
                <w:bCs/>
              </w:rPr>
              <w:t>322,133</w:t>
            </w:r>
          </w:p>
        </w:tc>
        <w:tc>
          <w:tcPr>
            <w:tcW w:w="1229" w:type="dxa"/>
          </w:tcPr>
          <w:p w14:paraId="7872624B" w14:textId="77CBA148" w:rsidR="000756EB" w:rsidRPr="00B633B6" w:rsidRDefault="004A4D88" w:rsidP="00785106">
            <w:pPr>
              <w:pStyle w:val="TableCopy"/>
              <w:jc w:val="right"/>
              <w:rPr>
                <w:b/>
                <w:bCs/>
              </w:rPr>
            </w:pPr>
            <w:r w:rsidRPr="00B633B6">
              <w:rPr>
                <w:b/>
                <w:bCs/>
              </w:rPr>
              <w:t>5,441</w:t>
            </w:r>
          </w:p>
        </w:tc>
        <w:tc>
          <w:tcPr>
            <w:tcW w:w="1180" w:type="dxa"/>
          </w:tcPr>
          <w:p w14:paraId="5731CE9B" w14:textId="59F734ED" w:rsidR="000756EB" w:rsidRPr="00B633B6" w:rsidRDefault="004A4D88" w:rsidP="00785106">
            <w:pPr>
              <w:pStyle w:val="TableCopy"/>
              <w:jc w:val="right"/>
              <w:rPr>
                <w:b/>
                <w:bCs/>
              </w:rPr>
            </w:pPr>
            <w:r w:rsidRPr="00B633B6">
              <w:rPr>
                <w:b/>
                <w:bCs/>
              </w:rPr>
              <w:t>225,347</w:t>
            </w:r>
          </w:p>
        </w:tc>
        <w:tc>
          <w:tcPr>
            <w:tcW w:w="1180" w:type="dxa"/>
          </w:tcPr>
          <w:p w14:paraId="2CCFF7C9" w14:textId="1AA79EE1" w:rsidR="000756EB" w:rsidRPr="00B633B6" w:rsidRDefault="004A4D88" w:rsidP="00785106">
            <w:pPr>
              <w:pStyle w:val="TableCopy"/>
              <w:jc w:val="right"/>
              <w:rPr>
                <w:b/>
                <w:bCs/>
              </w:rPr>
            </w:pPr>
            <w:r w:rsidRPr="00B633B6">
              <w:rPr>
                <w:b/>
                <w:bCs/>
              </w:rPr>
              <w:t>–</w:t>
            </w:r>
          </w:p>
        </w:tc>
        <w:tc>
          <w:tcPr>
            <w:tcW w:w="1181" w:type="dxa"/>
          </w:tcPr>
          <w:p w14:paraId="4161ADF1" w14:textId="2B86D869" w:rsidR="000756EB" w:rsidRPr="00B633B6" w:rsidRDefault="004A4D88" w:rsidP="00785106">
            <w:pPr>
              <w:pStyle w:val="TableCopy"/>
              <w:jc w:val="right"/>
              <w:rPr>
                <w:b/>
                <w:bCs/>
              </w:rPr>
            </w:pPr>
            <w:r w:rsidRPr="00B633B6">
              <w:rPr>
                <w:b/>
                <w:bCs/>
              </w:rPr>
              <w:t>552,921</w:t>
            </w:r>
          </w:p>
        </w:tc>
      </w:tr>
      <w:tr w:rsidR="000756EB" w:rsidRPr="00B633B6" w14:paraId="230F97C2" w14:textId="77777777" w:rsidTr="00785106">
        <w:trPr>
          <w:cantSplit/>
        </w:trPr>
        <w:tc>
          <w:tcPr>
            <w:tcW w:w="4390" w:type="dxa"/>
          </w:tcPr>
          <w:p w14:paraId="42BD833F" w14:textId="04817F74" w:rsidR="000756EB" w:rsidRPr="00B633B6" w:rsidRDefault="004A4D88" w:rsidP="00B633B6">
            <w:pPr>
              <w:pStyle w:val="TableHeading"/>
              <w:rPr>
                <w:rFonts w:asciiTheme="minorHAnsi" w:hAnsiTheme="minorHAnsi" w:cstheme="minorHAnsi"/>
              </w:rPr>
            </w:pPr>
            <w:r w:rsidRPr="00B633B6">
              <w:rPr>
                <w:rFonts w:asciiTheme="minorHAnsi" w:hAnsiTheme="minorHAnsi" w:cstheme="minorHAnsi"/>
              </w:rPr>
              <w:t>Contractual</w:t>
            </w:r>
            <w:r w:rsidR="00A03629" w:rsidRPr="00B633B6">
              <w:rPr>
                <w:rFonts w:asciiTheme="minorHAnsi" w:hAnsiTheme="minorHAnsi" w:cstheme="minorHAnsi"/>
              </w:rPr>
              <w:t xml:space="preserve"> </w:t>
            </w:r>
            <w:r w:rsidRPr="00B633B6">
              <w:rPr>
                <w:rFonts w:asciiTheme="minorHAnsi" w:hAnsiTheme="minorHAnsi" w:cstheme="minorHAnsi"/>
              </w:rPr>
              <w:t>financial</w:t>
            </w:r>
            <w:r w:rsidR="00A03629" w:rsidRPr="00B633B6">
              <w:rPr>
                <w:rFonts w:asciiTheme="minorHAnsi" w:hAnsiTheme="minorHAnsi" w:cstheme="minorHAnsi"/>
              </w:rPr>
              <w:t xml:space="preserve"> </w:t>
            </w:r>
            <w:r w:rsidRPr="00B633B6">
              <w:rPr>
                <w:rFonts w:asciiTheme="minorHAnsi" w:hAnsiTheme="minorHAnsi" w:cstheme="minorHAnsi"/>
              </w:rPr>
              <w:t>liabilities</w:t>
            </w:r>
          </w:p>
        </w:tc>
        <w:tc>
          <w:tcPr>
            <w:tcW w:w="1180" w:type="dxa"/>
          </w:tcPr>
          <w:p w14:paraId="7B60DEE0" w14:textId="77777777" w:rsidR="000756EB" w:rsidRPr="00B633B6" w:rsidRDefault="000756EB" w:rsidP="00785106">
            <w:pPr>
              <w:pStyle w:val="TableHeading"/>
              <w:jc w:val="right"/>
              <w:rPr>
                <w:rFonts w:asciiTheme="minorHAnsi" w:hAnsiTheme="minorHAnsi" w:cstheme="minorHAnsi"/>
                <w:lang w:val="en-AU"/>
              </w:rPr>
            </w:pPr>
          </w:p>
        </w:tc>
        <w:tc>
          <w:tcPr>
            <w:tcW w:w="1229" w:type="dxa"/>
          </w:tcPr>
          <w:p w14:paraId="4E533328" w14:textId="77777777" w:rsidR="000756EB" w:rsidRPr="00B633B6" w:rsidRDefault="000756EB" w:rsidP="00785106">
            <w:pPr>
              <w:pStyle w:val="TableHeading"/>
              <w:jc w:val="right"/>
              <w:rPr>
                <w:rFonts w:asciiTheme="minorHAnsi" w:hAnsiTheme="minorHAnsi" w:cstheme="minorHAnsi"/>
                <w:lang w:val="en-AU"/>
              </w:rPr>
            </w:pPr>
          </w:p>
        </w:tc>
        <w:tc>
          <w:tcPr>
            <w:tcW w:w="1180" w:type="dxa"/>
          </w:tcPr>
          <w:p w14:paraId="68DE6211" w14:textId="77777777" w:rsidR="000756EB" w:rsidRPr="00B633B6" w:rsidRDefault="000756EB" w:rsidP="00785106">
            <w:pPr>
              <w:pStyle w:val="TableHeading"/>
              <w:jc w:val="right"/>
              <w:rPr>
                <w:rFonts w:asciiTheme="minorHAnsi" w:hAnsiTheme="minorHAnsi" w:cstheme="minorHAnsi"/>
                <w:lang w:val="en-AU"/>
              </w:rPr>
            </w:pPr>
          </w:p>
        </w:tc>
        <w:tc>
          <w:tcPr>
            <w:tcW w:w="1180" w:type="dxa"/>
          </w:tcPr>
          <w:p w14:paraId="36650C87" w14:textId="77777777" w:rsidR="000756EB" w:rsidRPr="00B633B6" w:rsidRDefault="000756EB" w:rsidP="00785106">
            <w:pPr>
              <w:pStyle w:val="TableHeading"/>
              <w:jc w:val="right"/>
              <w:rPr>
                <w:rFonts w:asciiTheme="minorHAnsi" w:hAnsiTheme="minorHAnsi" w:cstheme="minorHAnsi"/>
                <w:lang w:val="en-AU"/>
              </w:rPr>
            </w:pPr>
          </w:p>
        </w:tc>
        <w:tc>
          <w:tcPr>
            <w:tcW w:w="1181" w:type="dxa"/>
          </w:tcPr>
          <w:p w14:paraId="5D9E7587" w14:textId="77777777" w:rsidR="000756EB" w:rsidRPr="00B633B6" w:rsidRDefault="000756EB" w:rsidP="00785106">
            <w:pPr>
              <w:pStyle w:val="TableHeading"/>
              <w:jc w:val="right"/>
              <w:rPr>
                <w:rFonts w:asciiTheme="minorHAnsi" w:hAnsiTheme="minorHAnsi" w:cstheme="minorHAnsi"/>
                <w:lang w:val="en-AU"/>
              </w:rPr>
            </w:pPr>
          </w:p>
        </w:tc>
      </w:tr>
      <w:tr w:rsidR="000756EB" w:rsidRPr="00B633B6" w14:paraId="01001A07" w14:textId="77777777" w:rsidTr="00785106">
        <w:trPr>
          <w:cantSplit/>
        </w:trPr>
        <w:tc>
          <w:tcPr>
            <w:tcW w:w="4390" w:type="dxa"/>
          </w:tcPr>
          <w:p w14:paraId="283DAD8B" w14:textId="53888116" w:rsidR="000756EB" w:rsidRPr="00B633B6" w:rsidRDefault="004A4D88" w:rsidP="00B633B6">
            <w:pPr>
              <w:pStyle w:val="TableCopy"/>
              <w:rPr>
                <w:rFonts w:asciiTheme="minorHAnsi" w:hAnsiTheme="minorHAnsi" w:cstheme="minorHAnsi"/>
              </w:rPr>
            </w:pPr>
            <w:r w:rsidRPr="00B633B6">
              <w:rPr>
                <w:rFonts w:asciiTheme="minorHAnsi" w:hAnsiTheme="minorHAnsi" w:cstheme="minorHAnsi"/>
              </w:rPr>
              <w:t>Payables</w:t>
            </w:r>
            <w:r w:rsidR="00A03629" w:rsidRPr="00B633B6">
              <w:rPr>
                <w:rFonts w:asciiTheme="minorHAnsi" w:hAnsiTheme="minorHAnsi" w:cstheme="minorHAnsi"/>
              </w:rPr>
              <w:t xml:space="preserve"> </w:t>
            </w:r>
            <w:r w:rsidRPr="00614829">
              <w:rPr>
                <w:rStyle w:val="FootnotereferencessuperscriptMisc"/>
              </w:rPr>
              <w:t>(</w:t>
            </w:r>
            <w:proofErr w:type="spellStart"/>
            <w:r w:rsidRPr="00614829">
              <w:rPr>
                <w:rStyle w:val="FootnotereferencessuperscriptMisc"/>
              </w:rPr>
              <w:t>i</w:t>
            </w:r>
            <w:proofErr w:type="spellEnd"/>
            <w:r w:rsidRPr="00614829">
              <w:rPr>
                <w:rStyle w:val="FootnotereferencessuperscriptMisc"/>
              </w:rPr>
              <w:t>)</w:t>
            </w:r>
          </w:p>
        </w:tc>
        <w:tc>
          <w:tcPr>
            <w:tcW w:w="1180" w:type="dxa"/>
          </w:tcPr>
          <w:p w14:paraId="61376C96" w14:textId="77777777" w:rsidR="000756EB" w:rsidRPr="00B633B6" w:rsidRDefault="000756EB" w:rsidP="00785106">
            <w:pPr>
              <w:pStyle w:val="TableCopy"/>
              <w:jc w:val="right"/>
              <w:rPr>
                <w:rFonts w:asciiTheme="minorHAnsi" w:hAnsiTheme="minorHAnsi" w:cstheme="minorHAnsi"/>
                <w:lang w:val="en-AU"/>
              </w:rPr>
            </w:pPr>
          </w:p>
        </w:tc>
        <w:tc>
          <w:tcPr>
            <w:tcW w:w="1229" w:type="dxa"/>
          </w:tcPr>
          <w:p w14:paraId="264D8E16" w14:textId="77777777" w:rsidR="000756EB" w:rsidRPr="00B633B6" w:rsidRDefault="000756EB" w:rsidP="00785106">
            <w:pPr>
              <w:pStyle w:val="TableCopy"/>
              <w:jc w:val="right"/>
              <w:rPr>
                <w:rFonts w:asciiTheme="minorHAnsi" w:hAnsiTheme="minorHAnsi" w:cstheme="minorHAnsi"/>
                <w:lang w:val="en-AU"/>
              </w:rPr>
            </w:pPr>
          </w:p>
        </w:tc>
        <w:tc>
          <w:tcPr>
            <w:tcW w:w="1180" w:type="dxa"/>
          </w:tcPr>
          <w:p w14:paraId="0850A26F" w14:textId="77777777" w:rsidR="000756EB" w:rsidRPr="00B633B6" w:rsidRDefault="000756EB" w:rsidP="00785106">
            <w:pPr>
              <w:pStyle w:val="TableCopy"/>
              <w:jc w:val="right"/>
              <w:rPr>
                <w:rFonts w:asciiTheme="minorHAnsi" w:hAnsiTheme="minorHAnsi" w:cstheme="minorHAnsi"/>
                <w:lang w:val="en-AU"/>
              </w:rPr>
            </w:pPr>
          </w:p>
        </w:tc>
        <w:tc>
          <w:tcPr>
            <w:tcW w:w="1180" w:type="dxa"/>
          </w:tcPr>
          <w:p w14:paraId="187437E5" w14:textId="77777777" w:rsidR="000756EB" w:rsidRPr="00B633B6" w:rsidRDefault="000756EB" w:rsidP="00785106">
            <w:pPr>
              <w:pStyle w:val="TableCopy"/>
              <w:jc w:val="right"/>
              <w:rPr>
                <w:rFonts w:asciiTheme="minorHAnsi" w:hAnsiTheme="minorHAnsi" w:cstheme="minorHAnsi"/>
                <w:lang w:val="en-AU"/>
              </w:rPr>
            </w:pPr>
          </w:p>
        </w:tc>
        <w:tc>
          <w:tcPr>
            <w:tcW w:w="1181" w:type="dxa"/>
          </w:tcPr>
          <w:p w14:paraId="3D910F2E" w14:textId="77777777" w:rsidR="000756EB" w:rsidRPr="00B633B6" w:rsidRDefault="000756EB" w:rsidP="00785106">
            <w:pPr>
              <w:pStyle w:val="TableCopy"/>
              <w:jc w:val="right"/>
              <w:rPr>
                <w:rFonts w:asciiTheme="minorHAnsi" w:hAnsiTheme="minorHAnsi" w:cstheme="minorHAnsi"/>
                <w:lang w:val="en-AU"/>
              </w:rPr>
            </w:pPr>
          </w:p>
        </w:tc>
      </w:tr>
      <w:tr w:rsidR="000756EB" w:rsidRPr="00B633B6" w14:paraId="4BE70D50" w14:textId="77777777" w:rsidTr="00785106">
        <w:trPr>
          <w:cantSplit/>
        </w:trPr>
        <w:tc>
          <w:tcPr>
            <w:tcW w:w="4390" w:type="dxa"/>
          </w:tcPr>
          <w:p w14:paraId="7BF32880" w14:textId="7F5BD32E" w:rsidR="000756EB" w:rsidRPr="00B633B6" w:rsidRDefault="004A4D88" w:rsidP="00B633B6">
            <w:pPr>
              <w:pStyle w:val="TableCopy"/>
              <w:rPr>
                <w:rFonts w:asciiTheme="minorHAnsi" w:hAnsiTheme="minorHAnsi" w:cstheme="minorHAnsi"/>
              </w:rPr>
            </w:pPr>
            <w:r w:rsidRPr="00B633B6">
              <w:rPr>
                <w:rFonts w:asciiTheme="minorHAnsi" w:hAnsiTheme="minorHAnsi" w:cstheme="minorHAnsi"/>
              </w:rPr>
              <w:t>–</w:t>
            </w:r>
            <w:r w:rsidR="00A03629" w:rsidRPr="00B633B6">
              <w:rPr>
                <w:rFonts w:asciiTheme="minorHAnsi" w:hAnsiTheme="minorHAnsi" w:cstheme="minorHAnsi"/>
              </w:rPr>
              <w:t xml:space="preserve"> </w:t>
            </w:r>
            <w:r w:rsidRPr="00B633B6">
              <w:rPr>
                <w:rFonts w:asciiTheme="minorHAnsi" w:hAnsiTheme="minorHAnsi" w:cstheme="minorHAnsi"/>
              </w:rPr>
              <w:t>Supplies</w:t>
            </w:r>
            <w:r w:rsidR="00A03629" w:rsidRPr="00B633B6">
              <w:rPr>
                <w:rFonts w:asciiTheme="minorHAnsi" w:hAnsiTheme="minorHAnsi" w:cstheme="minorHAnsi"/>
              </w:rPr>
              <w:t xml:space="preserve"> </w:t>
            </w:r>
            <w:r w:rsidRPr="00B633B6">
              <w:rPr>
                <w:rFonts w:asciiTheme="minorHAnsi" w:hAnsiTheme="minorHAnsi" w:cstheme="minorHAnsi"/>
              </w:rPr>
              <w:t>and</w:t>
            </w:r>
            <w:r w:rsidR="00A03629" w:rsidRPr="00B633B6">
              <w:rPr>
                <w:rFonts w:asciiTheme="minorHAnsi" w:hAnsiTheme="minorHAnsi" w:cstheme="minorHAnsi"/>
              </w:rPr>
              <w:t xml:space="preserve"> </w:t>
            </w:r>
            <w:r w:rsidRPr="00B633B6">
              <w:rPr>
                <w:rFonts w:asciiTheme="minorHAnsi" w:hAnsiTheme="minorHAnsi" w:cstheme="minorHAnsi"/>
              </w:rPr>
              <w:t>services</w:t>
            </w:r>
          </w:p>
        </w:tc>
        <w:tc>
          <w:tcPr>
            <w:tcW w:w="1180" w:type="dxa"/>
          </w:tcPr>
          <w:p w14:paraId="3A65ABEA" w14:textId="10952190" w:rsidR="000756EB" w:rsidRPr="00B633B6" w:rsidRDefault="004A4D88" w:rsidP="00785106">
            <w:pPr>
              <w:pStyle w:val="TableCopy"/>
              <w:jc w:val="right"/>
              <w:rPr>
                <w:rFonts w:asciiTheme="minorHAnsi" w:hAnsiTheme="minorHAnsi" w:cstheme="minorHAnsi"/>
              </w:rPr>
            </w:pPr>
            <w:r w:rsidRPr="00B633B6">
              <w:rPr>
                <w:rFonts w:asciiTheme="minorHAnsi" w:hAnsiTheme="minorHAnsi" w:cstheme="minorHAnsi"/>
              </w:rPr>
              <w:t>–</w:t>
            </w:r>
          </w:p>
        </w:tc>
        <w:tc>
          <w:tcPr>
            <w:tcW w:w="1229" w:type="dxa"/>
          </w:tcPr>
          <w:p w14:paraId="6981074C" w14:textId="4E45E0E5" w:rsidR="000756EB" w:rsidRPr="00B633B6" w:rsidRDefault="004A4D88" w:rsidP="00785106">
            <w:pPr>
              <w:pStyle w:val="TableCopy"/>
              <w:jc w:val="right"/>
              <w:rPr>
                <w:rFonts w:asciiTheme="minorHAnsi" w:hAnsiTheme="minorHAnsi" w:cstheme="minorHAnsi"/>
              </w:rPr>
            </w:pPr>
            <w:r w:rsidRPr="00B633B6">
              <w:rPr>
                <w:rFonts w:asciiTheme="minorHAnsi" w:hAnsiTheme="minorHAnsi" w:cstheme="minorHAnsi"/>
              </w:rPr>
              <w:t>–</w:t>
            </w:r>
          </w:p>
        </w:tc>
        <w:tc>
          <w:tcPr>
            <w:tcW w:w="1180" w:type="dxa"/>
          </w:tcPr>
          <w:p w14:paraId="1601DFE7" w14:textId="26A185A6" w:rsidR="000756EB" w:rsidRPr="00B633B6" w:rsidRDefault="004A4D88" w:rsidP="00785106">
            <w:pPr>
              <w:pStyle w:val="TableCopy"/>
              <w:jc w:val="right"/>
              <w:rPr>
                <w:rFonts w:asciiTheme="minorHAnsi" w:hAnsiTheme="minorHAnsi" w:cstheme="minorHAnsi"/>
              </w:rPr>
            </w:pPr>
            <w:r w:rsidRPr="00B633B6">
              <w:rPr>
                <w:rFonts w:asciiTheme="minorHAnsi" w:hAnsiTheme="minorHAnsi" w:cstheme="minorHAnsi"/>
              </w:rPr>
              <w:t>–</w:t>
            </w:r>
          </w:p>
        </w:tc>
        <w:tc>
          <w:tcPr>
            <w:tcW w:w="1180" w:type="dxa"/>
          </w:tcPr>
          <w:p w14:paraId="60F76CF8" w14:textId="1D90FFE8" w:rsidR="000756EB" w:rsidRPr="00B633B6" w:rsidRDefault="004A4D88" w:rsidP="00785106">
            <w:pPr>
              <w:pStyle w:val="TableCopy"/>
              <w:jc w:val="right"/>
              <w:rPr>
                <w:rFonts w:asciiTheme="minorHAnsi" w:hAnsiTheme="minorHAnsi" w:cstheme="minorHAnsi"/>
              </w:rPr>
            </w:pPr>
            <w:r w:rsidRPr="00B633B6">
              <w:rPr>
                <w:rFonts w:asciiTheme="minorHAnsi" w:hAnsiTheme="minorHAnsi" w:cstheme="minorHAnsi"/>
              </w:rPr>
              <w:t>52,719</w:t>
            </w:r>
          </w:p>
        </w:tc>
        <w:tc>
          <w:tcPr>
            <w:tcW w:w="1181" w:type="dxa"/>
          </w:tcPr>
          <w:p w14:paraId="0F1C4DF3" w14:textId="5EB62F83" w:rsidR="000756EB" w:rsidRPr="00B633B6" w:rsidRDefault="004A4D88" w:rsidP="00785106">
            <w:pPr>
              <w:pStyle w:val="TableCopy"/>
              <w:jc w:val="right"/>
              <w:rPr>
                <w:rFonts w:asciiTheme="minorHAnsi" w:hAnsiTheme="minorHAnsi" w:cstheme="minorHAnsi"/>
              </w:rPr>
            </w:pPr>
            <w:r w:rsidRPr="00B633B6">
              <w:rPr>
                <w:rFonts w:asciiTheme="minorHAnsi" w:hAnsiTheme="minorHAnsi" w:cstheme="minorHAnsi"/>
              </w:rPr>
              <w:t>52,719</w:t>
            </w:r>
          </w:p>
        </w:tc>
      </w:tr>
      <w:tr w:rsidR="000756EB" w:rsidRPr="00B633B6" w14:paraId="72FCE079" w14:textId="77777777" w:rsidTr="00785106">
        <w:trPr>
          <w:cantSplit/>
        </w:trPr>
        <w:tc>
          <w:tcPr>
            <w:tcW w:w="4390" w:type="dxa"/>
          </w:tcPr>
          <w:p w14:paraId="79F68C14" w14:textId="4F8B3A97" w:rsidR="000756EB" w:rsidRPr="00B633B6" w:rsidRDefault="004A4D88" w:rsidP="00B633B6">
            <w:pPr>
              <w:pStyle w:val="TableCopy"/>
              <w:rPr>
                <w:rFonts w:asciiTheme="minorHAnsi" w:hAnsiTheme="minorHAnsi" w:cstheme="minorHAnsi"/>
              </w:rPr>
            </w:pPr>
            <w:r w:rsidRPr="00B633B6">
              <w:rPr>
                <w:rFonts w:asciiTheme="minorHAnsi" w:hAnsiTheme="minorHAnsi" w:cstheme="minorHAnsi"/>
              </w:rPr>
              <w:t>–</w:t>
            </w:r>
            <w:r w:rsidR="00A03629" w:rsidRPr="00B633B6">
              <w:rPr>
                <w:rFonts w:asciiTheme="minorHAnsi" w:hAnsiTheme="minorHAnsi" w:cstheme="minorHAnsi"/>
              </w:rPr>
              <w:t xml:space="preserve"> </w:t>
            </w:r>
            <w:r w:rsidRPr="00B633B6">
              <w:rPr>
                <w:rFonts w:asciiTheme="minorHAnsi" w:hAnsiTheme="minorHAnsi" w:cstheme="minorHAnsi"/>
              </w:rPr>
              <w:t>Amounts</w:t>
            </w:r>
            <w:r w:rsidR="00A03629" w:rsidRPr="00B633B6">
              <w:rPr>
                <w:rFonts w:asciiTheme="minorHAnsi" w:hAnsiTheme="minorHAnsi" w:cstheme="minorHAnsi"/>
              </w:rPr>
              <w:t xml:space="preserve"> </w:t>
            </w:r>
            <w:r w:rsidRPr="00B633B6">
              <w:rPr>
                <w:rFonts w:asciiTheme="minorHAnsi" w:hAnsiTheme="minorHAnsi" w:cstheme="minorHAnsi"/>
              </w:rPr>
              <w:t>payable</w:t>
            </w:r>
            <w:r w:rsidR="00A03629" w:rsidRPr="00B633B6">
              <w:rPr>
                <w:rFonts w:asciiTheme="minorHAnsi" w:hAnsiTheme="minorHAnsi" w:cstheme="minorHAnsi"/>
              </w:rPr>
              <w:t xml:space="preserve"> </w:t>
            </w:r>
            <w:r w:rsidRPr="00B633B6">
              <w:rPr>
                <w:rFonts w:asciiTheme="minorHAnsi" w:hAnsiTheme="minorHAnsi" w:cstheme="minorHAnsi"/>
              </w:rPr>
              <w:t>to</w:t>
            </w:r>
            <w:r w:rsidR="00A03629" w:rsidRPr="00B633B6">
              <w:rPr>
                <w:rFonts w:asciiTheme="minorHAnsi" w:hAnsiTheme="minorHAnsi" w:cstheme="minorHAnsi"/>
              </w:rPr>
              <w:t xml:space="preserve"> </w:t>
            </w:r>
            <w:r w:rsidRPr="00B633B6">
              <w:rPr>
                <w:rFonts w:asciiTheme="minorHAnsi" w:hAnsiTheme="minorHAnsi" w:cstheme="minorHAnsi"/>
              </w:rPr>
              <w:t>government</w:t>
            </w:r>
            <w:r w:rsidR="00A03629" w:rsidRPr="00B633B6">
              <w:rPr>
                <w:rFonts w:asciiTheme="minorHAnsi" w:hAnsiTheme="minorHAnsi" w:cstheme="minorHAnsi"/>
              </w:rPr>
              <w:t xml:space="preserve"> </w:t>
            </w:r>
            <w:r w:rsidRPr="00B633B6">
              <w:rPr>
                <w:rFonts w:asciiTheme="minorHAnsi" w:hAnsiTheme="minorHAnsi" w:cstheme="minorHAnsi"/>
              </w:rPr>
              <w:t>and</w:t>
            </w:r>
            <w:r w:rsidR="00A03629" w:rsidRPr="00B633B6">
              <w:rPr>
                <w:rFonts w:asciiTheme="minorHAnsi" w:hAnsiTheme="minorHAnsi" w:cstheme="minorHAnsi"/>
              </w:rPr>
              <w:t xml:space="preserve"> </w:t>
            </w:r>
            <w:r w:rsidRPr="00B633B6">
              <w:rPr>
                <w:rFonts w:asciiTheme="minorHAnsi" w:hAnsiTheme="minorHAnsi" w:cstheme="minorHAnsi"/>
              </w:rPr>
              <w:t>agencies</w:t>
            </w:r>
          </w:p>
        </w:tc>
        <w:tc>
          <w:tcPr>
            <w:tcW w:w="1180" w:type="dxa"/>
          </w:tcPr>
          <w:p w14:paraId="0268C931" w14:textId="377F5CE9" w:rsidR="000756EB" w:rsidRPr="00B633B6" w:rsidRDefault="004A4D88" w:rsidP="00785106">
            <w:pPr>
              <w:pStyle w:val="TableCopy"/>
              <w:jc w:val="right"/>
              <w:rPr>
                <w:rFonts w:asciiTheme="minorHAnsi" w:hAnsiTheme="minorHAnsi" w:cstheme="minorHAnsi"/>
              </w:rPr>
            </w:pPr>
            <w:r w:rsidRPr="00B633B6">
              <w:rPr>
                <w:rFonts w:asciiTheme="minorHAnsi" w:hAnsiTheme="minorHAnsi" w:cstheme="minorHAnsi"/>
              </w:rPr>
              <w:t>–</w:t>
            </w:r>
          </w:p>
        </w:tc>
        <w:tc>
          <w:tcPr>
            <w:tcW w:w="1229" w:type="dxa"/>
          </w:tcPr>
          <w:p w14:paraId="08FAFBE6" w14:textId="4D0D3E4B" w:rsidR="000756EB" w:rsidRPr="00B633B6" w:rsidRDefault="004A4D88" w:rsidP="00785106">
            <w:pPr>
              <w:pStyle w:val="TableCopy"/>
              <w:jc w:val="right"/>
              <w:rPr>
                <w:rFonts w:asciiTheme="minorHAnsi" w:hAnsiTheme="minorHAnsi" w:cstheme="minorHAnsi"/>
              </w:rPr>
            </w:pPr>
            <w:r w:rsidRPr="00B633B6">
              <w:rPr>
                <w:rFonts w:asciiTheme="minorHAnsi" w:hAnsiTheme="minorHAnsi" w:cstheme="minorHAnsi"/>
              </w:rPr>
              <w:t>–</w:t>
            </w:r>
          </w:p>
        </w:tc>
        <w:tc>
          <w:tcPr>
            <w:tcW w:w="1180" w:type="dxa"/>
          </w:tcPr>
          <w:p w14:paraId="1F9E68A5" w14:textId="0D972FFB" w:rsidR="000756EB" w:rsidRPr="00B633B6" w:rsidRDefault="004A4D88" w:rsidP="00785106">
            <w:pPr>
              <w:pStyle w:val="TableCopy"/>
              <w:jc w:val="right"/>
              <w:rPr>
                <w:rFonts w:asciiTheme="minorHAnsi" w:hAnsiTheme="minorHAnsi" w:cstheme="minorHAnsi"/>
              </w:rPr>
            </w:pPr>
            <w:r w:rsidRPr="00B633B6">
              <w:rPr>
                <w:rFonts w:asciiTheme="minorHAnsi" w:hAnsiTheme="minorHAnsi" w:cstheme="minorHAnsi"/>
              </w:rPr>
              <w:t>–</w:t>
            </w:r>
          </w:p>
        </w:tc>
        <w:tc>
          <w:tcPr>
            <w:tcW w:w="1180" w:type="dxa"/>
          </w:tcPr>
          <w:p w14:paraId="1B21545B" w14:textId="7C185904" w:rsidR="000756EB" w:rsidRPr="00B633B6" w:rsidRDefault="004A4D88" w:rsidP="00785106">
            <w:pPr>
              <w:pStyle w:val="TableCopy"/>
              <w:jc w:val="right"/>
              <w:rPr>
                <w:rFonts w:asciiTheme="minorHAnsi" w:hAnsiTheme="minorHAnsi" w:cstheme="minorHAnsi"/>
              </w:rPr>
            </w:pPr>
            <w:r w:rsidRPr="00B633B6">
              <w:rPr>
                <w:rFonts w:asciiTheme="minorHAnsi" w:hAnsiTheme="minorHAnsi" w:cstheme="minorHAnsi"/>
              </w:rPr>
              <w:t>64,242</w:t>
            </w:r>
          </w:p>
        </w:tc>
        <w:tc>
          <w:tcPr>
            <w:tcW w:w="1181" w:type="dxa"/>
          </w:tcPr>
          <w:p w14:paraId="68ADEA28" w14:textId="4D1BEE6E" w:rsidR="000756EB" w:rsidRPr="00B633B6" w:rsidRDefault="004A4D88" w:rsidP="00785106">
            <w:pPr>
              <w:pStyle w:val="TableCopy"/>
              <w:jc w:val="right"/>
              <w:rPr>
                <w:rFonts w:asciiTheme="minorHAnsi" w:hAnsiTheme="minorHAnsi" w:cstheme="minorHAnsi"/>
              </w:rPr>
            </w:pPr>
            <w:r w:rsidRPr="00B633B6">
              <w:rPr>
                <w:rFonts w:asciiTheme="minorHAnsi" w:hAnsiTheme="minorHAnsi" w:cstheme="minorHAnsi"/>
              </w:rPr>
              <w:t>64,242</w:t>
            </w:r>
          </w:p>
        </w:tc>
      </w:tr>
      <w:tr w:rsidR="000756EB" w:rsidRPr="00B633B6" w14:paraId="2A65DB53" w14:textId="77777777" w:rsidTr="00785106">
        <w:trPr>
          <w:cantSplit/>
        </w:trPr>
        <w:tc>
          <w:tcPr>
            <w:tcW w:w="4390" w:type="dxa"/>
          </w:tcPr>
          <w:p w14:paraId="6A3C85AE" w14:textId="02CD95B4" w:rsidR="000756EB" w:rsidRPr="00B633B6" w:rsidRDefault="004A4D88" w:rsidP="00B633B6">
            <w:pPr>
              <w:pStyle w:val="TableCopy"/>
              <w:rPr>
                <w:rFonts w:asciiTheme="minorHAnsi" w:hAnsiTheme="minorHAnsi" w:cstheme="minorHAnsi"/>
              </w:rPr>
            </w:pPr>
            <w:r w:rsidRPr="00B633B6">
              <w:rPr>
                <w:rFonts w:asciiTheme="minorHAnsi" w:hAnsiTheme="minorHAnsi" w:cstheme="minorHAnsi"/>
              </w:rPr>
              <w:t>–</w:t>
            </w:r>
            <w:r w:rsidR="00A03629" w:rsidRPr="00B633B6">
              <w:rPr>
                <w:rFonts w:asciiTheme="minorHAnsi" w:hAnsiTheme="minorHAnsi" w:cstheme="minorHAnsi"/>
              </w:rPr>
              <w:t xml:space="preserve"> </w:t>
            </w:r>
            <w:r w:rsidRPr="00B633B6">
              <w:rPr>
                <w:rFonts w:asciiTheme="minorHAnsi" w:hAnsiTheme="minorHAnsi" w:cstheme="minorHAnsi"/>
              </w:rPr>
              <w:t>Financial</w:t>
            </w:r>
            <w:r w:rsidR="00A03629" w:rsidRPr="00B633B6">
              <w:rPr>
                <w:rFonts w:asciiTheme="minorHAnsi" w:hAnsiTheme="minorHAnsi" w:cstheme="minorHAnsi"/>
              </w:rPr>
              <w:t xml:space="preserve"> </w:t>
            </w:r>
            <w:r w:rsidRPr="00B633B6">
              <w:rPr>
                <w:rFonts w:asciiTheme="minorHAnsi" w:hAnsiTheme="minorHAnsi" w:cstheme="minorHAnsi"/>
              </w:rPr>
              <w:t>guarantees</w:t>
            </w:r>
          </w:p>
        </w:tc>
        <w:tc>
          <w:tcPr>
            <w:tcW w:w="1180" w:type="dxa"/>
          </w:tcPr>
          <w:p w14:paraId="2EE14AA4" w14:textId="0C79B91D" w:rsidR="000756EB" w:rsidRPr="00B633B6" w:rsidRDefault="004A4D88" w:rsidP="00785106">
            <w:pPr>
              <w:pStyle w:val="TableCopy"/>
              <w:jc w:val="right"/>
              <w:rPr>
                <w:rFonts w:asciiTheme="minorHAnsi" w:hAnsiTheme="minorHAnsi" w:cstheme="minorHAnsi"/>
              </w:rPr>
            </w:pPr>
            <w:r w:rsidRPr="00B633B6">
              <w:rPr>
                <w:rFonts w:asciiTheme="minorHAnsi" w:hAnsiTheme="minorHAnsi" w:cstheme="minorHAnsi"/>
              </w:rPr>
              <w:t>–</w:t>
            </w:r>
          </w:p>
        </w:tc>
        <w:tc>
          <w:tcPr>
            <w:tcW w:w="1229" w:type="dxa"/>
          </w:tcPr>
          <w:p w14:paraId="13F934AC" w14:textId="264537C0" w:rsidR="000756EB" w:rsidRPr="00B633B6" w:rsidRDefault="004A4D88" w:rsidP="00785106">
            <w:pPr>
              <w:pStyle w:val="TableCopy"/>
              <w:jc w:val="right"/>
              <w:rPr>
                <w:rFonts w:asciiTheme="minorHAnsi" w:hAnsiTheme="minorHAnsi" w:cstheme="minorHAnsi"/>
              </w:rPr>
            </w:pPr>
            <w:r w:rsidRPr="00B633B6">
              <w:rPr>
                <w:rFonts w:asciiTheme="minorHAnsi" w:hAnsiTheme="minorHAnsi" w:cstheme="minorHAnsi"/>
              </w:rPr>
              <w:t>–</w:t>
            </w:r>
          </w:p>
        </w:tc>
        <w:tc>
          <w:tcPr>
            <w:tcW w:w="1180" w:type="dxa"/>
          </w:tcPr>
          <w:p w14:paraId="5A665BB6" w14:textId="517F9630" w:rsidR="000756EB" w:rsidRPr="00B633B6" w:rsidRDefault="004A4D88" w:rsidP="00785106">
            <w:pPr>
              <w:pStyle w:val="TableCopy"/>
              <w:jc w:val="right"/>
              <w:rPr>
                <w:rFonts w:asciiTheme="minorHAnsi" w:hAnsiTheme="minorHAnsi" w:cstheme="minorHAnsi"/>
              </w:rPr>
            </w:pPr>
            <w:r w:rsidRPr="00B633B6">
              <w:rPr>
                <w:rFonts w:asciiTheme="minorHAnsi" w:hAnsiTheme="minorHAnsi" w:cstheme="minorHAnsi"/>
              </w:rPr>
              <w:t>–</w:t>
            </w:r>
          </w:p>
        </w:tc>
        <w:tc>
          <w:tcPr>
            <w:tcW w:w="1180" w:type="dxa"/>
          </w:tcPr>
          <w:p w14:paraId="23D93BEC" w14:textId="054AEAB1" w:rsidR="000756EB" w:rsidRPr="00B633B6" w:rsidRDefault="004A4D88" w:rsidP="00785106">
            <w:pPr>
              <w:pStyle w:val="TableCopy"/>
              <w:jc w:val="right"/>
              <w:rPr>
                <w:rFonts w:asciiTheme="minorHAnsi" w:hAnsiTheme="minorHAnsi" w:cstheme="minorHAnsi"/>
              </w:rPr>
            </w:pPr>
            <w:r w:rsidRPr="00B633B6">
              <w:rPr>
                <w:rFonts w:asciiTheme="minorHAnsi" w:hAnsiTheme="minorHAnsi" w:cstheme="minorHAnsi"/>
              </w:rPr>
              <w:t>–</w:t>
            </w:r>
          </w:p>
        </w:tc>
        <w:tc>
          <w:tcPr>
            <w:tcW w:w="1181" w:type="dxa"/>
          </w:tcPr>
          <w:p w14:paraId="5FDC884D" w14:textId="56C79AB9" w:rsidR="000756EB" w:rsidRPr="00B633B6" w:rsidRDefault="004A4D88" w:rsidP="00785106">
            <w:pPr>
              <w:pStyle w:val="TableCopy"/>
              <w:jc w:val="right"/>
              <w:rPr>
                <w:rFonts w:asciiTheme="minorHAnsi" w:hAnsiTheme="minorHAnsi" w:cstheme="minorHAnsi"/>
              </w:rPr>
            </w:pPr>
            <w:r w:rsidRPr="00B633B6">
              <w:rPr>
                <w:rFonts w:asciiTheme="minorHAnsi" w:hAnsiTheme="minorHAnsi" w:cstheme="minorHAnsi"/>
              </w:rPr>
              <w:t>–</w:t>
            </w:r>
          </w:p>
        </w:tc>
      </w:tr>
      <w:tr w:rsidR="000756EB" w:rsidRPr="00B633B6" w14:paraId="27DEC86C" w14:textId="77777777" w:rsidTr="00785106">
        <w:trPr>
          <w:cantSplit/>
        </w:trPr>
        <w:tc>
          <w:tcPr>
            <w:tcW w:w="4390" w:type="dxa"/>
          </w:tcPr>
          <w:p w14:paraId="209BC177" w14:textId="036C248B" w:rsidR="000756EB" w:rsidRPr="00B633B6" w:rsidRDefault="004A4D88" w:rsidP="00B633B6">
            <w:pPr>
              <w:pStyle w:val="TableCopy"/>
              <w:rPr>
                <w:rFonts w:asciiTheme="minorHAnsi" w:hAnsiTheme="minorHAnsi" w:cstheme="minorHAnsi"/>
              </w:rPr>
            </w:pPr>
            <w:r w:rsidRPr="00B633B6">
              <w:rPr>
                <w:rFonts w:asciiTheme="minorHAnsi" w:hAnsiTheme="minorHAnsi" w:cstheme="minorHAnsi"/>
              </w:rPr>
              <w:lastRenderedPageBreak/>
              <w:t>–</w:t>
            </w:r>
            <w:r w:rsidR="00A03629" w:rsidRPr="00B633B6">
              <w:rPr>
                <w:rFonts w:asciiTheme="minorHAnsi" w:hAnsiTheme="minorHAnsi" w:cstheme="minorHAnsi"/>
              </w:rPr>
              <w:t xml:space="preserve"> </w:t>
            </w:r>
            <w:r w:rsidRPr="00B633B6">
              <w:rPr>
                <w:rFonts w:asciiTheme="minorHAnsi" w:hAnsiTheme="minorHAnsi" w:cstheme="minorHAnsi"/>
              </w:rPr>
              <w:t>Accrued</w:t>
            </w:r>
            <w:r w:rsidR="00A03629" w:rsidRPr="00B633B6">
              <w:rPr>
                <w:rFonts w:asciiTheme="minorHAnsi" w:hAnsiTheme="minorHAnsi" w:cstheme="minorHAnsi"/>
              </w:rPr>
              <w:t xml:space="preserve"> </w:t>
            </w:r>
            <w:r w:rsidRPr="00B633B6">
              <w:rPr>
                <w:rFonts w:asciiTheme="minorHAnsi" w:hAnsiTheme="minorHAnsi" w:cstheme="minorHAnsi"/>
              </w:rPr>
              <w:t>grants</w:t>
            </w:r>
          </w:p>
        </w:tc>
        <w:tc>
          <w:tcPr>
            <w:tcW w:w="1180" w:type="dxa"/>
          </w:tcPr>
          <w:p w14:paraId="1259C28F" w14:textId="66861252" w:rsidR="000756EB" w:rsidRPr="00B633B6" w:rsidRDefault="004A4D88" w:rsidP="00785106">
            <w:pPr>
              <w:pStyle w:val="TableCopy"/>
              <w:jc w:val="right"/>
              <w:rPr>
                <w:rFonts w:asciiTheme="minorHAnsi" w:hAnsiTheme="minorHAnsi" w:cstheme="minorHAnsi"/>
              </w:rPr>
            </w:pPr>
            <w:r w:rsidRPr="00B633B6">
              <w:rPr>
                <w:rFonts w:asciiTheme="minorHAnsi" w:hAnsiTheme="minorHAnsi" w:cstheme="minorHAnsi"/>
              </w:rPr>
              <w:t>–</w:t>
            </w:r>
          </w:p>
        </w:tc>
        <w:tc>
          <w:tcPr>
            <w:tcW w:w="1229" w:type="dxa"/>
          </w:tcPr>
          <w:p w14:paraId="188990A3" w14:textId="17D5C1DA" w:rsidR="000756EB" w:rsidRPr="00B633B6" w:rsidRDefault="004A4D88" w:rsidP="00785106">
            <w:pPr>
              <w:pStyle w:val="TableCopy"/>
              <w:jc w:val="right"/>
              <w:rPr>
                <w:rFonts w:asciiTheme="minorHAnsi" w:hAnsiTheme="minorHAnsi" w:cstheme="minorHAnsi"/>
              </w:rPr>
            </w:pPr>
            <w:r w:rsidRPr="00B633B6">
              <w:rPr>
                <w:rFonts w:asciiTheme="minorHAnsi" w:hAnsiTheme="minorHAnsi" w:cstheme="minorHAnsi"/>
              </w:rPr>
              <w:t>–</w:t>
            </w:r>
          </w:p>
        </w:tc>
        <w:tc>
          <w:tcPr>
            <w:tcW w:w="1180" w:type="dxa"/>
          </w:tcPr>
          <w:p w14:paraId="707E88E4" w14:textId="3D5CF658" w:rsidR="000756EB" w:rsidRPr="00B633B6" w:rsidRDefault="004A4D88" w:rsidP="00785106">
            <w:pPr>
              <w:pStyle w:val="TableCopy"/>
              <w:jc w:val="right"/>
              <w:rPr>
                <w:rFonts w:asciiTheme="minorHAnsi" w:hAnsiTheme="minorHAnsi" w:cstheme="minorHAnsi"/>
              </w:rPr>
            </w:pPr>
            <w:r w:rsidRPr="00B633B6">
              <w:rPr>
                <w:rFonts w:asciiTheme="minorHAnsi" w:hAnsiTheme="minorHAnsi" w:cstheme="minorHAnsi"/>
              </w:rPr>
              <w:t>–</w:t>
            </w:r>
          </w:p>
        </w:tc>
        <w:tc>
          <w:tcPr>
            <w:tcW w:w="1180" w:type="dxa"/>
          </w:tcPr>
          <w:p w14:paraId="41567E33" w14:textId="326368B5" w:rsidR="000756EB" w:rsidRPr="00B633B6" w:rsidRDefault="004A4D88" w:rsidP="00785106">
            <w:pPr>
              <w:pStyle w:val="TableCopy"/>
              <w:jc w:val="right"/>
              <w:rPr>
                <w:rFonts w:asciiTheme="minorHAnsi" w:hAnsiTheme="minorHAnsi" w:cstheme="minorHAnsi"/>
              </w:rPr>
            </w:pPr>
            <w:r w:rsidRPr="00B633B6">
              <w:rPr>
                <w:rFonts w:asciiTheme="minorHAnsi" w:hAnsiTheme="minorHAnsi" w:cstheme="minorHAnsi"/>
              </w:rPr>
              <w:t>285,138</w:t>
            </w:r>
          </w:p>
        </w:tc>
        <w:tc>
          <w:tcPr>
            <w:tcW w:w="1181" w:type="dxa"/>
          </w:tcPr>
          <w:p w14:paraId="2E344F9B" w14:textId="2AB4C052" w:rsidR="000756EB" w:rsidRPr="00B633B6" w:rsidRDefault="004A4D88" w:rsidP="00785106">
            <w:pPr>
              <w:pStyle w:val="TableCopy"/>
              <w:jc w:val="right"/>
              <w:rPr>
                <w:rFonts w:asciiTheme="minorHAnsi" w:hAnsiTheme="minorHAnsi" w:cstheme="minorHAnsi"/>
              </w:rPr>
            </w:pPr>
            <w:r w:rsidRPr="00B633B6">
              <w:rPr>
                <w:rFonts w:asciiTheme="minorHAnsi" w:hAnsiTheme="minorHAnsi" w:cstheme="minorHAnsi"/>
              </w:rPr>
              <w:t>285,138</w:t>
            </w:r>
          </w:p>
        </w:tc>
      </w:tr>
      <w:tr w:rsidR="000756EB" w14:paraId="03B5B938" w14:textId="77777777" w:rsidTr="00785106">
        <w:trPr>
          <w:cantSplit/>
        </w:trPr>
        <w:tc>
          <w:tcPr>
            <w:tcW w:w="4390" w:type="dxa"/>
          </w:tcPr>
          <w:p w14:paraId="28BBAC48" w14:textId="21B923A9" w:rsidR="000756EB" w:rsidRDefault="004A4D88" w:rsidP="00B633B6">
            <w:pPr>
              <w:pStyle w:val="TableCopy"/>
            </w:pPr>
            <w:r>
              <w:t>–</w:t>
            </w:r>
            <w:r w:rsidR="00A03629">
              <w:t xml:space="preserve"> </w:t>
            </w:r>
            <w:r>
              <w:t>Other</w:t>
            </w:r>
            <w:r w:rsidR="00A03629">
              <w:t xml:space="preserve"> </w:t>
            </w:r>
            <w:r>
              <w:t>payables</w:t>
            </w:r>
          </w:p>
        </w:tc>
        <w:tc>
          <w:tcPr>
            <w:tcW w:w="1180" w:type="dxa"/>
          </w:tcPr>
          <w:p w14:paraId="42CCFFDA" w14:textId="6668BD13" w:rsidR="000756EB" w:rsidRDefault="004A4D88" w:rsidP="00785106">
            <w:pPr>
              <w:pStyle w:val="TableCopy"/>
              <w:jc w:val="right"/>
            </w:pPr>
            <w:r>
              <w:t>–</w:t>
            </w:r>
          </w:p>
        </w:tc>
        <w:tc>
          <w:tcPr>
            <w:tcW w:w="1229" w:type="dxa"/>
          </w:tcPr>
          <w:p w14:paraId="4D8022CA" w14:textId="061C3686" w:rsidR="000756EB" w:rsidRDefault="004A4D88" w:rsidP="00785106">
            <w:pPr>
              <w:pStyle w:val="TableCopy"/>
              <w:jc w:val="right"/>
            </w:pPr>
            <w:r>
              <w:t>–</w:t>
            </w:r>
          </w:p>
        </w:tc>
        <w:tc>
          <w:tcPr>
            <w:tcW w:w="1180" w:type="dxa"/>
          </w:tcPr>
          <w:p w14:paraId="47C37BFE" w14:textId="3C5CAD77" w:rsidR="000756EB" w:rsidRDefault="004A4D88" w:rsidP="00785106">
            <w:pPr>
              <w:pStyle w:val="TableCopy"/>
              <w:jc w:val="right"/>
            </w:pPr>
            <w:r>
              <w:t>–</w:t>
            </w:r>
          </w:p>
        </w:tc>
        <w:tc>
          <w:tcPr>
            <w:tcW w:w="1180" w:type="dxa"/>
          </w:tcPr>
          <w:p w14:paraId="3178AC98" w14:textId="4A777B2E" w:rsidR="000756EB" w:rsidRDefault="004A4D88" w:rsidP="00785106">
            <w:pPr>
              <w:pStyle w:val="TableCopy"/>
              <w:jc w:val="right"/>
            </w:pPr>
            <w:r>
              <w:t>2,045</w:t>
            </w:r>
          </w:p>
        </w:tc>
        <w:tc>
          <w:tcPr>
            <w:tcW w:w="1181" w:type="dxa"/>
          </w:tcPr>
          <w:p w14:paraId="7D821D94" w14:textId="64BD8274" w:rsidR="000756EB" w:rsidRDefault="004A4D88" w:rsidP="00785106">
            <w:pPr>
              <w:pStyle w:val="TableCopy"/>
              <w:jc w:val="right"/>
            </w:pPr>
            <w:r>
              <w:t>2,045</w:t>
            </w:r>
          </w:p>
        </w:tc>
      </w:tr>
      <w:tr w:rsidR="000756EB" w14:paraId="3639BB99" w14:textId="77777777" w:rsidTr="00785106">
        <w:trPr>
          <w:cantSplit/>
        </w:trPr>
        <w:tc>
          <w:tcPr>
            <w:tcW w:w="4390" w:type="dxa"/>
          </w:tcPr>
          <w:p w14:paraId="6D8F55F5" w14:textId="77777777" w:rsidR="000756EB" w:rsidRDefault="004A4D88" w:rsidP="00B633B6">
            <w:pPr>
              <w:pStyle w:val="TableCopy"/>
            </w:pPr>
            <w:r>
              <w:t>Borrowings</w:t>
            </w:r>
          </w:p>
        </w:tc>
        <w:tc>
          <w:tcPr>
            <w:tcW w:w="1180" w:type="dxa"/>
          </w:tcPr>
          <w:p w14:paraId="2EE1962F" w14:textId="77777777" w:rsidR="000756EB" w:rsidRDefault="000756EB" w:rsidP="00785106">
            <w:pPr>
              <w:pStyle w:val="TableCopy"/>
              <w:jc w:val="right"/>
              <w:rPr>
                <w:rFonts w:cstheme="minorBidi"/>
                <w:lang w:val="en-AU"/>
              </w:rPr>
            </w:pPr>
          </w:p>
        </w:tc>
        <w:tc>
          <w:tcPr>
            <w:tcW w:w="1229" w:type="dxa"/>
          </w:tcPr>
          <w:p w14:paraId="1F4B5E6B" w14:textId="77777777" w:rsidR="000756EB" w:rsidRDefault="000756EB" w:rsidP="00785106">
            <w:pPr>
              <w:pStyle w:val="TableCopy"/>
              <w:jc w:val="right"/>
              <w:rPr>
                <w:rFonts w:cstheme="minorBidi"/>
                <w:lang w:val="en-AU"/>
              </w:rPr>
            </w:pPr>
          </w:p>
        </w:tc>
        <w:tc>
          <w:tcPr>
            <w:tcW w:w="1180" w:type="dxa"/>
          </w:tcPr>
          <w:p w14:paraId="29720471" w14:textId="77777777" w:rsidR="000756EB" w:rsidRDefault="000756EB" w:rsidP="00785106">
            <w:pPr>
              <w:pStyle w:val="TableCopy"/>
              <w:jc w:val="right"/>
              <w:rPr>
                <w:rFonts w:cstheme="minorBidi"/>
                <w:lang w:val="en-AU"/>
              </w:rPr>
            </w:pPr>
          </w:p>
        </w:tc>
        <w:tc>
          <w:tcPr>
            <w:tcW w:w="1180" w:type="dxa"/>
          </w:tcPr>
          <w:p w14:paraId="1621272A" w14:textId="77777777" w:rsidR="000756EB" w:rsidRDefault="000756EB" w:rsidP="00785106">
            <w:pPr>
              <w:pStyle w:val="TableCopy"/>
              <w:jc w:val="right"/>
              <w:rPr>
                <w:rFonts w:cstheme="minorBidi"/>
                <w:lang w:val="en-AU"/>
              </w:rPr>
            </w:pPr>
          </w:p>
        </w:tc>
        <w:tc>
          <w:tcPr>
            <w:tcW w:w="1181" w:type="dxa"/>
          </w:tcPr>
          <w:p w14:paraId="10E82E02" w14:textId="77777777" w:rsidR="000756EB" w:rsidRDefault="000756EB" w:rsidP="00785106">
            <w:pPr>
              <w:pStyle w:val="TableCopy"/>
              <w:jc w:val="right"/>
              <w:rPr>
                <w:rFonts w:cstheme="minorBidi"/>
                <w:lang w:val="en-AU"/>
              </w:rPr>
            </w:pPr>
          </w:p>
        </w:tc>
      </w:tr>
      <w:tr w:rsidR="000756EB" w14:paraId="264ECE23" w14:textId="77777777" w:rsidTr="00785106">
        <w:trPr>
          <w:cantSplit/>
        </w:trPr>
        <w:tc>
          <w:tcPr>
            <w:tcW w:w="4390" w:type="dxa"/>
          </w:tcPr>
          <w:p w14:paraId="5FDEB140" w14:textId="6C1AC918" w:rsidR="000756EB" w:rsidRDefault="004A4D88" w:rsidP="00B633B6">
            <w:pPr>
              <w:pStyle w:val="TableCopy"/>
            </w:pPr>
            <w:r>
              <w:t>–</w:t>
            </w:r>
            <w:r w:rsidR="00A03629">
              <w:t xml:space="preserve"> </w:t>
            </w:r>
            <w:r>
              <w:t>Lease</w:t>
            </w:r>
            <w:r w:rsidR="00A03629">
              <w:t xml:space="preserve"> </w:t>
            </w:r>
            <w:r>
              <w:t>liabilities</w:t>
            </w:r>
          </w:p>
        </w:tc>
        <w:tc>
          <w:tcPr>
            <w:tcW w:w="1180" w:type="dxa"/>
          </w:tcPr>
          <w:p w14:paraId="7D42C7D4" w14:textId="74611113" w:rsidR="000756EB" w:rsidRDefault="004A4D88" w:rsidP="00785106">
            <w:pPr>
              <w:pStyle w:val="TableCopy"/>
              <w:jc w:val="right"/>
            </w:pPr>
            <w:r>
              <w:t>–</w:t>
            </w:r>
          </w:p>
        </w:tc>
        <w:tc>
          <w:tcPr>
            <w:tcW w:w="1229" w:type="dxa"/>
          </w:tcPr>
          <w:p w14:paraId="05F8F938" w14:textId="7F7931D5" w:rsidR="000756EB" w:rsidRDefault="004A4D88" w:rsidP="00785106">
            <w:pPr>
              <w:pStyle w:val="TableCopy"/>
              <w:jc w:val="right"/>
            </w:pPr>
            <w:r>
              <w:t>–</w:t>
            </w:r>
          </w:p>
        </w:tc>
        <w:tc>
          <w:tcPr>
            <w:tcW w:w="1180" w:type="dxa"/>
          </w:tcPr>
          <w:p w14:paraId="3B7D8DB8" w14:textId="437A2026" w:rsidR="000756EB" w:rsidRDefault="004A4D88" w:rsidP="00785106">
            <w:pPr>
              <w:pStyle w:val="TableCopy"/>
              <w:jc w:val="right"/>
            </w:pPr>
            <w:r>
              <w:t>–</w:t>
            </w:r>
          </w:p>
        </w:tc>
        <w:tc>
          <w:tcPr>
            <w:tcW w:w="1180" w:type="dxa"/>
          </w:tcPr>
          <w:p w14:paraId="5AB2A468" w14:textId="3F303276" w:rsidR="000756EB" w:rsidRDefault="004A4D88" w:rsidP="00785106">
            <w:pPr>
              <w:pStyle w:val="TableCopy"/>
              <w:jc w:val="right"/>
            </w:pPr>
            <w:r>
              <w:t>14,342</w:t>
            </w:r>
          </w:p>
        </w:tc>
        <w:tc>
          <w:tcPr>
            <w:tcW w:w="1181" w:type="dxa"/>
          </w:tcPr>
          <w:p w14:paraId="125A1E73" w14:textId="370CBED8" w:rsidR="000756EB" w:rsidRDefault="004A4D88" w:rsidP="00785106">
            <w:pPr>
              <w:pStyle w:val="TableCopy"/>
              <w:jc w:val="right"/>
            </w:pPr>
            <w:r>
              <w:t>14,342</w:t>
            </w:r>
          </w:p>
        </w:tc>
      </w:tr>
      <w:tr w:rsidR="000756EB" w14:paraId="00E58F0C" w14:textId="77777777" w:rsidTr="00785106">
        <w:trPr>
          <w:cantSplit/>
        </w:trPr>
        <w:tc>
          <w:tcPr>
            <w:tcW w:w="4390" w:type="dxa"/>
          </w:tcPr>
          <w:p w14:paraId="3846DC92" w14:textId="1FC3FBCE" w:rsidR="000756EB" w:rsidRDefault="004A4D88" w:rsidP="00B633B6">
            <w:pPr>
              <w:pStyle w:val="TableCopy"/>
            </w:pPr>
            <w:r>
              <w:t>–</w:t>
            </w:r>
            <w:r w:rsidR="00A03629">
              <w:t xml:space="preserve"> </w:t>
            </w:r>
            <w:r>
              <w:t>Advances</w:t>
            </w:r>
            <w:r w:rsidR="00A03629">
              <w:t xml:space="preserve"> </w:t>
            </w:r>
            <w:r>
              <w:t>from</w:t>
            </w:r>
            <w:r w:rsidR="00A03629">
              <w:t xml:space="preserve"> </w:t>
            </w:r>
            <w:r>
              <w:t>government</w:t>
            </w:r>
          </w:p>
        </w:tc>
        <w:tc>
          <w:tcPr>
            <w:tcW w:w="1180" w:type="dxa"/>
          </w:tcPr>
          <w:p w14:paraId="1188AE4D" w14:textId="15568047" w:rsidR="000756EB" w:rsidRDefault="004A4D88" w:rsidP="00785106">
            <w:pPr>
              <w:pStyle w:val="TableCopy"/>
              <w:jc w:val="right"/>
            </w:pPr>
            <w:r>
              <w:t>–</w:t>
            </w:r>
          </w:p>
        </w:tc>
        <w:tc>
          <w:tcPr>
            <w:tcW w:w="1229" w:type="dxa"/>
          </w:tcPr>
          <w:p w14:paraId="43936A9B" w14:textId="0884311E" w:rsidR="000756EB" w:rsidRDefault="004A4D88" w:rsidP="00785106">
            <w:pPr>
              <w:pStyle w:val="TableCopy"/>
              <w:jc w:val="right"/>
            </w:pPr>
            <w:r>
              <w:t>–</w:t>
            </w:r>
          </w:p>
        </w:tc>
        <w:tc>
          <w:tcPr>
            <w:tcW w:w="1180" w:type="dxa"/>
          </w:tcPr>
          <w:p w14:paraId="096DA3B7" w14:textId="57BA7525" w:rsidR="000756EB" w:rsidRDefault="004A4D88" w:rsidP="00785106">
            <w:pPr>
              <w:pStyle w:val="TableCopy"/>
              <w:jc w:val="right"/>
            </w:pPr>
            <w:r>
              <w:t>–</w:t>
            </w:r>
          </w:p>
        </w:tc>
        <w:tc>
          <w:tcPr>
            <w:tcW w:w="1180" w:type="dxa"/>
          </w:tcPr>
          <w:p w14:paraId="4E2E4A11" w14:textId="272CF62B" w:rsidR="000756EB" w:rsidRDefault="004A4D88" w:rsidP="00785106">
            <w:pPr>
              <w:pStyle w:val="TableCopy"/>
              <w:jc w:val="right"/>
            </w:pPr>
            <w:r>
              <w:t>59,689</w:t>
            </w:r>
          </w:p>
        </w:tc>
        <w:tc>
          <w:tcPr>
            <w:tcW w:w="1181" w:type="dxa"/>
          </w:tcPr>
          <w:p w14:paraId="60DC5CEB" w14:textId="02EC8E6A" w:rsidR="000756EB" w:rsidRDefault="004A4D88" w:rsidP="00785106">
            <w:pPr>
              <w:pStyle w:val="TableCopy"/>
              <w:jc w:val="right"/>
            </w:pPr>
            <w:r>
              <w:t>59,689</w:t>
            </w:r>
          </w:p>
        </w:tc>
      </w:tr>
      <w:tr w:rsidR="000756EB" w14:paraId="001FB7C6" w14:textId="77777777" w:rsidTr="00785106">
        <w:trPr>
          <w:cantSplit/>
        </w:trPr>
        <w:tc>
          <w:tcPr>
            <w:tcW w:w="4390" w:type="dxa"/>
          </w:tcPr>
          <w:p w14:paraId="01AD7383" w14:textId="42428911" w:rsidR="000756EB" w:rsidRDefault="004A4D88" w:rsidP="00B633B6">
            <w:pPr>
              <w:pStyle w:val="TableCopy"/>
            </w:pPr>
            <w:r>
              <w:t>–</w:t>
            </w:r>
            <w:r w:rsidR="00A03629">
              <w:t xml:space="preserve"> </w:t>
            </w:r>
            <w:r>
              <w:t>Advances</w:t>
            </w:r>
            <w:r w:rsidR="00A03629">
              <w:t xml:space="preserve"> </w:t>
            </w:r>
            <w:r>
              <w:t>from</w:t>
            </w:r>
            <w:r w:rsidR="00A03629">
              <w:t xml:space="preserve"> </w:t>
            </w:r>
            <w:r>
              <w:t>Commonwealth</w:t>
            </w:r>
          </w:p>
        </w:tc>
        <w:tc>
          <w:tcPr>
            <w:tcW w:w="1180" w:type="dxa"/>
          </w:tcPr>
          <w:p w14:paraId="76352C40" w14:textId="16806600" w:rsidR="000756EB" w:rsidRDefault="004A4D88" w:rsidP="00785106">
            <w:pPr>
              <w:pStyle w:val="TableCopy"/>
              <w:jc w:val="right"/>
            </w:pPr>
            <w:r>
              <w:t>–</w:t>
            </w:r>
          </w:p>
        </w:tc>
        <w:tc>
          <w:tcPr>
            <w:tcW w:w="1229" w:type="dxa"/>
          </w:tcPr>
          <w:p w14:paraId="70EF7969" w14:textId="601BE61F" w:rsidR="000756EB" w:rsidRDefault="004A4D88" w:rsidP="00785106">
            <w:pPr>
              <w:pStyle w:val="TableCopy"/>
              <w:jc w:val="right"/>
            </w:pPr>
            <w:r>
              <w:t>–</w:t>
            </w:r>
          </w:p>
        </w:tc>
        <w:tc>
          <w:tcPr>
            <w:tcW w:w="1180" w:type="dxa"/>
          </w:tcPr>
          <w:p w14:paraId="2E11A0DD" w14:textId="352EAB43" w:rsidR="000756EB" w:rsidRDefault="004A4D88" w:rsidP="00785106">
            <w:pPr>
              <w:pStyle w:val="TableCopy"/>
              <w:jc w:val="right"/>
            </w:pPr>
            <w:r>
              <w:t>–</w:t>
            </w:r>
          </w:p>
        </w:tc>
        <w:tc>
          <w:tcPr>
            <w:tcW w:w="1180" w:type="dxa"/>
          </w:tcPr>
          <w:p w14:paraId="75551187" w14:textId="1F8516E6" w:rsidR="000756EB" w:rsidRDefault="004A4D88" w:rsidP="00785106">
            <w:pPr>
              <w:pStyle w:val="TableCopy"/>
              <w:jc w:val="right"/>
            </w:pPr>
            <w:r>
              <w:t>–</w:t>
            </w:r>
          </w:p>
        </w:tc>
        <w:tc>
          <w:tcPr>
            <w:tcW w:w="1181" w:type="dxa"/>
          </w:tcPr>
          <w:p w14:paraId="5B8E60AD" w14:textId="6903AA69" w:rsidR="000756EB" w:rsidRDefault="004A4D88" w:rsidP="00785106">
            <w:pPr>
              <w:pStyle w:val="TableCopy"/>
              <w:jc w:val="right"/>
            </w:pPr>
            <w:r>
              <w:t>–</w:t>
            </w:r>
          </w:p>
        </w:tc>
      </w:tr>
      <w:tr w:rsidR="000756EB" w:rsidRPr="00B633B6" w14:paraId="7B90B328" w14:textId="77777777" w:rsidTr="00785106">
        <w:trPr>
          <w:cantSplit/>
        </w:trPr>
        <w:tc>
          <w:tcPr>
            <w:tcW w:w="4390" w:type="dxa"/>
          </w:tcPr>
          <w:p w14:paraId="5BD9E21F" w14:textId="53D7B5FD" w:rsidR="000756EB" w:rsidRPr="00B633B6" w:rsidRDefault="004A4D88" w:rsidP="00B633B6">
            <w:pPr>
              <w:pStyle w:val="TableCopy"/>
              <w:rPr>
                <w:b/>
                <w:bCs/>
              </w:rPr>
            </w:pPr>
            <w:r w:rsidRPr="00B633B6">
              <w:rPr>
                <w:b/>
                <w:bCs/>
              </w:rPr>
              <w:t>Total</w:t>
            </w:r>
            <w:r w:rsidR="00A03629" w:rsidRPr="00B633B6">
              <w:rPr>
                <w:b/>
                <w:bCs/>
              </w:rPr>
              <w:t xml:space="preserve"> </w:t>
            </w:r>
            <w:r w:rsidRPr="00B633B6">
              <w:rPr>
                <w:b/>
                <w:bCs/>
              </w:rPr>
              <w:t>contractual</w:t>
            </w:r>
            <w:r w:rsidR="00A03629" w:rsidRPr="00B633B6">
              <w:rPr>
                <w:b/>
                <w:bCs/>
              </w:rPr>
              <w:t xml:space="preserve"> </w:t>
            </w:r>
            <w:r w:rsidRPr="00B633B6">
              <w:rPr>
                <w:b/>
                <w:bCs/>
              </w:rPr>
              <w:t>financial</w:t>
            </w:r>
            <w:r w:rsidR="00A03629" w:rsidRPr="00B633B6">
              <w:rPr>
                <w:b/>
                <w:bCs/>
              </w:rPr>
              <w:t xml:space="preserve"> </w:t>
            </w:r>
            <w:r w:rsidRPr="00B633B6">
              <w:rPr>
                <w:b/>
                <w:bCs/>
              </w:rPr>
              <w:t>liabilities</w:t>
            </w:r>
          </w:p>
        </w:tc>
        <w:tc>
          <w:tcPr>
            <w:tcW w:w="1180" w:type="dxa"/>
          </w:tcPr>
          <w:p w14:paraId="50C4AC22" w14:textId="31A7C9A0" w:rsidR="000756EB" w:rsidRPr="00B633B6" w:rsidRDefault="004A4D88" w:rsidP="00785106">
            <w:pPr>
              <w:pStyle w:val="TableCopy"/>
              <w:jc w:val="right"/>
              <w:rPr>
                <w:b/>
                <w:bCs/>
              </w:rPr>
            </w:pPr>
            <w:r w:rsidRPr="00B633B6">
              <w:rPr>
                <w:b/>
                <w:bCs/>
              </w:rPr>
              <w:t>–</w:t>
            </w:r>
          </w:p>
        </w:tc>
        <w:tc>
          <w:tcPr>
            <w:tcW w:w="1229" w:type="dxa"/>
          </w:tcPr>
          <w:p w14:paraId="240C79A8" w14:textId="3F34CDDD" w:rsidR="000756EB" w:rsidRPr="00B633B6" w:rsidRDefault="004A4D88" w:rsidP="00785106">
            <w:pPr>
              <w:pStyle w:val="TableCopy"/>
              <w:jc w:val="right"/>
              <w:rPr>
                <w:b/>
                <w:bCs/>
              </w:rPr>
            </w:pPr>
            <w:r w:rsidRPr="00B633B6">
              <w:rPr>
                <w:b/>
                <w:bCs/>
              </w:rPr>
              <w:t>–</w:t>
            </w:r>
          </w:p>
        </w:tc>
        <w:tc>
          <w:tcPr>
            <w:tcW w:w="1180" w:type="dxa"/>
          </w:tcPr>
          <w:p w14:paraId="0DA3EBB0" w14:textId="5C1ACD87" w:rsidR="000756EB" w:rsidRPr="00B633B6" w:rsidRDefault="004A4D88" w:rsidP="00785106">
            <w:pPr>
              <w:pStyle w:val="TableCopy"/>
              <w:jc w:val="right"/>
              <w:rPr>
                <w:b/>
                <w:bCs/>
              </w:rPr>
            </w:pPr>
            <w:r w:rsidRPr="00B633B6">
              <w:rPr>
                <w:b/>
                <w:bCs/>
              </w:rPr>
              <w:t>–</w:t>
            </w:r>
          </w:p>
        </w:tc>
        <w:tc>
          <w:tcPr>
            <w:tcW w:w="1180" w:type="dxa"/>
          </w:tcPr>
          <w:p w14:paraId="6495879E" w14:textId="0B4BA7BC" w:rsidR="000756EB" w:rsidRPr="00B633B6" w:rsidRDefault="004A4D88" w:rsidP="00785106">
            <w:pPr>
              <w:pStyle w:val="TableCopy"/>
              <w:jc w:val="right"/>
              <w:rPr>
                <w:b/>
                <w:bCs/>
              </w:rPr>
            </w:pPr>
            <w:r w:rsidRPr="00B633B6">
              <w:rPr>
                <w:b/>
                <w:bCs/>
              </w:rPr>
              <w:t>478,175</w:t>
            </w:r>
          </w:p>
        </w:tc>
        <w:tc>
          <w:tcPr>
            <w:tcW w:w="1181" w:type="dxa"/>
          </w:tcPr>
          <w:p w14:paraId="57809994" w14:textId="706E9C27" w:rsidR="000756EB" w:rsidRPr="00B633B6" w:rsidRDefault="004A4D88" w:rsidP="00785106">
            <w:pPr>
              <w:pStyle w:val="TableCopy"/>
              <w:jc w:val="right"/>
              <w:rPr>
                <w:b/>
                <w:bCs/>
              </w:rPr>
            </w:pPr>
            <w:r w:rsidRPr="00B633B6">
              <w:rPr>
                <w:b/>
                <w:bCs/>
              </w:rPr>
              <w:t>478,175</w:t>
            </w:r>
          </w:p>
        </w:tc>
      </w:tr>
    </w:tbl>
    <w:p w14:paraId="72D78F9A" w14:textId="6454C70B" w:rsidR="000756EB" w:rsidRDefault="00B633B6" w:rsidP="00B633B6">
      <w:pPr>
        <w:pStyle w:val="FootnoteText"/>
        <w:spacing w:before="120" w:after="280"/>
      </w:pPr>
      <w:r>
        <w:t>(</w:t>
      </w:r>
      <w:proofErr w:type="spellStart"/>
      <w:r>
        <w:t>i</w:t>
      </w:r>
      <w:proofErr w:type="spellEnd"/>
      <w:r>
        <w:t>) Receivables and payables disclosed above exclude statutory receivables (i.e. GST recoverable) and statutory payables (i.e. taxes payable).</w:t>
      </w:r>
    </w:p>
    <w:p w14:paraId="53682995" w14:textId="37BA3275" w:rsidR="000756EB" w:rsidRDefault="004A4D88" w:rsidP="00B633B6">
      <w:pPr>
        <w:pStyle w:val="Heading3"/>
      </w:pPr>
      <w:r>
        <w:t>8.1.1</w:t>
      </w:r>
      <w:r w:rsidR="00DE38B5">
        <w:t xml:space="preserve"> </w:t>
      </w:r>
      <w:r>
        <w:t>Financial</w:t>
      </w:r>
      <w:r w:rsidR="00A03629">
        <w:t xml:space="preserve"> </w:t>
      </w:r>
      <w:r>
        <w:t>instruments:</w:t>
      </w:r>
      <w:r w:rsidR="00A03629">
        <w:t xml:space="preserve"> </w:t>
      </w:r>
      <w:r>
        <w:t>Categorisation</w:t>
      </w:r>
    </w:p>
    <w:tbl>
      <w:tblPr>
        <w:tblStyle w:val="TableGrid"/>
        <w:tblW w:w="10341" w:type="dxa"/>
        <w:tblLayout w:type="fixed"/>
        <w:tblLook w:val="04A0" w:firstRow="1" w:lastRow="0" w:firstColumn="1" w:lastColumn="0" w:noHBand="0" w:noVBand="1"/>
      </w:tblPr>
      <w:tblGrid>
        <w:gridCol w:w="4359"/>
        <w:gridCol w:w="1179"/>
        <w:gridCol w:w="1261"/>
        <w:gridCol w:w="1179"/>
        <w:gridCol w:w="1180"/>
        <w:gridCol w:w="1183"/>
      </w:tblGrid>
      <w:tr w:rsidR="00785106" w:rsidRPr="00B633B6" w14:paraId="3F4795B7" w14:textId="77777777" w:rsidTr="009A027D">
        <w:trPr>
          <w:tblHeader/>
        </w:trPr>
        <w:tc>
          <w:tcPr>
            <w:tcW w:w="4359" w:type="dxa"/>
          </w:tcPr>
          <w:p w14:paraId="43411F44" w14:textId="77777777" w:rsidR="00785106" w:rsidRPr="00B633B6" w:rsidRDefault="00785106" w:rsidP="00F8467A">
            <w:pPr>
              <w:pStyle w:val="TableColumnHeading"/>
              <w:rPr>
                <w:sz w:val="20"/>
                <w:szCs w:val="28"/>
              </w:rPr>
            </w:pPr>
            <w:bookmarkStart w:id="119" w:name="ColumnTitles_69"/>
            <w:bookmarkStart w:id="120" w:name="ColumnTitles_70"/>
            <w:bookmarkEnd w:id="119"/>
            <w:bookmarkEnd w:id="120"/>
          </w:p>
        </w:tc>
        <w:tc>
          <w:tcPr>
            <w:tcW w:w="1179" w:type="dxa"/>
          </w:tcPr>
          <w:p w14:paraId="34594A52" w14:textId="77777777" w:rsidR="00785106" w:rsidRPr="00B633B6" w:rsidRDefault="00785106" w:rsidP="009A027D">
            <w:pPr>
              <w:pStyle w:val="TableColumnHeading"/>
              <w:jc w:val="right"/>
              <w:rPr>
                <w:sz w:val="20"/>
                <w:szCs w:val="28"/>
              </w:rPr>
            </w:pPr>
            <w:r w:rsidRPr="00B633B6">
              <w:rPr>
                <w:sz w:val="20"/>
                <w:szCs w:val="28"/>
              </w:rPr>
              <w:t>Cash and deposits</w:t>
            </w:r>
            <w:r>
              <w:rPr>
                <w:sz w:val="20"/>
                <w:szCs w:val="28"/>
              </w:rPr>
              <w:t xml:space="preserve"> </w:t>
            </w:r>
            <w:r w:rsidRPr="00B633B6">
              <w:rPr>
                <w:sz w:val="20"/>
                <w:szCs w:val="28"/>
              </w:rPr>
              <w:t>($ thousand)</w:t>
            </w:r>
          </w:p>
        </w:tc>
        <w:tc>
          <w:tcPr>
            <w:tcW w:w="1261" w:type="dxa"/>
          </w:tcPr>
          <w:p w14:paraId="608504BA" w14:textId="77777777" w:rsidR="00785106" w:rsidRPr="00B633B6" w:rsidRDefault="00785106" w:rsidP="009A027D">
            <w:pPr>
              <w:pStyle w:val="TableColumnHeading"/>
              <w:jc w:val="right"/>
              <w:rPr>
                <w:sz w:val="20"/>
                <w:szCs w:val="28"/>
              </w:rPr>
            </w:pPr>
            <w:r w:rsidRPr="00B633B6">
              <w:rPr>
                <w:sz w:val="20"/>
                <w:szCs w:val="28"/>
              </w:rPr>
              <w:t>Financial assets/ liabilities at fair value through net result</w:t>
            </w:r>
            <w:r>
              <w:rPr>
                <w:sz w:val="20"/>
                <w:szCs w:val="28"/>
              </w:rPr>
              <w:t xml:space="preserve"> </w:t>
            </w:r>
            <w:r w:rsidRPr="00B633B6">
              <w:rPr>
                <w:sz w:val="20"/>
                <w:szCs w:val="28"/>
              </w:rPr>
              <w:t>($ thousand)</w:t>
            </w:r>
          </w:p>
        </w:tc>
        <w:tc>
          <w:tcPr>
            <w:tcW w:w="1179" w:type="dxa"/>
          </w:tcPr>
          <w:p w14:paraId="6A1344B6" w14:textId="77777777" w:rsidR="00785106" w:rsidRPr="00B633B6" w:rsidRDefault="00785106" w:rsidP="009A027D">
            <w:pPr>
              <w:pStyle w:val="TableColumnHeading"/>
              <w:jc w:val="right"/>
              <w:rPr>
                <w:sz w:val="20"/>
                <w:szCs w:val="28"/>
              </w:rPr>
            </w:pPr>
            <w:r w:rsidRPr="00B633B6">
              <w:rPr>
                <w:sz w:val="20"/>
                <w:szCs w:val="28"/>
              </w:rPr>
              <w:t>Financial assets at amortised cost</w:t>
            </w:r>
            <w:r>
              <w:rPr>
                <w:sz w:val="20"/>
                <w:szCs w:val="28"/>
              </w:rPr>
              <w:t xml:space="preserve"> </w:t>
            </w:r>
            <w:r w:rsidRPr="00B633B6">
              <w:rPr>
                <w:sz w:val="20"/>
                <w:szCs w:val="28"/>
              </w:rPr>
              <w:t>($ thousand)</w:t>
            </w:r>
          </w:p>
        </w:tc>
        <w:tc>
          <w:tcPr>
            <w:tcW w:w="1180" w:type="dxa"/>
          </w:tcPr>
          <w:p w14:paraId="003FDE9A" w14:textId="77777777" w:rsidR="00785106" w:rsidRPr="00B633B6" w:rsidRDefault="00785106" w:rsidP="009A027D">
            <w:pPr>
              <w:pStyle w:val="TableColumnHeading"/>
              <w:jc w:val="right"/>
              <w:rPr>
                <w:sz w:val="20"/>
                <w:szCs w:val="28"/>
              </w:rPr>
            </w:pPr>
            <w:r w:rsidRPr="00B633B6">
              <w:rPr>
                <w:sz w:val="20"/>
                <w:szCs w:val="28"/>
              </w:rPr>
              <w:t>Financial liabilities at amortised cost</w:t>
            </w:r>
            <w:r>
              <w:rPr>
                <w:sz w:val="20"/>
                <w:szCs w:val="28"/>
              </w:rPr>
              <w:t xml:space="preserve"> </w:t>
            </w:r>
            <w:r w:rsidRPr="00B633B6">
              <w:rPr>
                <w:sz w:val="20"/>
                <w:szCs w:val="28"/>
              </w:rPr>
              <w:t>($ thousand)</w:t>
            </w:r>
          </w:p>
        </w:tc>
        <w:tc>
          <w:tcPr>
            <w:tcW w:w="1183" w:type="dxa"/>
          </w:tcPr>
          <w:p w14:paraId="2D4B5D50" w14:textId="77777777" w:rsidR="00785106" w:rsidRPr="00B633B6" w:rsidRDefault="00785106" w:rsidP="009A027D">
            <w:pPr>
              <w:pStyle w:val="TableColumnHeading"/>
              <w:jc w:val="right"/>
              <w:rPr>
                <w:sz w:val="20"/>
                <w:szCs w:val="28"/>
              </w:rPr>
            </w:pPr>
            <w:r w:rsidRPr="00B633B6">
              <w:rPr>
                <w:sz w:val="20"/>
                <w:szCs w:val="28"/>
              </w:rPr>
              <w:t>Total</w:t>
            </w:r>
            <w:r>
              <w:rPr>
                <w:sz w:val="20"/>
                <w:szCs w:val="28"/>
              </w:rPr>
              <w:t xml:space="preserve"> </w:t>
            </w:r>
            <w:r w:rsidRPr="00B633B6">
              <w:rPr>
                <w:sz w:val="20"/>
                <w:szCs w:val="28"/>
              </w:rPr>
              <w:t>($ thousand)</w:t>
            </w:r>
          </w:p>
        </w:tc>
      </w:tr>
      <w:tr w:rsidR="000756EB" w:rsidRPr="00785106" w14:paraId="1E3488EB" w14:textId="77777777" w:rsidTr="009A027D">
        <w:tblPrEx>
          <w:tblLook w:val="0020" w:firstRow="1" w:lastRow="0" w:firstColumn="0" w:lastColumn="0" w:noHBand="0" w:noVBand="0"/>
        </w:tblPrEx>
        <w:trPr>
          <w:cantSplit/>
        </w:trPr>
        <w:tc>
          <w:tcPr>
            <w:tcW w:w="4359" w:type="dxa"/>
          </w:tcPr>
          <w:p w14:paraId="74225610" w14:textId="77777777" w:rsidR="000756EB" w:rsidRPr="00785106" w:rsidRDefault="004A4D88" w:rsidP="00785106">
            <w:pPr>
              <w:pStyle w:val="TableHeading"/>
              <w:rPr>
                <w:rFonts w:asciiTheme="minorHAnsi" w:hAnsiTheme="minorHAnsi" w:cstheme="minorHAnsi"/>
              </w:rPr>
            </w:pPr>
            <w:r w:rsidRPr="00785106">
              <w:rPr>
                <w:rFonts w:asciiTheme="minorHAnsi" w:hAnsiTheme="minorHAnsi" w:cstheme="minorHAnsi"/>
              </w:rPr>
              <w:t>2022</w:t>
            </w:r>
          </w:p>
        </w:tc>
        <w:tc>
          <w:tcPr>
            <w:tcW w:w="1179" w:type="dxa"/>
          </w:tcPr>
          <w:p w14:paraId="644C9687" w14:textId="77777777" w:rsidR="000756EB" w:rsidRPr="00785106" w:rsidRDefault="000756EB" w:rsidP="009A027D">
            <w:pPr>
              <w:pStyle w:val="TableHeading"/>
              <w:jc w:val="right"/>
              <w:rPr>
                <w:rFonts w:asciiTheme="minorHAnsi" w:hAnsiTheme="minorHAnsi" w:cstheme="minorHAnsi"/>
                <w:lang w:val="en-AU"/>
              </w:rPr>
            </w:pPr>
          </w:p>
        </w:tc>
        <w:tc>
          <w:tcPr>
            <w:tcW w:w="1261" w:type="dxa"/>
          </w:tcPr>
          <w:p w14:paraId="6937967A" w14:textId="77777777" w:rsidR="000756EB" w:rsidRPr="00785106" w:rsidRDefault="000756EB" w:rsidP="009A027D">
            <w:pPr>
              <w:pStyle w:val="TableHeading"/>
              <w:jc w:val="right"/>
              <w:rPr>
                <w:rFonts w:asciiTheme="minorHAnsi" w:hAnsiTheme="minorHAnsi" w:cstheme="minorHAnsi"/>
                <w:lang w:val="en-AU"/>
              </w:rPr>
            </w:pPr>
          </w:p>
        </w:tc>
        <w:tc>
          <w:tcPr>
            <w:tcW w:w="1179" w:type="dxa"/>
          </w:tcPr>
          <w:p w14:paraId="1494B392" w14:textId="77777777" w:rsidR="000756EB" w:rsidRPr="00785106" w:rsidRDefault="000756EB" w:rsidP="009A027D">
            <w:pPr>
              <w:pStyle w:val="TableHeading"/>
              <w:jc w:val="right"/>
              <w:rPr>
                <w:rFonts w:asciiTheme="minorHAnsi" w:hAnsiTheme="minorHAnsi" w:cstheme="minorHAnsi"/>
                <w:lang w:val="en-AU"/>
              </w:rPr>
            </w:pPr>
          </w:p>
        </w:tc>
        <w:tc>
          <w:tcPr>
            <w:tcW w:w="1180" w:type="dxa"/>
          </w:tcPr>
          <w:p w14:paraId="27B99513" w14:textId="77777777" w:rsidR="000756EB" w:rsidRPr="00785106" w:rsidRDefault="000756EB" w:rsidP="009A027D">
            <w:pPr>
              <w:pStyle w:val="TableHeading"/>
              <w:jc w:val="right"/>
              <w:rPr>
                <w:rFonts w:asciiTheme="minorHAnsi" w:hAnsiTheme="minorHAnsi" w:cstheme="minorHAnsi"/>
                <w:lang w:val="en-AU"/>
              </w:rPr>
            </w:pPr>
          </w:p>
        </w:tc>
        <w:tc>
          <w:tcPr>
            <w:tcW w:w="1183" w:type="dxa"/>
          </w:tcPr>
          <w:p w14:paraId="1598B3C0" w14:textId="77777777" w:rsidR="000756EB" w:rsidRPr="00785106" w:rsidRDefault="000756EB" w:rsidP="009A027D">
            <w:pPr>
              <w:pStyle w:val="TableHeading"/>
              <w:jc w:val="right"/>
              <w:rPr>
                <w:rFonts w:asciiTheme="minorHAnsi" w:hAnsiTheme="minorHAnsi" w:cstheme="minorHAnsi"/>
                <w:lang w:val="en-AU"/>
              </w:rPr>
            </w:pPr>
          </w:p>
        </w:tc>
      </w:tr>
      <w:tr w:rsidR="000756EB" w:rsidRPr="00785106" w14:paraId="71F0B2FB" w14:textId="77777777" w:rsidTr="009A027D">
        <w:tblPrEx>
          <w:tblLook w:val="0020" w:firstRow="1" w:lastRow="0" w:firstColumn="0" w:lastColumn="0" w:noHBand="0" w:noVBand="0"/>
        </w:tblPrEx>
        <w:trPr>
          <w:cantSplit/>
        </w:trPr>
        <w:tc>
          <w:tcPr>
            <w:tcW w:w="4359" w:type="dxa"/>
          </w:tcPr>
          <w:p w14:paraId="607573BD" w14:textId="418CBD55" w:rsidR="000756EB" w:rsidRPr="00785106" w:rsidRDefault="004A4D88" w:rsidP="00785106">
            <w:pPr>
              <w:pStyle w:val="TableHeading"/>
              <w:rPr>
                <w:rFonts w:asciiTheme="minorHAnsi" w:hAnsiTheme="minorHAnsi" w:cstheme="minorHAnsi"/>
              </w:rPr>
            </w:pPr>
            <w:r w:rsidRPr="00785106">
              <w:rPr>
                <w:rFonts w:asciiTheme="minorHAnsi" w:hAnsiTheme="minorHAnsi" w:cstheme="minorHAnsi"/>
              </w:rPr>
              <w:t>Contractual</w:t>
            </w:r>
            <w:r w:rsidR="00A03629" w:rsidRPr="00785106">
              <w:rPr>
                <w:rFonts w:asciiTheme="minorHAnsi" w:hAnsiTheme="minorHAnsi" w:cstheme="minorHAnsi"/>
              </w:rPr>
              <w:t xml:space="preserve"> </w:t>
            </w:r>
            <w:r w:rsidRPr="00785106">
              <w:rPr>
                <w:rFonts w:asciiTheme="minorHAnsi" w:hAnsiTheme="minorHAnsi" w:cstheme="minorHAnsi"/>
              </w:rPr>
              <w:t>financial</w:t>
            </w:r>
            <w:r w:rsidR="00A03629" w:rsidRPr="00785106">
              <w:rPr>
                <w:rFonts w:asciiTheme="minorHAnsi" w:hAnsiTheme="minorHAnsi" w:cstheme="minorHAnsi"/>
              </w:rPr>
              <w:t xml:space="preserve"> </w:t>
            </w:r>
            <w:r w:rsidRPr="00785106">
              <w:rPr>
                <w:rFonts w:asciiTheme="minorHAnsi" w:hAnsiTheme="minorHAnsi" w:cstheme="minorHAnsi"/>
              </w:rPr>
              <w:t>assets</w:t>
            </w:r>
          </w:p>
        </w:tc>
        <w:tc>
          <w:tcPr>
            <w:tcW w:w="1179" w:type="dxa"/>
          </w:tcPr>
          <w:p w14:paraId="14E607BC" w14:textId="77777777" w:rsidR="000756EB" w:rsidRPr="00785106" w:rsidRDefault="000756EB" w:rsidP="009A027D">
            <w:pPr>
              <w:pStyle w:val="TableHeading"/>
              <w:jc w:val="right"/>
              <w:rPr>
                <w:rFonts w:asciiTheme="minorHAnsi" w:hAnsiTheme="minorHAnsi" w:cstheme="minorHAnsi"/>
                <w:lang w:val="en-AU"/>
              </w:rPr>
            </w:pPr>
          </w:p>
        </w:tc>
        <w:tc>
          <w:tcPr>
            <w:tcW w:w="1261" w:type="dxa"/>
          </w:tcPr>
          <w:p w14:paraId="57C36441" w14:textId="77777777" w:rsidR="000756EB" w:rsidRPr="00785106" w:rsidRDefault="000756EB" w:rsidP="009A027D">
            <w:pPr>
              <w:pStyle w:val="TableHeading"/>
              <w:jc w:val="right"/>
              <w:rPr>
                <w:rFonts w:asciiTheme="minorHAnsi" w:hAnsiTheme="minorHAnsi" w:cstheme="minorHAnsi"/>
                <w:lang w:val="en-AU"/>
              </w:rPr>
            </w:pPr>
          </w:p>
        </w:tc>
        <w:tc>
          <w:tcPr>
            <w:tcW w:w="1179" w:type="dxa"/>
          </w:tcPr>
          <w:p w14:paraId="7DE9EAD9" w14:textId="77777777" w:rsidR="000756EB" w:rsidRPr="00785106" w:rsidRDefault="000756EB" w:rsidP="009A027D">
            <w:pPr>
              <w:pStyle w:val="TableHeading"/>
              <w:jc w:val="right"/>
              <w:rPr>
                <w:rFonts w:asciiTheme="minorHAnsi" w:hAnsiTheme="minorHAnsi" w:cstheme="minorHAnsi"/>
                <w:lang w:val="en-AU"/>
              </w:rPr>
            </w:pPr>
          </w:p>
        </w:tc>
        <w:tc>
          <w:tcPr>
            <w:tcW w:w="1180" w:type="dxa"/>
          </w:tcPr>
          <w:p w14:paraId="11E393DA" w14:textId="77777777" w:rsidR="000756EB" w:rsidRPr="00785106" w:rsidRDefault="000756EB" w:rsidP="009A027D">
            <w:pPr>
              <w:pStyle w:val="TableHeading"/>
              <w:jc w:val="right"/>
              <w:rPr>
                <w:rFonts w:asciiTheme="minorHAnsi" w:hAnsiTheme="minorHAnsi" w:cstheme="minorHAnsi"/>
                <w:lang w:val="en-AU"/>
              </w:rPr>
            </w:pPr>
          </w:p>
        </w:tc>
        <w:tc>
          <w:tcPr>
            <w:tcW w:w="1183" w:type="dxa"/>
          </w:tcPr>
          <w:p w14:paraId="62ABBFFA" w14:textId="77777777" w:rsidR="000756EB" w:rsidRPr="00785106" w:rsidRDefault="000756EB" w:rsidP="009A027D">
            <w:pPr>
              <w:pStyle w:val="TableHeading"/>
              <w:jc w:val="right"/>
              <w:rPr>
                <w:rFonts w:asciiTheme="minorHAnsi" w:hAnsiTheme="minorHAnsi" w:cstheme="minorHAnsi"/>
                <w:lang w:val="en-AU"/>
              </w:rPr>
            </w:pPr>
          </w:p>
        </w:tc>
      </w:tr>
      <w:tr w:rsidR="000756EB" w14:paraId="72BFA9C1" w14:textId="77777777" w:rsidTr="009A027D">
        <w:tblPrEx>
          <w:tblLook w:val="0020" w:firstRow="1" w:lastRow="0" w:firstColumn="0" w:lastColumn="0" w:noHBand="0" w:noVBand="0"/>
        </w:tblPrEx>
        <w:trPr>
          <w:cantSplit/>
        </w:trPr>
        <w:tc>
          <w:tcPr>
            <w:tcW w:w="4359" w:type="dxa"/>
          </w:tcPr>
          <w:p w14:paraId="3A0F4D3B" w14:textId="67844130" w:rsidR="000756EB" w:rsidRDefault="004A4D88" w:rsidP="00785106">
            <w:pPr>
              <w:pStyle w:val="TableCopy"/>
            </w:pPr>
            <w:r>
              <w:t>Cash</w:t>
            </w:r>
            <w:r w:rsidR="00A03629">
              <w:t xml:space="preserve"> </w:t>
            </w:r>
            <w:r>
              <w:t>and</w:t>
            </w:r>
            <w:r w:rsidR="00A03629">
              <w:t xml:space="preserve"> </w:t>
            </w:r>
            <w:r>
              <w:t>deposits</w:t>
            </w:r>
          </w:p>
        </w:tc>
        <w:tc>
          <w:tcPr>
            <w:tcW w:w="1179" w:type="dxa"/>
          </w:tcPr>
          <w:p w14:paraId="7812A89F" w14:textId="109DA71F" w:rsidR="000756EB" w:rsidRDefault="004A4D88" w:rsidP="009A027D">
            <w:pPr>
              <w:pStyle w:val="TableCopy"/>
              <w:jc w:val="right"/>
            </w:pPr>
            <w:r>
              <w:t>416,760</w:t>
            </w:r>
          </w:p>
        </w:tc>
        <w:tc>
          <w:tcPr>
            <w:tcW w:w="1261" w:type="dxa"/>
          </w:tcPr>
          <w:p w14:paraId="7EDBD3F1" w14:textId="0E7945BD" w:rsidR="000756EB" w:rsidRDefault="004A4D88" w:rsidP="009A027D">
            <w:pPr>
              <w:pStyle w:val="TableCopy"/>
              <w:jc w:val="right"/>
            </w:pPr>
            <w:r>
              <w:t>–</w:t>
            </w:r>
          </w:p>
        </w:tc>
        <w:tc>
          <w:tcPr>
            <w:tcW w:w="1179" w:type="dxa"/>
          </w:tcPr>
          <w:p w14:paraId="525ED23D" w14:textId="704D4827" w:rsidR="000756EB" w:rsidRDefault="004A4D88" w:rsidP="009A027D">
            <w:pPr>
              <w:pStyle w:val="TableCopy"/>
              <w:jc w:val="right"/>
            </w:pPr>
            <w:r>
              <w:t>–</w:t>
            </w:r>
          </w:p>
        </w:tc>
        <w:tc>
          <w:tcPr>
            <w:tcW w:w="1180" w:type="dxa"/>
          </w:tcPr>
          <w:p w14:paraId="1AB45A96" w14:textId="2BD6DC81" w:rsidR="000756EB" w:rsidRDefault="004A4D88" w:rsidP="009A027D">
            <w:pPr>
              <w:pStyle w:val="TableCopy"/>
              <w:jc w:val="right"/>
            </w:pPr>
            <w:r>
              <w:t>–</w:t>
            </w:r>
          </w:p>
        </w:tc>
        <w:tc>
          <w:tcPr>
            <w:tcW w:w="1183" w:type="dxa"/>
          </w:tcPr>
          <w:p w14:paraId="1403D99A" w14:textId="6B1370D9" w:rsidR="000756EB" w:rsidRDefault="004A4D88" w:rsidP="009A027D">
            <w:pPr>
              <w:pStyle w:val="TableCopy"/>
              <w:jc w:val="right"/>
            </w:pPr>
            <w:r>
              <w:t>416,760</w:t>
            </w:r>
          </w:p>
        </w:tc>
      </w:tr>
      <w:tr w:rsidR="000756EB" w:rsidRPr="00785106" w14:paraId="17D39295" w14:textId="77777777" w:rsidTr="009A027D">
        <w:tblPrEx>
          <w:tblLook w:val="0020" w:firstRow="1" w:lastRow="0" w:firstColumn="0" w:lastColumn="0" w:noHBand="0" w:noVBand="0"/>
        </w:tblPrEx>
        <w:trPr>
          <w:cantSplit/>
        </w:trPr>
        <w:tc>
          <w:tcPr>
            <w:tcW w:w="4359" w:type="dxa"/>
          </w:tcPr>
          <w:p w14:paraId="3DE055E3" w14:textId="7ADCEEE2" w:rsidR="000756EB" w:rsidRPr="00785106" w:rsidRDefault="004A4D88" w:rsidP="00785106">
            <w:pPr>
              <w:pStyle w:val="TableCopy"/>
              <w:rPr>
                <w:rFonts w:asciiTheme="minorHAnsi" w:hAnsiTheme="minorHAnsi" w:cstheme="minorHAnsi"/>
              </w:rPr>
            </w:pPr>
            <w:r w:rsidRPr="00785106">
              <w:rPr>
                <w:rFonts w:asciiTheme="minorHAnsi" w:hAnsiTheme="minorHAnsi" w:cstheme="minorHAnsi"/>
              </w:rPr>
              <w:t>Receivables</w:t>
            </w:r>
            <w:r w:rsidR="00A03629" w:rsidRPr="00785106">
              <w:rPr>
                <w:rFonts w:asciiTheme="minorHAnsi" w:hAnsiTheme="minorHAnsi" w:cstheme="minorHAnsi"/>
              </w:rPr>
              <w:t xml:space="preserve"> </w:t>
            </w:r>
            <w:r w:rsidRPr="00614829">
              <w:rPr>
                <w:rStyle w:val="FootnotereferencessuperscriptMisc"/>
              </w:rPr>
              <w:t>(</w:t>
            </w:r>
            <w:proofErr w:type="spellStart"/>
            <w:r w:rsidRPr="00614829">
              <w:rPr>
                <w:rStyle w:val="FootnotereferencessuperscriptMisc"/>
              </w:rPr>
              <w:t>i</w:t>
            </w:r>
            <w:proofErr w:type="spellEnd"/>
            <w:r w:rsidRPr="00614829">
              <w:rPr>
                <w:rStyle w:val="FootnotereferencessuperscriptMisc"/>
              </w:rPr>
              <w:t>)</w:t>
            </w:r>
          </w:p>
        </w:tc>
        <w:tc>
          <w:tcPr>
            <w:tcW w:w="1179" w:type="dxa"/>
          </w:tcPr>
          <w:p w14:paraId="624BBA35" w14:textId="34FB520A" w:rsidR="000756EB" w:rsidRPr="00785106" w:rsidRDefault="004A4D88" w:rsidP="009A027D">
            <w:pPr>
              <w:pStyle w:val="TableCopy"/>
              <w:jc w:val="right"/>
              <w:rPr>
                <w:rFonts w:asciiTheme="minorHAnsi" w:hAnsiTheme="minorHAnsi" w:cstheme="minorHAnsi"/>
              </w:rPr>
            </w:pPr>
            <w:r w:rsidRPr="00785106">
              <w:rPr>
                <w:rFonts w:asciiTheme="minorHAnsi" w:hAnsiTheme="minorHAnsi" w:cstheme="minorHAnsi"/>
              </w:rPr>
              <w:t>–</w:t>
            </w:r>
          </w:p>
        </w:tc>
        <w:tc>
          <w:tcPr>
            <w:tcW w:w="1261" w:type="dxa"/>
          </w:tcPr>
          <w:p w14:paraId="0E336DCE" w14:textId="61FB9B0D" w:rsidR="000756EB" w:rsidRPr="00785106" w:rsidRDefault="004A4D88" w:rsidP="009A027D">
            <w:pPr>
              <w:pStyle w:val="TableCopy"/>
              <w:jc w:val="right"/>
              <w:rPr>
                <w:rFonts w:asciiTheme="minorHAnsi" w:hAnsiTheme="minorHAnsi" w:cstheme="minorHAnsi"/>
              </w:rPr>
            </w:pPr>
            <w:r w:rsidRPr="00785106">
              <w:rPr>
                <w:rFonts w:asciiTheme="minorHAnsi" w:hAnsiTheme="minorHAnsi" w:cstheme="minorHAnsi"/>
              </w:rPr>
              <w:t>–</w:t>
            </w:r>
          </w:p>
        </w:tc>
        <w:tc>
          <w:tcPr>
            <w:tcW w:w="1179" w:type="dxa"/>
          </w:tcPr>
          <w:p w14:paraId="6608368D" w14:textId="7A66AB35" w:rsidR="000756EB" w:rsidRPr="00785106" w:rsidRDefault="004A4D88" w:rsidP="009A027D">
            <w:pPr>
              <w:pStyle w:val="TableCopy"/>
              <w:jc w:val="right"/>
              <w:rPr>
                <w:rFonts w:asciiTheme="minorHAnsi" w:hAnsiTheme="minorHAnsi" w:cstheme="minorHAnsi"/>
              </w:rPr>
            </w:pPr>
            <w:r w:rsidRPr="00785106">
              <w:rPr>
                <w:rFonts w:asciiTheme="minorHAnsi" w:hAnsiTheme="minorHAnsi" w:cstheme="minorHAnsi"/>
              </w:rPr>
              <w:t>264,829</w:t>
            </w:r>
          </w:p>
        </w:tc>
        <w:tc>
          <w:tcPr>
            <w:tcW w:w="1180" w:type="dxa"/>
          </w:tcPr>
          <w:p w14:paraId="64219A55" w14:textId="0B0776E9" w:rsidR="000756EB" w:rsidRPr="00785106" w:rsidRDefault="004A4D88" w:rsidP="009A027D">
            <w:pPr>
              <w:pStyle w:val="TableCopy"/>
              <w:jc w:val="right"/>
              <w:rPr>
                <w:rFonts w:asciiTheme="minorHAnsi" w:hAnsiTheme="minorHAnsi" w:cstheme="minorHAnsi"/>
              </w:rPr>
            </w:pPr>
            <w:r w:rsidRPr="00785106">
              <w:rPr>
                <w:rFonts w:asciiTheme="minorHAnsi" w:hAnsiTheme="minorHAnsi" w:cstheme="minorHAnsi"/>
              </w:rPr>
              <w:t>–</w:t>
            </w:r>
          </w:p>
        </w:tc>
        <w:tc>
          <w:tcPr>
            <w:tcW w:w="1183" w:type="dxa"/>
          </w:tcPr>
          <w:p w14:paraId="782AAA48" w14:textId="41B1A419" w:rsidR="000756EB" w:rsidRPr="00785106" w:rsidRDefault="004A4D88" w:rsidP="009A027D">
            <w:pPr>
              <w:pStyle w:val="TableCopy"/>
              <w:jc w:val="right"/>
              <w:rPr>
                <w:rFonts w:asciiTheme="minorHAnsi" w:hAnsiTheme="minorHAnsi" w:cstheme="minorHAnsi"/>
              </w:rPr>
            </w:pPr>
            <w:r w:rsidRPr="00785106">
              <w:rPr>
                <w:rFonts w:asciiTheme="minorHAnsi" w:hAnsiTheme="minorHAnsi" w:cstheme="minorHAnsi"/>
              </w:rPr>
              <w:t>264,829</w:t>
            </w:r>
          </w:p>
        </w:tc>
      </w:tr>
      <w:tr w:rsidR="000756EB" w14:paraId="51DDC24B" w14:textId="77777777" w:rsidTr="009A027D">
        <w:tblPrEx>
          <w:tblLook w:val="0020" w:firstRow="1" w:lastRow="0" w:firstColumn="0" w:lastColumn="0" w:noHBand="0" w:noVBand="0"/>
        </w:tblPrEx>
        <w:trPr>
          <w:cantSplit/>
        </w:trPr>
        <w:tc>
          <w:tcPr>
            <w:tcW w:w="4359" w:type="dxa"/>
          </w:tcPr>
          <w:p w14:paraId="2AAB0C83" w14:textId="77777777" w:rsidR="000756EB" w:rsidRDefault="004A4D88" w:rsidP="00785106">
            <w:pPr>
              <w:pStyle w:val="TableCopy"/>
            </w:pPr>
            <w:r>
              <w:t>Investments</w:t>
            </w:r>
          </w:p>
        </w:tc>
        <w:tc>
          <w:tcPr>
            <w:tcW w:w="1179" w:type="dxa"/>
          </w:tcPr>
          <w:p w14:paraId="7F0BC1C5" w14:textId="7D130E61" w:rsidR="000756EB" w:rsidRDefault="004A4D88" w:rsidP="009A027D">
            <w:pPr>
              <w:pStyle w:val="TableCopy"/>
              <w:jc w:val="right"/>
            </w:pPr>
            <w:r>
              <w:t>–</w:t>
            </w:r>
          </w:p>
        </w:tc>
        <w:tc>
          <w:tcPr>
            <w:tcW w:w="1261" w:type="dxa"/>
          </w:tcPr>
          <w:p w14:paraId="0115AE03" w14:textId="3EA447B2" w:rsidR="000756EB" w:rsidRDefault="004A4D88" w:rsidP="009A027D">
            <w:pPr>
              <w:pStyle w:val="TableCopy"/>
              <w:jc w:val="right"/>
            </w:pPr>
            <w:r>
              <w:t>1,610</w:t>
            </w:r>
          </w:p>
        </w:tc>
        <w:tc>
          <w:tcPr>
            <w:tcW w:w="1179" w:type="dxa"/>
          </w:tcPr>
          <w:p w14:paraId="37C15DEA" w14:textId="4764AC6C" w:rsidR="000756EB" w:rsidRDefault="004A4D88" w:rsidP="009A027D">
            <w:pPr>
              <w:pStyle w:val="TableCopy"/>
              <w:jc w:val="right"/>
            </w:pPr>
            <w:r>
              <w:t>71</w:t>
            </w:r>
          </w:p>
        </w:tc>
        <w:tc>
          <w:tcPr>
            <w:tcW w:w="1180" w:type="dxa"/>
          </w:tcPr>
          <w:p w14:paraId="103CB606" w14:textId="796ED645" w:rsidR="000756EB" w:rsidRDefault="004A4D88" w:rsidP="009A027D">
            <w:pPr>
              <w:pStyle w:val="TableCopy"/>
              <w:jc w:val="right"/>
            </w:pPr>
            <w:r>
              <w:t>–</w:t>
            </w:r>
          </w:p>
        </w:tc>
        <w:tc>
          <w:tcPr>
            <w:tcW w:w="1183" w:type="dxa"/>
          </w:tcPr>
          <w:p w14:paraId="041FC539" w14:textId="3D1E653B" w:rsidR="000756EB" w:rsidRDefault="004A4D88" w:rsidP="009A027D">
            <w:pPr>
              <w:pStyle w:val="TableCopy"/>
              <w:jc w:val="right"/>
            </w:pPr>
            <w:r>
              <w:t>1,681</w:t>
            </w:r>
          </w:p>
        </w:tc>
      </w:tr>
      <w:tr w:rsidR="000756EB" w:rsidRPr="00785106" w14:paraId="224FE861" w14:textId="77777777" w:rsidTr="009A027D">
        <w:tblPrEx>
          <w:tblLook w:val="0020" w:firstRow="1" w:lastRow="0" w:firstColumn="0" w:lastColumn="0" w:noHBand="0" w:noVBand="0"/>
        </w:tblPrEx>
        <w:trPr>
          <w:cantSplit/>
        </w:trPr>
        <w:tc>
          <w:tcPr>
            <w:tcW w:w="4359" w:type="dxa"/>
          </w:tcPr>
          <w:p w14:paraId="4373A5FD" w14:textId="4C1F766D" w:rsidR="000756EB" w:rsidRPr="00785106" w:rsidRDefault="004A4D88" w:rsidP="00785106">
            <w:pPr>
              <w:pStyle w:val="TableCopy"/>
              <w:rPr>
                <w:b/>
                <w:bCs/>
              </w:rPr>
            </w:pPr>
            <w:r w:rsidRPr="00785106">
              <w:rPr>
                <w:b/>
                <w:bCs/>
              </w:rPr>
              <w:t>Total</w:t>
            </w:r>
            <w:r w:rsidR="00A03629" w:rsidRPr="00785106">
              <w:rPr>
                <w:b/>
                <w:bCs/>
              </w:rPr>
              <w:t xml:space="preserve"> </w:t>
            </w:r>
            <w:r w:rsidRPr="00785106">
              <w:rPr>
                <w:b/>
                <w:bCs/>
              </w:rPr>
              <w:t>contractual</w:t>
            </w:r>
            <w:r w:rsidR="00A03629" w:rsidRPr="00785106">
              <w:rPr>
                <w:b/>
                <w:bCs/>
              </w:rPr>
              <w:t xml:space="preserve"> </w:t>
            </w:r>
            <w:r w:rsidRPr="00785106">
              <w:rPr>
                <w:b/>
                <w:bCs/>
              </w:rPr>
              <w:t>financial</w:t>
            </w:r>
            <w:r w:rsidR="00A03629" w:rsidRPr="00785106">
              <w:rPr>
                <w:b/>
                <w:bCs/>
              </w:rPr>
              <w:t xml:space="preserve"> </w:t>
            </w:r>
            <w:r w:rsidRPr="00785106">
              <w:rPr>
                <w:b/>
                <w:bCs/>
              </w:rPr>
              <w:t>assets</w:t>
            </w:r>
          </w:p>
        </w:tc>
        <w:tc>
          <w:tcPr>
            <w:tcW w:w="1179" w:type="dxa"/>
          </w:tcPr>
          <w:p w14:paraId="46B3C695" w14:textId="521E6019" w:rsidR="000756EB" w:rsidRPr="00785106" w:rsidRDefault="004A4D88" w:rsidP="009A027D">
            <w:pPr>
              <w:pStyle w:val="TableCopy"/>
              <w:jc w:val="right"/>
              <w:rPr>
                <w:b/>
                <w:bCs/>
              </w:rPr>
            </w:pPr>
            <w:r w:rsidRPr="00785106">
              <w:rPr>
                <w:b/>
                <w:bCs/>
              </w:rPr>
              <w:t>416,760</w:t>
            </w:r>
          </w:p>
        </w:tc>
        <w:tc>
          <w:tcPr>
            <w:tcW w:w="1261" w:type="dxa"/>
          </w:tcPr>
          <w:p w14:paraId="79D61CA4" w14:textId="72598CD9" w:rsidR="000756EB" w:rsidRPr="00785106" w:rsidRDefault="004A4D88" w:rsidP="009A027D">
            <w:pPr>
              <w:pStyle w:val="TableCopy"/>
              <w:jc w:val="right"/>
              <w:rPr>
                <w:b/>
                <w:bCs/>
              </w:rPr>
            </w:pPr>
            <w:r w:rsidRPr="00785106">
              <w:rPr>
                <w:b/>
                <w:bCs/>
              </w:rPr>
              <w:t>1,610</w:t>
            </w:r>
          </w:p>
        </w:tc>
        <w:tc>
          <w:tcPr>
            <w:tcW w:w="1179" w:type="dxa"/>
          </w:tcPr>
          <w:p w14:paraId="2615A99B" w14:textId="707D6501" w:rsidR="000756EB" w:rsidRPr="00785106" w:rsidRDefault="004A4D88" w:rsidP="009A027D">
            <w:pPr>
              <w:pStyle w:val="TableCopy"/>
              <w:jc w:val="right"/>
              <w:rPr>
                <w:b/>
                <w:bCs/>
              </w:rPr>
            </w:pPr>
            <w:r w:rsidRPr="00785106">
              <w:rPr>
                <w:b/>
                <w:bCs/>
              </w:rPr>
              <w:t>264,900</w:t>
            </w:r>
          </w:p>
        </w:tc>
        <w:tc>
          <w:tcPr>
            <w:tcW w:w="1180" w:type="dxa"/>
          </w:tcPr>
          <w:p w14:paraId="281853AF" w14:textId="20344E39" w:rsidR="000756EB" w:rsidRPr="00785106" w:rsidRDefault="004A4D88" w:rsidP="009A027D">
            <w:pPr>
              <w:pStyle w:val="TableCopy"/>
              <w:jc w:val="right"/>
              <w:rPr>
                <w:b/>
                <w:bCs/>
              </w:rPr>
            </w:pPr>
            <w:r w:rsidRPr="00785106">
              <w:rPr>
                <w:b/>
                <w:bCs/>
              </w:rPr>
              <w:t>–</w:t>
            </w:r>
          </w:p>
        </w:tc>
        <w:tc>
          <w:tcPr>
            <w:tcW w:w="1183" w:type="dxa"/>
          </w:tcPr>
          <w:p w14:paraId="484F3924" w14:textId="11A9A365" w:rsidR="000756EB" w:rsidRPr="00785106" w:rsidRDefault="004A4D88" w:rsidP="009A027D">
            <w:pPr>
              <w:pStyle w:val="TableCopy"/>
              <w:jc w:val="right"/>
              <w:rPr>
                <w:b/>
                <w:bCs/>
              </w:rPr>
            </w:pPr>
            <w:r w:rsidRPr="00785106">
              <w:rPr>
                <w:b/>
                <w:bCs/>
              </w:rPr>
              <w:t>683,270</w:t>
            </w:r>
          </w:p>
        </w:tc>
      </w:tr>
      <w:tr w:rsidR="000756EB" w:rsidRPr="00785106" w14:paraId="4E7785E5" w14:textId="77777777" w:rsidTr="009A027D">
        <w:tblPrEx>
          <w:tblLook w:val="0020" w:firstRow="1" w:lastRow="0" w:firstColumn="0" w:lastColumn="0" w:noHBand="0" w:noVBand="0"/>
        </w:tblPrEx>
        <w:trPr>
          <w:cantSplit/>
        </w:trPr>
        <w:tc>
          <w:tcPr>
            <w:tcW w:w="4359" w:type="dxa"/>
          </w:tcPr>
          <w:p w14:paraId="6E92A3F5" w14:textId="439D0505" w:rsidR="000756EB" w:rsidRPr="00785106" w:rsidRDefault="004A4D88" w:rsidP="00785106">
            <w:pPr>
              <w:pStyle w:val="TableHeading"/>
              <w:rPr>
                <w:rFonts w:asciiTheme="minorHAnsi" w:hAnsiTheme="minorHAnsi" w:cstheme="minorHAnsi"/>
              </w:rPr>
            </w:pPr>
            <w:r w:rsidRPr="00785106">
              <w:rPr>
                <w:rFonts w:asciiTheme="minorHAnsi" w:hAnsiTheme="minorHAnsi" w:cstheme="minorHAnsi"/>
              </w:rPr>
              <w:lastRenderedPageBreak/>
              <w:t>Contractual</w:t>
            </w:r>
            <w:r w:rsidR="00A03629" w:rsidRPr="00785106">
              <w:rPr>
                <w:rFonts w:asciiTheme="minorHAnsi" w:hAnsiTheme="minorHAnsi" w:cstheme="minorHAnsi"/>
              </w:rPr>
              <w:t xml:space="preserve"> </w:t>
            </w:r>
            <w:r w:rsidRPr="00785106">
              <w:rPr>
                <w:rFonts w:asciiTheme="minorHAnsi" w:hAnsiTheme="minorHAnsi" w:cstheme="minorHAnsi"/>
              </w:rPr>
              <w:t>financial</w:t>
            </w:r>
            <w:r w:rsidR="00A03629" w:rsidRPr="00785106">
              <w:rPr>
                <w:rFonts w:asciiTheme="minorHAnsi" w:hAnsiTheme="minorHAnsi" w:cstheme="minorHAnsi"/>
              </w:rPr>
              <w:t xml:space="preserve"> </w:t>
            </w:r>
            <w:r w:rsidRPr="00785106">
              <w:rPr>
                <w:rFonts w:asciiTheme="minorHAnsi" w:hAnsiTheme="minorHAnsi" w:cstheme="minorHAnsi"/>
              </w:rPr>
              <w:t>liabilities</w:t>
            </w:r>
          </w:p>
        </w:tc>
        <w:tc>
          <w:tcPr>
            <w:tcW w:w="1179" w:type="dxa"/>
          </w:tcPr>
          <w:p w14:paraId="0AA8DC3A" w14:textId="77777777" w:rsidR="000756EB" w:rsidRPr="00785106" w:rsidRDefault="000756EB" w:rsidP="009A027D">
            <w:pPr>
              <w:pStyle w:val="TableHeading"/>
              <w:jc w:val="right"/>
              <w:rPr>
                <w:rFonts w:asciiTheme="minorHAnsi" w:hAnsiTheme="minorHAnsi" w:cstheme="minorHAnsi"/>
                <w:lang w:val="en-AU"/>
              </w:rPr>
            </w:pPr>
          </w:p>
        </w:tc>
        <w:tc>
          <w:tcPr>
            <w:tcW w:w="1261" w:type="dxa"/>
          </w:tcPr>
          <w:p w14:paraId="0B15580B" w14:textId="77777777" w:rsidR="000756EB" w:rsidRPr="00785106" w:rsidRDefault="000756EB" w:rsidP="009A027D">
            <w:pPr>
              <w:pStyle w:val="TableHeading"/>
              <w:jc w:val="right"/>
              <w:rPr>
                <w:rFonts w:asciiTheme="minorHAnsi" w:hAnsiTheme="minorHAnsi" w:cstheme="minorHAnsi"/>
                <w:lang w:val="en-AU"/>
              </w:rPr>
            </w:pPr>
          </w:p>
        </w:tc>
        <w:tc>
          <w:tcPr>
            <w:tcW w:w="1179" w:type="dxa"/>
          </w:tcPr>
          <w:p w14:paraId="4CDF4F99" w14:textId="77777777" w:rsidR="000756EB" w:rsidRPr="00785106" w:rsidRDefault="000756EB" w:rsidP="009A027D">
            <w:pPr>
              <w:pStyle w:val="TableHeading"/>
              <w:jc w:val="right"/>
              <w:rPr>
                <w:rFonts w:asciiTheme="minorHAnsi" w:hAnsiTheme="minorHAnsi" w:cstheme="minorHAnsi"/>
                <w:lang w:val="en-AU"/>
              </w:rPr>
            </w:pPr>
          </w:p>
        </w:tc>
        <w:tc>
          <w:tcPr>
            <w:tcW w:w="1180" w:type="dxa"/>
          </w:tcPr>
          <w:p w14:paraId="2DFD83DD" w14:textId="77777777" w:rsidR="000756EB" w:rsidRPr="00785106" w:rsidRDefault="000756EB" w:rsidP="009A027D">
            <w:pPr>
              <w:pStyle w:val="TableHeading"/>
              <w:jc w:val="right"/>
              <w:rPr>
                <w:rFonts w:asciiTheme="minorHAnsi" w:hAnsiTheme="minorHAnsi" w:cstheme="minorHAnsi"/>
                <w:lang w:val="en-AU"/>
              </w:rPr>
            </w:pPr>
          </w:p>
        </w:tc>
        <w:tc>
          <w:tcPr>
            <w:tcW w:w="1183" w:type="dxa"/>
          </w:tcPr>
          <w:p w14:paraId="71B8829C" w14:textId="77777777" w:rsidR="000756EB" w:rsidRPr="00785106" w:rsidRDefault="000756EB" w:rsidP="009A027D">
            <w:pPr>
              <w:pStyle w:val="TableHeading"/>
              <w:jc w:val="right"/>
              <w:rPr>
                <w:rFonts w:asciiTheme="minorHAnsi" w:hAnsiTheme="minorHAnsi" w:cstheme="minorHAnsi"/>
                <w:lang w:val="en-AU"/>
              </w:rPr>
            </w:pPr>
          </w:p>
        </w:tc>
      </w:tr>
      <w:tr w:rsidR="000756EB" w:rsidRPr="00785106" w14:paraId="647A9F77" w14:textId="77777777" w:rsidTr="009A027D">
        <w:tblPrEx>
          <w:tblLook w:val="0020" w:firstRow="1" w:lastRow="0" w:firstColumn="0" w:lastColumn="0" w:noHBand="0" w:noVBand="0"/>
        </w:tblPrEx>
        <w:trPr>
          <w:cantSplit/>
        </w:trPr>
        <w:tc>
          <w:tcPr>
            <w:tcW w:w="4359" w:type="dxa"/>
          </w:tcPr>
          <w:p w14:paraId="5A587955" w14:textId="313C86E9" w:rsidR="000756EB" w:rsidRPr="00785106" w:rsidRDefault="004A4D88" w:rsidP="00785106">
            <w:pPr>
              <w:pStyle w:val="TableCopy"/>
              <w:keepNext/>
              <w:rPr>
                <w:rFonts w:asciiTheme="minorHAnsi" w:hAnsiTheme="minorHAnsi" w:cstheme="minorHAnsi"/>
              </w:rPr>
            </w:pPr>
            <w:r w:rsidRPr="00785106">
              <w:rPr>
                <w:rFonts w:asciiTheme="minorHAnsi" w:hAnsiTheme="minorHAnsi" w:cstheme="minorHAnsi"/>
              </w:rPr>
              <w:t>Payables</w:t>
            </w:r>
            <w:r w:rsidR="00A03629" w:rsidRPr="00785106">
              <w:rPr>
                <w:rFonts w:asciiTheme="minorHAnsi" w:hAnsiTheme="minorHAnsi" w:cstheme="minorHAnsi"/>
              </w:rPr>
              <w:t xml:space="preserve"> </w:t>
            </w:r>
            <w:r w:rsidRPr="00614829">
              <w:rPr>
                <w:rStyle w:val="FootnotereferencessuperscriptMisc"/>
              </w:rPr>
              <w:t>(</w:t>
            </w:r>
            <w:proofErr w:type="spellStart"/>
            <w:r w:rsidRPr="00614829">
              <w:rPr>
                <w:rStyle w:val="FootnotereferencessuperscriptMisc"/>
              </w:rPr>
              <w:t>i</w:t>
            </w:r>
            <w:proofErr w:type="spellEnd"/>
            <w:r w:rsidRPr="00614829">
              <w:rPr>
                <w:rStyle w:val="FootnotereferencessuperscriptMisc"/>
              </w:rPr>
              <w:t>)</w:t>
            </w:r>
          </w:p>
        </w:tc>
        <w:tc>
          <w:tcPr>
            <w:tcW w:w="1179" w:type="dxa"/>
          </w:tcPr>
          <w:p w14:paraId="0F33953D" w14:textId="77777777" w:rsidR="000756EB" w:rsidRPr="00785106" w:rsidRDefault="000756EB" w:rsidP="009A027D">
            <w:pPr>
              <w:pStyle w:val="TableCopy"/>
              <w:keepNext/>
              <w:jc w:val="right"/>
              <w:rPr>
                <w:rFonts w:asciiTheme="minorHAnsi" w:hAnsiTheme="minorHAnsi" w:cstheme="minorHAnsi"/>
                <w:lang w:val="en-AU"/>
              </w:rPr>
            </w:pPr>
          </w:p>
        </w:tc>
        <w:tc>
          <w:tcPr>
            <w:tcW w:w="1261" w:type="dxa"/>
          </w:tcPr>
          <w:p w14:paraId="48F0F317" w14:textId="77777777" w:rsidR="000756EB" w:rsidRPr="00785106" w:rsidRDefault="000756EB" w:rsidP="009A027D">
            <w:pPr>
              <w:pStyle w:val="TableCopy"/>
              <w:keepNext/>
              <w:jc w:val="right"/>
              <w:rPr>
                <w:rFonts w:asciiTheme="minorHAnsi" w:hAnsiTheme="minorHAnsi" w:cstheme="minorHAnsi"/>
                <w:lang w:val="en-AU"/>
              </w:rPr>
            </w:pPr>
          </w:p>
        </w:tc>
        <w:tc>
          <w:tcPr>
            <w:tcW w:w="1179" w:type="dxa"/>
          </w:tcPr>
          <w:p w14:paraId="5EAAA075" w14:textId="77777777" w:rsidR="000756EB" w:rsidRPr="00785106" w:rsidRDefault="000756EB" w:rsidP="009A027D">
            <w:pPr>
              <w:pStyle w:val="TableCopy"/>
              <w:keepNext/>
              <w:jc w:val="right"/>
              <w:rPr>
                <w:rFonts w:asciiTheme="minorHAnsi" w:hAnsiTheme="minorHAnsi" w:cstheme="minorHAnsi"/>
                <w:lang w:val="en-AU"/>
              </w:rPr>
            </w:pPr>
          </w:p>
        </w:tc>
        <w:tc>
          <w:tcPr>
            <w:tcW w:w="1180" w:type="dxa"/>
          </w:tcPr>
          <w:p w14:paraId="52DA7FF2" w14:textId="77777777" w:rsidR="000756EB" w:rsidRPr="00785106" w:rsidRDefault="000756EB" w:rsidP="009A027D">
            <w:pPr>
              <w:pStyle w:val="TableCopy"/>
              <w:keepNext/>
              <w:jc w:val="right"/>
              <w:rPr>
                <w:rFonts w:asciiTheme="minorHAnsi" w:hAnsiTheme="minorHAnsi" w:cstheme="minorHAnsi"/>
                <w:lang w:val="en-AU"/>
              </w:rPr>
            </w:pPr>
          </w:p>
        </w:tc>
        <w:tc>
          <w:tcPr>
            <w:tcW w:w="1183" w:type="dxa"/>
          </w:tcPr>
          <w:p w14:paraId="236B3FC8" w14:textId="77777777" w:rsidR="000756EB" w:rsidRPr="00785106" w:rsidRDefault="000756EB" w:rsidP="009A027D">
            <w:pPr>
              <w:pStyle w:val="TableCopy"/>
              <w:keepNext/>
              <w:jc w:val="right"/>
              <w:rPr>
                <w:rFonts w:asciiTheme="minorHAnsi" w:hAnsiTheme="minorHAnsi" w:cstheme="minorHAnsi"/>
                <w:lang w:val="en-AU"/>
              </w:rPr>
            </w:pPr>
          </w:p>
        </w:tc>
      </w:tr>
      <w:tr w:rsidR="000756EB" w:rsidRPr="00785106" w14:paraId="46C91452" w14:textId="77777777" w:rsidTr="009A027D">
        <w:tblPrEx>
          <w:tblLook w:val="0020" w:firstRow="1" w:lastRow="0" w:firstColumn="0" w:lastColumn="0" w:noHBand="0" w:noVBand="0"/>
        </w:tblPrEx>
        <w:trPr>
          <w:cantSplit/>
        </w:trPr>
        <w:tc>
          <w:tcPr>
            <w:tcW w:w="4359" w:type="dxa"/>
          </w:tcPr>
          <w:p w14:paraId="4F4480D4" w14:textId="43E57F19" w:rsidR="000756EB" w:rsidRPr="00785106" w:rsidRDefault="004A4D88" w:rsidP="00785106">
            <w:pPr>
              <w:pStyle w:val="TableCopy"/>
              <w:rPr>
                <w:rFonts w:asciiTheme="minorHAnsi" w:hAnsiTheme="minorHAnsi" w:cstheme="minorHAnsi"/>
              </w:rPr>
            </w:pPr>
            <w:r w:rsidRPr="00785106">
              <w:rPr>
                <w:rFonts w:asciiTheme="minorHAnsi" w:hAnsiTheme="minorHAnsi" w:cstheme="minorHAnsi"/>
              </w:rPr>
              <w:t>–</w:t>
            </w:r>
            <w:r w:rsidR="00A03629" w:rsidRPr="00785106">
              <w:rPr>
                <w:rFonts w:asciiTheme="minorHAnsi" w:hAnsiTheme="minorHAnsi" w:cstheme="minorHAnsi"/>
              </w:rPr>
              <w:t xml:space="preserve"> </w:t>
            </w:r>
            <w:r w:rsidRPr="00785106">
              <w:rPr>
                <w:rFonts w:asciiTheme="minorHAnsi" w:hAnsiTheme="minorHAnsi" w:cstheme="minorHAnsi"/>
              </w:rPr>
              <w:t>Supplies</w:t>
            </w:r>
            <w:r w:rsidR="00A03629" w:rsidRPr="00785106">
              <w:rPr>
                <w:rFonts w:asciiTheme="minorHAnsi" w:hAnsiTheme="minorHAnsi" w:cstheme="minorHAnsi"/>
              </w:rPr>
              <w:t xml:space="preserve"> </w:t>
            </w:r>
            <w:r w:rsidRPr="00785106">
              <w:rPr>
                <w:rFonts w:asciiTheme="minorHAnsi" w:hAnsiTheme="minorHAnsi" w:cstheme="minorHAnsi"/>
              </w:rPr>
              <w:t>and</w:t>
            </w:r>
            <w:r w:rsidR="00A03629" w:rsidRPr="00785106">
              <w:rPr>
                <w:rFonts w:asciiTheme="minorHAnsi" w:hAnsiTheme="minorHAnsi" w:cstheme="minorHAnsi"/>
              </w:rPr>
              <w:t xml:space="preserve"> </w:t>
            </w:r>
            <w:r w:rsidRPr="00785106">
              <w:rPr>
                <w:rFonts w:asciiTheme="minorHAnsi" w:hAnsiTheme="minorHAnsi" w:cstheme="minorHAnsi"/>
              </w:rPr>
              <w:t>services</w:t>
            </w:r>
          </w:p>
        </w:tc>
        <w:tc>
          <w:tcPr>
            <w:tcW w:w="1179" w:type="dxa"/>
          </w:tcPr>
          <w:p w14:paraId="120F34BD" w14:textId="52479094" w:rsidR="000756EB" w:rsidRPr="00785106" w:rsidRDefault="004A4D88" w:rsidP="009A027D">
            <w:pPr>
              <w:pStyle w:val="TableCopy"/>
              <w:jc w:val="right"/>
              <w:rPr>
                <w:rFonts w:asciiTheme="minorHAnsi" w:hAnsiTheme="minorHAnsi" w:cstheme="minorHAnsi"/>
              </w:rPr>
            </w:pPr>
            <w:r w:rsidRPr="00785106">
              <w:rPr>
                <w:rFonts w:asciiTheme="minorHAnsi" w:hAnsiTheme="minorHAnsi" w:cstheme="minorHAnsi"/>
              </w:rPr>
              <w:t>–</w:t>
            </w:r>
          </w:p>
        </w:tc>
        <w:tc>
          <w:tcPr>
            <w:tcW w:w="1261" w:type="dxa"/>
          </w:tcPr>
          <w:p w14:paraId="6C66E377" w14:textId="0D4FF9FA" w:rsidR="000756EB" w:rsidRPr="00785106" w:rsidRDefault="004A4D88" w:rsidP="009A027D">
            <w:pPr>
              <w:pStyle w:val="TableCopy"/>
              <w:jc w:val="right"/>
              <w:rPr>
                <w:rFonts w:asciiTheme="minorHAnsi" w:hAnsiTheme="minorHAnsi" w:cstheme="minorHAnsi"/>
              </w:rPr>
            </w:pPr>
            <w:r w:rsidRPr="00785106">
              <w:rPr>
                <w:rFonts w:asciiTheme="minorHAnsi" w:hAnsiTheme="minorHAnsi" w:cstheme="minorHAnsi"/>
              </w:rPr>
              <w:t>–</w:t>
            </w:r>
          </w:p>
        </w:tc>
        <w:tc>
          <w:tcPr>
            <w:tcW w:w="1179" w:type="dxa"/>
          </w:tcPr>
          <w:p w14:paraId="42313DE6" w14:textId="37A81031" w:rsidR="000756EB" w:rsidRPr="00785106" w:rsidRDefault="004A4D88" w:rsidP="009A027D">
            <w:pPr>
              <w:pStyle w:val="TableCopy"/>
              <w:jc w:val="right"/>
              <w:rPr>
                <w:rFonts w:asciiTheme="minorHAnsi" w:hAnsiTheme="minorHAnsi" w:cstheme="minorHAnsi"/>
              </w:rPr>
            </w:pPr>
            <w:r w:rsidRPr="00785106">
              <w:rPr>
                <w:rFonts w:asciiTheme="minorHAnsi" w:hAnsiTheme="minorHAnsi" w:cstheme="minorHAnsi"/>
              </w:rPr>
              <w:t>–</w:t>
            </w:r>
          </w:p>
        </w:tc>
        <w:tc>
          <w:tcPr>
            <w:tcW w:w="1180" w:type="dxa"/>
          </w:tcPr>
          <w:p w14:paraId="76206928" w14:textId="25B9D6F2" w:rsidR="000756EB" w:rsidRPr="00785106" w:rsidRDefault="004A4D88" w:rsidP="009A027D">
            <w:pPr>
              <w:pStyle w:val="TableCopy"/>
              <w:jc w:val="right"/>
              <w:rPr>
                <w:rFonts w:asciiTheme="minorHAnsi" w:hAnsiTheme="minorHAnsi" w:cstheme="minorHAnsi"/>
              </w:rPr>
            </w:pPr>
            <w:r w:rsidRPr="00785106">
              <w:rPr>
                <w:rFonts w:asciiTheme="minorHAnsi" w:hAnsiTheme="minorHAnsi" w:cstheme="minorHAnsi"/>
              </w:rPr>
              <w:t>86,024</w:t>
            </w:r>
          </w:p>
        </w:tc>
        <w:tc>
          <w:tcPr>
            <w:tcW w:w="1183" w:type="dxa"/>
          </w:tcPr>
          <w:p w14:paraId="546F241B" w14:textId="3D79435C" w:rsidR="000756EB" w:rsidRPr="00785106" w:rsidRDefault="004A4D88" w:rsidP="009A027D">
            <w:pPr>
              <w:pStyle w:val="TableCopy"/>
              <w:jc w:val="right"/>
              <w:rPr>
                <w:rFonts w:asciiTheme="minorHAnsi" w:hAnsiTheme="minorHAnsi" w:cstheme="minorHAnsi"/>
              </w:rPr>
            </w:pPr>
            <w:r w:rsidRPr="00785106">
              <w:rPr>
                <w:rFonts w:asciiTheme="minorHAnsi" w:hAnsiTheme="minorHAnsi" w:cstheme="minorHAnsi"/>
              </w:rPr>
              <w:t>86,024</w:t>
            </w:r>
          </w:p>
        </w:tc>
      </w:tr>
      <w:tr w:rsidR="000756EB" w:rsidRPr="00785106" w14:paraId="78435AB8" w14:textId="77777777" w:rsidTr="009A027D">
        <w:tblPrEx>
          <w:tblLook w:val="0020" w:firstRow="1" w:lastRow="0" w:firstColumn="0" w:lastColumn="0" w:noHBand="0" w:noVBand="0"/>
        </w:tblPrEx>
        <w:trPr>
          <w:cantSplit/>
        </w:trPr>
        <w:tc>
          <w:tcPr>
            <w:tcW w:w="4359" w:type="dxa"/>
          </w:tcPr>
          <w:p w14:paraId="2B1D78F0" w14:textId="032B3EEF" w:rsidR="000756EB" w:rsidRPr="00785106" w:rsidRDefault="004A4D88" w:rsidP="00785106">
            <w:pPr>
              <w:pStyle w:val="TableCopy"/>
              <w:rPr>
                <w:rFonts w:asciiTheme="minorHAnsi" w:hAnsiTheme="minorHAnsi" w:cstheme="minorHAnsi"/>
              </w:rPr>
            </w:pPr>
            <w:r w:rsidRPr="00785106">
              <w:rPr>
                <w:rFonts w:asciiTheme="minorHAnsi" w:hAnsiTheme="minorHAnsi" w:cstheme="minorHAnsi"/>
              </w:rPr>
              <w:t>-</w:t>
            </w:r>
            <w:r w:rsidR="00A03629" w:rsidRPr="00785106">
              <w:rPr>
                <w:rFonts w:asciiTheme="minorHAnsi" w:hAnsiTheme="minorHAnsi" w:cstheme="minorHAnsi"/>
              </w:rPr>
              <w:t xml:space="preserve"> </w:t>
            </w:r>
            <w:r w:rsidRPr="00785106">
              <w:rPr>
                <w:rFonts w:asciiTheme="minorHAnsi" w:hAnsiTheme="minorHAnsi" w:cstheme="minorHAnsi"/>
              </w:rPr>
              <w:t>Amounts</w:t>
            </w:r>
            <w:r w:rsidR="00A03629" w:rsidRPr="00785106">
              <w:rPr>
                <w:rFonts w:asciiTheme="minorHAnsi" w:hAnsiTheme="minorHAnsi" w:cstheme="minorHAnsi"/>
              </w:rPr>
              <w:t xml:space="preserve"> </w:t>
            </w:r>
            <w:r w:rsidRPr="00785106">
              <w:rPr>
                <w:rFonts w:asciiTheme="minorHAnsi" w:hAnsiTheme="minorHAnsi" w:cstheme="minorHAnsi"/>
              </w:rPr>
              <w:t>payable</w:t>
            </w:r>
            <w:r w:rsidR="00A03629" w:rsidRPr="00785106">
              <w:rPr>
                <w:rFonts w:asciiTheme="minorHAnsi" w:hAnsiTheme="minorHAnsi" w:cstheme="minorHAnsi"/>
              </w:rPr>
              <w:t xml:space="preserve"> </w:t>
            </w:r>
            <w:r w:rsidRPr="00785106">
              <w:rPr>
                <w:rFonts w:asciiTheme="minorHAnsi" w:hAnsiTheme="minorHAnsi" w:cstheme="minorHAnsi"/>
              </w:rPr>
              <w:t>to</w:t>
            </w:r>
            <w:r w:rsidR="00A03629" w:rsidRPr="00785106">
              <w:rPr>
                <w:rFonts w:asciiTheme="minorHAnsi" w:hAnsiTheme="minorHAnsi" w:cstheme="minorHAnsi"/>
              </w:rPr>
              <w:t xml:space="preserve"> </w:t>
            </w:r>
            <w:r w:rsidRPr="00785106">
              <w:rPr>
                <w:rFonts w:asciiTheme="minorHAnsi" w:hAnsiTheme="minorHAnsi" w:cstheme="minorHAnsi"/>
              </w:rPr>
              <w:t>government</w:t>
            </w:r>
            <w:r w:rsidR="00A03629" w:rsidRPr="00785106">
              <w:rPr>
                <w:rFonts w:asciiTheme="minorHAnsi" w:hAnsiTheme="minorHAnsi" w:cstheme="minorHAnsi"/>
              </w:rPr>
              <w:t xml:space="preserve"> </w:t>
            </w:r>
            <w:r w:rsidRPr="00785106">
              <w:rPr>
                <w:rFonts w:asciiTheme="minorHAnsi" w:hAnsiTheme="minorHAnsi" w:cstheme="minorHAnsi"/>
              </w:rPr>
              <w:t>and</w:t>
            </w:r>
            <w:r w:rsidR="00A03629" w:rsidRPr="00785106">
              <w:rPr>
                <w:rFonts w:asciiTheme="minorHAnsi" w:hAnsiTheme="minorHAnsi" w:cstheme="minorHAnsi"/>
              </w:rPr>
              <w:t xml:space="preserve"> </w:t>
            </w:r>
            <w:r w:rsidRPr="00785106">
              <w:rPr>
                <w:rFonts w:asciiTheme="minorHAnsi" w:hAnsiTheme="minorHAnsi" w:cstheme="minorHAnsi"/>
              </w:rPr>
              <w:t>agencies</w:t>
            </w:r>
          </w:p>
        </w:tc>
        <w:tc>
          <w:tcPr>
            <w:tcW w:w="1179" w:type="dxa"/>
          </w:tcPr>
          <w:p w14:paraId="24B55F4A" w14:textId="317A18CE" w:rsidR="000756EB" w:rsidRPr="00785106" w:rsidRDefault="004A4D88" w:rsidP="009A027D">
            <w:pPr>
              <w:pStyle w:val="TableCopy"/>
              <w:jc w:val="right"/>
              <w:rPr>
                <w:rFonts w:asciiTheme="minorHAnsi" w:hAnsiTheme="minorHAnsi" w:cstheme="minorHAnsi"/>
              </w:rPr>
            </w:pPr>
            <w:r w:rsidRPr="00785106">
              <w:rPr>
                <w:rFonts w:asciiTheme="minorHAnsi" w:hAnsiTheme="minorHAnsi" w:cstheme="minorHAnsi"/>
              </w:rPr>
              <w:t>–</w:t>
            </w:r>
          </w:p>
        </w:tc>
        <w:tc>
          <w:tcPr>
            <w:tcW w:w="1261" w:type="dxa"/>
          </w:tcPr>
          <w:p w14:paraId="5D155407" w14:textId="585597E7" w:rsidR="000756EB" w:rsidRPr="00785106" w:rsidRDefault="004A4D88" w:rsidP="009A027D">
            <w:pPr>
              <w:pStyle w:val="TableCopy"/>
              <w:jc w:val="right"/>
              <w:rPr>
                <w:rFonts w:asciiTheme="minorHAnsi" w:hAnsiTheme="minorHAnsi" w:cstheme="minorHAnsi"/>
              </w:rPr>
            </w:pPr>
            <w:r w:rsidRPr="00785106">
              <w:rPr>
                <w:rFonts w:asciiTheme="minorHAnsi" w:hAnsiTheme="minorHAnsi" w:cstheme="minorHAnsi"/>
              </w:rPr>
              <w:t>–</w:t>
            </w:r>
          </w:p>
        </w:tc>
        <w:tc>
          <w:tcPr>
            <w:tcW w:w="1179" w:type="dxa"/>
          </w:tcPr>
          <w:p w14:paraId="16456896" w14:textId="3DD75618" w:rsidR="000756EB" w:rsidRPr="00785106" w:rsidRDefault="004A4D88" w:rsidP="009A027D">
            <w:pPr>
              <w:pStyle w:val="TableCopy"/>
              <w:jc w:val="right"/>
              <w:rPr>
                <w:rFonts w:asciiTheme="minorHAnsi" w:hAnsiTheme="minorHAnsi" w:cstheme="minorHAnsi"/>
              </w:rPr>
            </w:pPr>
            <w:r w:rsidRPr="00785106">
              <w:rPr>
                <w:rFonts w:asciiTheme="minorHAnsi" w:hAnsiTheme="minorHAnsi" w:cstheme="minorHAnsi"/>
              </w:rPr>
              <w:t>–</w:t>
            </w:r>
          </w:p>
        </w:tc>
        <w:tc>
          <w:tcPr>
            <w:tcW w:w="1180" w:type="dxa"/>
          </w:tcPr>
          <w:p w14:paraId="7FCA0660" w14:textId="13A3AF1B" w:rsidR="000756EB" w:rsidRPr="00785106" w:rsidRDefault="004A4D88" w:rsidP="009A027D">
            <w:pPr>
              <w:pStyle w:val="TableCopy"/>
              <w:jc w:val="right"/>
              <w:rPr>
                <w:rFonts w:asciiTheme="minorHAnsi" w:hAnsiTheme="minorHAnsi" w:cstheme="minorHAnsi"/>
              </w:rPr>
            </w:pPr>
            <w:r w:rsidRPr="00785106">
              <w:rPr>
                <w:rFonts w:asciiTheme="minorHAnsi" w:hAnsiTheme="minorHAnsi" w:cstheme="minorHAnsi"/>
              </w:rPr>
              <w:t>47,639</w:t>
            </w:r>
          </w:p>
        </w:tc>
        <w:tc>
          <w:tcPr>
            <w:tcW w:w="1183" w:type="dxa"/>
          </w:tcPr>
          <w:p w14:paraId="04638072" w14:textId="4474A734" w:rsidR="000756EB" w:rsidRPr="00785106" w:rsidRDefault="004A4D88" w:rsidP="009A027D">
            <w:pPr>
              <w:pStyle w:val="TableCopy"/>
              <w:jc w:val="right"/>
              <w:rPr>
                <w:rFonts w:asciiTheme="minorHAnsi" w:hAnsiTheme="minorHAnsi" w:cstheme="minorHAnsi"/>
              </w:rPr>
            </w:pPr>
            <w:r w:rsidRPr="00785106">
              <w:rPr>
                <w:rFonts w:asciiTheme="minorHAnsi" w:hAnsiTheme="minorHAnsi" w:cstheme="minorHAnsi"/>
              </w:rPr>
              <w:t>47,639</w:t>
            </w:r>
          </w:p>
        </w:tc>
      </w:tr>
      <w:tr w:rsidR="000756EB" w:rsidRPr="00785106" w14:paraId="398647CF" w14:textId="77777777" w:rsidTr="009A027D">
        <w:tblPrEx>
          <w:tblLook w:val="0020" w:firstRow="1" w:lastRow="0" w:firstColumn="0" w:lastColumn="0" w:noHBand="0" w:noVBand="0"/>
        </w:tblPrEx>
        <w:trPr>
          <w:cantSplit/>
        </w:trPr>
        <w:tc>
          <w:tcPr>
            <w:tcW w:w="4359" w:type="dxa"/>
          </w:tcPr>
          <w:p w14:paraId="4AFC45B8" w14:textId="13164675" w:rsidR="000756EB" w:rsidRPr="00785106" w:rsidRDefault="004A4D88" w:rsidP="00785106">
            <w:pPr>
              <w:pStyle w:val="TableCopy"/>
              <w:rPr>
                <w:rFonts w:asciiTheme="minorHAnsi" w:hAnsiTheme="minorHAnsi" w:cstheme="minorHAnsi"/>
              </w:rPr>
            </w:pPr>
            <w:r w:rsidRPr="00785106">
              <w:rPr>
                <w:rFonts w:asciiTheme="minorHAnsi" w:hAnsiTheme="minorHAnsi" w:cstheme="minorHAnsi"/>
              </w:rPr>
              <w:t>–</w:t>
            </w:r>
            <w:r w:rsidR="00A03629" w:rsidRPr="00785106">
              <w:rPr>
                <w:rFonts w:asciiTheme="minorHAnsi" w:hAnsiTheme="minorHAnsi" w:cstheme="minorHAnsi"/>
              </w:rPr>
              <w:t xml:space="preserve"> </w:t>
            </w:r>
            <w:r w:rsidRPr="00785106">
              <w:rPr>
                <w:rFonts w:asciiTheme="minorHAnsi" w:hAnsiTheme="minorHAnsi" w:cstheme="minorHAnsi"/>
              </w:rPr>
              <w:t>Financial</w:t>
            </w:r>
            <w:r w:rsidR="00A03629" w:rsidRPr="00785106">
              <w:rPr>
                <w:rFonts w:asciiTheme="minorHAnsi" w:hAnsiTheme="minorHAnsi" w:cstheme="minorHAnsi"/>
              </w:rPr>
              <w:t xml:space="preserve"> </w:t>
            </w:r>
            <w:r w:rsidRPr="00785106">
              <w:rPr>
                <w:rFonts w:asciiTheme="minorHAnsi" w:hAnsiTheme="minorHAnsi" w:cstheme="minorHAnsi"/>
              </w:rPr>
              <w:t>guarantees</w:t>
            </w:r>
          </w:p>
        </w:tc>
        <w:tc>
          <w:tcPr>
            <w:tcW w:w="1179" w:type="dxa"/>
          </w:tcPr>
          <w:p w14:paraId="4B0B8DDE" w14:textId="7B697904" w:rsidR="000756EB" w:rsidRPr="00785106" w:rsidRDefault="004A4D88" w:rsidP="009A027D">
            <w:pPr>
              <w:pStyle w:val="TableCopy"/>
              <w:jc w:val="right"/>
              <w:rPr>
                <w:rFonts w:asciiTheme="minorHAnsi" w:hAnsiTheme="minorHAnsi" w:cstheme="minorHAnsi"/>
              </w:rPr>
            </w:pPr>
            <w:r w:rsidRPr="00785106">
              <w:rPr>
                <w:rFonts w:asciiTheme="minorHAnsi" w:hAnsiTheme="minorHAnsi" w:cstheme="minorHAnsi"/>
              </w:rPr>
              <w:t>–</w:t>
            </w:r>
          </w:p>
        </w:tc>
        <w:tc>
          <w:tcPr>
            <w:tcW w:w="1261" w:type="dxa"/>
          </w:tcPr>
          <w:p w14:paraId="154E5851" w14:textId="7B5F7DE6" w:rsidR="000756EB" w:rsidRPr="00785106" w:rsidRDefault="004A4D88" w:rsidP="009A027D">
            <w:pPr>
              <w:pStyle w:val="TableCopy"/>
              <w:jc w:val="right"/>
              <w:rPr>
                <w:rFonts w:asciiTheme="minorHAnsi" w:hAnsiTheme="minorHAnsi" w:cstheme="minorHAnsi"/>
              </w:rPr>
            </w:pPr>
            <w:r w:rsidRPr="00785106">
              <w:rPr>
                <w:rFonts w:asciiTheme="minorHAnsi" w:hAnsiTheme="minorHAnsi" w:cstheme="minorHAnsi"/>
              </w:rPr>
              <w:t>–</w:t>
            </w:r>
          </w:p>
        </w:tc>
        <w:tc>
          <w:tcPr>
            <w:tcW w:w="1179" w:type="dxa"/>
          </w:tcPr>
          <w:p w14:paraId="799EC6A8" w14:textId="293A0E4B" w:rsidR="000756EB" w:rsidRPr="00785106" w:rsidRDefault="004A4D88" w:rsidP="009A027D">
            <w:pPr>
              <w:pStyle w:val="TableCopy"/>
              <w:jc w:val="right"/>
              <w:rPr>
                <w:rFonts w:asciiTheme="minorHAnsi" w:hAnsiTheme="minorHAnsi" w:cstheme="minorHAnsi"/>
              </w:rPr>
            </w:pPr>
            <w:r w:rsidRPr="00785106">
              <w:rPr>
                <w:rFonts w:asciiTheme="minorHAnsi" w:hAnsiTheme="minorHAnsi" w:cstheme="minorHAnsi"/>
              </w:rPr>
              <w:t>–</w:t>
            </w:r>
          </w:p>
        </w:tc>
        <w:tc>
          <w:tcPr>
            <w:tcW w:w="1180" w:type="dxa"/>
          </w:tcPr>
          <w:p w14:paraId="5B3813D0" w14:textId="323121A8" w:rsidR="000756EB" w:rsidRPr="00785106" w:rsidRDefault="004A4D88" w:rsidP="009A027D">
            <w:pPr>
              <w:pStyle w:val="TableCopy"/>
              <w:jc w:val="right"/>
              <w:rPr>
                <w:rFonts w:asciiTheme="minorHAnsi" w:hAnsiTheme="minorHAnsi" w:cstheme="minorHAnsi"/>
              </w:rPr>
            </w:pPr>
            <w:r w:rsidRPr="00785106">
              <w:rPr>
                <w:rFonts w:asciiTheme="minorHAnsi" w:hAnsiTheme="minorHAnsi" w:cstheme="minorHAnsi"/>
              </w:rPr>
              <w:t>48,036</w:t>
            </w:r>
          </w:p>
        </w:tc>
        <w:tc>
          <w:tcPr>
            <w:tcW w:w="1183" w:type="dxa"/>
          </w:tcPr>
          <w:p w14:paraId="115D0B46" w14:textId="6A81ABCB" w:rsidR="000756EB" w:rsidRPr="00785106" w:rsidRDefault="004A4D88" w:rsidP="009A027D">
            <w:pPr>
              <w:pStyle w:val="TableCopy"/>
              <w:jc w:val="right"/>
              <w:rPr>
                <w:rFonts w:asciiTheme="minorHAnsi" w:hAnsiTheme="minorHAnsi" w:cstheme="minorHAnsi"/>
              </w:rPr>
            </w:pPr>
            <w:r w:rsidRPr="00785106">
              <w:rPr>
                <w:rFonts w:asciiTheme="minorHAnsi" w:hAnsiTheme="minorHAnsi" w:cstheme="minorHAnsi"/>
              </w:rPr>
              <w:t>48,036</w:t>
            </w:r>
          </w:p>
        </w:tc>
      </w:tr>
      <w:tr w:rsidR="000756EB" w:rsidRPr="00785106" w14:paraId="1F432DE9" w14:textId="77777777" w:rsidTr="009A027D">
        <w:tblPrEx>
          <w:tblLook w:val="0020" w:firstRow="1" w:lastRow="0" w:firstColumn="0" w:lastColumn="0" w:noHBand="0" w:noVBand="0"/>
        </w:tblPrEx>
        <w:trPr>
          <w:cantSplit/>
        </w:trPr>
        <w:tc>
          <w:tcPr>
            <w:tcW w:w="4359" w:type="dxa"/>
          </w:tcPr>
          <w:p w14:paraId="6F7D9FB2" w14:textId="51985C38" w:rsidR="000756EB" w:rsidRPr="00785106" w:rsidRDefault="004A4D88" w:rsidP="00785106">
            <w:pPr>
              <w:pStyle w:val="TableCopy"/>
              <w:rPr>
                <w:rFonts w:asciiTheme="minorHAnsi" w:hAnsiTheme="minorHAnsi" w:cstheme="minorHAnsi"/>
              </w:rPr>
            </w:pPr>
            <w:r w:rsidRPr="00785106">
              <w:rPr>
                <w:rFonts w:asciiTheme="minorHAnsi" w:hAnsiTheme="minorHAnsi" w:cstheme="minorHAnsi"/>
              </w:rPr>
              <w:t>–</w:t>
            </w:r>
            <w:r w:rsidR="00A03629" w:rsidRPr="00785106">
              <w:rPr>
                <w:rFonts w:asciiTheme="minorHAnsi" w:hAnsiTheme="minorHAnsi" w:cstheme="minorHAnsi"/>
              </w:rPr>
              <w:t xml:space="preserve"> </w:t>
            </w:r>
            <w:r w:rsidRPr="00785106">
              <w:rPr>
                <w:rFonts w:asciiTheme="minorHAnsi" w:hAnsiTheme="minorHAnsi" w:cstheme="minorHAnsi"/>
              </w:rPr>
              <w:t>Accrued</w:t>
            </w:r>
            <w:r w:rsidR="00A03629" w:rsidRPr="00785106">
              <w:rPr>
                <w:rFonts w:asciiTheme="minorHAnsi" w:hAnsiTheme="minorHAnsi" w:cstheme="minorHAnsi"/>
              </w:rPr>
              <w:t xml:space="preserve"> </w:t>
            </w:r>
            <w:r w:rsidRPr="00785106">
              <w:rPr>
                <w:rFonts w:asciiTheme="minorHAnsi" w:hAnsiTheme="minorHAnsi" w:cstheme="minorHAnsi"/>
              </w:rPr>
              <w:t>grants</w:t>
            </w:r>
          </w:p>
        </w:tc>
        <w:tc>
          <w:tcPr>
            <w:tcW w:w="1179" w:type="dxa"/>
          </w:tcPr>
          <w:p w14:paraId="41646527" w14:textId="58A8A353" w:rsidR="000756EB" w:rsidRPr="00785106" w:rsidRDefault="004A4D88" w:rsidP="009A027D">
            <w:pPr>
              <w:pStyle w:val="TableCopy"/>
              <w:jc w:val="right"/>
              <w:rPr>
                <w:rFonts w:asciiTheme="minorHAnsi" w:hAnsiTheme="minorHAnsi" w:cstheme="minorHAnsi"/>
              </w:rPr>
            </w:pPr>
            <w:r w:rsidRPr="00785106">
              <w:rPr>
                <w:rFonts w:asciiTheme="minorHAnsi" w:hAnsiTheme="minorHAnsi" w:cstheme="minorHAnsi"/>
              </w:rPr>
              <w:t>–</w:t>
            </w:r>
          </w:p>
        </w:tc>
        <w:tc>
          <w:tcPr>
            <w:tcW w:w="1261" w:type="dxa"/>
          </w:tcPr>
          <w:p w14:paraId="43895BD0" w14:textId="6E283FBF" w:rsidR="000756EB" w:rsidRPr="00785106" w:rsidRDefault="004A4D88" w:rsidP="009A027D">
            <w:pPr>
              <w:pStyle w:val="TableCopy"/>
              <w:jc w:val="right"/>
              <w:rPr>
                <w:rFonts w:asciiTheme="minorHAnsi" w:hAnsiTheme="minorHAnsi" w:cstheme="minorHAnsi"/>
              </w:rPr>
            </w:pPr>
            <w:r w:rsidRPr="00785106">
              <w:rPr>
                <w:rFonts w:asciiTheme="minorHAnsi" w:hAnsiTheme="minorHAnsi" w:cstheme="minorHAnsi"/>
              </w:rPr>
              <w:t>–</w:t>
            </w:r>
          </w:p>
        </w:tc>
        <w:tc>
          <w:tcPr>
            <w:tcW w:w="1179" w:type="dxa"/>
          </w:tcPr>
          <w:p w14:paraId="079421D1" w14:textId="57278428" w:rsidR="000756EB" w:rsidRPr="00785106" w:rsidRDefault="004A4D88" w:rsidP="009A027D">
            <w:pPr>
              <w:pStyle w:val="TableCopy"/>
              <w:jc w:val="right"/>
              <w:rPr>
                <w:rFonts w:asciiTheme="minorHAnsi" w:hAnsiTheme="minorHAnsi" w:cstheme="minorHAnsi"/>
              </w:rPr>
            </w:pPr>
            <w:r w:rsidRPr="00785106">
              <w:rPr>
                <w:rFonts w:asciiTheme="minorHAnsi" w:hAnsiTheme="minorHAnsi" w:cstheme="minorHAnsi"/>
              </w:rPr>
              <w:t>–</w:t>
            </w:r>
          </w:p>
        </w:tc>
        <w:tc>
          <w:tcPr>
            <w:tcW w:w="1180" w:type="dxa"/>
          </w:tcPr>
          <w:p w14:paraId="58E20DF0" w14:textId="55FF2D58" w:rsidR="000756EB" w:rsidRPr="00785106" w:rsidRDefault="004A4D88" w:rsidP="009A027D">
            <w:pPr>
              <w:pStyle w:val="TableCopy"/>
              <w:jc w:val="right"/>
              <w:rPr>
                <w:rFonts w:asciiTheme="minorHAnsi" w:hAnsiTheme="minorHAnsi" w:cstheme="minorHAnsi"/>
              </w:rPr>
            </w:pPr>
            <w:r w:rsidRPr="00785106">
              <w:rPr>
                <w:rFonts w:asciiTheme="minorHAnsi" w:hAnsiTheme="minorHAnsi" w:cstheme="minorHAnsi"/>
              </w:rPr>
              <w:t>184,968</w:t>
            </w:r>
          </w:p>
        </w:tc>
        <w:tc>
          <w:tcPr>
            <w:tcW w:w="1183" w:type="dxa"/>
          </w:tcPr>
          <w:p w14:paraId="733DA72C" w14:textId="4DBB4EAC" w:rsidR="000756EB" w:rsidRPr="00785106" w:rsidRDefault="004A4D88" w:rsidP="009A027D">
            <w:pPr>
              <w:pStyle w:val="TableCopy"/>
              <w:jc w:val="right"/>
              <w:rPr>
                <w:rFonts w:asciiTheme="minorHAnsi" w:hAnsiTheme="minorHAnsi" w:cstheme="minorHAnsi"/>
              </w:rPr>
            </w:pPr>
            <w:r w:rsidRPr="00785106">
              <w:rPr>
                <w:rFonts w:asciiTheme="minorHAnsi" w:hAnsiTheme="minorHAnsi" w:cstheme="minorHAnsi"/>
              </w:rPr>
              <w:t>184,968</w:t>
            </w:r>
          </w:p>
        </w:tc>
      </w:tr>
      <w:tr w:rsidR="000756EB" w:rsidRPr="00785106" w14:paraId="37231913" w14:textId="77777777" w:rsidTr="009A027D">
        <w:tblPrEx>
          <w:tblLook w:val="0020" w:firstRow="1" w:lastRow="0" w:firstColumn="0" w:lastColumn="0" w:noHBand="0" w:noVBand="0"/>
        </w:tblPrEx>
        <w:trPr>
          <w:cantSplit/>
        </w:trPr>
        <w:tc>
          <w:tcPr>
            <w:tcW w:w="4359" w:type="dxa"/>
          </w:tcPr>
          <w:p w14:paraId="6F44FEE9" w14:textId="56DCD61B" w:rsidR="000756EB" w:rsidRPr="00785106" w:rsidRDefault="004A4D88" w:rsidP="00785106">
            <w:pPr>
              <w:pStyle w:val="TableCopy"/>
              <w:rPr>
                <w:rFonts w:asciiTheme="minorHAnsi" w:hAnsiTheme="minorHAnsi" w:cstheme="minorHAnsi"/>
              </w:rPr>
            </w:pPr>
            <w:r w:rsidRPr="00785106">
              <w:rPr>
                <w:rFonts w:asciiTheme="minorHAnsi" w:hAnsiTheme="minorHAnsi" w:cstheme="minorHAnsi"/>
              </w:rPr>
              <w:t>–</w:t>
            </w:r>
            <w:r w:rsidR="00A03629" w:rsidRPr="00785106">
              <w:rPr>
                <w:rFonts w:asciiTheme="minorHAnsi" w:hAnsiTheme="minorHAnsi" w:cstheme="minorHAnsi"/>
              </w:rPr>
              <w:t xml:space="preserve"> </w:t>
            </w:r>
            <w:r w:rsidRPr="00785106">
              <w:rPr>
                <w:rFonts w:asciiTheme="minorHAnsi" w:hAnsiTheme="minorHAnsi" w:cstheme="minorHAnsi"/>
              </w:rPr>
              <w:t>Other</w:t>
            </w:r>
            <w:r w:rsidR="00A03629" w:rsidRPr="00785106">
              <w:rPr>
                <w:rFonts w:asciiTheme="minorHAnsi" w:hAnsiTheme="minorHAnsi" w:cstheme="minorHAnsi"/>
              </w:rPr>
              <w:t xml:space="preserve"> </w:t>
            </w:r>
            <w:r w:rsidRPr="00785106">
              <w:rPr>
                <w:rFonts w:asciiTheme="minorHAnsi" w:hAnsiTheme="minorHAnsi" w:cstheme="minorHAnsi"/>
              </w:rPr>
              <w:t>payables</w:t>
            </w:r>
          </w:p>
        </w:tc>
        <w:tc>
          <w:tcPr>
            <w:tcW w:w="1179" w:type="dxa"/>
          </w:tcPr>
          <w:p w14:paraId="44F4247C" w14:textId="37763517" w:rsidR="000756EB" w:rsidRPr="00785106" w:rsidRDefault="004A4D88" w:rsidP="009A027D">
            <w:pPr>
              <w:pStyle w:val="TableCopy"/>
              <w:jc w:val="right"/>
              <w:rPr>
                <w:rFonts w:asciiTheme="minorHAnsi" w:hAnsiTheme="minorHAnsi" w:cstheme="minorHAnsi"/>
              </w:rPr>
            </w:pPr>
            <w:r w:rsidRPr="00785106">
              <w:rPr>
                <w:rFonts w:asciiTheme="minorHAnsi" w:hAnsiTheme="minorHAnsi" w:cstheme="minorHAnsi"/>
              </w:rPr>
              <w:t>–</w:t>
            </w:r>
          </w:p>
        </w:tc>
        <w:tc>
          <w:tcPr>
            <w:tcW w:w="1261" w:type="dxa"/>
          </w:tcPr>
          <w:p w14:paraId="65287BFE" w14:textId="37A2E40D" w:rsidR="000756EB" w:rsidRPr="00785106" w:rsidRDefault="004A4D88" w:rsidP="009A027D">
            <w:pPr>
              <w:pStyle w:val="TableCopy"/>
              <w:jc w:val="right"/>
              <w:rPr>
                <w:rFonts w:asciiTheme="minorHAnsi" w:hAnsiTheme="minorHAnsi" w:cstheme="minorHAnsi"/>
              </w:rPr>
            </w:pPr>
            <w:r w:rsidRPr="00785106">
              <w:rPr>
                <w:rFonts w:asciiTheme="minorHAnsi" w:hAnsiTheme="minorHAnsi" w:cstheme="minorHAnsi"/>
              </w:rPr>
              <w:t>–</w:t>
            </w:r>
          </w:p>
        </w:tc>
        <w:tc>
          <w:tcPr>
            <w:tcW w:w="1179" w:type="dxa"/>
          </w:tcPr>
          <w:p w14:paraId="5D299C09" w14:textId="2F17A515" w:rsidR="000756EB" w:rsidRPr="00785106" w:rsidRDefault="004A4D88" w:rsidP="009A027D">
            <w:pPr>
              <w:pStyle w:val="TableCopy"/>
              <w:jc w:val="right"/>
              <w:rPr>
                <w:rFonts w:asciiTheme="minorHAnsi" w:hAnsiTheme="minorHAnsi" w:cstheme="minorHAnsi"/>
              </w:rPr>
            </w:pPr>
            <w:r w:rsidRPr="00785106">
              <w:rPr>
                <w:rFonts w:asciiTheme="minorHAnsi" w:hAnsiTheme="minorHAnsi" w:cstheme="minorHAnsi"/>
              </w:rPr>
              <w:t>–</w:t>
            </w:r>
          </w:p>
        </w:tc>
        <w:tc>
          <w:tcPr>
            <w:tcW w:w="1180" w:type="dxa"/>
          </w:tcPr>
          <w:p w14:paraId="2053DA2A" w14:textId="54C8EFB4" w:rsidR="000756EB" w:rsidRPr="00785106" w:rsidRDefault="004A4D88" w:rsidP="009A027D">
            <w:pPr>
              <w:pStyle w:val="TableCopy"/>
              <w:jc w:val="right"/>
              <w:rPr>
                <w:rFonts w:asciiTheme="minorHAnsi" w:hAnsiTheme="minorHAnsi" w:cstheme="minorHAnsi"/>
              </w:rPr>
            </w:pPr>
            <w:r w:rsidRPr="00785106">
              <w:rPr>
                <w:rFonts w:asciiTheme="minorHAnsi" w:hAnsiTheme="minorHAnsi" w:cstheme="minorHAnsi"/>
              </w:rPr>
              <w:t>13,203</w:t>
            </w:r>
          </w:p>
        </w:tc>
        <w:tc>
          <w:tcPr>
            <w:tcW w:w="1183" w:type="dxa"/>
          </w:tcPr>
          <w:p w14:paraId="4BE54F61" w14:textId="1C697EDE" w:rsidR="000756EB" w:rsidRPr="00785106" w:rsidRDefault="004A4D88" w:rsidP="009A027D">
            <w:pPr>
              <w:pStyle w:val="TableCopy"/>
              <w:jc w:val="right"/>
              <w:rPr>
                <w:rFonts w:asciiTheme="minorHAnsi" w:hAnsiTheme="minorHAnsi" w:cstheme="minorHAnsi"/>
              </w:rPr>
            </w:pPr>
            <w:r w:rsidRPr="00785106">
              <w:rPr>
                <w:rFonts w:asciiTheme="minorHAnsi" w:hAnsiTheme="minorHAnsi" w:cstheme="minorHAnsi"/>
              </w:rPr>
              <w:t>13,203</w:t>
            </w:r>
          </w:p>
        </w:tc>
      </w:tr>
      <w:tr w:rsidR="000756EB" w:rsidRPr="00785106" w14:paraId="1A5D77BC" w14:textId="77777777" w:rsidTr="009A027D">
        <w:tblPrEx>
          <w:tblLook w:val="0020" w:firstRow="1" w:lastRow="0" w:firstColumn="0" w:lastColumn="0" w:noHBand="0" w:noVBand="0"/>
        </w:tblPrEx>
        <w:trPr>
          <w:cantSplit/>
        </w:trPr>
        <w:tc>
          <w:tcPr>
            <w:tcW w:w="4359" w:type="dxa"/>
          </w:tcPr>
          <w:p w14:paraId="5885C9C3" w14:textId="77777777" w:rsidR="000756EB" w:rsidRPr="00785106" w:rsidRDefault="004A4D88" w:rsidP="00785106">
            <w:pPr>
              <w:pStyle w:val="TableCopy"/>
              <w:rPr>
                <w:rFonts w:asciiTheme="minorHAnsi" w:hAnsiTheme="minorHAnsi" w:cstheme="minorHAnsi"/>
              </w:rPr>
            </w:pPr>
            <w:r w:rsidRPr="00785106">
              <w:rPr>
                <w:rFonts w:asciiTheme="minorHAnsi" w:hAnsiTheme="minorHAnsi" w:cstheme="minorHAnsi"/>
              </w:rPr>
              <w:t>Borrowings</w:t>
            </w:r>
          </w:p>
        </w:tc>
        <w:tc>
          <w:tcPr>
            <w:tcW w:w="1179" w:type="dxa"/>
          </w:tcPr>
          <w:p w14:paraId="1F9A3235" w14:textId="77777777" w:rsidR="000756EB" w:rsidRPr="00785106" w:rsidRDefault="000756EB" w:rsidP="009A027D">
            <w:pPr>
              <w:pStyle w:val="TableCopy"/>
              <w:jc w:val="right"/>
              <w:rPr>
                <w:rFonts w:asciiTheme="minorHAnsi" w:hAnsiTheme="minorHAnsi" w:cstheme="minorHAnsi"/>
                <w:lang w:val="en-AU"/>
              </w:rPr>
            </w:pPr>
          </w:p>
        </w:tc>
        <w:tc>
          <w:tcPr>
            <w:tcW w:w="1261" w:type="dxa"/>
          </w:tcPr>
          <w:p w14:paraId="7984D219" w14:textId="77777777" w:rsidR="000756EB" w:rsidRPr="00785106" w:rsidRDefault="000756EB" w:rsidP="009A027D">
            <w:pPr>
              <w:pStyle w:val="TableCopy"/>
              <w:jc w:val="right"/>
              <w:rPr>
                <w:rFonts w:asciiTheme="minorHAnsi" w:hAnsiTheme="minorHAnsi" w:cstheme="minorHAnsi"/>
                <w:lang w:val="en-AU"/>
              </w:rPr>
            </w:pPr>
          </w:p>
        </w:tc>
        <w:tc>
          <w:tcPr>
            <w:tcW w:w="1179" w:type="dxa"/>
          </w:tcPr>
          <w:p w14:paraId="777D07C8" w14:textId="77777777" w:rsidR="000756EB" w:rsidRPr="00785106" w:rsidRDefault="000756EB" w:rsidP="009A027D">
            <w:pPr>
              <w:pStyle w:val="TableCopy"/>
              <w:jc w:val="right"/>
              <w:rPr>
                <w:rFonts w:asciiTheme="minorHAnsi" w:hAnsiTheme="minorHAnsi" w:cstheme="minorHAnsi"/>
                <w:lang w:val="en-AU"/>
              </w:rPr>
            </w:pPr>
          </w:p>
        </w:tc>
        <w:tc>
          <w:tcPr>
            <w:tcW w:w="1180" w:type="dxa"/>
          </w:tcPr>
          <w:p w14:paraId="12A089DB" w14:textId="77777777" w:rsidR="000756EB" w:rsidRPr="00785106" w:rsidRDefault="000756EB" w:rsidP="009A027D">
            <w:pPr>
              <w:pStyle w:val="TableCopy"/>
              <w:jc w:val="right"/>
              <w:rPr>
                <w:rFonts w:asciiTheme="minorHAnsi" w:hAnsiTheme="minorHAnsi" w:cstheme="minorHAnsi"/>
                <w:lang w:val="en-AU"/>
              </w:rPr>
            </w:pPr>
          </w:p>
        </w:tc>
        <w:tc>
          <w:tcPr>
            <w:tcW w:w="1183" w:type="dxa"/>
          </w:tcPr>
          <w:p w14:paraId="33D55653" w14:textId="77777777" w:rsidR="000756EB" w:rsidRPr="00785106" w:rsidRDefault="000756EB" w:rsidP="009A027D">
            <w:pPr>
              <w:pStyle w:val="TableCopy"/>
              <w:jc w:val="right"/>
              <w:rPr>
                <w:rFonts w:asciiTheme="minorHAnsi" w:hAnsiTheme="minorHAnsi" w:cstheme="minorHAnsi"/>
                <w:lang w:val="en-AU"/>
              </w:rPr>
            </w:pPr>
          </w:p>
        </w:tc>
      </w:tr>
      <w:tr w:rsidR="000756EB" w:rsidRPr="00785106" w14:paraId="6D4D02CC" w14:textId="77777777" w:rsidTr="009A027D">
        <w:tblPrEx>
          <w:tblLook w:val="0020" w:firstRow="1" w:lastRow="0" w:firstColumn="0" w:lastColumn="0" w:noHBand="0" w:noVBand="0"/>
        </w:tblPrEx>
        <w:trPr>
          <w:cantSplit/>
        </w:trPr>
        <w:tc>
          <w:tcPr>
            <w:tcW w:w="4359" w:type="dxa"/>
          </w:tcPr>
          <w:p w14:paraId="0EC72903" w14:textId="71C2ECA1" w:rsidR="000756EB" w:rsidRPr="00785106" w:rsidRDefault="004A4D88" w:rsidP="00785106">
            <w:pPr>
              <w:pStyle w:val="TableCopy"/>
              <w:rPr>
                <w:rFonts w:asciiTheme="minorHAnsi" w:hAnsiTheme="minorHAnsi" w:cstheme="minorHAnsi"/>
              </w:rPr>
            </w:pPr>
            <w:r w:rsidRPr="00785106">
              <w:rPr>
                <w:rFonts w:asciiTheme="minorHAnsi" w:hAnsiTheme="minorHAnsi" w:cstheme="minorHAnsi"/>
              </w:rPr>
              <w:t>–</w:t>
            </w:r>
            <w:r w:rsidR="00A03629" w:rsidRPr="00785106">
              <w:rPr>
                <w:rFonts w:asciiTheme="minorHAnsi" w:hAnsiTheme="minorHAnsi" w:cstheme="minorHAnsi"/>
              </w:rPr>
              <w:t xml:space="preserve"> </w:t>
            </w:r>
            <w:r w:rsidRPr="00785106">
              <w:rPr>
                <w:rFonts w:asciiTheme="minorHAnsi" w:hAnsiTheme="minorHAnsi" w:cstheme="minorHAnsi"/>
              </w:rPr>
              <w:t>Lease</w:t>
            </w:r>
            <w:r w:rsidR="00A03629" w:rsidRPr="00785106">
              <w:rPr>
                <w:rFonts w:asciiTheme="minorHAnsi" w:hAnsiTheme="minorHAnsi" w:cstheme="minorHAnsi"/>
              </w:rPr>
              <w:t xml:space="preserve"> </w:t>
            </w:r>
            <w:r w:rsidRPr="00785106">
              <w:rPr>
                <w:rFonts w:asciiTheme="minorHAnsi" w:hAnsiTheme="minorHAnsi" w:cstheme="minorHAnsi"/>
              </w:rPr>
              <w:t>liabilities</w:t>
            </w:r>
          </w:p>
        </w:tc>
        <w:tc>
          <w:tcPr>
            <w:tcW w:w="1179" w:type="dxa"/>
          </w:tcPr>
          <w:p w14:paraId="097D1709" w14:textId="02ECC697" w:rsidR="000756EB" w:rsidRPr="00785106" w:rsidRDefault="004A4D88" w:rsidP="009A027D">
            <w:pPr>
              <w:pStyle w:val="TableCopy"/>
              <w:jc w:val="right"/>
              <w:rPr>
                <w:rFonts w:asciiTheme="minorHAnsi" w:hAnsiTheme="minorHAnsi" w:cstheme="minorHAnsi"/>
              </w:rPr>
            </w:pPr>
            <w:r w:rsidRPr="00785106">
              <w:rPr>
                <w:rFonts w:asciiTheme="minorHAnsi" w:hAnsiTheme="minorHAnsi" w:cstheme="minorHAnsi"/>
              </w:rPr>
              <w:t>–</w:t>
            </w:r>
          </w:p>
        </w:tc>
        <w:tc>
          <w:tcPr>
            <w:tcW w:w="1261" w:type="dxa"/>
          </w:tcPr>
          <w:p w14:paraId="1EE95790" w14:textId="0A4B7F3F" w:rsidR="000756EB" w:rsidRPr="00785106" w:rsidRDefault="004A4D88" w:rsidP="009A027D">
            <w:pPr>
              <w:pStyle w:val="TableCopy"/>
              <w:jc w:val="right"/>
              <w:rPr>
                <w:rFonts w:asciiTheme="minorHAnsi" w:hAnsiTheme="minorHAnsi" w:cstheme="minorHAnsi"/>
              </w:rPr>
            </w:pPr>
            <w:r w:rsidRPr="00785106">
              <w:rPr>
                <w:rFonts w:asciiTheme="minorHAnsi" w:hAnsiTheme="minorHAnsi" w:cstheme="minorHAnsi"/>
              </w:rPr>
              <w:t>–</w:t>
            </w:r>
          </w:p>
        </w:tc>
        <w:tc>
          <w:tcPr>
            <w:tcW w:w="1179" w:type="dxa"/>
          </w:tcPr>
          <w:p w14:paraId="78D0F7FD" w14:textId="4DAFF628" w:rsidR="000756EB" w:rsidRPr="00785106" w:rsidRDefault="004A4D88" w:rsidP="009A027D">
            <w:pPr>
              <w:pStyle w:val="TableCopy"/>
              <w:jc w:val="right"/>
              <w:rPr>
                <w:rFonts w:asciiTheme="minorHAnsi" w:hAnsiTheme="minorHAnsi" w:cstheme="minorHAnsi"/>
              </w:rPr>
            </w:pPr>
            <w:r w:rsidRPr="00785106">
              <w:rPr>
                <w:rFonts w:asciiTheme="minorHAnsi" w:hAnsiTheme="minorHAnsi" w:cstheme="minorHAnsi"/>
              </w:rPr>
              <w:t>–</w:t>
            </w:r>
          </w:p>
        </w:tc>
        <w:tc>
          <w:tcPr>
            <w:tcW w:w="1180" w:type="dxa"/>
          </w:tcPr>
          <w:p w14:paraId="03C6AC76" w14:textId="72833817" w:rsidR="000756EB" w:rsidRPr="00785106" w:rsidRDefault="004A4D88" w:rsidP="009A027D">
            <w:pPr>
              <w:pStyle w:val="TableCopy"/>
              <w:jc w:val="right"/>
              <w:rPr>
                <w:rFonts w:asciiTheme="minorHAnsi" w:hAnsiTheme="minorHAnsi" w:cstheme="minorHAnsi"/>
              </w:rPr>
            </w:pPr>
            <w:r w:rsidRPr="00785106">
              <w:rPr>
                <w:rFonts w:asciiTheme="minorHAnsi" w:hAnsiTheme="minorHAnsi" w:cstheme="minorHAnsi"/>
              </w:rPr>
              <w:t>299,985</w:t>
            </w:r>
          </w:p>
        </w:tc>
        <w:tc>
          <w:tcPr>
            <w:tcW w:w="1183" w:type="dxa"/>
          </w:tcPr>
          <w:p w14:paraId="77D2CE9B" w14:textId="7232E405" w:rsidR="000756EB" w:rsidRPr="00785106" w:rsidRDefault="004A4D88" w:rsidP="009A027D">
            <w:pPr>
              <w:pStyle w:val="TableCopy"/>
              <w:jc w:val="right"/>
              <w:rPr>
                <w:rFonts w:asciiTheme="minorHAnsi" w:hAnsiTheme="minorHAnsi" w:cstheme="minorHAnsi"/>
              </w:rPr>
            </w:pPr>
            <w:r w:rsidRPr="00785106">
              <w:rPr>
                <w:rFonts w:asciiTheme="minorHAnsi" w:hAnsiTheme="minorHAnsi" w:cstheme="minorHAnsi"/>
              </w:rPr>
              <w:t>299,985</w:t>
            </w:r>
          </w:p>
        </w:tc>
      </w:tr>
      <w:tr w:rsidR="000756EB" w:rsidRPr="00785106" w14:paraId="760C9B21" w14:textId="77777777" w:rsidTr="009A027D">
        <w:tblPrEx>
          <w:tblLook w:val="0020" w:firstRow="1" w:lastRow="0" w:firstColumn="0" w:lastColumn="0" w:noHBand="0" w:noVBand="0"/>
        </w:tblPrEx>
        <w:trPr>
          <w:cantSplit/>
        </w:trPr>
        <w:tc>
          <w:tcPr>
            <w:tcW w:w="4359" w:type="dxa"/>
          </w:tcPr>
          <w:p w14:paraId="3E713AEE" w14:textId="6CB9941D" w:rsidR="000756EB" w:rsidRPr="00785106" w:rsidRDefault="004A4D88" w:rsidP="00785106">
            <w:pPr>
              <w:pStyle w:val="TableCopy"/>
              <w:rPr>
                <w:rFonts w:asciiTheme="minorHAnsi" w:hAnsiTheme="minorHAnsi" w:cstheme="minorHAnsi"/>
              </w:rPr>
            </w:pPr>
            <w:r w:rsidRPr="00785106">
              <w:rPr>
                <w:rFonts w:asciiTheme="minorHAnsi" w:hAnsiTheme="minorHAnsi" w:cstheme="minorHAnsi"/>
              </w:rPr>
              <w:t>–</w:t>
            </w:r>
            <w:r w:rsidR="00A03629" w:rsidRPr="00785106">
              <w:rPr>
                <w:rFonts w:asciiTheme="minorHAnsi" w:hAnsiTheme="minorHAnsi" w:cstheme="minorHAnsi"/>
              </w:rPr>
              <w:t xml:space="preserve"> </w:t>
            </w:r>
            <w:r w:rsidRPr="00785106">
              <w:rPr>
                <w:rFonts w:asciiTheme="minorHAnsi" w:hAnsiTheme="minorHAnsi" w:cstheme="minorHAnsi"/>
              </w:rPr>
              <w:t>Advances</w:t>
            </w:r>
            <w:r w:rsidR="00A03629" w:rsidRPr="00785106">
              <w:rPr>
                <w:rFonts w:asciiTheme="minorHAnsi" w:hAnsiTheme="minorHAnsi" w:cstheme="minorHAnsi"/>
              </w:rPr>
              <w:t xml:space="preserve"> </w:t>
            </w:r>
            <w:r w:rsidRPr="00785106">
              <w:rPr>
                <w:rFonts w:asciiTheme="minorHAnsi" w:hAnsiTheme="minorHAnsi" w:cstheme="minorHAnsi"/>
              </w:rPr>
              <w:t>from</w:t>
            </w:r>
            <w:r w:rsidR="00A03629" w:rsidRPr="00785106">
              <w:rPr>
                <w:rFonts w:asciiTheme="minorHAnsi" w:hAnsiTheme="minorHAnsi" w:cstheme="minorHAnsi"/>
              </w:rPr>
              <w:t xml:space="preserve"> </w:t>
            </w:r>
            <w:r w:rsidRPr="00785106">
              <w:rPr>
                <w:rFonts w:asciiTheme="minorHAnsi" w:hAnsiTheme="minorHAnsi" w:cstheme="minorHAnsi"/>
              </w:rPr>
              <w:t>government</w:t>
            </w:r>
          </w:p>
        </w:tc>
        <w:tc>
          <w:tcPr>
            <w:tcW w:w="1179" w:type="dxa"/>
          </w:tcPr>
          <w:p w14:paraId="18EE88D1" w14:textId="526DAEA2" w:rsidR="000756EB" w:rsidRPr="00785106" w:rsidRDefault="004A4D88" w:rsidP="009A027D">
            <w:pPr>
              <w:pStyle w:val="TableCopy"/>
              <w:jc w:val="right"/>
              <w:rPr>
                <w:rFonts w:asciiTheme="minorHAnsi" w:hAnsiTheme="minorHAnsi" w:cstheme="minorHAnsi"/>
              </w:rPr>
            </w:pPr>
            <w:r w:rsidRPr="00785106">
              <w:rPr>
                <w:rFonts w:asciiTheme="minorHAnsi" w:hAnsiTheme="minorHAnsi" w:cstheme="minorHAnsi"/>
              </w:rPr>
              <w:t>–</w:t>
            </w:r>
          </w:p>
        </w:tc>
        <w:tc>
          <w:tcPr>
            <w:tcW w:w="1261" w:type="dxa"/>
          </w:tcPr>
          <w:p w14:paraId="120370ED" w14:textId="7FA9A271" w:rsidR="000756EB" w:rsidRPr="00785106" w:rsidRDefault="004A4D88" w:rsidP="009A027D">
            <w:pPr>
              <w:pStyle w:val="TableCopy"/>
              <w:jc w:val="right"/>
              <w:rPr>
                <w:rFonts w:asciiTheme="minorHAnsi" w:hAnsiTheme="minorHAnsi" w:cstheme="minorHAnsi"/>
              </w:rPr>
            </w:pPr>
            <w:r w:rsidRPr="00785106">
              <w:rPr>
                <w:rFonts w:asciiTheme="minorHAnsi" w:hAnsiTheme="minorHAnsi" w:cstheme="minorHAnsi"/>
              </w:rPr>
              <w:t>–</w:t>
            </w:r>
          </w:p>
        </w:tc>
        <w:tc>
          <w:tcPr>
            <w:tcW w:w="1179" w:type="dxa"/>
          </w:tcPr>
          <w:p w14:paraId="290FF403" w14:textId="3BE483AD" w:rsidR="000756EB" w:rsidRPr="00785106" w:rsidRDefault="004A4D88" w:rsidP="009A027D">
            <w:pPr>
              <w:pStyle w:val="TableCopy"/>
              <w:jc w:val="right"/>
              <w:rPr>
                <w:rFonts w:asciiTheme="minorHAnsi" w:hAnsiTheme="minorHAnsi" w:cstheme="minorHAnsi"/>
              </w:rPr>
            </w:pPr>
            <w:r w:rsidRPr="00785106">
              <w:rPr>
                <w:rFonts w:asciiTheme="minorHAnsi" w:hAnsiTheme="minorHAnsi" w:cstheme="minorHAnsi"/>
              </w:rPr>
              <w:t>–</w:t>
            </w:r>
          </w:p>
        </w:tc>
        <w:tc>
          <w:tcPr>
            <w:tcW w:w="1180" w:type="dxa"/>
          </w:tcPr>
          <w:p w14:paraId="6410EE9B" w14:textId="489C54EB" w:rsidR="000756EB" w:rsidRPr="00785106" w:rsidRDefault="004A4D88" w:rsidP="009A027D">
            <w:pPr>
              <w:pStyle w:val="TableCopy"/>
              <w:jc w:val="right"/>
              <w:rPr>
                <w:rFonts w:asciiTheme="minorHAnsi" w:hAnsiTheme="minorHAnsi" w:cstheme="minorHAnsi"/>
              </w:rPr>
            </w:pPr>
            <w:r w:rsidRPr="00785106">
              <w:rPr>
                <w:rFonts w:asciiTheme="minorHAnsi" w:hAnsiTheme="minorHAnsi" w:cstheme="minorHAnsi"/>
              </w:rPr>
              <w:t>62,751</w:t>
            </w:r>
          </w:p>
        </w:tc>
        <w:tc>
          <w:tcPr>
            <w:tcW w:w="1183" w:type="dxa"/>
          </w:tcPr>
          <w:p w14:paraId="789E9024" w14:textId="39E6A6DB" w:rsidR="000756EB" w:rsidRPr="00785106" w:rsidRDefault="004A4D88" w:rsidP="009A027D">
            <w:pPr>
              <w:pStyle w:val="TableCopy"/>
              <w:jc w:val="right"/>
              <w:rPr>
                <w:rFonts w:asciiTheme="minorHAnsi" w:hAnsiTheme="minorHAnsi" w:cstheme="minorHAnsi"/>
              </w:rPr>
            </w:pPr>
            <w:r w:rsidRPr="00785106">
              <w:rPr>
                <w:rFonts w:asciiTheme="minorHAnsi" w:hAnsiTheme="minorHAnsi" w:cstheme="minorHAnsi"/>
              </w:rPr>
              <w:t>62,751</w:t>
            </w:r>
          </w:p>
        </w:tc>
      </w:tr>
      <w:tr w:rsidR="000756EB" w:rsidRPr="00785106" w14:paraId="0B1D495E" w14:textId="77777777" w:rsidTr="009A027D">
        <w:tblPrEx>
          <w:tblLook w:val="0020" w:firstRow="1" w:lastRow="0" w:firstColumn="0" w:lastColumn="0" w:noHBand="0" w:noVBand="0"/>
        </w:tblPrEx>
        <w:trPr>
          <w:cantSplit/>
        </w:trPr>
        <w:tc>
          <w:tcPr>
            <w:tcW w:w="4359" w:type="dxa"/>
          </w:tcPr>
          <w:p w14:paraId="5CA82A1C" w14:textId="6F7D8E38" w:rsidR="000756EB" w:rsidRPr="00785106" w:rsidRDefault="004A4D88" w:rsidP="00785106">
            <w:pPr>
              <w:pStyle w:val="TableCopy"/>
              <w:rPr>
                <w:rFonts w:asciiTheme="minorHAnsi" w:hAnsiTheme="minorHAnsi" w:cstheme="minorHAnsi"/>
              </w:rPr>
            </w:pPr>
            <w:r w:rsidRPr="00785106">
              <w:rPr>
                <w:rFonts w:asciiTheme="minorHAnsi" w:hAnsiTheme="minorHAnsi" w:cstheme="minorHAnsi"/>
              </w:rPr>
              <w:t>–</w:t>
            </w:r>
            <w:r w:rsidR="00A03629" w:rsidRPr="00785106">
              <w:rPr>
                <w:rFonts w:asciiTheme="minorHAnsi" w:hAnsiTheme="minorHAnsi" w:cstheme="minorHAnsi"/>
              </w:rPr>
              <w:t xml:space="preserve"> </w:t>
            </w:r>
            <w:r w:rsidRPr="00785106">
              <w:rPr>
                <w:rFonts w:asciiTheme="minorHAnsi" w:hAnsiTheme="minorHAnsi" w:cstheme="minorHAnsi"/>
              </w:rPr>
              <w:t>Advances</w:t>
            </w:r>
            <w:r w:rsidR="00A03629" w:rsidRPr="00785106">
              <w:rPr>
                <w:rFonts w:asciiTheme="minorHAnsi" w:hAnsiTheme="minorHAnsi" w:cstheme="minorHAnsi"/>
              </w:rPr>
              <w:t xml:space="preserve"> </w:t>
            </w:r>
            <w:r w:rsidRPr="00785106">
              <w:rPr>
                <w:rFonts w:asciiTheme="minorHAnsi" w:hAnsiTheme="minorHAnsi" w:cstheme="minorHAnsi"/>
              </w:rPr>
              <w:t>from</w:t>
            </w:r>
            <w:r w:rsidR="00A03629" w:rsidRPr="00785106">
              <w:rPr>
                <w:rFonts w:asciiTheme="minorHAnsi" w:hAnsiTheme="minorHAnsi" w:cstheme="minorHAnsi"/>
              </w:rPr>
              <w:t xml:space="preserve"> </w:t>
            </w:r>
            <w:r w:rsidRPr="00785106">
              <w:rPr>
                <w:rFonts w:asciiTheme="minorHAnsi" w:hAnsiTheme="minorHAnsi" w:cstheme="minorHAnsi"/>
              </w:rPr>
              <w:t>Commonwealth</w:t>
            </w:r>
          </w:p>
        </w:tc>
        <w:tc>
          <w:tcPr>
            <w:tcW w:w="1179" w:type="dxa"/>
          </w:tcPr>
          <w:p w14:paraId="3A646E61" w14:textId="582C2D36" w:rsidR="000756EB" w:rsidRPr="00785106" w:rsidRDefault="004A4D88" w:rsidP="009A027D">
            <w:pPr>
              <w:pStyle w:val="TableCopy"/>
              <w:jc w:val="right"/>
              <w:rPr>
                <w:rFonts w:asciiTheme="minorHAnsi" w:hAnsiTheme="minorHAnsi" w:cstheme="minorHAnsi"/>
              </w:rPr>
            </w:pPr>
            <w:r w:rsidRPr="00785106">
              <w:rPr>
                <w:rFonts w:asciiTheme="minorHAnsi" w:hAnsiTheme="minorHAnsi" w:cstheme="minorHAnsi"/>
              </w:rPr>
              <w:t>–</w:t>
            </w:r>
          </w:p>
        </w:tc>
        <w:tc>
          <w:tcPr>
            <w:tcW w:w="1261" w:type="dxa"/>
          </w:tcPr>
          <w:p w14:paraId="39EB62E5" w14:textId="7B2B5C5C" w:rsidR="000756EB" w:rsidRPr="00785106" w:rsidRDefault="004A4D88" w:rsidP="009A027D">
            <w:pPr>
              <w:pStyle w:val="TableCopy"/>
              <w:jc w:val="right"/>
              <w:rPr>
                <w:rFonts w:asciiTheme="minorHAnsi" w:hAnsiTheme="minorHAnsi" w:cstheme="minorHAnsi"/>
              </w:rPr>
            </w:pPr>
            <w:r w:rsidRPr="00785106">
              <w:rPr>
                <w:rFonts w:asciiTheme="minorHAnsi" w:hAnsiTheme="minorHAnsi" w:cstheme="minorHAnsi"/>
              </w:rPr>
              <w:t>–</w:t>
            </w:r>
          </w:p>
        </w:tc>
        <w:tc>
          <w:tcPr>
            <w:tcW w:w="1179" w:type="dxa"/>
          </w:tcPr>
          <w:p w14:paraId="163DB500" w14:textId="472929D7" w:rsidR="000756EB" w:rsidRPr="00785106" w:rsidRDefault="004A4D88" w:rsidP="009A027D">
            <w:pPr>
              <w:pStyle w:val="TableCopy"/>
              <w:jc w:val="right"/>
              <w:rPr>
                <w:rFonts w:asciiTheme="minorHAnsi" w:hAnsiTheme="minorHAnsi" w:cstheme="minorHAnsi"/>
              </w:rPr>
            </w:pPr>
            <w:r w:rsidRPr="00785106">
              <w:rPr>
                <w:rFonts w:asciiTheme="minorHAnsi" w:hAnsiTheme="minorHAnsi" w:cstheme="minorHAnsi"/>
              </w:rPr>
              <w:t>–</w:t>
            </w:r>
          </w:p>
        </w:tc>
        <w:tc>
          <w:tcPr>
            <w:tcW w:w="1180" w:type="dxa"/>
          </w:tcPr>
          <w:p w14:paraId="58557141" w14:textId="1136FFDD" w:rsidR="000756EB" w:rsidRPr="00785106" w:rsidRDefault="004A4D88" w:rsidP="009A027D">
            <w:pPr>
              <w:pStyle w:val="TableCopy"/>
              <w:jc w:val="right"/>
              <w:rPr>
                <w:rFonts w:asciiTheme="minorHAnsi" w:hAnsiTheme="minorHAnsi" w:cstheme="minorHAnsi"/>
              </w:rPr>
            </w:pPr>
            <w:r w:rsidRPr="00785106">
              <w:rPr>
                <w:rFonts w:asciiTheme="minorHAnsi" w:hAnsiTheme="minorHAnsi" w:cstheme="minorHAnsi"/>
              </w:rPr>
              <w:t>142,767</w:t>
            </w:r>
          </w:p>
        </w:tc>
        <w:tc>
          <w:tcPr>
            <w:tcW w:w="1183" w:type="dxa"/>
          </w:tcPr>
          <w:p w14:paraId="60E6A38D" w14:textId="299653DF" w:rsidR="000756EB" w:rsidRPr="00785106" w:rsidRDefault="004A4D88" w:rsidP="009A027D">
            <w:pPr>
              <w:pStyle w:val="TableCopy"/>
              <w:jc w:val="right"/>
              <w:rPr>
                <w:rFonts w:asciiTheme="minorHAnsi" w:hAnsiTheme="minorHAnsi" w:cstheme="minorHAnsi"/>
              </w:rPr>
            </w:pPr>
            <w:r w:rsidRPr="00785106">
              <w:rPr>
                <w:rFonts w:asciiTheme="minorHAnsi" w:hAnsiTheme="minorHAnsi" w:cstheme="minorHAnsi"/>
              </w:rPr>
              <w:t>142,767</w:t>
            </w:r>
          </w:p>
        </w:tc>
      </w:tr>
      <w:tr w:rsidR="000756EB" w:rsidRPr="009A027D" w14:paraId="0DD34BCF" w14:textId="77777777" w:rsidTr="009A027D">
        <w:tblPrEx>
          <w:tblLook w:val="0020" w:firstRow="1" w:lastRow="0" w:firstColumn="0" w:lastColumn="0" w:noHBand="0" w:noVBand="0"/>
        </w:tblPrEx>
        <w:trPr>
          <w:cantSplit/>
        </w:trPr>
        <w:tc>
          <w:tcPr>
            <w:tcW w:w="4359" w:type="dxa"/>
          </w:tcPr>
          <w:p w14:paraId="7D945943" w14:textId="4EAD9C36" w:rsidR="000756EB" w:rsidRPr="009A027D" w:rsidRDefault="004A4D88" w:rsidP="009A027D">
            <w:pPr>
              <w:pStyle w:val="TableCopy"/>
              <w:rPr>
                <w:b/>
                <w:bCs/>
              </w:rPr>
            </w:pPr>
            <w:r w:rsidRPr="009A027D">
              <w:rPr>
                <w:b/>
                <w:bCs/>
              </w:rPr>
              <w:t>Total</w:t>
            </w:r>
            <w:r w:rsidR="00A03629" w:rsidRPr="009A027D">
              <w:rPr>
                <w:b/>
                <w:bCs/>
              </w:rPr>
              <w:t xml:space="preserve"> </w:t>
            </w:r>
            <w:r w:rsidRPr="009A027D">
              <w:rPr>
                <w:b/>
                <w:bCs/>
              </w:rPr>
              <w:t>contractual</w:t>
            </w:r>
            <w:r w:rsidR="00A03629" w:rsidRPr="009A027D">
              <w:rPr>
                <w:b/>
                <w:bCs/>
              </w:rPr>
              <w:t xml:space="preserve"> </w:t>
            </w:r>
            <w:r w:rsidRPr="009A027D">
              <w:rPr>
                <w:b/>
                <w:bCs/>
              </w:rPr>
              <w:t>financial</w:t>
            </w:r>
            <w:r w:rsidR="00A03629" w:rsidRPr="009A027D">
              <w:rPr>
                <w:b/>
                <w:bCs/>
              </w:rPr>
              <w:t xml:space="preserve"> </w:t>
            </w:r>
            <w:r w:rsidRPr="009A027D">
              <w:rPr>
                <w:b/>
                <w:bCs/>
              </w:rPr>
              <w:t>liabilities</w:t>
            </w:r>
          </w:p>
        </w:tc>
        <w:tc>
          <w:tcPr>
            <w:tcW w:w="1179" w:type="dxa"/>
          </w:tcPr>
          <w:p w14:paraId="3F314F6F" w14:textId="6793652D" w:rsidR="000756EB" w:rsidRPr="009A027D" w:rsidRDefault="004A4D88" w:rsidP="009A027D">
            <w:pPr>
              <w:pStyle w:val="TableCopy"/>
              <w:jc w:val="right"/>
              <w:rPr>
                <w:b/>
                <w:bCs/>
              </w:rPr>
            </w:pPr>
            <w:r w:rsidRPr="009A027D">
              <w:rPr>
                <w:b/>
                <w:bCs/>
              </w:rPr>
              <w:t>–</w:t>
            </w:r>
          </w:p>
        </w:tc>
        <w:tc>
          <w:tcPr>
            <w:tcW w:w="1261" w:type="dxa"/>
          </w:tcPr>
          <w:p w14:paraId="61C124F9" w14:textId="5D351842" w:rsidR="000756EB" w:rsidRPr="009A027D" w:rsidRDefault="004A4D88" w:rsidP="009A027D">
            <w:pPr>
              <w:pStyle w:val="TableCopy"/>
              <w:jc w:val="right"/>
              <w:rPr>
                <w:b/>
                <w:bCs/>
              </w:rPr>
            </w:pPr>
            <w:r w:rsidRPr="009A027D">
              <w:rPr>
                <w:b/>
                <w:bCs/>
              </w:rPr>
              <w:t>–</w:t>
            </w:r>
          </w:p>
        </w:tc>
        <w:tc>
          <w:tcPr>
            <w:tcW w:w="1179" w:type="dxa"/>
          </w:tcPr>
          <w:p w14:paraId="49B44185" w14:textId="1D491490" w:rsidR="000756EB" w:rsidRPr="009A027D" w:rsidRDefault="004A4D88" w:rsidP="009A027D">
            <w:pPr>
              <w:pStyle w:val="TableCopy"/>
              <w:jc w:val="right"/>
              <w:rPr>
                <w:b/>
                <w:bCs/>
              </w:rPr>
            </w:pPr>
            <w:r w:rsidRPr="009A027D">
              <w:rPr>
                <w:b/>
                <w:bCs/>
              </w:rPr>
              <w:t>–</w:t>
            </w:r>
          </w:p>
        </w:tc>
        <w:tc>
          <w:tcPr>
            <w:tcW w:w="1180" w:type="dxa"/>
          </w:tcPr>
          <w:p w14:paraId="234255B9" w14:textId="6F24A9D3" w:rsidR="000756EB" w:rsidRPr="009A027D" w:rsidRDefault="004A4D88" w:rsidP="009A027D">
            <w:pPr>
              <w:pStyle w:val="TableCopy"/>
              <w:jc w:val="right"/>
              <w:rPr>
                <w:b/>
                <w:bCs/>
              </w:rPr>
            </w:pPr>
            <w:r w:rsidRPr="009A027D">
              <w:rPr>
                <w:b/>
                <w:bCs/>
              </w:rPr>
              <w:t>885,373</w:t>
            </w:r>
          </w:p>
        </w:tc>
        <w:tc>
          <w:tcPr>
            <w:tcW w:w="1183" w:type="dxa"/>
          </w:tcPr>
          <w:p w14:paraId="42DF5BD8" w14:textId="0114EBF8" w:rsidR="000756EB" w:rsidRPr="009A027D" w:rsidRDefault="004A4D88" w:rsidP="009A027D">
            <w:pPr>
              <w:pStyle w:val="TableCopy"/>
              <w:jc w:val="right"/>
              <w:rPr>
                <w:b/>
                <w:bCs/>
              </w:rPr>
            </w:pPr>
            <w:r w:rsidRPr="009A027D">
              <w:rPr>
                <w:b/>
                <w:bCs/>
              </w:rPr>
              <w:t>885,373</w:t>
            </w:r>
          </w:p>
        </w:tc>
      </w:tr>
    </w:tbl>
    <w:p w14:paraId="6B032462" w14:textId="6BC1DB84" w:rsidR="000756EB" w:rsidRDefault="009A027D" w:rsidP="009A027D">
      <w:pPr>
        <w:pStyle w:val="FootnoteText"/>
        <w:spacing w:before="120" w:after="280"/>
      </w:pPr>
      <w:r>
        <w:t>(</w:t>
      </w:r>
      <w:proofErr w:type="spellStart"/>
      <w:r>
        <w:t>i</w:t>
      </w:r>
      <w:proofErr w:type="spellEnd"/>
      <w:r>
        <w:t>) Receivables and payables disclosed above exclude statutory receivables (i.e. GST recoverable) and statutory payables (i.e. taxes payable).</w:t>
      </w:r>
    </w:p>
    <w:p w14:paraId="3F43156B" w14:textId="7C860C40" w:rsidR="000756EB" w:rsidRDefault="004A4D88" w:rsidP="00AE5532">
      <w:pPr>
        <w:pStyle w:val="Heading3"/>
      </w:pPr>
      <w:r>
        <w:lastRenderedPageBreak/>
        <w:t>8.1.2</w:t>
      </w:r>
      <w:r w:rsidR="00DE38B5">
        <w:t xml:space="preserve"> </w:t>
      </w:r>
      <w:r>
        <w:t>Financial</w:t>
      </w:r>
      <w:r w:rsidR="00A03629">
        <w:t xml:space="preserve"> </w:t>
      </w:r>
      <w:r>
        <w:t>instruments:</w:t>
      </w:r>
      <w:r w:rsidR="00A03629">
        <w:t xml:space="preserve"> </w:t>
      </w:r>
      <w:r>
        <w:t>Net</w:t>
      </w:r>
      <w:r w:rsidR="00A03629">
        <w:t xml:space="preserve"> </w:t>
      </w:r>
      <w:r>
        <w:t>holding</w:t>
      </w:r>
      <w:r w:rsidR="00A03629">
        <w:t xml:space="preserve"> </w:t>
      </w:r>
      <w:r>
        <w:t>gain/(loss)</w:t>
      </w:r>
      <w:r w:rsidR="00A03629">
        <w:t xml:space="preserve"> </w:t>
      </w:r>
      <w:r>
        <w:t>on</w:t>
      </w:r>
      <w:r w:rsidR="00A03629">
        <w:t xml:space="preserve"> </w:t>
      </w:r>
      <w:r>
        <w:t>financial</w:t>
      </w:r>
      <w:r w:rsidR="00A03629">
        <w:t xml:space="preserve"> </w:t>
      </w:r>
      <w:r>
        <w:t>instruments</w:t>
      </w:r>
      <w:r w:rsidR="00A03629">
        <w:t xml:space="preserve"> </w:t>
      </w:r>
      <w:r>
        <w:t>by</w:t>
      </w:r>
      <w:r w:rsidR="00A03629">
        <w:t xml:space="preserve"> </w:t>
      </w:r>
      <w:r>
        <w:t>category</w:t>
      </w:r>
    </w:p>
    <w:tbl>
      <w:tblPr>
        <w:tblStyle w:val="TableGrid"/>
        <w:tblW w:w="10343" w:type="dxa"/>
        <w:tblLayout w:type="fixed"/>
        <w:tblLook w:val="0020" w:firstRow="1" w:lastRow="0" w:firstColumn="0" w:lastColumn="0" w:noHBand="0" w:noVBand="0"/>
      </w:tblPr>
      <w:tblGrid>
        <w:gridCol w:w="4642"/>
        <w:gridCol w:w="1425"/>
        <w:gridCol w:w="1425"/>
        <w:gridCol w:w="1425"/>
        <w:gridCol w:w="1426"/>
      </w:tblGrid>
      <w:tr w:rsidR="000756EB" w:rsidRPr="00AE5532" w14:paraId="2C379CF3" w14:textId="77777777" w:rsidTr="00AE5532">
        <w:trPr>
          <w:cantSplit/>
        </w:trPr>
        <w:tc>
          <w:tcPr>
            <w:tcW w:w="4642" w:type="dxa"/>
          </w:tcPr>
          <w:p w14:paraId="69290B21" w14:textId="77777777" w:rsidR="000756EB" w:rsidRPr="00AE5532" w:rsidRDefault="000756EB" w:rsidP="00AE5532">
            <w:pPr>
              <w:pStyle w:val="TableColumnHeading"/>
              <w:rPr>
                <w:sz w:val="20"/>
                <w:szCs w:val="28"/>
              </w:rPr>
            </w:pPr>
            <w:bookmarkStart w:id="121" w:name="ColumnTitles_71"/>
            <w:bookmarkEnd w:id="121"/>
          </w:p>
        </w:tc>
        <w:tc>
          <w:tcPr>
            <w:tcW w:w="1425" w:type="dxa"/>
          </w:tcPr>
          <w:p w14:paraId="669CE7E6" w14:textId="30310737" w:rsidR="000756EB" w:rsidRPr="00AE5532" w:rsidRDefault="004A4D88" w:rsidP="00AE5532">
            <w:pPr>
              <w:pStyle w:val="TableColumnHeading"/>
              <w:jc w:val="right"/>
              <w:rPr>
                <w:sz w:val="20"/>
                <w:szCs w:val="28"/>
              </w:rPr>
            </w:pPr>
            <w:r w:rsidRPr="00AE5532">
              <w:rPr>
                <w:sz w:val="20"/>
                <w:szCs w:val="28"/>
              </w:rPr>
              <w:t>Revaluation</w:t>
            </w:r>
            <w:r w:rsidR="00A03629" w:rsidRPr="00AE5532">
              <w:rPr>
                <w:sz w:val="20"/>
                <w:szCs w:val="28"/>
              </w:rPr>
              <w:t xml:space="preserve"> </w:t>
            </w:r>
            <w:r w:rsidRPr="00AE5532">
              <w:rPr>
                <w:sz w:val="20"/>
                <w:szCs w:val="28"/>
              </w:rPr>
              <w:t>gain/(loss)</w:t>
            </w:r>
            <w:r w:rsidR="00AE5532" w:rsidRPr="00AE5532">
              <w:rPr>
                <w:sz w:val="20"/>
                <w:szCs w:val="28"/>
              </w:rPr>
              <w:t xml:space="preserve"> ($</w:t>
            </w:r>
            <w:r w:rsidR="00AE5532">
              <w:rPr>
                <w:sz w:val="20"/>
                <w:szCs w:val="28"/>
              </w:rPr>
              <w:t> </w:t>
            </w:r>
            <w:r w:rsidR="00AE5532" w:rsidRPr="00AE5532">
              <w:rPr>
                <w:sz w:val="20"/>
                <w:szCs w:val="28"/>
              </w:rPr>
              <w:t>thousand)</w:t>
            </w:r>
          </w:p>
        </w:tc>
        <w:tc>
          <w:tcPr>
            <w:tcW w:w="1425" w:type="dxa"/>
          </w:tcPr>
          <w:p w14:paraId="2C794683" w14:textId="5B4533E0" w:rsidR="000756EB" w:rsidRPr="00AE5532" w:rsidRDefault="004A4D88" w:rsidP="00AE5532">
            <w:pPr>
              <w:pStyle w:val="TableColumnHeading"/>
              <w:jc w:val="right"/>
              <w:rPr>
                <w:sz w:val="20"/>
                <w:szCs w:val="28"/>
              </w:rPr>
            </w:pPr>
            <w:r w:rsidRPr="00AE5532">
              <w:rPr>
                <w:sz w:val="20"/>
                <w:szCs w:val="28"/>
              </w:rPr>
              <w:t>Impairment</w:t>
            </w:r>
            <w:r w:rsidR="00A03629" w:rsidRPr="00AE5532">
              <w:rPr>
                <w:sz w:val="20"/>
                <w:szCs w:val="28"/>
              </w:rPr>
              <w:t xml:space="preserve"> </w:t>
            </w:r>
            <w:r w:rsidRPr="00AE5532">
              <w:rPr>
                <w:sz w:val="20"/>
                <w:szCs w:val="28"/>
              </w:rPr>
              <w:t>loss</w:t>
            </w:r>
            <w:r w:rsidR="00AE5532" w:rsidRPr="00AE5532">
              <w:rPr>
                <w:sz w:val="20"/>
                <w:szCs w:val="28"/>
              </w:rPr>
              <w:t xml:space="preserve"> ($</w:t>
            </w:r>
            <w:r w:rsidR="00AE5532">
              <w:rPr>
                <w:sz w:val="20"/>
                <w:szCs w:val="28"/>
              </w:rPr>
              <w:t> </w:t>
            </w:r>
            <w:r w:rsidR="00AE5532" w:rsidRPr="00AE5532">
              <w:rPr>
                <w:sz w:val="20"/>
                <w:szCs w:val="28"/>
              </w:rPr>
              <w:t>thousand)</w:t>
            </w:r>
          </w:p>
        </w:tc>
        <w:tc>
          <w:tcPr>
            <w:tcW w:w="1425" w:type="dxa"/>
          </w:tcPr>
          <w:p w14:paraId="4392CEE8" w14:textId="4E2317B6" w:rsidR="000756EB" w:rsidRPr="00AE5532" w:rsidRDefault="004A4D88" w:rsidP="00AE5532">
            <w:pPr>
              <w:pStyle w:val="TableColumnHeading"/>
              <w:jc w:val="right"/>
              <w:rPr>
                <w:sz w:val="20"/>
                <w:szCs w:val="28"/>
              </w:rPr>
            </w:pPr>
            <w:r w:rsidRPr="00AE5532">
              <w:rPr>
                <w:sz w:val="20"/>
                <w:szCs w:val="28"/>
              </w:rPr>
              <w:t>Interest</w:t>
            </w:r>
            <w:r w:rsidR="00A03629" w:rsidRPr="00AE5532">
              <w:rPr>
                <w:sz w:val="20"/>
                <w:szCs w:val="28"/>
              </w:rPr>
              <w:t xml:space="preserve"> </w:t>
            </w:r>
            <w:r w:rsidRPr="00AE5532">
              <w:rPr>
                <w:sz w:val="20"/>
                <w:szCs w:val="28"/>
              </w:rPr>
              <w:t>income/</w:t>
            </w:r>
            <w:r w:rsidR="00AE5532">
              <w:rPr>
                <w:sz w:val="20"/>
                <w:szCs w:val="28"/>
              </w:rPr>
              <w:t xml:space="preserve"> </w:t>
            </w:r>
            <w:r w:rsidRPr="00AE5532">
              <w:rPr>
                <w:sz w:val="20"/>
                <w:szCs w:val="28"/>
              </w:rPr>
              <w:t>(expense)</w:t>
            </w:r>
            <w:r w:rsidR="00AE5532" w:rsidRPr="00AE5532">
              <w:rPr>
                <w:sz w:val="20"/>
                <w:szCs w:val="28"/>
              </w:rPr>
              <w:t xml:space="preserve"> ($</w:t>
            </w:r>
            <w:r w:rsidR="00AE5532">
              <w:rPr>
                <w:sz w:val="20"/>
                <w:szCs w:val="28"/>
              </w:rPr>
              <w:t> </w:t>
            </w:r>
            <w:r w:rsidR="00AE5532" w:rsidRPr="00AE5532">
              <w:rPr>
                <w:sz w:val="20"/>
                <w:szCs w:val="28"/>
              </w:rPr>
              <w:t>thousand)</w:t>
            </w:r>
          </w:p>
        </w:tc>
        <w:tc>
          <w:tcPr>
            <w:tcW w:w="1426" w:type="dxa"/>
          </w:tcPr>
          <w:p w14:paraId="72186069" w14:textId="11C9544C" w:rsidR="000756EB" w:rsidRPr="00AE5532" w:rsidRDefault="004A4D88" w:rsidP="00AE5532">
            <w:pPr>
              <w:pStyle w:val="TableColumnHeading"/>
              <w:jc w:val="right"/>
              <w:rPr>
                <w:sz w:val="20"/>
                <w:szCs w:val="28"/>
              </w:rPr>
            </w:pPr>
            <w:r w:rsidRPr="00AE5532">
              <w:rPr>
                <w:sz w:val="20"/>
                <w:szCs w:val="28"/>
              </w:rPr>
              <w:t>Total</w:t>
            </w:r>
            <w:r w:rsidR="00AE5532" w:rsidRPr="00AE5532">
              <w:rPr>
                <w:sz w:val="20"/>
                <w:szCs w:val="28"/>
              </w:rPr>
              <w:t xml:space="preserve"> ($</w:t>
            </w:r>
            <w:r w:rsidR="00AE5532">
              <w:rPr>
                <w:sz w:val="20"/>
                <w:szCs w:val="28"/>
              </w:rPr>
              <w:t> </w:t>
            </w:r>
            <w:r w:rsidR="00AE5532" w:rsidRPr="00AE5532">
              <w:rPr>
                <w:sz w:val="20"/>
                <w:szCs w:val="28"/>
              </w:rPr>
              <w:t>thousand)</w:t>
            </w:r>
          </w:p>
        </w:tc>
      </w:tr>
      <w:tr w:rsidR="000756EB" w:rsidRPr="00AE5532" w14:paraId="6871EB60" w14:textId="77777777" w:rsidTr="00AE5532">
        <w:trPr>
          <w:cantSplit/>
        </w:trPr>
        <w:tc>
          <w:tcPr>
            <w:tcW w:w="4642" w:type="dxa"/>
          </w:tcPr>
          <w:p w14:paraId="6C8CD30B" w14:textId="77777777" w:rsidR="000756EB" w:rsidRPr="00AE5532" w:rsidRDefault="004A4D88" w:rsidP="00AE5532">
            <w:pPr>
              <w:pStyle w:val="TableHeading"/>
              <w:rPr>
                <w:rFonts w:asciiTheme="minorHAnsi" w:hAnsiTheme="minorHAnsi" w:cstheme="minorHAnsi"/>
              </w:rPr>
            </w:pPr>
            <w:r w:rsidRPr="00AE5532">
              <w:rPr>
                <w:rFonts w:asciiTheme="minorHAnsi" w:hAnsiTheme="minorHAnsi" w:cstheme="minorHAnsi"/>
              </w:rPr>
              <w:t>2023</w:t>
            </w:r>
          </w:p>
        </w:tc>
        <w:tc>
          <w:tcPr>
            <w:tcW w:w="1425" w:type="dxa"/>
          </w:tcPr>
          <w:p w14:paraId="718932BF" w14:textId="77777777" w:rsidR="000756EB" w:rsidRPr="00AE5532" w:rsidRDefault="000756EB" w:rsidP="00AE5532">
            <w:pPr>
              <w:pStyle w:val="TableHeading"/>
              <w:jc w:val="right"/>
              <w:rPr>
                <w:rFonts w:asciiTheme="minorHAnsi" w:hAnsiTheme="minorHAnsi" w:cstheme="minorHAnsi"/>
                <w:lang w:val="en-AU"/>
              </w:rPr>
            </w:pPr>
          </w:p>
        </w:tc>
        <w:tc>
          <w:tcPr>
            <w:tcW w:w="1425" w:type="dxa"/>
          </w:tcPr>
          <w:p w14:paraId="376CBD00" w14:textId="77777777" w:rsidR="000756EB" w:rsidRPr="00AE5532" w:rsidRDefault="000756EB" w:rsidP="00AE5532">
            <w:pPr>
              <w:pStyle w:val="TableHeading"/>
              <w:jc w:val="right"/>
              <w:rPr>
                <w:rFonts w:asciiTheme="minorHAnsi" w:hAnsiTheme="minorHAnsi" w:cstheme="minorHAnsi"/>
                <w:lang w:val="en-AU"/>
              </w:rPr>
            </w:pPr>
          </w:p>
        </w:tc>
        <w:tc>
          <w:tcPr>
            <w:tcW w:w="1425" w:type="dxa"/>
          </w:tcPr>
          <w:p w14:paraId="619B8D54" w14:textId="77777777" w:rsidR="000756EB" w:rsidRPr="00AE5532" w:rsidRDefault="000756EB" w:rsidP="00AE5532">
            <w:pPr>
              <w:pStyle w:val="TableHeading"/>
              <w:jc w:val="right"/>
              <w:rPr>
                <w:rFonts w:asciiTheme="minorHAnsi" w:hAnsiTheme="minorHAnsi" w:cstheme="minorHAnsi"/>
                <w:lang w:val="en-AU"/>
              </w:rPr>
            </w:pPr>
          </w:p>
        </w:tc>
        <w:tc>
          <w:tcPr>
            <w:tcW w:w="1426" w:type="dxa"/>
          </w:tcPr>
          <w:p w14:paraId="2789B1AC" w14:textId="77777777" w:rsidR="000756EB" w:rsidRPr="00AE5532" w:rsidRDefault="000756EB" w:rsidP="00AE5532">
            <w:pPr>
              <w:pStyle w:val="TableHeading"/>
              <w:jc w:val="right"/>
              <w:rPr>
                <w:rFonts w:asciiTheme="minorHAnsi" w:hAnsiTheme="minorHAnsi" w:cstheme="minorHAnsi"/>
                <w:lang w:val="en-AU"/>
              </w:rPr>
            </w:pPr>
          </w:p>
        </w:tc>
      </w:tr>
      <w:tr w:rsidR="000756EB" w:rsidRPr="00AE5532" w14:paraId="515CDB6E" w14:textId="77777777" w:rsidTr="00AE5532">
        <w:trPr>
          <w:cantSplit/>
        </w:trPr>
        <w:tc>
          <w:tcPr>
            <w:tcW w:w="4642" w:type="dxa"/>
          </w:tcPr>
          <w:p w14:paraId="755F9E2F" w14:textId="7F8BBA05" w:rsidR="000756EB" w:rsidRPr="00AE5532" w:rsidRDefault="004A4D88" w:rsidP="00AE5532">
            <w:pPr>
              <w:pStyle w:val="TableHeading"/>
              <w:rPr>
                <w:rFonts w:asciiTheme="minorHAnsi" w:hAnsiTheme="minorHAnsi" w:cstheme="minorHAnsi"/>
              </w:rPr>
            </w:pPr>
            <w:r w:rsidRPr="00AE5532">
              <w:rPr>
                <w:rFonts w:asciiTheme="minorHAnsi" w:hAnsiTheme="minorHAnsi" w:cstheme="minorHAnsi"/>
              </w:rPr>
              <w:t>Contractual</w:t>
            </w:r>
            <w:r w:rsidR="00A03629" w:rsidRPr="00AE5532">
              <w:rPr>
                <w:rFonts w:asciiTheme="minorHAnsi" w:hAnsiTheme="minorHAnsi" w:cstheme="minorHAnsi"/>
              </w:rPr>
              <w:t xml:space="preserve"> </w:t>
            </w:r>
            <w:r w:rsidRPr="00AE5532">
              <w:rPr>
                <w:rFonts w:asciiTheme="minorHAnsi" w:hAnsiTheme="minorHAnsi" w:cstheme="minorHAnsi"/>
              </w:rPr>
              <w:t>financial</w:t>
            </w:r>
            <w:r w:rsidR="00A03629" w:rsidRPr="00AE5532">
              <w:rPr>
                <w:rFonts w:asciiTheme="minorHAnsi" w:hAnsiTheme="minorHAnsi" w:cstheme="minorHAnsi"/>
              </w:rPr>
              <w:t xml:space="preserve"> </w:t>
            </w:r>
            <w:r w:rsidRPr="00AE5532">
              <w:rPr>
                <w:rFonts w:asciiTheme="minorHAnsi" w:hAnsiTheme="minorHAnsi" w:cstheme="minorHAnsi"/>
              </w:rPr>
              <w:t>assets</w:t>
            </w:r>
          </w:p>
        </w:tc>
        <w:tc>
          <w:tcPr>
            <w:tcW w:w="1425" w:type="dxa"/>
          </w:tcPr>
          <w:p w14:paraId="704468E2" w14:textId="77777777" w:rsidR="000756EB" w:rsidRPr="00AE5532" w:rsidRDefault="000756EB" w:rsidP="00AE5532">
            <w:pPr>
              <w:pStyle w:val="TableHeading"/>
              <w:jc w:val="right"/>
              <w:rPr>
                <w:rFonts w:asciiTheme="minorHAnsi" w:hAnsiTheme="minorHAnsi" w:cstheme="minorHAnsi"/>
                <w:lang w:val="en-AU"/>
              </w:rPr>
            </w:pPr>
          </w:p>
        </w:tc>
        <w:tc>
          <w:tcPr>
            <w:tcW w:w="1425" w:type="dxa"/>
          </w:tcPr>
          <w:p w14:paraId="0B789107" w14:textId="77777777" w:rsidR="000756EB" w:rsidRPr="00AE5532" w:rsidRDefault="000756EB" w:rsidP="00AE5532">
            <w:pPr>
              <w:pStyle w:val="TableHeading"/>
              <w:jc w:val="right"/>
              <w:rPr>
                <w:rFonts w:asciiTheme="minorHAnsi" w:hAnsiTheme="minorHAnsi" w:cstheme="minorHAnsi"/>
                <w:lang w:val="en-AU"/>
              </w:rPr>
            </w:pPr>
          </w:p>
        </w:tc>
        <w:tc>
          <w:tcPr>
            <w:tcW w:w="1425" w:type="dxa"/>
          </w:tcPr>
          <w:p w14:paraId="2B6074D0" w14:textId="77777777" w:rsidR="000756EB" w:rsidRPr="00AE5532" w:rsidRDefault="000756EB" w:rsidP="00AE5532">
            <w:pPr>
              <w:pStyle w:val="TableHeading"/>
              <w:jc w:val="right"/>
              <w:rPr>
                <w:rFonts w:asciiTheme="minorHAnsi" w:hAnsiTheme="minorHAnsi" w:cstheme="minorHAnsi"/>
                <w:lang w:val="en-AU"/>
              </w:rPr>
            </w:pPr>
          </w:p>
        </w:tc>
        <w:tc>
          <w:tcPr>
            <w:tcW w:w="1426" w:type="dxa"/>
          </w:tcPr>
          <w:p w14:paraId="2E6E1D0A" w14:textId="77777777" w:rsidR="000756EB" w:rsidRPr="00AE5532" w:rsidRDefault="000756EB" w:rsidP="00AE5532">
            <w:pPr>
              <w:pStyle w:val="TableHeading"/>
              <w:jc w:val="right"/>
              <w:rPr>
                <w:rFonts w:asciiTheme="minorHAnsi" w:hAnsiTheme="minorHAnsi" w:cstheme="minorHAnsi"/>
                <w:lang w:val="en-AU"/>
              </w:rPr>
            </w:pPr>
          </w:p>
        </w:tc>
      </w:tr>
      <w:tr w:rsidR="000756EB" w14:paraId="7C7237BE" w14:textId="77777777" w:rsidTr="00AE5532">
        <w:trPr>
          <w:cantSplit/>
        </w:trPr>
        <w:tc>
          <w:tcPr>
            <w:tcW w:w="4642" w:type="dxa"/>
          </w:tcPr>
          <w:p w14:paraId="725AD9C8" w14:textId="719E4E87" w:rsidR="000756EB" w:rsidRDefault="004A4D88" w:rsidP="00AE5532">
            <w:pPr>
              <w:pStyle w:val="TableCopy"/>
            </w:pPr>
            <w:r>
              <w:t>Financial</w:t>
            </w:r>
            <w:r w:rsidR="00A03629">
              <w:t xml:space="preserve"> </w:t>
            </w:r>
            <w:r>
              <w:t>assets</w:t>
            </w:r>
            <w:r w:rsidR="00A03629">
              <w:t xml:space="preserve"> </w:t>
            </w:r>
            <w:r>
              <w:t>designated</w:t>
            </w:r>
            <w:r w:rsidR="00A03629">
              <w:t xml:space="preserve"> </w:t>
            </w:r>
            <w:r>
              <w:t>at</w:t>
            </w:r>
            <w:r w:rsidR="00A03629">
              <w:t xml:space="preserve"> </w:t>
            </w:r>
            <w:r>
              <w:t>amortised</w:t>
            </w:r>
            <w:r w:rsidR="00A03629">
              <w:t xml:space="preserve"> </w:t>
            </w:r>
            <w:r>
              <w:t>cost</w:t>
            </w:r>
          </w:p>
        </w:tc>
        <w:tc>
          <w:tcPr>
            <w:tcW w:w="1425" w:type="dxa"/>
          </w:tcPr>
          <w:p w14:paraId="2261D128" w14:textId="056662C8" w:rsidR="000756EB" w:rsidRDefault="004A4D88" w:rsidP="00AE5532">
            <w:pPr>
              <w:pStyle w:val="TableCopy"/>
              <w:jc w:val="right"/>
            </w:pPr>
            <w:r>
              <w:t>–</w:t>
            </w:r>
          </w:p>
        </w:tc>
        <w:tc>
          <w:tcPr>
            <w:tcW w:w="1425" w:type="dxa"/>
          </w:tcPr>
          <w:p w14:paraId="1DA1BCFB" w14:textId="41546266" w:rsidR="000756EB" w:rsidRDefault="004A4D88" w:rsidP="00AE5532">
            <w:pPr>
              <w:pStyle w:val="TableCopy"/>
              <w:jc w:val="right"/>
            </w:pPr>
            <w:r>
              <w:t>–</w:t>
            </w:r>
          </w:p>
        </w:tc>
        <w:tc>
          <w:tcPr>
            <w:tcW w:w="1425" w:type="dxa"/>
          </w:tcPr>
          <w:p w14:paraId="60DBADAB" w14:textId="5D4FB5C6" w:rsidR="000756EB" w:rsidRDefault="004A4D88" w:rsidP="00AE5532">
            <w:pPr>
              <w:pStyle w:val="TableCopy"/>
              <w:jc w:val="right"/>
            </w:pPr>
            <w:r>
              <w:t>7,725</w:t>
            </w:r>
          </w:p>
        </w:tc>
        <w:tc>
          <w:tcPr>
            <w:tcW w:w="1426" w:type="dxa"/>
          </w:tcPr>
          <w:p w14:paraId="66A253B5" w14:textId="55FD5B26" w:rsidR="000756EB" w:rsidRDefault="004A4D88" w:rsidP="00AE5532">
            <w:pPr>
              <w:pStyle w:val="TableCopy"/>
              <w:jc w:val="right"/>
            </w:pPr>
            <w:r>
              <w:t>7,725</w:t>
            </w:r>
          </w:p>
        </w:tc>
      </w:tr>
      <w:tr w:rsidR="000756EB" w14:paraId="33187E30" w14:textId="77777777" w:rsidTr="00AE5532">
        <w:trPr>
          <w:cantSplit/>
        </w:trPr>
        <w:tc>
          <w:tcPr>
            <w:tcW w:w="4642" w:type="dxa"/>
          </w:tcPr>
          <w:p w14:paraId="44D170EE" w14:textId="7B33EF06" w:rsidR="000756EB" w:rsidRDefault="004A4D88" w:rsidP="00AE5532">
            <w:pPr>
              <w:pStyle w:val="TableCopy"/>
            </w:pPr>
            <w:r>
              <w:t>Financial</w:t>
            </w:r>
            <w:r w:rsidR="00A03629">
              <w:t xml:space="preserve"> </w:t>
            </w:r>
            <w:r>
              <w:t>assets</w:t>
            </w:r>
            <w:r w:rsidR="00A03629">
              <w:t xml:space="preserve"> </w:t>
            </w:r>
            <w:r>
              <w:t>designated</w:t>
            </w:r>
            <w:r w:rsidR="00A03629">
              <w:t xml:space="preserve"> </w:t>
            </w:r>
            <w:r>
              <w:t>at</w:t>
            </w:r>
            <w:r w:rsidR="00A03629">
              <w:t xml:space="preserve"> </w:t>
            </w:r>
            <w:r>
              <w:t>fair</w:t>
            </w:r>
            <w:r w:rsidR="00A03629">
              <w:t xml:space="preserve"> </w:t>
            </w:r>
            <w:r>
              <w:t>value</w:t>
            </w:r>
          </w:p>
        </w:tc>
        <w:tc>
          <w:tcPr>
            <w:tcW w:w="1425" w:type="dxa"/>
          </w:tcPr>
          <w:p w14:paraId="31E62C82" w14:textId="77777777" w:rsidR="000756EB" w:rsidRDefault="004A4D88" w:rsidP="00AE5532">
            <w:pPr>
              <w:pStyle w:val="TableCopy"/>
              <w:jc w:val="right"/>
            </w:pPr>
            <w:r>
              <w:t>2,180</w:t>
            </w:r>
          </w:p>
        </w:tc>
        <w:tc>
          <w:tcPr>
            <w:tcW w:w="1425" w:type="dxa"/>
          </w:tcPr>
          <w:p w14:paraId="66464D18" w14:textId="77777777" w:rsidR="000756EB" w:rsidRDefault="004A4D88" w:rsidP="00AE5532">
            <w:pPr>
              <w:pStyle w:val="TableCopy"/>
              <w:jc w:val="right"/>
            </w:pPr>
            <w:r>
              <w:t>–</w:t>
            </w:r>
          </w:p>
        </w:tc>
        <w:tc>
          <w:tcPr>
            <w:tcW w:w="1425" w:type="dxa"/>
          </w:tcPr>
          <w:p w14:paraId="320871B4" w14:textId="77777777" w:rsidR="000756EB" w:rsidRDefault="004A4D88" w:rsidP="00AE5532">
            <w:pPr>
              <w:pStyle w:val="TableCopy"/>
              <w:jc w:val="right"/>
            </w:pPr>
            <w:r>
              <w:t>–</w:t>
            </w:r>
          </w:p>
        </w:tc>
        <w:tc>
          <w:tcPr>
            <w:tcW w:w="1426" w:type="dxa"/>
          </w:tcPr>
          <w:p w14:paraId="08FED405" w14:textId="77777777" w:rsidR="000756EB" w:rsidRDefault="004A4D88" w:rsidP="00AE5532">
            <w:pPr>
              <w:pStyle w:val="TableCopy"/>
              <w:jc w:val="right"/>
            </w:pPr>
            <w:r>
              <w:t>2,180</w:t>
            </w:r>
          </w:p>
        </w:tc>
      </w:tr>
      <w:tr w:rsidR="000756EB" w14:paraId="03928CA8" w14:textId="77777777" w:rsidTr="00AE5532">
        <w:trPr>
          <w:cantSplit/>
        </w:trPr>
        <w:tc>
          <w:tcPr>
            <w:tcW w:w="4642" w:type="dxa"/>
          </w:tcPr>
          <w:p w14:paraId="4DADBE05" w14:textId="62A6C0BE" w:rsidR="000756EB" w:rsidRDefault="004A4D88" w:rsidP="00AE5532">
            <w:pPr>
              <w:pStyle w:val="TableCopy"/>
            </w:pPr>
            <w:r>
              <w:t>Investments</w:t>
            </w:r>
            <w:r w:rsidR="00A03629">
              <w:t xml:space="preserve"> </w:t>
            </w:r>
            <w:r>
              <w:t>measured</w:t>
            </w:r>
            <w:r w:rsidR="00A03629">
              <w:t xml:space="preserve"> </w:t>
            </w:r>
            <w:r>
              <w:t>at</w:t>
            </w:r>
            <w:r w:rsidR="00A03629">
              <w:t xml:space="preserve"> </w:t>
            </w:r>
            <w:r>
              <w:t>fair</w:t>
            </w:r>
            <w:r w:rsidR="00A03629">
              <w:t xml:space="preserve"> </w:t>
            </w:r>
            <w:r>
              <w:t>value</w:t>
            </w:r>
          </w:p>
        </w:tc>
        <w:tc>
          <w:tcPr>
            <w:tcW w:w="1425" w:type="dxa"/>
          </w:tcPr>
          <w:p w14:paraId="1D5FA3B4" w14:textId="27BC10D0" w:rsidR="000756EB" w:rsidRDefault="004A4D88" w:rsidP="00AE5532">
            <w:pPr>
              <w:pStyle w:val="TableCopy"/>
              <w:jc w:val="right"/>
            </w:pPr>
            <w:r>
              <w:t>(949)</w:t>
            </w:r>
          </w:p>
        </w:tc>
        <w:tc>
          <w:tcPr>
            <w:tcW w:w="1425" w:type="dxa"/>
          </w:tcPr>
          <w:p w14:paraId="7917FAB7" w14:textId="799C0CC4" w:rsidR="000756EB" w:rsidRDefault="004A4D88" w:rsidP="00AE5532">
            <w:pPr>
              <w:pStyle w:val="TableCopy"/>
              <w:jc w:val="right"/>
            </w:pPr>
            <w:r>
              <w:t>–</w:t>
            </w:r>
          </w:p>
        </w:tc>
        <w:tc>
          <w:tcPr>
            <w:tcW w:w="1425" w:type="dxa"/>
          </w:tcPr>
          <w:p w14:paraId="27FA45E1" w14:textId="64C07BC6" w:rsidR="000756EB" w:rsidRDefault="004A4D88" w:rsidP="00AE5532">
            <w:pPr>
              <w:pStyle w:val="TableCopy"/>
              <w:jc w:val="right"/>
            </w:pPr>
            <w:r>
              <w:t>–</w:t>
            </w:r>
          </w:p>
        </w:tc>
        <w:tc>
          <w:tcPr>
            <w:tcW w:w="1426" w:type="dxa"/>
          </w:tcPr>
          <w:p w14:paraId="475784E8" w14:textId="44EB33FF" w:rsidR="000756EB" w:rsidRDefault="004A4D88" w:rsidP="00AE5532">
            <w:pPr>
              <w:pStyle w:val="TableCopy"/>
              <w:jc w:val="right"/>
            </w:pPr>
            <w:r>
              <w:t>(949)</w:t>
            </w:r>
          </w:p>
        </w:tc>
      </w:tr>
      <w:tr w:rsidR="000756EB" w:rsidRPr="00AE5532" w14:paraId="210CB200" w14:textId="77777777" w:rsidTr="00AE5532">
        <w:trPr>
          <w:cantSplit/>
        </w:trPr>
        <w:tc>
          <w:tcPr>
            <w:tcW w:w="4642" w:type="dxa"/>
          </w:tcPr>
          <w:p w14:paraId="282AAA60" w14:textId="30C0F05A" w:rsidR="000756EB" w:rsidRPr="00AE5532" w:rsidRDefault="004A4D88" w:rsidP="00AE5532">
            <w:pPr>
              <w:pStyle w:val="TableCopy"/>
              <w:rPr>
                <w:rFonts w:asciiTheme="minorHAnsi" w:hAnsiTheme="minorHAnsi" w:cstheme="minorHAnsi"/>
                <w:b/>
                <w:bCs/>
              </w:rPr>
            </w:pPr>
            <w:r w:rsidRPr="00AE5532">
              <w:rPr>
                <w:rFonts w:asciiTheme="minorHAnsi" w:hAnsiTheme="minorHAnsi" w:cstheme="minorHAnsi"/>
                <w:b/>
                <w:bCs/>
              </w:rPr>
              <w:t>Total</w:t>
            </w:r>
            <w:r w:rsidR="00A03629" w:rsidRPr="00AE5532">
              <w:rPr>
                <w:rFonts w:asciiTheme="minorHAnsi" w:hAnsiTheme="minorHAnsi" w:cstheme="minorHAnsi"/>
                <w:b/>
                <w:bCs/>
              </w:rPr>
              <w:t xml:space="preserve"> </w:t>
            </w:r>
            <w:r w:rsidRPr="00AE5532">
              <w:rPr>
                <w:rFonts w:asciiTheme="minorHAnsi" w:hAnsiTheme="minorHAnsi" w:cstheme="minorHAnsi"/>
                <w:b/>
                <w:bCs/>
              </w:rPr>
              <w:t>contractual</w:t>
            </w:r>
            <w:r w:rsidR="00A03629" w:rsidRPr="00AE5532">
              <w:rPr>
                <w:rFonts w:asciiTheme="minorHAnsi" w:hAnsiTheme="minorHAnsi" w:cstheme="minorHAnsi"/>
                <w:b/>
                <w:bCs/>
              </w:rPr>
              <w:t xml:space="preserve"> </w:t>
            </w:r>
            <w:r w:rsidRPr="00AE5532">
              <w:rPr>
                <w:rFonts w:asciiTheme="minorHAnsi" w:hAnsiTheme="minorHAnsi" w:cstheme="minorHAnsi"/>
                <w:b/>
                <w:bCs/>
              </w:rPr>
              <w:t>financial</w:t>
            </w:r>
            <w:r w:rsidR="00A03629" w:rsidRPr="00AE5532">
              <w:rPr>
                <w:rFonts w:asciiTheme="minorHAnsi" w:hAnsiTheme="minorHAnsi" w:cstheme="minorHAnsi"/>
                <w:b/>
                <w:bCs/>
              </w:rPr>
              <w:t xml:space="preserve"> </w:t>
            </w:r>
            <w:r w:rsidRPr="00AE5532">
              <w:rPr>
                <w:rFonts w:asciiTheme="minorHAnsi" w:hAnsiTheme="minorHAnsi" w:cstheme="minorHAnsi"/>
                <w:b/>
                <w:bCs/>
              </w:rPr>
              <w:t>assets</w:t>
            </w:r>
          </w:p>
        </w:tc>
        <w:tc>
          <w:tcPr>
            <w:tcW w:w="1425" w:type="dxa"/>
          </w:tcPr>
          <w:p w14:paraId="07D6F833" w14:textId="5F35B6CD" w:rsidR="000756EB" w:rsidRPr="00AE5532" w:rsidRDefault="004A4D88" w:rsidP="00AE5532">
            <w:pPr>
              <w:pStyle w:val="TableCopy"/>
              <w:jc w:val="right"/>
              <w:rPr>
                <w:rFonts w:asciiTheme="minorHAnsi" w:hAnsiTheme="minorHAnsi" w:cstheme="minorHAnsi"/>
                <w:b/>
                <w:bCs/>
              </w:rPr>
            </w:pPr>
            <w:r w:rsidRPr="00AE5532">
              <w:rPr>
                <w:rFonts w:asciiTheme="minorHAnsi" w:hAnsiTheme="minorHAnsi" w:cstheme="minorHAnsi"/>
                <w:b/>
                <w:bCs/>
              </w:rPr>
              <w:t>1,232</w:t>
            </w:r>
          </w:p>
        </w:tc>
        <w:tc>
          <w:tcPr>
            <w:tcW w:w="1425" w:type="dxa"/>
          </w:tcPr>
          <w:p w14:paraId="5CFC6F67" w14:textId="26F71E25" w:rsidR="000756EB" w:rsidRPr="00AE5532" w:rsidRDefault="004A4D88" w:rsidP="00AE5532">
            <w:pPr>
              <w:pStyle w:val="TableCopy"/>
              <w:jc w:val="right"/>
              <w:rPr>
                <w:rFonts w:asciiTheme="minorHAnsi" w:hAnsiTheme="minorHAnsi" w:cstheme="minorHAnsi"/>
                <w:b/>
                <w:bCs/>
              </w:rPr>
            </w:pPr>
            <w:r w:rsidRPr="00AE5532">
              <w:rPr>
                <w:rFonts w:asciiTheme="minorHAnsi" w:hAnsiTheme="minorHAnsi" w:cstheme="minorHAnsi"/>
                <w:b/>
                <w:bCs/>
              </w:rPr>
              <w:t>–</w:t>
            </w:r>
          </w:p>
        </w:tc>
        <w:tc>
          <w:tcPr>
            <w:tcW w:w="1425" w:type="dxa"/>
          </w:tcPr>
          <w:p w14:paraId="5B4AA912" w14:textId="714C4821" w:rsidR="000756EB" w:rsidRPr="00AE5532" w:rsidRDefault="004A4D88" w:rsidP="00AE5532">
            <w:pPr>
              <w:pStyle w:val="TableCopy"/>
              <w:jc w:val="right"/>
              <w:rPr>
                <w:rFonts w:asciiTheme="minorHAnsi" w:hAnsiTheme="minorHAnsi" w:cstheme="minorHAnsi"/>
                <w:b/>
                <w:bCs/>
              </w:rPr>
            </w:pPr>
            <w:r w:rsidRPr="00AE5532">
              <w:rPr>
                <w:rFonts w:asciiTheme="minorHAnsi" w:hAnsiTheme="minorHAnsi" w:cstheme="minorHAnsi"/>
                <w:b/>
                <w:bCs/>
              </w:rPr>
              <w:t>7,725</w:t>
            </w:r>
          </w:p>
        </w:tc>
        <w:tc>
          <w:tcPr>
            <w:tcW w:w="1426" w:type="dxa"/>
          </w:tcPr>
          <w:p w14:paraId="5A44EB88" w14:textId="16782043" w:rsidR="000756EB" w:rsidRPr="00AE5532" w:rsidRDefault="004A4D88" w:rsidP="00AE5532">
            <w:pPr>
              <w:pStyle w:val="TableCopy"/>
              <w:jc w:val="right"/>
              <w:rPr>
                <w:rFonts w:asciiTheme="minorHAnsi" w:hAnsiTheme="minorHAnsi" w:cstheme="minorHAnsi"/>
                <w:b/>
                <w:bCs/>
              </w:rPr>
            </w:pPr>
            <w:r w:rsidRPr="00AE5532">
              <w:rPr>
                <w:rFonts w:asciiTheme="minorHAnsi" w:hAnsiTheme="minorHAnsi" w:cstheme="minorHAnsi"/>
                <w:b/>
                <w:bCs/>
              </w:rPr>
              <w:t>8,957</w:t>
            </w:r>
          </w:p>
        </w:tc>
      </w:tr>
      <w:tr w:rsidR="000756EB" w:rsidRPr="00AE5532" w14:paraId="57B02387" w14:textId="77777777" w:rsidTr="00AE5532">
        <w:trPr>
          <w:cantSplit/>
        </w:trPr>
        <w:tc>
          <w:tcPr>
            <w:tcW w:w="4642" w:type="dxa"/>
          </w:tcPr>
          <w:p w14:paraId="7F156B8F" w14:textId="1BCDDC82" w:rsidR="000756EB" w:rsidRPr="00AE5532" w:rsidRDefault="004A4D88" w:rsidP="00AE5532">
            <w:pPr>
              <w:pStyle w:val="TableHeading"/>
              <w:rPr>
                <w:rFonts w:asciiTheme="minorHAnsi" w:hAnsiTheme="minorHAnsi" w:cstheme="minorHAnsi"/>
              </w:rPr>
            </w:pPr>
            <w:r w:rsidRPr="00AE5532">
              <w:rPr>
                <w:rFonts w:asciiTheme="minorHAnsi" w:hAnsiTheme="minorHAnsi" w:cstheme="minorHAnsi"/>
              </w:rPr>
              <w:t>Contractual</w:t>
            </w:r>
            <w:r w:rsidR="00A03629" w:rsidRPr="00AE5532">
              <w:rPr>
                <w:rFonts w:asciiTheme="minorHAnsi" w:hAnsiTheme="minorHAnsi" w:cstheme="minorHAnsi"/>
              </w:rPr>
              <w:t xml:space="preserve"> </w:t>
            </w:r>
            <w:r w:rsidRPr="00AE5532">
              <w:rPr>
                <w:rFonts w:asciiTheme="minorHAnsi" w:hAnsiTheme="minorHAnsi" w:cstheme="minorHAnsi"/>
              </w:rPr>
              <w:t>financial</w:t>
            </w:r>
            <w:r w:rsidR="00A03629" w:rsidRPr="00AE5532">
              <w:rPr>
                <w:rFonts w:asciiTheme="minorHAnsi" w:hAnsiTheme="minorHAnsi" w:cstheme="minorHAnsi"/>
              </w:rPr>
              <w:t xml:space="preserve"> </w:t>
            </w:r>
            <w:r w:rsidRPr="00AE5532">
              <w:rPr>
                <w:rFonts w:asciiTheme="minorHAnsi" w:hAnsiTheme="minorHAnsi" w:cstheme="minorHAnsi"/>
              </w:rPr>
              <w:t>liabilities</w:t>
            </w:r>
          </w:p>
        </w:tc>
        <w:tc>
          <w:tcPr>
            <w:tcW w:w="1425" w:type="dxa"/>
          </w:tcPr>
          <w:p w14:paraId="73CC4AAD" w14:textId="77777777" w:rsidR="000756EB" w:rsidRPr="00AE5532" w:rsidRDefault="000756EB" w:rsidP="00AE5532">
            <w:pPr>
              <w:pStyle w:val="TableHeading"/>
              <w:jc w:val="right"/>
              <w:rPr>
                <w:rFonts w:asciiTheme="minorHAnsi" w:hAnsiTheme="minorHAnsi" w:cstheme="minorHAnsi"/>
                <w:lang w:val="en-AU"/>
              </w:rPr>
            </w:pPr>
          </w:p>
        </w:tc>
        <w:tc>
          <w:tcPr>
            <w:tcW w:w="1425" w:type="dxa"/>
          </w:tcPr>
          <w:p w14:paraId="7F59C741" w14:textId="77777777" w:rsidR="000756EB" w:rsidRPr="00AE5532" w:rsidRDefault="000756EB" w:rsidP="00AE5532">
            <w:pPr>
              <w:pStyle w:val="TableHeading"/>
              <w:jc w:val="right"/>
              <w:rPr>
                <w:rFonts w:asciiTheme="minorHAnsi" w:hAnsiTheme="minorHAnsi" w:cstheme="minorHAnsi"/>
                <w:lang w:val="en-AU"/>
              </w:rPr>
            </w:pPr>
          </w:p>
        </w:tc>
        <w:tc>
          <w:tcPr>
            <w:tcW w:w="1425" w:type="dxa"/>
          </w:tcPr>
          <w:p w14:paraId="323E04EC" w14:textId="77777777" w:rsidR="000756EB" w:rsidRPr="00AE5532" w:rsidRDefault="000756EB" w:rsidP="00AE5532">
            <w:pPr>
              <w:pStyle w:val="TableHeading"/>
              <w:jc w:val="right"/>
              <w:rPr>
                <w:rFonts w:asciiTheme="minorHAnsi" w:hAnsiTheme="minorHAnsi" w:cstheme="minorHAnsi"/>
                <w:lang w:val="en-AU"/>
              </w:rPr>
            </w:pPr>
          </w:p>
        </w:tc>
        <w:tc>
          <w:tcPr>
            <w:tcW w:w="1426" w:type="dxa"/>
          </w:tcPr>
          <w:p w14:paraId="104F9267" w14:textId="77777777" w:rsidR="000756EB" w:rsidRPr="00AE5532" w:rsidRDefault="000756EB" w:rsidP="00AE5532">
            <w:pPr>
              <w:pStyle w:val="TableHeading"/>
              <w:jc w:val="right"/>
              <w:rPr>
                <w:rFonts w:asciiTheme="minorHAnsi" w:hAnsiTheme="minorHAnsi" w:cstheme="minorHAnsi"/>
                <w:lang w:val="en-AU"/>
              </w:rPr>
            </w:pPr>
          </w:p>
        </w:tc>
      </w:tr>
      <w:tr w:rsidR="000756EB" w14:paraId="1658A74E" w14:textId="77777777" w:rsidTr="00AE5532">
        <w:trPr>
          <w:cantSplit/>
        </w:trPr>
        <w:tc>
          <w:tcPr>
            <w:tcW w:w="4642" w:type="dxa"/>
          </w:tcPr>
          <w:p w14:paraId="1B4FCF08" w14:textId="0CD7ABD1" w:rsidR="000756EB" w:rsidRDefault="004A4D88" w:rsidP="00AE5532">
            <w:pPr>
              <w:pStyle w:val="TableCopy"/>
            </w:pPr>
            <w:r>
              <w:t>Financial</w:t>
            </w:r>
            <w:r w:rsidR="00A03629">
              <w:t xml:space="preserve"> </w:t>
            </w:r>
            <w:r>
              <w:t>liabilities</w:t>
            </w:r>
            <w:r w:rsidR="00A03629">
              <w:t xml:space="preserve"> </w:t>
            </w:r>
            <w:r>
              <w:t>at</w:t>
            </w:r>
            <w:r w:rsidR="00A03629">
              <w:t xml:space="preserve"> </w:t>
            </w:r>
            <w:r>
              <w:t>amortised</w:t>
            </w:r>
            <w:r w:rsidR="00A03629">
              <w:t xml:space="preserve"> </w:t>
            </w:r>
            <w:r>
              <w:t>cost</w:t>
            </w:r>
          </w:p>
        </w:tc>
        <w:tc>
          <w:tcPr>
            <w:tcW w:w="1425" w:type="dxa"/>
          </w:tcPr>
          <w:p w14:paraId="5FC62957" w14:textId="094DCB7E" w:rsidR="000756EB" w:rsidRDefault="004A4D88" w:rsidP="00AE5532">
            <w:pPr>
              <w:pStyle w:val="TableCopy"/>
              <w:jc w:val="right"/>
            </w:pPr>
            <w:r>
              <w:t>–</w:t>
            </w:r>
          </w:p>
        </w:tc>
        <w:tc>
          <w:tcPr>
            <w:tcW w:w="1425" w:type="dxa"/>
          </w:tcPr>
          <w:p w14:paraId="502CDABA" w14:textId="5A6F8C97" w:rsidR="000756EB" w:rsidRDefault="004A4D88" w:rsidP="00AE5532">
            <w:pPr>
              <w:pStyle w:val="TableCopy"/>
              <w:jc w:val="right"/>
            </w:pPr>
            <w:r>
              <w:t>–</w:t>
            </w:r>
          </w:p>
        </w:tc>
        <w:tc>
          <w:tcPr>
            <w:tcW w:w="1425" w:type="dxa"/>
          </w:tcPr>
          <w:p w14:paraId="63CFEF87" w14:textId="77777777" w:rsidR="000756EB" w:rsidRDefault="004A4D88" w:rsidP="00AE5532">
            <w:pPr>
              <w:pStyle w:val="TableCopy"/>
              <w:jc w:val="right"/>
            </w:pPr>
            <w:r>
              <w:t>(13,466)</w:t>
            </w:r>
          </w:p>
        </w:tc>
        <w:tc>
          <w:tcPr>
            <w:tcW w:w="1426" w:type="dxa"/>
          </w:tcPr>
          <w:p w14:paraId="3B2505B4" w14:textId="77777777" w:rsidR="000756EB" w:rsidRDefault="004A4D88" w:rsidP="00AE5532">
            <w:pPr>
              <w:pStyle w:val="TableCopy"/>
              <w:jc w:val="right"/>
            </w:pPr>
            <w:r>
              <w:t>(13,466)</w:t>
            </w:r>
          </w:p>
        </w:tc>
      </w:tr>
      <w:tr w:rsidR="000756EB" w:rsidRPr="00AE5532" w14:paraId="6CE4C856" w14:textId="77777777" w:rsidTr="00AE5532">
        <w:trPr>
          <w:cantSplit/>
        </w:trPr>
        <w:tc>
          <w:tcPr>
            <w:tcW w:w="4642" w:type="dxa"/>
          </w:tcPr>
          <w:p w14:paraId="621717CD" w14:textId="546BB20F" w:rsidR="000756EB" w:rsidRPr="00AE5532" w:rsidRDefault="004A4D88" w:rsidP="00AE5532">
            <w:pPr>
              <w:pStyle w:val="TableCopy"/>
              <w:rPr>
                <w:b/>
                <w:bCs/>
              </w:rPr>
            </w:pPr>
            <w:r w:rsidRPr="00AE5532">
              <w:rPr>
                <w:b/>
                <w:bCs/>
              </w:rPr>
              <w:t>Total</w:t>
            </w:r>
            <w:r w:rsidR="00A03629" w:rsidRPr="00AE5532">
              <w:rPr>
                <w:b/>
                <w:bCs/>
              </w:rPr>
              <w:t xml:space="preserve"> </w:t>
            </w:r>
            <w:r w:rsidRPr="00AE5532">
              <w:rPr>
                <w:b/>
                <w:bCs/>
              </w:rPr>
              <w:t>contractual</w:t>
            </w:r>
            <w:r w:rsidR="00A03629" w:rsidRPr="00AE5532">
              <w:rPr>
                <w:b/>
                <w:bCs/>
              </w:rPr>
              <w:t xml:space="preserve"> </w:t>
            </w:r>
            <w:r w:rsidRPr="00AE5532">
              <w:rPr>
                <w:b/>
                <w:bCs/>
              </w:rPr>
              <w:t>financial</w:t>
            </w:r>
            <w:r w:rsidR="00A03629" w:rsidRPr="00AE5532">
              <w:rPr>
                <w:b/>
                <w:bCs/>
              </w:rPr>
              <w:t xml:space="preserve"> </w:t>
            </w:r>
            <w:r w:rsidRPr="00AE5532">
              <w:rPr>
                <w:b/>
                <w:bCs/>
              </w:rPr>
              <w:t>liabilities</w:t>
            </w:r>
          </w:p>
        </w:tc>
        <w:tc>
          <w:tcPr>
            <w:tcW w:w="1425" w:type="dxa"/>
          </w:tcPr>
          <w:p w14:paraId="2AF903B8" w14:textId="0BDB338C" w:rsidR="000756EB" w:rsidRPr="00AE5532" w:rsidRDefault="004A4D88" w:rsidP="00AE5532">
            <w:pPr>
              <w:pStyle w:val="TableCopy"/>
              <w:jc w:val="right"/>
              <w:rPr>
                <w:b/>
                <w:bCs/>
              </w:rPr>
            </w:pPr>
            <w:r w:rsidRPr="00AE5532">
              <w:rPr>
                <w:b/>
                <w:bCs/>
              </w:rPr>
              <w:t>–</w:t>
            </w:r>
          </w:p>
        </w:tc>
        <w:tc>
          <w:tcPr>
            <w:tcW w:w="1425" w:type="dxa"/>
          </w:tcPr>
          <w:p w14:paraId="2E106111" w14:textId="251A4ADE" w:rsidR="000756EB" w:rsidRPr="00AE5532" w:rsidRDefault="004A4D88" w:rsidP="00AE5532">
            <w:pPr>
              <w:pStyle w:val="TableCopy"/>
              <w:jc w:val="right"/>
              <w:rPr>
                <w:b/>
                <w:bCs/>
              </w:rPr>
            </w:pPr>
            <w:r w:rsidRPr="00AE5532">
              <w:rPr>
                <w:b/>
                <w:bCs/>
              </w:rPr>
              <w:t>–</w:t>
            </w:r>
          </w:p>
        </w:tc>
        <w:tc>
          <w:tcPr>
            <w:tcW w:w="1425" w:type="dxa"/>
          </w:tcPr>
          <w:p w14:paraId="45689DFF" w14:textId="77777777" w:rsidR="000756EB" w:rsidRPr="00AE5532" w:rsidRDefault="004A4D88" w:rsidP="00AE5532">
            <w:pPr>
              <w:pStyle w:val="TableCopy"/>
              <w:jc w:val="right"/>
              <w:rPr>
                <w:b/>
                <w:bCs/>
              </w:rPr>
            </w:pPr>
            <w:r w:rsidRPr="00AE5532">
              <w:rPr>
                <w:b/>
                <w:bCs/>
              </w:rPr>
              <w:t>(13,466)</w:t>
            </w:r>
          </w:p>
        </w:tc>
        <w:tc>
          <w:tcPr>
            <w:tcW w:w="1426" w:type="dxa"/>
          </w:tcPr>
          <w:p w14:paraId="59820ACA" w14:textId="77777777" w:rsidR="000756EB" w:rsidRPr="00AE5532" w:rsidRDefault="004A4D88" w:rsidP="00AE5532">
            <w:pPr>
              <w:pStyle w:val="TableCopy"/>
              <w:jc w:val="right"/>
              <w:rPr>
                <w:b/>
                <w:bCs/>
              </w:rPr>
            </w:pPr>
            <w:r w:rsidRPr="00AE5532">
              <w:rPr>
                <w:b/>
                <w:bCs/>
              </w:rPr>
              <w:t>(13,466)</w:t>
            </w:r>
          </w:p>
        </w:tc>
      </w:tr>
      <w:tr w:rsidR="000756EB" w:rsidRPr="00AE5532" w14:paraId="2D195CDB" w14:textId="77777777" w:rsidTr="00AE5532">
        <w:trPr>
          <w:cantSplit/>
        </w:trPr>
        <w:tc>
          <w:tcPr>
            <w:tcW w:w="4642" w:type="dxa"/>
          </w:tcPr>
          <w:p w14:paraId="1FE68D18" w14:textId="77777777" w:rsidR="000756EB" w:rsidRPr="00AE5532" w:rsidRDefault="004A4D88" w:rsidP="00AE5532">
            <w:pPr>
              <w:pStyle w:val="TableHeading"/>
              <w:rPr>
                <w:rFonts w:asciiTheme="minorHAnsi" w:hAnsiTheme="minorHAnsi" w:cstheme="minorHAnsi"/>
              </w:rPr>
            </w:pPr>
            <w:r w:rsidRPr="00AE5532">
              <w:rPr>
                <w:rFonts w:asciiTheme="minorHAnsi" w:hAnsiTheme="minorHAnsi" w:cstheme="minorHAnsi"/>
              </w:rPr>
              <w:t>2022</w:t>
            </w:r>
          </w:p>
        </w:tc>
        <w:tc>
          <w:tcPr>
            <w:tcW w:w="1425" w:type="dxa"/>
          </w:tcPr>
          <w:p w14:paraId="6ABFA350" w14:textId="77777777" w:rsidR="000756EB" w:rsidRPr="00AE5532" w:rsidRDefault="000756EB" w:rsidP="00AE5532">
            <w:pPr>
              <w:pStyle w:val="TableHeading"/>
              <w:jc w:val="right"/>
              <w:rPr>
                <w:rFonts w:asciiTheme="minorHAnsi" w:hAnsiTheme="minorHAnsi" w:cstheme="minorHAnsi"/>
                <w:lang w:val="en-AU"/>
              </w:rPr>
            </w:pPr>
          </w:p>
        </w:tc>
        <w:tc>
          <w:tcPr>
            <w:tcW w:w="1425" w:type="dxa"/>
          </w:tcPr>
          <w:p w14:paraId="54E92CD9" w14:textId="77777777" w:rsidR="000756EB" w:rsidRPr="00AE5532" w:rsidRDefault="000756EB" w:rsidP="00AE5532">
            <w:pPr>
              <w:pStyle w:val="TableHeading"/>
              <w:jc w:val="right"/>
              <w:rPr>
                <w:rFonts w:asciiTheme="minorHAnsi" w:hAnsiTheme="minorHAnsi" w:cstheme="minorHAnsi"/>
                <w:lang w:val="en-AU"/>
              </w:rPr>
            </w:pPr>
          </w:p>
        </w:tc>
        <w:tc>
          <w:tcPr>
            <w:tcW w:w="1425" w:type="dxa"/>
          </w:tcPr>
          <w:p w14:paraId="106A532E" w14:textId="77777777" w:rsidR="000756EB" w:rsidRPr="00AE5532" w:rsidRDefault="000756EB" w:rsidP="00AE5532">
            <w:pPr>
              <w:pStyle w:val="TableHeading"/>
              <w:jc w:val="right"/>
              <w:rPr>
                <w:rFonts w:asciiTheme="minorHAnsi" w:hAnsiTheme="minorHAnsi" w:cstheme="minorHAnsi"/>
                <w:lang w:val="en-AU"/>
              </w:rPr>
            </w:pPr>
          </w:p>
        </w:tc>
        <w:tc>
          <w:tcPr>
            <w:tcW w:w="1426" w:type="dxa"/>
          </w:tcPr>
          <w:p w14:paraId="5A05D716" w14:textId="77777777" w:rsidR="000756EB" w:rsidRPr="00AE5532" w:rsidRDefault="000756EB" w:rsidP="00AE5532">
            <w:pPr>
              <w:pStyle w:val="TableHeading"/>
              <w:jc w:val="right"/>
              <w:rPr>
                <w:rFonts w:asciiTheme="minorHAnsi" w:hAnsiTheme="minorHAnsi" w:cstheme="minorHAnsi"/>
                <w:lang w:val="en-AU"/>
              </w:rPr>
            </w:pPr>
          </w:p>
        </w:tc>
      </w:tr>
      <w:tr w:rsidR="000756EB" w:rsidRPr="00AE5532" w14:paraId="52F126D0" w14:textId="77777777" w:rsidTr="00AE5532">
        <w:trPr>
          <w:cantSplit/>
        </w:trPr>
        <w:tc>
          <w:tcPr>
            <w:tcW w:w="4642" w:type="dxa"/>
          </w:tcPr>
          <w:p w14:paraId="410C0CAF" w14:textId="4464F6C4" w:rsidR="000756EB" w:rsidRPr="00AE5532" w:rsidRDefault="004A4D88" w:rsidP="00AE5532">
            <w:pPr>
              <w:pStyle w:val="TableHeading"/>
              <w:rPr>
                <w:rFonts w:asciiTheme="minorHAnsi" w:hAnsiTheme="minorHAnsi" w:cstheme="minorHAnsi"/>
              </w:rPr>
            </w:pPr>
            <w:r w:rsidRPr="00AE5532">
              <w:rPr>
                <w:rFonts w:asciiTheme="minorHAnsi" w:hAnsiTheme="minorHAnsi" w:cstheme="minorHAnsi"/>
              </w:rPr>
              <w:t>Contractual</w:t>
            </w:r>
            <w:r w:rsidR="00A03629" w:rsidRPr="00AE5532">
              <w:rPr>
                <w:rFonts w:asciiTheme="minorHAnsi" w:hAnsiTheme="minorHAnsi" w:cstheme="minorHAnsi"/>
              </w:rPr>
              <w:t xml:space="preserve"> </w:t>
            </w:r>
            <w:r w:rsidRPr="00AE5532">
              <w:rPr>
                <w:rFonts w:asciiTheme="minorHAnsi" w:hAnsiTheme="minorHAnsi" w:cstheme="minorHAnsi"/>
              </w:rPr>
              <w:t>financial</w:t>
            </w:r>
            <w:r w:rsidR="00A03629" w:rsidRPr="00AE5532">
              <w:rPr>
                <w:rFonts w:asciiTheme="minorHAnsi" w:hAnsiTheme="minorHAnsi" w:cstheme="minorHAnsi"/>
              </w:rPr>
              <w:t xml:space="preserve"> </w:t>
            </w:r>
            <w:r w:rsidRPr="00AE5532">
              <w:rPr>
                <w:rFonts w:asciiTheme="minorHAnsi" w:hAnsiTheme="minorHAnsi" w:cstheme="minorHAnsi"/>
              </w:rPr>
              <w:t>assets</w:t>
            </w:r>
          </w:p>
        </w:tc>
        <w:tc>
          <w:tcPr>
            <w:tcW w:w="1425" w:type="dxa"/>
          </w:tcPr>
          <w:p w14:paraId="064F6839" w14:textId="77777777" w:rsidR="000756EB" w:rsidRPr="00AE5532" w:rsidRDefault="000756EB" w:rsidP="00AE5532">
            <w:pPr>
              <w:pStyle w:val="TableHeading"/>
              <w:jc w:val="right"/>
              <w:rPr>
                <w:rFonts w:asciiTheme="minorHAnsi" w:hAnsiTheme="minorHAnsi" w:cstheme="minorHAnsi"/>
                <w:lang w:val="en-AU"/>
              </w:rPr>
            </w:pPr>
          </w:p>
        </w:tc>
        <w:tc>
          <w:tcPr>
            <w:tcW w:w="1425" w:type="dxa"/>
          </w:tcPr>
          <w:p w14:paraId="2F5E1399" w14:textId="77777777" w:rsidR="000756EB" w:rsidRPr="00AE5532" w:rsidRDefault="000756EB" w:rsidP="00AE5532">
            <w:pPr>
              <w:pStyle w:val="TableHeading"/>
              <w:jc w:val="right"/>
              <w:rPr>
                <w:rFonts w:asciiTheme="minorHAnsi" w:hAnsiTheme="minorHAnsi" w:cstheme="minorHAnsi"/>
                <w:lang w:val="en-AU"/>
              </w:rPr>
            </w:pPr>
          </w:p>
        </w:tc>
        <w:tc>
          <w:tcPr>
            <w:tcW w:w="1425" w:type="dxa"/>
          </w:tcPr>
          <w:p w14:paraId="47229399" w14:textId="77777777" w:rsidR="000756EB" w:rsidRPr="00AE5532" w:rsidRDefault="000756EB" w:rsidP="00AE5532">
            <w:pPr>
              <w:pStyle w:val="TableHeading"/>
              <w:jc w:val="right"/>
              <w:rPr>
                <w:rFonts w:asciiTheme="minorHAnsi" w:hAnsiTheme="minorHAnsi" w:cstheme="minorHAnsi"/>
                <w:lang w:val="en-AU"/>
              </w:rPr>
            </w:pPr>
          </w:p>
        </w:tc>
        <w:tc>
          <w:tcPr>
            <w:tcW w:w="1426" w:type="dxa"/>
          </w:tcPr>
          <w:p w14:paraId="14852535" w14:textId="77777777" w:rsidR="000756EB" w:rsidRPr="00AE5532" w:rsidRDefault="000756EB" w:rsidP="00AE5532">
            <w:pPr>
              <w:pStyle w:val="TableHeading"/>
              <w:jc w:val="right"/>
              <w:rPr>
                <w:rFonts w:asciiTheme="minorHAnsi" w:hAnsiTheme="minorHAnsi" w:cstheme="minorHAnsi"/>
                <w:lang w:val="en-AU"/>
              </w:rPr>
            </w:pPr>
          </w:p>
        </w:tc>
      </w:tr>
      <w:tr w:rsidR="000756EB" w14:paraId="13AB1A99" w14:textId="77777777" w:rsidTr="00AE5532">
        <w:trPr>
          <w:cantSplit/>
        </w:trPr>
        <w:tc>
          <w:tcPr>
            <w:tcW w:w="4642" w:type="dxa"/>
          </w:tcPr>
          <w:p w14:paraId="086ADB1F" w14:textId="10AAC46B" w:rsidR="000756EB" w:rsidRDefault="004A4D88" w:rsidP="00AE5532">
            <w:pPr>
              <w:pStyle w:val="TableCopy"/>
            </w:pPr>
            <w:r>
              <w:t>Financial</w:t>
            </w:r>
            <w:r w:rsidR="00A03629">
              <w:t xml:space="preserve"> </w:t>
            </w:r>
            <w:r>
              <w:t>assets</w:t>
            </w:r>
            <w:r w:rsidR="00A03629">
              <w:t xml:space="preserve"> </w:t>
            </w:r>
            <w:r>
              <w:t>designated</w:t>
            </w:r>
            <w:r w:rsidR="00A03629">
              <w:t xml:space="preserve"> </w:t>
            </w:r>
            <w:r>
              <w:t>at</w:t>
            </w:r>
            <w:r w:rsidR="00A03629">
              <w:t xml:space="preserve"> </w:t>
            </w:r>
            <w:r>
              <w:t>amortised</w:t>
            </w:r>
            <w:r w:rsidR="00A03629">
              <w:t xml:space="preserve"> </w:t>
            </w:r>
            <w:r>
              <w:t>cost</w:t>
            </w:r>
          </w:p>
        </w:tc>
        <w:tc>
          <w:tcPr>
            <w:tcW w:w="1425" w:type="dxa"/>
          </w:tcPr>
          <w:p w14:paraId="0664FAC6" w14:textId="1019B56F" w:rsidR="000756EB" w:rsidRDefault="004A4D88" w:rsidP="00AE5532">
            <w:pPr>
              <w:pStyle w:val="TableCopy"/>
              <w:jc w:val="right"/>
            </w:pPr>
            <w:r>
              <w:t>–</w:t>
            </w:r>
          </w:p>
        </w:tc>
        <w:tc>
          <w:tcPr>
            <w:tcW w:w="1425" w:type="dxa"/>
          </w:tcPr>
          <w:p w14:paraId="6AF52E7B" w14:textId="77777777" w:rsidR="000756EB" w:rsidRDefault="004A4D88" w:rsidP="00AE5532">
            <w:pPr>
              <w:pStyle w:val="TableCopy"/>
              <w:jc w:val="right"/>
            </w:pPr>
            <w:r>
              <w:t>(22,090)</w:t>
            </w:r>
          </w:p>
        </w:tc>
        <w:tc>
          <w:tcPr>
            <w:tcW w:w="1425" w:type="dxa"/>
          </w:tcPr>
          <w:p w14:paraId="5B05197F" w14:textId="45522A48" w:rsidR="000756EB" w:rsidRDefault="004A4D88" w:rsidP="00AE5532">
            <w:pPr>
              <w:pStyle w:val="TableCopy"/>
              <w:jc w:val="right"/>
            </w:pPr>
            <w:r>
              <w:t>2,571</w:t>
            </w:r>
          </w:p>
        </w:tc>
        <w:tc>
          <w:tcPr>
            <w:tcW w:w="1426" w:type="dxa"/>
          </w:tcPr>
          <w:p w14:paraId="6DAFFDDE" w14:textId="77777777" w:rsidR="000756EB" w:rsidRDefault="004A4D88" w:rsidP="00AE5532">
            <w:pPr>
              <w:pStyle w:val="TableCopy"/>
              <w:jc w:val="right"/>
            </w:pPr>
            <w:r>
              <w:t>(19,519)</w:t>
            </w:r>
          </w:p>
        </w:tc>
      </w:tr>
      <w:tr w:rsidR="000756EB" w14:paraId="264BAA8B" w14:textId="77777777" w:rsidTr="00AE5532">
        <w:trPr>
          <w:cantSplit/>
        </w:trPr>
        <w:tc>
          <w:tcPr>
            <w:tcW w:w="4642" w:type="dxa"/>
          </w:tcPr>
          <w:p w14:paraId="26281741" w14:textId="70039376" w:rsidR="000756EB" w:rsidRDefault="004A4D88" w:rsidP="00AE5532">
            <w:pPr>
              <w:pStyle w:val="TableCopy"/>
            </w:pPr>
            <w:r>
              <w:t>Investments</w:t>
            </w:r>
            <w:r w:rsidR="00A03629">
              <w:t xml:space="preserve"> </w:t>
            </w:r>
            <w:r>
              <w:t>measured</w:t>
            </w:r>
            <w:r w:rsidR="00A03629">
              <w:t xml:space="preserve"> </w:t>
            </w:r>
            <w:r>
              <w:t>at</w:t>
            </w:r>
            <w:r w:rsidR="00A03629">
              <w:t xml:space="preserve"> </w:t>
            </w:r>
            <w:r>
              <w:t>fair</w:t>
            </w:r>
            <w:r w:rsidR="00A03629">
              <w:t xml:space="preserve"> </w:t>
            </w:r>
            <w:r>
              <w:t>value</w:t>
            </w:r>
          </w:p>
        </w:tc>
        <w:tc>
          <w:tcPr>
            <w:tcW w:w="1425" w:type="dxa"/>
          </w:tcPr>
          <w:p w14:paraId="6B10F0E0" w14:textId="77777777" w:rsidR="000756EB" w:rsidRDefault="004A4D88" w:rsidP="00AE5532">
            <w:pPr>
              <w:pStyle w:val="TableCopy"/>
              <w:jc w:val="right"/>
            </w:pPr>
            <w:r>
              <w:t>(4,419)</w:t>
            </w:r>
          </w:p>
        </w:tc>
        <w:tc>
          <w:tcPr>
            <w:tcW w:w="1425" w:type="dxa"/>
          </w:tcPr>
          <w:p w14:paraId="03F5C088" w14:textId="61945867" w:rsidR="000756EB" w:rsidRDefault="004A4D88" w:rsidP="00AE5532">
            <w:pPr>
              <w:pStyle w:val="TableCopy"/>
              <w:jc w:val="right"/>
            </w:pPr>
            <w:r>
              <w:t>–</w:t>
            </w:r>
          </w:p>
        </w:tc>
        <w:tc>
          <w:tcPr>
            <w:tcW w:w="1425" w:type="dxa"/>
          </w:tcPr>
          <w:p w14:paraId="05E7DE54" w14:textId="730302DE" w:rsidR="000756EB" w:rsidRDefault="004A4D88" w:rsidP="00AE5532">
            <w:pPr>
              <w:pStyle w:val="TableCopy"/>
              <w:jc w:val="right"/>
            </w:pPr>
            <w:r>
              <w:t>–</w:t>
            </w:r>
          </w:p>
        </w:tc>
        <w:tc>
          <w:tcPr>
            <w:tcW w:w="1426" w:type="dxa"/>
          </w:tcPr>
          <w:p w14:paraId="2B48E37B" w14:textId="77777777" w:rsidR="000756EB" w:rsidRDefault="004A4D88" w:rsidP="00AE5532">
            <w:pPr>
              <w:pStyle w:val="TableCopy"/>
              <w:jc w:val="right"/>
            </w:pPr>
            <w:r>
              <w:t>(4,419)</w:t>
            </w:r>
          </w:p>
        </w:tc>
      </w:tr>
      <w:tr w:rsidR="000756EB" w:rsidRPr="00AE5532" w14:paraId="1EC17116" w14:textId="77777777" w:rsidTr="00AE5532">
        <w:trPr>
          <w:cantSplit/>
        </w:trPr>
        <w:tc>
          <w:tcPr>
            <w:tcW w:w="4642" w:type="dxa"/>
          </w:tcPr>
          <w:p w14:paraId="3FDA6D90" w14:textId="5C76C3A3" w:rsidR="000756EB" w:rsidRPr="00AE5532" w:rsidRDefault="004A4D88" w:rsidP="00AE5532">
            <w:pPr>
              <w:pStyle w:val="TableCopy"/>
              <w:rPr>
                <w:b/>
                <w:bCs/>
              </w:rPr>
            </w:pPr>
            <w:r w:rsidRPr="00AE5532">
              <w:rPr>
                <w:b/>
                <w:bCs/>
              </w:rPr>
              <w:t>Total</w:t>
            </w:r>
            <w:r w:rsidR="00A03629" w:rsidRPr="00AE5532">
              <w:rPr>
                <w:b/>
                <w:bCs/>
              </w:rPr>
              <w:t xml:space="preserve"> </w:t>
            </w:r>
            <w:r w:rsidRPr="00AE5532">
              <w:rPr>
                <w:b/>
                <w:bCs/>
              </w:rPr>
              <w:t>contractual</w:t>
            </w:r>
            <w:r w:rsidR="00A03629" w:rsidRPr="00AE5532">
              <w:rPr>
                <w:b/>
                <w:bCs/>
              </w:rPr>
              <w:t xml:space="preserve"> </w:t>
            </w:r>
            <w:r w:rsidRPr="00AE5532">
              <w:rPr>
                <w:b/>
                <w:bCs/>
              </w:rPr>
              <w:t>financial</w:t>
            </w:r>
            <w:r w:rsidR="00A03629" w:rsidRPr="00AE5532">
              <w:rPr>
                <w:b/>
                <w:bCs/>
              </w:rPr>
              <w:t xml:space="preserve"> </w:t>
            </w:r>
            <w:r w:rsidRPr="00AE5532">
              <w:rPr>
                <w:b/>
                <w:bCs/>
              </w:rPr>
              <w:t>assets</w:t>
            </w:r>
          </w:p>
        </w:tc>
        <w:tc>
          <w:tcPr>
            <w:tcW w:w="1425" w:type="dxa"/>
          </w:tcPr>
          <w:p w14:paraId="39AA09B3" w14:textId="77777777" w:rsidR="000756EB" w:rsidRPr="00AE5532" w:rsidRDefault="004A4D88" w:rsidP="00AE5532">
            <w:pPr>
              <w:pStyle w:val="TableCopy"/>
              <w:jc w:val="right"/>
              <w:rPr>
                <w:b/>
                <w:bCs/>
              </w:rPr>
            </w:pPr>
            <w:r w:rsidRPr="00AE5532">
              <w:rPr>
                <w:b/>
                <w:bCs/>
              </w:rPr>
              <w:t>(4,419)</w:t>
            </w:r>
          </w:p>
        </w:tc>
        <w:tc>
          <w:tcPr>
            <w:tcW w:w="1425" w:type="dxa"/>
          </w:tcPr>
          <w:p w14:paraId="4B42F071" w14:textId="77777777" w:rsidR="000756EB" w:rsidRPr="00AE5532" w:rsidRDefault="004A4D88" w:rsidP="00AE5532">
            <w:pPr>
              <w:pStyle w:val="TableCopy"/>
              <w:jc w:val="right"/>
              <w:rPr>
                <w:b/>
                <w:bCs/>
              </w:rPr>
            </w:pPr>
            <w:r w:rsidRPr="00AE5532">
              <w:rPr>
                <w:b/>
                <w:bCs/>
              </w:rPr>
              <w:t>(22,090)</w:t>
            </w:r>
          </w:p>
        </w:tc>
        <w:tc>
          <w:tcPr>
            <w:tcW w:w="1425" w:type="dxa"/>
          </w:tcPr>
          <w:p w14:paraId="620F05C7" w14:textId="5591FA5B" w:rsidR="000756EB" w:rsidRPr="00AE5532" w:rsidRDefault="004A4D88" w:rsidP="00AE5532">
            <w:pPr>
              <w:pStyle w:val="TableCopy"/>
              <w:jc w:val="right"/>
              <w:rPr>
                <w:b/>
                <w:bCs/>
              </w:rPr>
            </w:pPr>
            <w:r w:rsidRPr="00AE5532">
              <w:rPr>
                <w:b/>
                <w:bCs/>
              </w:rPr>
              <w:t>2,571</w:t>
            </w:r>
          </w:p>
        </w:tc>
        <w:tc>
          <w:tcPr>
            <w:tcW w:w="1426" w:type="dxa"/>
          </w:tcPr>
          <w:p w14:paraId="755D7E41" w14:textId="77777777" w:rsidR="000756EB" w:rsidRPr="00AE5532" w:rsidRDefault="004A4D88" w:rsidP="00AE5532">
            <w:pPr>
              <w:pStyle w:val="TableCopy"/>
              <w:jc w:val="right"/>
              <w:rPr>
                <w:b/>
                <w:bCs/>
              </w:rPr>
            </w:pPr>
            <w:r w:rsidRPr="00AE5532">
              <w:rPr>
                <w:b/>
                <w:bCs/>
              </w:rPr>
              <w:t>(23,938)</w:t>
            </w:r>
          </w:p>
        </w:tc>
      </w:tr>
      <w:tr w:rsidR="000756EB" w:rsidRPr="00AE5532" w14:paraId="058A53F4" w14:textId="77777777" w:rsidTr="00AE5532">
        <w:trPr>
          <w:cantSplit/>
        </w:trPr>
        <w:tc>
          <w:tcPr>
            <w:tcW w:w="4642" w:type="dxa"/>
          </w:tcPr>
          <w:p w14:paraId="7E1C1B00" w14:textId="2BEAD55F" w:rsidR="000756EB" w:rsidRPr="00AE5532" w:rsidRDefault="004A4D88" w:rsidP="00AE5532">
            <w:pPr>
              <w:pStyle w:val="TableHeading"/>
              <w:rPr>
                <w:rFonts w:asciiTheme="minorHAnsi" w:hAnsiTheme="minorHAnsi" w:cstheme="minorHAnsi"/>
              </w:rPr>
            </w:pPr>
            <w:r w:rsidRPr="00AE5532">
              <w:rPr>
                <w:rFonts w:asciiTheme="minorHAnsi" w:hAnsiTheme="minorHAnsi" w:cstheme="minorHAnsi"/>
              </w:rPr>
              <w:t>Contractual</w:t>
            </w:r>
            <w:r w:rsidR="00A03629" w:rsidRPr="00AE5532">
              <w:rPr>
                <w:rFonts w:asciiTheme="minorHAnsi" w:hAnsiTheme="minorHAnsi" w:cstheme="minorHAnsi"/>
              </w:rPr>
              <w:t xml:space="preserve"> </w:t>
            </w:r>
            <w:r w:rsidRPr="00AE5532">
              <w:rPr>
                <w:rFonts w:asciiTheme="minorHAnsi" w:hAnsiTheme="minorHAnsi" w:cstheme="minorHAnsi"/>
              </w:rPr>
              <w:t>financial</w:t>
            </w:r>
            <w:r w:rsidR="00A03629" w:rsidRPr="00AE5532">
              <w:rPr>
                <w:rFonts w:asciiTheme="minorHAnsi" w:hAnsiTheme="minorHAnsi" w:cstheme="minorHAnsi"/>
              </w:rPr>
              <w:t xml:space="preserve"> </w:t>
            </w:r>
            <w:r w:rsidRPr="00AE5532">
              <w:rPr>
                <w:rFonts w:asciiTheme="minorHAnsi" w:hAnsiTheme="minorHAnsi" w:cstheme="minorHAnsi"/>
              </w:rPr>
              <w:t>liabilities</w:t>
            </w:r>
          </w:p>
        </w:tc>
        <w:tc>
          <w:tcPr>
            <w:tcW w:w="1425" w:type="dxa"/>
          </w:tcPr>
          <w:p w14:paraId="1744D02E" w14:textId="77777777" w:rsidR="000756EB" w:rsidRPr="00AE5532" w:rsidRDefault="000756EB" w:rsidP="00AE5532">
            <w:pPr>
              <w:pStyle w:val="TableHeading"/>
              <w:jc w:val="right"/>
              <w:rPr>
                <w:rFonts w:asciiTheme="minorHAnsi" w:hAnsiTheme="minorHAnsi" w:cstheme="minorHAnsi"/>
                <w:lang w:val="en-AU"/>
              </w:rPr>
            </w:pPr>
          </w:p>
        </w:tc>
        <w:tc>
          <w:tcPr>
            <w:tcW w:w="1425" w:type="dxa"/>
          </w:tcPr>
          <w:p w14:paraId="45F32DE2" w14:textId="77777777" w:rsidR="000756EB" w:rsidRPr="00AE5532" w:rsidRDefault="000756EB" w:rsidP="00AE5532">
            <w:pPr>
              <w:pStyle w:val="TableHeading"/>
              <w:jc w:val="right"/>
              <w:rPr>
                <w:rFonts w:asciiTheme="minorHAnsi" w:hAnsiTheme="minorHAnsi" w:cstheme="minorHAnsi"/>
                <w:lang w:val="en-AU"/>
              </w:rPr>
            </w:pPr>
          </w:p>
        </w:tc>
        <w:tc>
          <w:tcPr>
            <w:tcW w:w="1425" w:type="dxa"/>
          </w:tcPr>
          <w:p w14:paraId="1D340148" w14:textId="77777777" w:rsidR="000756EB" w:rsidRPr="00AE5532" w:rsidRDefault="000756EB" w:rsidP="00AE5532">
            <w:pPr>
              <w:pStyle w:val="TableHeading"/>
              <w:jc w:val="right"/>
              <w:rPr>
                <w:rFonts w:asciiTheme="minorHAnsi" w:hAnsiTheme="minorHAnsi" w:cstheme="minorHAnsi"/>
                <w:lang w:val="en-AU"/>
              </w:rPr>
            </w:pPr>
          </w:p>
        </w:tc>
        <w:tc>
          <w:tcPr>
            <w:tcW w:w="1426" w:type="dxa"/>
          </w:tcPr>
          <w:p w14:paraId="6F21FA40" w14:textId="77777777" w:rsidR="000756EB" w:rsidRPr="00AE5532" w:rsidRDefault="000756EB" w:rsidP="00AE5532">
            <w:pPr>
              <w:pStyle w:val="TableHeading"/>
              <w:jc w:val="right"/>
              <w:rPr>
                <w:rFonts w:asciiTheme="minorHAnsi" w:hAnsiTheme="minorHAnsi" w:cstheme="minorHAnsi"/>
                <w:lang w:val="en-AU"/>
              </w:rPr>
            </w:pPr>
          </w:p>
        </w:tc>
      </w:tr>
      <w:tr w:rsidR="000756EB" w14:paraId="6906283E" w14:textId="77777777" w:rsidTr="00AE5532">
        <w:trPr>
          <w:cantSplit/>
        </w:trPr>
        <w:tc>
          <w:tcPr>
            <w:tcW w:w="4642" w:type="dxa"/>
          </w:tcPr>
          <w:p w14:paraId="26C35DEE" w14:textId="73D07809" w:rsidR="000756EB" w:rsidRDefault="004A4D88" w:rsidP="00AE5532">
            <w:pPr>
              <w:pStyle w:val="TableCopy"/>
            </w:pPr>
            <w:r>
              <w:t>Financial</w:t>
            </w:r>
            <w:r w:rsidR="00A03629">
              <w:t xml:space="preserve"> </w:t>
            </w:r>
            <w:r>
              <w:t>liabilities</w:t>
            </w:r>
            <w:r w:rsidR="00A03629">
              <w:t xml:space="preserve"> </w:t>
            </w:r>
            <w:r>
              <w:t>at</w:t>
            </w:r>
            <w:r w:rsidR="00A03629">
              <w:t xml:space="preserve"> </w:t>
            </w:r>
            <w:r>
              <w:t>amortised</w:t>
            </w:r>
            <w:r w:rsidR="00A03629">
              <w:t xml:space="preserve"> </w:t>
            </w:r>
            <w:r>
              <w:t>cost</w:t>
            </w:r>
          </w:p>
        </w:tc>
        <w:tc>
          <w:tcPr>
            <w:tcW w:w="1425" w:type="dxa"/>
          </w:tcPr>
          <w:p w14:paraId="2FF74655" w14:textId="5CC4A678" w:rsidR="000756EB" w:rsidRDefault="004A4D88" w:rsidP="00AE5532">
            <w:pPr>
              <w:pStyle w:val="TableCopy"/>
              <w:jc w:val="right"/>
            </w:pPr>
            <w:r>
              <w:t>–</w:t>
            </w:r>
          </w:p>
        </w:tc>
        <w:tc>
          <w:tcPr>
            <w:tcW w:w="1425" w:type="dxa"/>
          </w:tcPr>
          <w:p w14:paraId="3C5200AC" w14:textId="67E8EABC" w:rsidR="000756EB" w:rsidRDefault="004A4D88" w:rsidP="00AE5532">
            <w:pPr>
              <w:pStyle w:val="TableCopy"/>
              <w:jc w:val="right"/>
            </w:pPr>
            <w:r>
              <w:t>–</w:t>
            </w:r>
          </w:p>
        </w:tc>
        <w:tc>
          <w:tcPr>
            <w:tcW w:w="1425" w:type="dxa"/>
          </w:tcPr>
          <w:p w14:paraId="30F09F80" w14:textId="77777777" w:rsidR="000756EB" w:rsidRDefault="004A4D88" w:rsidP="00AE5532">
            <w:pPr>
              <w:pStyle w:val="TableCopy"/>
              <w:jc w:val="right"/>
            </w:pPr>
            <w:r>
              <w:t>(26,221)</w:t>
            </w:r>
          </w:p>
        </w:tc>
        <w:tc>
          <w:tcPr>
            <w:tcW w:w="1426" w:type="dxa"/>
          </w:tcPr>
          <w:p w14:paraId="1A23C340" w14:textId="77777777" w:rsidR="000756EB" w:rsidRDefault="004A4D88" w:rsidP="00AE5532">
            <w:pPr>
              <w:pStyle w:val="TableCopy"/>
              <w:jc w:val="right"/>
            </w:pPr>
            <w:r>
              <w:t>(26,221)</w:t>
            </w:r>
          </w:p>
        </w:tc>
      </w:tr>
      <w:tr w:rsidR="000756EB" w:rsidRPr="00AE5532" w14:paraId="7A82C0D8" w14:textId="77777777" w:rsidTr="00AE5532">
        <w:trPr>
          <w:cantSplit/>
        </w:trPr>
        <w:tc>
          <w:tcPr>
            <w:tcW w:w="4642" w:type="dxa"/>
          </w:tcPr>
          <w:p w14:paraId="2C42C2FE" w14:textId="4AA80B21" w:rsidR="000756EB" w:rsidRPr="00AE5532" w:rsidRDefault="004A4D88" w:rsidP="00AE5532">
            <w:pPr>
              <w:pStyle w:val="TableCopy"/>
              <w:rPr>
                <w:b/>
                <w:bCs/>
              </w:rPr>
            </w:pPr>
            <w:r w:rsidRPr="00AE5532">
              <w:rPr>
                <w:b/>
                <w:bCs/>
              </w:rPr>
              <w:t>Total</w:t>
            </w:r>
            <w:r w:rsidR="00A03629" w:rsidRPr="00AE5532">
              <w:rPr>
                <w:b/>
                <w:bCs/>
              </w:rPr>
              <w:t xml:space="preserve"> </w:t>
            </w:r>
            <w:r w:rsidRPr="00AE5532">
              <w:rPr>
                <w:b/>
                <w:bCs/>
              </w:rPr>
              <w:t>contractual</w:t>
            </w:r>
            <w:r w:rsidR="00A03629" w:rsidRPr="00AE5532">
              <w:rPr>
                <w:b/>
                <w:bCs/>
              </w:rPr>
              <w:t xml:space="preserve"> </w:t>
            </w:r>
            <w:r w:rsidRPr="00AE5532">
              <w:rPr>
                <w:b/>
                <w:bCs/>
              </w:rPr>
              <w:t>financial</w:t>
            </w:r>
            <w:r w:rsidR="00A03629" w:rsidRPr="00AE5532">
              <w:rPr>
                <w:b/>
                <w:bCs/>
              </w:rPr>
              <w:t xml:space="preserve"> </w:t>
            </w:r>
            <w:r w:rsidRPr="00AE5532">
              <w:rPr>
                <w:b/>
                <w:bCs/>
              </w:rPr>
              <w:t>liabilities</w:t>
            </w:r>
          </w:p>
        </w:tc>
        <w:tc>
          <w:tcPr>
            <w:tcW w:w="1425" w:type="dxa"/>
          </w:tcPr>
          <w:p w14:paraId="183F5667" w14:textId="34F1452D" w:rsidR="000756EB" w:rsidRPr="00AE5532" w:rsidRDefault="004A4D88" w:rsidP="00AE5532">
            <w:pPr>
              <w:pStyle w:val="TableCopy"/>
              <w:jc w:val="right"/>
              <w:rPr>
                <w:b/>
                <w:bCs/>
              </w:rPr>
            </w:pPr>
            <w:r w:rsidRPr="00AE5532">
              <w:rPr>
                <w:b/>
                <w:bCs/>
              </w:rPr>
              <w:t>–</w:t>
            </w:r>
          </w:p>
        </w:tc>
        <w:tc>
          <w:tcPr>
            <w:tcW w:w="1425" w:type="dxa"/>
          </w:tcPr>
          <w:p w14:paraId="50E275DF" w14:textId="02FD8C53" w:rsidR="000756EB" w:rsidRPr="00AE5532" w:rsidRDefault="004A4D88" w:rsidP="00AE5532">
            <w:pPr>
              <w:pStyle w:val="TableCopy"/>
              <w:jc w:val="right"/>
              <w:rPr>
                <w:b/>
                <w:bCs/>
              </w:rPr>
            </w:pPr>
            <w:r w:rsidRPr="00AE5532">
              <w:rPr>
                <w:b/>
                <w:bCs/>
              </w:rPr>
              <w:t>–</w:t>
            </w:r>
          </w:p>
        </w:tc>
        <w:tc>
          <w:tcPr>
            <w:tcW w:w="1425" w:type="dxa"/>
          </w:tcPr>
          <w:p w14:paraId="1AD0DEA8" w14:textId="77777777" w:rsidR="000756EB" w:rsidRPr="00AE5532" w:rsidRDefault="004A4D88" w:rsidP="00AE5532">
            <w:pPr>
              <w:pStyle w:val="TableCopy"/>
              <w:jc w:val="right"/>
              <w:rPr>
                <w:b/>
                <w:bCs/>
              </w:rPr>
            </w:pPr>
            <w:r w:rsidRPr="00AE5532">
              <w:rPr>
                <w:b/>
                <w:bCs/>
              </w:rPr>
              <w:t>(26,221)</w:t>
            </w:r>
          </w:p>
        </w:tc>
        <w:tc>
          <w:tcPr>
            <w:tcW w:w="1426" w:type="dxa"/>
          </w:tcPr>
          <w:p w14:paraId="59FA830F" w14:textId="77777777" w:rsidR="000756EB" w:rsidRPr="00AE5532" w:rsidRDefault="004A4D88" w:rsidP="00AE5532">
            <w:pPr>
              <w:pStyle w:val="TableCopy"/>
              <w:jc w:val="right"/>
              <w:rPr>
                <w:b/>
                <w:bCs/>
              </w:rPr>
            </w:pPr>
            <w:r w:rsidRPr="00AE5532">
              <w:rPr>
                <w:b/>
                <w:bCs/>
              </w:rPr>
              <w:t>(26,221)</w:t>
            </w:r>
          </w:p>
        </w:tc>
      </w:tr>
    </w:tbl>
    <w:p w14:paraId="052D1BFA" w14:textId="77777777" w:rsidR="000756EB" w:rsidRDefault="000756EB" w:rsidP="00AE5532"/>
    <w:p w14:paraId="725699BA" w14:textId="5ED2F8E7" w:rsidR="000756EB" w:rsidRDefault="004A4D88" w:rsidP="00AE5532">
      <w:pPr>
        <w:pStyle w:val="Normalbeforebullets"/>
      </w:pPr>
      <w:r>
        <w:lastRenderedPageBreak/>
        <w:t>The</w:t>
      </w:r>
      <w:r w:rsidR="00A03629">
        <w:t xml:space="preserve"> </w:t>
      </w:r>
      <w:r>
        <w:t>net</w:t>
      </w:r>
      <w:r w:rsidR="00A03629">
        <w:t xml:space="preserve"> </w:t>
      </w:r>
      <w:r>
        <w:t>holding</w:t>
      </w:r>
      <w:r w:rsidR="00A03629">
        <w:t xml:space="preserve"> </w:t>
      </w:r>
      <w:r>
        <w:t>gains</w:t>
      </w:r>
      <w:r w:rsidR="00A03629">
        <w:t xml:space="preserve"> </w:t>
      </w:r>
      <w:r>
        <w:t>or</w:t>
      </w:r>
      <w:r w:rsidR="00A03629">
        <w:t xml:space="preserve"> </w:t>
      </w:r>
      <w:r>
        <w:t>losses</w:t>
      </w:r>
      <w:r w:rsidR="00A03629">
        <w:t xml:space="preserve"> </w:t>
      </w:r>
      <w:r>
        <w:t>disclosed</w:t>
      </w:r>
      <w:r w:rsidR="00A03629">
        <w:t xml:space="preserve"> </w:t>
      </w:r>
      <w:r>
        <w:t>above</w:t>
      </w:r>
      <w:r w:rsidR="00A03629">
        <w:t xml:space="preserve"> </w:t>
      </w:r>
      <w:r>
        <w:t>are</w:t>
      </w:r>
      <w:r w:rsidR="00A03629">
        <w:rPr>
          <w:rFonts w:ascii="Cambria" w:hAnsi="Cambria" w:cs="Cambria"/>
        </w:rPr>
        <w:t xml:space="preserve"> </w:t>
      </w:r>
      <w:r>
        <w:t>determined</w:t>
      </w:r>
      <w:r w:rsidR="00A03629">
        <w:t xml:space="preserve"> </w:t>
      </w:r>
      <w:r>
        <w:t>as</w:t>
      </w:r>
      <w:r w:rsidR="00A03629">
        <w:t xml:space="preserve"> </w:t>
      </w:r>
      <w:r>
        <w:t>follows:</w:t>
      </w:r>
    </w:p>
    <w:p w14:paraId="7F54578C" w14:textId="23FE60CC" w:rsidR="000756EB" w:rsidRDefault="004A4D88" w:rsidP="00AE5532">
      <w:pPr>
        <w:pStyle w:val="Bullet"/>
        <w:keepLines/>
      </w:pPr>
      <w:r>
        <w:t>For</w:t>
      </w:r>
      <w:r w:rsidR="00A03629">
        <w:t xml:space="preserve"> </w:t>
      </w:r>
      <w:r>
        <w:t>cash</w:t>
      </w:r>
      <w:r w:rsidR="00A03629">
        <w:t xml:space="preserve"> </w:t>
      </w:r>
      <w:r>
        <w:t>and</w:t>
      </w:r>
      <w:r w:rsidR="00A03629">
        <w:t xml:space="preserve"> </w:t>
      </w:r>
      <w:r>
        <w:t>cash</w:t>
      </w:r>
      <w:r w:rsidR="00A03629">
        <w:t xml:space="preserve"> </w:t>
      </w:r>
      <w:r>
        <w:t>equivalents,</w:t>
      </w:r>
      <w:r w:rsidR="00A03629">
        <w:t xml:space="preserve"> </w:t>
      </w:r>
      <w:r>
        <w:t>loans</w:t>
      </w:r>
      <w:r w:rsidR="00A03629">
        <w:t xml:space="preserve"> </w:t>
      </w:r>
      <w:r>
        <w:t>or</w:t>
      </w:r>
      <w:r w:rsidR="00A03629">
        <w:t xml:space="preserve"> </w:t>
      </w:r>
      <w:r>
        <w:t>receivables,</w:t>
      </w:r>
      <w:r w:rsidR="00A03629">
        <w:t xml:space="preserve"> </w:t>
      </w:r>
      <w:r>
        <w:t>and</w:t>
      </w:r>
      <w:r w:rsidR="00A03629">
        <w:t xml:space="preserve"> </w:t>
      </w:r>
      <w:r>
        <w:t>available-for-sale</w:t>
      </w:r>
      <w:r w:rsidR="00A03629">
        <w:t xml:space="preserve"> </w:t>
      </w:r>
      <w:r>
        <w:t>financial</w:t>
      </w:r>
      <w:r w:rsidR="00A03629">
        <w:t xml:space="preserve"> </w:t>
      </w:r>
      <w:r>
        <w:t>assets,</w:t>
      </w:r>
      <w:r w:rsidR="00A03629">
        <w:t xml:space="preserve"> </w:t>
      </w:r>
      <w:r>
        <w:t>the</w:t>
      </w:r>
      <w:r w:rsidR="00A03629">
        <w:t xml:space="preserve"> </w:t>
      </w:r>
      <w:r>
        <w:t>net</w:t>
      </w:r>
      <w:r w:rsidR="00A03629">
        <w:t xml:space="preserve"> </w:t>
      </w:r>
      <w:r>
        <w:t>gain</w:t>
      </w:r>
      <w:r w:rsidR="00A03629">
        <w:t xml:space="preserve"> </w:t>
      </w:r>
      <w:r>
        <w:t>or</w:t>
      </w:r>
      <w:r w:rsidR="00A03629">
        <w:t xml:space="preserve"> </w:t>
      </w:r>
      <w:r>
        <w:t>loss</w:t>
      </w:r>
      <w:r w:rsidR="00A03629">
        <w:t xml:space="preserve"> </w:t>
      </w:r>
      <w:r>
        <w:t>is</w:t>
      </w:r>
      <w:r w:rsidR="00A03629">
        <w:t xml:space="preserve"> </w:t>
      </w:r>
      <w:r>
        <w:t>calculated</w:t>
      </w:r>
      <w:r w:rsidR="00A03629">
        <w:t xml:space="preserve"> </w:t>
      </w:r>
      <w:r>
        <w:t>by</w:t>
      </w:r>
      <w:r w:rsidR="00A03629">
        <w:t xml:space="preserve"> </w:t>
      </w:r>
      <w:r>
        <w:t>taking</w:t>
      </w:r>
      <w:r w:rsidR="00A03629">
        <w:t xml:space="preserve"> </w:t>
      </w:r>
      <w:r>
        <w:t>the</w:t>
      </w:r>
      <w:r w:rsidR="00A03629">
        <w:t xml:space="preserve"> </w:t>
      </w:r>
      <w:r>
        <w:t>movement</w:t>
      </w:r>
      <w:r w:rsidR="00A03629">
        <w:t xml:space="preserve"> </w:t>
      </w:r>
      <w:r>
        <w:t>in</w:t>
      </w:r>
      <w:r w:rsidR="00A03629">
        <w:t xml:space="preserve"> </w:t>
      </w:r>
      <w:r>
        <w:t>the</w:t>
      </w:r>
      <w:r w:rsidR="00A03629">
        <w:t xml:space="preserve"> </w:t>
      </w:r>
      <w:r>
        <w:t>fair</w:t>
      </w:r>
      <w:r w:rsidR="00A03629">
        <w:t xml:space="preserve"> </w:t>
      </w:r>
      <w:r>
        <w:t>value</w:t>
      </w:r>
      <w:r w:rsidR="00A03629">
        <w:t xml:space="preserve"> </w:t>
      </w:r>
      <w:r>
        <w:t>of</w:t>
      </w:r>
      <w:r w:rsidR="00A03629">
        <w:t xml:space="preserve"> </w:t>
      </w:r>
      <w:r>
        <w:t>the</w:t>
      </w:r>
      <w:r w:rsidR="00A03629">
        <w:t xml:space="preserve"> </w:t>
      </w:r>
      <w:r>
        <w:t>asset,</w:t>
      </w:r>
      <w:r w:rsidR="00A03629">
        <w:t xml:space="preserve"> </w:t>
      </w:r>
      <w:r>
        <w:t>the</w:t>
      </w:r>
      <w:r w:rsidR="00A03629">
        <w:t xml:space="preserve"> </w:t>
      </w:r>
      <w:r>
        <w:t>interest</w:t>
      </w:r>
      <w:r w:rsidR="00A03629">
        <w:t xml:space="preserve"> </w:t>
      </w:r>
      <w:r>
        <w:t>income,</w:t>
      </w:r>
      <w:r w:rsidR="00A03629">
        <w:t xml:space="preserve"> </w:t>
      </w:r>
      <w:r>
        <w:t>plus</w:t>
      </w:r>
      <w:r w:rsidR="00A03629">
        <w:t xml:space="preserve"> </w:t>
      </w:r>
      <w:r>
        <w:t>or</w:t>
      </w:r>
      <w:r w:rsidR="00A03629">
        <w:t xml:space="preserve"> </w:t>
      </w:r>
      <w:r>
        <w:t>minus</w:t>
      </w:r>
      <w:r w:rsidR="00A03629">
        <w:t xml:space="preserve"> </w:t>
      </w:r>
      <w:r>
        <w:t>foreign</w:t>
      </w:r>
      <w:r w:rsidR="00A03629">
        <w:t xml:space="preserve"> </w:t>
      </w:r>
      <w:r>
        <w:t>exchange</w:t>
      </w:r>
      <w:r w:rsidR="00A03629">
        <w:t xml:space="preserve"> </w:t>
      </w:r>
      <w:r>
        <w:t>gains</w:t>
      </w:r>
      <w:r w:rsidR="00A03629">
        <w:t xml:space="preserve"> </w:t>
      </w:r>
      <w:r>
        <w:t>or</w:t>
      </w:r>
      <w:r w:rsidR="00A03629">
        <w:t xml:space="preserve"> </w:t>
      </w:r>
      <w:r>
        <w:t>losses</w:t>
      </w:r>
      <w:r w:rsidR="00A03629">
        <w:t xml:space="preserve"> </w:t>
      </w:r>
      <w:r>
        <w:t>arising</w:t>
      </w:r>
      <w:r w:rsidR="00A03629">
        <w:t xml:space="preserve"> </w:t>
      </w:r>
      <w:r>
        <w:t>from</w:t>
      </w:r>
      <w:r w:rsidR="00A03629">
        <w:t xml:space="preserve"> </w:t>
      </w:r>
      <w:r>
        <w:t>revaluation</w:t>
      </w:r>
      <w:r w:rsidR="00A03629">
        <w:t xml:space="preserve"> </w:t>
      </w:r>
      <w:r>
        <w:t>of</w:t>
      </w:r>
      <w:r w:rsidR="00A03629">
        <w:t xml:space="preserve"> </w:t>
      </w:r>
      <w:r>
        <w:t>the</w:t>
      </w:r>
      <w:r w:rsidR="00A03629">
        <w:t xml:space="preserve"> </w:t>
      </w:r>
      <w:r>
        <w:t>financial</w:t>
      </w:r>
      <w:r w:rsidR="00A03629">
        <w:t xml:space="preserve"> </w:t>
      </w:r>
      <w:r>
        <w:t>assets,</w:t>
      </w:r>
      <w:r w:rsidR="00A03629">
        <w:t xml:space="preserve"> </w:t>
      </w:r>
      <w:r>
        <w:t>and</w:t>
      </w:r>
      <w:r w:rsidR="00A03629">
        <w:t xml:space="preserve"> </w:t>
      </w:r>
      <w:r>
        <w:t>minus</w:t>
      </w:r>
      <w:r w:rsidR="00A03629">
        <w:t xml:space="preserve"> </w:t>
      </w:r>
      <w:r>
        <w:t>any</w:t>
      </w:r>
      <w:r w:rsidR="00A03629">
        <w:t xml:space="preserve"> </w:t>
      </w:r>
      <w:r>
        <w:t>impairment</w:t>
      </w:r>
      <w:r w:rsidR="00A03629">
        <w:t xml:space="preserve"> </w:t>
      </w:r>
      <w:r>
        <w:t>recognised</w:t>
      </w:r>
      <w:r w:rsidR="00A03629">
        <w:t xml:space="preserve"> </w:t>
      </w:r>
      <w:r>
        <w:t>in</w:t>
      </w:r>
      <w:r w:rsidR="00A03629">
        <w:t xml:space="preserve"> </w:t>
      </w:r>
      <w:r>
        <w:t>the</w:t>
      </w:r>
      <w:r w:rsidR="00A03629">
        <w:t xml:space="preserve"> </w:t>
      </w:r>
      <w:r>
        <w:t>net</w:t>
      </w:r>
      <w:r w:rsidR="00A03629">
        <w:t xml:space="preserve"> </w:t>
      </w:r>
      <w:proofErr w:type="gramStart"/>
      <w:r>
        <w:t>result;</w:t>
      </w:r>
      <w:proofErr w:type="gramEnd"/>
    </w:p>
    <w:p w14:paraId="27D1F8EC" w14:textId="025745AE" w:rsidR="000756EB" w:rsidRDefault="004A4D88" w:rsidP="00AE5532">
      <w:pPr>
        <w:pStyle w:val="Bullet"/>
      </w:pPr>
      <w:r>
        <w:t>For</w:t>
      </w:r>
      <w:r w:rsidR="00A03629">
        <w:t xml:space="preserve"> </w:t>
      </w:r>
      <w:r>
        <w:t>financial</w:t>
      </w:r>
      <w:r w:rsidR="00A03629">
        <w:t xml:space="preserve"> </w:t>
      </w:r>
      <w:r>
        <w:t>liabilities</w:t>
      </w:r>
      <w:r w:rsidR="00A03629">
        <w:t xml:space="preserve"> </w:t>
      </w:r>
      <w:r>
        <w:t>measured</w:t>
      </w:r>
      <w:r w:rsidR="00A03629">
        <w:t xml:space="preserve"> </w:t>
      </w:r>
      <w:r>
        <w:t>at</w:t>
      </w:r>
      <w:r w:rsidR="00A03629">
        <w:t xml:space="preserve"> </w:t>
      </w:r>
      <w:r>
        <w:t>amortised</w:t>
      </w:r>
      <w:r w:rsidR="00A03629">
        <w:t xml:space="preserve"> </w:t>
      </w:r>
      <w:r>
        <w:t>cost,</w:t>
      </w:r>
      <w:r w:rsidR="00A03629">
        <w:t xml:space="preserve"> </w:t>
      </w:r>
      <w:r>
        <w:t>the</w:t>
      </w:r>
      <w:r w:rsidR="00A03629">
        <w:t xml:space="preserve"> </w:t>
      </w:r>
      <w:r>
        <w:t>net</w:t>
      </w:r>
      <w:r w:rsidR="00A03629">
        <w:t xml:space="preserve"> </w:t>
      </w:r>
      <w:r>
        <w:t>gain</w:t>
      </w:r>
      <w:r w:rsidR="00A03629">
        <w:t xml:space="preserve"> </w:t>
      </w:r>
      <w:r>
        <w:t>or</w:t>
      </w:r>
      <w:r w:rsidR="00A03629">
        <w:t xml:space="preserve"> </w:t>
      </w:r>
      <w:r>
        <w:t>loss</w:t>
      </w:r>
      <w:r w:rsidR="00A03629">
        <w:t xml:space="preserve"> </w:t>
      </w:r>
      <w:r>
        <w:t>is</w:t>
      </w:r>
      <w:r w:rsidR="00A03629">
        <w:t xml:space="preserve"> </w:t>
      </w:r>
      <w:r>
        <w:t>calculated</w:t>
      </w:r>
      <w:r w:rsidR="00A03629">
        <w:t xml:space="preserve"> </w:t>
      </w:r>
      <w:r>
        <w:t>by</w:t>
      </w:r>
      <w:r w:rsidR="00A03629">
        <w:t xml:space="preserve"> </w:t>
      </w:r>
      <w:r>
        <w:t>taking</w:t>
      </w:r>
      <w:r w:rsidR="00A03629">
        <w:t xml:space="preserve"> </w:t>
      </w:r>
      <w:r>
        <w:t>the</w:t>
      </w:r>
      <w:r w:rsidR="00A03629">
        <w:t xml:space="preserve"> </w:t>
      </w:r>
      <w:r>
        <w:t>interest</w:t>
      </w:r>
      <w:r w:rsidR="00A03629">
        <w:t xml:space="preserve"> </w:t>
      </w:r>
      <w:r>
        <w:t>expense,</w:t>
      </w:r>
      <w:r w:rsidR="00A03629">
        <w:t xml:space="preserve"> </w:t>
      </w:r>
      <w:r>
        <w:t>and</w:t>
      </w:r>
      <w:r w:rsidR="00A03629">
        <w:t xml:space="preserve"> </w:t>
      </w:r>
      <w:r>
        <w:t>plus</w:t>
      </w:r>
      <w:r w:rsidR="00A03629">
        <w:t xml:space="preserve"> </w:t>
      </w:r>
      <w:r>
        <w:t>or</w:t>
      </w:r>
      <w:r w:rsidR="00A03629">
        <w:t xml:space="preserve"> </w:t>
      </w:r>
      <w:r>
        <w:t>minus</w:t>
      </w:r>
      <w:r w:rsidR="00A03629">
        <w:t xml:space="preserve"> </w:t>
      </w:r>
      <w:r>
        <w:t>foreign</w:t>
      </w:r>
      <w:r w:rsidR="00A03629">
        <w:t xml:space="preserve"> </w:t>
      </w:r>
      <w:r>
        <w:t>exchange</w:t>
      </w:r>
      <w:r w:rsidR="00A03629">
        <w:t xml:space="preserve"> </w:t>
      </w:r>
      <w:r>
        <w:t>gains</w:t>
      </w:r>
      <w:r w:rsidR="00A03629">
        <w:t xml:space="preserve"> </w:t>
      </w:r>
      <w:r>
        <w:t>or</w:t>
      </w:r>
      <w:r w:rsidR="00A03629">
        <w:t xml:space="preserve"> </w:t>
      </w:r>
      <w:r>
        <w:t>losses</w:t>
      </w:r>
      <w:r w:rsidR="00A03629">
        <w:t xml:space="preserve"> </w:t>
      </w:r>
      <w:r>
        <w:t>arising</w:t>
      </w:r>
      <w:r w:rsidR="00A03629">
        <w:t xml:space="preserve"> </w:t>
      </w:r>
      <w:r>
        <w:t>from</w:t>
      </w:r>
      <w:r w:rsidR="00A03629">
        <w:t xml:space="preserve"> </w:t>
      </w:r>
      <w:r>
        <w:t>the</w:t>
      </w:r>
      <w:r w:rsidR="00A03629">
        <w:t xml:space="preserve"> </w:t>
      </w:r>
      <w:r>
        <w:t>revaluation</w:t>
      </w:r>
      <w:r w:rsidR="00A03629">
        <w:t xml:space="preserve"> </w:t>
      </w:r>
      <w:r>
        <w:t>of</w:t>
      </w:r>
      <w:r w:rsidR="00A03629">
        <w:t xml:space="preserve"> </w:t>
      </w:r>
      <w:r>
        <w:t>financial</w:t>
      </w:r>
      <w:r w:rsidR="00A03629">
        <w:t xml:space="preserve"> </w:t>
      </w:r>
      <w:r>
        <w:t>liabilities</w:t>
      </w:r>
      <w:r w:rsidR="00A03629">
        <w:t xml:space="preserve"> </w:t>
      </w:r>
      <w:r>
        <w:t>measured</w:t>
      </w:r>
      <w:r w:rsidR="00A03629">
        <w:t xml:space="preserve"> </w:t>
      </w:r>
      <w:r>
        <w:t>at</w:t>
      </w:r>
      <w:r w:rsidR="00A03629">
        <w:rPr>
          <w:rFonts w:ascii="Cambria" w:hAnsi="Cambria" w:cs="Cambria"/>
        </w:rPr>
        <w:t xml:space="preserve"> </w:t>
      </w:r>
      <w:r>
        <w:t>amortised</w:t>
      </w:r>
      <w:r w:rsidR="00A03629">
        <w:t xml:space="preserve"> </w:t>
      </w:r>
      <w:r>
        <w:t>cost;</w:t>
      </w:r>
      <w:r w:rsidR="00A03629">
        <w:t xml:space="preserve"> </w:t>
      </w:r>
      <w:r>
        <w:t>and</w:t>
      </w:r>
    </w:p>
    <w:p w14:paraId="3D474E26" w14:textId="4B2A8FBF" w:rsidR="000756EB" w:rsidRDefault="004A4D88" w:rsidP="00AE5532">
      <w:pPr>
        <w:pStyle w:val="Bulletlast"/>
      </w:pPr>
      <w:r>
        <w:t>For</w:t>
      </w:r>
      <w:r w:rsidR="00A03629">
        <w:t xml:space="preserve"> </w:t>
      </w:r>
      <w:r>
        <w:t>financial</w:t>
      </w:r>
      <w:r w:rsidR="00A03629">
        <w:t xml:space="preserve"> </w:t>
      </w:r>
      <w:r>
        <w:t>asset</w:t>
      </w:r>
      <w:r w:rsidR="00A03629">
        <w:t xml:space="preserve"> </w:t>
      </w:r>
      <w:r>
        <w:t>and</w:t>
      </w:r>
      <w:r w:rsidR="00A03629">
        <w:t xml:space="preserve"> </w:t>
      </w:r>
      <w:r>
        <w:t>liabilities</w:t>
      </w:r>
      <w:r w:rsidR="00A03629">
        <w:t xml:space="preserve"> </w:t>
      </w:r>
      <w:r>
        <w:t>that</w:t>
      </w:r>
      <w:r w:rsidR="00A03629">
        <w:t xml:space="preserve"> </w:t>
      </w:r>
      <w:r>
        <w:t>are</w:t>
      </w:r>
      <w:r w:rsidR="00A03629">
        <w:t xml:space="preserve"> </w:t>
      </w:r>
      <w:r>
        <w:t>mandatorily</w:t>
      </w:r>
      <w:r w:rsidR="00A03629">
        <w:t xml:space="preserve"> </w:t>
      </w:r>
      <w:r>
        <w:t>measured</w:t>
      </w:r>
      <w:r w:rsidR="00A03629">
        <w:t xml:space="preserve"> </w:t>
      </w:r>
      <w:r>
        <w:t>at</w:t>
      </w:r>
      <w:r w:rsidR="00A03629">
        <w:t xml:space="preserve"> </w:t>
      </w:r>
      <w:r>
        <w:t>or</w:t>
      </w:r>
      <w:r w:rsidR="00A03629">
        <w:t xml:space="preserve"> </w:t>
      </w:r>
      <w:r>
        <w:t>designated</w:t>
      </w:r>
      <w:r w:rsidR="00A03629">
        <w:t xml:space="preserve"> </w:t>
      </w:r>
      <w:r>
        <w:t>at</w:t>
      </w:r>
      <w:r w:rsidR="00A03629">
        <w:t xml:space="preserve"> </w:t>
      </w:r>
      <w:r>
        <w:t>fair</w:t>
      </w:r>
      <w:r w:rsidR="00A03629">
        <w:t xml:space="preserve"> </w:t>
      </w:r>
      <w:r>
        <w:t>value</w:t>
      </w:r>
      <w:r w:rsidR="00A03629">
        <w:t xml:space="preserve"> </w:t>
      </w:r>
      <w:r>
        <w:t>through</w:t>
      </w:r>
      <w:r w:rsidR="00A03629">
        <w:t xml:space="preserve"> </w:t>
      </w:r>
      <w:r>
        <w:t>net</w:t>
      </w:r>
      <w:r w:rsidR="00A03629">
        <w:t xml:space="preserve"> </w:t>
      </w:r>
      <w:r>
        <w:t>result,</w:t>
      </w:r>
      <w:r w:rsidR="00A03629">
        <w:t xml:space="preserve"> </w:t>
      </w:r>
      <w:r>
        <w:t>the</w:t>
      </w:r>
      <w:r w:rsidR="00A03629">
        <w:t xml:space="preserve"> </w:t>
      </w:r>
      <w:r>
        <w:t>net</w:t>
      </w:r>
      <w:r w:rsidR="00A03629">
        <w:t xml:space="preserve"> </w:t>
      </w:r>
      <w:r>
        <w:t>gain</w:t>
      </w:r>
      <w:r w:rsidR="00A03629">
        <w:t xml:space="preserve"> </w:t>
      </w:r>
      <w:r>
        <w:t>or</w:t>
      </w:r>
      <w:r w:rsidR="00A03629">
        <w:t xml:space="preserve"> </w:t>
      </w:r>
      <w:r>
        <w:t>loss</w:t>
      </w:r>
      <w:r w:rsidR="00A03629">
        <w:t xml:space="preserve"> </w:t>
      </w:r>
      <w:r>
        <w:t>is</w:t>
      </w:r>
      <w:r w:rsidR="00A03629">
        <w:t xml:space="preserve"> </w:t>
      </w:r>
      <w:r>
        <w:t>calculated</w:t>
      </w:r>
      <w:r w:rsidR="00A03629">
        <w:t xml:space="preserve"> </w:t>
      </w:r>
      <w:r>
        <w:t>by</w:t>
      </w:r>
      <w:r w:rsidR="00A03629">
        <w:t xml:space="preserve"> </w:t>
      </w:r>
      <w:r>
        <w:t>taking</w:t>
      </w:r>
      <w:r w:rsidR="00A03629">
        <w:t xml:space="preserve"> </w:t>
      </w:r>
      <w:r>
        <w:t>the</w:t>
      </w:r>
      <w:r w:rsidR="00A03629">
        <w:t xml:space="preserve"> </w:t>
      </w:r>
      <w:r>
        <w:t>movement</w:t>
      </w:r>
      <w:r w:rsidR="00A03629">
        <w:t xml:space="preserve"> </w:t>
      </w:r>
      <w:r>
        <w:t>in</w:t>
      </w:r>
      <w:r w:rsidR="00A03629">
        <w:t xml:space="preserve"> </w:t>
      </w:r>
      <w:r>
        <w:t>the</w:t>
      </w:r>
      <w:r w:rsidR="00A03629">
        <w:t xml:space="preserve"> </w:t>
      </w:r>
      <w:r>
        <w:t>fair</w:t>
      </w:r>
      <w:r w:rsidR="00A03629">
        <w:t xml:space="preserve"> </w:t>
      </w:r>
      <w:r>
        <w:t>value</w:t>
      </w:r>
      <w:r w:rsidR="00A03629">
        <w:t xml:space="preserve"> </w:t>
      </w:r>
      <w:r>
        <w:t>of</w:t>
      </w:r>
      <w:r w:rsidR="00A03629">
        <w:t xml:space="preserve"> </w:t>
      </w:r>
      <w:r>
        <w:t>the</w:t>
      </w:r>
      <w:r w:rsidR="00A03629">
        <w:t xml:space="preserve"> </w:t>
      </w:r>
      <w:r>
        <w:t>financial</w:t>
      </w:r>
      <w:r w:rsidR="00A03629">
        <w:t xml:space="preserve"> </w:t>
      </w:r>
      <w:r>
        <w:t>asset</w:t>
      </w:r>
      <w:r w:rsidR="00A03629">
        <w:t xml:space="preserve"> </w:t>
      </w:r>
      <w:r>
        <w:t>or</w:t>
      </w:r>
      <w:r w:rsidR="00A03629">
        <w:t xml:space="preserve"> </w:t>
      </w:r>
      <w:r>
        <w:t>liability.</w:t>
      </w:r>
    </w:p>
    <w:p w14:paraId="2704B25F" w14:textId="7D963259" w:rsidR="000756EB" w:rsidRDefault="004A4D88" w:rsidP="00AE5532">
      <w:pPr>
        <w:pStyle w:val="Heading3"/>
      </w:pPr>
      <w:r>
        <w:t>8.1.3</w:t>
      </w:r>
      <w:r w:rsidR="00DE38B5">
        <w:t xml:space="preserve"> </w:t>
      </w:r>
      <w:r>
        <w:t>Financial</w:t>
      </w:r>
      <w:r w:rsidR="00A03629">
        <w:t xml:space="preserve"> </w:t>
      </w:r>
      <w:r>
        <w:t>risk</w:t>
      </w:r>
      <w:r w:rsidR="00A03629">
        <w:t xml:space="preserve"> </w:t>
      </w:r>
      <w:r>
        <w:t>management</w:t>
      </w:r>
      <w:r w:rsidR="00A03629">
        <w:t xml:space="preserve"> </w:t>
      </w:r>
      <w:r>
        <w:t>objectives</w:t>
      </w:r>
      <w:r w:rsidR="00A03629">
        <w:rPr>
          <w:rFonts w:ascii="Cambria" w:hAnsi="Cambria" w:cs="Cambria"/>
        </w:rPr>
        <w:t xml:space="preserve"> </w:t>
      </w:r>
      <w:r>
        <w:t>and</w:t>
      </w:r>
      <w:r w:rsidR="00A03629">
        <w:t xml:space="preserve"> </w:t>
      </w:r>
      <w:r>
        <w:t>policies</w:t>
      </w:r>
    </w:p>
    <w:p w14:paraId="7A3BADC4" w14:textId="673E07BC" w:rsidR="000756EB" w:rsidRDefault="004A4D88" w:rsidP="00AE5532">
      <w:r>
        <w:t>DJSIR’s</w:t>
      </w:r>
      <w:r w:rsidR="00A03629">
        <w:t xml:space="preserve"> </w:t>
      </w:r>
      <w:r>
        <w:t>activities</w:t>
      </w:r>
      <w:r w:rsidR="00A03629">
        <w:t xml:space="preserve"> </w:t>
      </w:r>
      <w:r>
        <w:t>expose</w:t>
      </w:r>
      <w:r w:rsidR="00A03629">
        <w:t xml:space="preserve"> </w:t>
      </w:r>
      <w:r>
        <w:t>it</w:t>
      </w:r>
      <w:r w:rsidR="00A03629">
        <w:t xml:space="preserve"> </w:t>
      </w:r>
      <w:r>
        <w:t>primarily</w:t>
      </w:r>
      <w:r w:rsidR="00A03629">
        <w:t xml:space="preserve"> </w:t>
      </w:r>
      <w:r>
        <w:t>to</w:t>
      </w:r>
      <w:r w:rsidR="00A03629">
        <w:t xml:space="preserve"> </w:t>
      </w:r>
      <w:r>
        <w:t>the</w:t>
      </w:r>
      <w:r w:rsidR="00A03629">
        <w:t xml:space="preserve"> </w:t>
      </w:r>
      <w:r>
        <w:t>financial</w:t>
      </w:r>
      <w:r w:rsidR="00A03629">
        <w:t xml:space="preserve"> </w:t>
      </w:r>
      <w:r>
        <w:t>risk</w:t>
      </w:r>
      <w:r w:rsidR="00A03629">
        <w:t xml:space="preserve"> </w:t>
      </w:r>
      <w:r>
        <w:t>of</w:t>
      </w:r>
      <w:r w:rsidR="00A03629">
        <w:t xml:space="preserve"> </w:t>
      </w:r>
      <w:r>
        <w:t>changes</w:t>
      </w:r>
      <w:r w:rsidR="00A03629">
        <w:t xml:space="preserve"> </w:t>
      </w:r>
      <w:r>
        <w:t>in</w:t>
      </w:r>
      <w:r w:rsidR="00A03629">
        <w:t xml:space="preserve"> </w:t>
      </w:r>
      <w:r>
        <w:t>interest</w:t>
      </w:r>
      <w:r w:rsidR="00A03629">
        <w:t xml:space="preserve"> </w:t>
      </w:r>
      <w:r>
        <w:t>rates.</w:t>
      </w:r>
      <w:r w:rsidR="00A03629">
        <w:t xml:space="preserve"> </w:t>
      </w:r>
      <w:r>
        <w:t>DJSIR</w:t>
      </w:r>
      <w:r w:rsidR="00A03629">
        <w:t xml:space="preserve"> </w:t>
      </w:r>
      <w:r>
        <w:t>does</w:t>
      </w:r>
      <w:r w:rsidR="00A03629">
        <w:t xml:space="preserve"> </w:t>
      </w:r>
      <w:r>
        <w:t>not</w:t>
      </w:r>
      <w:r w:rsidR="00A03629">
        <w:t xml:space="preserve"> </w:t>
      </w:r>
      <w:proofErr w:type="gramStart"/>
      <w:r>
        <w:t>enter</w:t>
      </w:r>
      <w:r w:rsidR="00A03629">
        <w:t xml:space="preserve"> </w:t>
      </w:r>
      <w:r>
        <w:t>into</w:t>
      </w:r>
      <w:proofErr w:type="gramEnd"/>
      <w:r w:rsidR="00A03629">
        <w:t xml:space="preserve"> </w:t>
      </w:r>
      <w:r>
        <w:t>derivative</w:t>
      </w:r>
      <w:r w:rsidR="00A03629">
        <w:t xml:space="preserve"> </w:t>
      </w:r>
      <w:r>
        <w:t>financial</w:t>
      </w:r>
      <w:r w:rsidR="00A03629">
        <w:t xml:space="preserve"> </w:t>
      </w:r>
      <w:r>
        <w:t>instruments</w:t>
      </w:r>
      <w:r w:rsidR="00A03629">
        <w:t xml:space="preserve"> </w:t>
      </w:r>
      <w:r>
        <w:t>to</w:t>
      </w:r>
      <w:r w:rsidR="00A03629">
        <w:t xml:space="preserve"> </w:t>
      </w:r>
      <w:r>
        <w:t>manage</w:t>
      </w:r>
      <w:r w:rsidR="00A03629">
        <w:t xml:space="preserve"> </w:t>
      </w:r>
      <w:r>
        <w:t>its</w:t>
      </w:r>
      <w:r w:rsidR="00A03629">
        <w:t xml:space="preserve"> </w:t>
      </w:r>
      <w:r>
        <w:t>exposure</w:t>
      </w:r>
      <w:r w:rsidR="00A03629">
        <w:t xml:space="preserve"> </w:t>
      </w:r>
      <w:r>
        <w:t>to</w:t>
      </w:r>
      <w:r w:rsidR="00A03629">
        <w:t xml:space="preserve"> </w:t>
      </w:r>
      <w:r>
        <w:t>interest</w:t>
      </w:r>
      <w:r w:rsidR="00A03629">
        <w:t xml:space="preserve"> </w:t>
      </w:r>
      <w:r>
        <w:t>rate.</w:t>
      </w:r>
    </w:p>
    <w:p w14:paraId="5E862E70" w14:textId="6992A3CD" w:rsidR="000756EB" w:rsidRDefault="004A4D88" w:rsidP="00C92D5E">
      <w:r>
        <w:t>DJSIR</w:t>
      </w:r>
      <w:r w:rsidR="00A03629">
        <w:t xml:space="preserve"> </w:t>
      </w:r>
      <w:r>
        <w:t>does</w:t>
      </w:r>
      <w:r w:rsidR="00A03629">
        <w:t xml:space="preserve"> </w:t>
      </w:r>
      <w:r>
        <w:t>not</w:t>
      </w:r>
      <w:r w:rsidR="00A03629">
        <w:t xml:space="preserve"> </w:t>
      </w:r>
      <w:proofErr w:type="gramStart"/>
      <w:r>
        <w:t>enter</w:t>
      </w:r>
      <w:r w:rsidR="00A03629">
        <w:t xml:space="preserve"> </w:t>
      </w:r>
      <w:r>
        <w:t>into</w:t>
      </w:r>
      <w:proofErr w:type="gramEnd"/>
      <w:r w:rsidR="00A03629">
        <w:t xml:space="preserve"> </w:t>
      </w:r>
      <w:r>
        <w:t>or</w:t>
      </w:r>
      <w:r w:rsidR="00A03629">
        <w:t xml:space="preserve"> </w:t>
      </w:r>
      <w:r>
        <w:t>trade</w:t>
      </w:r>
      <w:r w:rsidR="00A03629">
        <w:t xml:space="preserve"> </w:t>
      </w:r>
      <w:r>
        <w:t>financial</w:t>
      </w:r>
      <w:r w:rsidR="00A03629">
        <w:t xml:space="preserve"> </w:t>
      </w:r>
      <w:r>
        <w:t>instruments,</w:t>
      </w:r>
      <w:r w:rsidR="00A03629">
        <w:t xml:space="preserve"> </w:t>
      </w:r>
      <w:r>
        <w:t>including</w:t>
      </w:r>
      <w:r w:rsidR="00A03629">
        <w:t xml:space="preserve"> </w:t>
      </w:r>
      <w:r>
        <w:t>derivative</w:t>
      </w:r>
      <w:r w:rsidR="00A03629">
        <w:t xml:space="preserve"> </w:t>
      </w:r>
      <w:r>
        <w:t>financial</w:t>
      </w:r>
      <w:r w:rsidR="00A03629">
        <w:t xml:space="preserve"> </w:t>
      </w:r>
      <w:r>
        <w:t>instruments,</w:t>
      </w:r>
      <w:r w:rsidR="00A03629">
        <w:t xml:space="preserve"> </w:t>
      </w:r>
      <w:r>
        <w:t>for</w:t>
      </w:r>
      <w:r w:rsidR="00A03629">
        <w:t xml:space="preserve"> </w:t>
      </w:r>
      <w:r>
        <w:t>speculative</w:t>
      </w:r>
      <w:r w:rsidR="00A03629">
        <w:t xml:space="preserve"> </w:t>
      </w:r>
      <w:r>
        <w:t>purposes.</w:t>
      </w:r>
      <w:r w:rsidR="00A03629">
        <w:t xml:space="preserve"> </w:t>
      </w:r>
    </w:p>
    <w:p w14:paraId="5CB070CD" w14:textId="2265B912" w:rsidR="000756EB" w:rsidRDefault="004A4D88" w:rsidP="00C92D5E">
      <w:pPr>
        <w:pStyle w:val="Normalbeforebullets"/>
      </w:pPr>
      <w:r>
        <w:t>DJSIR’s</w:t>
      </w:r>
      <w:r w:rsidR="00A03629">
        <w:t xml:space="preserve"> </w:t>
      </w:r>
      <w:r>
        <w:t>principal</w:t>
      </w:r>
      <w:r w:rsidR="00A03629">
        <w:t xml:space="preserve"> </w:t>
      </w:r>
      <w:r>
        <w:t>financial</w:t>
      </w:r>
      <w:r w:rsidR="00A03629">
        <w:t xml:space="preserve"> </w:t>
      </w:r>
      <w:r>
        <w:t>instruments</w:t>
      </w:r>
      <w:r w:rsidR="00A03629">
        <w:t xml:space="preserve"> </w:t>
      </w:r>
      <w:r>
        <w:t>comprise:</w:t>
      </w:r>
    </w:p>
    <w:p w14:paraId="77E45ACF" w14:textId="5D67812A" w:rsidR="000756EB" w:rsidRDefault="004A4D88" w:rsidP="00C92D5E">
      <w:pPr>
        <w:pStyle w:val="Bullet"/>
      </w:pPr>
      <w:r>
        <w:t>cash</w:t>
      </w:r>
      <w:r w:rsidR="00A03629">
        <w:t xml:space="preserve"> </w:t>
      </w:r>
      <w:r>
        <w:t>assets</w:t>
      </w:r>
    </w:p>
    <w:p w14:paraId="0E7CBE73" w14:textId="497CD9D0" w:rsidR="000756EB" w:rsidRDefault="004A4D88" w:rsidP="00C92D5E">
      <w:pPr>
        <w:pStyle w:val="Bullet"/>
      </w:pPr>
      <w:r>
        <w:t>term</w:t>
      </w:r>
      <w:r w:rsidR="00A03629">
        <w:t xml:space="preserve"> </w:t>
      </w:r>
      <w:r>
        <w:t>deposits</w:t>
      </w:r>
    </w:p>
    <w:p w14:paraId="62A2F002" w14:textId="5D6A8D62" w:rsidR="000756EB" w:rsidRDefault="004A4D88" w:rsidP="00C92D5E">
      <w:pPr>
        <w:pStyle w:val="Bullet"/>
      </w:pPr>
      <w:r>
        <w:t>receivables</w:t>
      </w:r>
      <w:r w:rsidR="00A03629">
        <w:t xml:space="preserve"> </w:t>
      </w:r>
      <w:r>
        <w:t>(excluding</w:t>
      </w:r>
      <w:r w:rsidR="00A03629">
        <w:t xml:space="preserve"> </w:t>
      </w:r>
      <w:r>
        <w:t>statutory</w:t>
      </w:r>
      <w:r w:rsidR="00A03629">
        <w:t xml:space="preserve"> </w:t>
      </w:r>
      <w:r>
        <w:t>receivables)</w:t>
      </w:r>
    </w:p>
    <w:p w14:paraId="1FDE5957" w14:textId="66BC3C0F" w:rsidR="000756EB" w:rsidRDefault="004A4D88" w:rsidP="00C92D5E">
      <w:pPr>
        <w:pStyle w:val="Bullet"/>
      </w:pPr>
      <w:r>
        <w:t>payables</w:t>
      </w:r>
      <w:r w:rsidR="00A03629">
        <w:t xml:space="preserve"> </w:t>
      </w:r>
      <w:r>
        <w:t>(excluding</w:t>
      </w:r>
      <w:r w:rsidR="00A03629">
        <w:t xml:space="preserve"> </w:t>
      </w:r>
      <w:r>
        <w:t>statutory</w:t>
      </w:r>
      <w:r w:rsidR="00A03629">
        <w:t xml:space="preserve"> </w:t>
      </w:r>
      <w:r>
        <w:t>payables)</w:t>
      </w:r>
    </w:p>
    <w:p w14:paraId="30162590" w14:textId="13CE6BA5" w:rsidR="000756EB" w:rsidRDefault="004A4D88" w:rsidP="00C92D5E">
      <w:pPr>
        <w:pStyle w:val="Bullet"/>
      </w:pPr>
      <w:r>
        <w:t>borrowings,</w:t>
      </w:r>
      <w:r w:rsidR="00A03629">
        <w:t xml:space="preserve"> </w:t>
      </w:r>
      <w:r>
        <w:t>and</w:t>
      </w:r>
    </w:p>
    <w:p w14:paraId="5CABDFAD" w14:textId="50CE6A2F" w:rsidR="000756EB" w:rsidRDefault="004A4D88" w:rsidP="00C92D5E">
      <w:pPr>
        <w:pStyle w:val="Bulletlast"/>
      </w:pPr>
      <w:r>
        <w:t>lease</w:t>
      </w:r>
      <w:r w:rsidR="00A03629">
        <w:t xml:space="preserve"> </w:t>
      </w:r>
      <w:r>
        <w:t>liabilities.</w:t>
      </w:r>
    </w:p>
    <w:p w14:paraId="48B0CBEF" w14:textId="42410167" w:rsidR="000756EB" w:rsidRDefault="004A4D88" w:rsidP="00C92D5E">
      <w:r>
        <w:t>Details</w:t>
      </w:r>
      <w:r w:rsidR="00A03629">
        <w:t xml:space="preserve"> </w:t>
      </w:r>
      <w:r>
        <w:t>of</w:t>
      </w:r>
      <w:r w:rsidR="00A03629">
        <w:t xml:space="preserve"> </w:t>
      </w:r>
      <w:r>
        <w:t>the</w:t>
      </w:r>
      <w:r w:rsidR="00A03629">
        <w:t xml:space="preserve"> </w:t>
      </w:r>
      <w:r>
        <w:t>significant</w:t>
      </w:r>
      <w:r w:rsidR="00A03629">
        <w:t xml:space="preserve"> </w:t>
      </w:r>
      <w:r>
        <w:t>accounting</w:t>
      </w:r>
      <w:r w:rsidR="00A03629">
        <w:t xml:space="preserve"> </w:t>
      </w:r>
      <w:r>
        <w:t>policies</w:t>
      </w:r>
      <w:r w:rsidR="00A03629">
        <w:t xml:space="preserve"> </w:t>
      </w:r>
      <w:r>
        <w:t>and</w:t>
      </w:r>
      <w:r w:rsidR="00A03629">
        <w:t xml:space="preserve"> </w:t>
      </w:r>
      <w:r>
        <w:t>methods</w:t>
      </w:r>
      <w:r w:rsidR="00A03629">
        <w:t xml:space="preserve"> </w:t>
      </w:r>
      <w:r>
        <w:t>adopted,</w:t>
      </w:r>
      <w:r w:rsidR="00A03629">
        <w:t xml:space="preserve"> </w:t>
      </w:r>
      <w:r>
        <w:t>including</w:t>
      </w:r>
      <w:r w:rsidR="00A03629">
        <w:t xml:space="preserve"> </w:t>
      </w:r>
      <w:r>
        <w:t>the</w:t>
      </w:r>
      <w:r w:rsidR="00A03629">
        <w:t xml:space="preserve"> </w:t>
      </w:r>
      <w:r>
        <w:t>criteria</w:t>
      </w:r>
      <w:r w:rsidR="00A03629">
        <w:t xml:space="preserve"> </w:t>
      </w:r>
      <w:r>
        <w:t>for</w:t>
      </w:r>
      <w:r w:rsidR="00A03629">
        <w:t xml:space="preserve"> </w:t>
      </w:r>
      <w:r>
        <w:t>recognition,</w:t>
      </w:r>
      <w:r w:rsidR="00A03629">
        <w:t xml:space="preserve"> </w:t>
      </w:r>
      <w:r>
        <w:t>the</w:t>
      </w:r>
      <w:r w:rsidR="00A03629">
        <w:t xml:space="preserve"> </w:t>
      </w:r>
      <w:r>
        <w:t>basis</w:t>
      </w:r>
      <w:r w:rsidR="00A03629">
        <w:t xml:space="preserve"> </w:t>
      </w:r>
      <w:r>
        <w:t>of</w:t>
      </w:r>
      <w:r w:rsidR="00A03629">
        <w:t xml:space="preserve"> </w:t>
      </w:r>
      <w:r>
        <w:t>measurement,</w:t>
      </w:r>
      <w:r w:rsidR="00A03629">
        <w:t xml:space="preserve"> </w:t>
      </w:r>
      <w:r>
        <w:t>and</w:t>
      </w:r>
      <w:r w:rsidR="00A03629">
        <w:t xml:space="preserve"> </w:t>
      </w:r>
      <w:r>
        <w:t>the</w:t>
      </w:r>
      <w:r w:rsidR="00A03629">
        <w:t xml:space="preserve"> </w:t>
      </w:r>
      <w:r>
        <w:t>basis</w:t>
      </w:r>
      <w:r w:rsidR="00A03629">
        <w:t xml:space="preserve"> </w:t>
      </w:r>
      <w:r>
        <w:t>on</w:t>
      </w:r>
      <w:r w:rsidR="00A03629">
        <w:t xml:space="preserve"> </w:t>
      </w:r>
      <w:r>
        <w:t>which</w:t>
      </w:r>
      <w:r w:rsidR="00A03629">
        <w:t xml:space="preserve"> </w:t>
      </w:r>
      <w:r>
        <w:t>income</w:t>
      </w:r>
      <w:r w:rsidR="00A03629">
        <w:t xml:space="preserve"> </w:t>
      </w:r>
      <w:r>
        <w:t>and</w:t>
      </w:r>
      <w:r w:rsidR="00A03629">
        <w:t xml:space="preserve"> </w:t>
      </w:r>
      <w:r>
        <w:t>expenses</w:t>
      </w:r>
      <w:r w:rsidR="00A03629">
        <w:t xml:space="preserve"> </w:t>
      </w:r>
      <w:r>
        <w:t>are</w:t>
      </w:r>
      <w:r w:rsidR="00A03629">
        <w:t xml:space="preserve"> </w:t>
      </w:r>
      <w:r>
        <w:t>recognised,</w:t>
      </w:r>
      <w:r w:rsidR="00A03629">
        <w:t xml:space="preserve"> </w:t>
      </w:r>
      <w:r>
        <w:t>with</w:t>
      </w:r>
      <w:r w:rsidR="00A03629">
        <w:t xml:space="preserve"> </w:t>
      </w:r>
      <w:r>
        <w:t>respect</w:t>
      </w:r>
      <w:r w:rsidR="00A03629">
        <w:t xml:space="preserve"> </w:t>
      </w:r>
      <w:r>
        <w:t>to</w:t>
      </w:r>
      <w:r w:rsidR="00A03629">
        <w:t xml:space="preserve"> </w:t>
      </w:r>
      <w:r>
        <w:t>each</w:t>
      </w:r>
      <w:r w:rsidR="00A03629">
        <w:t xml:space="preserve"> </w:t>
      </w:r>
      <w:r>
        <w:t>class</w:t>
      </w:r>
      <w:r w:rsidR="00A03629">
        <w:t xml:space="preserve"> </w:t>
      </w:r>
      <w:r>
        <w:t>of</w:t>
      </w:r>
      <w:r w:rsidR="00A03629">
        <w:t xml:space="preserve"> </w:t>
      </w:r>
      <w:r>
        <w:t>financial</w:t>
      </w:r>
      <w:r w:rsidR="00A03629">
        <w:t xml:space="preserve"> </w:t>
      </w:r>
      <w:r>
        <w:t>asset,</w:t>
      </w:r>
      <w:r w:rsidR="00A03629">
        <w:t xml:space="preserve"> </w:t>
      </w:r>
      <w:r>
        <w:t>financial</w:t>
      </w:r>
      <w:r w:rsidR="00A03629">
        <w:t xml:space="preserve"> </w:t>
      </w:r>
      <w:proofErr w:type="gramStart"/>
      <w:r>
        <w:t>liability</w:t>
      </w:r>
      <w:proofErr w:type="gramEnd"/>
      <w:r w:rsidR="00A03629">
        <w:t xml:space="preserve"> </w:t>
      </w:r>
      <w:r>
        <w:t>and</w:t>
      </w:r>
      <w:r w:rsidR="00A03629">
        <w:t xml:space="preserve"> </w:t>
      </w:r>
      <w:r>
        <w:t>equity</w:t>
      </w:r>
      <w:r w:rsidR="00A03629">
        <w:t xml:space="preserve"> </w:t>
      </w:r>
      <w:r>
        <w:t>instrument</w:t>
      </w:r>
      <w:r w:rsidR="00A03629">
        <w:t xml:space="preserve"> </w:t>
      </w:r>
      <w:r>
        <w:t>above</w:t>
      </w:r>
      <w:r w:rsidR="00A03629">
        <w:t xml:space="preserve"> </w:t>
      </w:r>
      <w:r>
        <w:t>are</w:t>
      </w:r>
      <w:r w:rsidR="00A03629">
        <w:t xml:space="preserve"> </w:t>
      </w:r>
      <w:r>
        <w:t>disclosed</w:t>
      </w:r>
      <w:r w:rsidR="00A03629">
        <w:t xml:space="preserve"> </w:t>
      </w:r>
      <w:r>
        <w:t>in</w:t>
      </w:r>
      <w:r w:rsidR="00A03629">
        <w:rPr>
          <w:rFonts w:ascii="Cambria" w:hAnsi="Cambria" w:cs="Cambria"/>
        </w:rPr>
        <w:t xml:space="preserve"> </w:t>
      </w:r>
      <w:r>
        <w:t>relevant</w:t>
      </w:r>
      <w:r w:rsidR="00A03629">
        <w:t xml:space="preserve"> </w:t>
      </w:r>
      <w:r>
        <w:t>notes</w:t>
      </w:r>
      <w:r w:rsidR="00A03629">
        <w:t xml:space="preserve"> </w:t>
      </w:r>
      <w:r>
        <w:t>within</w:t>
      </w:r>
      <w:r w:rsidR="00A03629">
        <w:t xml:space="preserve"> </w:t>
      </w:r>
      <w:r>
        <w:t>the</w:t>
      </w:r>
      <w:r w:rsidR="00A03629">
        <w:t xml:space="preserve"> </w:t>
      </w:r>
      <w:r>
        <w:t>financial</w:t>
      </w:r>
      <w:r w:rsidR="00A03629">
        <w:t xml:space="preserve"> </w:t>
      </w:r>
      <w:r>
        <w:t>statements.</w:t>
      </w:r>
    </w:p>
    <w:p w14:paraId="418C72BB" w14:textId="018308FB" w:rsidR="000756EB" w:rsidRDefault="004A4D88" w:rsidP="00C92D5E">
      <w:r>
        <w:t>DJSIR</w:t>
      </w:r>
      <w:r w:rsidR="00A03629">
        <w:t xml:space="preserve"> </w:t>
      </w:r>
      <w:r>
        <w:t>uses</w:t>
      </w:r>
      <w:r w:rsidR="00A03629">
        <w:t xml:space="preserve"> </w:t>
      </w:r>
      <w:r>
        <w:t>different</w:t>
      </w:r>
      <w:r w:rsidR="00A03629">
        <w:t xml:space="preserve"> </w:t>
      </w:r>
      <w:r>
        <w:t>methods</w:t>
      </w:r>
      <w:r w:rsidR="00A03629">
        <w:t xml:space="preserve"> </w:t>
      </w:r>
      <w:r>
        <w:t>to</w:t>
      </w:r>
      <w:r w:rsidR="00A03629">
        <w:t xml:space="preserve"> </w:t>
      </w:r>
      <w:r>
        <w:t>measure</w:t>
      </w:r>
      <w:r w:rsidR="00A03629">
        <w:t xml:space="preserve"> </w:t>
      </w:r>
      <w:r>
        <w:t>and</w:t>
      </w:r>
      <w:r w:rsidR="00A03629">
        <w:t xml:space="preserve"> </w:t>
      </w:r>
      <w:r>
        <w:t>manage</w:t>
      </w:r>
      <w:r w:rsidR="00A03629">
        <w:t xml:space="preserve"> </w:t>
      </w:r>
      <w:r>
        <w:t>the</w:t>
      </w:r>
      <w:r w:rsidR="00A03629">
        <w:t xml:space="preserve"> </w:t>
      </w:r>
      <w:r>
        <w:t>different</w:t>
      </w:r>
      <w:r w:rsidR="00A03629">
        <w:t xml:space="preserve"> </w:t>
      </w:r>
      <w:r>
        <w:t>risks</w:t>
      </w:r>
      <w:r w:rsidR="00A03629">
        <w:t xml:space="preserve"> </w:t>
      </w:r>
      <w:r>
        <w:t>to</w:t>
      </w:r>
      <w:r w:rsidR="00A03629">
        <w:t xml:space="preserve"> </w:t>
      </w:r>
      <w:r>
        <w:t>which</w:t>
      </w:r>
      <w:r w:rsidR="00A03629">
        <w:t xml:space="preserve"> </w:t>
      </w:r>
      <w:r>
        <w:t>it</w:t>
      </w:r>
      <w:r w:rsidR="00A03629">
        <w:t xml:space="preserve"> </w:t>
      </w:r>
      <w:r>
        <w:t>is</w:t>
      </w:r>
      <w:r w:rsidR="00A03629">
        <w:t xml:space="preserve"> </w:t>
      </w:r>
      <w:r>
        <w:t>exposed.</w:t>
      </w:r>
      <w:r w:rsidR="00A03629">
        <w:t xml:space="preserve"> </w:t>
      </w:r>
    </w:p>
    <w:p w14:paraId="441A40C8" w14:textId="12F869A8" w:rsidR="000756EB" w:rsidRDefault="004A4D88" w:rsidP="00C92D5E">
      <w:r>
        <w:t>The</w:t>
      </w:r>
      <w:r w:rsidR="00A03629">
        <w:t xml:space="preserve"> </w:t>
      </w:r>
      <w:r>
        <w:t>carrying</w:t>
      </w:r>
      <w:r w:rsidR="00A03629">
        <w:t xml:space="preserve"> </w:t>
      </w:r>
      <w:r>
        <w:t>amounts</w:t>
      </w:r>
      <w:r w:rsidR="00A03629">
        <w:t xml:space="preserve"> </w:t>
      </w:r>
      <w:r>
        <w:t>of</w:t>
      </w:r>
      <w:r w:rsidR="00A03629">
        <w:t xml:space="preserve"> </w:t>
      </w:r>
      <w:r>
        <w:t>DJSIR’s</w:t>
      </w:r>
      <w:r w:rsidR="00A03629">
        <w:t xml:space="preserve"> </w:t>
      </w:r>
      <w:r>
        <w:t>contractual</w:t>
      </w:r>
      <w:r w:rsidR="00A03629">
        <w:t xml:space="preserve"> </w:t>
      </w:r>
      <w:r>
        <w:t>financial</w:t>
      </w:r>
      <w:r w:rsidR="00A03629">
        <w:t xml:space="preserve"> </w:t>
      </w:r>
      <w:r>
        <w:t>assets</w:t>
      </w:r>
      <w:r w:rsidR="00A03629">
        <w:t xml:space="preserve"> </w:t>
      </w:r>
      <w:r>
        <w:t>and</w:t>
      </w:r>
      <w:r w:rsidR="00A03629">
        <w:t xml:space="preserve"> </w:t>
      </w:r>
      <w:r>
        <w:t>financial</w:t>
      </w:r>
      <w:r w:rsidR="00A03629">
        <w:t xml:space="preserve"> </w:t>
      </w:r>
      <w:r>
        <w:t>liabilities</w:t>
      </w:r>
      <w:r w:rsidR="00A03629">
        <w:t xml:space="preserve"> </w:t>
      </w:r>
      <w:r>
        <w:t>by</w:t>
      </w:r>
      <w:r w:rsidR="00A03629">
        <w:t xml:space="preserve"> </w:t>
      </w:r>
      <w:r>
        <w:t>category</w:t>
      </w:r>
      <w:r w:rsidR="00A03629">
        <w:t xml:space="preserve"> </w:t>
      </w:r>
      <w:r>
        <w:t>are</w:t>
      </w:r>
      <w:r w:rsidR="00A03629">
        <w:t xml:space="preserve"> </w:t>
      </w:r>
      <w:r>
        <w:t>disclosed</w:t>
      </w:r>
      <w:r w:rsidR="00A03629">
        <w:t xml:space="preserve"> </w:t>
      </w:r>
      <w:r>
        <w:t>in</w:t>
      </w:r>
      <w:r w:rsidR="00A03629">
        <w:t xml:space="preserve"> </w:t>
      </w:r>
      <w:r>
        <w:t>the</w:t>
      </w:r>
      <w:r w:rsidR="00A03629">
        <w:t xml:space="preserve"> </w:t>
      </w:r>
      <w:r>
        <w:t>Note</w:t>
      </w:r>
      <w:r w:rsidR="00A03629">
        <w:t xml:space="preserve"> </w:t>
      </w:r>
      <w:r>
        <w:t>8.1.1</w:t>
      </w:r>
      <w:r w:rsidR="00A03629">
        <w:t xml:space="preserve"> </w:t>
      </w:r>
      <w:r>
        <w:t>–</w:t>
      </w:r>
      <w:r w:rsidR="00A03629">
        <w:t xml:space="preserve"> </w:t>
      </w:r>
      <w:r>
        <w:t>Financial</w:t>
      </w:r>
      <w:r w:rsidR="00A03629">
        <w:rPr>
          <w:rFonts w:ascii="Cambria" w:hAnsi="Cambria" w:cs="Cambria"/>
        </w:rPr>
        <w:t xml:space="preserve"> </w:t>
      </w:r>
      <w:r>
        <w:t>instruments:</w:t>
      </w:r>
      <w:r w:rsidR="00A03629">
        <w:t xml:space="preserve"> </w:t>
      </w:r>
      <w:r>
        <w:t>Categorisation.</w:t>
      </w:r>
    </w:p>
    <w:p w14:paraId="3E34121F" w14:textId="411B5C9C" w:rsidR="000756EB" w:rsidRPr="00C92D5E" w:rsidRDefault="004A4D88" w:rsidP="00C92D5E">
      <w:pPr>
        <w:pStyle w:val="Normalbeforebullets"/>
        <w:rPr>
          <w:b/>
          <w:bCs/>
        </w:rPr>
      </w:pPr>
      <w:r w:rsidRPr="00C92D5E">
        <w:rPr>
          <w:b/>
          <w:bCs/>
        </w:rPr>
        <w:lastRenderedPageBreak/>
        <w:t>Financial</w:t>
      </w:r>
      <w:r w:rsidR="00A03629" w:rsidRPr="00C92D5E">
        <w:rPr>
          <w:b/>
          <w:bCs/>
        </w:rPr>
        <w:t xml:space="preserve"> </w:t>
      </w:r>
      <w:r w:rsidRPr="00C92D5E">
        <w:rPr>
          <w:b/>
          <w:bCs/>
        </w:rPr>
        <w:t>instruments:</w:t>
      </w:r>
      <w:r w:rsidR="00A03629" w:rsidRPr="00C92D5E">
        <w:rPr>
          <w:b/>
          <w:bCs/>
        </w:rPr>
        <w:t xml:space="preserve"> </w:t>
      </w:r>
      <w:r w:rsidRPr="00C92D5E">
        <w:rPr>
          <w:b/>
          <w:bCs/>
        </w:rPr>
        <w:t>Credit</w:t>
      </w:r>
      <w:r w:rsidR="00A03629" w:rsidRPr="00C92D5E">
        <w:rPr>
          <w:b/>
          <w:bCs/>
        </w:rPr>
        <w:t xml:space="preserve"> </w:t>
      </w:r>
      <w:r w:rsidRPr="00C92D5E">
        <w:rPr>
          <w:b/>
          <w:bCs/>
        </w:rPr>
        <w:t>risk</w:t>
      </w:r>
      <w:r w:rsidR="00A03629" w:rsidRPr="00C92D5E">
        <w:rPr>
          <w:b/>
          <w:bCs/>
        </w:rPr>
        <w:t xml:space="preserve"> </w:t>
      </w:r>
    </w:p>
    <w:p w14:paraId="6EA80474" w14:textId="623A8F7A" w:rsidR="000756EB" w:rsidRDefault="004A4D88" w:rsidP="00C92D5E">
      <w:pPr>
        <w:keepLines/>
      </w:pPr>
      <w:r>
        <w:t>Credit</w:t>
      </w:r>
      <w:r w:rsidR="00A03629">
        <w:t xml:space="preserve"> </w:t>
      </w:r>
      <w:r>
        <w:t>risk</w:t>
      </w:r>
      <w:r w:rsidR="00A03629">
        <w:t xml:space="preserve"> </w:t>
      </w:r>
      <w:r>
        <w:t>arises</w:t>
      </w:r>
      <w:r w:rsidR="00A03629">
        <w:t xml:space="preserve"> </w:t>
      </w:r>
      <w:r>
        <w:t>from</w:t>
      </w:r>
      <w:r w:rsidR="00A03629">
        <w:t xml:space="preserve"> </w:t>
      </w:r>
      <w:r>
        <w:t>the</w:t>
      </w:r>
      <w:r w:rsidR="00A03629">
        <w:t xml:space="preserve"> </w:t>
      </w:r>
      <w:r>
        <w:t>contractual</w:t>
      </w:r>
      <w:r w:rsidR="00A03629">
        <w:t xml:space="preserve"> </w:t>
      </w:r>
      <w:r>
        <w:t>financial</w:t>
      </w:r>
      <w:r w:rsidR="00A03629">
        <w:t xml:space="preserve"> </w:t>
      </w:r>
      <w:r>
        <w:t>assets</w:t>
      </w:r>
      <w:r w:rsidR="00A03629">
        <w:t xml:space="preserve"> </w:t>
      </w:r>
      <w:r>
        <w:t>of</w:t>
      </w:r>
      <w:r w:rsidR="00A03629">
        <w:t xml:space="preserve"> </w:t>
      </w:r>
      <w:r>
        <w:t>DJSIR,</w:t>
      </w:r>
      <w:r w:rsidR="00A03629">
        <w:t xml:space="preserve"> </w:t>
      </w:r>
      <w:r>
        <w:t>which</w:t>
      </w:r>
      <w:r w:rsidR="00A03629">
        <w:t xml:space="preserve"> </w:t>
      </w:r>
      <w:r>
        <w:t>comprise</w:t>
      </w:r>
      <w:r w:rsidR="00A03629">
        <w:t xml:space="preserve"> </w:t>
      </w:r>
      <w:r>
        <w:t>cash</w:t>
      </w:r>
      <w:r w:rsidR="00A03629">
        <w:t xml:space="preserve"> </w:t>
      </w:r>
      <w:r>
        <w:t>and</w:t>
      </w:r>
      <w:r w:rsidR="00A03629">
        <w:t xml:space="preserve"> </w:t>
      </w:r>
      <w:r>
        <w:t>deposits,</w:t>
      </w:r>
      <w:r w:rsidR="00A03629">
        <w:t xml:space="preserve"> </w:t>
      </w:r>
      <w:r>
        <w:t>non-statutory</w:t>
      </w:r>
      <w:r w:rsidR="00A03629">
        <w:t xml:space="preserve"> </w:t>
      </w:r>
      <w:proofErr w:type="gramStart"/>
      <w:r>
        <w:t>receivables</w:t>
      </w:r>
      <w:proofErr w:type="gramEnd"/>
      <w:r w:rsidR="00A03629">
        <w:t xml:space="preserve"> </w:t>
      </w:r>
      <w:r>
        <w:t>and</w:t>
      </w:r>
      <w:r w:rsidR="00A03629">
        <w:t xml:space="preserve"> </w:t>
      </w:r>
      <w:r>
        <w:t>available-for-sale</w:t>
      </w:r>
      <w:r w:rsidR="00A03629">
        <w:t xml:space="preserve"> </w:t>
      </w:r>
      <w:r>
        <w:t>contractual</w:t>
      </w:r>
      <w:r w:rsidR="00A03629">
        <w:t xml:space="preserve"> </w:t>
      </w:r>
      <w:r>
        <w:t>financial</w:t>
      </w:r>
      <w:r w:rsidR="00A03629">
        <w:t xml:space="preserve"> </w:t>
      </w:r>
      <w:r>
        <w:t>assets.</w:t>
      </w:r>
      <w:r w:rsidR="00A03629">
        <w:t xml:space="preserve"> </w:t>
      </w:r>
      <w:r>
        <w:t>DJSIR’s</w:t>
      </w:r>
      <w:r w:rsidR="00A03629">
        <w:t xml:space="preserve"> </w:t>
      </w:r>
      <w:r>
        <w:t>exposure</w:t>
      </w:r>
      <w:r w:rsidR="00A03629">
        <w:t xml:space="preserve"> </w:t>
      </w:r>
      <w:r>
        <w:t>to</w:t>
      </w:r>
      <w:r w:rsidR="00A03629">
        <w:t xml:space="preserve"> </w:t>
      </w:r>
      <w:r>
        <w:t>credit</w:t>
      </w:r>
      <w:r w:rsidR="00A03629">
        <w:t xml:space="preserve"> </w:t>
      </w:r>
      <w:r>
        <w:t>risk</w:t>
      </w:r>
      <w:r w:rsidR="00A03629">
        <w:t xml:space="preserve"> </w:t>
      </w:r>
      <w:r>
        <w:t>arises</w:t>
      </w:r>
      <w:r w:rsidR="00A03629">
        <w:t xml:space="preserve"> </w:t>
      </w:r>
      <w:r>
        <w:t>from</w:t>
      </w:r>
      <w:r w:rsidR="00A03629">
        <w:t xml:space="preserve"> </w:t>
      </w:r>
      <w:r>
        <w:t>the</w:t>
      </w:r>
      <w:r w:rsidR="00A03629">
        <w:t xml:space="preserve"> </w:t>
      </w:r>
      <w:r>
        <w:t>potential</w:t>
      </w:r>
      <w:r w:rsidR="00A03629">
        <w:t xml:space="preserve"> </w:t>
      </w:r>
      <w:r>
        <w:t>default</w:t>
      </w:r>
      <w:r w:rsidR="00A03629">
        <w:t xml:space="preserve"> </w:t>
      </w:r>
      <w:r>
        <w:t>of</w:t>
      </w:r>
      <w:r w:rsidR="00A03629">
        <w:t xml:space="preserve"> </w:t>
      </w:r>
      <w:r>
        <w:t>the</w:t>
      </w:r>
      <w:r w:rsidR="00A03629">
        <w:t xml:space="preserve"> </w:t>
      </w:r>
      <w:r>
        <w:t>counter</w:t>
      </w:r>
      <w:r w:rsidR="00A03629">
        <w:t xml:space="preserve"> </w:t>
      </w:r>
      <w:r>
        <w:t>party</w:t>
      </w:r>
      <w:r w:rsidR="00A03629">
        <w:t xml:space="preserve"> </w:t>
      </w:r>
      <w:r>
        <w:t>on</w:t>
      </w:r>
      <w:r w:rsidR="00A03629">
        <w:t xml:space="preserve"> </w:t>
      </w:r>
      <w:r>
        <w:t>their</w:t>
      </w:r>
      <w:r w:rsidR="00A03629">
        <w:t xml:space="preserve"> </w:t>
      </w:r>
      <w:r>
        <w:t>contractual</w:t>
      </w:r>
      <w:r w:rsidR="00A03629">
        <w:t xml:space="preserve"> </w:t>
      </w:r>
      <w:r>
        <w:t>obligations</w:t>
      </w:r>
      <w:r w:rsidR="00A03629">
        <w:t xml:space="preserve"> </w:t>
      </w:r>
      <w:r>
        <w:t>resulting</w:t>
      </w:r>
      <w:r w:rsidR="00A03629">
        <w:t xml:space="preserve"> </w:t>
      </w:r>
      <w:r>
        <w:t>in</w:t>
      </w:r>
      <w:r w:rsidR="00A03629">
        <w:t xml:space="preserve"> </w:t>
      </w:r>
      <w:r>
        <w:t>financial</w:t>
      </w:r>
      <w:r w:rsidR="00A03629">
        <w:t xml:space="preserve"> </w:t>
      </w:r>
      <w:r>
        <w:t>loss</w:t>
      </w:r>
      <w:r w:rsidR="00A03629">
        <w:t xml:space="preserve"> </w:t>
      </w:r>
      <w:r>
        <w:t>to</w:t>
      </w:r>
      <w:r w:rsidR="00A03629">
        <w:t xml:space="preserve"> </w:t>
      </w:r>
      <w:r>
        <w:t>DJSIR.</w:t>
      </w:r>
      <w:r w:rsidR="00A03629">
        <w:t xml:space="preserve"> </w:t>
      </w:r>
      <w:r>
        <w:t>Credit</w:t>
      </w:r>
      <w:r w:rsidR="00A03629">
        <w:t xml:space="preserve"> </w:t>
      </w:r>
      <w:r>
        <w:t>risk</w:t>
      </w:r>
      <w:r w:rsidR="00A03629">
        <w:t xml:space="preserve"> </w:t>
      </w:r>
      <w:r>
        <w:t>is</w:t>
      </w:r>
      <w:r w:rsidR="00A03629">
        <w:rPr>
          <w:rFonts w:ascii="Cambria" w:hAnsi="Cambria" w:cs="Cambria"/>
        </w:rPr>
        <w:t xml:space="preserve"> </w:t>
      </w:r>
      <w:r>
        <w:t>measured</w:t>
      </w:r>
      <w:r w:rsidR="00A03629">
        <w:t xml:space="preserve"> </w:t>
      </w:r>
      <w:r>
        <w:t>at</w:t>
      </w:r>
      <w:r w:rsidR="00A03629">
        <w:t xml:space="preserve"> </w:t>
      </w:r>
      <w:r>
        <w:t>fair</w:t>
      </w:r>
      <w:r w:rsidR="00A03629">
        <w:t xml:space="preserve"> </w:t>
      </w:r>
      <w:r>
        <w:t>value</w:t>
      </w:r>
      <w:r w:rsidR="00A03629">
        <w:t xml:space="preserve"> </w:t>
      </w:r>
      <w:r>
        <w:t>and</w:t>
      </w:r>
      <w:r w:rsidR="00A03629">
        <w:t xml:space="preserve"> </w:t>
      </w:r>
      <w:r>
        <w:t>is</w:t>
      </w:r>
      <w:r w:rsidR="00A03629">
        <w:t xml:space="preserve"> </w:t>
      </w:r>
      <w:r>
        <w:t>monitored</w:t>
      </w:r>
      <w:r w:rsidR="00A03629">
        <w:t xml:space="preserve"> </w:t>
      </w:r>
      <w:r>
        <w:t>on</w:t>
      </w:r>
      <w:r w:rsidR="00A03629">
        <w:rPr>
          <w:rFonts w:ascii="Cambria" w:hAnsi="Cambria" w:cs="Cambria"/>
        </w:rPr>
        <w:t xml:space="preserve"> </w:t>
      </w:r>
      <w:r>
        <w:t>a</w:t>
      </w:r>
      <w:r w:rsidR="00A03629">
        <w:rPr>
          <w:rFonts w:ascii="Cambria" w:hAnsi="Cambria" w:cs="Cambria"/>
        </w:rPr>
        <w:t xml:space="preserve"> </w:t>
      </w:r>
      <w:r>
        <w:t>regular</w:t>
      </w:r>
      <w:r w:rsidR="00A03629">
        <w:rPr>
          <w:rFonts w:ascii="Cambria" w:hAnsi="Cambria" w:cs="Cambria"/>
        </w:rPr>
        <w:t xml:space="preserve"> </w:t>
      </w:r>
      <w:r>
        <w:t>basis.</w:t>
      </w:r>
    </w:p>
    <w:p w14:paraId="3EBFC423" w14:textId="0FC2D9A0" w:rsidR="000756EB" w:rsidRDefault="004A4D88" w:rsidP="00C92D5E">
      <w:r>
        <w:t>Credit</w:t>
      </w:r>
      <w:r w:rsidR="00A03629">
        <w:t xml:space="preserve"> </w:t>
      </w:r>
      <w:r>
        <w:t>risk</w:t>
      </w:r>
      <w:r w:rsidR="00A03629">
        <w:t xml:space="preserve"> </w:t>
      </w:r>
      <w:r>
        <w:t>associated</w:t>
      </w:r>
      <w:r w:rsidR="00A03629">
        <w:t xml:space="preserve"> </w:t>
      </w:r>
      <w:r>
        <w:t>with</w:t>
      </w:r>
      <w:r w:rsidR="00A03629">
        <w:t xml:space="preserve"> </w:t>
      </w:r>
      <w:r>
        <w:t>DJSIR’s</w:t>
      </w:r>
      <w:r w:rsidR="00A03629">
        <w:t xml:space="preserve"> </w:t>
      </w:r>
      <w:r>
        <w:t>financial</w:t>
      </w:r>
      <w:r w:rsidR="00A03629">
        <w:t xml:space="preserve"> </w:t>
      </w:r>
      <w:r>
        <w:t>assets</w:t>
      </w:r>
      <w:r w:rsidR="00A03629">
        <w:t xml:space="preserve"> </w:t>
      </w:r>
      <w:r>
        <w:t>is</w:t>
      </w:r>
      <w:r w:rsidR="00A03629">
        <w:t xml:space="preserve"> </w:t>
      </w:r>
      <w:r>
        <w:t>minimal</w:t>
      </w:r>
      <w:r w:rsidR="00A03629">
        <w:t xml:space="preserve"> </w:t>
      </w:r>
      <w:r>
        <w:t>because</w:t>
      </w:r>
      <w:r w:rsidR="00A03629">
        <w:t xml:space="preserve"> </w:t>
      </w:r>
      <w:r>
        <w:t>its</w:t>
      </w:r>
      <w:r w:rsidR="00A03629">
        <w:t xml:space="preserve"> </w:t>
      </w:r>
      <w:r>
        <w:t>main</w:t>
      </w:r>
      <w:r w:rsidR="00A03629">
        <w:t xml:space="preserve"> </w:t>
      </w:r>
      <w:r>
        <w:t>debtor</w:t>
      </w:r>
      <w:r w:rsidR="00A03629">
        <w:t xml:space="preserve"> </w:t>
      </w:r>
      <w:r>
        <w:t>is</w:t>
      </w:r>
      <w:r w:rsidR="00A03629">
        <w:t xml:space="preserve"> </w:t>
      </w:r>
      <w:r>
        <w:t>the</w:t>
      </w:r>
      <w:r w:rsidR="00A03629">
        <w:t xml:space="preserve"> </w:t>
      </w:r>
      <w:r>
        <w:t>Victorian</w:t>
      </w:r>
      <w:r w:rsidR="00A03629">
        <w:t xml:space="preserve"> </w:t>
      </w:r>
      <w:r>
        <w:t>Government.</w:t>
      </w:r>
      <w:r w:rsidR="00A03629">
        <w:t xml:space="preserve"> </w:t>
      </w:r>
      <w:r>
        <w:t>For</w:t>
      </w:r>
      <w:r w:rsidR="00A03629">
        <w:t xml:space="preserve"> </w:t>
      </w:r>
      <w:r>
        <w:t>debtors</w:t>
      </w:r>
      <w:r w:rsidR="00A03629">
        <w:t xml:space="preserve"> </w:t>
      </w:r>
      <w:r>
        <w:t>other</w:t>
      </w:r>
      <w:r w:rsidR="00A03629">
        <w:t xml:space="preserve"> </w:t>
      </w:r>
      <w:r>
        <w:t>than</w:t>
      </w:r>
      <w:r w:rsidR="00A03629">
        <w:t xml:space="preserve"> </w:t>
      </w:r>
      <w:r>
        <w:t>government,</w:t>
      </w:r>
      <w:r w:rsidR="00A03629">
        <w:t xml:space="preserve"> </w:t>
      </w:r>
      <w:r>
        <w:t>it</w:t>
      </w:r>
      <w:r w:rsidR="00A03629">
        <w:rPr>
          <w:rFonts w:ascii="Cambria" w:hAnsi="Cambria" w:cs="Cambria"/>
        </w:rPr>
        <w:t xml:space="preserve"> </w:t>
      </w:r>
      <w:r>
        <w:t>is</w:t>
      </w:r>
      <w:r w:rsidR="00A03629">
        <w:t xml:space="preserve"> </w:t>
      </w:r>
      <w:r>
        <w:t>DJSIR’s</w:t>
      </w:r>
      <w:r w:rsidR="00A03629">
        <w:t xml:space="preserve"> </w:t>
      </w:r>
      <w:r>
        <w:t>policy</w:t>
      </w:r>
      <w:r w:rsidR="00A03629">
        <w:t xml:space="preserve"> </w:t>
      </w:r>
      <w:r>
        <w:t>to</w:t>
      </w:r>
      <w:r w:rsidR="00A03629">
        <w:t xml:space="preserve"> </w:t>
      </w:r>
      <w:r>
        <w:t>only</w:t>
      </w:r>
      <w:r w:rsidR="00A03629">
        <w:t xml:space="preserve"> </w:t>
      </w:r>
      <w:r>
        <w:t>deal</w:t>
      </w:r>
      <w:r w:rsidR="00A03629">
        <w:t xml:space="preserve"> </w:t>
      </w:r>
      <w:r>
        <w:t>with</w:t>
      </w:r>
      <w:r w:rsidR="00A03629">
        <w:t xml:space="preserve"> </w:t>
      </w:r>
      <w:r>
        <w:t>entities</w:t>
      </w:r>
      <w:r w:rsidR="00A03629">
        <w:t xml:space="preserve"> </w:t>
      </w:r>
      <w:r>
        <w:t>with</w:t>
      </w:r>
      <w:r w:rsidR="00A03629">
        <w:t xml:space="preserve"> </w:t>
      </w:r>
      <w:r>
        <w:t>high</w:t>
      </w:r>
      <w:r w:rsidR="00A03629">
        <w:t xml:space="preserve"> </w:t>
      </w:r>
      <w:r>
        <w:t>credit</w:t>
      </w:r>
      <w:r w:rsidR="00A03629">
        <w:t xml:space="preserve"> </w:t>
      </w:r>
      <w:r>
        <w:t>ratings</w:t>
      </w:r>
      <w:r w:rsidR="00A03629">
        <w:t xml:space="preserve"> </w:t>
      </w:r>
      <w:r>
        <w:t>of</w:t>
      </w:r>
      <w:r w:rsidR="00A03629">
        <w:t xml:space="preserve"> </w:t>
      </w:r>
      <w:r>
        <w:t>a</w:t>
      </w:r>
      <w:r w:rsidR="00A03629">
        <w:t xml:space="preserve"> </w:t>
      </w:r>
      <w:r>
        <w:t>minimum</w:t>
      </w:r>
      <w:r w:rsidR="00A03629">
        <w:t xml:space="preserve"> </w:t>
      </w:r>
      <w:r>
        <w:t>triple-B</w:t>
      </w:r>
      <w:r w:rsidR="00A03629">
        <w:t xml:space="preserve"> </w:t>
      </w:r>
      <w:r>
        <w:t>rating</w:t>
      </w:r>
      <w:r w:rsidR="00A03629">
        <w:t xml:space="preserve"> </w:t>
      </w:r>
      <w:r>
        <w:t>and</w:t>
      </w:r>
      <w:r w:rsidR="00A03629">
        <w:t xml:space="preserve"> </w:t>
      </w:r>
      <w:r>
        <w:t>to</w:t>
      </w:r>
      <w:r w:rsidR="00A03629">
        <w:t xml:space="preserve"> </w:t>
      </w:r>
      <w:r>
        <w:t>obtain</w:t>
      </w:r>
      <w:r w:rsidR="00A03629">
        <w:t xml:space="preserve"> </w:t>
      </w:r>
      <w:r>
        <w:t>sufficient</w:t>
      </w:r>
      <w:r w:rsidR="00A03629">
        <w:t xml:space="preserve"> </w:t>
      </w:r>
      <w:r>
        <w:t>collateral</w:t>
      </w:r>
      <w:r w:rsidR="00A03629">
        <w:t xml:space="preserve"> </w:t>
      </w:r>
      <w:r>
        <w:t>or</w:t>
      </w:r>
      <w:r w:rsidR="00A03629">
        <w:t xml:space="preserve"> </w:t>
      </w:r>
      <w:r>
        <w:t>credit</w:t>
      </w:r>
      <w:r w:rsidR="00A03629">
        <w:t xml:space="preserve"> </w:t>
      </w:r>
      <w:r>
        <w:t>enhancements,</w:t>
      </w:r>
      <w:r w:rsidR="00A03629">
        <w:t xml:space="preserve"> </w:t>
      </w:r>
      <w:r>
        <w:t>where</w:t>
      </w:r>
      <w:r w:rsidR="00A03629">
        <w:t xml:space="preserve"> </w:t>
      </w:r>
      <w:r>
        <w:t>appropriate.</w:t>
      </w:r>
    </w:p>
    <w:p w14:paraId="5DD43F11" w14:textId="33ED8770" w:rsidR="000756EB" w:rsidRDefault="004A4D88" w:rsidP="00C92D5E">
      <w:r>
        <w:t>In</w:t>
      </w:r>
      <w:r w:rsidR="00A03629">
        <w:t xml:space="preserve"> </w:t>
      </w:r>
      <w:r>
        <w:t>addition,</w:t>
      </w:r>
      <w:r w:rsidR="00A03629">
        <w:t xml:space="preserve"> </w:t>
      </w:r>
      <w:r>
        <w:t>DJSIR</w:t>
      </w:r>
      <w:r w:rsidR="00A03629">
        <w:t xml:space="preserve"> </w:t>
      </w:r>
      <w:r>
        <w:t>does</w:t>
      </w:r>
      <w:r w:rsidR="00A03629">
        <w:t xml:space="preserve"> </w:t>
      </w:r>
      <w:r>
        <w:t>not</w:t>
      </w:r>
      <w:r w:rsidR="00A03629">
        <w:t xml:space="preserve"> </w:t>
      </w:r>
      <w:r>
        <w:t>engage</w:t>
      </w:r>
      <w:r w:rsidR="00A03629">
        <w:t xml:space="preserve"> </w:t>
      </w:r>
      <w:r>
        <w:t>in</w:t>
      </w:r>
      <w:r w:rsidR="00A03629">
        <w:t xml:space="preserve"> </w:t>
      </w:r>
      <w:r>
        <w:t>hedging</w:t>
      </w:r>
      <w:r w:rsidR="00A03629">
        <w:t xml:space="preserve"> </w:t>
      </w:r>
      <w:r>
        <w:t>for</w:t>
      </w:r>
      <w:r w:rsidR="00A03629">
        <w:t xml:space="preserve"> </w:t>
      </w:r>
      <w:r>
        <w:t>its</w:t>
      </w:r>
      <w:r w:rsidR="00A03629">
        <w:t xml:space="preserve"> </w:t>
      </w:r>
      <w:r>
        <w:t>contractual</w:t>
      </w:r>
      <w:r w:rsidR="00A03629">
        <w:t xml:space="preserve"> </w:t>
      </w:r>
      <w:r>
        <w:t>financial</w:t>
      </w:r>
      <w:r w:rsidR="00A03629">
        <w:t xml:space="preserve"> </w:t>
      </w:r>
      <w:r>
        <w:t>assets</w:t>
      </w:r>
      <w:r w:rsidR="00A03629">
        <w:t xml:space="preserve"> </w:t>
      </w:r>
      <w:r>
        <w:t>and</w:t>
      </w:r>
      <w:r w:rsidR="00A03629">
        <w:t xml:space="preserve"> </w:t>
      </w:r>
      <w:r>
        <w:t>mainly</w:t>
      </w:r>
      <w:r w:rsidR="00A03629">
        <w:t xml:space="preserve"> </w:t>
      </w:r>
      <w:r>
        <w:t>obtains</w:t>
      </w:r>
      <w:r w:rsidR="00A03629">
        <w:t xml:space="preserve"> </w:t>
      </w:r>
      <w:r>
        <w:t>contractual</w:t>
      </w:r>
      <w:r w:rsidR="00A03629">
        <w:t xml:space="preserve"> </w:t>
      </w:r>
      <w:r>
        <w:t>financial</w:t>
      </w:r>
      <w:r w:rsidR="00A03629">
        <w:t xml:space="preserve"> </w:t>
      </w:r>
      <w:r>
        <w:t>assets</w:t>
      </w:r>
      <w:r w:rsidR="00A03629">
        <w:t xml:space="preserve"> </w:t>
      </w:r>
      <w:r>
        <w:t>that</w:t>
      </w:r>
      <w:r w:rsidR="00A03629">
        <w:t xml:space="preserve"> </w:t>
      </w:r>
      <w:r>
        <w:t>are</w:t>
      </w:r>
      <w:r w:rsidR="00A03629">
        <w:t xml:space="preserve"> </w:t>
      </w:r>
      <w:r>
        <w:t>on</w:t>
      </w:r>
      <w:r w:rsidR="00A03629">
        <w:t xml:space="preserve"> </w:t>
      </w:r>
      <w:r>
        <w:t>fixed</w:t>
      </w:r>
      <w:r w:rsidR="00A03629">
        <w:t xml:space="preserve"> </w:t>
      </w:r>
      <w:r>
        <w:t>interest,</w:t>
      </w:r>
      <w:r w:rsidR="00A03629">
        <w:t xml:space="preserve"> </w:t>
      </w:r>
      <w:r>
        <w:t>except</w:t>
      </w:r>
      <w:r w:rsidR="00A03629">
        <w:t xml:space="preserve"> </w:t>
      </w:r>
      <w:r>
        <w:t>for</w:t>
      </w:r>
      <w:r w:rsidR="00A03629">
        <w:t xml:space="preserve"> </w:t>
      </w:r>
      <w:r>
        <w:t>cash</w:t>
      </w:r>
      <w:r w:rsidR="00A03629">
        <w:t xml:space="preserve"> </w:t>
      </w:r>
      <w:r>
        <w:t>and</w:t>
      </w:r>
      <w:r w:rsidR="00A03629">
        <w:t xml:space="preserve"> </w:t>
      </w:r>
      <w:r>
        <w:t>deposits,</w:t>
      </w:r>
      <w:r w:rsidR="00A03629">
        <w:t xml:space="preserve"> </w:t>
      </w:r>
      <w:r>
        <w:t>which</w:t>
      </w:r>
      <w:r w:rsidR="00A03629">
        <w:t xml:space="preserve"> </w:t>
      </w:r>
      <w:r>
        <w:t>are</w:t>
      </w:r>
      <w:r w:rsidR="00A03629">
        <w:t xml:space="preserve"> </w:t>
      </w:r>
      <w:r>
        <w:t>mainly</w:t>
      </w:r>
      <w:r w:rsidR="00A03629">
        <w:t xml:space="preserve"> </w:t>
      </w:r>
      <w:r>
        <w:t>cash</w:t>
      </w:r>
      <w:r w:rsidR="00A03629">
        <w:t xml:space="preserve"> </w:t>
      </w:r>
      <w:r>
        <w:t>at</w:t>
      </w:r>
      <w:r w:rsidR="00A03629">
        <w:t xml:space="preserve"> </w:t>
      </w:r>
      <w:r>
        <w:t>bank.</w:t>
      </w:r>
      <w:r w:rsidR="00A03629">
        <w:t xml:space="preserve"> </w:t>
      </w:r>
      <w:r>
        <w:t>As</w:t>
      </w:r>
      <w:r w:rsidR="00A03629">
        <w:t xml:space="preserve"> </w:t>
      </w:r>
      <w:r>
        <w:t>with</w:t>
      </w:r>
      <w:r w:rsidR="00A03629">
        <w:t xml:space="preserve"> </w:t>
      </w:r>
      <w:r>
        <w:t>the</w:t>
      </w:r>
      <w:r w:rsidR="00A03629">
        <w:t xml:space="preserve"> </w:t>
      </w:r>
      <w:r>
        <w:t>policy</w:t>
      </w:r>
      <w:r w:rsidR="00A03629">
        <w:t xml:space="preserve"> </w:t>
      </w:r>
      <w:r>
        <w:t>for</w:t>
      </w:r>
      <w:r w:rsidR="00A03629">
        <w:t xml:space="preserve"> </w:t>
      </w:r>
      <w:r>
        <w:t>debtors,</w:t>
      </w:r>
      <w:r w:rsidR="00A03629">
        <w:t xml:space="preserve"> </w:t>
      </w:r>
      <w:r>
        <w:t>DJSIR’s</w:t>
      </w:r>
      <w:r w:rsidR="00A03629">
        <w:t xml:space="preserve"> </w:t>
      </w:r>
      <w:r>
        <w:t>policy</w:t>
      </w:r>
      <w:r w:rsidR="00A03629">
        <w:t xml:space="preserve"> </w:t>
      </w:r>
      <w:r>
        <w:t>is</w:t>
      </w:r>
      <w:r w:rsidR="00A03629">
        <w:t xml:space="preserve"> </w:t>
      </w:r>
      <w:r>
        <w:t>to</w:t>
      </w:r>
      <w:r w:rsidR="00A03629">
        <w:t xml:space="preserve"> </w:t>
      </w:r>
      <w:r>
        <w:t>only</w:t>
      </w:r>
      <w:r w:rsidR="00A03629">
        <w:t xml:space="preserve"> </w:t>
      </w:r>
      <w:r>
        <w:t>deal</w:t>
      </w:r>
      <w:r w:rsidR="00A03629">
        <w:t xml:space="preserve"> </w:t>
      </w:r>
      <w:r>
        <w:t>with</w:t>
      </w:r>
      <w:r w:rsidR="00A03629">
        <w:t xml:space="preserve"> </w:t>
      </w:r>
      <w:r>
        <w:t>banks</w:t>
      </w:r>
      <w:r w:rsidR="00A03629">
        <w:t xml:space="preserve"> </w:t>
      </w:r>
      <w:r>
        <w:t>with</w:t>
      </w:r>
      <w:r w:rsidR="00A03629">
        <w:t xml:space="preserve"> </w:t>
      </w:r>
      <w:r>
        <w:t>high</w:t>
      </w:r>
      <w:r w:rsidR="00A03629">
        <w:t xml:space="preserve"> </w:t>
      </w:r>
      <w:r>
        <w:t>credit</w:t>
      </w:r>
      <w:r w:rsidR="00A03629">
        <w:t xml:space="preserve"> </w:t>
      </w:r>
      <w:r>
        <w:t>ratings.</w:t>
      </w:r>
    </w:p>
    <w:p w14:paraId="32844C8A" w14:textId="33236592" w:rsidR="000756EB" w:rsidRDefault="004A4D88" w:rsidP="00C92D5E">
      <w:r>
        <w:t>DJSIR</w:t>
      </w:r>
      <w:r w:rsidR="00A03629">
        <w:t xml:space="preserve"> </w:t>
      </w:r>
      <w:r>
        <w:t>mainly</w:t>
      </w:r>
      <w:r w:rsidR="00A03629">
        <w:t xml:space="preserve"> </w:t>
      </w:r>
      <w:r>
        <w:t>holds</w:t>
      </w:r>
      <w:r w:rsidR="00A03629">
        <w:t xml:space="preserve"> </w:t>
      </w:r>
      <w:r>
        <w:t>financial</w:t>
      </w:r>
      <w:r w:rsidR="00A03629">
        <w:t xml:space="preserve"> </w:t>
      </w:r>
      <w:r>
        <w:t>assets</w:t>
      </w:r>
      <w:r w:rsidR="00A03629">
        <w:t xml:space="preserve"> </w:t>
      </w:r>
      <w:r>
        <w:t>that</w:t>
      </w:r>
      <w:r w:rsidR="00A03629">
        <w:t xml:space="preserve"> </w:t>
      </w:r>
      <w:r>
        <w:t>are</w:t>
      </w:r>
      <w:r w:rsidR="00A03629">
        <w:t xml:space="preserve"> </w:t>
      </w:r>
      <w:r>
        <w:t>on</w:t>
      </w:r>
      <w:r w:rsidR="00A03629">
        <w:t xml:space="preserve"> </w:t>
      </w:r>
      <w:r>
        <w:t>fixed</w:t>
      </w:r>
      <w:r w:rsidR="00A03629">
        <w:rPr>
          <w:rFonts w:ascii="Cambria" w:hAnsi="Cambria" w:cs="Cambria"/>
        </w:rPr>
        <w:t xml:space="preserve"> </w:t>
      </w:r>
      <w:r>
        <w:t>interest</w:t>
      </w:r>
      <w:r w:rsidR="00A03629">
        <w:t xml:space="preserve"> </w:t>
      </w:r>
      <w:r>
        <w:t>except</w:t>
      </w:r>
      <w:r w:rsidR="00A03629">
        <w:t xml:space="preserve"> </w:t>
      </w:r>
      <w:r>
        <w:t>for</w:t>
      </w:r>
      <w:r w:rsidR="00A03629">
        <w:t xml:space="preserve"> </w:t>
      </w:r>
      <w:r>
        <w:t>cash</w:t>
      </w:r>
      <w:r w:rsidR="00A03629">
        <w:t xml:space="preserve"> </w:t>
      </w:r>
      <w:r>
        <w:t>assets</w:t>
      </w:r>
      <w:r w:rsidR="00A03629">
        <w:t xml:space="preserve"> </w:t>
      </w:r>
      <w:r>
        <w:t>which</w:t>
      </w:r>
      <w:r w:rsidR="00A03629">
        <w:t xml:space="preserve"> </w:t>
      </w:r>
      <w:r>
        <w:t>are</w:t>
      </w:r>
      <w:r w:rsidR="00A03629">
        <w:t xml:space="preserve"> </w:t>
      </w:r>
      <w:r>
        <w:t>mainly</w:t>
      </w:r>
      <w:r w:rsidR="00A03629">
        <w:t xml:space="preserve"> </w:t>
      </w:r>
      <w:r>
        <w:t>cash</w:t>
      </w:r>
      <w:r w:rsidR="00A03629">
        <w:t xml:space="preserve"> </w:t>
      </w:r>
      <w:r>
        <w:t>at</w:t>
      </w:r>
      <w:r w:rsidR="00A03629">
        <w:t xml:space="preserve"> </w:t>
      </w:r>
      <w:r>
        <w:t>bank.</w:t>
      </w:r>
      <w:r w:rsidR="00A03629">
        <w:t xml:space="preserve"> </w:t>
      </w:r>
      <w:r>
        <w:t>As</w:t>
      </w:r>
      <w:r w:rsidR="00A03629">
        <w:t xml:space="preserve"> </w:t>
      </w:r>
      <w:r>
        <w:t>with</w:t>
      </w:r>
      <w:r w:rsidR="00A03629">
        <w:t xml:space="preserve"> </w:t>
      </w:r>
      <w:r>
        <w:t>the</w:t>
      </w:r>
      <w:r w:rsidR="00A03629">
        <w:t xml:space="preserve"> </w:t>
      </w:r>
      <w:r>
        <w:t>policy</w:t>
      </w:r>
      <w:r w:rsidR="00A03629">
        <w:t xml:space="preserve"> </w:t>
      </w:r>
      <w:r>
        <w:t>for</w:t>
      </w:r>
      <w:r w:rsidR="00A03629">
        <w:t xml:space="preserve"> </w:t>
      </w:r>
      <w:r>
        <w:t>debtors,</w:t>
      </w:r>
      <w:r w:rsidR="00A03629">
        <w:t xml:space="preserve"> </w:t>
      </w:r>
      <w:r>
        <w:t>DJSIR’s</w:t>
      </w:r>
      <w:r w:rsidR="00A03629">
        <w:t xml:space="preserve"> </w:t>
      </w:r>
      <w:r>
        <w:t>policy</w:t>
      </w:r>
      <w:r w:rsidR="00A03629">
        <w:t xml:space="preserve"> </w:t>
      </w:r>
      <w:r>
        <w:t>is</w:t>
      </w:r>
      <w:r w:rsidR="00A03629">
        <w:t xml:space="preserve"> </w:t>
      </w:r>
      <w:r>
        <w:t>to</w:t>
      </w:r>
      <w:r w:rsidR="00A03629">
        <w:t xml:space="preserve"> </w:t>
      </w:r>
      <w:r>
        <w:t>only</w:t>
      </w:r>
      <w:r w:rsidR="00A03629">
        <w:t xml:space="preserve"> </w:t>
      </w:r>
      <w:r>
        <w:t>deal</w:t>
      </w:r>
      <w:r w:rsidR="00A03629">
        <w:t xml:space="preserve"> </w:t>
      </w:r>
      <w:r>
        <w:t>with</w:t>
      </w:r>
      <w:r w:rsidR="00A03629">
        <w:t xml:space="preserve"> </w:t>
      </w:r>
      <w:r>
        <w:t>domestic</w:t>
      </w:r>
      <w:r w:rsidR="00A03629">
        <w:t xml:space="preserve"> </w:t>
      </w:r>
      <w:r>
        <w:t>banks</w:t>
      </w:r>
      <w:r w:rsidR="00A03629">
        <w:t xml:space="preserve"> </w:t>
      </w:r>
      <w:r>
        <w:t>with</w:t>
      </w:r>
      <w:r w:rsidR="00A03629">
        <w:t xml:space="preserve"> </w:t>
      </w:r>
      <w:r>
        <w:t>high</w:t>
      </w:r>
      <w:r w:rsidR="00A03629">
        <w:t xml:space="preserve"> </w:t>
      </w:r>
      <w:r>
        <w:t>credit</w:t>
      </w:r>
      <w:r w:rsidR="00A03629">
        <w:t xml:space="preserve"> </w:t>
      </w:r>
      <w:r>
        <w:t>ratings.</w:t>
      </w:r>
    </w:p>
    <w:p w14:paraId="18790A0D" w14:textId="29287EA5" w:rsidR="000756EB" w:rsidRDefault="004A4D88" w:rsidP="00C92D5E">
      <w:r>
        <w:t>Provision</w:t>
      </w:r>
      <w:r w:rsidR="00A03629">
        <w:t xml:space="preserve"> </w:t>
      </w:r>
      <w:r>
        <w:t>for</w:t>
      </w:r>
      <w:r w:rsidR="00A03629">
        <w:t xml:space="preserve"> </w:t>
      </w:r>
      <w:r>
        <w:t>impairment</w:t>
      </w:r>
      <w:r w:rsidR="00A03629">
        <w:t xml:space="preserve"> </w:t>
      </w:r>
      <w:r>
        <w:t>for</w:t>
      </w:r>
      <w:r w:rsidR="00A03629">
        <w:t xml:space="preserve"> </w:t>
      </w:r>
      <w:r>
        <w:t>contractual</w:t>
      </w:r>
      <w:r w:rsidR="00A03629">
        <w:t xml:space="preserve"> </w:t>
      </w:r>
      <w:r>
        <w:t>financial</w:t>
      </w:r>
      <w:r w:rsidR="00A03629">
        <w:t xml:space="preserve"> </w:t>
      </w:r>
      <w:r>
        <w:t>assets</w:t>
      </w:r>
      <w:r w:rsidR="00A03629">
        <w:t xml:space="preserve"> </w:t>
      </w:r>
      <w:r>
        <w:t>is</w:t>
      </w:r>
      <w:r w:rsidR="00A03629">
        <w:t xml:space="preserve"> </w:t>
      </w:r>
      <w:r>
        <w:t>recognised</w:t>
      </w:r>
      <w:r w:rsidR="00A03629">
        <w:t xml:space="preserve"> </w:t>
      </w:r>
      <w:r>
        <w:t>when</w:t>
      </w:r>
      <w:r w:rsidR="00A03629">
        <w:t xml:space="preserve"> </w:t>
      </w:r>
      <w:r>
        <w:t>there</w:t>
      </w:r>
      <w:r w:rsidR="00A03629">
        <w:t xml:space="preserve"> </w:t>
      </w:r>
      <w:r>
        <w:t>is</w:t>
      </w:r>
      <w:r w:rsidR="00A03629">
        <w:t xml:space="preserve"> </w:t>
      </w:r>
      <w:r>
        <w:t>objective</w:t>
      </w:r>
      <w:r w:rsidR="00A03629">
        <w:t xml:space="preserve"> </w:t>
      </w:r>
      <w:r>
        <w:t>evidence</w:t>
      </w:r>
      <w:r w:rsidR="00A03629">
        <w:t xml:space="preserve"> </w:t>
      </w:r>
      <w:r>
        <w:t>that</w:t>
      </w:r>
      <w:r w:rsidR="00A03629">
        <w:t xml:space="preserve"> </w:t>
      </w:r>
      <w:r>
        <w:t>DJSIR</w:t>
      </w:r>
      <w:r w:rsidR="00A03629">
        <w:t xml:space="preserve"> </w:t>
      </w:r>
      <w:r>
        <w:t>will</w:t>
      </w:r>
      <w:r w:rsidR="00A03629">
        <w:t xml:space="preserve"> </w:t>
      </w:r>
      <w:r>
        <w:t>not</w:t>
      </w:r>
      <w:r w:rsidR="00A03629">
        <w:t xml:space="preserve"> </w:t>
      </w:r>
      <w:r>
        <w:t>be</w:t>
      </w:r>
      <w:r w:rsidR="00A03629">
        <w:t xml:space="preserve"> </w:t>
      </w:r>
      <w:r>
        <w:t>able</w:t>
      </w:r>
      <w:r w:rsidR="00A03629">
        <w:t xml:space="preserve"> </w:t>
      </w:r>
      <w:r>
        <w:t>to</w:t>
      </w:r>
      <w:r w:rsidR="00A03629">
        <w:t xml:space="preserve"> </w:t>
      </w:r>
      <w:r>
        <w:t>collect</w:t>
      </w:r>
      <w:r w:rsidR="00A03629">
        <w:t xml:space="preserve"> </w:t>
      </w:r>
      <w:r>
        <w:t>a</w:t>
      </w:r>
      <w:r w:rsidR="00A03629">
        <w:t xml:space="preserve"> </w:t>
      </w:r>
      <w:r>
        <w:t>receivable.</w:t>
      </w:r>
      <w:r w:rsidR="00A03629">
        <w:t xml:space="preserve"> </w:t>
      </w:r>
      <w:r>
        <w:t>Objective</w:t>
      </w:r>
      <w:r w:rsidR="00A03629">
        <w:t xml:space="preserve"> </w:t>
      </w:r>
      <w:r>
        <w:t>evidence</w:t>
      </w:r>
      <w:r w:rsidR="00A03629">
        <w:t xml:space="preserve"> </w:t>
      </w:r>
      <w:r>
        <w:t>includes</w:t>
      </w:r>
      <w:r w:rsidR="00A03629">
        <w:t xml:space="preserve"> </w:t>
      </w:r>
      <w:r>
        <w:t>financial</w:t>
      </w:r>
      <w:r w:rsidR="00A03629">
        <w:t xml:space="preserve"> </w:t>
      </w:r>
      <w:r>
        <w:t>difficulties</w:t>
      </w:r>
      <w:r w:rsidR="00A03629">
        <w:t xml:space="preserve"> </w:t>
      </w:r>
      <w:r>
        <w:t>of</w:t>
      </w:r>
      <w:r w:rsidR="00A03629">
        <w:t xml:space="preserve"> </w:t>
      </w:r>
      <w:r>
        <w:t>the</w:t>
      </w:r>
      <w:r w:rsidR="00A03629">
        <w:t xml:space="preserve"> </w:t>
      </w:r>
      <w:r>
        <w:t>debtor,</w:t>
      </w:r>
      <w:r w:rsidR="00A03629">
        <w:t xml:space="preserve"> </w:t>
      </w:r>
      <w:r>
        <w:t>default</w:t>
      </w:r>
      <w:r w:rsidR="00A03629">
        <w:t xml:space="preserve"> </w:t>
      </w:r>
      <w:r>
        <w:t>payments,</w:t>
      </w:r>
      <w:r w:rsidR="00A03629">
        <w:t xml:space="preserve"> </w:t>
      </w:r>
      <w:r>
        <w:t>debts</w:t>
      </w:r>
      <w:r w:rsidR="00A03629">
        <w:t xml:space="preserve"> </w:t>
      </w:r>
      <w:r>
        <w:t>which</w:t>
      </w:r>
      <w:r w:rsidR="00A03629">
        <w:t xml:space="preserve"> </w:t>
      </w:r>
      <w:r>
        <w:t>are</w:t>
      </w:r>
      <w:r w:rsidR="00A03629">
        <w:t xml:space="preserve"> </w:t>
      </w:r>
      <w:r>
        <w:t>more</w:t>
      </w:r>
      <w:r w:rsidR="00A03629">
        <w:t xml:space="preserve"> </w:t>
      </w:r>
      <w:r>
        <w:t>than</w:t>
      </w:r>
      <w:r w:rsidR="00A03629">
        <w:t xml:space="preserve"> </w:t>
      </w:r>
      <w:r>
        <w:t>60</w:t>
      </w:r>
      <w:r w:rsidR="00A03629">
        <w:t xml:space="preserve"> </w:t>
      </w:r>
      <w:r>
        <w:t>days</w:t>
      </w:r>
      <w:r w:rsidR="00A03629">
        <w:t xml:space="preserve"> </w:t>
      </w:r>
      <w:r>
        <w:t>overdue,</w:t>
      </w:r>
      <w:r w:rsidR="00A03629">
        <w:t xml:space="preserve"> </w:t>
      </w:r>
      <w:r>
        <w:t>and</w:t>
      </w:r>
      <w:r w:rsidR="00A03629">
        <w:t xml:space="preserve"> </w:t>
      </w:r>
      <w:r>
        <w:t>changes</w:t>
      </w:r>
      <w:r w:rsidR="00A03629">
        <w:t xml:space="preserve"> </w:t>
      </w:r>
      <w:r>
        <w:t>in</w:t>
      </w:r>
      <w:r w:rsidR="00A03629">
        <w:t xml:space="preserve"> </w:t>
      </w:r>
      <w:r>
        <w:t>debtor</w:t>
      </w:r>
      <w:r w:rsidR="00A03629">
        <w:t xml:space="preserve"> </w:t>
      </w:r>
      <w:r>
        <w:t>credit</w:t>
      </w:r>
      <w:r w:rsidR="00A03629">
        <w:t xml:space="preserve"> </w:t>
      </w:r>
      <w:r>
        <w:t>ratings.</w:t>
      </w:r>
    </w:p>
    <w:p w14:paraId="768345DF" w14:textId="0D703D64" w:rsidR="000756EB" w:rsidRDefault="004A4D88" w:rsidP="00C92D5E">
      <w:r>
        <w:t>Contract</w:t>
      </w:r>
      <w:r w:rsidR="00A03629">
        <w:t xml:space="preserve"> </w:t>
      </w:r>
      <w:r>
        <w:t>financial</w:t>
      </w:r>
      <w:r w:rsidR="00A03629">
        <w:t xml:space="preserve"> </w:t>
      </w:r>
      <w:r>
        <w:t>assets</w:t>
      </w:r>
      <w:r w:rsidR="00A03629">
        <w:t xml:space="preserve"> </w:t>
      </w:r>
      <w:r>
        <w:t>are</w:t>
      </w:r>
      <w:r w:rsidR="00A03629">
        <w:t xml:space="preserve"> </w:t>
      </w:r>
      <w:r>
        <w:t>written</w:t>
      </w:r>
      <w:r w:rsidR="00A03629">
        <w:t xml:space="preserve"> </w:t>
      </w:r>
      <w:r>
        <w:t>off</w:t>
      </w:r>
      <w:r w:rsidR="00A03629">
        <w:t xml:space="preserve"> </w:t>
      </w:r>
      <w:r>
        <w:t>against</w:t>
      </w:r>
      <w:r w:rsidR="00A03629">
        <w:t xml:space="preserve"> </w:t>
      </w:r>
      <w:r>
        <w:t>the</w:t>
      </w:r>
      <w:r w:rsidR="00A03629">
        <w:t xml:space="preserve"> </w:t>
      </w:r>
      <w:r>
        <w:t>carrying</w:t>
      </w:r>
      <w:r w:rsidR="00A03629">
        <w:t xml:space="preserve"> </w:t>
      </w:r>
      <w:r>
        <w:t>amount</w:t>
      </w:r>
      <w:r w:rsidR="00A03629">
        <w:t xml:space="preserve"> </w:t>
      </w:r>
      <w:r>
        <w:t>when</w:t>
      </w:r>
      <w:r w:rsidR="00A03629">
        <w:t xml:space="preserve"> </w:t>
      </w:r>
      <w:r>
        <w:t>there</w:t>
      </w:r>
      <w:r w:rsidR="00A03629">
        <w:t xml:space="preserve"> </w:t>
      </w:r>
      <w:r>
        <w:t>is</w:t>
      </w:r>
      <w:r w:rsidR="00A03629">
        <w:t xml:space="preserve"> </w:t>
      </w:r>
      <w:r>
        <w:t>no</w:t>
      </w:r>
      <w:r w:rsidR="00A03629">
        <w:t xml:space="preserve"> </w:t>
      </w:r>
      <w:r>
        <w:t>reasonable</w:t>
      </w:r>
      <w:r w:rsidR="00A03629">
        <w:t xml:space="preserve"> </w:t>
      </w:r>
      <w:r>
        <w:t>expectation</w:t>
      </w:r>
      <w:r w:rsidR="00A03629">
        <w:t xml:space="preserve"> </w:t>
      </w:r>
      <w:r>
        <w:t>of</w:t>
      </w:r>
      <w:r w:rsidR="00A03629">
        <w:t xml:space="preserve"> </w:t>
      </w:r>
      <w:r>
        <w:t>recovery.</w:t>
      </w:r>
      <w:r w:rsidR="00A03629">
        <w:t xml:space="preserve"> </w:t>
      </w:r>
      <w:r>
        <w:t>Bad</w:t>
      </w:r>
      <w:r w:rsidR="00A03629">
        <w:t xml:space="preserve"> </w:t>
      </w:r>
      <w:r>
        <w:t>debt</w:t>
      </w:r>
      <w:r w:rsidR="00A03629">
        <w:t xml:space="preserve"> </w:t>
      </w:r>
      <w:r>
        <w:t>written</w:t>
      </w:r>
      <w:r w:rsidR="00A03629">
        <w:t xml:space="preserve"> </w:t>
      </w:r>
      <w:r>
        <w:t>off</w:t>
      </w:r>
      <w:r w:rsidR="00A03629">
        <w:t xml:space="preserve"> </w:t>
      </w:r>
      <w:r>
        <w:t>by</w:t>
      </w:r>
      <w:r w:rsidR="00A03629">
        <w:t xml:space="preserve"> </w:t>
      </w:r>
      <w:r>
        <w:t>mutual</w:t>
      </w:r>
      <w:r w:rsidR="00A03629">
        <w:t xml:space="preserve"> </w:t>
      </w:r>
      <w:r>
        <w:t>consent</w:t>
      </w:r>
      <w:r w:rsidR="00A03629">
        <w:t xml:space="preserve"> </w:t>
      </w:r>
      <w:r>
        <w:t>is</w:t>
      </w:r>
      <w:r w:rsidR="00A03629">
        <w:t xml:space="preserve"> </w:t>
      </w:r>
      <w:r>
        <w:t>classified</w:t>
      </w:r>
      <w:r w:rsidR="00A03629">
        <w:t xml:space="preserve"> </w:t>
      </w:r>
      <w:r>
        <w:t>as</w:t>
      </w:r>
      <w:r w:rsidR="00A03629">
        <w:t xml:space="preserve"> </w:t>
      </w:r>
      <w:r>
        <w:t>a</w:t>
      </w:r>
      <w:r w:rsidR="00A03629">
        <w:t xml:space="preserve"> </w:t>
      </w:r>
      <w:r>
        <w:t>transaction</w:t>
      </w:r>
      <w:r w:rsidR="00A03629">
        <w:t xml:space="preserve"> </w:t>
      </w:r>
      <w:r>
        <w:t>expense.</w:t>
      </w:r>
      <w:r w:rsidR="00A03629">
        <w:t xml:space="preserve"> </w:t>
      </w:r>
      <w:r>
        <w:t>Bad</w:t>
      </w:r>
      <w:r w:rsidR="00A03629">
        <w:t xml:space="preserve"> </w:t>
      </w:r>
      <w:r>
        <w:t>debt</w:t>
      </w:r>
      <w:r w:rsidR="00A03629">
        <w:t xml:space="preserve"> </w:t>
      </w:r>
      <w:r>
        <w:t>written</w:t>
      </w:r>
      <w:r w:rsidR="00A03629">
        <w:t xml:space="preserve"> </w:t>
      </w:r>
      <w:r>
        <w:t>off</w:t>
      </w:r>
      <w:r w:rsidR="00A03629">
        <w:t xml:space="preserve"> </w:t>
      </w:r>
      <w:r>
        <w:t>following</w:t>
      </w:r>
      <w:r w:rsidR="00A03629">
        <w:t xml:space="preserve"> </w:t>
      </w:r>
      <w:r>
        <w:t>a</w:t>
      </w:r>
      <w:r w:rsidR="00A03629">
        <w:t xml:space="preserve"> </w:t>
      </w:r>
      <w:r>
        <w:t>unilateral</w:t>
      </w:r>
      <w:r w:rsidR="00A03629">
        <w:t xml:space="preserve"> </w:t>
      </w:r>
      <w:r>
        <w:t>decision</w:t>
      </w:r>
      <w:r w:rsidR="00A03629">
        <w:t xml:space="preserve"> </w:t>
      </w:r>
      <w:r>
        <w:t>is</w:t>
      </w:r>
      <w:r w:rsidR="00A03629">
        <w:t xml:space="preserve"> </w:t>
      </w:r>
      <w:r>
        <w:t>recognised</w:t>
      </w:r>
      <w:r w:rsidR="00A03629">
        <w:t xml:space="preserve"> </w:t>
      </w:r>
      <w:r>
        <w:t>as</w:t>
      </w:r>
      <w:r w:rsidR="00A03629">
        <w:t xml:space="preserve"> </w:t>
      </w:r>
      <w:r>
        <w:t>other</w:t>
      </w:r>
      <w:r w:rsidR="00A03629">
        <w:t xml:space="preserve"> </w:t>
      </w:r>
      <w:r>
        <w:t>economic</w:t>
      </w:r>
      <w:r w:rsidR="00A03629">
        <w:t xml:space="preserve"> </w:t>
      </w:r>
      <w:r>
        <w:t>flows</w:t>
      </w:r>
      <w:r w:rsidR="00A03629">
        <w:t xml:space="preserve"> </w:t>
      </w:r>
      <w:r>
        <w:t>in</w:t>
      </w:r>
      <w:r w:rsidR="00A03629">
        <w:t xml:space="preserve"> </w:t>
      </w:r>
      <w:r>
        <w:t>the</w:t>
      </w:r>
      <w:r w:rsidR="00A03629">
        <w:t xml:space="preserve"> </w:t>
      </w:r>
      <w:r>
        <w:t>net</w:t>
      </w:r>
      <w:r w:rsidR="00A03629">
        <w:t xml:space="preserve"> </w:t>
      </w:r>
      <w:r>
        <w:t>result.</w:t>
      </w:r>
    </w:p>
    <w:p w14:paraId="251C8236" w14:textId="2E907E42" w:rsidR="000756EB" w:rsidRDefault="004A4D88" w:rsidP="00C92D5E">
      <w:r>
        <w:t>Except</w:t>
      </w:r>
      <w:r w:rsidR="00A03629">
        <w:t xml:space="preserve"> </w:t>
      </w:r>
      <w:r>
        <w:t>as</w:t>
      </w:r>
      <w:r w:rsidR="00A03629">
        <w:t xml:space="preserve"> </w:t>
      </w:r>
      <w:r>
        <w:t>otherwise</w:t>
      </w:r>
      <w:r w:rsidR="00A03629">
        <w:t xml:space="preserve"> </w:t>
      </w:r>
      <w:r>
        <w:t>detailed</w:t>
      </w:r>
      <w:r w:rsidR="00A03629">
        <w:t xml:space="preserve"> </w:t>
      </w:r>
      <w:r>
        <w:t>in</w:t>
      </w:r>
      <w:r w:rsidR="00A03629">
        <w:t xml:space="preserve"> </w:t>
      </w:r>
      <w:r>
        <w:t>the</w:t>
      </w:r>
      <w:r w:rsidR="00A03629">
        <w:t xml:space="preserve"> </w:t>
      </w:r>
      <w:r>
        <w:t>following</w:t>
      </w:r>
      <w:r w:rsidR="00A03629">
        <w:t xml:space="preserve"> </w:t>
      </w:r>
      <w:r>
        <w:t>table,</w:t>
      </w:r>
      <w:r w:rsidR="00A03629">
        <w:t xml:space="preserve"> </w:t>
      </w:r>
      <w:r>
        <w:t>the</w:t>
      </w:r>
      <w:r w:rsidR="00A03629">
        <w:t xml:space="preserve"> </w:t>
      </w:r>
      <w:r>
        <w:t>carrying</w:t>
      </w:r>
      <w:r w:rsidR="00A03629">
        <w:t xml:space="preserve"> </w:t>
      </w:r>
      <w:r>
        <w:t>amount</w:t>
      </w:r>
      <w:r w:rsidR="00A03629">
        <w:t xml:space="preserve"> </w:t>
      </w:r>
      <w:r>
        <w:t>of</w:t>
      </w:r>
      <w:r w:rsidR="00A03629">
        <w:t xml:space="preserve"> </w:t>
      </w:r>
      <w:r>
        <w:t>financial</w:t>
      </w:r>
      <w:r w:rsidR="00A03629">
        <w:t xml:space="preserve"> </w:t>
      </w:r>
      <w:r>
        <w:t>assets</w:t>
      </w:r>
      <w:r w:rsidR="00A03629">
        <w:t xml:space="preserve"> </w:t>
      </w:r>
      <w:r>
        <w:t>recorded</w:t>
      </w:r>
      <w:r w:rsidR="00A03629">
        <w:t xml:space="preserve"> </w:t>
      </w:r>
      <w:r>
        <w:t>in</w:t>
      </w:r>
      <w:r w:rsidR="00A03629">
        <w:t xml:space="preserve"> </w:t>
      </w:r>
      <w:r>
        <w:t>the</w:t>
      </w:r>
      <w:r w:rsidR="00A03629">
        <w:t xml:space="preserve"> </w:t>
      </w:r>
      <w:r>
        <w:t>financial</w:t>
      </w:r>
      <w:r w:rsidR="00A03629">
        <w:t xml:space="preserve"> </w:t>
      </w:r>
      <w:r>
        <w:t>statements,</w:t>
      </w:r>
      <w:r w:rsidR="00A03629">
        <w:t xml:space="preserve"> </w:t>
      </w:r>
      <w:r>
        <w:t>net</w:t>
      </w:r>
      <w:r w:rsidR="00A03629">
        <w:t xml:space="preserve"> </w:t>
      </w:r>
      <w:r>
        <w:t>of</w:t>
      </w:r>
      <w:r w:rsidR="00A03629">
        <w:t xml:space="preserve"> </w:t>
      </w:r>
      <w:r>
        <w:t>any</w:t>
      </w:r>
      <w:r w:rsidR="00A03629">
        <w:t xml:space="preserve"> </w:t>
      </w:r>
      <w:r>
        <w:t>allowances</w:t>
      </w:r>
      <w:r w:rsidR="00A03629">
        <w:t xml:space="preserve"> </w:t>
      </w:r>
      <w:r>
        <w:t>for</w:t>
      </w:r>
      <w:r w:rsidR="00A03629">
        <w:t xml:space="preserve"> </w:t>
      </w:r>
      <w:r>
        <w:t>losses,</w:t>
      </w:r>
      <w:r w:rsidR="00A03629">
        <w:t xml:space="preserve"> </w:t>
      </w:r>
      <w:r>
        <w:t>represents</w:t>
      </w:r>
      <w:r w:rsidR="00A03629">
        <w:t xml:space="preserve"> </w:t>
      </w:r>
      <w:r>
        <w:t>DJSIR’s</w:t>
      </w:r>
      <w:r w:rsidR="00A03629">
        <w:t xml:space="preserve"> </w:t>
      </w:r>
      <w:r>
        <w:t>maximum</w:t>
      </w:r>
      <w:r w:rsidR="00A03629">
        <w:t xml:space="preserve"> </w:t>
      </w:r>
      <w:r>
        <w:t>exposure</w:t>
      </w:r>
      <w:r w:rsidR="00A03629">
        <w:t xml:space="preserve"> </w:t>
      </w:r>
      <w:r>
        <w:t>to</w:t>
      </w:r>
      <w:r w:rsidR="00A03629">
        <w:t xml:space="preserve"> </w:t>
      </w:r>
      <w:r>
        <w:t>credit</w:t>
      </w:r>
      <w:r w:rsidR="00A03629">
        <w:t xml:space="preserve"> </w:t>
      </w:r>
      <w:r>
        <w:t>risk</w:t>
      </w:r>
      <w:r w:rsidR="00A03629">
        <w:t xml:space="preserve"> </w:t>
      </w:r>
      <w:r>
        <w:t>without</w:t>
      </w:r>
      <w:r w:rsidR="00A03629">
        <w:t xml:space="preserve"> </w:t>
      </w:r>
      <w:r>
        <w:t>taking</w:t>
      </w:r>
      <w:r w:rsidR="00A03629">
        <w:t xml:space="preserve"> </w:t>
      </w:r>
      <w:r>
        <w:t>account</w:t>
      </w:r>
      <w:r w:rsidR="00A03629">
        <w:t xml:space="preserve"> </w:t>
      </w:r>
      <w:r>
        <w:t>of</w:t>
      </w:r>
      <w:r w:rsidR="00A03629">
        <w:t xml:space="preserve"> </w:t>
      </w:r>
      <w:r>
        <w:t>the</w:t>
      </w:r>
      <w:r w:rsidR="00A03629">
        <w:t xml:space="preserve"> </w:t>
      </w:r>
      <w:r>
        <w:t>value</w:t>
      </w:r>
      <w:r w:rsidR="00A03629">
        <w:t xml:space="preserve"> </w:t>
      </w:r>
      <w:r>
        <w:t>of</w:t>
      </w:r>
      <w:r w:rsidR="00A03629">
        <w:rPr>
          <w:rFonts w:ascii="Cambria" w:hAnsi="Cambria" w:cs="Cambria"/>
        </w:rPr>
        <w:t xml:space="preserve"> </w:t>
      </w:r>
      <w:r>
        <w:t>any</w:t>
      </w:r>
      <w:r w:rsidR="00A03629">
        <w:rPr>
          <w:rFonts w:ascii="Cambria" w:hAnsi="Cambria" w:cs="Cambria"/>
        </w:rPr>
        <w:t xml:space="preserve"> </w:t>
      </w:r>
      <w:r>
        <w:t>collateral</w:t>
      </w:r>
      <w:r w:rsidR="00A03629">
        <w:t xml:space="preserve"> </w:t>
      </w:r>
      <w:r>
        <w:t>obtained.</w:t>
      </w:r>
    </w:p>
    <w:p w14:paraId="51BC1161" w14:textId="1751F894" w:rsidR="000756EB" w:rsidRPr="00C92D5E" w:rsidRDefault="004A4D88" w:rsidP="00C92D5E">
      <w:pPr>
        <w:pStyle w:val="Normalbeforebullets"/>
        <w:rPr>
          <w:b/>
          <w:bCs/>
        </w:rPr>
      </w:pPr>
      <w:r w:rsidRPr="00C92D5E">
        <w:rPr>
          <w:b/>
          <w:bCs/>
        </w:rPr>
        <w:lastRenderedPageBreak/>
        <w:t>Credit</w:t>
      </w:r>
      <w:r w:rsidR="00A03629" w:rsidRPr="00C92D5E">
        <w:rPr>
          <w:b/>
          <w:bCs/>
        </w:rPr>
        <w:t xml:space="preserve"> </w:t>
      </w:r>
      <w:r w:rsidRPr="00C92D5E">
        <w:rPr>
          <w:b/>
          <w:bCs/>
        </w:rPr>
        <w:t>quality</w:t>
      </w:r>
      <w:r w:rsidR="00A03629" w:rsidRPr="00C92D5E">
        <w:rPr>
          <w:b/>
          <w:bCs/>
        </w:rPr>
        <w:t xml:space="preserve"> </w:t>
      </w:r>
      <w:r w:rsidRPr="00C92D5E">
        <w:rPr>
          <w:b/>
          <w:bCs/>
        </w:rPr>
        <w:t>of</w:t>
      </w:r>
      <w:r w:rsidR="00A03629" w:rsidRPr="00C92D5E">
        <w:rPr>
          <w:b/>
          <w:bCs/>
        </w:rPr>
        <w:t xml:space="preserve"> </w:t>
      </w:r>
      <w:r w:rsidRPr="00C92D5E">
        <w:rPr>
          <w:b/>
          <w:bCs/>
        </w:rPr>
        <w:t>contractual</w:t>
      </w:r>
      <w:r w:rsidR="00A03629" w:rsidRPr="00C92D5E">
        <w:rPr>
          <w:b/>
          <w:bCs/>
        </w:rPr>
        <w:t xml:space="preserve"> </w:t>
      </w:r>
      <w:r w:rsidRPr="00C92D5E">
        <w:rPr>
          <w:b/>
          <w:bCs/>
        </w:rPr>
        <w:t>financial</w:t>
      </w:r>
      <w:r w:rsidR="00A03629" w:rsidRPr="00C92D5E">
        <w:rPr>
          <w:b/>
          <w:bCs/>
        </w:rPr>
        <w:t xml:space="preserve"> </w:t>
      </w:r>
      <w:r w:rsidRPr="00C92D5E">
        <w:rPr>
          <w:b/>
          <w:bCs/>
        </w:rPr>
        <w:t>assets</w:t>
      </w:r>
      <w:r w:rsidR="00A03629" w:rsidRPr="00C92D5E">
        <w:rPr>
          <w:b/>
          <w:bCs/>
        </w:rPr>
        <w:t xml:space="preserve"> </w:t>
      </w:r>
      <w:r w:rsidRPr="00C92D5E">
        <w:rPr>
          <w:b/>
          <w:bCs/>
        </w:rPr>
        <w:t>that</w:t>
      </w:r>
      <w:r w:rsidR="00A03629" w:rsidRPr="00C92D5E">
        <w:rPr>
          <w:b/>
          <w:bCs/>
        </w:rPr>
        <w:t xml:space="preserve"> </w:t>
      </w:r>
      <w:r w:rsidRPr="00C92D5E">
        <w:rPr>
          <w:b/>
          <w:bCs/>
        </w:rPr>
        <w:t>are</w:t>
      </w:r>
      <w:r w:rsidR="00A03629" w:rsidRPr="00C92D5E">
        <w:rPr>
          <w:b/>
          <w:bCs/>
        </w:rPr>
        <w:t xml:space="preserve"> </w:t>
      </w:r>
      <w:r w:rsidRPr="00C92D5E">
        <w:rPr>
          <w:b/>
          <w:bCs/>
        </w:rPr>
        <w:t>neither</w:t>
      </w:r>
      <w:r w:rsidR="00A03629" w:rsidRPr="00C92D5E">
        <w:rPr>
          <w:b/>
          <w:bCs/>
        </w:rPr>
        <w:t xml:space="preserve"> </w:t>
      </w:r>
      <w:r w:rsidRPr="00C92D5E">
        <w:rPr>
          <w:b/>
          <w:bCs/>
        </w:rPr>
        <w:t>past</w:t>
      </w:r>
      <w:r w:rsidR="00A03629" w:rsidRPr="00C92D5E">
        <w:rPr>
          <w:b/>
          <w:bCs/>
        </w:rPr>
        <w:t xml:space="preserve"> </w:t>
      </w:r>
      <w:r w:rsidRPr="00C92D5E">
        <w:rPr>
          <w:b/>
          <w:bCs/>
        </w:rPr>
        <w:t>due</w:t>
      </w:r>
      <w:r w:rsidR="00A03629" w:rsidRPr="00C92D5E">
        <w:rPr>
          <w:b/>
          <w:bCs/>
        </w:rPr>
        <w:t xml:space="preserve"> </w:t>
      </w:r>
      <w:r w:rsidRPr="00C92D5E">
        <w:rPr>
          <w:b/>
          <w:bCs/>
        </w:rPr>
        <w:t>nor</w:t>
      </w:r>
      <w:r w:rsidR="00A03629" w:rsidRPr="00C92D5E">
        <w:rPr>
          <w:b/>
          <w:bCs/>
        </w:rPr>
        <w:t xml:space="preserve"> </w:t>
      </w:r>
      <w:r w:rsidRPr="00C92D5E">
        <w:rPr>
          <w:b/>
          <w:bCs/>
        </w:rPr>
        <w:t>impaired.</w:t>
      </w:r>
    </w:p>
    <w:tbl>
      <w:tblPr>
        <w:tblStyle w:val="TableGrid"/>
        <w:tblW w:w="10236" w:type="dxa"/>
        <w:tblLayout w:type="fixed"/>
        <w:tblLook w:val="0020" w:firstRow="1" w:lastRow="0" w:firstColumn="0" w:lastColumn="0" w:noHBand="0" w:noVBand="0"/>
      </w:tblPr>
      <w:tblGrid>
        <w:gridCol w:w="3792"/>
        <w:gridCol w:w="1611"/>
        <w:gridCol w:w="1611"/>
        <w:gridCol w:w="1611"/>
        <w:gridCol w:w="1611"/>
      </w:tblGrid>
      <w:tr w:rsidR="000756EB" w:rsidRPr="00C92D5E" w14:paraId="14CA0F5D" w14:textId="77777777" w:rsidTr="00C92D5E">
        <w:trPr>
          <w:trHeight w:val="60"/>
        </w:trPr>
        <w:tc>
          <w:tcPr>
            <w:tcW w:w="3792" w:type="dxa"/>
          </w:tcPr>
          <w:p w14:paraId="2EEB17CF" w14:textId="77777777" w:rsidR="000756EB" w:rsidRPr="00C92D5E" w:rsidRDefault="000756EB" w:rsidP="00C92D5E">
            <w:pPr>
              <w:pStyle w:val="TableColumnHeading"/>
              <w:rPr>
                <w:sz w:val="20"/>
                <w:szCs w:val="28"/>
              </w:rPr>
            </w:pPr>
            <w:bookmarkStart w:id="122" w:name="ColumnTitles_72"/>
            <w:bookmarkEnd w:id="122"/>
          </w:p>
        </w:tc>
        <w:tc>
          <w:tcPr>
            <w:tcW w:w="1611" w:type="dxa"/>
          </w:tcPr>
          <w:p w14:paraId="0BFD28E2" w14:textId="42E9F174" w:rsidR="000756EB" w:rsidRPr="00C92D5E" w:rsidRDefault="004A4D88" w:rsidP="000F0AA2">
            <w:pPr>
              <w:pStyle w:val="TableColumnHeading"/>
              <w:jc w:val="right"/>
              <w:rPr>
                <w:sz w:val="20"/>
                <w:szCs w:val="28"/>
              </w:rPr>
            </w:pPr>
            <w:r w:rsidRPr="00C92D5E">
              <w:rPr>
                <w:sz w:val="20"/>
                <w:szCs w:val="28"/>
              </w:rPr>
              <w:t>Financial</w:t>
            </w:r>
            <w:r w:rsidR="00A03629" w:rsidRPr="00C92D5E">
              <w:rPr>
                <w:sz w:val="20"/>
                <w:szCs w:val="28"/>
              </w:rPr>
              <w:t xml:space="preserve"> </w:t>
            </w:r>
            <w:r w:rsidRPr="00C92D5E">
              <w:rPr>
                <w:sz w:val="20"/>
                <w:szCs w:val="28"/>
              </w:rPr>
              <w:t>Institution</w:t>
            </w:r>
            <w:r w:rsidR="00A03629" w:rsidRPr="00C92D5E">
              <w:rPr>
                <w:sz w:val="20"/>
                <w:szCs w:val="28"/>
              </w:rPr>
              <w:t xml:space="preserve"> </w:t>
            </w:r>
            <w:r w:rsidRPr="00C92D5E">
              <w:rPr>
                <w:sz w:val="20"/>
                <w:szCs w:val="28"/>
              </w:rPr>
              <w:t>agencies</w:t>
            </w:r>
            <w:r w:rsidR="00A03629" w:rsidRPr="00C92D5E">
              <w:rPr>
                <w:sz w:val="20"/>
                <w:szCs w:val="28"/>
              </w:rPr>
              <w:t xml:space="preserve"> </w:t>
            </w:r>
            <w:r w:rsidRPr="00C92D5E">
              <w:rPr>
                <w:sz w:val="20"/>
                <w:szCs w:val="28"/>
              </w:rPr>
              <w:t>(AA</w:t>
            </w:r>
            <w:r w:rsidR="00A03629" w:rsidRPr="00C92D5E">
              <w:rPr>
                <w:sz w:val="20"/>
                <w:szCs w:val="28"/>
              </w:rPr>
              <w:t xml:space="preserve"> </w:t>
            </w:r>
            <w:r w:rsidRPr="00C92D5E">
              <w:rPr>
                <w:sz w:val="20"/>
                <w:szCs w:val="28"/>
              </w:rPr>
              <w:t>credit</w:t>
            </w:r>
            <w:r w:rsidR="00A03629" w:rsidRPr="00C92D5E">
              <w:rPr>
                <w:sz w:val="20"/>
                <w:szCs w:val="28"/>
              </w:rPr>
              <w:t xml:space="preserve"> </w:t>
            </w:r>
            <w:r w:rsidRPr="00C92D5E">
              <w:rPr>
                <w:sz w:val="20"/>
                <w:szCs w:val="28"/>
              </w:rPr>
              <w:t>rating)</w:t>
            </w:r>
            <w:r w:rsidR="00C92D5E">
              <w:rPr>
                <w:sz w:val="20"/>
                <w:szCs w:val="28"/>
              </w:rPr>
              <w:t xml:space="preserve"> </w:t>
            </w:r>
            <w:r w:rsidR="00C92D5E" w:rsidRPr="00C92D5E">
              <w:rPr>
                <w:sz w:val="20"/>
                <w:szCs w:val="28"/>
              </w:rPr>
              <w:t>($</w:t>
            </w:r>
            <w:r w:rsidR="00C92D5E">
              <w:rPr>
                <w:sz w:val="20"/>
                <w:szCs w:val="28"/>
              </w:rPr>
              <w:t> </w:t>
            </w:r>
            <w:r w:rsidR="00C92D5E" w:rsidRPr="00C92D5E">
              <w:rPr>
                <w:sz w:val="20"/>
                <w:szCs w:val="28"/>
              </w:rPr>
              <w:t>thousand)</w:t>
            </w:r>
          </w:p>
        </w:tc>
        <w:tc>
          <w:tcPr>
            <w:tcW w:w="1611" w:type="dxa"/>
          </w:tcPr>
          <w:p w14:paraId="0A1620ED" w14:textId="7F40B13C" w:rsidR="000756EB" w:rsidRPr="00C92D5E" w:rsidRDefault="004A4D88" w:rsidP="000F0AA2">
            <w:pPr>
              <w:pStyle w:val="TableColumnHeading"/>
              <w:jc w:val="right"/>
              <w:rPr>
                <w:sz w:val="20"/>
                <w:szCs w:val="28"/>
              </w:rPr>
            </w:pPr>
            <w:r w:rsidRPr="00C92D5E">
              <w:rPr>
                <w:sz w:val="20"/>
                <w:szCs w:val="28"/>
              </w:rPr>
              <w:t>Government</w:t>
            </w:r>
            <w:r w:rsidR="00A03629" w:rsidRPr="00C92D5E">
              <w:rPr>
                <w:sz w:val="20"/>
                <w:szCs w:val="28"/>
              </w:rPr>
              <w:t xml:space="preserve"> </w:t>
            </w:r>
            <w:r w:rsidRPr="00C92D5E">
              <w:rPr>
                <w:sz w:val="20"/>
                <w:szCs w:val="28"/>
              </w:rPr>
              <w:t>agencies</w:t>
            </w:r>
            <w:r w:rsidR="00A03629" w:rsidRPr="00C92D5E">
              <w:rPr>
                <w:sz w:val="20"/>
                <w:szCs w:val="28"/>
              </w:rPr>
              <w:t xml:space="preserve"> </w:t>
            </w:r>
            <w:r w:rsidRPr="00C92D5E">
              <w:rPr>
                <w:sz w:val="20"/>
                <w:szCs w:val="28"/>
              </w:rPr>
              <w:t>(AA</w:t>
            </w:r>
            <w:r w:rsidR="00A03629" w:rsidRPr="00C92D5E">
              <w:rPr>
                <w:sz w:val="20"/>
                <w:szCs w:val="28"/>
              </w:rPr>
              <w:t xml:space="preserve"> </w:t>
            </w:r>
            <w:r w:rsidRPr="00C92D5E">
              <w:rPr>
                <w:sz w:val="20"/>
                <w:szCs w:val="28"/>
              </w:rPr>
              <w:t>credit</w:t>
            </w:r>
            <w:r w:rsidR="00A03629" w:rsidRPr="00C92D5E">
              <w:rPr>
                <w:sz w:val="20"/>
                <w:szCs w:val="28"/>
              </w:rPr>
              <w:t xml:space="preserve"> </w:t>
            </w:r>
            <w:r w:rsidRPr="00C92D5E">
              <w:rPr>
                <w:sz w:val="20"/>
                <w:szCs w:val="28"/>
              </w:rPr>
              <w:t>rating)</w:t>
            </w:r>
            <w:r w:rsidR="00C92D5E">
              <w:rPr>
                <w:sz w:val="20"/>
                <w:szCs w:val="28"/>
              </w:rPr>
              <w:t xml:space="preserve"> </w:t>
            </w:r>
            <w:r w:rsidR="00C92D5E" w:rsidRPr="00C92D5E">
              <w:rPr>
                <w:sz w:val="20"/>
                <w:szCs w:val="28"/>
              </w:rPr>
              <w:t>($</w:t>
            </w:r>
            <w:r w:rsidR="00C92D5E">
              <w:rPr>
                <w:sz w:val="20"/>
                <w:szCs w:val="28"/>
              </w:rPr>
              <w:t> </w:t>
            </w:r>
            <w:r w:rsidR="00C92D5E" w:rsidRPr="00C92D5E">
              <w:rPr>
                <w:sz w:val="20"/>
                <w:szCs w:val="28"/>
              </w:rPr>
              <w:t>thousand)</w:t>
            </w:r>
          </w:p>
        </w:tc>
        <w:tc>
          <w:tcPr>
            <w:tcW w:w="1611" w:type="dxa"/>
          </w:tcPr>
          <w:p w14:paraId="0DF9C7C4" w14:textId="70A65736" w:rsidR="000756EB" w:rsidRPr="00C92D5E" w:rsidRDefault="004A4D88" w:rsidP="000F0AA2">
            <w:pPr>
              <w:pStyle w:val="TableColumnHeading"/>
              <w:jc w:val="right"/>
              <w:rPr>
                <w:sz w:val="20"/>
                <w:szCs w:val="28"/>
              </w:rPr>
            </w:pPr>
            <w:r w:rsidRPr="00C92D5E">
              <w:rPr>
                <w:sz w:val="20"/>
                <w:szCs w:val="28"/>
              </w:rPr>
              <w:t>Other</w:t>
            </w:r>
            <w:r w:rsidR="00C92D5E">
              <w:rPr>
                <w:sz w:val="20"/>
                <w:szCs w:val="28"/>
              </w:rPr>
              <w:t xml:space="preserve"> </w:t>
            </w:r>
            <w:r w:rsidR="00C92D5E" w:rsidRPr="00C92D5E">
              <w:rPr>
                <w:sz w:val="20"/>
                <w:szCs w:val="28"/>
              </w:rPr>
              <w:t>($</w:t>
            </w:r>
            <w:r w:rsidR="00C92D5E">
              <w:rPr>
                <w:sz w:val="20"/>
                <w:szCs w:val="28"/>
              </w:rPr>
              <w:t> </w:t>
            </w:r>
            <w:r w:rsidR="00C92D5E" w:rsidRPr="00C92D5E">
              <w:rPr>
                <w:sz w:val="20"/>
                <w:szCs w:val="28"/>
              </w:rPr>
              <w:t>thousand)</w:t>
            </w:r>
          </w:p>
        </w:tc>
        <w:tc>
          <w:tcPr>
            <w:tcW w:w="1611" w:type="dxa"/>
          </w:tcPr>
          <w:p w14:paraId="42716F5D" w14:textId="3A74524C" w:rsidR="000756EB" w:rsidRPr="00C92D5E" w:rsidRDefault="004A4D88" w:rsidP="000F0AA2">
            <w:pPr>
              <w:pStyle w:val="TableColumnHeading"/>
              <w:jc w:val="right"/>
              <w:rPr>
                <w:sz w:val="20"/>
                <w:szCs w:val="28"/>
              </w:rPr>
            </w:pPr>
            <w:r w:rsidRPr="00C92D5E">
              <w:rPr>
                <w:sz w:val="20"/>
                <w:szCs w:val="28"/>
              </w:rPr>
              <w:t>Total</w:t>
            </w:r>
            <w:r w:rsidR="00C92D5E">
              <w:rPr>
                <w:sz w:val="20"/>
                <w:szCs w:val="28"/>
              </w:rPr>
              <w:t xml:space="preserve"> </w:t>
            </w:r>
            <w:r w:rsidR="00C92D5E" w:rsidRPr="00C92D5E">
              <w:rPr>
                <w:sz w:val="20"/>
                <w:szCs w:val="28"/>
              </w:rPr>
              <w:t>($</w:t>
            </w:r>
            <w:r w:rsidR="00C92D5E">
              <w:rPr>
                <w:sz w:val="20"/>
                <w:szCs w:val="28"/>
              </w:rPr>
              <w:t> </w:t>
            </w:r>
            <w:r w:rsidR="00C92D5E" w:rsidRPr="00C92D5E">
              <w:rPr>
                <w:sz w:val="20"/>
                <w:szCs w:val="28"/>
              </w:rPr>
              <w:t>thousand)</w:t>
            </w:r>
          </w:p>
        </w:tc>
      </w:tr>
      <w:tr w:rsidR="000756EB" w:rsidRPr="00C92D5E" w14:paraId="309EB846" w14:textId="77777777" w:rsidTr="00C92D5E">
        <w:trPr>
          <w:trHeight w:val="60"/>
        </w:trPr>
        <w:tc>
          <w:tcPr>
            <w:tcW w:w="3792" w:type="dxa"/>
          </w:tcPr>
          <w:p w14:paraId="26BC2EB0" w14:textId="77777777" w:rsidR="000756EB" w:rsidRPr="00C92D5E" w:rsidRDefault="004A4D88" w:rsidP="00C92D5E">
            <w:pPr>
              <w:pStyle w:val="TableHeading"/>
              <w:rPr>
                <w:rFonts w:asciiTheme="minorHAnsi" w:hAnsiTheme="minorHAnsi" w:cstheme="minorHAnsi"/>
              </w:rPr>
            </w:pPr>
            <w:r w:rsidRPr="00C92D5E">
              <w:rPr>
                <w:rFonts w:asciiTheme="minorHAnsi" w:hAnsiTheme="minorHAnsi" w:cstheme="minorHAnsi"/>
              </w:rPr>
              <w:t>2023</w:t>
            </w:r>
          </w:p>
        </w:tc>
        <w:tc>
          <w:tcPr>
            <w:tcW w:w="1611" w:type="dxa"/>
          </w:tcPr>
          <w:p w14:paraId="1C57EFDB" w14:textId="77777777" w:rsidR="000756EB" w:rsidRPr="00C92D5E" w:rsidRDefault="000756EB" w:rsidP="000F0AA2">
            <w:pPr>
              <w:pStyle w:val="TableHeading"/>
              <w:jc w:val="right"/>
              <w:rPr>
                <w:rFonts w:asciiTheme="minorHAnsi" w:hAnsiTheme="minorHAnsi" w:cstheme="minorHAnsi"/>
                <w:lang w:val="en-AU"/>
              </w:rPr>
            </w:pPr>
          </w:p>
        </w:tc>
        <w:tc>
          <w:tcPr>
            <w:tcW w:w="1611" w:type="dxa"/>
          </w:tcPr>
          <w:p w14:paraId="749956D5" w14:textId="77777777" w:rsidR="000756EB" w:rsidRPr="00C92D5E" w:rsidRDefault="000756EB" w:rsidP="000F0AA2">
            <w:pPr>
              <w:pStyle w:val="TableHeading"/>
              <w:jc w:val="right"/>
              <w:rPr>
                <w:rFonts w:asciiTheme="minorHAnsi" w:hAnsiTheme="minorHAnsi" w:cstheme="minorHAnsi"/>
                <w:lang w:val="en-AU"/>
              </w:rPr>
            </w:pPr>
          </w:p>
        </w:tc>
        <w:tc>
          <w:tcPr>
            <w:tcW w:w="1611" w:type="dxa"/>
          </w:tcPr>
          <w:p w14:paraId="39A52503" w14:textId="77777777" w:rsidR="000756EB" w:rsidRPr="00C92D5E" w:rsidRDefault="000756EB" w:rsidP="000F0AA2">
            <w:pPr>
              <w:pStyle w:val="TableHeading"/>
              <w:jc w:val="right"/>
              <w:rPr>
                <w:rFonts w:asciiTheme="minorHAnsi" w:hAnsiTheme="minorHAnsi" w:cstheme="minorHAnsi"/>
                <w:lang w:val="en-AU"/>
              </w:rPr>
            </w:pPr>
          </w:p>
        </w:tc>
        <w:tc>
          <w:tcPr>
            <w:tcW w:w="1611" w:type="dxa"/>
          </w:tcPr>
          <w:p w14:paraId="0F89B2D8" w14:textId="77777777" w:rsidR="000756EB" w:rsidRPr="00C92D5E" w:rsidRDefault="000756EB" w:rsidP="000F0AA2">
            <w:pPr>
              <w:pStyle w:val="TableHeading"/>
              <w:jc w:val="right"/>
              <w:rPr>
                <w:rFonts w:asciiTheme="minorHAnsi" w:hAnsiTheme="minorHAnsi" w:cstheme="minorHAnsi"/>
                <w:lang w:val="en-AU"/>
              </w:rPr>
            </w:pPr>
          </w:p>
        </w:tc>
      </w:tr>
      <w:tr w:rsidR="000756EB" w14:paraId="51CEFB0D" w14:textId="77777777" w:rsidTr="00C92D5E">
        <w:trPr>
          <w:trHeight w:val="60"/>
        </w:trPr>
        <w:tc>
          <w:tcPr>
            <w:tcW w:w="3792" w:type="dxa"/>
          </w:tcPr>
          <w:p w14:paraId="54102AEC" w14:textId="7F645745" w:rsidR="000756EB" w:rsidRDefault="004A4D88" w:rsidP="00C92D5E">
            <w:pPr>
              <w:pStyle w:val="TableCopy"/>
              <w:keepNext/>
            </w:pPr>
            <w:r>
              <w:t>Cash</w:t>
            </w:r>
            <w:r w:rsidR="00A03629">
              <w:t xml:space="preserve"> </w:t>
            </w:r>
            <w:r>
              <w:t>and</w:t>
            </w:r>
            <w:r w:rsidR="00A03629">
              <w:t xml:space="preserve"> </w:t>
            </w:r>
            <w:r>
              <w:t>deposits</w:t>
            </w:r>
          </w:p>
        </w:tc>
        <w:tc>
          <w:tcPr>
            <w:tcW w:w="1611" w:type="dxa"/>
          </w:tcPr>
          <w:p w14:paraId="0B4B833E" w14:textId="53FD022D" w:rsidR="000756EB" w:rsidRDefault="004A4D88" w:rsidP="000F0AA2">
            <w:pPr>
              <w:pStyle w:val="TableCopy"/>
              <w:keepNext/>
              <w:jc w:val="right"/>
            </w:pPr>
            <w:r>
              <w:t>240,734</w:t>
            </w:r>
          </w:p>
        </w:tc>
        <w:tc>
          <w:tcPr>
            <w:tcW w:w="1611" w:type="dxa"/>
          </w:tcPr>
          <w:p w14:paraId="6AF69D64" w14:textId="13AC4693" w:rsidR="000756EB" w:rsidRDefault="004A4D88" w:rsidP="000F0AA2">
            <w:pPr>
              <w:pStyle w:val="TableCopy"/>
              <w:keepNext/>
              <w:jc w:val="right"/>
            </w:pPr>
            <w:r>
              <w:t>–</w:t>
            </w:r>
          </w:p>
        </w:tc>
        <w:tc>
          <w:tcPr>
            <w:tcW w:w="1611" w:type="dxa"/>
          </w:tcPr>
          <w:p w14:paraId="1200E431" w14:textId="531C20EF" w:rsidR="000756EB" w:rsidRDefault="004A4D88" w:rsidP="000F0AA2">
            <w:pPr>
              <w:pStyle w:val="TableCopy"/>
              <w:keepNext/>
              <w:jc w:val="right"/>
            </w:pPr>
            <w:r>
              <w:t>81,398</w:t>
            </w:r>
          </w:p>
        </w:tc>
        <w:tc>
          <w:tcPr>
            <w:tcW w:w="1611" w:type="dxa"/>
          </w:tcPr>
          <w:p w14:paraId="473EDDC7" w14:textId="79285F1E" w:rsidR="000756EB" w:rsidRDefault="004A4D88" w:rsidP="000F0AA2">
            <w:pPr>
              <w:pStyle w:val="TableCopy"/>
              <w:keepNext/>
              <w:jc w:val="right"/>
            </w:pPr>
            <w:r>
              <w:t>322,133</w:t>
            </w:r>
          </w:p>
        </w:tc>
      </w:tr>
      <w:tr w:rsidR="000756EB" w:rsidRPr="00C92D5E" w14:paraId="2C8C4EA9" w14:textId="77777777" w:rsidTr="00C92D5E">
        <w:trPr>
          <w:trHeight w:val="60"/>
        </w:trPr>
        <w:tc>
          <w:tcPr>
            <w:tcW w:w="3792" w:type="dxa"/>
          </w:tcPr>
          <w:p w14:paraId="0C8200CF" w14:textId="745749E0" w:rsidR="000756EB" w:rsidRPr="00C92D5E" w:rsidRDefault="004A4D88" w:rsidP="00C92D5E">
            <w:pPr>
              <w:pStyle w:val="TableCopy"/>
              <w:rPr>
                <w:rFonts w:asciiTheme="minorHAnsi" w:hAnsiTheme="minorHAnsi" w:cstheme="minorHAnsi"/>
              </w:rPr>
            </w:pPr>
            <w:r w:rsidRPr="00C92D5E">
              <w:rPr>
                <w:rFonts w:asciiTheme="minorHAnsi" w:hAnsiTheme="minorHAnsi" w:cstheme="minorHAnsi"/>
              </w:rPr>
              <w:t>Receivables</w:t>
            </w:r>
            <w:r w:rsidR="00A03629" w:rsidRPr="00C92D5E">
              <w:rPr>
                <w:rFonts w:asciiTheme="minorHAnsi" w:hAnsiTheme="minorHAnsi" w:cstheme="minorHAnsi"/>
              </w:rPr>
              <w:t xml:space="preserve"> </w:t>
            </w:r>
            <w:r w:rsidRPr="00614829">
              <w:rPr>
                <w:rStyle w:val="FootnotereferencessuperscriptMisc"/>
              </w:rPr>
              <w:t>(</w:t>
            </w:r>
            <w:proofErr w:type="spellStart"/>
            <w:r w:rsidRPr="00614829">
              <w:rPr>
                <w:rStyle w:val="FootnotereferencessuperscriptMisc"/>
              </w:rPr>
              <w:t>i</w:t>
            </w:r>
            <w:proofErr w:type="spellEnd"/>
            <w:r w:rsidRPr="00614829">
              <w:rPr>
                <w:rStyle w:val="FootnotereferencessuperscriptMisc"/>
              </w:rPr>
              <w:t>)</w:t>
            </w:r>
          </w:p>
        </w:tc>
        <w:tc>
          <w:tcPr>
            <w:tcW w:w="1611" w:type="dxa"/>
          </w:tcPr>
          <w:p w14:paraId="7265CBEE" w14:textId="55839A93" w:rsidR="000756EB" w:rsidRPr="00C92D5E" w:rsidRDefault="004A4D88" w:rsidP="000F0AA2">
            <w:pPr>
              <w:pStyle w:val="TableCopy"/>
              <w:jc w:val="right"/>
              <w:rPr>
                <w:rFonts w:asciiTheme="minorHAnsi" w:hAnsiTheme="minorHAnsi" w:cstheme="minorHAnsi"/>
              </w:rPr>
            </w:pPr>
            <w:r w:rsidRPr="00C92D5E">
              <w:rPr>
                <w:rFonts w:asciiTheme="minorHAnsi" w:hAnsiTheme="minorHAnsi" w:cstheme="minorHAnsi"/>
              </w:rPr>
              <w:t>–</w:t>
            </w:r>
          </w:p>
        </w:tc>
        <w:tc>
          <w:tcPr>
            <w:tcW w:w="1611" w:type="dxa"/>
          </w:tcPr>
          <w:p w14:paraId="464D5548" w14:textId="34CDE826" w:rsidR="000756EB" w:rsidRPr="00C92D5E" w:rsidRDefault="004A4D88" w:rsidP="000F0AA2">
            <w:pPr>
              <w:pStyle w:val="TableCopy"/>
              <w:jc w:val="right"/>
              <w:rPr>
                <w:rFonts w:asciiTheme="minorHAnsi" w:hAnsiTheme="minorHAnsi" w:cstheme="minorHAnsi"/>
              </w:rPr>
            </w:pPr>
            <w:r w:rsidRPr="00C92D5E">
              <w:rPr>
                <w:rFonts w:asciiTheme="minorHAnsi" w:hAnsiTheme="minorHAnsi" w:cstheme="minorHAnsi"/>
              </w:rPr>
              <w:t>106,180</w:t>
            </w:r>
          </w:p>
        </w:tc>
        <w:tc>
          <w:tcPr>
            <w:tcW w:w="1611" w:type="dxa"/>
          </w:tcPr>
          <w:p w14:paraId="1FCD93AF" w14:textId="5A4FBF1D" w:rsidR="000756EB" w:rsidRPr="00C92D5E" w:rsidRDefault="004A4D88" w:rsidP="000F0AA2">
            <w:pPr>
              <w:pStyle w:val="TableCopy"/>
              <w:jc w:val="right"/>
              <w:rPr>
                <w:rFonts w:asciiTheme="minorHAnsi" w:hAnsiTheme="minorHAnsi" w:cstheme="minorHAnsi"/>
              </w:rPr>
            </w:pPr>
            <w:r w:rsidRPr="00C92D5E">
              <w:rPr>
                <w:rFonts w:asciiTheme="minorHAnsi" w:hAnsiTheme="minorHAnsi" w:cstheme="minorHAnsi"/>
              </w:rPr>
              <w:t>119,167</w:t>
            </w:r>
          </w:p>
        </w:tc>
        <w:tc>
          <w:tcPr>
            <w:tcW w:w="1611" w:type="dxa"/>
          </w:tcPr>
          <w:p w14:paraId="2CA762F6" w14:textId="4063960D" w:rsidR="000756EB" w:rsidRPr="00C92D5E" w:rsidRDefault="004A4D88" w:rsidP="000F0AA2">
            <w:pPr>
              <w:pStyle w:val="TableCopy"/>
              <w:jc w:val="right"/>
              <w:rPr>
                <w:rFonts w:asciiTheme="minorHAnsi" w:hAnsiTheme="minorHAnsi" w:cstheme="minorHAnsi"/>
              </w:rPr>
            </w:pPr>
            <w:r w:rsidRPr="00C92D5E">
              <w:rPr>
                <w:rFonts w:asciiTheme="minorHAnsi" w:hAnsiTheme="minorHAnsi" w:cstheme="minorHAnsi"/>
              </w:rPr>
              <w:t>225,347</w:t>
            </w:r>
          </w:p>
        </w:tc>
      </w:tr>
      <w:tr w:rsidR="000756EB" w14:paraId="1B49812C" w14:textId="77777777" w:rsidTr="00C92D5E">
        <w:trPr>
          <w:trHeight w:val="60"/>
        </w:trPr>
        <w:tc>
          <w:tcPr>
            <w:tcW w:w="3792" w:type="dxa"/>
          </w:tcPr>
          <w:p w14:paraId="1DB27453" w14:textId="77777777" w:rsidR="000756EB" w:rsidRDefault="004A4D88" w:rsidP="00C92D5E">
            <w:pPr>
              <w:pStyle w:val="TableCopy"/>
            </w:pPr>
            <w:r>
              <w:t>Investments</w:t>
            </w:r>
          </w:p>
        </w:tc>
        <w:tc>
          <w:tcPr>
            <w:tcW w:w="1611" w:type="dxa"/>
          </w:tcPr>
          <w:p w14:paraId="62256034" w14:textId="1C666E44" w:rsidR="000756EB" w:rsidRDefault="004A4D88" w:rsidP="000F0AA2">
            <w:pPr>
              <w:pStyle w:val="TableCopy"/>
              <w:jc w:val="right"/>
            </w:pPr>
            <w:r>
              <w:t>–</w:t>
            </w:r>
          </w:p>
        </w:tc>
        <w:tc>
          <w:tcPr>
            <w:tcW w:w="1611" w:type="dxa"/>
          </w:tcPr>
          <w:p w14:paraId="4EE892BE" w14:textId="5A627464" w:rsidR="000756EB" w:rsidRDefault="004A4D88" w:rsidP="000F0AA2">
            <w:pPr>
              <w:pStyle w:val="TableCopy"/>
              <w:jc w:val="right"/>
            </w:pPr>
            <w:r>
              <w:t>–</w:t>
            </w:r>
          </w:p>
        </w:tc>
        <w:tc>
          <w:tcPr>
            <w:tcW w:w="1611" w:type="dxa"/>
          </w:tcPr>
          <w:p w14:paraId="4B52536C" w14:textId="4D856003" w:rsidR="000756EB" w:rsidRDefault="004A4D88" w:rsidP="000F0AA2">
            <w:pPr>
              <w:pStyle w:val="TableCopy"/>
              <w:jc w:val="right"/>
            </w:pPr>
            <w:r>
              <w:t>–</w:t>
            </w:r>
          </w:p>
        </w:tc>
        <w:tc>
          <w:tcPr>
            <w:tcW w:w="1611" w:type="dxa"/>
          </w:tcPr>
          <w:p w14:paraId="30572C41" w14:textId="5C58C9FA" w:rsidR="000756EB" w:rsidRDefault="004A4D88" w:rsidP="000F0AA2">
            <w:pPr>
              <w:pStyle w:val="TableCopy"/>
              <w:jc w:val="right"/>
            </w:pPr>
            <w:r>
              <w:t>–</w:t>
            </w:r>
          </w:p>
        </w:tc>
      </w:tr>
      <w:tr w:rsidR="000756EB" w:rsidRPr="00C92D5E" w14:paraId="5C99D916" w14:textId="77777777" w:rsidTr="00C92D5E">
        <w:trPr>
          <w:trHeight w:val="60"/>
        </w:trPr>
        <w:tc>
          <w:tcPr>
            <w:tcW w:w="3792" w:type="dxa"/>
          </w:tcPr>
          <w:p w14:paraId="6DED3A5E" w14:textId="0699682A" w:rsidR="000756EB" w:rsidRPr="00C92D5E" w:rsidRDefault="004A4D88" w:rsidP="00C92D5E">
            <w:pPr>
              <w:pStyle w:val="TableCopy"/>
              <w:rPr>
                <w:b/>
                <w:bCs/>
              </w:rPr>
            </w:pPr>
            <w:r w:rsidRPr="00C92D5E">
              <w:rPr>
                <w:b/>
                <w:bCs/>
              </w:rPr>
              <w:t>Total</w:t>
            </w:r>
            <w:r w:rsidR="00A03629" w:rsidRPr="00C92D5E">
              <w:rPr>
                <w:b/>
                <w:bCs/>
              </w:rPr>
              <w:t xml:space="preserve"> </w:t>
            </w:r>
            <w:r w:rsidRPr="00C92D5E">
              <w:rPr>
                <w:b/>
                <w:bCs/>
              </w:rPr>
              <w:t>contractual</w:t>
            </w:r>
            <w:r w:rsidR="00A03629" w:rsidRPr="00C92D5E">
              <w:rPr>
                <w:b/>
                <w:bCs/>
              </w:rPr>
              <w:t xml:space="preserve"> </w:t>
            </w:r>
            <w:r w:rsidRPr="00C92D5E">
              <w:rPr>
                <w:b/>
                <w:bCs/>
              </w:rPr>
              <w:t>financial</w:t>
            </w:r>
            <w:r w:rsidR="00A03629" w:rsidRPr="00C92D5E">
              <w:rPr>
                <w:b/>
                <w:bCs/>
              </w:rPr>
              <w:t xml:space="preserve"> </w:t>
            </w:r>
            <w:r w:rsidRPr="00C92D5E">
              <w:rPr>
                <w:b/>
                <w:bCs/>
              </w:rPr>
              <w:t>assets</w:t>
            </w:r>
          </w:p>
        </w:tc>
        <w:tc>
          <w:tcPr>
            <w:tcW w:w="1611" w:type="dxa"/>
          </w:tcPr>
          <w:p w14:paraId="40E509A1" w14:textId="554974D4" w:rsidR="000756EB" w:rsidRPr="00C92D5E" w:rsidRDefault="004A4D88" w:rsidP="000F0AA2">
            <w:pPr>
              <w:pStyle w:val="TableCopy"/>
              <w:jc w:val="right"/>
              <w:rPr>
                <w:b/>
                <w:bCs/>
              </w:rPr>
            </w:pPr>
            <w:r w:rsidRPr="00C92D5E">
              <w:rPr>
                <w:b/>
                <w:bCs/>
              </w:rPr>
              <w:t>240,734</w:t>
            </w:r>
          </w:p>
        </w:tc>
        <w:tc>
          <w:tcPr>
            <w:tcW w:w="1611" w:type="dxa"/>
          </w:tcPr>
          <w:p w14:paraId="2DAF4B78" w14:textId="7E13D043" w:rsidR="000756EB" w:rsidRPr="00C92D5E" w:rsidRDefault="004A4D88" w:rsidP="000F0AA2">
            <w:pPr>
              <w:pStyle w:val="TableCopy"/>
              <w:jc w:val="right"/>
              <w:rPr>
                <w:b/>
                <w:bCs/>
              </w:rPr>
            </w:pPr>
            <w:r w:rsidRPr="00C92D5E">
              <w:rPr>
                <w:b/>
                <w:bCs/>
              </w:rPr>
              <w:t>106,180</w:t>
            </w:r>
          </w:p>
        </w:tc>
        <w:tc>
          <w:tcPr>
            <w:tcW w:w="1611" w:type="dxa"/>
          </w:tcPr>
          <w:p w14:paraId="38EEF63D" w14:textId="5929A614" w:rsidR="000756EB" w:rsidRPr="00C92D5E" w:rsidRDefault="004A4D88" w:rsidP="000F0AA2">
            <w:pPr>
              <w:pStyle w:val="TableCopy"/>
              <w:jc w:val="right"/>
              <w:rPr>
                <w:b/>
                <w:bCs/>
              </w:rPr>
            </w:pPr>
            <w:r w:rsidRPr="00C92D5E">
              <w:rPr>
                <w:b/>
                <w:bCs/>
              </w:rPr>
              <w:t>200,565</w:t>
            </w:r>
          </w:p>
        </w:tc>
        <w:tc>
          <w:tcPr>
            <w:tcW w:w="1611" w:type="dxa"/>
          </w:tcPr>
          <w:p w14:paraId="42694C1D" w14:textId="2DD54454" w:rsidR="000756EB" w:rsidRPr="00C92D5E" w:rsidRDefault="004A4D88" w:rsidP="000F0AA2">
            <w:pPr>
              <w:pStyle w:val="TableCopy"/>
              <w:jc w:val="right"/>
              <w:rPr>
                <w:b/>
                <w:bCs/>
              </w:rPr>
            </w:pPr>
            <w:r w:rsidRPr="00C92D5E">
              <w:rPr>
                <w:b/>
                <w:bCs/>
              </w:rPr>
              <w:t>547,480</w:t>
            </w:r>
          </w:p>
        </w:tc>
      </w:tr>
      <w:tr w:rsidR="000756EB" w:rsidRPr="00C92D5E" w14:paraId="26FD85B6" w14:textId="77777777" w:rsidTr="00C92D5E">
        <w:trPr>
          <w:trHeight w:val="60"/>
        </w:trPr>
        <w:tc>
          <w:tcPr>
            <w:tcW w:w="3792" w:type="dxa"/>
          </w:tcPr>
          <w:p w14:paraId="152A180E" w14:textId="77777777" w:rsidR="000756EB" w:rsidRPr="00C92D5E" w:rsidRDefault="004A4D88" w:rsidP="00C92D5E">
            <w:pPr>
              <w:pStyle w:val="TableHeading"/>
              <w:rPr>
                <w:rFonts w:asciiTheme="minorHAnsi" w:hAnsiTheme="minorHAnsi" w:cstheme="minorHAnsi"/>
              </w:rPr>
            </w:pPr>
            <w:r w:rsidRPr="00C92D5E">
              <w:rPr>
                <w:rFonts w:asciiTheme="minorHAnsi" w:hAnsiTheme="minorHAnsi" w:cstheme="minorHAnsi"/>
              </w:rPr>
              <w:t>2022</w:t>
            </w:r>
          </w:p>
        </w:tc>
        <w:tc>
          <w:tcPr>
            <w:tcW w:w="1611" w:type="dxa"/>
          </w:tcPr>
          <w:p w14:paraId="0AE99C9E" w14:textId="77777777" w:rsidR="000756EB" w:rsidRPr="00C92D5E" w:rsidRDefault="000756EB" w:rsidP="000F0AA2">
            <w:pPr>
              <w:pStyle w:val="TableHeading"/>
              <w:jc w:val="right"/>
              <w:rPr>
                <w:rFonts w:asciiTheme="minorHAnsi" w:hAnsiTheme="minorHAnsi" w:cstheme="minorHAnsi"/>
                <w:lang w:val="en-AU"/>
              </w:rPr>
            </w:pPr>
          </w:p>
        </w:tc>
        <w:tc>
          <w:tcPr>
            <w:tcW w:w="1611" w:type="dxa"/>
          </w:tcPr>
          <w:p w14:paraId="3F2A1079" w14:textId="77777777" w:rsidR="000756EB" w:rsidRPr="00C92D5E" w:rsidRDefault="000756EB" w:rsidP="000F0AA2">
            <w:pPr>
              <w:pStyle w:val="TableHeading"/>
              <w:jc w:val="right"/>
              <w:rPr>
                <w:rFonts w:asciiTheme="minorHAnsi" w:hAnsiTheme="minorHAnsi" w:cstheme="minorHAnsi"/>
                <w:lang w:val="en-AU"/>
              </w:rPr>
            </w:pPr>
          </w:p>
        </w:tc>
        <w:tc>
          <w:tcPr>
            <w:tcW w:w="1611" w:type="dxa"/>
          </w:tcPr>
          <w:p w14:paraId="4BC6B8D7" w14:textId="77777777" w:rsidR="000756EB" w:rsidRPr="00C92D5E" w:rsidRDefault="000756EB" w:rsidP="000F0AA2">
            <w:pPr>
              <w:pStyle w:val="TableHeading"/>
              <w:jc w:val="right"/>
              <w:rPr>
                <w:rFonts w:asciiTheme="minorHAnsi" w:hAnsiTheme="minorHAnsi" w:cstheme="minorHAnsi"/>
                <w:lang w:val="en-AU"/>
              </w:rPr>
            </w:pPr>
          </w:p>
        </w:tc>
        <w:tc>
          <w:tcPr>
            <w:tcW w:w="1611" w:type="dxa"/>
          </w:tcPr>
          <w:p w14:paraId="21ADE381" w14:textId="77777777" w:rsidR="000756EB" w:rsidRPr="00C92D5E" w:rsidRDefault="000756EB" w:rsidP="000F0AA2">
            <w:pPr>
              <w:pStyle w:val="TableHeading"/>
              <w:jc w:val="right"/>
              <w:rPr>
                <w:rFonts w:asciiTheme="minorHAnsi" w:hAnsiTheme="minorHAnsi" w:cstheme="minorHAnsi"/>
                <w:lang w:val="en-AU"/>
              </w:rPr>
            </w:pPr>
          </w:p>
        </w:tc>
      </w:tr>
      <w:tr w:rsidR="000756EB" w:rsidRPr="00C92D5E" w14:paraId="3A685EC3" w14:textId="77777777" w:rsidTr="00C92D5E">
        <w:trPr>
          <w:trHeight w:val="60"/>
        </w:trPr>
        <w:tc>
          <w:tcPr>
            <w:tcW w:w="3792" w:type="dxa"/>
          </w:tcPr>
          <w:p w14:paraId="66FF5348" w14:textId="25696831" w:rsidR="000756EB" w:rsidRPr="00C92D5E" w:rsidRDefault="004A4D88" w:rsidP="00C92D5E">
            <w:pPr>
              <w:pStyle w:val="TableCopy"/>
              <w:rPr>
                <w:rFonts w:asciiTheme="minorHAnsi" w:hAnsiTheme="minorHAnsi" w:cstheme="minorHAnsi"/>
              </w:rPr>
            </w:pPr>
            <w:r w:rsidRPr="00C92D5E">
              <w:rPr>
                <w:rFonts w:asciiTheme="minorHAnsi" w:hAnsiTheme="minorHAnsi" w:cstheme="minorHAnsi"/>
              </w:rPr>
              <w:t>Cash</w:t>
            </w:r>
            <w:r w:rsidR="00A03629" w:rsidRPr="00C92D5E">
              <w:rPr>
                <w:rFonts w:asciiTheme="minorHAnsi" w:hAnsiTheme="minorHAnsi" w:cstheme="minorHAnsi"/>
              </w:rPr>
              <w:t xml:space="preserve"> </w:t>
            </w:r>
            <w:r w:rsidRPr="00C92D5E">
              <w:rPr>
                <w:rFonts w:asciiTheme="minorHAnsi" w:hAnsiTheme="minorHAnsi" w:cstheme="minorHAnsi"/>
              </w:rPr>
              <w:t>and</w:t>
            </w:r>
            <w:r w:rsidR="00A03629" w:rsidRPr="00C92D5E">
              <w:rPr>
                <w:rFonts w:asciiTheme="minorHAnsi" w:hAnsiTheme="minorHAnsi" w:cstheme="minorHAnsi"/>
              </w:rPr>
              <w:t xml:space="preserve"> </w:t>
            </w:r>
            <w:r w:rsidRPr="00C92D5E">
              <w:rPr>
                <w:rFonts w:asciiTheme="minorHAnsi" w:hAnsiTheme="minorHAnsi" w:cstheme="minorHAnsi"/>
              </w:rPr>
              <w:t>deposits</w:t>
            </w:r>
          </w:p>
        </w:tc>
        <w:tc>
          <w:tcPr>
            <w:tcW w:w="1611" w:type="dxa"/>
          </w:tcPr>
          <w:p w14:paraId="6C2AEBE3" w14:textId="69AB160B" w:rsidR="000756EB" w:rsidRPr="00C92D5E" w:rsidRDefault="004A4D88" w:rsidP="000F0AA2">
            <w:pPr>
              <w:pStyle w:val="TableCopy"/>
              <w:jc w:val="right"/>
              <w:rPr>
                <w:rFonts w:asciiTheme="minorHAnsi" w:hAnsiTheme="minorHAnsi" w:cstheme="minorHAnsi"/>
              </w:rPr>
            </w:pPr>
            <w:r w:rsidRPr="00C92D5E">
              <w:rPr>
                <w:rFonts w:asciiTheme="minorHAnsi" w:hAnsiTheme="minorHAnsi" w:cstheme="minorHAnsi"/>
              </w:rPr>
              <w:t>279,827</w:t>
            </w:r>
          </w:p>
        </w:tc>
        <w:tc>
          <w:tcPr>
            <w:tcW w:w="1611" w:type="dxa"/>
          </w:tcPr>
          <w:p w14:paraId="45A85189" w14:textId="6379816E" w:rsidR="000756EB" w:rsidRPr="00C92D5E" w:rsidRDefault="004A4D88" w:rsidP="000F0AA2">
            <w:pPr>
              <w:pStyle w:val="TableCopy"/>
              <w:jc w:val="right"/>
              <w:rPr>
                <w:rFonts w:asciiTheme="minorHAnsi" w:hAnsiTheme="minorHAnsi" w:cstheme="minorHAnsi"/>
              </w:rPr>
            </w:pPr>
            <w:r w:rsidRPr="00C92D5E">
              <w:rPr>
                <w:rFonts w:asciiTheme="minorHAnsi" w:hAnsiTheme="minorHAnsi" w:cstheme="minorHAnsi"/>
              </w:rPr>
              <w:t>2,047</w:t>
            </w:r>
          </w:p>
        </w:tc>
        <w:tc>
          <w:tcPr>
            <w:tcW w:w="1611" w:type="dxa"/>
          </w:tcPr>
          <w:p w14:paraId="654CC82A" w14:textId="47674635" w:rsidR="000756EB" w:rsidRPr="00C92D5E" w:rsidRDefault="004A4D88" w:rsidP="000F0AA2">
            <w:pPr>
              <w:pStyle w:val="TableCopy"/>
              <w:jc w:val="right"/>
              <w:rPr>
                <w:rFonts w:asciiTheme="minorHAnsi" w:hAnsiTheme="minorHAnsi" w:cstheme="minorHAnsi"/>
              </w:rPr>
            </w:pPr>
            <w:r w:rsidRPr="00C92D5E">
              <w:rPr>
                <w:rFonts w:asciiTheme="minorHAnsi" w:hAnsiTheme="minorHAnsi" w:cstheme="minorHAnsi"/>
              </w:rPr>
              <w:t>134,885</w:t>
            </w:r>
          </w:p>
        </w:tc>
        <w:tc>
          <w:tcPr>
            <w:tcW w:w="1611" w:type="dxa"/>
          </w:tcPr>
          <w:p w14:paraId="4DA7D377" w14:textId="5FFD32A6" w:rsidR="000756EB" w:rsidRPr="00C92D5E" w:rsidRDefault="004A4D88" w:rsidP="000F0AA2">
            <w:pPr>
              <w:pStyle w:val="TableCopy"/>
              <w:jc w:val="right"/>
              <w:rPr>
                <w:rFonts w:asciiTheme="minorHAnsi" w:hAnsiTheme="minorHAnsi" w:cstheme="minorHAnsi"/>
              </w:rPr>
            </w:pPr>
            <w:r w:rsidRPr="00C92D5E">
              <w:rPr>
                <w:rFonts w:asciiTheme="minorHAnsi" w:hAnsiTheme="minorHAnsi" w:cstheme="minorHAnsi"/>
              </w:rPr>
              <w:t>416,760</w:t>
            </w:r>
          </w:p>
        </w:tc>
      </w:tr>
      <w:tr w:rsidR="000756EB" w:rsidRPr="00C92D5E" w14:paraId="7AB321EB" w14:textId="77777777" w:rsidTr="00C92D5E">
        <w:trPr>
          <w:trHeight w:val="60"/>
        </w:trPr>
        <w:tc>
          <w:tcPr>
            <w:tcW w:w="3792" w:type="dxa"/>
          </w:tcPr>
          <w:p w14:paraId="51083335" w14:textId="52D84849" w:rsidR="000756EB" w:rsidRPr="00C92D5E" w:rsidRDefault="004A4D88" w:rsidP="00C92D5E">
            <w:pPr>
              <w:pStyle w:val="TableCopy"/>
              <w:rPr>
                <w:rFonts w:asciiTheme="minorHAnsi" w:hAnsiTheme="minorHAnsi" w:cstheme="minorHAnsi"/>
              </w:rPr>
            </w:pPr>
            <w:r w:rsidRPr="00C92D5E">
              <w:rPr>
                <w:rFonts w:asciiTheme="minorHAnsi" w:hAnsiTheme="minorHAnsi" w:cstheme="minorHAnsi"/>
              </w:rPr>
              <w:t>Receivables</w:t>
            </w:r>
            <w:r w:rsidR="00A03629" w:rsidRPr="00C92D5E">
              <w:rPr>
                <w:rFonts w:asciiTheme="minorHAnsi" w:hAnsiTheme="minorHAnsi" w:cstheme="minorHAnsi"/>
              </w:rPr>
              <w:t xml:space="preserve"> </w:t>
            </w:r>
            <w:r w:rsidRPr="00614829">
              <w:rPr>
                <w:rStyle w:val="FootnotereferencessuperscriptMisc"/>
              </w:rPr>
              <w:t>(</w:t>
            </w:r>
            <w:proofErr w:type="spellStart"/>
            <w:r w:rsidRPr="00614829">
              <w:rPr>
                <w:rStyle w:val="FootnotereferencessuperscriptMisc"/>
              </w:rPr>
              <w:t>i</w:t>
            </w:r>
            <w:proofErr w:type="spellEnd"/>
            <w:r w:rsidRPr="00614829">
              <w:rPr>
                <w:rStyle w:val="FootnotereferencessuperscriptMisc"/>
              </w:rPr>
              <w:t>)</w:t>
            </w:r>
          </w:p>
        </w:tc>
        <w:tc>
          <w:tcPr>
            <w:tcW w:w="1611" w:type="dxa"/>
          </w:tcPr>
          <w:p w14:paraId="42A16653" w14:textId="2C0D861F" w:rsidR="000756EB" w:rsidRPr="00C92D5E" w:rsidRDefault="004A4D88" w:rsidP="000F0AA2">
            <w:pPr>
              <w:pStyle w:val="TableCopy"/>
              <w:jc w:val="right"/>
              <w:rPr>
                <w:rFonts w:asciiTheme="minorHAnsi" w:hAnsiTheme="minorHAnsi" w:cstheme="minorHAnsi"/>
              </w:rPr>
            </w:pPr>
            <w:r w:rsidRPr="00C92D5E">
              <w:rPr>
                <w:rFonts w:asciiTheme="minorHAnsi" w:hAnsiTheme="minorHAnsi" w:cstheme="minorHAnsi"/>
              </w:rPr>
              <w:t>–</w:t>
            </w:r>
          </w:p>
        </w:tc>
        <w:tc>
          <w:tcPr>
            <w:tcW w:w="1611" w:type="dxa"/>
          </w:tcPr>
          <w:p w14:paraId="44DF5179" w14:textId="1DDF27A2" w:rsidR="000756EB" w:rsidRPr="00C92D5E" w:rsidRDefault="004A4D88" w:rsidP="000F0AA2">
            <w:pPr>
              <w:pStyle w:val="TableCopy"/>
              <w:jc w:val="right"/>
              <w:rPr>
                <w:rFonts w:asciiTheme="minorHAnsi" w:hAnsiTheme="minorHAnsi" w:cstheme="minorHAnsi"/>
              </w:rPr>
            </w:pPr>
            <w:r w:rsidRPr="00C92D5E">
              <w:rPr>
                <w:rFonts w:asciiTheme="minorHAnsi" w:hAnsiTheme="minorHAnsi" w:cstheme="minorHAnsi"/>
              </w:rPr>
              <w:t>71,951</w:t>
            </w:r>
          </w:p>
        </w:tc>
        <w:tc>
          <w:tcPr>
            <w:tcW w:w="1611" w:type="dxa"/>
          </w:tcPr>
          <w:p w14:paraId="46456832" w14:textId="15003990" w:rsidR="000756EB" w:rsidRPr="00C92D5E" w:rsidRDefault="004A4D88" w:rsidP="000F0AA2">
            <w:pPr>
              <w:pStyle w:val="TableCopy"/>
              <w:jc w:val="right"/>
              <w:rPr>
                <w:rFonts w:asciiTheme="minorHAnsi" w:hAnsiTheme="minorHAnsi" w:cstheme="minorHAnsi"/>
              </w:rPr>
            </w:pPr>
            <w:r w:rsidRPr="00C92D5E">
              <w:rPr>
                <w:rFonts w:asciiTheme="minorHAnsi" w:hAnsiTheme="minorHAnsi" w:cstheme="minorHAnsi"/>
              </w:rPr>
              <w:t>192,879</w:t>
            </w:r>
          </w:p>
        </w:tc>
        <w:tc>
          <w:tcPr>
            <w:tcW w:w="1611" w:type="dxa"/>
          </w:tcPr>
          <w:p w14:paraId="6FBB2CD0" w14:textId="44ACF645" w:rsidR="000756EB" w:rsidRPr="00C92D5E" w:rsidRDefault="004A4D88" w:rsidP="000F0AA2">
            <w:pPr>
              <w:pStyle w:val="TableCopy"/>
              <w:jc w:val="right"/>
              <w:rPr>
                <w:rFonts w:asciiTheme="minorHAnsi" w:hAnsiTheme="minorHAnsi" w:cstheme="minorHAnsi"/>
              </w:rPr>
            </w:pPr>
            <w:r w:rsidRPr="00C92D5E">
              <w:rPr>
                <w:rFonts w:asciiTheme="minorHAnsi" w:hAnsiTheme="minorHAnsi" w:cstheme="minorHAnsi"/>
              </w:rPr>
              <w:t>264,829</w:t>
            </w:r>
          </w:p>
        </w:tc>
      </w:tr>
      <w:tr w:rsidR="000756EB" w:rsidRPr="00C92D5E" w14:paraId="5F29B89D" w14:textId="77777777" w:rsidTr="00C92D5E">
        <w:trPr>
          <w:trHeight w:val="60"/>
        </w:trPr>
        <w:tc>
          <w:tcPr>
            <w:tcW w:w="3792" w:type="dxa"/>
          </w:tcPr>
          <w:p w14:paraId="4529260A" w14:textId="77777777" w:rsidR="000756EB" w:rsidRPr="00C92D5E" w:rsidRDefault="004A4D88" w:rsidP="00C92D5E">
            <w:pPr>
              <w:pStyle w:val="TableCopy"/>
              <w:rPr>
                <w:rFonts w:asciiTheme="minorHAnsi" w:hAnsiTheme="minorHAnsi" w:cstheme="minorHAnsi"/>
              </w:rPr>
            </w:pPr>
            <w:r w:rsidRPr="00C92D5E">
              <w:rPr>
                <w:rFonts w:asciiTheme="minorHAnsi" w:hAnsiTheme="minorHAnsi" w:cstheme="minorHAnsi"/>
              </w:rPr>
              <w:t>Investments</w:t>
            </w:r>
          </w:p>
        </w:tc>
        <w:tc>
          <w:tcPr>
            <w:tcW w:w="1611" w:type="dxa"/>
          </w:tcPr>
          <w:p w14:paraId="56A5163D" w14:textId="0B102CFE" w:rsidR="000756EB" w:rsidRPr="00C92D5E" w:rsidRDefault="004A4D88" w:rsidP="000F0AA2">
            <w:pPr>
              <w:pStyle w:val="TableCopy"/>
              <w:jc w:val="right"/>
              <w:rPr>
                <w:rFonts w:asciiTheme="minorHAnsi" w:hAnsiTheme="minorHAnsi" w:cstheme="minorHAnsi"/>
              </w:rPr>
            </w:pPr>
            <w:r w:rsidRPr="00C92D5E">
              <w:rPr>
                <w:rFonts w:asciiTheme="minorHAnsi" w:hAnsiTheme="minorHAnsi" w:cstheme="minorHAnsi"/>
              </w:rPr>
              <w:t>–</w:t>
            </w:r>
          </w:p>
        </w:tc>
        <w:tc>
          <w:tcPr>
            <w:tcW w:w="1611" w:type="dxa"/>
          </w:tcPr>
          <w:p w14:paraId="1652FC60" w14:textId="78DAC482" w:rsidR="000756EB" w:rsidRPr="00C92D5E" w:rsidRDefault="004A4D88" w:rsidP="000F0AA2">
            <w:pPr>
              <w:pStyle w:val="TableCopy"/>
              <w:jc w:val="right"/>
              <w:rPr>
                <w:rFonts w:asciiTheme="minorHAnsi" w:hAnsiTheme="minorHAnsi" w:cstheme="minorHAnsi"/>
              </w:rPr>
            </w:pPr>
            <w:r w:rsidRPr="00C92D5E">
              <w:rPr>
                <w:rFonts w:asciiTheme="minorHAnsi" w:hAnsiTheme="minorHAnsi" w:cstheme="minorHAnsi"/>
              </w:rPr>
              <w:t>–</w:t>
            </w:r>
          </w:p>
        </w:tc>
        <w:tc>
          <w:tcPr>
            <w:tcW w:w="1611" w:type="dxa"/>
          </w:tcPr>
          <w:p w14:paraId="08A8BD07" w14:textId="7BB19726" w:rsidR="000756EB" w:rsidRPr="00C92D5E" w:rsidRDefault="004A4D88" w:rsidP="000F0AA2">
            <w:pPr>
              <w:pStyle w:val="TableCopy"/>
              <w:jc w:val="right"/>
              <w:rPr>
                <w:rFonts w:asciiTheme="minorHAnsi" w:hAnsiTheme="minorHAnsi" w:cstheme="minorHAnsi"/>
              </w:rPr>
            </w:pPr>
            <w:r w:rsidRPr="00C92D5E">
              <w:rPr>
                <w:rFonts w:asciiTheme="minorHAnsi" w:hAnsiTheme="minorHAnsi" w:cstheme="minorHAnsi"/>
              </w:rPr>
              <w:t>71</w:t>
            </w:r>
          </w:p>
        </w:tc>
        <w:tc>
          <w:tcPr>
            <w:tcW w:w="1611" w:type="dxa"/>
          </w:tcPr>
          <w:p w14:paraId="4C687A54" w14:textId="67008A9B" w:rsidR="000756EB" w:rsidRPr="00C92D5E" w:rsidRDefault="004A4D88" w:rsidP="000F0AA2">
            <w:pPr>
              <w:pStyle w:val="TableCopy"/>
              <w:jc w:val="right"/>
              <w:rPr>
                <w:rFonts w:asciiTheme="minorHAnsi" w:hAnsiTheme="minorHAnsi" w:cstheme="minorHAnsi"/>
              </w:rPr>
            </w:pPr>
            <w:r w:rsidRPr="00C92D5E">
              <w:rPr>
                <w:rFonts w:asciiTheme="minorHAnsi" w:hAnsiTheme="minorHAnsi" w:cstheme="minorHAnsi"/>
              </w:rPr>
              <w:t>71</w:t>
            </w:r>
          </w:p>
        </w:tc>
      </w:tr>
      <w:tr w:rsidR="000756EB" w:rsidRPr="00C92D5E" w14:paraId="618E5F0D" w14:textId="77777777" w:rsidTr="00C92D5E">
        <w:trPr>
          <w:trHeight w:val="60"/>
        </w:trPr>
        <w:tc>
          <w:tcPr>
            <w:tcW w:w="3792" w:type="dxa"/>
          </w:tcPr>
          <w:p w14:paraId="5E9C3F8B" w14:textId="10AE8C2F" w:rsidR="000756EB" w:rsidRPr="00614829" w:rsidRDefault="004A4D88" w:rsidP="00614829">
            <w:pPr>
              <w:pStyle w:val="TableCopy"/>
              <w:rPr>
                <w:b/>
                <w:bCs/>
              </w:rPr>
            </w:pPr>
            <w:r w:rsidRPr="00614829">
              <w:rPr>
                <w:b/>
                <w:bCs/>
              </w:rPr>
              <w:t>Total</w:t>
            </w:r>
            <w:r w:rsidR="00A03629" w:rsidRPr="00614829">
              <w:rPr>
                <w:b/>
                <w:bCs/>
              </w:rPr>
              <w:t xml:space="preserve"> </w:t>
            </w:r>
            <w:r w:rsidRPr="00614829">
              <w:rPr>
                <w:b/>
                <w:bCs/>
              </w:rPr>
              <w:t>contractual</w:t>
            </w:r>
            <w:r w:rsidR="00A03629" w:rsidRPr="00614829">
              <w:rPr>
                <w:b/>
                <w:bCs/>
              </w:rPr>
              <w:t xml:space="preserve"> </w:t>
            </w:r>
            <w:r w:rsidRPr="00614829">
              <w:rPr>
                <w:b/>
                <w:bCs/>
              </w:rPr>
              <w:t>financial</w:t>
            </w:r>
            <w:r w:rsidR="00A03629" w:rsidRPr="00614829">
              <w:rPr>
                <w:b/>
                <w:bCs/>
              </w:rPr>
              <w:t xml:space="preserve"> </w:t>
            </w:r>
            <w:r w:rsidRPr="00614829">
              <w:rPr>
                <w:b/>
                <w:bCs/>
              </w:rPr>
              <w:t>assets</w:t>
            </w:r>
          </w:p>
        </w:tc>
        <w:tc>
          <w:tcPr>
            <w:tcW w:w="1611" w:type="dxa"/>
          </w:tcPr>
          <w:p w14:paraId="2B3E8F8A" w14:textId="1AD25B9D" w:rsidR="000756EB" w:rsidRPr="00C92D5E" w:rsidRDefault="004A4D88" w:rsidP="000F0AA2">
            <w:pPr>
              <w:pStyle w:val="TableCopy"/>
              <w:jc w:val="right"/>
              <w:rPr>
                <w:b/>
                <w:bCs/>
              </w:rPr>
            </w:pPr>
            <w:r w:rsidRPr="00C92D5E">
              <w:rPr>
                <w:b/>
                <w:bCs/>
              </w:rPr>
              <w:t>279,827</w:t>
            </w:r>
          </w:p>
        </w:tc>
        <w:tc>
          <w:tcPr>
            <w:tcW w:w="1611" w:type="dxa"/>
          </w:tcPr>
          <w:p w14:paraId="1A156505" w14:textId="131160D1" w:rsidR="000756EB" w:rsidRPr="00C92D5E" w:rsidRDefault="004A4D88" w:rsidP="000F0AA2">
            <w:pPr>
              <w:pStyle w:val="TableCopy"/>
              <w:jc w:val="right"/>
              <w:rPr>
                <w:b/>
                <w:bCs/>
              </w:rPr>
            </w:pPr>
            <w:r w:rsidRPr="00C92D5E">
              <w:rPr>
                <w:b/>
                <w:bCs/>
              </w:rPr>
              <w:t>73,998</w:t>
            </w:r>
          </w:p>
        </w:tc>
        <w:tc>
          <w:tcPr>
            <w:tcW w:w="1611" w:type="dxa"/>
          </w:tcPr>
          <w:p w14:paraId="41D13A06" w14:textId="1CBBF00B" w:rsidR="000756EB" w:rsidRPr="00C92D5E" w:rsidRDefault="004A4D88" w:rsidP="000F0AA2">
            <w:pPr>
              <w:pStyle w:val="TableCopy"/>
              <w:jc w:val="right"/>
              <w:rPr>
                <w:b/>
                <w:bCs/>
              </w:rPr>
            </w:pPr>
            <w:r w:rsidRPr="00C92D5E">
              <w:rPr>
                <w:b/>
                <w:bCs/>
              </w:rPr>
              <w:t>327,835</w:t>
            </w:r>
          </w:p>
        </w:tc>
        <w:tc>
          <w:tcPr>
            <w:tcW w:w="1611" w:type="dxa"/>
          </w:tcPr>
          <w:p w14:paraId="12ABBD6B" w14:textId="70F49FB9" w:rsidR="000756EB" w:rsidRPr="00C92D5E" w:rsidRDefault="004A4D88" w:rsidP="000F0AA2">
            <w:pPr>
              <w:pStyle w:val="TableCopy"/>
              <w:jc w:val="right"/>
              <w:rPr>
                <w:b/>
                <w:bCs/>
              </w:rPr>
            </w:pPr>
            <w:r w:rsidRPr="00C92D5E">
              <w:rPr>
                <w:b/>
                <w:bCs/>
              </w:rPr>
              <w:t>681,661</w:t>
            </w:r>
          </w:p>
        </w:tc>
      </w:tr>
    </w:tbl>
    <w:p w14:paraId="1C736D4F" w14:textId="708E14D8" w:rsidR="000756EB" w:rsidRDefault="00C92D5E" w:rsidP="00C92D5E">
      <w:pPr>
        <w:pStyle w:val="FootnoteText"/>
        <w:spacing w:before="120" w:after="280"/>
      </w:pPr>
      <w:r>
        <w:t>(</w:t>
      </w:r>
      <w:proofErr w:type="spellStart"/>
      <w:r>
        <w:t>i</w:t>
      </w:r>
      <w:proofErr w:type="spellEnd"/>
      <w:r>
        <w:t>) The carrying amounts disclosed exclude statutory receivables (e.g. amounts owing from the State of Victoria and GST recoverable).</w:t>
      </w:r>
    </w:p>
    <w:p w14:paraId="1335305E" w14:textId="5AABE14B" w:rsidR="000756EB" w:rsidRPr="00C92D5E" w:rsidRDefault="004A4D88" w:rsidP="00C92D5E">
      <w:pPr>
        <w:pStyle w:val="Normalbeforebullets"/>
        <w:rPr>
          <w:b/>
          <w:bCs/>
        </w:rPr>
      </w:pPr>
      <w:r w:rsidRPr="00C92D5E">
        <w:rPr>
          <w:b/>
          <w:bCs/>
        </w:rPr>
        <w:t>Contractual</w:t>
      </w:r>
      <w:r w:rsidR="00A03629" w:rsidRPr="00C92D5E">
        <w:rPr>
          <w:b/>
          <w:bCs/>
        </w:rPr>
        <w:t xml:space="preserve"> </w:t>
      </w:r>
      <w:r w:rsidRPr="00C92D5E">
        <w:rPr>
          <w:b/>
          <w:bCs/>
        </w:rPr>
        <w:t>financial</w:t>
      </w:r>
      <w:r w:rsidR="00A03629" w:rsidRPr="00C92D5E">
        <w:rPr>
          <w:b/>
          <w:bCs/>
        </w:rPr>
        <w:t xml:space="preserve"> </w:t>
      </w:r>
      <w:r w:rsidRPr="00C92D5E">
        <w:rPr>
          <w:b/>
          <w:bCs/>
        </w:rPr>
        <w:t>assets</w:t>
      </w:r>
      <w:r w:rsidR="00A03629" w:rsidRPr="00C92D5E">
        <w:rPr>
          <w:b/>
          <w:bCs/>
        </w:rPr>
        <w:t xml:space="preserve"> </w:t>
      </w:r>
      <w:r w:rsidRPr="00C92D5E">
        <w:rPr>
          <w:b/>
          <w:bCs/>
        </w:rPr>
        <w:t>that</w:t>
      </w:r>
      <w:r w:rsidR="00A03629" w:rsidRPr="00C92D5E">
        <w:rPr>
          <w:b/>
          <w:bCs/>
        </w:rPr>
        <w:t xml:space="preserve"> </w:t>
      </w:r>
      <w:r w:rsidRPr="00C92D5E">
        <w:rPr>
          <w:b/>
          <w:bCs/>
        </w:rPr>
        <w:t>are</w:t>
      </w:r>
      <w:r w:rsidR="00A03629" w:rsidRPr="00C92D5E">
        <w:rPr>
          <w:b/>
          <w:bCs/>
        </w:rPr>
        <w:t xml:space="preserve"> </w:t>
      </w:r>
      <w:r w:rsidRPr="00C92D5E">
        <w:rPr>
          <w:b/>
          <w:bCs/>
        </w:rPr>
        <w:t>either</w:t>
      </w:r>
      <w:r w:rsidR="00A03629" w:rsidRPr="00C92D5E">
        <w:rPr>
          <w:b/>
          <w:bCs/>
        </w:rPr>
        <w:t xml:space="preserve"> </w:t>
      </w:r>
      <w:r w:rsidRPr="00C92D5E">
        <w:rPr>
          <w:b/>
          <w:bCs/>
        </w:rPr>
        <w:t>past</w:t>
      </w:r>
      <w:r w:rsidR="00A03629" w:rsidRPr="00C92D5E">
        <w:rPr>
          <w:b/>
          <w:bCs/>
        </w:rPr>
        <w:t xml:space="preserve"> </w:t>
      </w:r>
      <w:r w:rsidRPr="00C92D5E">
        <w:rPr>
          <w:b/>
          <w:bCs/>
        </w:rPr>
        <w:t>due</w:t>
      </w:r>
      <w:r w:rsidR="00A03629" w:rsidRPr="00C92D5E">
        <w:rPr>
          <w:b/>
          <w:bCs/>
        </w:rPr>
        <w:t xml:space="preserve"> </w:t>
      </w:r>
      <w:r w:rsidRPr="00C92D5E">
        <w:rPr>
          <w:b/>
          <w:bCs/>
        </w:rPr>
        <w:t>or</w:t>
      </w:r>
      <w:r w:rsidR="00A03629" w:rsidRPr="00C92D5E">
        <w:rPr>
          <w:b/>
          <w:bCs/>
        </w:rPr>
        <w:t xml:space="preserve"> </w:t>
      </w:r>
      <w:r w:rsidRPr="00C92D5E">
        <w:rPr>
          <w:b/>
          <w:bCs/>
        </w:rPr>
        <w:t>impaired</w:t>
      </w:r>
    </w:p>
    <w:p w14:paraId="7A8D3041" w14:textId="2047DE8B" w:rsidR="000756EB" w:rsidRDefault="004A4D88" w:rsidP="00C92D5E">
      <w:r>
        <w:t>There</w:t>
      </w:r>
      <w:r w:rsidR="00A03629">
        <w:t xml:space="preserve"> </w:t>
      </w:r>
      <w:r>
        <w:t>are</w:t>
      </w:r>
      <w:r w:rsidR="00A03629">
        <w:t xml:space="preserve"> </w:t>
      </w:r>
      <w:r>
        <w:t>no</w:t>
      </w:r>
      <w:r w:rsidR="00A03629">
        <w:t xml:space="preserve"> </w:t>
      </w:r>
      <w:r>
        <w:t>material</w:t>
      </w:r>
      <w:r w:rsidR="00A03629">
        <w:t xml:space="preserve"> </w:t>
      </w:r>
      <w:r>
        <w:t>financial</w:t>
      </w:r>
      <w:r w:rsidR="00A03629">
        <w:t xml:space="preserve"> </w:t>
      </w:r>
      <w:r>
        <w:t>assets</w:t>
      </w:r>
      <w:r w:rsidR="00A03629">
        <w:t xml:space="preserve"> </w:t>
      </w:r>
      <w:r>
        <w:t>which</w:t>
      </w:r>
      <w:r w:rsidR="00A03629">
        <w:t xml:space="preserve"> </w:t>
      </w:r>
      <w:r>
        <w:t>are</w:t>
      </w:r>
      <w:r w:rsidR="00A03629">
        <w:t xml:space="preserve"> </w:t>
      </w:r>
      <w:r>
        <w:t>individually</w:t>
      </w:r>
      <w:r w:rsidR="00A03629">
        <w:t xml:space="preserve"> </w:t>
      </w:r>
      <w:r>
        <w:t>determined</w:t>
      </w:r>
      <w:r w:rsidR="00A03629">
        <w:t xml:space="preserve"> </w:t>
      </w:r>
      <w:r>
        <w:t>to</w:t>
      </w:r>
      <w:r w:rsidR="00A03629">
        <w:t xml:space="preserve"> </w:t>
      </w:r>
      <w:r>
        <w:t>be</w:t>
      </w:r>
      <w:r w:rsidR="00A03629">
        <w:t xml:space="preserve"> </w:t>
      </w:r>
      <w:r>
        <w:t>impaired.</w:t>
      </w:r>
      <w:r w:rsidR="00A03629">
        <w:t xml:space="preserve"> </w:t>
      </w:r>
      <w:r>
        <w:t>Currently,</w:t>
      </w:r>
      <w:r w:rsidR="00A03629">
        <w:t xml:space="preserve"> </w:t>
      </w:r>
      <w:r>
        <w:t>DJSIR</w:t>
      </w:r>
      <w:r w:rsidR="00A03629">
        <w:t xml:space="preserve"> </w:t>
      </w:r>
      <w:r>
        <w:t>does</w:t>
      </w:r>
      <w:r w:rsidR="00A03629">
        <w:rPr>
          <w:rFonts w:ascii="Cambria" w:hAnsi="Cambria" w:cs="Cambria"/>
        </w:rPr>
        <w:t xml:space="preserve"> </w:t>
      </w:r>
      <w:r>
        <w:t>not</w:t>
      </w:r>
      <w:r w:rsidR="00A03629">
        <w:t xml:space="preserve"> </w:t>
      </w:r>
      <w:r>
        <w:t>hold</w:t>
      </w:r>
      <w:r w:rsidR="00A03629">
        <w:t xml:space="preserve"> </w:t>
      </w:r>
      <w:r>
        <w:t>any</w:t>
      </w:r>
      <w:r w:rsidR="00A03629">
        <w:t xml:space="preserve"> </w:t>
      </w:r>
      <w:r>
        <w:t>collateral</w:t>
      </w:r>
      <w:r w:rsidR="00A03629">
        <w:t xml:space="preserve"> </w:t>
      </w:r>
      <w:r>
        <w:t>as</w:t>
      </w:r>
      <w:r w:rsidR="00A03629">
        <w:t xml:space="preserve"> </w:t>
      </w:r>
      <w:r>
        <w:t>security</w:t>
      </w:r>
      <w:r w:rsidR="00A03629">
        <w:t xml:space="preserve"> </w:t>
      </w:r>
      <w:r>
        <w:t>nor</w:t>
      </w:r>
      <w:r w:rsidR="00A03629">
        <w:t xml:space="preserve"> </w:t>
      </w:r>
      <w:r>
        <w:t>credit</w:t>
      </w:r>
      <w:r w:rsidR="00A03629">
        <w:t xml:space="preserve"> </w:t>
      </w:r>
      <w:r>
        <w:t>enhancements</w:t>
      </w:r>
      <w:r w:rsidR="00A03629">
        <w:t xml:space="preserve"> </w:t>
      </w:r>
      <w:r>
        <w:t>relating</w:t>
      </w:r>
      <w:r w:rsidR="00A03629">
        <w:t xml:space="preserve"> </w:t>
      </w:r>
      <w:r>
        <w:t>to</w:t>
      </w:r>
      <w:r w:rsidR="00A03629">
        <w:t xml:space="preserve"> </w:t>
      </w:r>
      <w:r>
        <w:t>any</w:t>
      </w:r>
      <w:r w:rsidR="00A03629">
        <w:t xml:space="preserve"> </w:t>
      </w:r>
      <w:r>
        <w:t>of</w:t>
      </w:r>
      <w:r w:rsidR="00A03629">
        <w:t xml:space="preserve"> </w:t>
      </w:r>
      <w:r>
        <w:t>its</w:t>
      </w:r>
      <w:r w:rsidR="00A03629">
        <w:t xml:space="preserve"> </w:t>
      </w:r>
      <w:r>
        <w:t>financial</w:t>
      </w:r>
      <w:r w:rsidR="00A03629">
        <w:t xml:space="preserve"> </w:t>
      </w:r>
      <w:r>
        <w:t>assets.</w:t>
      </w:r>
    </w:p>
    <w:p w14:paraId="158130F7" w14:textId="58932DF9" w:rsidR="000756EB" w:rsidRDefault="004A4D88" w:rsidP="00C92D5E">
      <w:r>
        <w:t>There</w:t>
      </w:r>
      <w:r w:rsidR="00A03629">
        <w:t xml:space="preserve"> </w:t>
      </w:r>
      <w:r>
        <w:t>are</w:t>
      </w:r>
      <w:r w:rsidR="00A03629">
        <w:t xml:space="preserve"> </w:t>
      </w:r>
      <w:r>
        <w:t>no</w:t>
      </w:r>
      <w:r w:rsidR="00A03629">
        <w:t xml:space="preserve"> </w:t>
      </w:r>
      <w:r>
        <w:t>financial</w:t>
      </w:r>
      <w:r w:rsidR="00A03629">
        <w:t xml:space="preserve"> </w:t>
      </w:r>
      <w:r>
        <w:t>assets</w:t>
      </w:r>
      <w:r w:rsidR="00A03629">
        <w:t xml:space="preserve"> </w:t>
      </w:r>
      <w:r>
        <w:t>that</w:t>
      </w:r>
      <w:r w:rsidR="00A03629">
        <w:t xml:space="preserve"> </w:t>
      </w:r>
      <w:r>
        <w:t>have</w:t>
      </w:r>
      <w:r w:rsidR="00A03629">
        <w:t xml:space="preserve"> </w:t>
      </w:r>
      <w:r>
        <w:t>had</w:t>
      </w:r>
      <w:r w:rsidR="00A03629">
        <w:t xml:space="preserve"> </w:t>
      </w:r>
      <w:r>
        <w:t>their</w:t>
      </w:r>
      <w:r w:rsidR="00A03629">
        <w:t xml:space="preserve"> </w:t>
      </w:r>
      <w:r>
        <w:t>terms</w:t>
      </w:r>
      <w:r w:rsidR="00A03629">
        <w:t xml:space="preserve"> </w:t>
      </w:r>
      <w:r>
        <w:t>renegotiated</w:t>
      </w:r>
      <w:r w:rsidR="00A03629">
        <w:t xml:space="preserve"> </w:t>
      </w:r>
      <w:proofErr w:type="gramStart"/>
      <w:r>
        <w:t>so</w:t>
      </w:r>
      <w:r w:rsidR="00A03629">
        <w:t xml:space="preserve"> </w:t>
      </w:r>
      <w:r>
        <w:t>as</w:t>
      </w:r>
      <w:r w:rsidR="00A03629">
        <w:t xml:space="preserve"> </w:t>
      </w:r>
      <w:r>
        <w:t>to</w:t>
      </w:r>
      <w:proofErr w:type="gramEnd"/>
      <w:r w:rsidR="00A03629">
        <w:t xml:space="preserve"> </w:t>
      </w:r>
      <w:r>
        <w:t>prevent</w:t>
      </w:r>
      <w:r w:rsidR="00A03629">
        <w:t xml:space="preserve"> </w:t>
      </w:r>
      <w:r>
        <w:t>them</w:t>
      </w:r>
      <w:r w:rsidR="00A03629">
        <w:t xml:space="preserve"> </w:t>
      </w:r>
      <w:r>
        <w:t>from</w:t>
      </w:r>
      <w:r w:rsidR="00A03629">
        <w:t xml:space="preserve"> </w:t>
      </w:r>
      <w:r>
        <w:t>being</w:t>
      </w:r>
      <w:r w:rsidR="00A03629">
        <w:t xml:space="preserve"> </w:t>
      </w:r>
      <w:r>
        <w:t>past</w:t>
      </w:r>
      <w:r w:rsidR="00A03629">
        <w:rPr>
          <w:rFonts w:ascii="Cambria" w:hAnsi="Cambria" w:cs="Cambria"/>
        </w:rPr>
        <w:t xml:space="preserve"> </w:t>
      </w:r>
      <w:r>
        <w:t>due</w:t>
      </w:r>
      <w:r w:rsidR="00A03629">
        <w:rPr>
          <w:rFonts w:ascii="Cambria" w:hAnsi="Cambria" w:cs="Cambria"/>
        </w:rPr>
        <w:t xml:space="preserve"> </w:t>
      </w:r>
      <w:r>
        <w:t>or</w:t>
      </w:r>
      <w:r w:rsidR="00A03629">
        <w:t xml:space="preserve"> </w:t>
      </w:r>
      <w:r>
        <w:t>impaired,</w:t>
      </w:r>
      <w:r w:rsidR="00A03629">
        <w:t xml:space="preserve"> </w:t>
      </w:r>
      <w:r>
        <w:t>and</w:t>
      </w:r>
      <w:r w:rsidR="00A03629">
        <w:t xml:space="preserve"> </w:t>
      </w:r>
      <w:r>
        <w:t>they</w:t>
      </w:r>
      <w:r w:rsidR="00A03629">
        <w:t xml:space="preserve"> </w:t>
      </w:r>
      <w:r>
        <w:t>are</w:t>
      </w:r>
      <w:r w:rsidR="00A03629">
        <w:t xml:space="preserve"> </w:t>
      </w:r>
      <w:r>
        <w:t>stated</w:t>
      </w:r>
      <w:r w:rsidR="00A03629">
        <w:t xml:space="preserve"> </w:t>
      </w:r>
      <w:r>
        <w:t>at</w:t>
      </w:r>
      <w:r w:rsidR="00A03629">
        <w:t xml:space="preserve"> </w:t>
      </w:r>
      <w:r>
        <w:t>the</w:t>
      </w:r>
      <w:r w:rsidR="00A03629">
        <w:t xml:space="preserve"> </w:t>
      </w:r>
      <w:r>
        <w:t>carrying</w:t>
      </w:r>
      <w:r w:rsidR="00A03629">
        <w:t xml:space="preserve"> </w:t>
      </w:r>
      <w:r>
        <w:t>amounts</w:t>
      </w:r>
      <w:r w:rsidR="00A03629">
        <w:t xml:space="preserve"> </w:t>
      </w:r>
      <w:r>
        <w:t>as</w:t>
      </w:r>
      <w:r w:rsidR="00A03629">
        <w:t xml:space="preserve"> </w:t>
      </w:r>
      <w:r>
        <w:t>indicated.</w:t>
      </w:r>
    </w:p>
    <w:p w14:paraId="1840373E" w14:textId="77AD92F4" w:rsidR="000756EB" w:rsidRDefault="004A4D88" w:rsidP="00291473">
      <w:pPr>
        <w:pStyle w:val="Normalbeforebullets"/>
      </w:pPr>
      <w:r>
        <w:t>Contractual</w:t>
      </w:r>
      <w:r w:rsidR="00A03629">
        <w:t xml:space="preserve"> </w:t>
      </w:r>
      <w:r>
        <w:t>receivables</w:t>
      </w:r>
      <w:r w:rsidR="00A03629">
        <w:t xml:space="preserve"> </w:t>
      </w:r>
      <w:r>
        <w:t>at</w:t>
      </w:r>
      <w:r w:rsidR="00A03629">
        <w:t xml:space="preserve"> </w:t>
      </w:r>
      <w:r>
        <w:t>amortised</w:t>
      </w:r>
      <w:r w:rsidR="00A03629">
        <w:t xml:space="preserve"> </w:t>
      </w:r>
      <w:r>
        <w:t>cost</w:t>
      </w:r>
    </w:p>
    <w:p w14:paraId="7294123F" w14:textId="68B236B0" w:rsidR="000756EB" w:rsidRDefault="004A4D88" w:rsidP="00291473">
      <w:r>
        <w:t>Impairment</w:t>
      </w:r>
      <w:r w:rsidR="00A03629">
        <w:t xml:space="preserve"> </w:t>
      </w:r>
      <w:r>
        <w:t>of</w:t>
      </w:r>
      <w:r w:rsidR="00A03629">
        <w:t xml:space="preserve"> </w:t>
      </w:r>
      <w:r>
        <w:t>financial</w:t>
      </w:r>
      <w:r w:rsidR="00A03629">
        <w:t xml:space="preserve"> </w:t>
      </w:r>
      <w:r>
        <w:t>assets</w:t>
      </w:r>
      <w:r w:rsidR="00A03629">
        <w:t xml:space="preserve"> </w:t>
      </w:r>
      <w:r>
        <w:t>under</w:t>
      </w:r>
      <w:r w:rsidR="00A03629">
        <w:t xml:space="preserve"> </w:t>
      </w:r>
      <w:r>
        <w:t>AASB</w:t>
      </w:r>
      <w:r w:rsidR="00A03629">
        <w:t xml:space="preserve"> </w:t>
      </w:r>
      <w:r>
        <w:t>9:</w:t>
      </w:r>
      <w:r w:rsidR="00A03629">
        <w:t xml:space="preserve"> </w:t>
      </w:r>
      <w:r>
        <w:t>DJSIR</w:t>
      </w:r>
      <w:r w:rsidR="00A03629">
        <w:t xml:space="preserve"> </w:t>
      </w:r>
      <w:r>
        <w:t>assesses</w:t>
      </w:r>
      <w:r w:rsidR="00A03629">
        <w:t xml:space="preserve"> </w:t>
      </w:r>
      <w:r>
        <w:t>at</w:t>
      </w:r>
      <w:r w:rsidR="00A03629">
        <w:t xml:space="preserve"> </w:t>
      </w:r>
      <w:r>
        <w:t>the</w:t>
      </w:r>
      <w:r w:rsidR="00A03629">
        <w:t xml:space="preserve"> </w:t>
      </w:r>
      <w:r>
        <w:t>end</w:t>
      </w:r>
      <w:r w:rsidR="00A03629">
        <w:t xml:space="preserve"> </w:t>
      </w:r>
      <w:r>
        <w:t>of</w:t>
      </w:r>
      <w:r w:rsidR="00A03629">
        <w:t xml:space="preserve"> </w:t>
      </w:r>
      <w:r>
        <w:t>each</w:t>
      </w:r>
      <w:r w:rsidR="00A03629">
        <w:t xml:space="preserve"> </w:t>
      </w:r>
      <w:r>
        <w:t>reporting</w:t>
      </w:r>
      <w:r w:rsidR="00A03629">
        <w:t xml:space="preserve"> </w:t>
      </w:r>
      <w:r>
        <w:t>period</w:t>
      </w:r>
      <w:r w:rsidR="00A03629">
        <w:t xml:space="preserve"> </w:t>
      </w:r>
      <w:r>
        <w:t>whether</w:t>
      </w:r>
      <w:r w:rsidR="00A03629">
        <w:t xml:space="preserve"> </w:t>
      </w:r>
      <w:r>
        <w:t>there</w:t>
      </w:r>
      <w:r w:rsidR="00A03629">
        <w:t xml:space="preserve"> </w:t>
      </w:r>
      <w:r>
        <w:t>is</w:t>
      </w:r>
      <w:r w:rsidR="00A03629">
        <w:t xml:space="preserve"> </w:t>
      </w:r>
      <w:r>
        <w:t>objective</w:t>
      </w:r>
      <w:r w:rsidR="00A03629">
        <w:t xml:space="preserve"> </w:t>
      </w:r>
      <w:r>
        <w:t>evidence</w:t>
      </w:r>
      <w:r w:rsidR="00A03629">
        <w:t xml:space="preserve"> </w:t>
      </w:r>
      <w:r>
        <w:t>that</w:t>
      </w:r>
      <w:r w:rsidR="00A03629">
        <w:t xml:space="preserve"> </w:t>
      </w:r>
      <w:r>
        <w:t>a</w:t>
      </w:r>
      <w:r w:rsidR="00A03629">
        <w:t xml:space="preserve"> </w:t>
      </w:r>
      <w:r>
        <w:t>financial</w:t>
      </w:r>
      <w:r w:rsidR="00A03629">
        <w:t xml:space="preserve"> </w:t>
      </w:r>
      <w:r>
        <w:t>asset</w:t>
      </w:r>
      <w:r w:rsidR="00A03629">
        <w:t xml:space="preserve"> </w:t>
      </w:r>
      <w:r>
        <w:t>or</w:t>
      </w:r>
      <w:r w:rsidR="00A03629">
        <w:t xml:space="preserve"> </w:t>
      </w:r>
      <w:r>
        <w:t>group</w:t>
      </w:r>
      <w:r w:rsidR="00A03629">
        <w:t xml:space="preserve"> </w:t>
      </w:r>
      <w:r>
        <w:t>of</w:t>
      </w:r>
      <w:r w:rsidR="00A03629">
        <w:t xml:space="preserve"> </w:t>
      </w:r>
      <w:r>
        <w:t>financial</w:t>
      </w:r>
      <w:r w:rsidR="00A03629">
        <w:t xml:space="preserve"> </w:t>
      </w:r>
      <w:r>
        <w:t>assets</w:t>
      </w:r>
      <w:r w:rsidR="00A03629">
        <w:t xml:space="preserve"> </w:t>
      </w:r>
      <w:r>
        <w:t>is</w:t>
      </w:r>
      <w:r w:rsidR="00A03629">
        <w:t xml:space="preserve"> </w:t>
      </w:r>
      <w:r>
        <w:t>impaired.</w:t>
      </w:r>
      <w:r w:rsidR="00A03629">
        <w:t xml:space="preserve"> </w:t>
      </w:r>
      <w:r>
        <w:t>All</w:t>
      </w:r>
      <w:r w:rsidR="00A03629">
        <w:t xml:space="preserve"> </w:t>
      </w:r>
      <w:r>
        <w:t>financial</w:t>
      </w:r>
      <w:r w:rsidR="00A03629">
        <w:t xml:space="preserve"> </w:t>
      </w:r>
      <w:r>
        <w:t>assets,</w:t>
      </w:r>
      <w:r w:rsidR="00A03629">
        <w:t xml:space="preserve"> </w:t>
      </w:r>
      <w:r>
        <w:t>except</w:t>
      </w:r>
      <w:r w:rsidR="00A03629">
        <w:t xml:space="preserve"> </w:t>
      </w:r>
      <w:r>
        <w:t>those</w:t>
      </w:r>
      <w:r w:rsidR="00A03629">
        <w:t xml:space="preserve"> </w:t>
      </w:r>
      <w:r>
        <w:t>measured</w:t>
      </w:r>
      <w:r w:rsidR="00A03629">
        <w:t xml:space="preserve"> </w:t>
      </w:r>
      <w:r>
        <w:t>at</w:t>
      </w:r>
      <w:r w:rsidR="00A03629">
        <w:t xml:space="preserve"> </w:t>
      </w:r>
      <w:r>
        <w:t>fair</w:t>
      </w:r>
      <w:r w:rsidR="00A03629">
        <w:t xml:space="preserve"> </w:t>
      </w:r>
      <w:r>
        <w:t>value</w:t>
      </w:r>
      <w:r w:rsidR="00A03629">
        <w:t xml:space="preserve"> </w:t>
      </w:r>
      <w:r>
        <w:t>through</w:t>
      </w:r>
      <w:r w:rsidR="00A03629">
        <w:t xml:space="preserve"> </w:t>
      </w:r>
      <w:r>
        <w:t>profit</w:t>
      </w:r>
      <w:r w:rsidR="00A03629">
        <w:t xml:space="preserve"> </w:t>
      </w:r>
      <w:r>
        <w:t>or</w:t>
      </w:r>
      <w:r w:rsidR="00A03629">
        <w:t xml:space="preserve"> </w:t>
      </w:r>
      <w:r>
        <w:t>loss,</w:t>
      </w:r>
      <w:r w:rsidR="00A03629">
        <w:t xml:space="preserve"> </w:t>
      </w:r>
      <w:r>
        <w:t>are</w:t>
      </w:r>
      <w:r w:rsidR="00A03629">
        <w:t xml:space="preserve"> </w:t>
      </w:r>
      <w:r>
        <w:t>subject</w:t>
      </w:r>
      <w:r w:rsidR="00A03629">
        <w:t xml:space="preserve"> </w:t>
      </w:r>
      <w:r>
        <w:t>to</w:t>
      </w:r>
      <w:r w:rsidR="00A03629">
        <w:t xml:space="preserve"> </w:t>
      </w:r>
      <w:r>
        <w:t>annual</w:t>
      </w:r>
      <w:r w:rsidR="00A03629">
        <w:t xml:space="preserve"> </w:t>
      </w:r>
      <w:r>
        <w:t>review</w:t>
      </w:r>
      <w:r w:rsidR="00A03629">
        <w:t xml:space="preserve"> </w:t>
      </w:r>
      <w:r>
        <w:t>for</w:t>
      </w:r>
      <w:r w:rsidR="00A03629">
        <w:t xml:space="preserve"> </w:t>
      </w:r>
      <w:r>
        <w:t>impairment.</w:t>
      </w:r>
      <w:r w:rsidR="00A03629">
        <w:t xml:space="preserve"> </w:t>
      </w:r>
      <w:r>
        <w:t>Bad</w:t>
      </w:r>
      <w:r w:rsidR="00A03629">
        <w:rPr>
          <w:rFonts w:ascii="Cambria" w:hAnsi="Cambria" w:cs="Cambria"/>
        </w:rPr>
        <w:t xml:space="preserve"> </w:t>
      </w:r>
      <w:r>
        <w:t>and</w:t>
      </w:r>
      <w:r w:rsidR="00A03629">
        <w:t xml:space="preserve"> </w:t>
      </w:r>
      <w:r>
        <w:t>doubtful</w:t>
      </w:r>
      <w:r w:rsidR="00A03629">
        <w:t xml:space="preserve"> </w:t>
      </w:r>
      <w:r>
        <w:t>debts</w:t>
      </w:r>
      <w:r w:rsidR="00A03629">
        <w:t xml:space="preserve"> </w:t>
      </w:r>
      <w:r>
        <w:t>are</w:t>
      </w:r>
      <w:r w:rsidR="00A03629">
        <w:t xml:space="preserve"> </w:t>
      </w:r>
      <w:r>
        <w:t>assessed</w:t>
      </w:r>
      <w:r w:rsidR="00A03629">
        <w:t xml:space="preserve"> </w:t>
      </w:r>
      <w:r>
        <w:t>on</w:t>
      </w:r>
      <w:r w:rsidR="00A03629">
        <w:t xml:space="preserve"> </w:t>
      </w:r>
      <w:r>
        <w:t>a</w:t>
      </w:r>
      <w:r w:rsidR="00A03629">
        <w:t xml:space="preserve"> </w:t>
      </w:r>
      <w:r>
        <w:t>regular</w:t>
      </w:r>
      <w:r w:rsidR="00A03629">
        <w:t xml:space="preserve"> </w:t>
      </w:r>
      <w:r>
        <w:t>basis.</w:t>
      </w:r>
      <w:r w:rsidR="00A03629">
        <w:t xml:space="preserve"> </w:t>
      </w:r>
      <w:r>
        <w:t>Those</w:t>
      </w:r>
      <w:r w:rsidR="00A03629">
        <w:t xml:space="preserve"> </w:t>
      </w:r>
      <w:r>
        <w:t>bad</w:t>
      </w:r>
      <w:r w:rsidR="00A03629">
        <w:t xml:space="preserve"> </w:t>
      </w:r>
      <w:r>
        <w:t>debts</w:t>
      </w:r>
      <w:r w:rsidR="00A03629">
        <w:t xml:space="preserve"> </w:t>
      </w:r>
      <w:r>
        <w:t>considered</w:t>
      </w:r>
      <w:r w:rsidR="00A03629">
        <w:t xml:space="preserve"> </w:t>
      </w:r>
      <w:r>
        <w:t>as</w:t>
      </w:r>
      <w:r w:rsidR="00A03629">
        <w:t xml:space="preserve"> </w:t>
      </w:r>
      <w:r>
        <w:t>written</w:t>
      </w:r>
      <w:r w:rsidR="00A03629">
        <w:t xml:space="preserve"> </w:t>
      </w:r>
      <w:r>
        <w:t>off</w:t>
      </w:r>
      <w:r w:rsidR="00A03629">
        <w:t xml:space="preserve"> </w:t>
      </w:r>
      <w:r>
        <w:t>by</w:t>
      </w:r>
      <w:r w:rsidR="00A03629">
        <w:t xml:space="preserve"> </w:t>
      </w:r>
      <w:r>
        <w:t>mutual</w:t>
      </w:r>
      <w:r w:rsidR="00A03629">
        <w:t xml:space="preserve"> </w:t>
      </w:r>
      <w:r>
        <w:t>consent</w:t>
      </w:r>
      <w:r w:rsidR="00A03629">
        <w:t xml:space="preserve"> </w:t>
      </w:r>
      <w:r>
        <w:t>are</w:t>
      </w:r>
      <w:r w:rsidR="00A03629">
        <w:t xml:space="preserve"> </w:t>
      </w:r>
      <w:r>
        <w:t>classified</w:t>
      </w:r>
      <w:r w:rsidR="00A03629">
        <w:t xml:space="preserve"> </w:t>
      </w:r>
      <w:r>
        <w:t>as</w:t>
      </w:r>
      <w:r w:rsidR="00A03629">
        <w:t xml:space="preserve"> </w:t>
      </w:r>
      <w:r>
        <w:t>an</w:t>
      </w:r>
      <w:r w:rsidR="00A03629">
        <w:t xml:space="preserve"> </w:t>
      </w:r>
      <w:r>
        <w:t>expense.</w:t>
      </w:r>
      <w:r w:rsidR="00A03629">
        <w:t xml:space="preserve"> </w:t>
      </w:r>
      <w:r>
        <w:t>The</w:t>
      </w:r>
      <w:r w:rsidR="00A03629">
        <w:t xml:space="preserve"> </w:t>
      </w:r>
      <w:r>
        <w:t>allowance</w:t>
      </w:r>
      <w:r w:rsidR="00A03629">
        <w:t xml:space="preserve"> </w:t>
      </w:r>
      <w:r>
        <w:t>for</w:t>
      </w:r>
      <w:r w:rsidR="00A03629">
        <w:t xml:space="preserve"> </w:t>
      </w:r>
      <w:r>
        <w:t>doubtful</w:t>
      </w:r>
      <w:r w:rsidR="00A03629">
        <w:t xml:space="preserve"> </w:t>
      </w:r>
      <w:r>
        <w:t>receivables</w:t>
      </w:r>
      <w:r w:rsidR="00A03629">
        <w:t xml:space="preserve"> </w:t>
      </w:r>
      <w:r>
        <w:t>and</w:t>
      </w:r>
      <w:r w:rsidR="00A03629">
        <w:t xml:space="preserve"> </w:t>
      </w:r>
      <w:r>
        <w:t>bad</w:t>
      </w:r>
      <w:r w:rsidR="00A03629">
        <w:t xml:space="preserve"> </w:t>
      </w:r>
      <w:r>
        <w:t>debts</w:t>
      </w:r>
      <w:r w:rsidR="00A03629">
        <w:t xml:space="preserve"> </w:t>
      </w:r>
      <w:r>
        <w:t>not</w:t>
      </w:r>
      <w:r w:rsidR="00A03629">
        <w:t xml:space="preserve"> </w:t>
      </w:r>
      <w:r>
        <w:t>written</w:t>
      </w:r>
      <w:r w:rsidR="00A03629">
        <w:t xml:space="preserve"> </w:t>
      </w:r>
      <w:r>
        <w:t>off</w:t>
      </w:r>
      <w:r w:rsidR="00A03629">
        <w:t xml:space="preserve"> </w:t>
      </w:r>
      <w:r>
        <w:t>by</w:t>
      </w:r>
      <w:r w:rsidR="00A03629">
        <w:t xml:space="preserve"> </w:t>
      </w:r>
      <w:r>
        <w:t>mutual</w:t>
      </w:r>
      <w:r w:rsidR="00A03629">
        <w:t xml:space="preserve"> </w:t>
      </w:r>
      <w:r>
        <w:t>consent</w:t>
      </w:r>
      <w:r w:rsidR="00A03629">
        <w:t xml:space="preserve"> </w:t>
      </w:r>
      <w:r>
        <w:t>are</w:t>
      </w:r>
      <w:r w:rsidR="00A03629">
        <w:t xml:space="preserve"> </w:t>
      </w:r>
      <w:r>
        <w:t>adjusted</w:t>
      </w:r>
      <w:r w:rsidR="00A03629">
        <w:t xml:space="preserve"> </w:t>
      </w:r>
      <w:r>
        <w:t>as</w:t>
      </w:r>
      <w:r w:rsidR="00A03629">
        <w:t xml:space="preserve"> </w:t>
      </w:r>
      <w:r>
        <w:t>other</w:t>
      </w:r>
      <w:r w:rsidR="00A03629">
        <w:t xml:space="preserve"> </w:t>
      </w:r>
      <w:r>
        <w:t>economic</w:t>
      </w:r>
      <w:r w:rsidR="00A03629">
        <w:t xml:space="preserve"> </w:t>
      </w:r>
      <w:r>
        <w:t>flows.</w:t>
      </w:r>
      <w:r w:rsidR="00A03629">
        <w:t xml:space="preserve"> </w:t>
      </w:r>
      <w:r>
        <w:t>No</w:t>
      </w:r>
      <w:r w:rsidR="00A03629">
        <w:t xml:space="preserve"> </w:t>
      </w:r>
      <w:r>
        <w:t>further</w:t>
      </w:r>
      <w:r w:rsidR="00A03629">
        <w:t xml:space="preserve"> </w:t>
      </w:r>
      <w:r>
        <w:t>adjustments</w:t>
      </w:r>
      <w:r w:rsidR="00A03629">
        <w:t xml:space="preserve"> </w:t>
      </w:r>
      <w:r>
        <w:t>or</w:t>
      </w:r>
      <w:r w:rsidR="00A03629">
        <w:t xml:space="preserve"> </w:t>
      </w:r>
      <w:r>
        <w:t>provisions</w:t>
      </w:r>
      <w:r w:rsidR="00A03629">
        <w:t xml:space="preserve"> </w:t>
      </w:r>
      <w:r>
        <w:t>have</w:t>
      </w:r>
      <w:r w:rsidR="00A03629">
        <w:t xml:space="preserve"> </w:t>
      </w:r>
      <w:r>
        <w:t>been</w:t>
      </w:r>
      <w:r w:rsidR="00A03629">
        <w:t xml:space="preserve"> </w:t>
      </w:r>
      <w:r>
        <w:lastRenderedPageBreak/>
        <w:t>made,</w:t>
      </w:r>
      <w:r w:rsidR="00A03629">
        <w:t xml:space="preserve"> </w:t>
      </w:r>
      <w:r>
        <w:t>as</w:t>
      </w:r>
      <w:r w:rsidR="00A03629">
        <w:t xml:space="preserve"> </w:t>
      </w:r>
      <w:r>
        <w:t>DJSIR’s</w:t>
      </w:r>
      <w:r w:rsidR="00A03629">
        <w:t xml:space="preserve"> </w:t>
      </w:r>
      <w:r>
        <w:t>debtors</w:t>
      </w:r>
      <w:r w:rsidR="00A03629">
        <w:t xml:space="preserve"> </w:t>
      </w:r>
      <w:r>
        <w:t>are</w:t>
      </w:r>
      <w:r w:rsidR="00A03629">
        <w:t xml:space="preserve"> </w:t>
      </w:r>
      <w:r>
        <w:t>predominantly</w:t>
      </w:r>
      <w:r w:rsidR="00A03629">
        <w:t xml:space="preserve"> </w:t>
      </w:r>
      <w:r>
        <w:t>government</w:t>
      </w:r>
      <w:r w:rsidR="00A03629">
        <w:t xml:space="preserve"> </w:t>
      </w:r>
      <w:r>
        <w:t>entities</w:t>
      </w:r>
      <w:r w:rsidR="00A03629">
        <w:t xml:space="preserve"> </w:t>
      </w:r>
      <w:r>
        <w:t>and</w:t>
      </w:r>
      <w:r w:rsidR="00A03629">
        <w:t xml:space="preserve"> </w:t>
      </w:r>
      <w:r>
        <w:t>assessed</w:t>
      </w:r>
      <w:r w:rsidR="00A03629">
        <w:t xml:space="preserve"> </w:t>
      </w:r>
      <w:r>
        <w:t>as</w:t>
      </w:r>
      <w:r w:rsidR="00A03629">
        <w:t xml:space="preserve"> </w:t>
      </w:r>
      <w:r>
        <w:t>low</w:t>
      </w:r>
      <w:r w:rsidR="00A03629">
        <w:t xml:space="preserve"> </w:t>
      </w:r>
      <w:r>
        <w:t>credit</w:t>
      </w:r>
      <w:r w:rsidR="00A03629">
        <w:t xml:space="preserve"> </w:t>
      </w:r>
      <w:r>
        <w:t>risk</w:t>
      </w:r>
      <w:r w:rsidR="00A03629">
        <w:t xml:space="preserve"> </w:t>
      </w:r>
      <w:r>
        <w:t>entities.</w:t>
      </w:r>
    </w:p>
    <w:tbl>
      <w:tblPr>
        <w:tblStyle w:val="TableGrid"/>
        <w:tblW w:w="10343" w:type="dxa"/>
        <w:tblLayout w:type="fixed"/>
        <w:tblLook w:val="0020" w:firstRow="1" w:lastRow="0" w:firstColumn="0" w:lastColumn="0" w:noHBand="0" w:noVBand="0"/>
      </w:tblPr>
      <w:tblGrid>
        <w:gridCol w:w="3256"/>
        <w:gridCol w:w="1181"/>
        <w:gridCol w:w="1181"/>
        <w:gridCol w:w="1181"/>
        <w:gridCol w:w="1181"/>
        <w:gridCol w:w="1181"/>
        <w:gridCol w:w="1182"/>
      </w:tblGrid>
      <w:tr w:rsidR="000756EB" w:rsidRPr="00291473" w14:paraId="773CC867" w14:textId="77777777" w:rsidTr="00291473">
        <w:trPr>
          <w:cantSplit/>
        </w:trPr>
        <w:tc>
          <w:tcPr>
            <w:tcW w:w="3256" w:type="dxa"/>
          </w:tcPr>
          <w:p w14:paraId="7C538516" w14:textId="77777777" w:rsidR="000756EB" w:rsidRPr="00291473" w:rsidRDefault="000756EB" w:rsidP="00291473">
            <w:pPr>
              <w:pStyle w:val="TableColumnHeading"/>
              <w:rPr>
                <w:sz w:val="20"/>
                <w:szCs w:val="28"/>
              </w:rPr>
            </w:pPr>
            <w:bookmarkStart w:id="123" w:name="ColumnTitles_73"/>
            <w:bookmarkEnd w:id="123"/>
          </w:p>
        </w:tc>
        <w:tc>
          <w:tcPr>
            <w:tcW w:w="1181" w:type="dxa"/>
          </w:tcPr>
          <w:p w14:paraId="2B259D6C" w14:textId="6D000376" w:rsidR="000756EB" w:rsidRPr="00291473" w:rsidRDefault="004A4D88" w:rsidP="004255E9">
            <w:pPr>
              <w:pStyle w:val="TableColumnHeading"/>
              <w:jc w:val="right"/>
              <w:rPr>
                <w:sz w:val="20"/>
                <w:szCs w:val="28"/>
              </w:rPr>
            </w:pPr>
            <w:r w:rsidRPr="00291473">
              <w:rPr>
                <w:sz w:val="20"/>
                <w:szCs w:val="28"/>
              </w:rPr>
              <w:t>Current</w:t>
            </w:r>
            <w:r w:rsidR="00291473">
              <w:rPr>
                <w:sz w:val="20"/>
                <w:szCs w:val="28"/>
              </w:rPr>
              <w:t xml:space="preserve"> </w:t>
            </w:r>
            <w:r w:rsidR="00291473" w:rsidRPr="00291473">
              <w:rPr>
                <w:sz w:val="20"/>
                <w:szCs w:val="28"/>
              </w:rPr>
              <w:t>($ thousand)</w:t>
            </w:r>
          </w:p>
        </w:tc>
        <w:tc>
          <w:tcPr>
            <w:tcW w:w="1181" w:type="dxa"/>
          </w:tcPr>
          <w:p w14:paraId="5D14F899" w14:textId="61653209" w:rsidR="000756EB" w:rsidRPr="00291473" w:rsidRDefault="004A4D88" w:rsidP="004255E9">
            <w:pPr>
              <w:pStyle w:val="TableColumnHeading"/>
              <w:jc w:val="right"/>
              <w:rPr>
                <w:sz w:val="20"/>
                <w:szCs w:val="28"/>
              </w:rPr>
            </w:pPr>
            <w:r w:rsidRPr="00291473">
              <w:rPr>
                <w:sz w:val="20"/>
                <w:szCs w:val="28"/>
              </w:rPr>
              <w:t>Less</w:t>
            </w:r>
            <w:r w:rsidR="00A03629" w:rsidRPr="00291473">
              <w:rPr>
                <w:sz w:val="20"/>
                <w:szCs w:val="28"/>
              </w:rPr>
              <w:t xml:space="preserve"> </w:t>
            </w:r>
            <w:r w:rsidRPr="00291473">
              <w:rPr>
                <w:sz w:val="20"/>
                <w:szCs w:val="28"/>
              </w:rPr>
              <w:t>than</w:t>
            </w:r>
            <w:r w:rsidR="00A03629" w:rsidRPr="00291473">
              <w:rPr>
                <w:sz w:val="20"/>
                <w:szCs w:val="28"/>
              </w:rPr>
              <w:t xml:space="preserve"> </w:t>
            </w:r>
            <w:r w:rsidRPr="00291473">
              <w:rPr>
                <w:sz w:val="20"/>
                <w:szCs w:val="28"/>
              </w:rPr>
              <w:t>1</w:t>
            </w:r>
            <w:r w:rsidR="00A03629" w:rsidRPr="00291473">
              <w:rPr>
                <w:sz w:val="20"/>
                <w:szCs w:val="28"/>
              </w:rPr>
              <w:t xml:space="preserve"> </w:t>
            </w:r>
            <w:r w:rsidRPr="00291473">
              <w:rPr>
                <w:sz w:val="20"/>
                <w:szCs w:val="28"/>
              </w:rPr>
              <w:t>month</w:t>
            </w:r>
            <w:r w:rsidR="00291473">
              <w:rPr>
                <w:sz w:val="20"/>
                <w:szCs w:val="28"/>
              </w:rPr>
              <w:t xml:space="preserve"> </w:t>
            </w:r>
            <w:r w:rsidR="00291473" w:rsidRPr="00291473">
              <w:rPr>
                <w:sz w:val="20"/>
                <w:szCs w:val="28"/>
              </w:rPr>
              <w:t>($ thousand)</w:t>
            </w:r>
          </w:p>
        </w:tc>
        <w:tc>
          <w:tcPr>
            <w:tcW w:w="1181" w:type="dxa"/>
          </w:tcPr>
          <w:p w14:paraId="0891E08C" w14:textId="2F846C62" w:rsidR="000756EB" w:rsidRPr="00291473" w:rsidRDefault="004A4D88" w:rsidP="004255E9">
            <w:pPr>
              <w:pStyle w:val="TableColumnHeading"/>
              <w:jc w:val="right"/>
              <w:rPr>
                <w:sz w:val="20"/>
                <w:szCs w:val="28"/>
              </w:rPr>
            </w:pPr>
            <w:r w:rsidRPr="00291473">
              <w:rPr>
                <w:sz w:val="20"/>
                <w:szCs w:val="28"/>
              </w:rPr>
              <w:t>1–3</w:t>
            </w:r>
            <w:r w:rsidR="00A03629" w:rsidRPr="00291473">
              <w:rPr>
                <w:sz w:val="20"/>
                <w:szCs w:val="28"/>
              </w:rPr>
              <w:t xml:space="preserve"> </w:t>
            </w:r>
            <w:r w:rsidRPr="00291473">
              <w:rPr>
                <w:sz w:val="20"/>
                <w:szCs w:val="28"/>
              </w:rPr>
              <w:t>months</w:t>
            </w:r>
            <w:r w:rsidR="00291473">
              <w:rPr>
                <w:sz w:val="20"/>
                <w:szCs w:val="28"/>
              </w:rPr>
              <w:t xml:space="preserve"> </w:t>
            </w:r>
            <w:r w:rsidR="00291473" w:rsidRPr="00291473">
              <w:rPr>
                <w:sz w:val="20"/>
                <w:szCs w:val="28"/>
              </w:rPr>
              <w:t>($ thousand)</w:t>
            </w:r>
          </w:p>
        </w:tc>
        <w:tc>
          <w:tcPr>
            <w:tcW w:w="1181" w:type="dxa"/>
          </w:tcPr>
          <w:p w14:paraId="5F6021F7" w14:textId="0406CA73" w:rsidR="000756EB" w:rsidRPr="00291473" w:rsidRDefault="004A4D88" w:rsidP="004255E9">
            <w:pPr>
              <w:pStyle w:val="TableColumnHeading"/>
              <w:jc w:val="right"/>
              <w:rPr>
                <w:sz w:val="20"/>
                <w:szCs w:val="28"/>
              </w:rPr>
            </w:pPr>
            <w:r w:rsidRPr="00291473">
              <w:rPr>
                <w:sz w:val="20"/>
                <w:szCs w:val="28"/>
              </w:rPr>
              <w:t>3</w:t>
            </w:r>
            <w:r w:rsidR="00A03629" w:rsidRPr="00291473">
              <w:rPr>
                <w:sz w:val="20"/>
                <w:szCs w:val="28"/>
              </w:rPr>
              <w:t xml:space="preserve"> </w:t>
            </w:r>
            <w:r w:rsidRPr="00291473">
              <w:rPr>
                <w:sz w:val="20"/>
                <w:szCs w:val="28"/>
              </w:rPr>
              <w:t>months</w:t>
            </w:r>
            <w:r w:rsidR="00291473">
              <w:rPr>
                <w:sz w:val="20"/>
                <w:szCs w:val="28"/>
              </w:rPr>
              <w:t xml:space="preserve"> </w:t>
            </w:r>
            <w:r w:rsidRPr="00291473">
              <w:rPr>
                <w:sz w:val="20"/>
                <w:szCs w:val="28"/>
              </w:rPr>
              <w:t>–</w:t>
            </w:r>
            <w:r w:rsidR="00A03629" w:rsidRPr="00291473">
              <w:rPr>
                <w:sz w:val="20"/>
                <w:szCs w:val="28"/>
              </w:rPr>
              <w:t xml:space="preserve"> </w:t>
            </w:r>
            <w:r w:rsidRPr="00291473">
              <w:rPr>
                <w:sz w:val="20"/>
                <w:szCs w:val="28"/>
              </w:rPr>
              <w:t>1</w:t>
            </w:r>
            <w:r w:rsidR="00A03629" w:rsidRPr="00291473">
              <w:rPr>
                <w:sz w:val="20"/>
                <w:szCs w:val="28"/>
              </w:rPr>
              <w:t xml:space="preserve"> </w:t>
            </w:r>
            <w:r w:rsidRPr="00291473">
              <w:rPr>
                <w:sz w:val="20"/>
                <w:szCs w:val="28"/>
              </w:rPr>
              <w:t>year</w:t>
            </w:r>
            <w:r w:rsidR="00291473">
              <w:rPr>
                <w:sz w:val="20"/>
                <w:szCs w:val="28"/>
              </w:rPr>
              <w:t xml:space="preserve"> </w:t>
            </w:r>
            <w:r w:rsidR="00291473" w:rsidRPr="00291473">
              <w:rPr>
                <w:sz w:val="20"/>
                <w:szCs w:val="28"/>
              </w:rPr>
              <w:t>($ thousand)</w:t>
            </w:r>
          </w:p>
        </w:tc>
        <w:tc>
          <w:tcPr>
            <w:tcW w:w="1181" w:type="dxa"/>
          </w:tcPr>
          <w:p w14:paraId="0603E909" w14:textId="3FD430F7" w:rsidR="000756EB" w:rsidRPr="00291473" w:rsidRDefault="004A4D88" w:rsidP="004255E9">
            <w:pPr>
              <w:pStyle w:val="TableColumnHeading"/>
              <w:jc w:val="right"/>
              <w:rPr>
                <w:sz w:val="20"/>
                <w:szCs w:val="28"/>
              </w:rPr>
            </w:pPr>
            <w:r w:rsidRPr="00291473">
              <w:rPr>
                <w:sz w:val="20"/>
                <w:szCs w:val="28"/>
              </w:rPr>
              <w:t>1–5</w:t>
            </w:r>
            <w:r w:rsidR="00A03629" w:rsidRPr="00291473">
              <w:rPr>
                <w:sz w:val="20"/>
                <w:szCs w:val="28"/>
              </w:rPr>
              <w:t xml:space="preserve"> </w:t>
            </w:r>
            <w:r w:rsidRPr="00291473">
              <w:rPr>
                <w:sz w:val="20"/>
                <w:szCs w:val="28"/>
              </w:rPr>
              <w:t>year</w:t>
            </w:r>
            <w:r w:rsidR="00291473">
              <w:rPr>
                <w:sz w:val="20"/>
                <w:szCs w:val="28"/>
              </w:rPr>
              <w:t xml:space="preserve"> </w:t>
            </w:r>
            <w:r w:rsidR="00291473" w:rsidRPr="00291473">
              <w:rPr>
                <w:sz w:val="20"/>
                <w:szCs w:val="28"/>
              </w:rPr>
              <w:t>($ thousand)</w:t>
            </w:r>
          </w:p>
        </w:tc>
        <w:tc>
          <w:tcPr>
            <w:tcW w:w="1182" w:type="dxa"/>
          </w:tcPr>
          <w:p w14:paraId="5F0FABC0" w14:textId="4D9C8F57" w:rsidR="000756EB" w:rsidRPr="00291473" w:rsidRDefault="004A4D88" w:rsidP="004255E9">
            <w:pPr>
              <w:pStyle w:val="TableColumnHeading"/>
              <w:jc w:val="right"/>
              <w:rPr>
                <w:sz w:val="20"/>
                <w:szCs w:val="28"/>
              </w:rPr>
            </w:pPr>
            <w:r w:rsidRPr="00291473">
              <w:rPr>
                <w:sz w:val="20"/>
                <w:szCs w:val="28"/>
              </w:rPr>
              <w:t>Total</w:t>
            </w:r>
            <w:r w:rsidR="00291473">
              <w:rPr>
                <w:sz w:val="20"/>
                <w:szCs w:val="28"/>
              </w:rPr>
              <w:t xml:space="preserve"> </w:t>
            </w:r>
            <w:r w:rsidR="00291473" w:rsidRPr="00291473">
              <w:rPr>
                <w:sz w:val="20"/>
                <w:szCs w:val="28"/>
              </w:rPr>
              <w:t>($ thousand)</w:t>
            </w:r>
          </w:p>
        </w:tc>
      </w:tr>
      <w:tr w:rsidR="000756EB" w:rsidRPr="00291473" w14:paraId="76041C42" w14:textId="77777777" w:rsidTr="00291473">
        <w:trPr>
          <w:cantSplit/>
        </w:trPr>
        <w:tc>
          <w:tcPr>
            <w:tcW w:w="3256" w:type="dxa"/>
          </w:tcPr>
          <w:p w14:paraId="71E10795" w14:textId="78F8592B" w:rsidR="000756EB" w:rsidRPr="00291473" w:rsidRDefault="004A4D88" w:rsidP="00291473">
            <w:pPr>
              <w:pStyle w:val="TableHeading"/>
              <w:rPr>
                <w:rFonts w:asciiTheme="minorHAnsi" w:hAnsiTheme="minorHAnsi" w:cstheme="minorHAnsi"/>
              </w:rPr>
            </w:pPr>
            <w:r w:rsidRPr="00291473">
              <w:rPr>
                <w:rFonts w:asciiTheme="minorHAnsi" w:hAnsiTheme="minorHAnsi" w:cstheme="minorHAnsi"/>
              </w:rPr>
              <w:t>30</w:t>
            </w:r>
            <w:r w:rsidR="00A03629" w:rsidRPr="00291473">
              <w:rPr>
                <w:rFonts w:asciiTheme="minorHAnsi" w:hAnsiTheme="minorHAnsi" w:cstheme="minorHAnsi"/>
              </w:rPr>
              <w:t xml:space="preserve"> </w:t>
            </w:r>
            <w:r w:rsidRPr="00291473">
              <w:rPr>
                <w:rFonts w:asciiTheme="minorHAnsi" w:hAnsiTheme="minorHAnsi" w:cstheme="minorHAnsi"/>
              </w:rPr>
              <w:t>June</w:t>
            </w:r>
            <w:r w:rsidR="00A03629" w:rsidRPr="00291473">
              <w:rPr>
                <w:rFonts w:asciiTheme="minorHAnsi" w:hAnsiTheme="minorHAnsi" w:cstheme="minorHAnsi"/>
              </w:rPr>
              <w:t xml:space="preserve"> </w:t>
            </w:r>
            <w:r w:rsidRPr="00291473">
              <w:rPr>
                <w:rFonts w:asciiTheme="minorHAnsi" w:hAnsiTheme="minorHAnsi" w:cstheme="minorHAnsi"/>
              </w:rPr>
              <w:t>2023</w:t>
            </w:r>
          </w:p>
        </w:tc>
        <w:tc>
          <w:tcPr>
            <w:tcW w:w="1181" w:type="dxa"/>
          </w:tcPr>
          <w:p w14:paraId="60ECDC2F" w14:textId="77777777" w:rsidR="000756EB" w:rsidRPr="00291473" w:rsidRDefault="000756EB" w:rsidP="004255E9">
            <w:pPr>
              <w:pStyle w:val="TableHeading"/>
              <w:jc w:val="right"/>
              <w:rPr>
                <w:rFonts w:asciiTheme="minorHAnsi" w:hAnsiTheme="minorHAnsi" w:cstheme="minorHAnsi"/>
                <w:lang w:val="en-AU"/>
              </w:rPr>
            </w:pPr>
          </w:p>
        </w:tc>
        <w:tc>
          <w:tcPr>
            <w:tcW w:w="1181" w:type="dxa"/>
          </w:tcPr>
          <w:p w14:paraId="79C7D70E" w14:textId="77777777" w:rsidR="000756EB" w:rsidRPr="00291473" w:rsidRDefault="000756EB" w:rsidP="004255E9">
            <w:pPr>
              <w:pStyle w:val="TableHeading"/>
              <w:jc w:val="right"/>
              <w:rPr>
                <w:rFonts w:asciiTheme="minorHAnsi" w:hAnsiTheme="minorHAnsi" w:cstheme="minorHAnsi"/>
                <w:lang w:val="en-AU"/>
              </w:rPr>
            </w:pPr>
          </w:p>
        </w:tc>
        <w:tc>
          <w:tcPr>
            <w:tcW w:w="1181" w:type="dxa"/>
          </w:tcPr>
          <w:p w14:paraId="02922814" w14:textId="77777777" w:rsidR="000756EB" w:rsidRPr="00291473" w:rsidRDefault="000756EB" w:rsidP="004255E9">
            <w:pPr>
              <w:pStyle w:val="TableHeading"/>
              <w:jc w:val="right"/>
              <w:rPr>
                <w:rFonts w:asciiTheme="minorHAnsi" w:hAnsiTheme="minorHAnsi" w:cstheme="minorHAnsi"/>
                <w:lang w:val="en-AU"/>
              </w:rPr>
            </w:pPr>
          </w:p>
        </w:tc>
        <w:tc>
          <w:tcPr>
            <w:tcW w:w="1181" w:type="dxa"/>
          </w:tcPr>
          <w:p w14:paraId="3C1841A3" w14:textId="77777777" w:rsidR="000756EB" w:rsidRPr="00291473" w:rsidRDefault="000756EB" w:rsidP="004255E9">
            <w:pPr>
              <w:pStyle w:val="TableHeading"/>
              <w:jc w:val="right"/>
              <w:rPr>
                <w:rFonts w:asciiTheme="minorHAnsi" w:hAnsiTheme="minorHAnsi" w:cstheme="minorHAnsi"/>
                <w:lang w:val="en-AU"/>
              </w:rPr>
            </w:pPr>
          </w:p>
        </w:tc>
        <w:tc>
          <w:tcPr>
            <w:tcW w:w="1181" w:type="dxa"/>
          </w:tcPr>
          <w:p w14:paraId="099AD0CE" w14:textId="77777777" w:rsidR="000756EB" w:rsidRPr="00291473" w:rsidRDefault="000756EB" w:rsidP="004255E9">
            <w:pPr>
              <w:pStyle w:val="TableHeading"/>
              <w:jc w:val="right"/>
              <w:rPr>
                <w:rFonts w:asciiTheme="minorHAnsi" w:hAnsiTheme="minorHAnsi" w:cstheme="minorHAnsi"/>
                <w:lang w:val="en-AU"/>
              </w:rPr>
            </w:pPr>
          </w:p>
        </w:tc>
        <w:tc>
          <w:tcPr>
            <w:tcW w:w="1182" w:type="dxa"/>
          </w:tcPr>
          <w:p w14:paraId="13491700" w14:textId="77777777" w:rsidR="000756EB" w:rsidRPr="00291473" w:rsidRDefault="000756EB" w:rsidP="004255E9">
            <w:pPr>
              <w:pStyle w:val="TableHeading"/>
              <w:jc w:val="right"/>
              <w:rPr>
                <w:rFonts w:asciiTheme="minorHAnsi" w:hAnsiTheme="minorHAnsi" w:cstheme="minorHAnsi"/>
                <w:lang w:val="en-AU"/>
              </w:rPr>
            </w:pPr>
          </w:p>
        </w:tc>
      </w:tr>
      <w:tr w:rsidR="000756EB" w14:paraId="676C08DE" w14:textId="77777777" w:rsidTr="00291473">
        <w:trPr>
          <w:cantSplit/>
        </w:trPr>
        <w:tc>
          <w:tcPr>
            <w:tcW w:w="3256" w:type="dxa"/>
          </w:tcPr>
          <w:p w14:paraId="16BD1833" w14:textId="62168E8A" w:rsidR="000756EB" w:rsidRDefault="004A4D88" w:rsidP="00291473">
            <w:pPr>
              <w:pStyle w:val="TableCopy"/>
            </w:pPr>
            <w:r>
              <w:t>Loss</w:t>
            </w:r>
            <w:r w:rsidR="00A03629">
              <w:t xml:space="preserve"> </w:t>
            </w:r>
            <w:r>
              <w:t>allowance</w:t>
            </w:r>
            <w:r w:rsidR="00A03629">
              <w:t xml:space="preserve"> </w:t>
            </w:r>
            <w:r>
              <w:t>(%)</w:t>
            </w:r>
          </w:p>
        </w:tc>
        <w:tc>
          <w:tcPr>
            <w:tcW w:w="1181" w:type="dxa"/>
          </w:tcPr>
          <w:p w14:paraId="6F5618B1" w14:textId="3CA8B330" w:rsidR="000756EB" w:rsidRDefault="004A4D88" w:rsidP="004255E9">
            <w:pPr>
              <w:pStyle w:val="TableCopy"/>
              <w:jc w:val="right"/>
            </w:pPr>
            <w:r>
              <w:t>–</w:t>
            </w:r>
          </w:p>
        </w:tc>
        <w:tc>
          <w:tcPr>
            <w:tcW w:w="1181" w:type="dxa"/>
          </w:tcPr>
          <w:p w14:paraId="54FE3908" w14:textId="213BC665" w:rsidR="000756EB" w:rsidRDefault="004A4D88" w:rsidP="004255E9">
            <w:pPr>
              <w:pStyle w:val="TableCopy"/>
              <w:jc w:val="right"/>
            </w:pPr>
            <w:r>
              <w:t>–</w:t>
            </w:r>
          </w:p>
        </w:tc>
        <w:tc>
          <w:tcPr>
            <w:tcW w:w="1181" w:type="dxa"/>
          </w:tcPr>
          <w:p w14:paraId="37DED620" w14:textId="0AEAC1F5" w:rsidR="000756EB" w:rsidRDefault="004A4D88" w:rsidP="004255E9">
            <w:pPr>
              <w:pStyle w:val="TableCopy"/>
              <w:jc w:val="right"/>
            </w:pPr>
            <w:r>
              <w:t>–</w:t>
            </w:r>
          </w:p>
        </w:tc>
        <w:tc>
          <w:tcPr>
            <w:tcW w:w="1181" w:type="dxa"/>
          </w:tcPr>
          <w:p w14:paraId="7AC96AE1" w14:textId="352159E6" w:rsidR="000756EB" w:rsidRDefault="004A4D88" w:rsidP="004255E9">
            <w:pPr>
              <w:pStyle w:val="TableCopy"/>
              <w:jc w:val="right"/>
            </w:pPr>
            <w:r>
              <w:t>–</w:t>
            </w:r>
          </w:p>
        </w:tc>
        <w:tc>
          <w:tcPr>
            <w:tcW w:w="1181" w:type="dxa"/>
          </w:tcPr>
          <w:p w14:paraId="1C16311A" w14:textId="77777777" w:rsidR="000756EB" w:rsidRDefault="004A4D88" w:rsidP="004255E9">
            <w:pPr>
              <w:pStyle w:val="TableCopy"/>
              <w:jc w:val="right"/>
            </w:pPr>
            <w:r>
              <w:t>63.3%</w:t>
            </w:r>
          </w:p>
        </w:tc>
        <w:tc>
          <w:tcPr>
            <w:tcW w:w="1182" w:type="dxa"/>
          </w:tcPr>
          <w:p w14:paraId="1A667390" w14:textId="77777777" w:rsidR="000756EB" w:rsidRDefault="004A4D88" w:rsidP="004255E9">
            <w:pPr>
              <w:pStyle w:val="TableCopy"/>
              <w:jc w:val="right"/>
            </w:pPr>
            <w:r>
              <w:t>21.4%</w:t>
            </w:r>
          </w:p>
        </w:tc>
      </w:tr>
      <w:tr w:rsidR="000756EB" w14:paraId="3B0F572D" w14:textId="77777777" w:rsidTr="00291473">
        <w:trPr>
          <w:cantSplit/>
        </w:trPr>
        <w:tc>
          <w:tcPr>
            <w:tcW w:w="3256" w:type="dxa"/>
          </w:tcPr>
          <w:p w14:paraId="369D1746" w14:textId="4291AB40" w:rsidR="000756EB" w:rsidRDefault="004A4D88" w:rsidP="00291473">
            <w:pPr>
              <w:pStyle w:val="TableCopy"/>
            </w:pPr>
            <w:r>
              <w:t>Gross</w:t>
            </w:r>
            <w:r w:rsidR="00A03629">
              <w:t xml:space="preserve"> </w:t>
            </w:r>
            <w:r>
              <w:t>carrying</w:t>
            </w:r>
            <w:r w:rsidR="00A03629">
              <w:t xml:space="preserve"> </w:t>
            </w:r>
            <w:proofErr w:type="gramStart"/>
            <w:r>
              <w:t>amount</w:t>
            </w:r>
            <w:proofErr w:type="gramEnd"/>
            <w:r w:rsidR="00A03629">
              <w:t xml:space="preserve"> </w:t>
            </w:r>
            <w:r>
              <w:t>of</w:t>
            </w:r>
            <w:r w:rsidR="00A03629">
              <w:t xml:space="preserve"> </w:t>
            </w:r>
            <w:r>
              <w:t>contractual</w:t>
            </w:r>
            <w:r w:rsidR="00A03629">
              <w:t xml:space="preserve"> </w:t>
            </w:r>
            <w:r>
              <w:t>receivables</w:t>
            </w:r>
          </w:p>
        </w:tc>
        <w:tc>
          <w:tcPr>
            <w:tcW w:w="1181" w:type="dxa"/>
          </w:tcPr>
          <w:p w14:paraId="43929E1D" w14:textId="3B45243F" w:rsidR="000756EB" w:rsidRDefault="004A4D88" w:rsidP="004255E9">
            <w:pPr>
              <w:pStyle w:val="TableCopy"/>
              <w:jc w:val="right"/>
            </w:pPr>
            <w:r>
              <w:t>40,464</w:t>
            </w:r>
          </w:p>
        </w:tc>
        <w:tc>
          <w:tcPr>
            <w:tcW w:w="1181" w:type="dxa"/>
          </w:tcPr>
          <w:p w14:paraId="6AC89586" w14:textId="32DE4E73" w:rsidR="000756EB" w:rsidRDefault="004A4D88" w:rsidP="004255E9">
            <w:pPr>
              <w:pStyle w:val="TableCopy"/>
              <w:jc w:val="right"/>
            </w:pPr>
            <w:r>
              <w:t>50,398</w:t>
            </w:r>
          </w:p>
        </w:tc>
        <w:tc>
          <w:tcPr>
            <w:tcW w:w="1181" w:type="dxa"/>
          </w:tcPr>
          <w:p w14:paraId="2C1D3176" w14:textId="2C7FB306" w:rsidR="000756EB" w:rsidRDefault="004A4D88" w:rsidP="004255E9">
            <w:pPr>
              <w:pStyle w:val="TableCopy"/>
              <w:jc w:val="right"/>
            </w:pPr>
            <w:r>
              <w:t>41,667</w:t>
            </w:r>
          </w:p>
        </w:tc>
        <w:tc>
          <w:tcPr>
            <w:tcW w:w="1181" w:type="dxa"/>
          </w:tcPr>
          <w:p w14:paraId="76FF5867" w14:textId="3A7604D7" w:rsidR="000756EB" w:rsidRDefault="004A4D88" w:rsidP="004255E9">
            <w:pPr>
              <w:pStyle w:val="TableCopy"/>
              <w:jc w:val="right"/>
            </w:pPr>
            <w:r>
              <w:t>57,293</w:t>
            </w:r>
          </w:p>
        </w:tc>
        <w:tc>
          <w:tcPr>
            <w:tcW w:w="1181" w:type="dxa"/>
          </w:tcPr>
          <w:p w14:paraId="3CEF4DC5" w14:textId="2BD94770" w:rsidR="000756EB" w:rsidRDefault="004A4D88" w:rsidP="004255E9">
            <w:pPr>
              <w:pStyle w:val="TableCopy"/>
              <w:jc w:val="right"/>
            </w:pPr>
            <w:r>
              <w:t>96,728</w:t>
            </w:r>
          </w:p>
        </w:tc>
        <w:tc>
          <w:tcPr>
            <w:tcW w:w="1182" w:type="dxa"/>
          </w:tcPr>
          <w:p w14:paraId="43875D33" w14:textId="499651A7" w:rsidR="000756EB" w:rsidRDefault="004A4D88" w:rsidP="004255E9">
            <w:pPr>
              <w:pStyle w:val="TableCopy"/>
              <w:jc w:val="right"/>
            </w:pPr>
            <w:r>
              <w:t>286,550</w:t>
            </w:r>
          </w:p>
        </w:tc>
      </w:tr>
      <w:tr w:rsidR="000756EB" w14:paraId="43BE3541" w14:textId="77777777" w:rsidTr="00291473">
        <w:trPr>
          <w:cantSplit/>
        </w:trPr>
        <w:tc>
          <w:tcPr>
            <w:tcW w:w="3256" w:type="dxa"/>
          </w:tcPr>
          <w:p w14:paraId="56903788" w14:textId="63D326F1" w:rsidR="000756EB" w:rsidRDefault="004A4D88" w:rsidP="00291473">
            <w:pPr>
              <w:pStyle w:val="TableCopy"/>
            </w:pPr>
            <w:r>
              <w:t>Loss</w:t>
            </w:r>
            <w:r w:rsidR="00A03629">
              <w:t xml:space="preserve"> </w:t>
            </w:r>
            <w:r>
              <w:t>allowance</w:t>
            </w:r>
          </w:p>
        </w:tc>
        <w:tc>
          <w:tcPr>
            <w:tcW w:w="1181" w:type="dxa"/>
          </w:tcPr>
          <w:p w14:paraId="75AF429B" w14:textId="4834578B" w:rsidR="000756EB" w:rsidRDefault="004A4D88" w:rsidP="004255E9">
            <w:pPr>
              <w:pStyle w:val="TableCopy"/>
              <w:jc w:val="right"/>
            </w:pPr>
            <w:r>
              <w:t>–</w:t>
            </w:r>
          </w:p>
        </w:tc>
        <w:tc>
          <w:tcPr>
            <w:tcW w:w="1181" w:type="dxa"/>
          </w:tcPr>
          <w:p w14:paraId="5F9B2B38" w14:textId="34DC15A6" w:rsidR="000756EB" w:rsidRDefault="004A4D88" w:rsidP="004255E9">
            <w:pPr>
              <w:pStyle w:val="TableCopy"/>
              <w:jc w:val="right"/>
            </w:pPr>
            <w:r>
              <w:t>–</w:t>
            </w:r>
          </w:p>
        </w:tc>
        <w:tc>
          <w:tcPr>
            <w:tcW w:w="1181" w:type="dxa"/>
          </w:tcPr>
          <w:p w14:paraId="5ED5E75F" w14:textId="357D30F9" w:rsidR="000756EB" w:rsidRDefault="004A4D88" w:rsidP="004255E9">
            <w:pPr>
              <w:pStyle w:val="TableCopy"/>
              <w:jc w:val="right"/>
            </w:pPr>
            <w:r>
              <w:t>–</w:t>
            </w:r>
          </w:p>
        </w:tc>
        <w:tc>
          <w:tcPr>
            <w:tcW w:w="1181" w:type="dxa"/>
          </w:tcPr>
          <w:p w14:paraId="4F1A1428" w14:textId="28038168" w:rsidR="000756EB" w:rsidRDefault="004A4D88" w:rsidP="004255E9">
            <w:pPr>
              <w:pStyle w:val="TableCopy"/>
              <w:jc w:val="right"/>
            </w:pPr>
            <w:r>
              <w:t>–</w:t>
            </w:r>
          </w:p>
        </w:tc>
        <w:tc>
          <w:tcPr>
            <w:tcW w:w="1181" w:type="dxa"/>
          </w:tcPr>
          <w:p w14:paraId="36842AE8" w14:textId="6B245620" w:rsidR="000756EB" w:rsidRDefault="004A4D88" w:rsidP="004255E9">
            <w:pPr>
              <w:pStyle w:val="TableCopy"/>
              <w:jc w:val="right"/>
            </w:pPr>
            <w:r>
              <w:t>61,203</w:t>
            </w:r>
          </w:p>
        </w:tc>
        <w:tc>
          <w:tcPr>
            <w:tcW w:w="1182" w:type="dxa"/>
          </w:tcPr>
          <w:p w14:paraId="076EE119" w14:textId="2D0DD257" w:rsidR="000756EB" w:rsidRDefault="004A4D88" w:rsidP="004255E9">
            <w:pPr>
              <w:pStyle w:val="TableCopy"/>
              <w:jc w:val="right"/>
            </w:pPr>
            <w:r>
              <w:t>61,203</w:t>
            </w:r>
          </w:p>
        </w:tc>
      </w:tr>
      <w:tr w:rsidR="000756EB" w:rsidRPr="00291473" w14:paraId="3C1CF580" w14:textId="77777777" w:rsidTr="00291473">
        <w:trPr>
          <w:cantSplit/>
        </w:trPr>
        <w:tc>
          <w:tcPr>
            <w:tcW w:w="3256" w:type="dxa"/>
          </w:tcPr>
          <w:p w14:paraId="245EEC6F" w14:textId="49A27CB5" w:rsidR="000756EB" w:rsidRPr="00291473" w:rsidRDefault="004A4D88" w:rsidP="00291473">
            <w:pPr>
              <w:pStyle w:val="TableHeading"/>
              <w:rPr>
                <w:rFonts w:asciiTheme="minorHAnsi" w:hAnsiTheme="minorHAnsi" w:cstheme="minorHAnsi"/>
              </w:rPr>
            </w:pPr>
            <w:r w:rsidRPr="00291473">
              <w:rPr>
                <w:rFonts w:asciiTheme="minorHAnsi" w:hAnsiTheme="minorHAnsi" w:cstheme="minorHAnsi"/>
              </w:rPr>
              <w:t>30</w:t>
            </w:r>
            <w:r w:rsidR="00A03629" w:rsidRPr="00291473">
              <w:rPr>
                <w:rFonts w:asciiTheme="minorHAnsi" w:hAnsiTheme="minorHAnsi" w:cstheme="minorHAnsi"/>
              </w:rPr>
              <w:t xml:space="preserve"> </w:t>
            </w:r>
            <w:r w:rsidRPr="00291473">
              <w:rPr>
                <w:rFonts w:asciiTheme="minorHAnsi" w:hAnsiTheme="minorHAnsi" w:cstheme="minorHAnsi"/>
              </w:rPr>
              <w:t>June</w:t>
            </w:r>
            <w:r w:rsidR="00A03629" w:rsidRPr="00291473">
              <w:rPr>
                <w:rFonts w:asciiTheme="minorHAnsi" w:hAnsiTheme="minorHAnsi" w:cstheme="minorHAnsi"/>
              </w:rPr>
              <w:t xml:space="preserve"> </w:t>
            </w:r>
            <w:r w:rsidRPr="00291473">
              <w:rPr>
                <w:rFonts w:asciiTheme="minorHAnsi" w:hAnsiTheme="minorHAnsi" w:cstheme="minorHAnsi"/>
              </w:rPr>
              <w:t>2022</w:t>
            </w:r>
          </w:p>
        </w:tc>
        <w:tc>
          <w:tcPr>
            <w:tcW w:w="1181" w:type="dxa"/>
          </w:tcPr>
          <w:p w14:paraId="68A136D0" w14:textId="77777777" w:rsidR="000756EB" w:rsidRPr="00291473" w:rsidRDefault="000756EB" w:rsidP="004255E9">
            <w:pPr>
              <w:pStyle w:val="TableHeading"/>
              <w:jc w:val="right"/>
              <w:rPr>
                <w:rFonts w:asciiTheme="minorHAnsi" w:hAnsiTheme="minorHAnsi" w:cstheme="minorHAnsi"/>
                <w:lang w:val="en-AU"/>
              </w:rPr>
            </w:pPr>
          </w:p>
        </w:tc>
        <w:tc>
          <w:tcPr>
            <w:tcW w:w="1181" w:type="dxa"/>
          </w:tcPr>
          <w:p w14:paraId="0BC0B743" w14:textId="77777777" w:rsidR="000756EB" w:rsidRPr="00291473" w:rsidRDefault="000756EB" w:rsidP="004255E9">
            <w:pPr>
              <w:pStyle w:val="TableHeading"/>
              <w:jc w:val="right"/>
              <w:rPr>
                <w:rFonts w:asciiTheme="minorHAnsi" w:hAnsiTheme="minorHAnsi" w:cstheme="minorHAnsi"/>
                <w:lang w:val="en-AU"/>
              </w:rPr>
            </w:pPr>
          </w:p>
        </w:tc>
        <w:tc>
          <w:tcPr>
            <w:tcW w:w="1181" w:type="dxa"/>
          </w:tcPr>
          <w:p w14:paraId="7B4335D1" w14:textId="77777777" w:rsidR="000756EB" w:rsidRPr="00291473" w:rsidRDefault="000756EB" w:rsidP="004255E9">
            <w:pPr>
              <w:pStyle w:val="TableHeading"/>
              <w:jc w:val="right"/>
              <w:rPr>
                <w:rFonts w:asciiTheme="minorHAnsi" w:hAnsiTheme="minorHAnsi" w:cstheme="minorHAnsi"/>
                <w:lang w:val="en-AU"/>
              </w:rPr>
            </w:pPr>
          </w:p>
        </w:tc>
        <w:tc>
          <w:tcPr>
            <w:tcW w:w="1181" w:type="dxa"/>
          </w:tcPr>
          <w:p w14:paraId="5C7480C5" w14:textId="77777777" w:rsidR="000756EB" w:rsidRPr="00291473" w:rsidRDefault="000756EB" w:rsidP="004255E9">
            <w:pPr>
              <w:pStyle w:val="TableHeading"/>
              <w:jc w:val="right"/>
              <w:rPr>
                <w:rFonts w:asciiTheme="minorHAnsi" w:hAnsiTheme="minorHAnsi" w:cstheme="minorHAnsi"/>
                <w:lang w:val="en-AU"/>
              </w:rPr>
            </w:pPr>
          </w:p>
        </w:tc>
        <w:tc>
          <w:tcPr>
            <w:tcW w:w="1181" w:type="dxa"/>
          </w:tcPr>
          <w:p w14:paraId="7C7CEA7E" w14:textId="77777777" w:rsidR="000756EB" w:rsidRPr="00291473" w:rsidRDefault="000756EB" w:rsidP="004255E9">
            <w:pPr>
              <w:pStyle w:val="TableHeading"/>
              <w:jc w:val="right"/>
              <w:rPr>
                <w:rFonts w:asciiTheme="minorHAnsi" w:hAnsiTheme="minorHAnsi" w:cstheme="minorHAnsi"/>
                <w:lang w:val="en-AU"/>
              </w:rPr>
            </w:pPr>
          </w:p>
        </w:tc>
        <w:tc>
          <w:tcPr>
            <w:tcW w:w="1182" w:type="dxa"/>
          </w:tcPr>
          <w:p w14:paraId="5F3CD750" w14:textId="77777777" w:rsidR="000756EB" w:rsidRPr="00291473" w:rsidRDefault="000756EB" w:rsidP="004255E9">
            <w:pPr>
              <w:pStyle w:val="TableHeading"/>
              <w:jc w:val="right"/>
              <w:rPr>
                <w:rFonts w:asciiTheme="minorHAnsi" w:hAnsiTheme="minorHAnsi" w:cstheme="minorHAnsi"/>
                <w:lang w:val="en-AU"/>
              </w:rPr>
            </w:pPr>
          </w:p>
        </w:tc>
      </w:tr>
      <w:tr w:rsidR="000756EB" w14:paraId="3DA97EF6" w14:textId="77777777" w:rsidTr="00291473">
        <w:trPr>
          <w:cantSplit/>
        </w:trPr>
        <w:tc>
          <w:tcPr>
            <w:tcW w:w="3256" w:type="dxa"/>
          </w:tcPr>
          <w:p w14:paraId="3E02F662" w14:textId="24A711B5" w:rsidR="000756EB" w:rsidRDefault="004A4D88" w:rsidP="00291473">
            <w:pPr>
              <w:pStyle w:val="TableCopy"/>
            </w:pPr>
            <w:r>
              <w:t>Loss</w:t>
            </w:r>
            <w:r w:rsidR="00A03629">
              <w:t xml:space="preserve"> </w:t>
            </w:r>
            <w:r>
              <w:t>allowance</w:t>
            </w:r>
            <w:r w:rsidR="00A03629">
              <w:t xml:space="preserve"> </w:t>
            </w:r>
            <w:r>
              <w:t>(%)</w:t>
            </w:r>
          </w:p>
        </w:tc>
        <w:tc>
          <w:tcPr>
            <w:tcW w:w="1181" w:type="dxa"/>
          </w:tcPr>
          <w:p w14:paraId="12B2E100" w14:textId="0A4120F0" w:rsidR="000756EB" w:rsidRDefault="004A4D88" w:rsidP="004255E9">
            <w:pPr>
              <w:pStyle w:val="TableCopy"/>
              <w:jc w:val="right"/>
            </w:pPr>
            <w:r>
              <w:t>–</w:t>
            </w:r>
          </w:p>
        </w:tc>
        <w:tc>
          <w:tcPr>
            <w:tcW w:w="1181" w:type="dxa"/>
          </w:tcPr>
          <w:p w14:paraId="736E76D8" w14:textId="77777777" w:rsidR="000756EB" w:rsidRDefault="004A4D88" w:rsidP="004255E9">
            <w:pPr>
              <w:pStyle w:val="TableCopy"/>
              <w:jc w:val="right"/>
            </w:pPr>
            <w:r>
              <w:t>67.5%</w:t>
            </w:r>
          </w:p>
        </w:tc>
        <w:tc>
          <w:tcPr>
            <w:tcW w:w="1181" w:type="dxa"/>
          </w:tcPr>
          <w:p w14:paraId="6FD21EFF" w14:textId="38649B53" w:rsidR="000756EB" w:rsidRDefault="004A4D88" w:rsidP="004255E9">
            <w:pPr>
              <w:pStyle w:val="TableCopy"/>
              <w:jc w:val="right"/>
            </w:pPr>
            <w:r>
              <w:t>–</w:t>
            </w:r>
          </w:p>
        </w:tc>
        <w:tc>
          <w:tcPr>
            <w:tcW w:w="1181" w:type="dxa"/>
          </w:tcPr>
          <w:p w14:paraId="6AFC1771" w14:textId="66601D0C" w:rsidR="000756EB" w:rsidRDefault="004A4D88" w:rsidP="004255E9">
            <w:pPr>
              <w:pStyle w:val="TableCopy"/>
              <w:jc w:val="right"/>
            </w:pPr>
            <w:r>
              <w:t>–</w:t>
            </w:r>
          </w:p>
        </w:tc>
        <w:tc>
          <w:tcPr>
            <w:tcW w:w="1181" w:type="dxa"/>
          </w:tcPr>
          <w:p w14:paraId="641C3F29" w14:textId="77777777" w:rsidR="000756EB" w:rsidRDefault="004A4D88" w:rsidP="004255E9">
            <w:pPr>
              <w:pStyle w:val="TableCopy"/>
              <w:jc w:val="right"/>
            </w:pPr>
            <w:r>
              <w:t>0.4%</w:t>
            </w:r>
          </w:p>
        </w:tc>
        <w:tc>
          <w:tcPr>
            <w:tcW w:w="1182" w:type="dxa"/>
          </w:tcPr>
          <w:p w14:paraId="2AB00480" w14:textId="77777777" w:rsidR="000756EB" w:rsidRDefault="004A4D88" w:rsidP="004255E9">
            <w:pPr>
              <w:pStyle w:val="TableCopy"/>
              <w:jc w:val="right"/>
            </w:pPr>
            <w:r>
              <w:t>7.9%</w:t>
            </w:r>
          </w:p>
        </w:tc>
      </w:tr>
      <w:tr w:rsidR="000756EB" w:rsidRPr="00291473" w14:paraId="46B15B87" w14:textId="77777777" w:rsidTr="00291473">
        <w:trPr>
          <w:cantSplit/>
        </w:trPr>
        <w:tc>
          <w:tcPr>
            <w:tcW w:w="3256" w:type="dxa"/>
          </w:tcPr>
          <w:p w14:paraId="2A7882C1" w14:textId="33B629F1" w:rsidR="000756EB" w:rsidRPr="00291473" w:rsidRDefault="004A4D88" w:rsidP="00291473">
            <w:pPr>
              <w:pStyle w:val="TableCopy"/>
              <w:rPr>
                <w:rFonts w:asciiTheme="minorHAnsi" w:hAnsiTheme="minorHAnsi" w:cstheme="minorHAnsi"/>
              </w:rPr>
            </w:pPr>
            <w:r w:rsidRPr="00291473">
              <w:rPr>
                <w:rFonts w:asciiTheme="minorHAnsi" w:hAnsiTheme="minorHAnsi" w:cstheme="minorHAnsi"/>
              </w:rPr>
              <w:t>Gross</w:t>
            </w:r>
            <w:r w:rsidR="00A03629" w:rsidRPr="00291473">
              <w:rPr>
                <w:rFonts w:asciiTheme="minorHAnsi" w:hAnsiTheme="minorHAnsi" w:cstheme="minorHAnsi"/>
              </w:rPr>
              <w:t xml:space="preserve"> </w:t>
            </w:r>
            <w:r w:rsidRPr="00291473">
              <w:rPr>
                <w:rFonts w:asciiTheme="minorHAnsi" w:hAnsiTheme="minorHAnsi" w:cstheme="minorHAnsi"/>
              </w:rPr>
              <w:t>carrying</w:t>
            </w:r>
            <w:r w:rsidR="00A03629" w:rsidRPr="00291473">
              <w:rPr>
                <w:rFonts w:asciiTheme="minorHAnsi" w:hAnsiTheme="minorHAnsi" w:cstheme="minorHAnsi"/>
              </w:rPr>
              <w:t xml:space="preserve"> </w:t>
            </w:r>
            <w:proofErr w:type="gramStart"/>
            <w:r w:rsidRPr="00291473">
              <w:rPr>
                <w:rFonts w:asciiTheme="minorHAnsi" w:hAnsiTheme="minorHAnsi" w:cstheme="minorHAnsi"/>
              </w:rPr>
              <w:t>amount</w:t>
            </w:r>
            <w:proofErr w:type="gramEnd"/>
            <w:r w:rsidR="00A03629" w:rsidRPr="00291473">
              <w:rPr>
                <w:rFonts w:asciiTheme="minorHAnsi" w:hAnsiTheme="minorHAnsi" w:cstheme="minorHAnsi"/>
              </w:rPr>
              <w:t xml:space="preserve"> </w:t>
            </w:r>
            <w:r w:rsidRPr="00291473">
              <w:rPr>
                <w:rFonts w:asciiTheme="minorHAnsi" w:hAnsiTheme="minorHAnsi" w:cstheme="minorHAnsi"/>
              </w:rPr>
              <w:t>of</w:t>
            </w:r>
            <w:r w:rsidR="00A03629" w:rsidRPr="00291473">
              <w:rPr>
                <w:rFonts w:asciiTheme="minorHAnsi" w:hAnsiTheme="minorHAnsi" w:cstheme="minorHAnsi"/>
              </w:rPr>
              <w:t xml:space="preserve"> </w:t>
            </w:r>
            <w:r w:rsidRPr="00291473">
              <w:rPr>
                <w:rFonts w:asciiTheme="minorHAnsi" w:hAnsiTheme="minorHAnsi" w:cstheme="minorHAnsi"/>
              </w:rPr>
              <w:t>contractual</w:t>
            </w:r>
            <w:r w:rsidR="00A03629" w:rsidRPr="00291473">
              <w:rPr>
                <w:rFonts w:asciiTheme="minorHAnsi" w:hAnsiTheme="minorHAnsi" w:cstheme="minorHAnsi"/>
              </w:rPr>
              <w:t xml:space="preserve"> </w:t>
            </w:r>
            <w:r w:rsidRPr="00291473">
              <w:rPr>
                <w:rFonts w:asciiTheme="minorHAnsi" w:hAnsiTheme="minorHAnsi" w:cstheme="minorHAnsi"/>
              </w:rPr>
              <w:t>receivables</w:t>
            </w:r>
          </w:p>
        </w:tc>
        <w:tc>
          <w:tcPr>
            <w:tcW w:w="1181" w:type="dxa"/>
          </w:tcPr>
          <w:p w14:paraId="6C3CE25A" w14:textId="192C23B3" w:rsidR="000756EB" w:rsidRPr="00291473" w:rsidRDefault="004A4D88" w:rsidP="004255E9">
            <w:pPr>
              <w:pStyle w:val="TableCopy"/>
              <w:jc w:val="right"/>
              <w:rPr>
                <w:rFonts w:asciiTheme="minorHAnsi" w:hAnsiTheme="minorHAnsi" w:cstheme="minorHAnsi"/>
              </w:rPr>
            </w:pPr>
            <w:r w:rsidRPr="00291473">
              <w:rPr>
                <w:rFonts w:asciiTheme="minorHAnsi" w:hAnsiTheme="minorHAnsi" w:cstheme="minorHAnsi"/>
              </w:rPr>
              <w:t>40,209</w:t>
            </w:r>
          </w:p>
        </w:tc>
        <w:tc>
          <w:tcPr>
            <w:tcW w:w="1181" w:type="dxa"/>
          </w:tcPr>
          <w:p w14:paraId="76C49865" w14:textId="4BECDA66" w:rsidR="000756EB" w:rsidRPr="00291473" w:rsidRDefault="004A4D88" w:rsidP="004255E9">
            <w:pPr>
              <w:pStyle w:val="TableCopy"/>
              <w:jc w:val="right"/>
              <w:rPr>
                <w:rFonts w:asciiTheme="minorHAnsi" w:hAnsiTheme="minorHAnsi" w:cstheme="minorHAnsi"/>
              </w:rPr>
            </w:pPr>
            <w:r w:rsidRPr="00291473">
              <w:rPr>
                <w:rFonts w:asciiTheme="minorHAnsi" w:hAnsiTheme="minorHAnsi" w:cstheme="minorHAnsi"/>
              </w:rPr>
              <w:t>32,544</w:t>
            </w:r>
          </w:p>
        </w:tc>
        <w:tc>
          <w:tcPr>
            <w:tcW w:w="1181" w:type="dxa"/>
          </w:tcPr>
          <w:p w14:paraId="6F1744B6" w14:textId="416DE616" w:rsidR="000756EB" w:rsidRPr="00291473" w:rsidRDefault="004A4D88" w:rsidP="004255E9">
            <w:pPr>
              <w:pStyle w:val="TableCopy"/>
              <w:jc w:val="right"/>
              <w:rPr>
                <w:rFonts w:asciiTheme="minorHAnsi" w:hAnsiTheme="minorHAnsi" w:cstheme="minorHAnsi"/>
              </w:rPr>
            </w:pPr>
            <w:r w:rsidRPr="00291473">
              <w:rPr>
                <w:rFonts w:asciiTheme="minorHAnsi" w:hAnsiTheme="minorHAnsi" w:cstheme="minorHAnsi"/>
              </w:rPr>
              <w:t>2,042</w:t>
            </w:r>
          </w:p>
        </w:tc>
        <w:tc>
          <w:tcPr>
            <w:tcW w:w="1181" w:type="dxa"/>
          </w:tcPr>
          <w:p w14:paraId="6AB3FB37" w14:textId="7399AD49" w:rsidR="000756EB" w:rsidRPr="00291473" w:rsidRDefault="004A4D88" w:rsidP="004255E9">
            <w:pPr>
              <w:pStyle w:val="TableCopy"/>
              <w:jc w:val="right"/>
              <w:rPr>
                <w:rFonts w:asciiTheme="minorHAnsi" w:hAnsiTheme="minorHAnsi" w:cstheme="minorHAnsi"/>
              </w:rPr>
            </w:pPr>
            <w:r w:rsidRPr="00291473">
              <w:rPr>
                <w:rFonts w:asciiTheme="minorHAnsi" w:hAnsiTheme="minorHAnsi" w:cstheme="minorHAnsi"/>
              </w:rPr>
              <w:t>50,771</w:t>
            </w:r>
          </w:p>
        </w:tc>
        <w:tc>
          <w:tcPr>
            <w:tcW w:w="1181" w:type="dxa"/>
          </w:tcPr>
          <w:p w14:paraId="15B96BFD" w14:textId="4C554A86" w:rsidR="000756EB" w:rsidRPr="00291473" w:rsidRDefault="004A4D88" w:rsidP="004255E9">
            <w:pPr>
              <w:pStyle w:val="TableCopy"/>
              <w:jc w:val="right"/>
              <w:rPr>
                <w:rFonts w:asciiTheme="minorHAnsi" w:hAnsiTheme="minorHAnsi" w:cstheme="minorHAnsi"/>
              </w:rPr>
            </w:pPr>
            <w:r w:rsidRPr="00291473">
              <w:rPr>
                <w:rFonts w:asciiTheme="minorHAnsi" w:hAnsiTheme="minorHAnsi" w:cstheme="minorHAnsi"/>
              </w:rPr>
              <w:t>161,894</w:t>
            </w:r>
          </w:p>
        </w:tc>
        <w:tc>
          <w:tcPr>
            <w:tcW w:w="1182" w:type="dxa"/>
          </w:tcPr>
          <w:p w14:paraId="057077D2" w14:textId="740D469E" w:rsidR="000756EB" w:rsidRPr="00291473" w:rsidRDefault="004A4D88" w:rsidP="004255E9">
            <w:pPr>
              <w:pStyle w:val="TableCopy"/>
              <w:jc w:val="right"/>
              <w:rPr>
                <w:rFonts w:asciiTheme="minorHAnsi" w:hAnsiTheme="minorHAnsi" w:cstheme="minorHAnsi"/>
              </w:rPr>
            </w:pPr>
            <w:r w:rsidRPr="00291473">
              <w:rPr>
                <w:rFonts w:asciiTheme="minorHAnsi" w:hAnsiTheme="minorHAnsi" w:cstheme="minorHAnsi"/>
              </w:rPr>
              <w:t>287,460</w:t>
            </w:r>
          </w:p>
        </w:tc>
      </w:tr>
      <w:tr w:rsidR="000756EB" w:rsidRPr="00291473" w14:paraId="42072004" w14:textId="77777777" w:rsidTr="00291473">
        <w:trPr>
          <w:cantSplit/>
        </w:trPr>
        <w:tc>
          <w:tcPr>
            <w:tcW w:w="3256" w:type="dxa"/>
          </w:tcPr>
          <w:p w14:paraId="1D111247" w14:textId="1393ADE7" w:rsidR="000756EB" w:rsidRPr="00291473" w:rsidRDefault="004A4D88" w:rsidP="00291473">
            <w:pPr>
              <w:pStyle w:val="TableCopy"/>
              <w:rPr>
                <w:b/>
                <w:bCs/>
              </w:rPr>
            </w:pPr>
            <w:r w:rsidRPr="00291473">
              <w:rPr>
                <w:b/>
                <w:bCs/>
              </w:rPr>
              <w:t>Loss</w:t>
            </w:r>
            <w:r w:rsidR="00A03629" w:rsidRPr="00291473">
              <w:rPr>
                <w:b/>
                <w:bCs/>
              </w:rPr>
              <w:t xml:space="preserve"> </w:t>
            </w:r>
            <w:r w:rsidRPr="00291473">
              <w:rPr>
                <w:b/>
                <w:bCs/>
              </w:rPr>
              <w:t>allowance</w:t>
            </w:r>
          </w:p>
        </w:tc>
        <w:tc>
          <w:tcPr>
            <w:tcW w:w="1181" w:type="dxa"/>
          </w:tcPr>
          <w:p w14:paraId="32F6E52B" w14:textId="0D0842AA" w:rsidR="000756EB" w:rsidRPr="00291473" w:rsidRDefault="004A4D88" w:rsidP="004255E9">
            <w:pPr>
              <w:pStyle w:val="TableCopy"/>
              <w:jc w:val="right"/>
              <w:rPr>
                <w:b/>
                <w:bCs/>
              </w:rPr>
            </w:pPr>
            <w:r w:rsidRPr="00291473">
              <w:rPr>
                <w:b/>
                <w:bCs/>
              </w:rPr>
              <w:t>–</w:t>
            </w:r>
          </w:p>
        </w:tc>
        <w:tc>
          <w:tcPr>
            <w:tcW w:w="1181" w:type="dxa"/>
          </w:tcPr>
          <w:p w14:paraId="44C25F03" w14:textId="3387A99A" w:rsidR="000756EB" w:rsidRPr="00291473" w:rsidRDefault="004A4D88" w:rsidP="004255E9">
            <w:pPr>
              <w:pStyle w:val="TableCopy"/>
              <w:jc w:val="right"/>
              <w:rPr>
                <w:b/>
                <w:bCs/>
              </w:rPr>
            </w:pPr>
            <w:r w:rsidRPr="00291473">
              <w:rPr>
                <w:b/>
                <w:bCs/>
              </w:rPr>
              <w:t>21,960</w:t>
            </w:r>
          </w:p>
        </w:tc>
        <w:tc>
          <w:tcPr>
            <w:tcW w:w="1181" w:type="dxa"/>
          </w:tcPr>
          <w:p w14:paraId="6FC3DF5D" w14:textId="7E22380B" w:rsidR="000756EB" w:rsidRPr="00291473" w:rsidRDefault="004A4D88" w:rsidP="004255E9">
            <w:pPr>
              <w:pStyle w:val="TableCopy"/>
              <w:jc w:val="right"/>
              <w:rPr>
                <w:b/>
                <w:bCs/>
              </w:rPr>
            </w:pPr>
            <w:r w:rsidRPr="00291473">
              <w:rPr>
                <w:b/>
                <w:bCs/>
              </w:rPr>
              <w:t>–</w:t>
            </w:r>
          </w:p>
        </w:tc>
        <w:tc>
          <w:tcPr>
            <w:tcW w:w="1181" w:type="dxa"/>
          </w:tcPr>
          <w:p w14:paraId="485CD47E" w14:textId="3268A372" w:rsidR="000756EB" w:rsidRPr="00291473" w:rsidRDefault="004A4D88" w:rsidP="004255E9">
            <w:pPr>
              <w:pStyle w:val="TableCopy"/>
              <w:jc w:val="right"/>
              <w:rPr>
                <w:b/>
                <w:bCs/>
              </w:rPr>
            </w:pPr>
            <w:r w:rsidRPr="00291473">
              <w:rPr>
                <w:b/>
                <w:bCs/>
              </w:rPr>
              <w:t>–</w:t>
            </w:r>
          </w:p>
        </w:tc>
        <w:tc>
          <w:tcPr>
            <w:tcW w:w="1181" w:type="dxa"/>
          </w:tcPr>
          <w:p w14:paraId="2C50BA38" w14:textId="5551B26C" w:rsidR="000756EB" w:rsidRPr="00291473" w:rsidRDefault="004A4D88" w:rsidP="004255E9">
            <w:pPr>
              <w:pStyle w:val="TableCopy"/>
              <w:jc w:val="right"/>
              <w:rPr>
                <w:b/>
                <w:bCs/>
              </w:rPr>
            </w:pPr>
            <w:r w:rsidRPr="00291473">
              <w:rPr>
                <w:b/>
                <w:bCs/>
              </w:rPr>
              <w:t>671</w:t>
            </w:r>
          </w:p>
        </w:tc>
        <w:tc>
          <w:tcPr>
            <w:tcW w:w="1182" w:type="dxa"/>
          </w:tcPr>
          <w:p w14:paraId="3004C505" w14:textId="5E3EC00F" w:rsidR="000756EB" w:rsidRPr="00291473" w:rsidRDefault="004A4D88" w:rsidP="004255E9">
            <w:pPr>
              <w:pStyle w:val="TableCopy"/>
              <w:jc w:val="right"/>
              <w:rPr>
                <w:b/>
                <w:bCs/>
              </w:rPr>
            </w:pPr>
            <w:r w:rsidRPr="00291473">
              <w:rPr>
                <w:b/>
                <w:bCs/>
              </w:rPr>
              <w:t>22,631</w:t>
            </w:r>
          </w:p>
        </w:tc>
      </w:tr>
    </w:tbl>
    <w:p w14:paraId="26641312" w14:textId="77777777" w:rsidR="000756EB" w:rsidRDefault="000756EB" w:rsidP="00CF4123"/>
    <w:p w14:paraId="683C564E" w14:textId="6B46C4B2" w:rsidR="000756EB" w:rsidRDefault="004A4D88" w:rsidP="00CF4123">
      <w:r>
        <w:t>Credit</w:t>
      </w:r>
      <w:r w:rsidR="00A03629">
        <w:t xml:space="preserve"> </w:t>
      </w:r>
      <w:r>
        <w:t>loss</w:t>
      </w:r>
      <w:r w:rsidR="00A03629">
        <w:t xml:space="preserve"> </w:t>
      </w:r>
      <w:r>
        <w:t>allowance</w:t>
      </w:r>
      <w:r w:rsidR="00A03629">
        <w:t xml:space="preserve"> </w:t>
      </w:r>
      <w:r>
        <w:t>is</w:t>
      </w:r>
      <w:r w:rsidR="00A03629">
        <w:t xml:space="preserve"> </w:t>
      </w:r>
      <w:r>
        <w:t>classified</w:t>
      </w:r>
      <w:r w:rsidR="00A03629">
        <w:t xml:space="preserve"> </w:t>
      </w:r>
      <w:r>
        <w:t>as</w:t>
      </w:r>
      <w:r w:rsidR="00A03629">
        <w:t xml:space="preserve"> </w:t>
      </w:r>
      <w:r>
        <w:t>other</w:t>
      </w:r>
      <w:r w:rsidR="00A03629">
        <w:t xml:space="preserve"> </w:t>
      </w:r>
      <w:r>
        <w:t>economic</w:t>
      </w:r>
      <w:r w:rsidR="00A03629">
        <w:t xml:space="preserve"> </w:t>
      </w:r>
      <w:r>
        <w:t>flows</w:t>
      </w:r>
      <w:r w:rsidR="00A03629">
        <w:t xml:space="preserve"> </w:t>
      </w:r>
      <w:r>
        <w:t>in</w:t>
      </w:r>
      <w:r w:rsidR="00A03629">
        <w:t xml:space="preserve"> </w:t>
      </w:r>
      <w:r>
        <w:t>the</w:t>
      </w:r>
      <w:r w:rsidR="00A03629">
        <w:t xml:space="preserve"> </w:t>
      </w:r>
      <w:r>
        <w:t>net</w:t>
      </w:r>
      <w:r w:rsidR="00A03629">
        <w:t xml:space="preserve"> </w:t>
      </w:r>
      <w:r>
        <w:t>result.</w:t>
      </w:r>
      <w:r w:rsidR="00A03629">
        <w:t xml:space="preserve"> </w:t>
      </w:r>
      <w:r>
        <w:t>Contractual</w:t>
      </w:r>
      <w:r w:rsidR="00A03629">
        <w:t xml:space="preserve"> </w:t>
      </w:r>
      <w:r>
        <w:t>receivables</w:t>
      </w:r>
      <w:r w:rsidR="00A03629">
        <w:t xml:space="preserve"> </w:t>
      </w:r>
      <w:r>
        <w:t>are</w:t>
      </w:r>
      <w:r w:rsidR="00A03629">
        <w:t xml:space="preserve"> </w:t>
      </w:r>
      <w:r>
        <w:t>written</w:t>
      </w:r>
      <w:r w:rsidR="00A03629">
        <w:t xml:space="preserve"> </w:t>
      </w:r>
      <w:r>
        <w:t>off</w:t>
      </w:r>
      <w:r w:rsidR="00A03629">
        <w:t xml:space="preserve"> </w:t>
      </w:r>
      <w:r>
        <w:t>when</w:t>
      </w:r>
      <w:r w:rsidR="00A03629">
        <w:t xml:space="preserve"> </w:t>
      </w:r>
      <w:r>
        <w:t>there</w:t>
      </w:r>
      <w:r w:rsidR="00A03629">
        <w:t xml:space="preserve"> </w:t>
      </w:r>
      <w:r>
        <w:t>is</w:t>
      </w:r>
      <w:r w:rsidR="00A03629">
        <w:t xml:space="preserve"> </w:t>
      </w:r>
      <w:r>
        <w:t>no</w:t>
      </w:r>
      <w:r w:rsidR="00A03629">
        <w:t xml:space="preserve"> </w:t>
      </w:r>
      <w:r>
        <w:t>reasonable</w:t>
      </w:r>
      <w:r w:rsidR="00A03629">
        <w:t xml:space="preserve"> </w:t>
      </w:r>
      <w:r>
        <w:t>expectation</w:t>
      </w:r>
      <w:r w:rsidR="00A03629">
        <w:t xml:space="preserve"> </w:t>
      </w:r>
      <w:r>
        <w:t>of</w:t>
      </w:r>
      <w:r w:rsidR="00A03629">
        <w:t xml:space="preserve"> </w:t>
      </w:r>
      <w:r>
        <w:t>recovery</w:t>
      </w:r>
      <w:r w:rsidR="00A03629">
        <w:t xml:space="preserve"> </w:t>
      </w:r>
      <w:r>
        <w:t>and</w:t>
      </w:r>
      <w:r w:rsidR="00A03629">
        <w:t xml:space="preserve"> </w:t>
      </w:r>
      <w:r>
        <w:t>impairment</w:t>
      </w:r>
      <w:r w:rsidR="00A03629">
        <w:t xml:space="preserve"> </w:t>
      </w:r>
      <w:r>
        <w:t>losses</w:t>
      </w:r>
      <w:r w:rsidR="00A03629">
        <w:t xml:space="preserve"> </w:t>
      </w:r>
      <w:r>
        <w:t>are</w:t>
      </w:r>
      <w:r w:rsidR="00A03629">
        <w:t xml:space="preserve"> </w:t>
      </w:r>
      <w:r>
        <w:t>classified</w:t>
      </w:r>
      <w:r w:rsidR="00A03629">
        <w:t xml:space="preserve"> </w:t>
      </w:r>
      <w:r>
        <w:t>as</w:t>
      </w:r>
      <w:r w:rsidR="00A03629">
        <w:t xml:space="preserve"> </w:t>
      </w:r>
      <w:r>
        <w:t>a</w:t>
      </w:r>
      <w:r w:rsidR="00A03629">
        <w:t xml:space="preserve"> </w:t>
      </w:r>
      <w:r>
        <w:t>transaction</w:t>
      </w:r>
      <w:r w:rsidR="00A03629">
        <w:t xml:space="preserve"> </w:t>
      </w:r>
      <w:r>
        <w:t>expense.</w:t>
      </w:r>
      <w:r w:rsidR="00A03629">
        <w:t xml:space="preserve"> </w:t>
      </w:r>
      <w:r>
        <w:t>Subsequent</w:t>
      </w:r>
      <w:r w:rsidR="00A03629">
        <w:t xml:space="preserve"> </w:t>
      </w:r>
      <w:r>
        <w:t>recoveries</w:t>
      </w:r>
      <w:r w:rsidR="00A03629">
        <w:t xml:space="preserve"> </w:t>
      </w:r>
      <w:r>
        <w:t>of</w:t>
      </w:r>
      <w:r w:rsidR="00A03629">
        <w:t xml:space="preserve"> </w:t>
      </w:r>
      <w:r>
        <w:t>amounts</w:t>
      </w:r>
      <w:r w:rsidR="00A03629">
        <w:t xml:space="preserve"> </w:t>
      </w:r>
      <w:r>
        <w:t>previously</w:t>
      </w:r>
      <w:r w:rsidR="00A03629">
        <w:t xml:space="preserve"> </w:t>
      </w:r>
      <w:r>
        <w:t>written</w:t>
      </w:r>
      <w:r w:rsidR="00A03629">
        <w:t xml:space="preserve"> </w:t>
      </w:r>
      <w:r>
        <w:t>off</w:t>
      </w:r>
      <w:r w:rsidR="00A03629">
        <w:t xml:space="preserve"> </w:t>
      </w:r>
      <w:r>
        <w:t>are</w:t>
      </w:r>
      <w:r w:rsidR="00A03629">
        <w:t xml:space="preserve"> </w:t>
      </w:r>
      <w:r>
        <w:t>credited</w:t>
      </w:r>
      <w:r w:rsidR="00A03629">
        <w:t xml:space="preserve"> </w:t>
      </w:r>
      <w:r>
        <w:t>against</w:t>
      </w:r>
      <w:r w:rsidR="00A03629">
        <w:rPr>
          <w:rFonts w:ascii="Cambria" w:hAnsi="Cambria" w:cs="Cambria"/>
        </w:rPr>
        <w:t xml:space="preserve"> </w:t>
      </w:r>
      <w:r>
        <w:t>the</w:t>
      </w:r>
      <w:r w:rsidR="00A03629">
        <w:t xml:space="preserve"> </w:t>
      </w:r>
      <w:r>
        <w:t>same</w:t>
      </w:r>
      <w:r w:rsidR="00A03629">
        <w:t xml:space="preserve"> </w:t>
      </w:r>
      <w:r>
        <w:t>line</w:t>
      </w:r>
      <w:r w:rsidR="00A03629">
        <w:t xml:space="preserve"> </w:t>
      </w:r>
      <w:r>
        <w:t>item.</w:t>
      </w:r>
    </w:p>
    <w:p w14:paraId="6DC7D416" w14:textId="72B2F189" w:rsidR="000756EB" w:rsidRDefault="004A4D88" w:rsidP="00CF4123">
      <w:r>
        <w:t>Previously,</w:t>
      </w:r>
      <w:r w:rsidR="00A03629">
        <w:t xml:space="preserve"> </w:t>
      </w:r>
      <w:r>
        <w:t>a</w:t>
      </w:r>
      <w:r w:rsidR="00A03629">
        <w:t xml:space="preserve"> </w:t>
      </w:r>
      <w:r>
        <w:t>provision</w:t>
      </w:r>
      <w:r w:rsidR="00A03629">
        <w:t xml:space="preserve"> </w:t>
      </w:r>
      <w:r>
        <w:t>for</w:t>
      </w:r>
      <w:r w:rsidR="00A03629">
        <w:t xml:space="preserve"> </w:t>
      </w:r>
      <w:r>
        <w:t>doubtful</w:t>
      </w:r>
      <w:r w:rsidR="00A03629">
        <w:t xml:space="preserve"> </w:t>
      </w:r>
      <w:r>
        <w:t>debts</w:t>
      </w:r>
      <w:r w:rsidR="00A03629">
        <w:t xml:space="preserve"> </w:t>
      </w:r>
      <w:r>
        <w:t>was</w:t>
      </w:r>
      <w:r w:rsidR="00A03629">
        <w:t xml:space="preserve"> </w:t>
      </w:r>
      <w:r>
        <w:t>recognised</w:t>
      </w:r>
      <w:r w:rsidR="00A03629">
        <w:t xml:space="preserve"> </w:t>
      </w:r>
      <w:r>
        <w:t>when</w:t>
      </w:r>
      <w:r w:rsidR="00A03629">
        <w:t xml:space="preserve"> </w:t>
      </w:r>
      <w:r>
        <w:t>there</w:t>
      </w:r>
      <w:r w:rsidR="00A03629">
        <w:t xml:space="preserve"> </w:t>
      </w:r>
      <w:r>
        <w:t>is</w:t>
      </w:r>
      <w:r w:rsidR="00A03629">
        <w:t xml:space="preserve"> </w:t>
      </w:r>
      <w:r>
        <w:t>objective</w:t>
      </w:r>
      <w:r w:rsidR="00A03629">
        <w:t xml:space="preserve"> </w:t>
      </w:r>
      <w:r>
        <w:t>evidence</w:t>
      </w:r>
      <w:r w:rsidR="00A03629">
        <w:t xml:space="preserve"> </w:t>
      </w:r>
      <w:r>
        <w:t>that</w:t>
      </w:r>
      <w:r w:rsidR="00A03629">
        <w:t xml:space="preserve"> </w:t>
      </w:r>
      <w:r>
        <w:t>the</w:t>
      </w:r>
      <w:r w:rsidR="00A03629">
        <w:t xml:space="preserve"> </w:t>
      </w:r>
      <w:r>
        <w:t>debts</w:t>
      </w:r>
      <w:r w:rsidR="00A03629">
        <w:t xml:space="preserve"> </w:t>
      </w:r>
      <w:r>
        <w:t>may</w:t>
      </w:r>
      <w:r w:rsidR="00A03629">
        <w:t xml:space="preserve"> </w:t>
      </w:r>
      <w:r>
        <w:t>not</w:t>
      </w:r>
      <w:r w:rsidR="00A03629">
        <w:t xml:space="preserve"> </w:t>
      </w:r>
      <w:r>
        <w:t>be</w:t>
      </w:r>
      <w:r w:rsidR="00A03629">
        <w:t xml:space="preserve"> </w:t>
      </w:r>
      <w:proofErr w:type="gramStart"/>
      <w:r>
        <w:t>collected</w:t>
      </w:r>
      <w:proofErr w:type="gramEnd"/>
      <w:r w:rsidR="00A03629">
        <w:t xml:space="preserve"> </w:t>
      </w:r>
      <w:r>
        <w:t>and</w:t>
      </w:r>
      <w:r w:rsidR="00A03629">
        <w:t xml:space="preserve"> </w:t>
      </w:r>
      <w:r>
        <w:t>bad</w:t>
      </w:r>
      <w:r w:rsidR="00A03629">
        <w:t xml:space="preserve"> </w:t>
      </w:r>
      <w:r>
        <w:t>debts</w:t>
      </w:r>
      <w:r w:rsidR="00A03629">
        <w:t xml:space="preserve"> </w:t>
      </w:r>
      <w:r>
        <w:t>are</w:t>
      </w:r>
      <w:r w:rsidR="00A03629">
        <w:t xml:space="preserve"> </w:t>
      </w:r>
      <w:r>
        <w:t>written</w:t>
      </w:r>
      <w:r w:rsidR="00A03629">
        <w:t xml:space="preserve"> </w:t>
      </w:r>
      <w:r>
        <w:t>off</w:t>
      </w:r>
      <w:r w:rsidR="00A03629">
        <w:t xml:space="preserve"> </w:t>
      </w:r>
      <w:r>
        <w:t>when</w:t>
      </w:r>
      <w:r w:rsidR="00A03629">
        <w:t xml:space="preserve"> </w:t>
      </w:r>
      <w:r>
        <w:t>identified.</w:t>
      </w:r>
      <w:r w:rsidR="00A03629">
        <w:t xml:space="preserve"> </w:t>
      </w:r>
      <w:r>
        <w:t>A</w:t>
      </w:r>
      <w:r w:rsidR="00A03629">
        <w:t xml:space="preserve"> </w:t>
      </w:r>
      <w:r>
        <w:t>provision</w:t>
      </w:r>
      <w:r w:rsidR="00A03629">
        <w:t xml:space="preserve"> </w:t>
      </w:r>
      <w:r>
        <w:t>is</w:t>
      </w:r>
      <w:r w:rsidR="00A03629">
        <w:t xml:space="preserve"> </w:t>
      </w:r>
      <w:r>
        <w:t>made</w:t>
      </w:r>
      <w:r w:rsidR="00A03629">
        <w:t xml:space="preserve"> </w:t>
      </w:r>
      <w:r>
        <w:t>for</w:t>
      </w:r>
      <w:r w:rsidR="00A03629">
        <w:t xml:space="preserve"> </w:t>
      </w:r>
      <w:r>
        <w:t>estimated</w:t>
      </w:r>
      <w:r w:rsidR="00A03629">
        <w:t xml:space="preserve"> </w:t>
      </w:r>
      <w:r>
        <w:t>irrecoverable</w:t>
      </w:r>
      <w:r w:rsidR="00A03629">
        <w:t xml:space="preserve"> </w:t>
      </w:r>
      <w:r>
        <w:t>amounts</w:t>
      </w:r>
      <w:r w:rsidR="00A03629">
        <w:t xml:space="preserve"> </w:t>
      </w:r>
      <w:r>
        <w:t>from</w:t>
      </w:r>
      <w:r w:rsidR="00A03629">
        <w:t xml:space="preserve"> </w:t>
      </w:r>
      <w:r>
        <w:t>the</w:t>
      </w:r>
      <w:r w:rsidR="00A03629">
        <w:t xml:space="preserve"> </w:t>
      </w:r>
      <w:r>
        <w:t>sale</w:t>
      </w:r>
      <w:r w:rsidR="00A03629">
        <w:t xml:space="preserve"> </w:t>
      </w:r>
      <w:r>
        <w:t>of</w:t>
      </w:r>
      <w:r w:rsidR="00A03629">
        <w:t xml:space="preserve"> </w:t>
      </w:r>
      <w:r>
        <w:t>goods</w:t>
      </w:r>
      <w:r w:rsidR="00A03629">
        <w:t xml:space="preserve"> </w:t>
      </w:r>
      <w:r>
        <w:t>when</w:t>
      </w:r>
      <w:r w:rsidR="00A03629">
        <w:t xml:space="preserve"> </w:t>
      </w:r>
      <w:r>
        <w:t>there</w:t>
      </w:r>
      <w:r w:rsidR="00A03629">
        <w:t xml:space="preserve"> </w:t>
      </w:r>
      <w:r>
        <w:t>is</w:t>
      </w:r>
      <w:r w:rsidR="00A03629">
        <w:t xml:space="preserve"> </w:t>
      </w:r>
      <w:r>
        <w:t>objective</w:t>
      </w:r>
      <w:r w:rsidR="00A03629">
        <w:t xml:space="preserve"> </w:t>
      </w:r>
      <w:r>
        <w:t>evidence</w:t>
      </w:r>
      <w:r w:rsidR="00A03629">
        <w:t xml:space="preserve"> </w:t>
      </w:r>
      <w:r>
        <w:t>that</w:t>
      </w:r>
      <w:r w:rsidR="00A03629">
        <w:t xml:space="preserve"> </w:t>
      </w:r>
      <w:r>
        <w:t>an</w:t>
      </w:r>
      <w:r w:rsidR="00A03629">
        <w:t xml:space="preserve"> </w:t>
      </w:r>
      <w:r>
        <w:t>individual</w:t>
      </w:r>
      <w:r w:rsidR="00A03629">
        <w:t xml:space="preserve"> </w:t>
      </w:r>
      <w:r>
        <w:t>receivable</w:t>
      </w:r>
      <w:r w:rsidR="00A03629">
        <w:t xml:space="preserve"> </w:t>
      </w:r>
      <w:r>
        <w:t>is</w:t>
      </w:r>
      <w:r w:rsidR="00A03629">
        <w:t xml:space="preserve"> </w:t>
      </w:r>
      <w:r>
        <w:t>impaired.</w:t>
      </w:r>
      <w:r w:rsidR="00A03629">
        <w:t xml:space="preserve"> </w:t>
      </w:r>
      <w:r>
        <w:t>Bad</w:t>
      </w:r>
      <w:r w:rsidR="00A03629">
        <w:t xml:space="preserve"> </w:t>
      </w:r>
      <w:r>
        <w:t>debts</w:t>
      </w:r>
      <w:r w:rsidR="00A03629">
        <w:t xml:space="preserve"> </w:t>
      </w:r>
      <w:r>
        <w:t>considered</w:t>
      </w:r>
      <w:r w:rsidR="00A03629">
        <w:t xml:space="preserve"> </w:t>
      </w:r>
      <w:r>
        <w:t>as</w:t>
      </w:r>
      <w:r w:rsidR="00A03629">
        <w:t xml:space="preserve"> </w:t>
      </w:r>
      <w:r>
        <w:t>written</w:t>
      </w:r>
      <w:r w:rsidR="00A03629">
        <w:t xml:space="preserve"> </w:t>
      </w:r>
      <w:r>
        <w:t>off</w:t>
      </w:r>
      <w:r w:rsidR="00A03629">
        <w:t xml:space="preserve"> </w:t>
      </w:r>
      <w:r>
        <w:t>by</w:t>
      </w:r>
      <w:r w:rsidR="00A03629">
        <w:t xml:space="preserve"> </w:t>
      </w:r>
      <w:r>
        <w:t>mutual</w:t>
      </w:r>
      <w:r w:rsidR="00A03629">
        <w:t xml:space="preserve"> </w:t>
      </w:r>
      <w:r>
        <w:t>consent.</w:t>
      </w:r>
    </w:p>
    <w:p w14:paraId="26204375" w14:textId="3268B78F" w:rsidR="000756EB" w:rsidRPr="00CF4123" w:rsidRDefault="004A4D88" w:rsidP="00CF4123">
      <w:pPr>
        <w:pStyle w:val="Normalbeforebullets"/>
        <w:rPr>
          <w:b/>
          <w:bCs/>
        </w:rPr>
      </w:pPr>
      <w:r w:rsidRPr="00CF4123">
        <w:rPr>
          <w:b/>
          <w:bCs/>
        </w:rPr>
        <w:t>Statutory</w:t>
      </w:r>
      <w:r w:rsidR="00A03629" w:rsidRPr="00CF4123">
        <w:rPr>
          <w:b/>
          <w:bCs/>
        </w:rPr>
        <w:t xml:space="preserve"> </w:t>
      </w:r>
      <w:r w:rsidRPr="00CF4123">
        <w:rPr>
          <w:b/>
          <w:bCs/>
        </w:rPr>
        <w:t>receivables</w:t>
      </w:r>
      <w:r w:rsidR="00A03629" w:rsidRPr="00CF4123">
        <w:rPr>
          <w:b/>
          <w:bCs/>
        </w:rPr>
        <w:t xml:space="preserve"> </w:t>
      </w:r>
      <w:r w:rsidRPr="00CF4123">
        <w:rPr>
          <w:b/>
          <w:bCs/>
        </w:rPr>
        <w:t>and</w:t>
      </w:r>
      <w:r w:rsidR="00A03629" w:rsidRPr="00CF4123">
        <w:rPr>
          <w:b/>
          <w:bCs/>
        </w:rPr>
        <w:t xml:space="preserve"> </w:t>
      </w:r>
      <w:r w:rsidRPr="00CF4123">
        <w:rPr>
          <w:b/>
          <w:bCs/>
        </w:rPr>
        <w:t>debt</w:t>
      </w:r>
      <w:r w:rsidR="00A03629" w:rsidRPr="00CF4123">
        <w:rPr>
          <w:b/>
          <w:bCs/>
        </w:rPr>
        <w:t xml:space="preserve"> </w:t>
      </w:r>
      <w:r w:rsidRPr="00CF4123">
        <w:rPr>
          <w:b/>
          <w:bCs/>
        </w:rPr>
        <w:t>investments</w:t>
      </w:r>
      <w:r w:rsidR="00A03629" w:rsidRPr="00CF4123">
        <w:rPr>
          <w:b/>
          <w:bCs/>
        </w:rPr>
        <w:t xml:space="preserve"> </w:t>
      </w:r>
      <w:r w:rsidRPr="00CF4123">
        <w:rPr>
          <w:b/>
          <w:bCs/>
        </w:rPr>
        <w:t>at</w:t>
      </w:r>
      <w:r w:rsidR="00A03629" w:rsidRPr="00CF4123">
        <w:rPr>
          <w:rFonts w:ascii="Cambria" w:hAnsi="Cambria" w:cs="Cambria"/>
          <w:b/>
          <w:bCs/>
        </w:rPr>
        <w:t xml:space="preserve"> </w:t>
      </w:r>
      <w:r w:rsidRPr="00CF4123">
        <w:rPr>
          <w:b/>
          <w:bCs/>
        </w:rPr>
        <w:t>amortised</w:t>
      </w:r>
      <w:r w:rsidR="00A03629" w:rsidRPr="00CF4123">
        <w:rPr>
          <w:b/>
          <w:bCs/>
        </w:rPr>
        <w:t xml:space="preserve"> </w:t>
      </w:r>
      <w:r w:rsidRPr="00CF4123">
        <w:rPr>
          <w:b/>
          <w:bCs/>
        </w:rPr>
        <w:t>cost</w:t>
      </w:r>
      <w:r w:rsidR="00A03629" w:rsidRPr="00CF4123">
        <w:rPr>
          <w:b/>
          <w:bCs/>
        </w:rPr>
        <w:t xml:space="preserve"> </w:t>
      </w:r>
    </w:p>
    <w:p w14:paraId="3EC8B5E6" w14:textId="36FA570C" w:rsidR="000756EB" w:rsidRDefault="004A4D88" w:rsidP="00CF4123">
      <w:r>
        <w:t>DJSIR’s</w:t>
      </w:r>
      <w:r w:rsidR="00A03629">
        <w:t xml:space="preserve"> </w:t>
      </w:r>
      <w:r>
        <w:t>non-contractual</w:t>
      </w:r>
      <w:r w:rsidR="00A03629">
        <w:t xml:space="preserve"> </w:t>
      </w:r>
      <w:r>
        <w:t>receivables</w:t>
      </w:r>
      <w:r w:rsidR="00A03629">
        <w:t xml:space="preserve"> </w:t>
      </w:r>
      <w:r>
        <w:t>arising</w:t>
      </w:r>
      <w:r w:rsidR="00A03629">
        <w:t xml:space="preserve"> </w:t>
      </w:r>
      <w:r>
        <w:t>from</w:t>
      </w:r>
      <w:r w:rsidR="00A03629">
        <w:t xml:space="preserve"> </w:t>
      </w:r>
      <w:r>
        <w:t>statutory</w:t>
      </w:r>
      <w:r w:rsidR="00A03629">
        <w:t xml:space="preserve"> </w:t>
      </w:r>
      <w:r>
        <w:t>requirements</w:t>
      </w:r>
      <w:r w:rsidR="00A03629">
        <w:t xml:space="preserve"> </w:t>
      </w:r>
      <w:r>
        <w:t>are</w:t>
      </w:r>
      <w:r w:rsidR="00A03629">
        <w:t xml:space="preserve"> </w:t>
      </w:r>
      <w:r>
        <w:t>not</w:t>
      </w:r>
      <w:r w:rsidR="00A03629">
        <w:t xml:space="preserve"> </w:t>
      </w:r>
      <w:r>
        <w:t>financial</w:t>
      </w:r>
      <w:r w:rsidR="00A03629">
        <w:t xml:space="preserve"> </w:t>
      </w:r>
      <w:r>
        <w:t>instruments.</w:t>
      </w:r>
      <w:r w:rsidR="00A03629">
        <w:t xml:space="preserve"> </w:t>
      </w:r>
      <w:r>
        <w:t>However,</w:t>
      </w:r>
      <w:r w:rsidR="00A03629">
        <w:t xml:space="preserve"> </w:t>
      </w:r>
      <w:r>
        <w:t>they</w:t>
      </w:r>
      <w:r w:rsidR="00A03629">
        <w:t xml:space="preserve"> </w:t>
      </w:r>
      <w:r>
        <w:t>are</w:t>
      </w:r>
      <w:r w:rsidR="00A03629">
        <w:t xml:space="preserve"> </w:t>
      </w:r>
      <w:r>
        <w:t>nevertheless</w:t>
      </w:r>
      <w:r w:rsidR="00A03629">
        <w:t xml:space="preserve"> </w:t>
      </w:r>
      <w:r>
        <w:t>recognised</w:t>
      </w:r>
      <w:r w:rsidR="00A03629">
        <w:t xml:space="preserve"> </w:t>
      </w:r>
      <w:r>
        <w:t>and</w:t>
      </w:r>
      <w:r w:rsidR="00A03629">
        <w:t xml:space="preserve"> </w:t>
      </w:r>
      <w:r>
        <w:t>measured</w:t>
      </w:r>
      <w:r w:rsidR="00A03629">
        <w:t xml:space="preserve"> </w:t>
      </w:r>
      <w:r>
        <w:t>in</w:t>
      </w:r>
      <w:r w:rsidR="00A03629">
        <w:t xml:space="preserve"> </w:t>
      </w:r>
      <w:r>
        <w:t>accordance</w:t>
      </w:r>
      <w:r w:rsidR="00A03629">
        <w:t xml:space="preserve"> </w:t>
      </w:r>
      <w:r>
        <w:t>with</w:t>
      </w:r>
      <w:r w:rsidR="00A03629">
        <w:t xml:space="preserve"> </w:t>
      </w:r>
      <w:r>
        <w:t>AASB</w:t>
      </w:r>
      <w:r w:rsidR="00A03629">
        <w:t xml:space="preserve"> </w:t>
      </w:r>
      <w:r>
        <w:t>9</w:t>
      </w:r>
      <w:r w:rsidR="00A03629">
        <w:t xml:space="preserve"> </w:t>
      </w:r>
      <w:r>
        <w:t>requirements</w:t>
      </w:r>
      <w:r w:rsidR="00A03629">
        <w:t xml:space="preserve"> </w:t>
      </w:r>
      <w:r>
        <w:t>as</w:t>
      </w:r>
      <w:r w:rsidR="00A03629">
        <w:t xml:space="preserve"> </w:t>
      </w:r>
      <w:r>
        <w:t>if</w:t>
      </w:r>
      <w:r w:rsidR="00A03629">
        <w:t xml:space="preserve"> </w:t>
      </w:r>
      <w:r>
        <w:t>those</w:t>
      </w:r>
      <w:r w:rsidR="00A03629">
        <w:t xml:space="preserve"> </w:t>
      </w:r>
      <w:r>
        <w:t>receivables</w:t>
      </w:r>
      <w:r w:rsidR="00A03629">
        <w:t xml:space="preserve"> </w:t>
      </w:r>
      <w:r>
        <w:t>are</w:t>
      </w:r>
      <w:r w:rsidR="00A03629">
        <w:t xml:space="preserve"> </w:t>
      </w:r>
      <w:r>
        <w:t>financial</w:t>
      </w:r>
      <w:r w:rsidR="00A03629">
        <w:t xml:space="preserve"> </w:t>
      </w:r>
      <w:r>
        <w:t>instruments.</w:t>
      </w:r>
      <w:r w:rsidR="00A03629">
        <w:t xml:space="preserve"> </w:t>
      </w:r>
    </w:p>
    <w:p w14:paraId="34F6FC97" w14:textId="3C289DE8" w:rsidR="000756EB" w:rsidRDefault="004A4D88" w:rsidP="00CF4123">
      <w:r>
        <w:t>Both</w:t>
      </w:r>
      <w:r w:rsidR="00A03629">
        <w:t xml:space="preserve"> </w:t>
      </w:r>
      <w:r>
        <w:t>the</w:t>
      </w:r>
      <w:r w:rsidR="00A03629">
        <w:t xml:space="preserve"> </w:t>
      </w:r>
      <w:r>
        <w:t>statutory</w:t>
      </w:r>
      <w:r w:rsidR="00A03629">
        <w:t xml:space="preserve"> </w:t>
      </w:r>
      <w:r>
        <w:t>receivables</w:t>
      </w:r>
      <w:r w:rsidR="00A03629">
        <w:t xml:space="preserve"> </w:t>
      </w:r>
      <w:r>
        <w:t>and</w:t>
      </w:r>
      <w:r w:rsidR="00A03629">
        <w:t xml:space="preserve"> </w:t>
      </w:r>
      <w:r>
        <w:t>investments</w:t>
      </w:r>
      <w:r w:rsidR="00A03629">
        <w:t xml:space="preserve"> </w:t>
      </w:r>
      <w:r>
        <w:t>in</w:t>
      </w:r>
      <w:r w:rsidR="00A03629">
        <w:t xml:space="preserve"> </w:t>
      </w:r>
      <w:r>
        <w:t>debt</w:t>
      </w:r>
      <w:r w:rsidR="00A03629">
        <w:t xml:space="preserve"> </w:t>
      </w:r>
      <w:r>
        <w:t>instruments</w:t>
      </w:r>
      <w:r w:rsidR="00A03629">
        <w:t xml:space="preserve"> </w:t>
      </w:r>
      <w:r>
        <w:t>are</w:t>
      </w:r>
      <w:r w:rsidR="00A03629">
        <w:t xml:space="preserve"> </w:t>
      </w:r>
      <w:r>
        <w:t>considered</w:t>
      </w:r>
      <w:r w:rsidR="00A03629">
        <w:t xml:space="preserve"> </w:t>
      </w:r>
      <w:r>
        <w:t>to</w:t>
      </w:r>
      <w:r w:rsidR="00A03629">
        <w:t xml:space="preserve"> </w:t>
      </w:r>
      <w:r>
        <w:t>have</w:t>
      </w:r>
      <w:r w:rsidR="00A03629">
        <w:t xml:space="preserve"> </w:t>
      </w:r>
      <w:r>
        <w:t>low</w:t>
      </w:r>
      <w:r w:rsidR="00A03629">
        <w:t xml:space="preserve"> </w:t>
      </w:r>
      <w:r>
        <w:t>credit</w:t>
      </w:r>
      <w:r w:rsidR="00A03629">
        <w:t xml:space="preserve"> </w:t>
      </w:r>
      <w:r>
        <w:t>risk,</w:t>
      </w:r>
      <w:r w:rsidR="00A03629">
        <w:t xml:space="preserve"> </w:t>
      </w:r>
      <w:proofErr w:type="gramStart"/>
      <w:r>
        <w:t>taking</w:t>
      </w:r>
      <w:r w:rsidR="00A03629">
        <w:t xml:space="preserve"> </w:t>
      </w:r>
      <w:r>
        <w:t>into</w:t>
      </w:r>
      <w:r w:rsidR="00A03629">
        <w:t xml:space="preserve"> </w:t>
      </w:r>
      <w:r>
        <w:t>account</w:t>
      </w:r>
      <w:proofErr w:type="gramEnd"/>
      <w:r w:rsidR="00A03629">
        <w:t xml:space="preserve"> </w:t>
      </w:r>
      <w:r>
        <w:t>the</w:t>
      </w:r>
      <w:r w:rsidR="00A03629">
        <w:t xml:space="preserve"> </w:t>
      </w:r>
      <w:r>
        <w:t>counterparty’s</w:t>
      </w:r>
      <w:r w:rsidR="00A03629">
        <w:t xml:space="preserve"> </w:t>
      </w:r>
      <w:r>
        <w:t>credit</w:t>
      </w:r>
      <w:r w:rsidR="00A03629">
        <w:t xml:space="preserve"> </w:t>
      </w:r>
      <w:r>
        <w:t>rating,</w:t>
      </w:r>
      <w:r w:rsidR="00A03629">
        <w:t xml:space="preserve"> </w:t>
      </w:r>
      <w:r>
        <w:t>risk</w:t>
      </w:r>
      <w:r w:rsidR="00A03629">
        <w:t xml:space="preserve"> </w:t>
      </w:r>
      <w:r>
        <w:t>of</w:t>
      </w:r>
      <w:r w:rsidR="00A03629">
        <w:t xml:space="preserve"> </w:t>
      </w:r>
      <w:r>
        <w:t>default</w:t>
      </w:r>
      <w:r w:rsidR="00A03629">
        <w:t xml:space="preserve"> </w:t>
      </w:r>
      <w:r>
        <w:t>and</w:t>
      </w:r>
      <w:r w:rsidR="00A03629">
        <w:t xml:space="preserve"> </w:t>
      </w:r>
      <w:r>
        <w:t>capacity</w:t>
      </w:r>
      <w:r w:rsidR="00A03629">
        <w:t xml:space="preserve"> </w:t>
      </w:r>
      <w:r>
        <w:t>to</w:t>
      </w:r>
      <w:r w:rsidR="00A03629">
        <w:t xml:space="preserve"> </w:t>
      </w:r>
      <w:r>
        <w:t>meet</w:t>
      </w:r>
      <w:r w:rsidR="00A03629">
        <w:t xml:space="preserve"> </w:t>
      </w:r>
      <w:r>
        <w:t>contractual</w:t>
      </w:r>
      <w:r w:rsidR="00A03629">
        <w:t xml:space="preserve"> </w:t>
      </w:r>
      <w:r>
        <w:t>cash</w:t>
      </w:r>
      <w:r w:rsidR="00A03629">
        <w:t xml:space="preserve"> </w:t>
      </w:r>
      <w:r>
        <w:t>flow</w:t>
      </w:r>
      <w:r w:rsidR="00A03629">
        <w:t xml:space="preserve"> </w:t>
      </w:r>
      <w:r>
        <w:t>obligations</w:t>
      </w:r>
      <w:r w:rsidR="00A03629">
        <w:t xml:space="preserve"> </w:t>
      </w:r>
      <w:r>
        <w:t>in</w:t>
      </w:r>
      <w:r w:rsidR="00A03629">
        <w:t xml:space="preserve"> </w:t>
      </w:r>
      <w:r>
        <w:t>the</w:t>
      </w:r>
      <w:r w:rsidR="00A03629">
        <w:t xml:space="preserve"> </w:t>
      </w:r>
      <w:r>
        <w:t>near</w:t>
      </w:r>
      <w:r w:rsidR="00A03629">
        <w:t xml:space="preserve"> </w:t>
      </w:r>
      <w:r>
        <w:t>term.</w:t>
      </w:r>
      <w:r w:rsidR="00A03629">
        <w:t xml:space="preserve"> </w:t>
      </w:r>
      <w:r>
        <w:t>As</w:t>
      </w:r>
      <w:r w:rsidR="00A03629">
        <w:t xml:space="preserve"> </w:t>
      </w:r>
      <w:r>
        <w:t>a</w:t>
      </w:r>
      <w:r w:rsidR="00A03629">
        <w:t xml:space="preserve"> </w:t>
      </w:r>
      <w:r>
        <w:t>result,</w:t>
      </w:r>
      <w:r w:rsidR="00A03629">
        <w:t xml:space="preserve"> </w:t>
      </w:r>
      <w:r>
        <w:t>the</w:t>
      </w:r>
      <w:r w:rsidR="00A03629">
        <w:t xml:space="preserve"> </w:t>
      </w:r>
      <w:r>
        <w:t>loss</w:t>
      </w:r>
      <w:r w:rsidR="00A03629">
        <w:t xml:space="preserve"> </w:t>
      </w:r>
      <w:r>
        <w:t>allowance</w:t>
      </w:r>
      <w:r w:rsidR="00A03629">
        <w:t xml:space="preserve"> </w:t>
      </w:r>
      <w:r>
        <w:t>recognised</w:t>
      </w:r>
      <w:r w:rsidR="00A03629">
        <w:t xml:space="preserve"> </w:t>
      </w:r>
      <w:r>
        <w:t>for</w:t>
      </w:r>
      <w:r w:rsidR="00A03629">
        <w:t xml:space="preserve"> </w:t>
      </w:r>
      <w:r>
        <w:t>these</w:t>
      </w:r>
      <w:r w:rsidR="00A03629">
        <w:t xml:space="preserve"> </w:t>
      </w:r>
      <w:r>
        <w:t>financial</w:t>
      </w:r>
      <w:r w:rsidR="00A03629">
        <w:t xml:space="preserve"> </w:t>
      </w:r>
      <w:r>
        <w:t>assets</w:t>
      </w:r>
      <w:r w:rsidR="00A03629">
        <w:t xml:space="preserve"> </w:t>
      </w:r>
      <w:r>
        <w:t>during</w:t>
      </w:r>
      <w:r w:rsidR="00A03629">
        <w:t xml:space="preserve"> </w:t>
      </w:r>
      <w:r>
        <w:t>the</w:t>
      </w:r>
      <w:r w:rsidR="00A03629">
        <w:t xml:space="preserve"> </w:t>
      </w:r>
      <w:r>
        <w:t>period</w:t>
      </w:r>
      <w:r w:rsidR="00A03629">
        <w:t xml:space="preserve"> </w:t>
      </w:r>
      <w:r>
        <w:t>was</w:t>
      </w:r>
      <w:r w:rsidR="00A03629">
        <w:t xml:space="preserve"> </w:t>
      </w:r>
      <w:r>
        <w:t>limited</w:t>
      </w:r>
      <w:r w:rsidR="00A03629">
        <w:t xml:space="preserve"> </w:t>
      </w:r>
      <w:r>
        <w:t>to</w:t>
      </w:r>
      <w:r w:rsidR="00A03629">
        <w:t xml:space="preserve"> </w:t>
      </w:r>
      <w:r>
        <w:t>12</w:t>
      </w:r>
      <w:r w:rsidR="00A03629">
        <w:t xml:space="preserve"> </w:t>
      </w:r>
      <w:r>
        <w:t>months</w:t>
      </w:r>
      <w:r w:rsidR="00A03629">
        <w:t xml:space="preserve"> </w:t>
      </w:r>
      <w:r>
        <w:t>expected</w:t>
      </w:r>
      <w:r w:rsidR="00A03629">
        <w:t xml:space="preserve"> </w:t>
      </w:r>
      <w:r>
        <w:t>losses.</w:t>
      </w:r>
      <w:r w:rsidR="00A03629">
        <w:t xml:space="preserve"> </w:t>
      </w:r>
      <w:r>
        <w:t>No</w:t>
      </w:r>
      <w:r w:rsidR="00A03629">
        <w:t xml:space="preserve"> </w:t>
      </w:r>
      <w:r>
        <w:t>loss</w:t>
      </w:r>
      <w:r w:rsidR="00A03629">
        <w:t xml:space="preserve"> </w:t>
      </w:r>
      <w:r>
        <w:t>allowance</w:t>
      </w:r>
      <w:r w:rsidR="00A03629">
        <w:t xml:space="preserve"> </w:t>
      </w:r>
      <w:r>
        <w:t>has</w:t>
      </w:r>
      <w:r w:rsidR="00A03629">
        <w:t xml:space="preserve"> </w:t>
      </w:r>
      <w:r>
        <w:t>been</w:t>
      </w:r>
      <w:r w:rsidR="00A03629">
        <w:t xml:space="preserve"> </w:t>
      </w:r>
      <w:r>
        <w:t>recognised.</w:t>
      </w:r>
    </w:p>
    <w:p w14:paraId="02450400" w14:textId="69D01D9E" w:rsidR="000756EB" w:rsidRPr="00CF4123" w:rsidRDefault="004A4D88" w:rsidP="00CF4123">
      <w:pPr>
        <w:pStyle w:val="Normalbeforebullets"/>
        <w:rPr>
          <w:b/>
          <w:bCs/>
        </w:rPr>
      </w:pPr>
      <w:r w:rsidRPr="00CF4123">
        <w:rPr>
          <w:b/>
          <w:bCs/>
        </w:rPr>
        <w:lastRenderedPageBreak/>
        <w:t>Financial</w:t>
      </w:r>
      <w:r w:rsidR="00A03629" w:rsidRPr="00CF4123">
        <w:rPr>
          <w:b/>
          <w:bCs/>
        </w:rPr>
        <w:t xml:space="preserve"> </w:t>
      </w:r>
      <w:r w:rsidRPr="00CF4123">
        <w:rPr>
          <w:b/>
          <w:bCs/>
        </w:rPr>
        <w:t>instruments:</w:t>
      </w:r>
      <w:r w:rsidR="00A03629" w:rsidRPr="00CF4123">
        <w:rPr>
          <w:b/>
          <w:bCs/>
        </w:rPr>
        <w:t xml:space="preserve"> </w:t>
      </w:r>
      <w:r w:rsidRPr="00CF4123">
        <w:rPr>
          <w:b/>
          <w:bCs/>
        </w:rPr>
        <w:t>Liquidity</w:t>
      </w:r>
      <w:r w:rsidR="00A03629" w:rsidRPr="00CF4123">
        <w:rPr>
          <w:b/>
          <w:bCs/>
        </w:rPr>
        <w:t xml:space="preserve"> </w:t>
      </w:r>
      <w:r w:rsidRPr="00CF4123">
        <w:rPr>
          <w:b/>
          <w:bCs/>
        </w:rPr>
        <w:t>risk</w:t>
      </w:r>
      <w:r w:rsidR="00A03629" w:rsidRPr="00CF4123">
        <w:rPr>
          <w:b/>
          <w:bCs/>
        </w:rPr>
        <w:t xml:space="preserve"> </w:t>
      </w:r>
    </w:p>
    <w:p w14:paraId="2CB730FE" w14:textId="6556FACB" w:rsidR="000756EB" w:rsidRDefault="004A4D88" w:rsidP="00CF4123">
      <w:r>
        <w:t>Liquidity</w:t>
      </w:r>
      <w:r w:rsidR="00A03629">
        <w:t xml:space="preserve"> </w:t>
      </w:r>
      <w:r>
        <w:t>risk</w:t>
      </w:r>
      <w:r w:rsidR="00A03629">
        <w:t xml:space="preserve"> </w:t>
      </w:r>
      <w:r>
        <w:t>is</w:t>
      </w:r>
      <w:r w:rsidR="00A03629">
        <w:t xml:space="preserve"> </w:t>
      </w:r>
      <w:r>
        <w:t>the</w:t>
      </w:r>
      <w:r w:rsidR="00A03629">
        <w:t xml:space="preserve"> </w:t>
      </w:r>
      <w:r>
        <w:t>risk</w:t>
      </w:r>
      <w:r w:rsidR="00A03629">
        <w:t xml:space="preserve"> </w:t>
      </w:r>
      <w:r>
        <w:t>that</w:t>
      </w:r>
      <w:r w:rsidR="00A03629">
        <w:t xml:space="preserve"> </w:t>
      </w:r>
      <w:r>
        <w:t>DJSIR</w:t>
      </w:r>
      <w:r w:rsidR="00A03629">
        <w:t xml:space="preserve"> </w:t>
      </w:r>
      <w:r>
        <w:t>would</w:t>
      </w:r>
      <w:r w:rsidR="00A03629">
        <w:t xml:space="preserve"> </w:t>
      </w:r>
      <w:r>
        <w:t>be</w:t>
      </w:r>
      <w:r w:rsidR="00A03629">
        <w:t xml:space="preserve"> </w:t>
      </w:r>
      <w:r>
        <w:t>unable</w:t>
      </w:r>
      <w:r w:rsidR="00A03629">
        <w:t xml:space="preserve"> </w:t>
      </w:r>
      <w:r>
        <w:t>to</w:t>
      </w:r>
      <w:r w:rsidR="00A03629">
        <w:t xml:space="preserve"> </w:t>
      </w:r>
      <w:r>
        <w:t>meet</w:t>
      </w:r>
      <w:r w:rsidR="00A03629">
        <w:t xml:space="preserve"> </w:t>
      </w:r>
      <w:r>
        <w:t>its</w:t>
      </w:r>
      <w:r w:rsidR="00A03629">
        <w:t xml:space="preserve"> </w:t>
      </w:r>
      <w:r>
        <w:t>financial</w:t>
      </w:r>
      <w:r w:rsidR="00A03629">
        <w:t xml:space="preserve"> </w:t>
      </w:r>
      <w:r>
        <w:t>obligations</w:t>
      </w:r>
      <w:r w:rsidR="00A03629">
        <w:t xml:space="preserve"> </w:t>
      </w:r>
      <w:r>
        <w:t>as</w:t>
      </w:r>
      <w:r w:rsidR="00A03629">
        <w:t xml:space="preserve"> </w:t>
      </w:r>
      <w:r>
        <w:t>and</w:t>
      </w:r>
      <w:r w:rsidR="00A03629">
        <w:t xml:space="preserve"> </w:t>
      </w:r>
      <w:r>
        <w:t>when</w:t>
      </w:r>
      <w:r w:rsidR="00A03629">
        <w:t xml:space="preserve"> </w:t>
      </w:r>
      <w:r>
        <w:t>they</w:t>
      </w:r>
      <w:r w:rsidR="00A03629">
        <w:t xml:space="preserve"> </w:t>
      </w:r>
      <w:r>
        <w:t>fall</w:t>
      </w:r>
      <w:r w:rsidR="00A03629">
        <w:t xml:space="preserve"> </w:t>
      </w:r>
      <w:r>
        <w:t>due.</w:t>
      </w:r>
      <w:r w:rsidR="00A03629">
        <w:t xml:space="preserve"> </w:t>
      </w:r>
      <w:r>
        <w:t>DJSIR</w:t>
      </w:r>
      <w:r w:rsidR="00A03629">
        <w:t xml:space="preserve"> </w:t>
      </w:r>
      <w:r>
        <w:t>operates</w:t>
      </w:r>
      <w:r w:rsidR="00A03629">
        <w:t xml:space="preserve"> </w:t>
      </w:r>
      <w:r>
        <w:t>under</w:t>
      </w:r>
      <w:r w:rsidR="00A03629">
        <w:t xml:space="preserve"> </w:t>
      </w:r>
      <w:r>
        <w:t>the</w:t>
      </w:r>
      <w:r w:rsidR="00A03629">
        <w:t xml:space="preserve"> </w:t>
      </w:r>
      <w:r>
        <w:t>government</w:t>
      </w:r>
      <w:r w:rsidR="00A03629">
        <w:t xml:space="preserve"> </w:t>
      </w:r>
      <w:r>
        <w:t>fair</w:t>
      </w:r>
      <w:r w:rsidR="00A03629">
        <w:t xml:space="preserve"> </w:t>
      </w:r>
      <w:r>
        <w:t>payments</w:t>
      </w:r>
      <w:r w:rsidR="00A03629">
        <w:t xml:space="preserve"> </w:t>
      </w:r>
      <w:r>
        <w:t>policy</w:t>
      </w:r>
      <w:r w:rsidR="00A03629">
        <w:t xml:space="preserve"> </w:t>
      </w:r>
      <w:r>
        <w:t>of</w:t>
      </w:r>
      <w:r w:rsidR="00A03629">
        <w:t xml:space="preserve"> </w:t>
      </w:r>
      <w:r>
        <w:t>settling</w:t>
      </w:r>
      <w:r w:rsidR="00A03629">
        <w:t xml:space="preserve"> </w:t>
      </w:r>
      <w:r>
        <w:t>financial</w:t>
      </w:r>
      <w:r w:rsidR="00A03629">
        <w:t xml:space="preserve"> </w:t>
      </w:r>
      <w:r>
        <w:t>obligations</w:t>
      </w:r>
      <w:r w:rsidR="00A03629">
        <w:t xml:space="preserve"> </w:t>
      </w:r>
      <w:r>
        <w:t>within</w:t>
      </w:r>
      <w:r w:rsidR="00A03629">
        <w:t xml:space="preserve"> </w:t>
      </w:r>
      <w:r>
        <w:t>30</w:t>
      </w:r>
      <w:r w:rsidR="00A03629">
        <w:t xml:space="preserve"> </w:t>
      </w:r>
      <w:r>
        <w:t>days</w:t>
      </w:r>
      <w:r w:rsidR="00A03629">
        <w:t xml:space="preserve"> </w:t>
      </w:r>
      <w:r>
        <w:t>and</w:t>
      </w:r>
      <w:r w:rsidR="00A03629">
        <w:t xml:space="preserve"> </w:t>
      </w:r>
      <w:r>
        <w:t>in</w:t>
      </w:r>
      <w:r w:rsidR="00A03629">
        <w:t xml:space="preserve"> </w:t>
      </w:r>
      <w:r>
        <w:t>the</w:t>
      </w:r>
      <w:r w:rsidR="00A03629">
        <w:t xml:space="preserve"> </w:t>
      </w:r>
      <w:r>
        <w:t>event</w:t>
      </w:r>
      <w:r w:rsidR="00A03629">
        <w:t xml:space="preserve"> </w:t>
      </w:r>
      <w:r>
        <w:t>of</w:t>
      </w:r>
      <w:r w:rsidR="00A03629">
        <w:t xml:space="preserve"> </w:t>
      </w:r>
      <w:r>
        <w:t>a</w:t>
      </w:r>
      <w:r w:rsidR="00A03629">
        <w:t xml:space="preserve"> </w:t>
      </w:r>
      <w:r>
        <w:t>dispute,</w:t>
      </w:r>
      <w:r w:rsidR="00A03629">
        <w:t xml:space="preserve"> </w:t>
      </w:r>
      <w:r>
        <w:t>making</w:t>
      </w:r>
      <w:r w:rsidR="00A03629">
        <w:t xml:space="preserve"> </w:t>
      </w:r>
      <w:r>
        <w:t>payments</w:t>
      </w:r>
      <w:r w:rsidR="00A03629">
        <w:t xml:space="preserve"> </w:t>
      </w:r>
      <w:r>
        <w:t>within</w:t>
      </w:r>
      <w:r w:rsidR="00A03629">
        <w:t xml:space="preserve"> </w:t>
      </w:r>
      <w:r>
        <w:t>30</w:t>
      </w:r>
      <w:r w:rsidR="00A03629">
        <w:t xml:space="preserve"> </w:t>
      </w:r>
      <w:r>
        <w:t>days</w:t>
      </w:r>
      <w:r w:rsidR="00A03629">
        <w:t xml:space="preserve"> </w:t>
      </w:r>
      <w:r>
        <w:t>from</w:t>
      </w:r>
      <w:r w:rsidR="00A03629">
        <w:t xml:space="preserve"> </w:t>
      </w:r>
      <w:r>
        <w:t>the</w:t>
      </w:r>
      <w:r w:rsidR="00A03629">
        <w:t xml:space="preserve"> </w:t>
      </w:r>
      <w:r>
        <w:t>date</w:t>
      </w:r>
      <w:r w:rsidR="00A03629">
        <w:t xml:space="preserve"> </w:t>
      </w:r>
      <w:r>
        <w:t>of</w:t>
      </w:r>
      <w:r w:rsidR="00A03629">
        <w:t xml:space="preserve"> </w:t>
      </w:r>
      <w:r>
        <w:t>resolution.</w:t>
      </w:r>
    </w:p>
    <w:p w14:paraId="0ADF5493" w14:textId="3E2AE75F" w:rsidR="000756EB" w:rsidRDefault="004A4D88" w:rsidP="00CF4123">
      <w:pPr>
        <w:pStyle w:val="Normalbeforebullets"/>
      </w:pPr>
      <w:r>
        <w:t>DJSIR’s</w:t>
      </w:r>
      <w:r w:rsidR="00A03629">
        <w:t xml:space="preserve"> </w:t>
      </w:r>
      <w:r>
        <w:t>maximum</w:t>
      </w:r>
      <w:r w:rsidR="00A03629">
        <w:t xml:space="preserve"> </w:t>
      </w:r>
      <w:r>
        <w:t>exposure</w:t>
      </w:r>
      <w:r w:rsidR="00A03629">
        <w:t xml:space="preserve"> </w:t>
      </w:r>
      <w:r>
        <w:t>to</w:t>
      </w:r>
      <w:r w:rsidR="00A03629">
        <w:t xml:space="preserve"> </w:t>
      </w:r>
      <w:r>
        <w:t>liquidity</w:t>
      </w:r>
      <w:r w:rsidR="00A03629">
        <w:t xml:space="preserve"> </w:t>
      </w:r>
      <w:r>
        <w:t>risk</w:t>
      </w:r>
      <w:r w:rsidR="00A03629">
        <w:t xml:space="preserve"> </w:t>
      </w:r>
      <w:r>
        <w:t>is</w:t>
      </w:r>
      <w:r w:rsidR="00A03629">
        <w:t xml:space="preserve"> </w:t>
      </w:r>
      <w:r>
        <w:t>the</w:t>
      </w:r>
      <w:r w:rsidR="00A03629">
        <w:t xml:space="preserve"> </w:t>
      </w:r>
      <w:r>
        <w:t>carrying</w:t>
      </w:r>
      <w:r w:rsidR="00A03629">
        <w:t xml:space="preserve"> </w:t>
      </w:r>
      <w:r>
        <w:t>amounts</w:t>
      </w:r>
      <w:r w:rsidR="00A03629">
        <w:t xml:space="preserve"> </w:t>
      </w:r>
      <w:r>
        <w:t>of</w:t>
      </w:r>
      <w:r w:rsidR="00A03629">
        <w:t xml:space="preserve"> </w:t>
      </w:r>
      <w:r>
        <w:t>financial</w:t>
      </w:r>
      <w:r w:rsidR="00A03629">
        <w:t xml:space="preserve"> </w:t>
      </w:r>
      <w:r>
        <w:t>liabilities</w:t>
      </w:r>
      <w:r w:rsidR="00A03629">
        <w:t xml:space="preserve"> </w:t>
      </w:r>
      <w:r>
        <w:t>as</w:t>
      </w:r>
      <w:r w:rsidR="00A03629">
        <w:t xml:space="preserve"> </w:t>
      </w:r>
      <w:r>
        <w:t>disclosed</w:t>
      </w:r>
      <w:r w:rsidR="00A03629">
        <w:t xml:space="preserve"> </w:t>
      </w:r>
      <w:r>
        <w:t>in</w:t>
      </w:r>
      <w:r w:rsidR="00A03629">
        <w:t xml:space="preserve"> </w:t>
      </w:r>
      <w:r>
        <w:t>the</w:t>
      </w:r>
      <w:r w:rsidR="00A03629">
        <w:t xml:space="preserve"> </w:t>
      </w:r>
      <w:r>
        <w:t>balance</w:t>
      </w:r>
      <w:r w:rsidR="00A03629">
        <w:t xml:space="preserve"> </w:t>
      </w:r>
      <w:r>
        <w:t>sheet.</w:t>
      </w:r>
      <w:r w:rsidR="00A03629">
        <w:t xml:space="preserve"> </w:t>
      </w:r>
      <w:r>
        <w:t>DJSIR</w:t>
      </w:r>
      <w:r w:rsidR="00A03629">
        <w:t xml:space="preserve"> </w:t>
      </w:r>
      <w:r>
        <w:t>manages</w:t>
      </w:r>
      <w:r w:rsidR="00A03629">
        <w:t xml:space="preserve"> </w:t>
      </w:r>
      <w:r>
        <w:t>its</w:t>
      </w:r>
      <w:r w:rsidR="00A03629">
        <w:t xml:space="preserve"> </w:t>
      </w:r>
      <w:r>
        <w:t>liquidity</w:t>
      </w:r>
      <w:r w:rsidR="00A03629">
        <w:t xml:space="preserve"> </w:t>
      </w:r>
      <w:r>
        <w:t>risk</w:t>
      </w:r>
      <w:r w:rsidR="00A03629">
        <w:t xml:space="preserve"> </w:t>
      </w:r>
      <w:r>
        <w:t>by:</w:t>
      </w:r>
    </w:p>
    <w:p w14:paraId="34BC3CC8" w14:textId="6E4C3048" w:rsidR="000756EB" w:rsidRDefault="004A4D88" w:rsidP="00CF4123">
      <w:pPr>
        <w:pStyle w:val="Bullet"/>
      </w:pPr>
      <w:r>
        <w:t>close</w:t>
      </w:r>
      <w:r w:rsidR="00A03629">
        <w:t xml:space="preserve"> </w:t>
      </w:r>
      <w:r>
        <w:t>monitoring</w:t>
      </w:r>
      <w:r w:rsidR="00A03629">
        <w:t xml:space="preserve"> </w:t>
      </w:r>
      <w:r>
        <w:t>of</w:t>
      </w:r>
      <w:r w:rsidR="00A03629">
        <w:t xml:space="preserve"> </w:t>
      </w:r>
      <w:r>
        <w:t>its</w:t>
      </w:r>
      <w:r w:rsidR="00A03629">
        <w:t xml:space="preserve"> </w:t>
      </w:r>
      <w:r>
        <w:t>short-term</w:t>
      </w:r>
      <w:r w:rsidR="00A03629">
        <w:t xml:space="preserve"> </w:t>
      </w:r>
      <w:r>
        <w:t>and</w:t>
      </w:r>
      <w:r w:rsidR="00A03629">
        <w:t xml:space="preserve"> </w:t>
      </w:r>
      <w:r>
        <w:t>long-term</w:t>
      </w:r>
      <w:r w:rsidR="00A03629">
        <w:t xml:space="preserve"> </w:t>
      </w:r>
      <w:r>
        <w:t>borrowings</w:t>
      </w:r>
      <w:r w:rsidR="00A03629">
        <w:t xml:space="preserve"> </w:t>
      </w:r>
      <w:r>
        <w:t>by</w:t>
      </w:r>
      <w:r w:rsidR="00A03629">
        <w:t xml:space="preserve"> </w:t>
      </w:r>
      <w:r>
        <w:t>senior</w:t>
      </w:r>
      <w:r w:rsidR="00A03629">
        <w:t xml:space="preserve"> </w:t>
      </w:r>
      <w:r>
        <w:t>management,</w:t>
      </w:r>
      <w:r w:rsidR="00A03629">
        <w:t xml:space="preserve"> </w:t>
      </w:r>
      <w:r>
        <w:t>including</w:t>
      </w:r>
      <w:r w:rsidR="00A03629">
        <w:t xml:space="preserve"> </w:t>
      </w:r>
      <w:r>
        <w:t>monthly</w:t>
      </w:r>
      <w:r w:rsidR="00A03629">
        <w:t xml:space="preserve"> </w:t>
      </w:r>
      <w:r>
        <w:t>reviews</w:t>
      </w:r>
      <w:r w:rsidR="00A03629">
        <w:t xml:space="preserve"> </w:t>
      </w:r>
      <w:r>
        <w:t>on</w:t>
      </w:r>
      <w:r w:rsidR="00A03629">
        <w:t xml:space="preserve"> </w:t>
      </w:r>
      <w:r>
        <w:t>current</w:t>
      </w:r>
      <w:r w:rsidR="00A03629">
        <w:t xml:space="preserve"> </w:t>
      </w:r>
      <w:r>
        <w:t>and</w:t>
      </w:r>
      <w:r w:rsidR="00A03629">
        <w:t xml:space="preserve"> </w:t>
      </w:r>
      <w:r>
        <w:t>future</w:t>
      </w:r>
      <w:r w:rsidR="00A03629">
        <w:t xml:space="preserve"> </w:t>
      </w:r>
      <w:r>
        <w:t>borrowing</w:t>
      </w:r>
      <w:r w:rsidR="00A03629">
        <w:t xml:space="preserve"> </w:t>
      </w:r>
      <w:r>
        <w:t>levels</w:t>
      </w:r>
      <w:r w:rsidR="00A03629">
        <w:t xml:space="preserve"> </w:t>
      </w:r>
      <w:r>
        <w:t>and</w:t>
      </w:r>
      <w:r w:rsidR="00A03629">
        <w:t xml:space="preserve"> </w:t>
      </w:r>
      <w:proofErr w:type="gramStart"/>
      <w:r>
        <w:t>requirements;</w:t>
      </w:r>
      <w:proofErr w:type="gramEnd"/>
    </w:p>
    <w:p w14:paraId="34749308" w14:textId="16A28EA5" w:rsidR="000756EB" w:rsidRDefault="004A4D88" w:rsidP="00CF4123">
      <w:pPr>
        <w:pStyle w:val="Bullet"/>
      </w:pPr>
      <w:r>
        <w:t>holding</w:t>
      </w:r>
      <w:r w:rsidR="00A03629">
        <w:t xml:space="preserve"> </w:t>
      </w:r>
      <w:r>
        <w:t>investments</w:t>
      </w:r>
      <w:r w:rsidR="00A03629">
        <w:t xml:space="preserve"> </w:t>
      </w:r>
      <w:r>
        <w:t>and</w:t>
      </w:r>
      <w:r w:rsidR="00A03629">
        <w:t xml:space="preserve"> </w:t>
      </w:r>
      <w:r>
        <w:t>other</w:t>
      </w:r>
      <w:r w:rsidR="00A03629">
        <w:t xml:space="preserve"> </w:t>
      </w:r>
      <w:r>
        <w:t>contractual</w:t>
      </w:r>
      <w:r w:rsidR="00A03629">
        <w:t xml:space="preserve"> </w:t>
      </w:r>
      <w:r>
        <w:t>financial</w:t>
      </w:r>
      <w:r w:rsidR="00A03629">
        <w:t xml:space="preserve"> </w:t>
      </w:r>
      <w:r>
        <w:t>assets</w:t>
      </w:r>
      <w:r w:rsidR="00A03629">
        <w:t xml:space="preserve"> </w:t>
      </w:r>
      <w:r>
        <w:t>that</w:t>
      </w:r>
      <w:r w:rsidR="00A03629">
        <w:t xml:space="preserve"> </w:t>
      </w:r>
      <w:r>
        <w:t>are</w:t>
      </w:r>
      <w:r w:rsidR="00A03629">
        <w:t xml:space="preserve"> </w:t>
      </w:r>
      <w:r>
        <w:t>readily</w:t>
      </w:r>
      <w:r w:rsidR="00A03629">
        <w:t xml:space="preserve"> </w:t>
      </w:r>
      <w:r>
        <w:t>tradeable</w:t>
      </w:r>
      <w:r w:rsidR="00A03629">
        <w:t xml:space="preserve"> </w:t>
      </w:r>
      <w:r>
        <w:t>in</w:t>
      </w:r>
      <w:r w:rsidR="00A03629">
        <w:rPr>
          <w:rFonts w:ascii="Cambria" w:hAnsi="Cambria" w:cs="Cambria"/>
        </w:rPr>
        <w:t xml:space="preserve"> </w:t>
      </w:r>
      <w:r>
        <w:t>the</w:t>
      </w:r>
      <w:r w:rsidR="00A03629">
        <w:rPr>
          <w:rFonts w:ascii="Cambria" w:hAnsi="Cambria" w:cs="Cambria"/>
        </w:rPr>
        <w:t xml:space="preserve"> </w:t>
      </w:r>
      <w:r>
        <w:t>financial</w:t>
      </w:r>
      <w:r w:rsidR="00A03629">
        <w:t xml:space="preserve"> </w:t>
      </w:r>
      <w:r>
        <w:t>markets</w:t>
      </w:r>
    </w:p>
    <w:p w14:paraId="77397398" w14:textId="1264F955" w:rsidR="000756EB" w:rsidRDefault="004A4D88" w:rsidP="00CF4123">
      <w:pPr>
        <w:pStyle w:val="Bullet"/>
      </w:pPr>
      <w:r>
        <w:t>careful</w:t>
      </w:r>
      <w:r w:rsidR="00A03629">
        <w:t xml:space="preserve"> </w:t>
      </w:r>
      <w:r>
        <w:t>maturity</w:t>
      </w:r>
      <w:r w:rsidR="00A03629">
        <w:t xml:space="preserve"> </w:t>
      </w:r>
      <w:r>
        <w:t>planning</w:t>
      </w:r>
      <w:r w:rsidR="00A03629">
        <w:t xml:space="preserve"> </w:t>
      </w:r>
      <w:r>
        <w:t>of</w:t>
      </w:r>
      <w:r w:rsidR="00A03629">
        <w:t xml:space="preserve"> </w:t>
      </w:r>
      <w:r>
        <w:t>its</w:t>
      </w:r>
      <w:r w:rsidR="00A03629">
        <w:t xml:space="preserve"> </w:t>
      </w:r>
      <w:r>
        <w:t>financial</w:t>
      </w:r>
      <w:r w:rsidR="00A03629">
        <w:t xml:space="preserve"> </w:t>
      </w:r>
      <w:r>
        <w:t>obligations</w:t>
      </w:r>
      <w:r w:rsidR="00A03629">
        <w:t xml:space="preserve"> </w:t>
      </w:r>
      <w:r>
        <w:t>based</w:t>
      </w:r>
      <w:r w:rsidR="00A03629">
        <w:t xml:space="preserve"> </w:t>
      </w:r>
      <w:r>
        <w:t>on</w:t>
      </w:r>
      <w:r w:rsidR="00A03629">
        <w:t xml:space="preserve"> </w:t>
      </w:r>
      <w:r>
        <w:t>forecasts</w:t>
      </w:r>
      <w:r w:rsidR="00A03629">
        <w:t xml:space="preserve"> </w:t>
      </w:r>
      <w:r>
        <w:t>of</w:t>
      </w:r>
      <w:r w:rsidR="00A03629">
        <w:t xml:space="preserve"> </w:t>
      </w:r>
      <w:r>
        <w:t>future</w:t>
      </w:r>
      <w:r w:rsidR="00A03629">
        <w:t xml:space="preserve"> </w:t>
      </w:r>
      <w:r>
        <w:t>cash</w:t>
      </w:r>
      <w:r w:rsidR="00A03629">
        <w:rPr>
          <w:rFonts w:ascii="Cambria" w:hAnsi="Cambria" w:cs="Cambria"/>
        </w:rPr>
        <w:t xml:space="preserve"> </w:t>
      </w:r>
      <w:r>
        <w:t>flows</w:t>
      </w:r>
    </w:p>
    <w:p w14:paraId="72147851" w14:textId="7636F4DA" w:rsidR="000756EB" w:rsidRDefault="004A4D88" w:rsidP="00CF4123">
      <w:pPr>
        <w:pStyle w:val="Bulletlast"/>
      </w:pPr>
      <w:r>
        <w:t>a</w:t>
      </w:r>
      <w:r w:rsidR="00A03629">
        <w:t xml:space="preserve"> </w:t>
      </w:r>
      <w:r>
        <w:t>high</w:t>
      </w:r>
      <w:r w:rsidR="00A03629">
        <w:t xml:space="preserve"> </w:t>
      </w:r>
      <w:r>
        <w:t>credit</w:t>
      </w:r>
      <w:r w:rsidR="00A03629">
        <w:t xml:space="preserve"> </w:t>
      </w:r>
      <w:r>
        <w:t>rating</w:t>
      </w:r>
      <w:r w:rsidR="00A03629">
        <w:t xml:space="preserve"> </w:t>
      </w:r>
      <w:r>
        <w:t>for</w:t>
      </w:r>
      <w:r w:rsidR="00A03629">
        <w:t xml:space="preserve"> </w:t>
      </w:r>
      <w:r>
        <w:t>the</w:t>
      </w:r>
      <w:r w:rsidR="00A03629">
        <w:t xml:space="preserve"> </w:t>
      </w:r>
      <w:r>
        <w:t>State</w:t>
      </w:r>
      <w:r w:rsidR="00A03629">
        <w:t xml:space="preserve"> </w:t>
      </w:r>
      <w:r>
        <w:t>of</w:t>
      </w:r>
      <w:r w:rsidR="00A03629">
        <w:t xml:space="preserve"> </w:t>
      </w:r>
      <w:r>
        <w:t>Victoria</w:t>
      </w:r>
      <w:r w:rsidR="00A03629">
        <w:t xml:space="preserve"> </w:t>
      </w:r>
      <w:r>
        <w:t>(Moody’s</w:t>
      </w:r>
      <w:r w:rsidR="00A03629">
        <w:t xml:space="preserve"> </w:t>
      </w:r>
      <w:r>
        <w:t>Investor</w:t>
      </w:r>
      <w:r w:rsidR="00A03629">
        <w:t xml:space="preserve"> </w:t>
      </w:r>
      <w:r>
        <w:t>Services</w:t>
      </w:r>
      <w:r w:rsidR="00A03629">
        <w:t xml:space="preserve"> </w:t>
      </w:r>
      <w:r>
        <w:t>&amp;</w:t>
      </w:r>
      <w:r w:rsidR="00A03629">
        <w:t xml:space="preserve"> </w:t>
      </w:r>
      <w:r>
        <w:t>Standard</w:t>
      </w:r>
      <w:r w:rsidR="00A03629">
        <w:t xml:space="preserve"> </w:t>
      </w:r>
      <w:r>
        <w:t>&amp;</w:t>
      </w:r>
      <w:r w:rsidR="00A03629">
        <w:t xml:space="preserve"> </w:t>
      </w:r>
      <w:r>
        <w:t>Poor’s</w:t>
      </w:r>
      <w:r w:rsidR="00A03629">
        <w:t xml:space="preserve"> </w:t>
      </w:r>
      <w:proofErr w:type="gramStart"/>
      <w:r>
        <w:t>double-A</w:t>
      </w:r>
      <w:proofErr w:type="gramEnd"/>
      <w:r>
        <w:t>),</w:t>
      </w:r>
      <w:r w:rsidR="00A03629">
        <w:t xml:space="preserve"> </w:t>
      </w:r>
      <w:r>
        <w:t>which</w:t>
      </w:r>
      <w:r w:rsidR="00A03629">
        <w:t xml:space="preserve"> </w:t>
      </w:r>
      <w:r>
        <w:t>assists</w:t>
      </w:r>
      <w:r w:rsidR="00A03629">
        <w:t xml:space="preserve"> </w:t>
      </w:r>
      <w:r>
        <w:t>in</w:t>
      </w:r>
      <w:r w:rsidR="00A03629">
        <w:t xml:space="preserve"> </w:t>
      </w:r>
      <w:r>
        <w:t>accessing</w:t>
      </w:r>
      <w:r w:rsidR="00A03629">
        <w:t xml:space="preserve"> </w:t>
      </w:r>
      <w:r>
        <w:t>debt</w:t>
      </w:r>
      <w:r w:rsidR="00A03629">
        <w:t xml:space="preserve"> </w:t>
      </w:r>
      <w:r>
        <w:t>market</w:t>
      </w:r>
      <w:r w:rsidR="00A03629">
        <w:t xml:space="preserve"> </w:t>
      </w:r>
      <w:r>
        <w:t>at</w:t>
      </w:r>
      <w:r w:rsidR="00A03629">
        <w:t xml:space="preserve"> </w:t>
      </w:r>
      <w:r>
        <w:t>a</w:t>
      </w:r>
      <w:r w:rsidR="00A03629">
        <w:t xml:space="preserve"> </w:t>
      </w:r>
      <w:r>
        <w:t>lower</w:t>
      </w:r>
      <w:r w:rsidR="00A03629">
        <w:t xml:space="preserve"> </w:t>
      </w:r>
      <w:r>
        <w:t>interest</w:t>
      </w:r>
      <w:r w:rsidR="00A03629">
        <w:t xml:space="preserve"> </w:t>
      </w:r>
      <w:r>
        <w:t>rate.</w:t>
      </w:r>
    </w:p>
    <w:p w14:paraId="16589D0F" w14:textId="0F34D46E" w:rsidR="000756EB" w:rsidRDefault="004A4D88" w:rsidP="00CF4123">
      <w:r>
        <w:t>DJSIR’s</w:t>
      </w:r>
      <w:r w:rsidR="00A03629">
        <w:t xml:space="preserve"> </w:t>
      </w:r>
      <w:r>
        <w:t>exposure</w:t>
      </w:r>
      <w:r w:rsidR="00A03629">
        <w:t xml:space="preserve"> </w:t>
      </w:r>
      <w:r>
        <w:t>to</w:t>
      </w:r>
      <w:r w:rsidR="00A03629">
        <w:t xml:space="preserve"> </w:t>
      </w:r>
      <w:r>
        <w:t>liquidity</w:t>
      </w:r>
      <w:r w:rsidR="00A03629">
        <w:t xml:space="preserve"> </w:t>
      </w:r>
      <w:r>
        <w:t>risk</w:t>
      </w:r>
      <w:r w:rsidR="00A03629">
        <w:t xml:space="preserve"> </w:t>
      </w:r>
      <w:r>
        <w:t>is</w:t>
      </w:r>
      <w:r w:rsidR="00A03629">
        <w:t xml:space="preserve"> </w:t>
      </w:r>
      <w:r>
        <w:t>deemed</w:t>
      </w:r>
      <w:r w:rsidR="00A03629">
        <w:t xml:space="preserve"> </w:t>
      </w:r>
      <w:r>
        <w:t>insignificant</w:t>
      </w:r>
      <w:r w:rsidR="00A03629">
        <w:t xml:space="preserve"> </w:t>
      </w:r>
      <w:r>
        <w:t>based</w:t>
      </w:r>
      <w:r w:rsidR="00A03629">
        <w:t xml:space="preserve"> </w:t>
      </w:r>
      <w:r>
        <w:t>the</w:t>
      </w:r>
      <w:r w:rsidR="00A03629">
        <w:t xml:space="preserve"> </w:t>
      </w:r>
      <w:r>
        <w:t>current</w:t>
      </w:r>
      <w:r w:rsidR="00A03629">
        <w:t xml:space="preserve"> </w:t>
      </w:r>
      <w:r>
        <w:t>assessment</w:t>
      </w:r>
      <w:r w:rsidR="00A03629">
        <w:t xml:space="preserve"> </w:t>
      </w:r>
      <w:r>
        <w:t>of</w:t>
      </w:r>
      <w:r w:rsidR="00A03629">
        <w:t xml:space="preserve"> </w:t>
      </w:r>
      <w:r>
        <w:t>risk.</w:t>
      </w:r>
      <w:r w:rsidR="00A03629">
        <w:t xml:space="preserve"> </w:t>
      </w:r>
      <w:r>
        <w:t>Cash</w:t>
      </w:r>
      <w:r w:rsidR="00A03629">
        <w:t xml:space="preserve"> </w:t>
      </w:r>
      <w:r>
        <w:t>for</w:t>
      </w:r>
      <w:r w:rsidR="00A03629">
        <w:t xml:space="preserve"> </w:t>
      </w:r>
      <w:r>
        <w:t>unexpected</w:t>
      </w:r>
      <w:r w:rsidR="00A03629">
        <w:t xml:space="preserve"> </w:t>
      </w:r>
      <w:r>
        <w:t>events</w:t>
      </w:r>
      <w:r w:rsidR="00A03629">
        <w:t xml:space="preserve"> </w:t>
      </w:r>
      <w:r>
        <w:t>is</w:t>
      </w:r>
      <w:r w:rsidR="00A03629">
        <w:t xml:space="preserve"> </w:t>
      </w:r>
      <w:r>
        <w:t>generally</w:t>
      </w:r>
      <w:r w:rsidR="00A03629">
        <w:t xml:space="preserve"> </w:t>
      </w:r>
      <w:r>
        <w:t>sourced</w:t>
      </w:r>
      <w:r w:rsidR="00A03629">
        <w:t xml:space="preserve"> </w:t>
      </w:r>
      <w:r>
        <w:t>from</w:t>
      </w:r>
      <w:r w:rsidR="00A03629">
        <w:t xml:space="preserve"> </w:t>
      </w:r>
      <w:r>
        <w:t>liquidation</w:t>
      </w:r>
      <w:r w:rsidR="00A03629">
        <w:t xml:space="preserve"> </w:t>
      </w:r>
      <w:r>
        <w:t>of</w:t>
      </w:r>
      <w:r w:rsidR="00A03629">
        <w:t xml:space="preserve"> </w:t>
      </w:r>
      <w:r>
        <w:t>financial</w:t>
      </w:r>
      <w:r w:rsidR="00A03629">
        <w:t xml:space="preserve"> </w:t>
      </w:r>
      <w:r>
        <w:t>investments.</w:t>
      </w:r>
      <w:r w:rsidR="00A03629">
        <w:t xml:space="preserve"> </w:t>
      </w:r>
      <w:r>
        <w:t>Maximum</w:t>
      </w:r>
      <w:r w:rsidR="00A03629">
        <w:t xml:space="preserve"> </w:t>
      </w:r>
      <w:r>
        <w:t>exposure</w:t>
      </w:r>
      <w:r w:rsidR="00A03629">
        <w:t xml:space="preserve"> </w:t>
      </w:r>
      <w:r>
        <w:t>to</w:t>
      </w:r>
      <w:r w:rsidR="00A03629">
        <w:t xml:space="preserve"> </w:t>
      </w:r>
      <w:r>
        <w:t>liquidity</w:t>
      </w:r>
      <w:r w:rsidR="00A03629">
        <w:t xml:space="preserve"> </w:t>
      </w:r>
      <w:r>
        <w:t>risk</w:t>
      </w:r>
      <w:r w:rsidR="00A03629">
        <w:t xml:space="preserve"> </w:t>
      </w:r>
      <w:r>
        <w:t>is</w:t>
      </w:r>
      <w:r w:rsidR="00A03629">
        <w:t xml:space="preserve"> </w:t>
      </w:r>
      <w:r>
        <w:t>the</w:t>
      </w:r>
      <w:r w:rsidR="00A03629">
        <w:t xml:space="preserve"> </w:t>
      </w:r>
      <w:r>
        <w:t>carrying</w:t>
      </w:r>
      <w:r w:rsidR="00A03629">
        <w:t xml:space="preserve"> </w:t>
      </w:r>
      <w:r>
        <w:t>amounts</w:t>
      </w:r>
      <w:r w:rsidR="00A03629">
        <w:t xml:space="preserve"> </w:t>
      </w:r>
      <w:r>
        <w:t>of</w:t>
      </w:r>
      <w:r w:rsidR="00A03629">
        <w:t xml:space="preserve"> </w:t>
      </w:r>
      <w:r>
        <w:t>financial</w:t>
      </w:r>
      <w:r w:rsidR="00A03629">
        <w:t xml:space="preserve"> </w:t>
      </w:r>
      <w:r>
        <w:t>liabilities</w:t>
      </w:r>
      <w:r w:rsidR="00A03629">
        <w:t xml:space="preserve"> </w:t>
      </w:r>
      <w:r>
        <w:t>as</w:t>
      </w:r>
      <w:r w:rsidR="00A03629">
        <w:t xml:space="preserve"> </w:t>
      </w:r>
      <w:r>
        <w:t>disclosed</w:t>
      </w:r>
      <w:r w:rsidR="00A03629">
        <w:t xml:space="preserve"> </w:t>
      </w:r>
      <w:r>
        <w:t>in</w:t>
      </w:r>
      <w:r w:rsidR="00A03629">
        <w:t xml:space="preserve"> </w:t>
      </w:r>
      <w:r>
        <w:t>the</w:t>
      </w:r>
      <w:r w:rsidR="00A03629">
        <w:t xml:space="preserve"> </w:t>
      </w:r>
      <w:r>
        <w:t>balance</w:t>
      </w:r>
      <w:r w:rsidR="00A03629">
        <w:t xml:space="preserve"> </w:t>
      </w:r>
      <w:r>
        <w:t>sheet.</w:t>
      </w:r>
    </w:p>
    <w:p w14:paraId="608E1600" w14:textId="6680D9B1" w:rsidR="000756EB" w:rsidRPr="00CF4123" w:rsidRDefault="004A4D88" w:rsidP="00CF4123">
      <w:pPr>
        <w:pStyle w:val="Normalbeforebullets"/>
        <w:rPr>
          <w:b/>
          <w:bCs/>
        </w:rPr>
      </w:pPr>
      <w:r w:rsidRPr="00CF4123">
        <w:rPr>
          <w:b/>
          <w:bCs/>
        </w:rPr>
        <w:t>Financial</w:t>
      </w:r>
      <w:r w:rsidR="00A03629" w:rsidRPr="00CF4123">
        <w:rPr>
          <w:b/>
          <w:bCs/>
        </w:rPr>
        <w:t xml:space="preserve"> </w:t>
      </w:r>
      <w:r w:rsidRPr="00CF4123">
        <w:rPr>
          <w:b/>
          <w:bCs/>
        </w:rPr>
        <w:t>instruments:</w:t>
      </w:r>
      <w:r w:rsidR="00A03629" w:rsidRPr="00CF4123">
        <w:rPr>
          <w:b/>
          <w:bCs/>
        </w:rPr>
        <w:t xml:space="preserve"> </w:t>
      </w:r>
      <w:r w:rsidRPr="00CF4123">
        <w:rPr>
          <w:b/>
          <w:bCs/>
        </w:rPr>
        <w:t>Market</w:t>
      </w:r>
      <w:r w:rsidR="00A03629" w:rsidRPr="00CF4123">
        <w:rPr>
          <w:b/>
          <w:bCs/>
        </w:rPr>
        <w:t xml:space="preserve"> </w:t>
      </w:r>
      <w:r w:rsidRPr="00CF4123">
        <w:rPr>
          <w:b/>
          <w:bCs/>
        </w:rPr>
        <w:t>risk</w:t>
      </w:r>
      <w:r w:rsidR="00A03629" w:rsidRPr="00CF4123">
        <w:rPr>
          <w:b/>
          <w:bCs/>
        </w:rPr>
        <w:t xml:space="preserve"> </w:t>
      </w:r>
    </w:p>
    <w:p w14:paraId="45EED7C4" w14:textId="25B7D29F" w:rsidR="000756EB" w:rsidRDefault="004A4D88" w:rsidP="00CF4123">
      <w:r>
        <w:t>DJSIR’s</w:t>
      </w:r>
      <w:r w:rsidR="00A03629">
        <w:t xml:space="preserve"> </w:t>
      </w:r>
      <w:r>
        <w:t>exposures</w:t>
      </w:r>
      <w:r w:rsidR="00A03629">
        <w:t xml:space="preserve"> </w:t>
      </w:r>
      <w:r>
        <w:t>to</w:t>
      </w:r>
      <w:r w:rsidR="00A03629">
        <w:t xml:space="preserve"> </w:t>
      </w:r>
      <w:r>
        <w:t>market</w:t>
      </w:r>
      <w:r w:rsidR="00A03629">
        <w:t xml:space="preserve"> </w:t>
      </w:r>
      <w:r>
        <w:t>risk</w:t>
      </w:r>
      <w:r w:rsidR="00A03629">
        <w:t xml:space="preserve"> </w:t>
      </w:r>
      <w:r>
        <w:t>are</w:t>
      </w:r>
      <w:r w:rsidR="00A03629">
        <w:t xml:space="preserve"> </w:t>
      </w:r>
      <w:r>
        <w:t>primarily</w:t>
      </w:r>
      <w:r w:rsidR="00A03629">
        <w:t xml:space="preserve"> </w:t>
      </w:r>
      <w:r>
        <w:t>through</w:t>
      </w:r>
      <w:r w:rsidR="00A03629">
        <w:t xml:space="preserve"> </w:t>
      </w:r>
      <w:r>
        <w:t>interest</w:t>
      </w:r>
      <w:r w:rsidR="00A03629">
        <w:t xml:space="preserve"> </w:t>
      </w:r>
      <w:r>
        <w:t>rate</w:t>
      </w:r>
      <w:r w:rsidR="00A03629">
        <w:t xml:space="preserve"> </w:t>
      </w:r>
      <w:r>
        <w:t>risk</w:t>
      </w:r>
      <w:r w:rsidR="00A03629">
        <w:t xml:space="preserve"> </w:t>
      </w:r>
      <w:r>
        <w:t>with</w:t>
      </w:r>
      <w:r w:rsidR="00A03629">
        <w:t xml:space="preserve"> </w:t>
      </w:r>
      <w:r>
        <w:t>only</w:t>
      </w:r>
      <w:r w:rsidR="00A03629">
        <w:t xml:space="preserve"> </w:t>
      </w:r>
      <w:r>
        <w:t>insignificant</w:t>
      </w:r>
      <w:r w:rsidR="00A03629">
        <w:t xml:space="preserve"> </w:t>
      </w:r>
      <w:r>
        <w:t>exposure</w:t>
      </w:r>
      <w:r w:rsidR="00A03629">
        <w:t xml:space="preserve"> </w:t>
      </w:r>
      <w:r>
        <w:t>to</w:t>
      </w:r>
      <w:r w:rsidR="00A03629">
        <w:t xml:space="preserve"> </w:t>
      </w:r>
      <w:r>
        <w:t>foreign</w:t>
      </w:r>
      <w:r w:rsidR="00A03629">
        <w:t xml:space="preserve"> </w:t>
      </w:r>
      <w:r>
        <w:t>currency</w:t>
      </w:r>
      <w:r w:rsidR="00A03629">
        <w:t xml:space="preserve"> </w:t>
      </w:r>
      <w:r>
        <w:t>and</w:t>
      </w:r>
      <w:r w:rsidR="00A03629">
        <w:t xml:space="preserve"> </w:t>
      </w:r>
      <w:r>
        <w:t>other</w:t>
      </w:r>
      <w:r w:rsidR="00A03629">
        <w:t xml:space="preserve"> </w:t>
      </w:r>
      <w:r>
        <w:t>price</w:t>
      </w:r>
      <w:r w:rsidR="00A03629">
        <w:t xml:space="preserve"> </w:t>
      </w:r>
      <w:r>
        <w:t>risks.</w:t>
      </w:r>
      <w:r w:rsidR="00A03629">
        <w:t xml:space="preserve"> </w:t>
      </w:r>
      <w:r>
        <w:t>Objectives,</w:t>
      </w:r>
      <w:r w:rsidR="00A03629">
        <w:t xml:space="preserve"> </w:t>
      </w:r>
      <w:proofErr w:type="gramStart"/>
      <w:r>
        <w:t>policies</w:t>
      </w:r>
      <w:proofErr w:type="gramEnd"/>
      <w:r w:rsidR="00A03629">
        <w:t xml:space="preserve"> </w:t>
      </w:r>
      <w:r>
        <w:t>and</w:t>
      </w:r>
      <w:r w:rsidR="00A03629">
        <w:t xml:space="preserve"> </w:t>
      </w:r>
      <w:r>
        <w:t>processes</w:t>
      </w:r>
      <w:r w:rsidR="00A03629">
        <w:t xml:space="preserve"> </w:t>
      </w:r>
      <w:r>
        <w:t>used</w:t>
      </w:r>
      <w:r w:rsidR="00A03629">
        <w:t xml:space="preserve"> </w:t>
      </w:r>
      <w:r>
        <w:t>to</w:t>
      </w:r>
      <w:r w:rsidR="00A03629">
        <w:t xml:space="preserve"> </w:t>
      </w:r>
      <w:r>
        <w:t>manage</w:t>
      </w:r>
      <w:r w:rsidR="00A03629">
        <w:t xml:space="preserve"> </w:t>
      </w:r>
      <w:r>
        <w:t>each</w:t>
      </w:r>
      <w:r w:rsidR="00A03629">
        <w:t xml:space="preserve"> </w:t>
      </w:r>
      <w:r>
        <w:t>of</w:t>
      </w:r>
      <w:r w:rsidR="00A03629">
        <w:t xml:space="preserve"> </w:t>
      </w:r>
      <w:r>
        <w:t>these</w:t>
      </w:r>
      <w:r w:rsidR="00A03629">
        <w:rPr>
          <w:rFonts w:ascii="Cambria" w:hAnsi="Cambria" w:cs="Cambria"/>
        </w:rPr>
        <w:t xml:space="preserve"> </w:t>
      </w:r>
      <w:r>
        <w:t>risks</w:t>
      </w:r>
      <w:r w:rsidR="00A03629">
        <w:t xml:space="preserve"> </w:t>
      </w:r>
      <w:r>
        <w:t>are</w:t>
      </w:r>
      <w:r w:rsidR="00A03629">
        <w:t xml:space="preserve"> </w:t>
      </w:r>
      <w:r>
        <w:t>disclosed</w:t>
      </w:r>
      <w:r w:rsidR="00A03629">
        <w:t xml:space="preserve"> </w:t>
      </w:r>
      <w:r>
        <w:t>in</w:t>
      </w:r>
      <w:r w:rsidR="00A03629">
        <w:t xml:space="preserve"> </w:t>
      </w:r>
      <w:r>
        <w:t>the</w:t>
      </w:r>
      <w:r w:rsidR="00A03629">
        <w:t xml:space="preserve"> </w:t>
      </w:r>
      <w:r>
        <w:t>paragraphs</w:t>
      </w:r>
      <w:r w:rsidR="00A03629">
        <w:t xml:space="preserve"> </w:t>
      </w:r>
      <w:r>
        <w:t>below:</w:t>
      </w:r>
    </w:p>
    <w:p w14:paraId="76D844E7" w14:textId="44F17913" w:rsidR="000756EB" w:rsidRPr="00CF4123" w:rsidRDefault="004A4D88" w:rsidP="00CF4123">
      <w:pPr>
        <w:pStyle w:val="Normalbeforebullets"/>
        <w:rPr>
          <w:b/>
          <w:bCs/>
        </w:rPr>
      </w:pPr>
      <w:r w:rsidRPr="00CF4123">
        <w:rPr>
          <w:b/>
          <w:bCs/>
        </w:rPr>
        <w:t>Foreign</w:t>
      </w:r>
      <w:r w:rsidR="00A03629" w:rsidRPr="00CF4123">
        <w:rPr>
          <w:b/>
          <w:bCs/>
        </w:rPr>
        <w:t xml:space="preserve"> </w:t>
      </w:r>
      <w:r w:rsidRPr="00CF4123">
        <w:rPr>
          <w:b/>
          <w:bCs/>
        </w:rPr>
        <w:t>currency</w:t>
      </w:r>
      <w:r w:rsidR="00A03629" w:rsidRPr="00CF4123">
        <w:rPr>
          <w:b/>
          <w:bCs/>
        </w:rPr>
        <w:t xml:space="preserve"> </w:t>
      </w:r>
      <w:r w:rsidRPr="00CF4123">
        <w:rPr>
          <w:b/>
          <w:bCs/>
        </w:rPr>
        <w:t>risk</w:t>
      </w:r>
    </w:p>
    <w:p w14:paraId="61D855CA" w14:textId="66FDB1C2" w:rsidR="000756EB" w:rsidRDefault="004A4D88" w:rsidP="00CF4123">
      <w:r>
        <w:t>DJSIR</w:t>
      </w:r>
      <w:r w:rsidR="00A03629">
        <w:t xml:space="preserve"> </w:t>
      </w:r>
      <w:r>
        <w:t>is</w:t>
      </w:r>
      <w:r w:rsidR="00A03629">
        <w:t xml:space="preserve"> </w:t>
      </w:r>
      <w:r>
        <w:t>exposed</w:t>
      </w:r>
      <w:r w:rsidR="00A03629">
        <w:t xml:space="preserve"> </w:t>
      </w:r>
      <w:r>
        <w:t>to</w:t>
      </w:r>
      <w:r w:rsidR="00A03629">
        <w:t xml:space="preserve"> </w:t>
      </w:r>
      <w:r>
        <w:t>minimal</w:t>
      </w:r>
      <w:r w:rsidR="00A03629">
        <w:t xml:space="preserve"> </w:t>
      </w:r>
      <w:r>
        <w:t>foreign</w:t>
      </w:r>
      <w:r w:rsidR="00A03629">
        <w:t xml:space="preserve"> </w:t>
      </w:r>
      <w:r>
        <w:t>currency</w:t>
      </w:r>
      <w:r w:rsidR="00A03629">
        <w:t xml:space="preserve"> </w:t>
      </w:r>
      <w:r>
        <w:t>risk</w:t>
      </w:r>
      <w:r w:rsidR="00A03629">
        <w:t xml:space="preserve"> </w:t>
      </w:r>
      <w:r>
        <w:t>through</w:t>
      </w:r>
      <w:r w:rsidR="00A03629">
        <w:t xml:space="preserve"> </w:t>
      </w:r>
      <w:r>
        <w:t>its</w:t>
      </w:r>
      <w:r w:rsidR="00A03629">
        <w:t xml:space="preserve"> </w:t>
      </w:r>
      <w:r>
        <w:t>payables</w:t>
      </w:r>
      <w:r w:rsidR="00A03629">
        <w:t xml:space="preserve"> </w:t>
      </w:r>
      <w:r>
        <w:t>relating</w:t>
      </w:r>
      <w:r w:rsidR="00A03629">
        <w:t xml:space="preserve"> </w:t>
      </w:r>
      <w:r>
        <w:t>to</w:t>
      </w:r>
      <w:r w:rsidR="00A03629">
        <w:t xml:space="preserve"> </w:t>
      </w:r>
      <w:r>
        <w:t>purchases</w:t>
      </w:r>
      <w:r w:rsidR="00A03629">
        <w:t xml:space="preserve"> </w:t>
      </w:r>
      <w:r>
        <w:t>of</w:t>
      </w:r>
      <w:r w:rsidR="00A03629">
        <w:t xml:space="preserve"> </w:t>
      </w:r>
      <w:r>
        <w:t>supplies</w:t>
      </w:r>
      <w:r w:rsidR="00A03629">
        <w:t xml:space="preserve"> </w:t>
      </w:r>
      <w:r>
        <w:t>and</w:t>
      </w:r>
      <w:r w:rsidR="00A03629">
        <w:t xml:space="preserve"> </w:t>
      </w:r>
      <w:r>
        <w:t>consumables</w:t>
      </w:r>
      <w:r w:rsidR="00A03629">
        <w:t xml:space="preserve"> </w:t>
      </w:r>
      <w:r>
        <w:t>from</w:t>
      </w:r>
      <w:r w:rsidR="00A03629">
        <w:t xml:space="preserve"> </w:t>
      </w:r>
      <w:r>
        <w:t>overseas.</w:t>
      </w:r>
      <w:r w:rsidR="00A03629">
        <w:t xml:space="preserve"> </w:t>
      </w:r>
      <w:r>
        <w:t>This</w:t>
      </w:r>
      <w:r w:rsidR="00A03629">
        <w:t xml:space="preserve"> </w:t>
      </w:r>
      <w:r>
        <w:t>is</w:t>
      </w:r>
      <w:r w:rsidR="00A03629">
        <w:t xml:space="preserve"> </w:t>
      </w:r>
      <w:r>
        <w:t>because</w:t>
      </w:r>
      <w:r w:rsidR="00A03629">
        <w:t xml:space="preserve"> </w:t>
      </w:r>
      <w:r>
        <w:t>of</w:t>
      </w:r>
      <w:r w:rsidR="00A03629">
        <w:t xml:space="preserve"> </w:t>
      </w:r>
      <w:r>
        <w:t>a</w:t>
      </w:r>
      <w:r w:rsidR="00A03629">
        <w:t xml:space="preserve"> </w:t>
      </w:r>
      <w:r>
        <w:t>limited</w:t>
      </w:r>
      <w:r w:rsidR="00A03629">
        <w:t xml:space="preserve"> </w:t>
      </w:r>
      <w:proofErr w:type="gramStart"/>
      <w:r>
        <w:t>amount</w:t>
      </w:r>
      <w:proofErr w:type="gramEnd"/>
      <w:r w:rsidR="00A03629">
        <w:t xml:space="preserve"> </w:t>
      </w:r>
      <w:r>
        <w:t>of</w:t>
      </w:r>
      <w:r w:rsidR="00A03629">
        <w:t xml:space="preserve"> </w:t>
      </w:r>
      <w:r>
        <w:t>purchases</w:t>
      </w:r>
      <w:r w:rsidR="00A03629">
        <w:t xml:space="preserve"> </w:t>
      </w:r>
      <w:r>
        <w:t>denominated</w:t>
      </w:r>
      <w:r w:rsidR="00A03629">
        <w:t xml:space="preserve"> </w:t>
      </w:r>
      <w:r>
        <w:t>in</w:t>
      </w:r>
      <w:r w:rsidR="00A03629">
        <w:t xml:space="preserve"> </w:t>
      </w:r>
      <w:r>
        <w:t>foreign</w:t>
      </w:r>
      <w:r w:rsidR="00A03629">
        <w:t xml:space="preserve"> </w:t>
      </w:r>
      <w:r>
        <w:t>currencies</w:t>
      </w:r>
      <w:r w:rsidR="00A03629">
        <w:t xml:space="preserve"> </w:t>
      </w:r>
      <w:r>
        <w:t>and</w:t>
      </w:r>
      <w:r w:rsidR="00A03629">
        <w:t xml:space="preserve"> </w:t>
      </w:r>
      <w:r>
        <w:t>a</w:t>
      </w:r>
      <w:r w:rsidR="00A03629">
        <w:t xml:space="preserve"> </w:t>
      </w:r>
      <w:r>
        <w:t>short</w:t>
      </w:r>
      <w:r w:rsidR="00A03629">
        <w:t xml:space="preserve"> </w:t>
      </w:r>
      <w:r>
        <w:t>timeframe</w:t>
      </w:r>
      <w:r w:rsidR="00A03629">
        <w:t xml:space="preserve"> </w:t>
      </w:r>
      <w:r>
        <w:t>between</w:t>
      </w:r>
      <w:r w:rsidR="00A03629">
        <w:t xml:space="preserve"> </w:t>
      </w:r>
      <w:r>
        <w:t>commitment</w:t>
      </w:r>
      <w:r w:rsidR="00A03629">
        <w:t xml:space="preserve"> </w:t>
      </w:r>
      <w:r>
        <w:t>and</w:t>
      </w:r>
      <w:r w:rsidR="00A03629">
        <w:t xml:space="preserve"> </w:t>
      </w:r>
      <w:r>
        <w:t>settlement.</w:t>
      </w:r>
    </w:p>
    <w:p w14:paraId="43601A99" w14:textId="16AE3AAB" w:rsidR="000756EB" w:rsidRPr="00CF4123" w:rsidRDefault="004A4D88" w:rsidP="00CF4123">
      <w:pPr>
        <w:pStyle w:val="Normalbeforebullets"/>
        <w:rPr>
          <w:b/>
          <w:bCs/>
        </w:rPr>
      </w:pPr>
      <w:r w:rsidRPr="00CF4123">
        <w:rPr>
          <w:b/>
          <w:bCs/>
        </w:rPr>
        <w:t>Interest</w:t>
      </w:r>
      <w:r w:rsidR="00A03629" w:rsidRPr="00CF4123">
        <w:rPr>
          <w:b/>
          <w:bCs/>
        </w:rPr>
        <w:t xml:space="preserve"> </w:t>
      </w:r>
      <w:r w:rsidRPr="00CF4123">
        <w:rPr>
          <w:b/>
          <w:bCs/>
        </w:rPr>
        <w:t>rate</w:t>
      </w:r>
      <w:r w:rsidR="00A03629" w:rsidRPr="00CF4123">
        <w:rPr>
          <w:b/>
          <w:bCs/>
        </w:rPr>
        <w:t xml:space="preserve"> </w:t>
      </w:r>
      <w:r w:rsidRPr="00CF4123">
        <w:rPr>
          <w:b/>
          <w:bCs/>
        </w:rPr>
        <w:t>risk</w:t>
      </w:r>
    </w:p>
    <w:p w14:paraId="58E92EDB" w14:textId="2546E1D7" w:rsidR="000756EB" w:rsidRDefault="004A4D88" w:rsidP="00CF4123">
      <w:pPr>
        <w:rPr>
          <w:rFonts w:ascii="VIC Light" w:hAnsi="VIC Light" w:cs="VIC Light"/>
        </w:rPr>
      </w:pPr>
      <w:r>
        <w:t>Exposure</w:t>
      </w:r>
      <w:r w:rsidR="00A03629">
        <w:t xml:space="preserve"> </w:t>
      </w:r>
      <w:r>
        <w:t>to</w:t>
      </w:r>
      <w:r w:rsidR="00A03629">
        <w:t xml:space="preserve"> </w:t>
      </w:r>
      <w:r>
        <w:t>interest</w:t>
      </w:r>
      <w:r w:rsidR="00A03629">
        <w:t xml:space="preserve"> </w:t>
      </w:r>
      <w:r>
        <w:t>rate</w:t>
      </w:r>
      <w:r w:rsidR="00A03629">
        <w:t xml:space="preserve"> </w:t>
      </w:r>
      <w:r>
        <w:t>risk</w:t>
      </w:r>
      <w:r w:rsidR="00A03629">
        <w:t xml:space="preserve"> </w:t>
      </w:r>
      <w:r>
        <w:t>is</w:t>
      </w:r>
      <w:r w:rsidR="00A03629">
        <w:t xml:space="preserve"> </w:t>
      </w:r>
      <w:r>
        <w:t>insignificant</w:t>
      </w:r>
      <w:r w:rsidR="00A03629">
        <w:t xml:space="preserve"> </w:t>
      </w:r>
      <w:r>
        <w:t>and</w:t>
      </w:r>
      <w:r w:rsidR="00A03629">
        <w:t xml:space="preserve"> </w:t>
      </w:r>
      <w:r>
        <w:t>might</w:t>
      </w:r>
      <w:r w:rsidR="00A03629">
        <w:t xml:space="preserve"> </w:t>
      </w:r>
      <w:r>
        <w:t>arise</w:t>
      </w:r>
      <w:r w:rsidR="00A03629">
        <w:t xml:space="preserve"> </w:t>
      </w:r>
      <w:r>
        <w:t>primarily</w:t>
      </w:r>
      <w:r w:rsidR="00A03629">
        <w:t xml:space="preserve"> </w:t>
      </w:r>
      <w:r>
        <w:t>through</w:t>
      </w:r>
      <w:r w:rsidR="00A03629">
        <w:t xml:space="preserve"> </w:t>
      </w:r>
      <w:r>
        <w:t>DJSIR’s</w:t>
      </w:r>
      <w:r w:rsidR="00A03629">
        <w:t xml:space="preserve"> </w:t>
      </w:r>
      <w:r>
        <w:t>interest</w:t>
      </w:r>
      <w:r w:rsidR="00A03629">
        <w:t xml:space="preserve"> </w:t>
      </w:r>
      <w:r>
        <w:t>bearing</w:t>
      </w:r>
      <w:r w:rsidR="00A03629">
        <w:t xml:space="preserve"> </w:t>
      </w:r>
      <w:r>
        <w:t>liabilities</w:t>
      </w:r>
      <w:r w:rsidR="00A03629">
        <w:t xml:space="preserve"> </w:t>
      </w:r>
      <w:r>
        <w:t>and</w:t>
      </w:r>
      <w:r w:rsidR="00A03629">
        <w:t xml:space="preserve"> </w:t>
      </w:r>
      <w:r>
        <w:t>assets.</w:t>
      </w:r>
      <w:r w:rsidR="00A03629">
        <w:t xml:space="preserve"> </w:t>
      </w:r>
      <w:r>
        <w:t>The</w:t>
      </w:r>
      <w:r w:rsidR="00A03629">
        <w:t xml:space="preserve"> </w:t>
      </w:r>
      <w:r>
        <w:t>only</w:t>
      </w:r>
      <w:r w:rsidR="00A03629">
        <w:t xml:space="preserve"> </w:t>
      </w:r>
      <w:proofErr w:type="gramStart"/>
      <w:r>
        <w:t>interest</w:t>
      </w:r>
      <w:r w:rsidR="00A03629">
        <w:t xml:space="preserve"> </w:t>
      </w:r>
      <w:r>
        <w:t>bearing</w:t>
      </w:r>
      <w:proofErr w:type="gramEnd"/>
      <w:r w:rsidR="00A03629">
        <w:t xml:space="preserve"> </w:t>
      </w:r>
      <w:r>
        <w:t>liabilities</w:t>
      </w:r>
      <w:r w:rsidR="00A03629">
        <w:t xml:space="preserve"> </w:t>
      </w:r>
      <w:r>
        <w:t>and</w:t>
      </w:r>
      <w:r w:rsidR="00A03629">
        <w:t xml:space="preserve"> </w:t>
      </w:r>
      <w:r>
        <w:t>assets</w:t>
      </w:r>
      <w:r w:rsidR="00A03629">
        <w:t xml:space="preserve"> </w:t>
      </w:r>
      <w:r>
        <w:t>are</w:t>
      </w:r>
      <w:r w:rsidR="00A03629">
        <w:t xml:space="preserve"> </w:t>
      </w:r>
      <w:r>
        <w:t>the</w:t>
      </w:r>
      <w:r w:rsidR="00A03629">
        <w:t xml:space="preserve"> </w:t>
      </w:r>
      <w:r>
        <w:t>lease</w:t>
      </w:r>
      <w:r w:rsidR="00A03629">
        <w:t xml:space="preserve"> </w:t>
      </w:r>
      <w:r>
        <w:t>liabilities</w:t>
      </w:r>
      <w:r w:rsidR="00A03629">
        <w:t xml:space="preserve"> </w:t>
      </w:r>
      <w:r>
        <w:t>and</w:t>
      </w:r>
      <w:r w:rsidR="00A03629">
        <w:t xml:space="preserve"> </w:t>
      </w:r>
      <w:r>
        <w:t>term</w:t>
      </w:r>
      <w:r w:rsidR="00A03629">
        <w:t xml:space="preserve"> </w:t>
      </w:r>
      <w:r>
        <w:t>deposits.</w:t>
      </w:r>
      <w:r w:rsidR="00A03629">
        <w:t xml:space="preserve"> </w:t>
      </w:r>
      <w:r>
        <w:t>The</w:t>
      </w:r>
      <w:r w:rsidR="00A03629">
        <w:t xml:space="preserve"> </w:t>
      </w:r>
      <w:r>
        <w:t>carrying</w:t>
      </w:r>
      <w:r w:rsidR="00A03629">
        <w:t xml:space="preserve"> </w:t>
      </w:r>
      <w:r>
        <w:t>amounts</w:t>
      </w:r>
      <w:r w:rsidR="00A03629">
        <w:t xml:space="preserve"> </w:t>
      </w:r>
      <w:r>
        <w:t>of</w:t>
      </w:r>
      <w:r w:rsidR="00A03629">
        <w:t xml:space="preserve"> </w:t>
      </w:r>
      <w:r>
        <w:t>financial</w:t>
      </w:r>
      <w:r w:rsidR="00A03629">
        <w:t xml:space="preserve"> </w:t>
      </w:r>
      <w:r>
        <w:t>assets</w:t>
      </w:r>
      <w:r w:rsidR="00A03629">
        <w:t xml:space="preserve"> </w:t>
      </w:r>
      <w:r>
        <w:t>and</w:t>
      </w:r>
      <w:r w:rsidR="00A03629">
        <w:t xml:space="preserve"> </w:t>
      </w:r>
      <w:r>
        <w:t>financial</w:t>
      </w:r>
      <w:r w:rsidR="00A03629">
        <w:t xml:space="preserve"> </w:t>
      </w:r>
      <w:r>
        <w:t>liabilities</w:t>
      </w:r>
      <w:r w:rsidR="00A03629">
        <w:t xml:space="preserve"> </w:t>
      </w:r>
      <w:r>
        <w:t>that</w:t>
      </w:r>
      <w:r w:rsidR="00A03629">
        <w:t xml:space="preserve"> </w:t>
      </w:r>
      <w:r>
        <w:t>are</w:t>
      </w:r>
      <w:r w:rsidR="00A03629">
        <w:t xml:space="preserve"> </w:t>
      </w:r>
      <w:r>
        <w:t>exposed</w:t>
      </w:r>
      <w:r w:rsidR="00A03629">
        <w:t xml:space="preserve"> </w:t>
      </w:r>
      <w:r>
        <w:t>to</w:t>
      </w:r>
      <w:r w:rsidR="00A03629">
        <w:t xml:space="preserve"> </w:t>
      </w:r>
      <w:r>
        <w:t>interest</w:t>
      </w:r>
      <w:r w:rsidR="00A03629">
        <w:t xml:space="preserve"> </w:t>
      </w:r>
      <w:r>
        <w:t>rates</w:t>
      </w:r>
      <w:r w:rsidR="00A03629">
        <w:t xml:space="preserve"> </w:t>
      </w:r>
      <w:r>
        <w:t>and</w:t>
      </w:r>
      <w:r w:rsidR="00A03629">
        <w:t xml:space="preserve"> </w:t>
      </w:r>
      <w:r>
        <w:t>DJSIR’s</w:t>
      </w:r>
      <w:r w:rsidR="00A03629">
        <w:t xml:space="preserve"> </w:t>
      </w:r>
      <w:r>
        <w:t>sensitivity</w:t>
      </w:r>
      <w:r w:rsidR="00A03629">
        <w:t xml:space="preserve"> </w:t>
      </w:r>
      <w:r>
        <w:t>to</w:t>
      </w:r>
      <w:r w:rsidR="00A03629">
        <w:t xml:space="preserve"> </w:t>
      </w:r>
      <w:r>
        <w:t>interest</w:t>
      </w:r>
      <w:r w:rsidR="00A03629">
        <w:t xml:space="preserve"> </w:t>
      </w:r>
      <w:r>
        <w:t>rate</w:t>
      </w:r>
      <w:r w:rsidR="00A03629">
        <w:t xml:space="preserve"> </w:t>
      </w:r>
      <w:r>
        <w:t>risk</w:t>
      </w:r>
      <w:r w:rsidR="00A03629">
        <w:t xml:space="preserve"> </w:t>
      </w:r>
      <w:r>
        <w:t>are</w:t>
      </w:r>
      <w:r w:rsidR="00A03629">
        <w:t xml:space="preserve"> </w:t>
      </w:r>
      <w:r>
        <w:t>set</w:t>
      </w:r>
      <w:r w:rsidR="00A03629">
        <w:t xml:space="preserve"> </w:t>
      </w:r>
      <w:r>
        <w:t>out</w:t>
      </w:r>
      <w:r w:rsidR="00A03629">
        <w:t xml:space="preserve"> </w:t>
      </w:r>
      <w:r>
        <w:t>in</w:t>
      </w:r>
      <w:r w:rsidR="00A03629">
        <w:t xml:space="preserve"> </w:t>
      </w:r>
      <w:r>
        <w:t>the</w:t>
      </w:r>
      <w:r w:rsidR="00A03629">
        <w:t xml:space="preserve"> </w:t>
      </w:r>
      <w:r>
        <w:t>table</w:t>
      </w:r>
      <w:r w:rsidR="00A03629">
        <w:t xml:space="preserve"> </w:t>
      </w:r>
      <w:r>
        <w:t>that</w:t>
      </w:r>
      <w:r w:rsidR="00A03629">
        <w:t xml:space="preserve"> </w:t>
      </w:r>
      <w:r>
        <w:t>follows.</w:t>
      </w:r>
    </w:p>
    <w:p w14:paraId="04B76825" w14:textId="50AB8D00" w:rsidR="000756EB" w:rsidRPr="00CF4123" w:rsidRDefault="004A4D88" w:rsidP="00CF4123">
      <w:pPr>
        <w:pStyle w:val="Normalbeforebullets"/>
        <w:rPr>
          <w:b/>
          <w:bCs/>
        </w:rPr>
      </w:pPr>
      <w:r w:rsidRPr="00CF4123">
        <w:rPr>
          <w:b/>
          <w:bCs/>
        </w:rPr>
        <w:lastRenderedPageBreak/>
        <w:t>Interest</w:t>
      </w:r>
      <w:r w:rsidR="00A03629" w:rsidRPr="00CF4123">
        <w:rPr>
          <w:b/>
          <w:bCs/>
        </w:rPr>
        <w:t xml:space="preserve"> </w:t>
      </w:r>
      <w:r w:rsidR="00CF4123" w:rsidRPr="00CF4123">
        <w:rPr>
          <w:b/>
          <w:bCs/>
        </w:rPr>
        <w:t>Rate Exposure of Financial Instruments</w:t>
      </w:r>
    </w:p>
    <w:tbl>
      <w:tblPr>
        <w:tblStyle w:val="TableGrid"/>
        <w:tblW w:w="10511" w:type="dxa"/>
        <w:tblLayout w:type="fixed"/>
        <w:tblLook w:val="0020" w:firstRow="1" w:lastRow="0" w:firstColumn="0" w:lastColumn="0" w:noHBand="0" w:noVBand="0"/>
      </w:tblPr>
      <w:tblGrid>
        <w:gridCol w:w="3539"/>
        <w:gridCol w:w="1426"/>
        <w:gridCol w:w="1316"/>
        <w:gridCol w:w="1418"/>
        <w:gridCol w:w="1393"/>
        <w:gridCol w:w="1419"/>
      </w:tblGrid>
      <w:tr w:rsidR="000756EB" w:rsidRPr="00E72E03" w14:paraId="1790C569" w14:textId="77777777" w:rsidTr="001C5D4D">
        <w:trPr>
          <w:cantSplit/>
          <w:tblHeader/>
        </w:trPr>
        <w:tc>
          <w:tcPr>
            <w:tcW w:w="3539" w:type="dxa"/>
          </w:tcPr>
          <w:p w14:paraId="58EBC028" w14:textId="77777777" w:rsidR="000756EB" w:rsidRPr="00E72E03" w:rsidRDefault="000756EB" w:rsidP="00E72E03">
            <w:pPr>
              <w:pStyle w:val="TableColumnHeading"/>
              <w:rPr>
                <w:sz w:val="20"/>
                <w:szCs w:val="28"/>
              </w:rPr>
            </w:pPr>
            <w:bookmarkStart w:id="124" w:name="ColumnTitles_74"/>
            <w:bookmarkEnd w:id="124"/>
          </w:p>
        </w:tc>
        <w:tc>
          <w:tcPr>
            <w:tcW w:w="1426" w:type="dxa"/>
          </w:tcPr>
          <w:p w14:paraId="6737AA6D" w14:textId="0CE4A6FF" w:rsidR="000756EB" w:rsidRPr="00E72E03" w:rsidRDefault="004A4D88" w:rsidP="004255E9">
            <w:pPr>
              <w:pStyle w:val="TableColumnHeading"/>
              <w:jc w:val="right"/>
              <w:rPr>
                <w:sz w:val="20"/>
                <w:szCs w:val="28"/>
              </w:rPr>
            </w:pPr>
            <w:r w:rsidRPr="00E72E03">
              <w:rPr>
                <w:sz w:val="20"/>
                <w:szCs w:val="28"/>
              </w:rPr>
              <w:t>Weighted</w:t>
            </w:r>
            <w:r w:rsidR="00A03629" w:rsidRPr="00E72E03">
              <w:rPr>
                <w:sz w:val="20"/>
                <w:szCs w:val="28"/>
              </w:rPr>
              <w:t xml:space="preserve"> </w:t>
            </w:r>
            <w:r w:rsidRPr="00E72E03">
              <w:rPr>
                <w:sz w:val="20"/>
                <w:szCs w:val="28"/>
              </w:rPr>
              <w:t>average</w:t>
            </w:r>
            <w:r w:rsidR="00A03629" w:rsidRPr="00E72E03">
              <w:rPr>
                <w:sz w:val="20"/>
                <w:szCs w:val="28"/>
              </w:rPr>
              <w:t xml:space="preserve"> </w:t>
            </w:r>
            <w:r w:rsidRPr="00E72E03">
              <w:rPr>
                <w:sz w:val="20"/>
                <w:szCs w:val="28"/>
              </w:rPr>
              <w:t>interest</w:t>
            </w:r>
            <w:r w:rsidR="00A03629" w:rsidRPr="00E72E03">
              <w:rPr>
                <w:sz w:val="20"/>
                <w:szCs w:val="28"/>
              </w:rPr>
              <w:t xml:space="preserve"> </w:t>
            </w:r>
            <w:r w:rsidRPr="00E72E03">
              <w:rPr>
                <w:sz w:val="20"/>
                <w:szCs w:val="28"/>
              </w:rPr>
              <w:t>rate</w:t>
            </w:r>
            <w:r w:rsidR="00E72E03">
              <w:rPr>
                <w:sz w:val="20"/>
                <w:szCs w:val="28"/>
              </w:rPr>
              <w:t xml:space="preserve"> </w:t>
            </w:r>
            <w:r w:rsidR="00E72E03" w:rsidRPr="00E72E03">
              <w:rPr>
                <w:sz w:val="20"/>
                <w:szCs w:val="28"/>
              </w:rPr>
              <w:t>($</w:t>
            </w:r>
            <w:r w:rsidR="00E72E03">
              <w:rPr>
                <w:sz w:val="20"/>
                <w:szCs w:val="28"/>
              </w:rPr>
              <w:t> </w:t>
            </w:r>
            <w:r w:rsidR="00E72E03" w:rsidRPr="00E72E03">
              <w:rPr>
                <w:sz w:val="20"/>
                <w:szCs w:val="28"/>
              </w:rPr>
              <w:t>thousand)</w:t>
            </w:r>
          </w:p>
        </w:tc>
        <w:tc>
          <w:tcPr>
            <w:tcW w:w="1316" w:type="dxa"/>
          </w:tcPr>
          <w:p w14:paraId="5D920704" w14:textId="63FB6FDC" w:rsidR="000756EB" w:rsidRPr="00E72E03" w:rsidRDefault="00E72E03" w:rsidP="004255E9">
            <w:pPr>
              <w:pStyle w:val="TableColumnHeading"/>
              <w:jc w:val="right"/>
              <w:rPr>
                <w:sz w:val="20"/>
                <w:szCs w:val="28"/>
              </w:rPr>
            </w:pPr>
            <w:r w:rsidRPr="00E72E03">
              <w:rPr>
                <w:sz w:val="20"/>
                <w:szCs w:val="28"/>
              </w:rPr>
              <w:t>Interest rate exposure</w:t>
            </w:r>
            <w:r>
              <w:rPr>
                <w:sz w:val="20"/>
                <w:szCs w:val="28"/>
              </w:rPr>
              <w:t xml:space="preserve"> </w:t>
            </w:r>
            <w:r w:rsidR="004A4D88" w:rsidRPr="00E72E03">
              <w:rPr>
                <w:sz w:val="20"/>
                <w:szCs w:val="28"/>
              </w:rPr>
              <w:t>Carrying</w:t>
            </w:r>
            <w:r w:rsidR="00A03629" w:rsidRPr="00E72E03">
              <w:rPr>
                <w:sz w:val="20"/>
                <w:szCs w:val="28"/>
              </w:rPr>
              <w:t xml:space="preserve"> </w:t>
            </w:r>
            <w:r w:rsidR="004A4D88" w:rsidRPr="00E72E03">
              <w:rPr>
                <w:sz w:val="20"/>
                <w:szCs w:val="28"/>
              </w:rPr>
              <w:t>amount</w:t>
            </w:r>
            <w:r>
              <w:rPr>
                <w:sz w:val="20"/>
                <w:szCs w:val="28"/>
              </w:rPr>
              <w:t xml:space="preserve"> </w:t>
            </w:r>
            <w:r w:rsidRPr="00E72E03">
              <w:rPr>
                <w:sz w:val="20"/>
                <w:szCs w:val="28"/>
              </w:rPr>
              <w:t>($</w:t>
            </w:r>
            <w:r w:rsidR="001C5D4D">
              <w:rPr>
                <w:sz w:val="20"/>
                <w:szCs w:val="28"/>
              </w:rPr>
              <w:t> </w:t>
            </w:r>
            <w:r w:rsidRPr="00E72E03">
              <w:rPr>
                <w:sz w:val="20"/>
                <w:szCs w:val="28"/>
              </w:rPr>
              <w:t>thousand)</w:t>
            </w:r>
          </w:p>
        </w:tc>
        <w:tc>
          <w:tcPr>
            <w:tcW w:w="1418" w:type="dxa"/>
          </w:tcPr>
          <w:p w14:paraId="4624021D" w14:textId="3F6DA23F" w:rsidR="000756EB" w:rsidRPr="00E72E03" w:rsidRDefault="00E72E03" w:rsidP="004255E9">
            <w:pPr>
              <w:pStyle w:val="TableColumnHeading"/>
              <w:jc w:val="right"/>
              <w:rPr>
                <w:sz w:val="20"/>
                <w:szCs w:val="28"/>
              </w:rPr>
            </w:pPr>
            <w:r w:rsidRPr="00E72E03">
              <w:rPr>
                <w:sz w:val="20"/>
                <w:szCs w:val="28"/>
              </w:rPr>
              <w:t>Interest rate exposure</w:t>
            </w:r>
            <w:r>
              <w:rPr>
                <w:sz w:val="20"/>
                <w:szCs w:val="28"/>
              </w:rPr>
              <w:t xml:space="preserve"> </w:t>
            </w:r>
            <w:r w:rsidR="004A4D88" w:rsidRPr="00E72E03">
              <w:rPr>
                <w:sz w:val="20"/>
                <w:szCs w:val="28"/>
              </w:rPr>
              <w:t>Fixed</w:t>
            </w:r>
            <w:r>
              <w:rPr>
                <w:sz w:val="20"/>
                <w:szCs w:val="28"/>
              </w:rPr>
              <w:t xml:space="preserve"> </w:t>
            </w:r>
            <w:r w:rsidR="004A4D88" w:rsidRPr="00E72E03">
              <w:rPr>
                <w:sz w:val="20"/>
                <w:szCs w:val="28"/>
              </w:rPr>
              <w:t>interest</w:t>
            </w:r>
            <w:r w:rsidR="00A03629" w:rsidRPr="00E72E03">
              <w:rPr>
                <w:sz w:val="20"/>
                <w:szCs w:val="28"/>
              </w:rPr>
              <w:t xml:space="preserve"> </w:t>
            </w:r>
            <w:r w:rsidR="004A4D88" w:rsidRPr="00E72E03">
              <w:rPr>
                <w:sz w:val="20"/>
                <w:szCs w:val="28"/>
              </w:rPr>
              <w:t>rate</w:t>
            </w:r>
            <w:r>
              <w:rPr>
                <w:sz w:val="20"/>
                <w:szCs w:val="28"/>
              </w:rPr>
              <w:t xml:space="preserve"> </w:t>
            </w:r>
            <w:r w:rsidRPr="00E72E03">
              <w:rPr>
                <w:sz w:val="20"/>
                <w:szCs w:val="28"/>
              </w:rPr>
              <w:t>($</w:t>
            </w:r>
            <w:r w:rsidR="001C5D4D">
              <w:rPr>
                <w:sz w:val="20"/>
                <w:szCs w:val="28"/>
              </w:rPr>
              <w:t> </w:t>
            </w:r>
            <w:r w:rsidRPr="00E72E03">
              <w:rPr>
                <w:sz w:val="20"/>
                <w:szCs w:val="28"/>
              </w:rPr>
              <w:t>thousand)</w:t>
            </w:r>
          </w:p>
        </w:tc>
        <w:tc>
          <w:tcPr>
            <w:tcW w:w="1393" w:type="dxa"/>
          </w:tcPr>
          <w:p w14:paraId="6E71EE52" w14:textId="62A5D3A1" w:rsidR="000756EB" w:rsidRPr="00E72E03" w:rsidRDefault="00E72E03" w:rsidP="004255E9">
            <w:pPr>
              <w:pStyle w:val="TableColumnHeading"/>
              <w:jc w:val="right"/>
              <w:rPr>
                <w:sz w:val="20"/>
                <w:szCs w:val="28"/>
              </w:rPr>
            </w:pPr>
            <w:r w:rsidRPr="00E72E03">
              <w:rPr>
                <w:sz w:val="20"/>
                <w:szCs w:val="28"/>
              </w:rPr>
              <w:t>Interest rate exposure</w:t>
            </w:r>
            <w:r>
              <w:rPr>
                <w:sz w:val="20"/>
                <w:szCs w:val="28"/>
              </w:rPr>
              <w:t xml:space="preserve"> </w:t>
            </w:r>
            <w:r w:rsidR="004A4D88" w:rsidRPr="00E72E03">
              <w:rPr>
                <w:sz w:val="20"/>
                <w:szCs w:val="28"/>
              </w:rPr>
              <w:t>Variable</w:t>
            </w:r>
            <w:r w:rsidR="00A03629" w:rsidRPr="00E72E03">
              <w:rPr>
                <w:sz w:val="20"/>
                <w:szCs w:val="28"/>
              </w:rPr>
              <w:t xml:space="preserve"> </w:t>
            </w:r>
            <w:r w:rsidR="004A4D88" w:rsidRPr="00E72E03">
              <w:rPr>
                <w:sz w:val="20"/>
                <w:szCs w:val="28"/>
              </w:rPr>
              <w:t>interest</w:t>
            </w:r>
            <w:r w:rsidR="00A03629" w:rsidRPr="00E72E03">
              <w:rPr>
                <w:sz w:val="20"/>
                <w:szCs w:val="28"/>
              </w:rPr>
              <w:t xml:space="preserve"> </w:t>
            </w:r>
            <w:r w:rsidR="004A4D88" w:rsidRPr="00E72E03">
              <w:rPr>
                <w:sz w:val="20"/>
                <w:szCs w:val="28"/>
              </w:rPr>
              <w:t>rate</w:t>
            </w:r>
            <w:r>
              <w:rPr>
                <w:sz w:val="20"/>
                <w:szCs w:val="28"/>
              </w:rPr>
              <w:t xml:space="preserve"> </w:t>
            </w:r>
            <w:r w:rsidRPr="00E72E03">
              <w:rPr>
                <w:sz w:val="20"/>
                <w:szCs w:val="28"/>
              </w:rPr>
              <w:t>($ thousand)</w:t>
            </w:r>
          </w:p>
        </w:tc>
        <w:tc>
          <w:tcPr>
            <w:tcW w:w="1419" w:type="dxa"/>
          </w:tcPr>
          <w:p w14:paraId="23D0AD30" w14:textId="065A60CA" w:rsidR="000756EB" w:rsidRPr="00E72E03" w:rsidRDefault="00E72E03" w:rsidP="004255E9">
            <w:pPr>
              <w:pStyle w:val="TableColumnHeading"/>
              <w:jc w:val="right"/>
              <w:rPr>
                <w:sz w:val="20"/>
                <w:szCs w:val="28"/>
              </w:rPr>
            </w:pPr>
            <w:r w:rsidRPr="00E72E03">
              <w:rPr>
                <w:sz w:val="20"/>
                <w:szCs w:val="28"/>
              </w:rPr>
              <w:t>Interest rate exposure</w:t>
            </w:r>
            <w:r>
              <w:rPr>
                <w:sz w:val="20"/>
                <w:szCs w:val="28"/>
              </w:rPr>
              <w:t xml:space="preserve"> </w:t>
            </w:r>
            <w:proofErr w:type="gramStart"/>
            <w:r w:rsidR="004A4D88" w:rsidRPr="00E72E03">
              <w:rPr>
                <w:sz w:val="20"/>
                <w:szCs w:val="28"/>
              </w:rPr>
              <w:t>Non-interest</w:t>
            </w:r>
            <w:proofErr w:type="gramEnd"/>
            <w:r w:rsidR="00A03629" w:rsidRPr="00E72E03">
              <w:rPr>
                <w:sz w:val="20"/>
                <w:szCs w:val="28"/>
              </w:rPr>
              <w:t xml:space="preserve"> </w:t>
            </w:r>
            <w:r w:rsidR="004A4D88" w:rsidRPr="00E72E03">
              <w:rPr>
                <w:sz w:val="20"/>
                <w:szCs w:val="28"/>
              </w:rPr>
              <w:t>bearing</w:t>
            </w:r>
            <w:r>
              <w:rPr>
                <w:sz w:val="20"/>
                <w:szCs w:val="28"/>
              </w:rPr>
              <w:t xml:space="preserve"> </w:t>
            </w:r>
            <w:r w:rsidRPr="00E72E03">
              <w:rPr>
                <w:sz w:val="20"/>
                <w:szCs w:val="28"/>
              </w:rPr>
              <w:t>($</w:t>
            </w:r>
            <w:r>
              <w:rPr>
                <w:sz w:val="20"/>
                <w:szCs w:val="28"/>
              </w:rPr>
              <w:t> </w:t>
            </w:r>
            <w:r w:rsidRPr="00E72E03">
              <w:rPr>
                <w:sz w:val="20"/>
                <w:szCs w:val="28"/>
              </w:rPr>
              <w:t>thousand)</w:t>
            </w:r>
          </w:p>
        </w:tc>
      </w:tr>
      <w:tr w:rsidR="000756EB" w:rsidRPr="001C5D4D" w14:paraId="348A83EA" w14:textId="77777777" w:rsidTr="001C5D4D">
        <w:trPr>
          <w:cantSplit/>
        </w:trPr>
        <w:tc>
          <w:tcPr>
            <w:tcW w:w="3539" w:type="dxa"/>
          </w:tcPr>
          <w:p w14:paraId="27F1FEC0" w14:textId="77777777" w:rsidR="000756EB" w:rsidRPr="001C5D4D" w:rsidRDefault="004A4D88" w:rsidP="001C5D4D">
            <w:pPr>
              <w:pStyle w:val="TableHeading"/>
              <w:rPr>
                <w:rFonts w:asciiTheme="minorHAnsi" w:hAnsiTheme="minorHAnsi" w:cstheme="minorHAnsi"/>
              </w:rPr>
            </w:pPr>
            <w:r w:rsidRPr="001C5D4D">
              <w:rPr>
                <w:rFonts w:asciiTheme="minorHAnsi" w:hAnsiTheme="minorHAnsi" w:cstheme="minorHAnsi"/>
              </w:rPr>
              <w:t>2023</w:t>
            </w:r>
          </w:p>
        </w:tc>
        <w:tc>
          <w:tcPr>
            <w:tcW w:w="1426" w:type="dxa"/>
          </w:tcPr>
          <w:p w14:paraId="09C6C8AC" w14:textId="77777777" w:rsidR="000756EB" w:rsidRPr="001C5D4D" w:rsidRDefault="000756EB" w:rsidP="004255E9">
            <w:pPr>
              <w:pStyle w:val="TableHeading"/>
              <w:jc w:val="right"/>
              <w:rPr>
                <w:rFonts w:asciiTheme="minorHAnsi" w:hAnsiTheme="minorHAnsi" w:cstheme="minorHAnsi"/>
                <w:lang w:val="en-AU"/>
              </w:rPr>
            </w:pPr>
          </w:p>
        </w:tc>
        <w:tc>
          <w:tcPr>
            <w:tcW w:w="1316" w:type="dxa"/>
          </w:tcPr>
          <w:p w14:paraId="2A0D1573" w14:textId="77777777" w:rsidR="000756EB" w:rsidRPr="001C5D4D" w:rsidRDefault="000756EB" w:rsidP="004255E9">
            <w:pPr>
              <w:pStyle w:val="TableHeading"/>
              <w:jc w:val="right"/>
              <w:rPr>
                <w:rFonts w:asciiTheme="minorHAnsi" w:hAnsiTheme="minorHAnsi" w:cstheme="minorHAnsi"/>
                <w:lang w:val="en-AU"/>
              </w:rPr>
            </w:pPr>
          </w:p>
        </w:tc>
        <w:tc>
          <w:tcPr>
            <w:tcW w:w="1418" w:type="dxa"/>
          </w:tcPr>
          <w:p w14:paraId="52FCA1A3" w14:textId="77777777" w:rsidR="000756EB" w:rsidRPr="001C5D4D" w:rsidRDefault="000756EB" w:rsidP="004255E9">
            <w:pPr>
              <w:pStyle w:val="TableHeading"/>
              <w:jc w:val="right"/>
              <w:rPr>
                <w:rFonts w:asciiTheme="minorHAnsi" w:hAnsiTheme="minorHAnsi" w:cstheme="minorHAnsi"/>
                <w:lang w:val="en-AU"/>
              </w:rPr>
            </w:pPr>
          </w:p>
        </w:tc>
        <w:tc>
          <w:tcPr>
            <w:tcW w:w="1393" w:type="dxa"/>
          </w:tcPr>
          <w:p w14:paraId="40D1C148" w14:textId="77777777" w:rsidR="000756EB" w:rsidRPr="001C5D4D" w:rsidRDefault="000756EB" w:rsidP="004255E9">
            <w:pPr>
              <w:pStyle w:val="TableHeading"/>
              <w:jc w:val="right"/>
              <w:rPr>
                <w:rFonts w:asciiTheme="minorHAnsi" w:hAnsiTheme="minorHAnsi" w:cstheme="minorHAnsi"/>
                <w:lang w:val="en-AU"/>
              </w:rPr>
            </w:pPr>
          </w:p>
        </w:tc>
        <w:tc>
          <w:tcPr>
            <w:tcW w:w="1419" w:type="dxa"/>
          </w:tcPr>
          <w:p w14:paraId="49F0C38B" w14:textId="77777777" w:rsidR="000756EB" w:rsidRPr="001C5D4D" w:rsidRDefault="000756EB" w:rsidP="004255E9">
            <w:pPr>
              <w:pStyle w:val="TableHeading"/>
              <w:jc w:val="right"/>
              <w:rPr>
                <w:rFonts w:asciiTheme="minorHAnsi" w:hAnsiTheme="minorHAnsi" w:cstheme="minorHAnsi"/>
                <w:lang w:val="en-AU"/>
              </w:rPr>
            </w:pPr>
          </w:p>
        </w:tc>
      </w:tr>
      <w:tr w:rsidR="000756EB" w:rsidRPr="001C5D4D" w14:paraId="4748D1EC" w14:textId="77777777" w:rsidTr="001C5D4D">
        <w:trPr>
          <w:cantSplit/>
        </w:trPr>
        <w:tc>
          <w:tcPr>
            <w:tcW w:w="3539" w:type="dxa"/>
          </w:tcPr>
          <w:p w14:paraId="40F3685F" w14:textId="4715FB76" w:rsidR="000756EB" w:rsidRPr="001C5D4D" w:rsidRDefault="004A4D88" w:rsidP="001C5D4D">
            <w:pPr>
              <w:pStyle w:val="TableHeading"/>
              <w:rPr>
                <w:rFonts w:asciiTheme="minorHAnsi" w:hAnsiTheme="minorHAnsi" w:cstheme="minorHAnsi"/>
              </w:rPr>
            </w:pPr>
            <w:r w:rsidRPr="001C5D4D">
              <w:rPr>
                <w:rFonts w:asciiTheme="minorHAnsi" w:hAnsiTheme="minorHAnsi" w:cstheme="minorHAnsi"/>
              </w:rPr>
              <w:t>Financial</w:t>
            </w:r>
            <w:r w:rsidR="00A03629" w:rsidRPr="001C5D4D">
              <w:rPr>
                <w:rFonts w:asciiTheme="minorHAnsi" w:hAnsiTheme="minorHAnsi" w:cstheme="minorHAnsi"/>
              </w:rPr>
              <w:t xml:space="preserve"> </w:t>
            </w:r>
            <w:r w:rsidRPr="001C5D4D">
              <w:rPr>
                <w:rFonts w:asciiTheme="minorHAnsi" w:hAnsiTheme="minorHAnsi" w:cstheme="minorHAnsi"/>
              </w:rPr>
              <w:t>assets</w:t>
            </w:r>
          </w:p>
        </w:tc>
        <w:tc>
          <w:tcPr>
            <w:tcW w:w="1426" w:type="dxa"/>
          </w:tcPr>
          <w:p w14:paraId="54F7DF79" w14:textId="77777777" w:rsidR="000756EB" w:rsidRPr="001C5D4D" w:rsidRDefault="000756EB" w:rsidP="004255E9">
            <w:pPr>
              <w:pStyle w:val="TableHeading"/>
              <w:jc w:val="right"/>
              <w:rPr>
                <w:rFonts w:asciiTheme="minorHAnsi" w:hAnsiTheme="minorHAnsi" w:cstheme="minorHAnsi"/>
                <w:lang w:val="en-AU"/>
              </w:rPr>
            </w:pPr>
          </w:p>
        </w:tc>
        <w:tc>
          <w:tcPr>
            <w:tcW w:w="1316" w:type="dxa"/>
          </w:tcPr>
          <w:p w14:paraId="4445126D" w14:textId="77777777" w:rsidR="000756EB" w:rsidRPr="001C5D4D" w:rsidRDefault="000756EB" w:rsidP="004255E9">
            <w:pPr>
              <w:pStyle w:val="TableHeading"/>
              <w:jc w:val="right"/>
              <w:rPr>
                <w:rFonts w:asciiTheme="minorHAnsi" w:hAnsiTheme="minorHAnsi" w:cstheme="minorHAnsi"/>
                <w:lang w:val="en-AU"/>
              </w:rPr>
            </w:pPr>
          </w:p>
        </w:tc>
        <w:tc>
          <w:tcPr>
            <w:tcW w:w="1418" w:type="dxa"/>
          </w:tcPr>
          <w:p w14:paraId="28E0C7E6" w14:textId="77777777" w:rsidR="000756EB" w:rsidRPr="001C5D4D" w:rsidRDefault="000756EB" w:rsidP="004255E9">
            <w:pPr>
              <w:pStyle w:val="TableHeading"/>
              <w:jc w:val="right"/>
              <w:rPr>
                <w:rFonts w:asciiTheme="minorHAnsi" w:hAnsiTheme="minorHAnsi" w:cstheme="minorHAnsi"/>
                <w:lang w:val="en-AU"/>
              </w:rPr>
            </w:pPr>
          </w:p>
        </w:tc>
        <w:tc>
          <w:tcPr>
            <w:tcW w:w="1393" w:type="dxa"/>
          </w:tcPr>
          <w:p w14:paraId="52619666" w14:textId="77777777" w:rsidR="000756EB" w:rsidRPr="001C5D4D" w:rsidRDefault="000756EB" w:rsidP="004255E9">
            <w:pPr>
              <w:pStyle w:val="TableHeading"/>
              <w:jc w:val="right"/>
              <w:rPr>
                <w:rFonts w:asciiTheme="minorHAnsi" w:hAnsiTheme="minorHAnsi" w:cstheme="minorHAnsi"/>
                <w:lang w:val="en-AU"/>
              </w:rPr>
            </w:pPr>
          </w:p>
        </w:tc>
        <w:tc>
          <w:tcPr>
            <w:tcW w:w="1419" w:type="dxa"/>
          </w:tcPr>
          <w:p w14:paraId="04D3AAB7" w14:textId="77777777" w:rsidR="000756EB" w:rsidRPr="001C5D4D" w:rsidRDefault="000756EB" w:rsidP="004255E9">
            <w:pPr>
              <w:pStyle w:val="TableHeading"/>
              <w:jc w:val="right"/>
              <w:rPr>
                <w:rFonts w:asciiTheme="minorHAnsi" w:hAnsiTheme="minorHAnsi" w:cstheme="minorHAnsi"/>
                <w:lang w:val="en-AU"/>
              </w:rPr>
            </w:pPr>
          </w:p>
        </w:tc>
      </w:tr>
      <w:tr w:rsidR="000756EB" w:rsidRPr="001C5D4D" w14:paraId="290AC3F6" w14:textId="77777777" w:rsidTr="001C5D4D">
        <w:trPr>
          <w:cantSplit/>
        </w:trPr>
        <w:tc>
          <w:tcPr>
            <w:tcW w:w="3539" w:type="dxa"/>
          </w:tcPr>
          <w:p w14:paraId="4FAA215A" w14:textId="16EBA1CE" w:rsidR="000756EB" w:rsidRPr="001C5D4D" w:rsidRDefault="004A4D88" w:rsidP="001C5D4D">
            <w:pPr>
              <w:pStyle w:val="TableCopy"/>
              <w:rPr>
                <w:rFonts w:asciiTheme="minorHAnsi" w:hAnsiTheme="minorHAnsi" w:cstheme="minorHAnsi"/>
              </w:rPr>
            </w:pPr>
            <w:r w:rsidRPr="001C5D4D">
              <w:rPr>
                <w:rFonts w:asciiTheme="minorHAnsi" w:hAnsiTheme="minorHAnsi" w:cstheme="minorHAnsi"/>
              </w:rPr>
              <w:t>Cash</w:t>
            </w:r>
            <w:r w:rsidR="00A03629" w:rsidRPr="001C5D4D">
              <w:rPr>
                <w:rFonts w:asciiTheme="minorHAnsi" w:hAnsiTheme="minorHAnsi" w:cstheme="minorHAnsi"/>
              </w:rPr>
              <w:t xml:space="preserve"> </w:t>
            </w:r>
            <w:r w:rsidRPr="001C5D4D">
              <w:rPr>
                <w:rFonts w:asciiTheme="minorHAnsi" w:hAnsiTheme="minorHAnsi" w:cstheme="minorHAnsi"/>
              </w:rPr>
              <w:t>and</w:t>
            </w:r>
            <w:r w:rsidR="00A03629" w:rsidRPr="001C5D4D">
              <w:rPr>
                <w:rFonts w:asciiTheme="minorHAnsi" w:hAnsiTheme="minorHAnsi" w:cstheme="minorHAnsi"/>
              </w:rPr>
              <w:t xml:space="preserve"> </w:t>
            </w:r>
            <w:r w:rsidRPr="001C5D4D">
              <w:rPr>
                <w:rFonts w:asciiTheme="minorHAnsi" w:hAnsiTheme="minorHAnsi" w:cstheme="minorHAnsi"/>
              </w:rPr>
              <w:t>deposits</w:t>
            </w:r>
          </w:p>
        </w:tc>
        <w:tc>
          <w:tcPr>
            <w:tcW w:w="1426" w:type="dxa"/>
          </w:tcPr>
          <w:p w14:paraId="4CCE52A2" w14:textId="77777777" w:rsidR="000756EB" w:rsidRPr="001C5D4D" w:rsidRDefault="004A4D88" w:rsidP="004255E9">
            <w:pPr>
              <w:pStyle w:val="TableCopy"/>
              <w:jc w:val="right"/>
              <w:rPr>
                <w:rFonts w:asciiTheme="minorHAnsi" w:hAnsiTheme="minorHAnsi" w:cstheme="minorHAnsi"/>
              </w:rPr>
            </w:pPr>
            <w:r w:rsidRPr="001C5D4D">
              <w:rPr>
                <w:rFonts w:asciiTheme="minorHAnsi" w:hAnsiTheme="minorHAnsi" w:cstheme="minorHAnsi"/>
              </w:rPr>
              <w:t>0.32%</w:t>
            </w:r>
          </w:p>
        </w:tc>
        <w:tc>
          <w:tcPr>
            <w:tcW w:w="1316" w:type="dxa"/>
          </w:tcPr>
          <w:p w14:paraId="224501FF" w14:textId="57AB2C39" w:rsidR="000756EB" w:rsidRPr="001C5D4D" w:rsidRDefault="004A4D88" w:rsidP="004255E9">
            <w:pPr>
              <w:pStyle w:val="TableCopy"/>
              <w:jc w:val="right"/>
              <w:rPr>
                <w:rFonts w:asciiTheme="minorHAnsi" w:hAnsiTheme="minorHAnsi" w:cstheme="minorHAnsi"/>
              </w:rPr>
            </w:pPr>
            <w:r w:rsidRPr="001C5D4D">
              <w:rPr>
                <w:rFonts w:asciiTheme="minorHAnsi" w:hAnsiTheme="minorHAnsi" w:cstheme="minorHAnsi"/>
              </w:rPr>
              <w:t>322,133</w:t>
            </w:r>
          </w:p>
        </w:tc>
        <w:tc>
          <w:tcPr>
            <w:tcW w:w="1418" w:type="dxa"/>
          </w:tcPr>
          <w:p w14:paraId="4C6A51C0" w14:textId="2755EFE5" w:rsidR="000756EB" w:rsidRPr="001C5D4D" w:rsidRDefault="004A4D88" w:rsidP="004255E9">
            <w:pPr>
              <w:pStyle w:val="TableCopy"/>
              <w:jc w:val="right"/>
              <w:rPr>
                <w:rFonts w:asciiTheme="minorHAnsi" w:hAnsiTheme="minorHAnsi" w:cstheme="minorHAnsi"/>
              </w:rPr>
            </w:pPr>
            <w:r w:rsidRPr="001C5D4D">
              <w:rPr>
                <w:rFonts w:asciiTheme="minorHAnsi" w:hAnsiTheme="minorHAnsi" w:cstheme="minorHAnsi"/>
              </w:rPr>
              <w:t>–</w:t>
            </w:r>
          </w:p>
        </w:tc>
        <w:tc>
          <w:tcPr>
            <w:tcW w:w="1393" w:type="dxa"/>
          </w:tcPr>
          <w:p w14:paraId="25CF22D8" w14:textId="26E0F5A4" w:rsidR="000756EB" w:rsidRPr="001C5D4D" w:rsidRDefault="004A4D88" w:rsidP="004255E9">
            <w:pPr>
              <w:pStyle w:val="TableCopy"/>
              <w:jc w:val="right"/>
              <w:rPr>
                <w:rFonts w:asciiTheme="minorHAnsi" w:hAnsiTheme="minorHAnsi" w:cstheme="minorHAnsi"/>
              </w:rPr>
            </w:pPr>
            <w:r w:rsidRPr="001C5D4D">
              <w:rPr>
                <w:rFonts w:asciiTheme="minorHAnsi" w:hAnsiTheme="minorHAnsi" w:cstheme="minorHAnsi"/>
              </w:rPr>
              <w:t>240,724</w:t>
            </w:r>
          </w:p>
        </w:tc>
        <w:tc>
          <w:tcPr>
            <w:tcW w:w="1419" w:type="dxa"/>
          </w:tcPr>
          <w:p w14:paraId="1678881F" w14:textId="1F3C5911" w:rsidR="000756EB" w:rsidRPr="001C5D4D" w:rsidRDefault="004A4D88" w:rsidP="004255E9">
            <w:pPr>
              <w:pStyle w:val="TableCopy"/>
              <w:jc w:val="right"/>
              <w:rPr>
                <w:rFonts w:asciiTheme="minorHAnsi" w:hAnsiTheme="minorHAnsi" w:cstheme="minorHAnsi"/>
              </w:rPr>
            </w:pPr>
            <w:r w:rsidRPr="001C5D4D">
              <w:rPr>
                <w:rFonts w:asciiTheme="minorHAnsi" w:hAnsiTheme="minorHAnsi" w:cstheme="minorHAnsi"/>
              </w:rPr>
              <w:t>81,408</w:t>
            </w:r>
          </w:p>
        </w:tc>
      </w:tr>
      <w:tr w:rsidR="000756EB" w:rsidRPr="001C5D4D" w14:paraId="486E5B9A" w14:textId="77777777" w:rsidTr="001C5D4D">
        <w:trPr>
          <w:cantSplit/>
        </w:trPr>
        <w:tc>
          <w:tcPr>
            <w:tcW w:w="3539" w:type="dxa"/>
          </w:tcPr>
          <w:p w14:paraId="1D0C7EC6" w14:textId="1CFB469E" w:rsidR="000756EB" w:rsidRPr="001C5D4D" w:rsidRDefault="004A4D88" w:rsidP="001C5D4D">
            <w:pPr>
              <w:pStyle w:val="TableCopy"/>
              <w:rPr>
                <w:rFonts w:asciiTheme="minorHAnsi" w:hAnsiTheme="minorHAnsi" w:cstheme="minorHAnsi"/>
              </w:rPr>
            </w:pPr>
            <w:r w:rsidRPr="001C5D4D">
              <w:rPr>
                <w:rFonts w:asciiTheme="minorHAnsi" w:hAnsiTheme="minorHAnsi" w:cstheme="minorHAnsi"/>
              </w:rPr>
              <w:t>Receivables</w:t>
            </w:r>
            <w:r w:rsidR="00A03629" w:rsidRPr="001C5D4D">
              <w:rPr>
                <w:rFonts w:asciiTheme="minorHAnsi" w:hAnsiTheme="minorHAnsi" w:cstheme="minorHAnsi"/>
              </w:rPr>
              <w:t xml:space="preserve"> </w:t>
            </w:r>
            <w:r w:rsidRPr="00614829">
              <w:rPr>
                <w:rStyle w:val="FootnotereferencessuperscriptMisc"/>
              </w:rPr>
              <w:t>(</w:t>
            </w:r>
            <w:proofErr w:type="spellStart"/>
            <w:r w:rsidRPr="00614829">
              <w:rPr>
                <w:rStyle w:val="FootnotereferencessuperscriptMisc"/>
              </w:rPr>
              <w:t>i</w:t>
            </w:r>
            <w:proofErr w:type="spellEnd"/>
            <w:r w:rsidRPr="00614829">
              <w:rPr>
                <w:rStyle w:val="FootnotereferencessuperscriptMisc"/>
              </w:rPr>
              <w:t>)</w:t>
            </w:r>
          </w:p>
        </w:tc>
        <w:tc>
          <w:tcPr>
            <w:tcW w:w="1426" w:type="dxa"/>
          </w:tcPr>
          <w:p w14:paraId="03683392" w14:textId="77777777" w:rsidR="000756EB" w:rsidRPr="001C5D4D" w:rsidRDefault="000756EB" w:rsidP="004255E9">
            <w:pPr>
              <w:pStyle w:val="TableCopy"/>
              <w:jc w:val="right"/>
              <w:rPr>
                <w:rFonts w:asciiTheme="minorHAnsi" w:hAnsiTheme="minorHAnsi" w:cstheme="minorHAnsi"/>
                <w:lang w:val="en-AU"/>
              </w:rPr>
            </w:pPr>
          </w:p>
        </w:tc>
        <w:tc>
          <w:tcPr>
            <w:tcW w:w="1316" w:type="dxa"/>
          </w:tcPr>
          <w:p w14:paraId="4F8F2003" w14:textId="69319566" w:rsidR="000756EB" w:rsidRPr="001C5D4D" w:rsidRDefault="004A4D88" w:rsidP="004255E9">
            <w:pPr>
              <w:pStyle w:val="TableCopy"/>
              <w:jc w:val="right"/>
              <w:rPr>
                <w:rFonts w:asciiTheme="minorHAnsi" w:hAnsiTheme="minorHAnsi" w:cstheme="minorHAnsi"/>
              </w:rPr>
            </w:pPr>
            <w:r w:rsidRPr="001C5D4D">
              <w:rPr>
                <w:rFonts w:asciiTheme="minorHAnsi" w:hAnsiTheme="minorHAnsi" w:cstheme="minorHAnsi"/>
              </w:rPr>
              <w:t>225,347</w:t>
            </w:r>
          </w:p>
        </w:tc>
        <w:tc>
          <w:tcPr>
            <w:tcW w:w="1418" w:type="dxa"/>
          </w:tcPr>
          <w:p w14:paraId="40CBE0DE" w14:textId="02DAB1E8" w:rsidR="000756EB" w:rsidRPr="001C5D4D" w:rsidRDefault="004A4D88" w:rsidP="004255E9">
            <w:pPr>
              <w:pStyle w:val="TableCopy"/>
              <w:jc w:val="right"/>
              <w:rPr>
                <w:rFonts w:asciiTheme="minorHAnsi" w:hAnsiTheme="minorHAnsi" w:cstheme="minorHAnsi"/>
              </w:rPr>
            </w:pPr>
            <w:r w:rsidRPr="001C5D4D">
              <w:rPr>
                <w:rFonts w:asciiTheme="minorHAnsi" w:hAnsiTheme="minorHAnsi" w:cstheme="minorHAnsi"/>
              </w:rPr>
              <w:t>–</w:t>
            </w:r>
          </w:p>
        </w:tc>
        <w:tc>
          <w:tcPr>
            <w:tcW w:w="1393" w:type="dxa"/>
          </w:tcPr>
          <w:p w14:paraId="687E6CF4" w14:textId="474645BB" w:rsidR="000756EB" w:rsidRPr="001C5D4D" w:rsidRDefault="004A4D88" w:rsidP="004255E9">
            <w:pPr>
              <w:pStyle w:val="TableCopy"/>
              <w:jc w:val="right"/>
              <w:rPr>
                <w:rFonts w:asciiTheme="minorHAnsi" w:hAnsiTheme="minorHAnsi" w:cstheme="minorHAnsi"/>
              </w:rPr>
            </w:pPr>
            <w:r w:rsidRPr="001C5D4D">
              <w:rPr>
                <w:rFonts w:asciiTheme="minorHAnsi" w:hAnsiTheme="minorHAnsi" w:cstheme="minorHAnsi"/>
              </w:rPr>
              <w:t>–</w:t>
            </w:r>
          </w:p>
        </w:tc>
        <w:tc>
          <w:tcPr>
            <w:tcW w:w="1419" w:type="dxa"/>
          </w:tcPr>
          <w:p w14:paraId="5526B158" w14:textId="6DEDEBAD" w:rsidR="000756EB" w:rsidRPr="001C5D4D" w:rsidRDefault="004A4D88" w:rsidP="004255E9">
            <w:pPr>
              <w:pStyle w:val="TableCopy"/>
              <w:jc w:val="right"/>
              <w:rPr>
                <w:rFonts w:asciiTheme="minorHAnsi" w:hAnsiTheme="minorHAnsi" w:cstheme="minorHAnsi"/>
              </w:rPr>
            </w:pPr>
            <w:r w:rsidRPr="001C5D4D">
              <w:rPr>
                <w:rFonts w:asciiTheme="minorHAnsi" w:hAnsiTheme="minorHAnsi" w:cstheme="minorHAnsi"/>
              </w:rPr>
              <w:t>225,347</w:t>
            </w:r>
          </w:p>
        </w:tc>
      </w:tr>
      <w:tr w:rsidR="000756EB" w:rsidRPr="001C5D4D" w14:paraId="2A382835" w14:textId="77777777" w:rsidTr="001C5D4D">
        <w:trPr>
          <w:cantSplit/>
        </w:trPr>
        <w:tc>
          <w:tcPr>
            <w:tcW w:w="3539" w:type="dxa"/>
          </w:tcPr>
          <w:p w14:paraId="4CBD0C98" w14:textId="77777777" w:rsidR="000756EB" w:rsidRPr="001C5D4D" w:rsidRDefault="004A4D88" w:rsidP="001C5D4D">
            <w:pPr>
              <w:pStyle w:val="TableCopy"/>
              <w:rPr>
                <w:rFonts w:asciiTheme="minorHAnsi" w:hAnsiTheme="minorHAnsi" w:cstheme="minorHAnsi"/>
              </w:rPr>
            </w:pPr>
            <w:r w:rsidRPr="001C5D4D">
              <w:rPr>
                <w:rFonts w:asciiTheme="minorHAnsi" w:hAnsiTheme="minorHAnsi" w:cstheme="minorHAnsi"/>
              </w:rPr>
              <w:t>Investments</w:t>
            </w:r>
          </w:p>
        </w:tc>
        <w:tc>
          <w:tcPr>
            <w:tcW w:w="1426" w:type="dxa"/>
          </w:tcPr>
          <w:p w14:paraId="0B990168" w14:textId="77777777" w:rsidR="000756EB" w:rsidRPr="001C5D4D" w:rsidRDefault="000756EB" w:rsidP="004255E9">
            <w:pPr>
              <w:pStyle w:val="TableCopy"/>
              <w:jc w:val="right"/>
              <w:rPr>
                <w:rFonts w:asciiTheme="minorHAnsi" w:hAnsiTheme="minorHAnsi" w:cstheme="minorHAnsi"/>
                <w:lang w:val="en-AU"/>
              </w:rPr>
            </w:pPr>
          </w:p>
        </w:tc>
        <w:tc>
          <w:tcPr>
            <w:tcW w:w="1316" w:type="dxa"/>
          </w:tcPr>
          <w:p w14:paraId="07D7B2A0" w14:textId="076EA5EC" w:rsidR="000756EB" w:rsidRPr="001C5D4D" w:rsidRDefault="004A4D88" w:rsidP="004255E9">
            <w:pPr>
              <w:pStyle w:val="TableCopy"/>
              <w:jc w:val="right"/>
              <w:rPr>
                <w:rFonts w:asciiTheme="minorHAnsi" w:hAnsiTheme="minorHAnsi" w:cstheme="minorHAnsi"/>
              </w:rPr>
            </w:pPr>
            <w:r w:rsidRPr="001C5D4D">
              <w:rPr>
                <w:rFonts w:asciiTheme="minorHAnsi" w:hAnsiTheme="minorHAnsi" w:cstheme="minorHAnsi"/>
              </w:rPr>
              <w:t>–</w:t>
            </w:r>
          </w:p>
        </w:tc>
        <w:tc>
          <w:tcPr>
            <w:tcW w:w="1418" w:type="dxa"/>
          </w:tcPr>
          <w:p w14:paraId="78EC4E4E" w14:textId="41092909" w:rsidR="000756EB" w:rsidRPr="001C5D4D" w:rsidRDefault="004A4D88" w:rsidP="004255E9">
            <w:pPr>
              <w:pStyle w:val="TableCopy"/>
              <w:jc w:val="right"/>
              <w:rPr>
                <w:rFonts w:asciiTheme="minorHAnsi" w:hAnsiTheme="minorHAnsi" w:cstheme="minorHAnsi"/>
              </w:rPr>
            </w:pPr>
            <w:r w:rsidRPr="001C5D4D">
              <w:rPr>
                <w:rFonts w:asciiTheme="minorHAnsi" w:hAnsiTheme="minorHAnsi" w:cstheme="minorHAnsi"/>
              </w:rPr>
              <w:t>–</w:t>
            </w:r>
          </w:p>
        </w:tc>
        <w:tc>
          <w:tcPr>
            <w:tcW w:w="1393" w:type="dxa"/>
          </w:tcPr>
          <w:p w14:paraId="1C8510A8" w14:textId="764D0FD0" w:rsidR="000756EB" w:rsidRPr="001C5D4D" w:rsidRDefault="004A4D88" w:rsidP="004255E9">
            <w:pPr>
              <w:pStyle w:val="TableCopy"/>
              <w:jc w:val="right"/>
              <w:rPr>
                <w:rFonts w:asciiTheme="minorHAnsi" w:hAnsiTheme="minorHAnsi" w:cstheme="minorHAnsi"/>
              </w:rPr>
            </w:pPr>
            <w:r w:rsidRPr="001C5D4D">
              <w:rPr>
                <w:rFonts w:asciiTheme="minorHAnsi" w:hAnsiTheme="minorHAnsi" w:cstheme="minorHAnsi"/>
              </w:rPr>
              <w:t>–</w:t>
            </w:r>
          </w:p>
        </w:tc>
        <w:tc>
          <w:tcPr>
            <w:tcW w:w="1419" w:type="dxa"/>
          </w:tcPr>
          <w:p w14:paraId="37DCBC7F" w14:textId="0028B729" w:rsidR="000756EB" w:rsidRPr="001C5D4D" w:rsidRDefault="004A4D88" w:rsidP="004255E9">
            <w:pPr>
              <w:pStyle w:val="TableCopy"/>
              <w:jc w:val="right"/>
              <w:rPr>
                <w:rFonts w:asciiTheme="minorHAnsi" w:hAnsiTheme="minorHAnsi" w:cstheme="minorHAnsi"/>
              </w:rPr>
            </w:pPr>
            <w:r w:rsidRPr="001C5D4D">
              <w:rPr>
                <w:rFonts w:asciiTheme="minorHAnsi" w:hAnsiTheme="minorHAnsi" w:cstheme="minorHAnsi"/>
              </w:rPr>
              <w:t>–</w:t>
            </w:r>
          </w:p>
        </w:tc>
      </w:tr>
      <w:tr w:rsidR="000756EB" w:rsidRPr="001C5D4D" w14:paraId="1D51660A" w14:textId="77777777" w:rsidTr="001C5D4D">
        <w:trPr>
          <w:cantSplit/>
        </w:trPr>
        <w:tc>
          <w:tcPr>
            <w:tcW w:w="3539" w:type="dxa"/>
          </w:tcPr>
          <w:p w14:paraId="476B4B73" w14:textId="1335A10E" w:rsidR="000756EB" w:rsidRPr="001C5D4D" w:rsidRDefault="004A4D88" w:rsidP="001C5D4D">
            <w:pPr>
              <w:pStyle w:val="TableCopy"/>
              <w:rPr>
                <w:rFonts w:asciiTheme="minorHAnsi" w:hAnsiTheme="minorHAnsi" w:cstheme="minorHAnsi"/>
                <w:b/>
                <w:bCs/>
              </w:rPr>
            </w:pPr>
            <w:r w:rsidRPr="001C5D4D">
              <w:rPr>
                <w:rFonts w:asciiTheme="minorHAnsi" w:hAnsiTheme="minorHAnsi" w:cstheme="minorHAnsi"/>
                <w:b/>
                <w:bCs/>
              </w:rPr>
              <w:t>Total</w:t>
            </w:r>
            <w:r w:rsidR="00A03629" w:rsidRPr="001C5D4D">
              <w:rPr>
                <w:rFonts w:asciiTheme="minorHAnsi" w:hAnsiTheme="minorHAnsi" w:cstheme="minorHAnsi"/>
                <w:b/>
                <w:bCs/>
              </w:rPr>
              <w:t xml:space="preserve"> </w:t>
            </w:r>
            <w:r w:rsidRPr="001C5D4D">
              <w:rPr>
                <w:rFonts w:asciiTheme="minorHAnsi" w:hAnsiTheme="minorHAnsi" w:cstheme="minorHAnsi"/>
                <w:b/>
                <w:bCs/>
              </w:rPr>
              <w:t>financial</w:t>
            </w:r>
            <w:r w:rsidR="00A03629" w:rsidRPr="001C5D4D">
              <w:rPr>
                <w:rFonts w:asciiTheme="minorHAnsi" w:hAnsiTheme="minorHAnsi" w:cstheme="minorHAnsi"/>
                <w:b/>
                <w:bCs/>
              </w:rPr>
              <w:t xml:space="preserve"> </w:t>
            </w:r>
            <w:r w:rsidRPr="001C5D4D">
              <w:rPr>
                <w:rFonts w:asciiTheme="minorHAnsi" w:hAnsiTheme="minorHAnsi" w:cstheme="minorHAnsi"/>
                <w:b/>
                <w:bCs/>
              </w:rPr>
              <w:t>assets</w:t>
            </w:r>
          </w:p>
        </w:tc>
        <w:tc>
          <w:tcPr>
            <w:tcW w:w="1426" w:type="dxa"/>
          </w:tcPr>
          <w:p w14:paraId="7A3A5E94" w14:textId="77777777" w:rsidR="000756EB" w:rsidRPr="001C5D4D" w:rsidRDefault="000756EB" w:rsidP="004255E9">
            <w:pPr>
              <w:pStyle w:val="TableCopy"/>
              <w:jc w:val="right"/>
              <w:rPr>
                <w:rFonts w:asciiTheme="minorHAnsi" w:hAnsiTheme="minorHAnsi" w:cstheme="minorHAnsi"/>
                <w:b/>
                <w:bCs/>
                <w:lang w:val="en-AU"/>
              </w:rPr>
            </w:pPr>
          </w:p>
        </w:tc>
        <w:tc>
          <w:tcPr>
            <w:tcW w:w="1316" w:type="dxa"/>
          </w:tcPr>
          <w:p w14:paraId="2C4B51DF" w14:textId="35073E9E" w:rsidR="000756EB" w:rsidRPr="001C5D4D" w:rsidRDefault="004A4D88" w:rsidP="004255E9">
            <w:pPr>
              <w:pStyle w:val="TableCopy"/>
              <w:jc w:val="right"/>
              <w:rPr>
                <w:rFonts w:asciiTheme="minorHAnsi" w:hAnsiTheme="minorHAnsi" w:cstheme="minorHAnsi"/>
                <w:b/>
                <w:bCs/>
              </w:rPr>
            </w:pPr>
            <w:r w:rsidRPr="001C5D4D">
              <w:rPr>
                <w:rFonts w:asciiTheme="minorHAnsi" w:hAnsiTheme="minorHAnsi" w:cstheme="minorHAnsi"/>
                <w:b/>
                <w:bCs/>
              </w:rPr>
              <w:t>547,480</w:t>
            </w:r>
          </w:p>
        </w:tc>
        <w:tc>
          <w:tcPr>
            <w:tcW w:w="1418" w:type="dxa"/>
          </w:tcPr>
          <w:p w14:paraId="6090A676" w14:textId="1DD2A023" w:rsidR="000756EB" w:rsidRPr="001C5D4D" w:rsidRDefault="004A4D88" w:rsidP="004255E9">
            <w:pPr>
              <w:pStyle w:val="TableCopy"/>
              <w:jc w:val="right"/>
              <w:rPr>
                <w:rFonts w:asciiTheme="minorHAnsi" w:hAnsiTheme="minorHAnsi" w:cstheme="minorHAnsi"/>
                <w:b/>
                <w:bCs/>
              </w:rPr>
            </w:pPr>
            <w:r w:rsidRPr="001C5D4D">
              <w:rPr>
                <w:rFonts w:asciiTheme="minorHAnsi" w:hAnsiTheme="minorHAnsi" w:cstheme="minorHAnsi"/>
                <w:b/>
                <w:bCs/>
              </w:rPr>
              <w:t>–</w:t>
            </w:r>
          </w:p>
        </w:tc>
        <w:tc>
          <w:tcPr>
            <w:tcW w:w="1393" w:type="dxa"/>
          </w:tcPr>
          <w:p w14:paraId="284EDD87" w14:textId="34563376" w:rsidR="000756EB" w:rsidRPr="001C5D4D" w:rsidRDefault="004A4D88" w:rsidP="004255E9">
            <w:pPr>
              <w:pStyle w:val="TableCopy"/>
              <w:jc w:val="right"/>
              <w:rPr>
                <w:rFonts w:asciiTheme="minorHAnsi" w:hAnsiTheme="minorHAnsi" w:cstheme="minorHAnsi"/>
                <w:b/>
                <w:bCs/>
              </w:rPr>
            </w:pPr>
            <w:r w:rsidRPr="001C5D4D">
              <w:rPr>
                <w:rFonts w:asciiTheme="minorHAnsi" w:hAnsiTheme="minorHAnsi" w:cstheme="minorHAnsi"/>
                <w:b/>
                <w:bCs/>
              </w:rPr>
              <w:t>240,724</w:t>
            </w:r>
          </w:p>
        </w:tc>
        <w:tc>
          <w:tcPr>
            <w:tcW w:w="1419" w:type="dxa"/>
          </w:tcPr>
          <w:p w14:paraId="749543A7" w14:textId="6A00FA0D" w:rsidR="000756EB" w:rsidRPr="001C5D4D" w:rsidRDefault="004A4D88" w:rsidP="004255E9">
            <w:pPr>
              <w:pStyle w:val="TableCopy"/>
              <w:jc w:val="right"/>
              <w:rPr>
                <w:rFonts w:asciiTheme="minorHAnsi" w:hAnsiTheme="minorHAnsi" w:cstheme="minorHAnsi"/>
                <w:b/>
                <w:bCs/>
              </w:rPr>
            </w:pPr>
            <w:r w:rsidRPr="001C5D4D">
              <w:rPr>
                <w:rFonts w:asciiTheme="minorHAnsi" w:hAnsiTheme="minorHAnsi" w:cstheme="minorHAnsi"/>
                <w:b/>
                <w:bCs/>
              </w:rPr>
              <w:t>306,756</w:t>
            </w:r>
          </w:p>
        </w:tc>
      </w:tr>
      <w:tr w:rsidR="000756EB" w:rsidRPr="001C5D4D" w14:paraId="79C15251" w14:textId="77777777" w:rsidTr="001C5D4D">
        <w:trPr>
          <w:cantSplit/>
        </w:trPr>
        <w:tc>
          <w:tcPr>
            <w:tcW w:w="3539" w:type="dxa"/>
          </w:tcPr>
          <w:p w14:paraId="56C45796" w14:textId="23D62DEE" w:rsidR="000756EB" w:rsidRPr="001C5D4D" w:rsidRDefault="004A4D88" w:rsidP="001C5D4D">
            <w:pPr>
              <w:pStyle w:val="TableHeading"/>
              <w:rPr>
                <w:rFonts w:asciiTheme="minorHAnsi" w:hAnsiTheme="minorHAnsi" w:cstheme="minorHAnsi"/>
              </w:rPr>
            </w:pPr>
            <w:r w:rsidRPr="001C5D4D">
              <w:rPr>
                <w:rFonts w:asciiTheme="minorHAnsi" w:hAnsiTheme="minorHAnsi" w:cstheme="minorHAnsi"/>
              </w:rPr>
              <w:t>Financial</w:t>
            </w:r>
            <w:r w:rsidR="00A03629" w:rsidRPr="001C5D4D">
              <w:rPr>
                <w:rFonts w:asciiTheme="minorHAnsi" w:hAnsiTheme="minorHAnsi" w:cstheme="minorHAnsi"/>
              </w:rPr>
              <w:t xml:space="preserve"> </w:t>
            </w:r>
            <w:r w:rsidRPr="001C5D4D">
              <w:rPr>
                <w:rFonts w:asciiTheme="minorHAnsi" w:hAnsiTheme="minorHAnsi" w:cstheme="minorHAnsi"/>
              </w:rPr>
              <w:t>liabilities</w:t>
            </w:r>
          </w:p>
        </w:tc>
        <w:tc>
          <w:tcPr>
            <w:tcW w:w="1426" w:type="dxa"/>
          </w:tcPr>
          <w:p w14:paraId="4560FA0C" w14:textId="77777777" w:rsidR="000756EB" w:rsidRPr="001C5D4D" w:rsidRDefault="000756EB" w:rsidP="004255E9">
            <w:pPr>
              <w:pStyle w:val="TableHeading"/>
              <w:jc w:val="right"/>
              <w:rPr>
                <w:rFonts w:asciiTheme="minorHAnsi" w:hAnsiTheme="minorHAnsi" w:cstheme="minorHAnsi"/>
                <w:lang w:val="en-AU"/>
              </w:rPr>
            </w:pPr>
          </w:p>
        </w:tc>
        <w:tc>
          <w:tcPr>
            <w:tcW w:w="1316" w:type="dxa"/>
          </w:tcPr>
          <w:p w14:paraId="34656F0F" w14:textId="77777777" w:rsidR="000756EB" w:rsidRPr="001C5D4D" w:rsidRDefault="000756EB" w:rsidP="004255E9">
            <w:pPr>
              <w:pStyle w:val="TableHeading"/>
              <w:jc w:val="right"/>
              <w:rPr>
                <w:rFonts w:asciiTheme="minorHAnsi" w:hAnsiTheme="minorHAnsi" w:cstheme="minorHAnsi"/>
                <w:lang w:val="en-AU"/>
              </w:rPr>
            </w:pPr>
          </w:p>
        </w:tc>
        <w:tc>
          <w:tcPr>
            <w:tcW w:w="1418" w:type="dxa"/>
          </w:tcPr>
          <w:p w14:paraId="32625DFA" w14:textId="77777777" w:rsidR="000756EB" w:rsidRPr="001C5D4D" w:rsidRDefault="000756EB" w:rsidP="004255E9">
            <w:pPr>
              <w:pStyle w:val="TableHeading"/>
              <w:jc w:val="right"/>
              <w:rPr>
                <w:rFonts w:asciiTheme="minorHAnsi" w:hAnsiTheme="minorHAnsi" w:cstheme="minorHAnsi"/>
                <w:lang w:val="en-AU"/>
              </w:rPr>
            </w:pPr>
          </w:p>
        </w:tc>
        <w:tc>
          <w:tcPr>
            <w:tcW w:w="1393" w:type="dxa"/>
          </w:tcPr>
          <w:p w14:paraId="02BC1D43" w14:textId="77777777" w:rsidR="000756EB" w:rsidRPr="001C5D4D" w:rsidRDefault="000756EB" w:rsidP="004255E9">
            <w:pPr>
              <w:pStyle w:val="TableHeading"/>
              <w:jc w:val="right"/>
              <w:rPr>
                <w:rFonts w:asciiTheme="minorHAnsi" w:hAnsiTheme="minorHAnsi" w:cstheme="minorHAnsi"/>
                <w:lang w:val="en-AU"/>
              </w:rPr>
            </w:pPr>
          </w:p>
        </w:tc>
        <w:tc>
          <w:tcPr>
            <w:tcW w:w="1419" w:type="dxa"/>
          </w:tcPr>
          <w:p w14:paraId="05BB33DD" w14:textId="77777777" w:rsidR="000756EB" w:rsidRPr="001C5D4D" w:rsidRDefault="000756EB" w:rsidP="004255E9">
            <w:pPr>
              <w:pStyle w:val="TableHeading"/>
              <w:jc w:val="right"/>
              <w:rPr>
                <w:rFonts w:asciiTheme="minorHAnsi" w:hAnsiTheme="minorHAnsi" w:cstheme="minorHAnsi"/>
                <w:lang w:val="en-AU"/>
              </w:rPr>
            </w:pPr>
          </w:p>
        </w:tc>
      </w:tr>
      <w:tr w:rsidR="000756EB" w:rsidRPr="001C5D4D" w14:paraId="7E2C4C3A" w14:textId="77777777" w:rsidTr="001C5D4D">
        <w:trPr>
          <w:cantSplit/>
        </w:trPr>
        <w:tc>
          <w:tcPr>
            <w:tcW w:w="3539" w:type="dxa"/>
          </w:tcPr>
          <w:p w14:paraId="087FE4A2" w14:textId="005756D4" w:rsidR="000756EB" w:rsidRPr="001C5D4D" w:rsidRDefault="004A4D88" w:rsidP="001C5D4D">
            <w:pPr>
              <w:pStyle w:val="TableHeading"/>
              <w:rPr>
                <w:rFonts w:asciiTheme="minorHAnsi" w:hAnsiTheme="minorHAnsi" w:cstheme="minorHAnsi"/>
              </w:rPr>
            </w:pPr>
            <w:r w:rsidRPr="001C5D4D">
              <w:rPr>
                <w:rFonts w:asciiTheme="minorHAnsi" w:hAnsiTheme="minorHAnsi" w:cstheme="minorHAnsi"/>
              </w:rPr>
              <w:t>Payables</w:t>
            </w:r>
            <w:r w:rsidR="00A03629" w:rsidRPr="001C5D4D">
              <w:rPr>
                <w:rFonts w:asciiTheme="minorHAnsi" w:hAnsiTheme="minorHAnsi" w:cstheme="minorHAnsi"/>
              </w:rPr>
              <w:t xml:space="preserve"> </w:t>
            </w:r>
            <w:r w:rsidRPr="00614829">
              <w:rPr>
                <w:rStyle w:val="FootnotereferencessuperscriptMisc"/>
              </w:rPr>
              <w:t>(</w:t>
            </w:r>
            <w:proofErr w:type="spellStart"/>
            <w:r w:rsidRPr="00614829">
              <w:rPr>
                <w:rStyle w:val="FootnotereferencessuperscriptMisc"/>
              </w:rPr>
              <w:t>i</w:t>
            </w:r>
            <w:proofErr w:type="spellEnd"/>
            <w:r w:rsidRPr="00614829">
              <w:rPr>
                <w:rStyle w:val="FootnotereferencessuperscriptMisc"/>
              </w:rPr>
              <w:t>)</w:t>
            </w:r>
          </w:p>
        </w:tc>
        <w:tc>
          <w:tcPr>
            <w:tcW w:w="1426" w:type="dxa"/>
          </w:tcPr>
          <w:p w14:paraId="2D72BEBE" w14:textId="77777777" w:rsidR="000756EB" w:rsidRPr="001C5D4D" w:rsidRDefault="000756EB" w:rsidP="004255E9">
            <w:pPr>
              <w:pStyle w:val="TableHeading"/>
              <w:jc w:val="right"/>
              <w:rPr>
                <w:rFonts w:asciiTheme="minorHAnsi" w:hAnsiTheme="minorHAnsi" w:cstheme="minorHAnsi"/>
                <w:lang w:val="en-AU"/>
              </w:rPr>
            </w:pPr>
          </w:p>
        </w:tc>
        <w:tc>
          <w:tcPr>
            <w:tcW w:w="1316" w:type="dxa"/>
          </w:tcPr>
          <w:p w14:paraId="260C5917" w14:textId="77777777" w:rsidR="000756EB" w:rsidRPr="001C5D4D" w:rsidRDefault="000756EB" w:rsidP="004255E9">
            <w:pPr>
              <w:pStyle w:val="TableHeading"/>
              <w:jc w:val="right"/>
              <w:rPr>
                <w:rFonts w:asciiTheme="minorHAnsi" w:hAnsiTheme="minorHAnsi" w:cstheme="minorHAnsi"/>
                <w:lang w:val="en-AU"/>
              </w:rPr>
            </w:pPr>
          </w:p>
        </w:tc>
        <w:tc>
          <w:tcPr>
            <w:tcW w:w="1418" w:type="dxa"/>
          </w:tcPr>
          <w:p w14:paraId="42C28792" w14:textId="77777777" w:rsidR="000756EB" w:rsidRPr="001C5D4D" w:rsidRDefault="000756EB" w:rsidP="004255E9">
            <w:pPr>
              <w:pStyle w:val="TableHeading"/>
              <w:jc w:val="right"/>
              <w:rPr>
                <w:rFonts w:asciiTheme="minorHAnsi" w:hAnsiTheme="minorHAnsi" w:cstheme="minorHAnsi"/>
                <w:lang w:val="en-AU"/>
              </w:rPr>
            </w:pPr>
          </w:p>
        </w:tc>
        <w:tc>
          <w:tcPr>
            <w:tcW w:w="1393" w:type="dxa"/>
          </w:tcPr>
          <w:p w14:paraId="3BD7B911" w14:textId="77777777" w:rsidR="000756EB" w:rsidRPr="001C5D4D" w:rsidRDefault="000756EB" w:rsidP="004255E9">
            <w:pPr>
              <w:pStyle w:val="TableHeading"/>
              <w:jc w:val="right"/>
              <w:rPr>
                <w:rFonts w:asciiTheme="minorHAnsi" w:hAnsiTheme="minorHAnsi" w:cstheme="minorHAnsi"/>
                <w:lang w:val="en-AU"/>
              </w:rPr>
            </w:pPr>
          </w:p>
        </w:tc>
        <w:tc>
          <w:tcPr>
            <w:tcW w:w="1419" w:type="dxa"/>
          </w:tcPr>
          <w:p w14:paraId="5DE39086" w14:textId="77777777" w:rsidR="000756EB" w:rsidRPr="001C5D4D" w:rsidRDefault="000756EB" w:rsidP="004255E9">
            <w:pPr>
              <w:pStyle w:val="TableHeading"/>
              <w:jc w:val="right"/>
              <w:rPr>
                <w:rFonts w:asciiTheme="minorHAnsi" w:hAnsiTheme="minorHAnsi" w:cstheme="minorHAnsi"/>
                <w:lang w:val="en-AU"/>
              </w:rPr>
            </w:pPr>
          </w:p>
        </w:tc>
      </w:tr>
      <w:tr w:rsidR="000756EB" w:rsidRPr="001C5D4D" w14:paraId="493DA30A" w14:textId="77777777" w:rsidTr="001C5D4D">
        <w:trPr>
          <w:cantSplit/>
        </w:trPr>
        <w:tc>
          <w:tcPr>
            <w:tcW w:w="3539" w:type="dxa"/>
          </w:tcPr>
          <w:p w14:paraId="04754E53" w14:textId="5069E0D6" w:rsidR="000756EB" w:rsidRPr="001C5D4D" w:rsidRDefault="004A4D88" w:rsidP="001C5D4D">
            <w:pPr>
              <w:pStyle w:val="TableCopy"/>
              <w:rPr>
                <w:rFonts w:asciiTheme="minorHAnsi" w:hAnsiTheme="minorHAnsi" w:cstheme="minorHAnsi"/>
              </w:rPr>
            </w:pPr>
            <w:r w:rsidRPr="001C5D4D">
              <w:rPr>
                <w:rFonts w:asciiTheme="minorHAnsi" w:hAnsiTheme="minorHAnsi" w:cstheme="minorHAnsi"/>
              </w:rPr>
              <w:t>Supplies</w:t>
            </w:r>
            <w:r w:rsidR="00A03629" w:rsidRPr="001C5D4D">
              <w:rPr>
                <w:rFonts w:asciiTheme="minorHAnsi" w:hAnsiTheme="minorHAnsi" w:cstheme="minorHAnsi"/>
              </w:rPr>
              <w:t xml:space="preserve"> </w:t>
            </w:r>
            <w:r w:rsidRPr="001C5D4D">
              <w:rPr>
                <w:rFonts w:asciiTheme="minorHAnsi" w:hAnsiTheme="minorHAnsi" w:cstheme="minorHAnsi"/>
              </w:rPr>
              <w:t>and</w:t>
            </w:r>
            <w:r w:rsidR="00A03629" w:rsidRPr="001C5D4D">
              <w:rPr>
                <w:rFonts w:asciiTheme="minorHAnsi" w:hAnsiTheme="minorHAnsi" w:cstheme="minorHAnsi"/>
              </w:rPr>
              <w:t xml:space="preserve"> </w:t>
            </w:r>
            <w:r w:rsidRPr="001C5D4D">
              <w:rPr>
                <w:rFonts w:asciiTheme="minorHAnsi" w:hAnsiTheme="minorHAnsi" w:cstheme="minorHAnsi"/>
              </w:rPr>
              <w:t>services</w:t>
            </w:r>
          </w:p>
        </w:tc>
        <w:tc>
          <w:tcPr>
            <w:tcW w:w="1426" w:type="dxa"/>
          </w:tcPr>
          <w:p w14:paraId="234A865E" w14:textId="77777777" w:rsidR="000756EB" w:rsidRPr="001C5D4D" w:rsidRDefault="000756EB" w:rsidP="004255E9">
            <w:pPr>
              <w:pStyle w:val="TableCopy"/>
              <w:jc w:val="right"/>
              <w:rPr>
                <w:rFonts w:asciiTheme="minorHAnsi" w:hAnsiTheme="minorHAnsi" w:cstheme="minorHAnsi"/>
                <w:lang w:val="en-AU"/>
              </w:rPr>
            </w:pPr>
          </w:p>
        </w:tc>
        <w:tc>
          <w:tcPr>
            <w:tcW w:w="1316" w:type="dxa"/>
          </w:tcPr>
          <w:p w14:paraId="7D11912C" w14:textId="4285A9CD" w:rsidR="000756EB" w:rsidRPr="001C5D4D" w:rsidRDefault="004A4D88" w:rsidP="004255E9">
            <w:pPr>
              <w:pStyle w:val="TableCopy"/>
              <w:jc w:val="right"/>
              <w:rPr>
                <w:rFonts w:asciiTheme="minorHAnsi" w:hAnsiTheme="minorHAnsi" w:cstheme="minorHAnsi"/>
              </w:rPr>
            </w:pPr>
            <w:r w:rsidRPr="001C5D4D">
              <w:rPr>
                <w:rFonts w:asciiTheme="minorHAnsi" w:hAnsiTheme="minorHAnsi" w:cstheme="minorHAnsi"/>
              </w:rPr>
              <w:t>52,719</w:t>
            </w:r>
          </w:p>
        </w:tc>
        <w:tc>
          <w:tcPr>
            <w:tcW w:w="1418" w:type="dxa"/>
          </w:tcPr>
          <w:p w14:paraId="25FB3AB3" w14:textId="71806788" w:rsidR="000756EB" w:rsidRPr="001C5D4D" w:rsidRDefault="004A4D88" w:rsidP="004255E9">
            <w:pPr>
              <w:pStyle w:val="TableCopy"/>
              <w:jc w:val="right"/>
              <w:rPr>
                <w:rFonts w:asciiTheme="minorHAnsi" w:hAnsiTheme="minorHAnsi" w:cstheme="minorHAnsi"/>
              </w:rPr>
            </w:pPr>
            <w:r w:rsidRPr="001C5D4D">
              <w:rPr>
                <w:rFonts w:asciiTheme="minorHAnsi" w:hAnsiTheme="minorHAnsi" w:cstheme="minorHAnsi"/>
              </w:rPr>
              <w:t>–</w:t>
            </w:r>
          </w:p>
        </w:tc>
        <w:tc>
          <w:tcPr>
            <w:tcW w:w="1393" w:type="dxa"/>
          </w:tcPr>
          <w:p w14:paraId="3207A64B" w14:textId="2E74E3C3" w:rsidR="000756EB" w:rsidRPr="001C5D4D" w:rsidRDefault="004A4D88" w:rsidP="004255E9">
            <w:pPr>
              <w:pStyle w:val="TableCopy"/>
              <w:jc w:val="right"/>
              <w:rPr>
                <w:rFonts w:asciiTheme="minorHAnsi" w:hAnsiTheme="minorHAnsi" w:cstheme="minorHAnsi"/>
              </w:rPr>
            </w:pPr>
            <w:r w:rsidRPr="001C5D4D">
              <w:rPr>
                <w:rFonts w:asciiTheme="minorHAnsi" w:hAnsiTheme="minorHAnsi" w:cstheme="minorHAnsi"/>
              </w:rPr>
              <w:t>–</w:t>
            </w:r>
          </w:p>
        </w:tc>
        <w:tc>
          <w:tcPr>
            <w:tcW w:w="1419" w:type="dxa"/>
          </w:tcPr>
          <w:p w14:paraId="6A8346BD" w14:textId="55527406" w:rsidR="000756EB" w:rsidRPr="001C5D4D" w:rsidRDefault="004A4D88" w:rsidP="004255E9">
            <w:pPr>
              <w:pStyle w:val="TableCopy"/>
              <w:jc w:val="right"/>
              <w:rPr>
                <w:rFonts w:asciiTheme="minorHAnsi" w:hAnsiTheme="minorHAnsi" w:cstheme="minorHAnsi"/>
              </w:rPr>
            </w:pPr>
            <w:r w:rsidRPr="001C5D4D">
              <w:rPr>
                <w:rFonts w:asciiTheme="minorHAnsi" w:hAnsiTheme="minorHAnsi" w:cstheme="minorHAnsi"/>
              </w:rPr>
              <w:t>52,719</w:t>
            </w:r>
          </w:p>
        </w:tc>
      </w:tr>
      <w:tr w:rsidR="000756EB" w:rsidRPr="001C5D4D" w14:paraId="0BA65B25" w14:textId="77777777" w:rsidTr="001C5D4D">
        <w:trPr>
          <w:cantSplit/>
        </w:trPr>
        <w:tc>
          <w:tcPr>
            <w:tcW w:w="3539" w:type="dxa"/>
          </w:tcPr>
          <w:p w14:paraId="5CA4A36D" w14:textId="22297020" w:rsidR="000756EB" w:rsidRPr="001C5D4D" w:rsidRDefault="004A4D88" w:rsidP="001C5D4D">
            <w:pPr>
              <w:pStyle w:val="TableCopy"/>
              <w:rPr>
                <w:rFonts w:asciiTheme="minorHAnsi" w:hAnsiTheme="minorHAnsi" w:cstheme="minorHAnsi"/>
              </w:rPr>
            </w:pPr>
            <w:r w:rsidRPr="001C5D4D">
              <w:rPr>
                <w:rFonts w:asciiTheme="minorHAnsi" w:hAnsiTheme="minorHAnsi" w:cstheme="minorHAnsi"/>
              </w:rPr>
              <w:t>Amounts</w:t>
            </w:r>
            <w:r w:rsidR="00A03629" w:rsidRPr="001C5D4D">
              <w:rPr>
                <w:rFonts w:asciiTheme="minorHAnsi" w:hAnsiTheme="minorHAnsi" w:cstheme="minorHAnsi"/>
              </w:rPr>
              <w:t xml:space="preserve"> </w:t>
            </w:r>
            <w:r w:rsidRPr="001C5D4D">
              <w:rPr>
                <w:rFonts w:asciiTheme="minorHAnsi" w:hAnsiTheme="minorHAnsi" w:cstheme="minorHAnsi"/>
              </w:rPr>
              <w:t>payable</w:t>
            </w:r>
            <w:r w:rsidR="00A03629" w:rsidRPr="001C5D4D">
              <w:rPr>
                <w:rFonts w:asciiTheme="minorHAnsi" w:hAnsiTheme="minorHAnsi" w:cstheme="minorHAnsi"/>
              </w:rPr>
              <w:t xml:space="preserve"> </w:t>
            </w:r>
            <w:r w:rsidRPr="001C5D4D">
              <w:rPr>
                <w:rFonts w:asciiTheme="minorHAnsi" w:hAnsiTheme="minorHAnsi" w:cstheme="minorHAnsi"/>
              </w:rPr>
              <w:t>to</w:t>
            </w:r>
            <w:r w:rsidR="00A03629" w:rsidRPr="001C5D4D">
              <w:rPr>
                <w:rFonts w:asciiTheme="minorHAnsi" w:hAnsiTheme="minorHAnsi" w:cstheme="minorHAnsi"/>
              </w:rPr>
              <w:t xml:space="preserve"> </w:t>
            </w:r>
            <w:r w:rsidRPr="001C5D4D">
              <w:rPr>
                <w:rFonts w:asciiTheme="minorHAnsi" w:hAnsiTheme="minorHAnsi" w:cstheme="minorHAnsi"/>
              </w:rPr>
              <w:t>government</w:t>
            </w:r>
            <w:r w:rsidR="00A03629" w:rsidRPr="001C5D4D">
              <w:rPr>
                <w:rFonts w:asciiTheme="minorHAnsi" w:hAnsiTheme="minorHAnsi" w:cstheme="minorHAnsi"/>
              </w:rPr>
              <w:t xml:space="preserve"> </w:t>
            </w:r>
            <w:r w:rsidRPr="001C5D4D">
              <w:rPr>
                <w:rFonts w:asciiTheme="minorHAnsi" w:hAnsiTheme="minorHAnsi" w:cstheme="minorHAnsi"/>
              </w:rPr>
              <w:t>and</w:t>
            </w:r>
            <w:r w:rsidR="00A03629" w:rsidRPr="001C5D4D">
              <w:rPr>
                <w:rFonts w:asciiTheme="minorHAnsi" w:hAnsiTheme="minorHAnsi" w:cstheme="minorHAnsi"/>
              </w:rPr>
              <w:t xml:space="preserve"> </w:t>
            </w:r>
            <w:r w:rsidRPr="001C5D4D">
              <w:rPr>
                <w:rFonts w:asciiTheme="minorHAnsi" w:hAnsiTheme="minorHAnsi" w:cstheme="minorHAnsi"/>
              </w:rPr>
              <w:t>agencies</w:t>
            </w:r>
          </w:p>
        </w:tc>
        <w:tc>
          <w:tcPr>
            <w:tcW w:w="1426" w:type="dxa"/>
          </w:tcPr>
          <w:p w14:paraId="331E82E9" w14:textId="77777777" w:rsidR="000756EB" w:rsidRPr="001C5D4D" w:rsidRDefault="000756EB" w:rsidP="004255E9">
            <w:pPr>
              <w:pStyle w:val="TableCopy"/>
              <w:jc w:val="right"/>
              <w:rPr>
                <w:rFonts w:asciiTheme="minorHAnsi" w:hAnsiTheme="minorHAnsi" w:cstheme="minorHAnsi"/>
                <w:lang w:val="en-AU"/>
              </w:rPr>
            </w:pPr>
          </w:p>
        </w:tc>
        <w:tc>
          <w:tcPr>
            <w:tcW w:w="1316" w:type="dxa"/>
          </w:tcPr>
          <w:p w14:paraId="3490F737" w14:textId="5739EF42" w:rsidR="000756EB" w:rsidRPr="001C5D4D" w:rsidRDefault="004A4D88" w:rsidP="004255E9">
            <w:pPr>
              <w:pStyle w:val="TableCopy"/>
              <w:jc w:val="right"/>
              <w:rPr>
                <w:rFonts w:asciiTheme="minorHAnsi" w:hAnsiTheme="minorHAnsi" w:cstheme="minorHAnsi"/>
              </w:rPr>
            </w:pPr>
            <w:r w:rsidRPr="001C5D4D">
              <w:rPr>
                <w:rFonts w:asciiTheme="minorHAnsi" w:hAnsiTheme="minorHAnsi" w:cstheme="minorHAnsi"/>
              </w:rPr>
              <w:t>64,242</w:t>
            </w:r>
          </w:p>
        </w:tc>
        <w:tc>
          <w:tcPr>
            <w:tcW w:w="1418" w:type="dxa"/>
          </w:tcPr>
          <w:p w14:paraId="3868D944" w14:textId="659D5166" w:rsidR="000756EB" w:rsidRPr="001C5D4D" w:rsidRDefault="004A4D88" w:rsidP="004255E9">
            <w:pPr>
              <w:pStyle w:val="TableCopy"/>
              <w:jc w:val="right"/>
              <w:rPr>
                <w:rFonts w:asciiTheme="minorHAnsi" w:hAnsiTheme="minorHAnsi" w:cstheme="minorHAnsi"/>
              </w:rPr>
            </w:pPr>
            <w:r w:rsidRPr="001C5D4D">
              <w:rPr>
                <w:rFonts w:asciiTheme="minorHAnsi" w:hAnsiTheme="minorHAnsi" w:cstheme="minorHAnsi"/>
              </w:rPr>
              <w:t>–</w:t>
            </w:r>
          </w:p>
        </w:tc>
        <w:tc>
          <w:tcPr>
            <w:tcW w:w="1393" w:type="dxa"/>
          </w:tcPr>
          <w:p w14:paraId="2963C8D7" w14:textId="7EB3AB20" w:rsidR="000756EB" w:rsidRPr="001C5D4D" w:rsidRDefault="004A4D88" w:rsidP="004255E9">
            <w:pPr>
              <w:pStyle w:val="TableCopy"/>
              <w:jc w:val="right"/>
              <w:rPr>
                <w:rFonts w:asciiTheme="minorHAnsi" w:hAnsiTheme="minorHAnsi" w:cstheme="minorHAnsi"/>
              </w:rPr>
            </w:pPr>
            <w:r w:rsidRPr="001C5D4D">
              <w:rPr>
                <w:rFonts w:asciiTheme="minorHAnsi" w:hAnsiTheme="minorHAnsi" w:cstheme="minorHAnsi"/>
              </w:rPr>
              <w:t>–</w:t>
            </w:r>
          </w:p>
        </w:tc>
        <w:tc>
          <w:tcPr>
            <w:tcW w:w="1419" w:type="dxa"/>
          </w:tcPr>
          <w:p w14:paraId="741CB05A" w14:textId="4DB8ED99" w:rsidR="000756EB" w:rsidRPr="001C5D4D" w:rsidRDefault="004A4D88" w:rsidP="004255E9">
            <w:pPr>
              <w:pStyle w:val="TableCopy"/>
              <w:jc w:val="right"/>
              <w:rPr>
                <w:rFonts w:asciiTheme="minorHAnsi" w:hAnsiTheme="minorHAnsi" w:cstheme="minorHAnsi"/>
              </w:rPr>
            </w:pPr>
            <w:r w:rsidRPr="001C5D4D">
              <w:rPr>
                <w:rFonts w:asciiTheme="minorHAnsi" w:hAnsiTheme="minorHAnsi" w:cstheme="minorHAnsi"/>
              </w:rPr>
              <w:t>64,242</w:t>
            </w:r>
          </w:p>
        </w:tc>
      </w:tr>
      <w:tr w:rsidR="000756EB" w:rsidRPr="001C5D4D" w14:paraId="20A7EAD1" w14:textId="77777777" w:rsidTr="001C5D4D">
        <w:trPr>
          <w:cantSplit/>
        </w:trPr>
        <w:tc>
          <w:tcPr>
            <w:tcW w:w="3539" w:type="dxa"/>
          </w:tcPr>
          <w:p w14:paraId="08034408" w14:textId="02D9A4C3" w:rsidR="000756EB" w:rsidRPr="001C5D4D" w:rsidRDefault="004A4D88" w:rsidP="001C5D4D">
            <w:pPr>
              <w:pStyle w:val="TableCopy"/>
              <w:rPr>
                <w:rFonts w:asciiTheme="minorHAnsi" w:hAnsiTheme="minorHAnsi" w:cstheme="minorHAnsi"/>
              </w:rPr>
            </w:pPr>
            <w:r w:rsidRPr="001C5D4D">
              <w:rPr>
                <w:rFonts w:asciiTheme="minorHAnsi" w:hAnsiTheme="minorHAnsi" w:cstheme="minorHAnsi"/>
              </w:rPr>
              <w:t>Financial</w:t>
            </w:r>
            <w:r w:rsidR="00A03629" w:rsidRPr="001C5D4D">
              <w:rPr>
                <w:rFonts w:asciiTheme="minorHAnsi" w:hAnsiTheme="minorHAnsi" w:cstheme="minorHAnsi"/>
              </w:rPr>
              <w:t xml:space="preserve"> </w:t>
            </w:r>
            <w:r w:rsidRPr="001C5D4D">
              <w:rPr>
                <w:rFonts w:asciiTheme="minorHAnsi" w:hAnsiTheme="minorHAnsi" w:cstheme="minorHAnsi"/>
              </w:rPr>
              <w:t>guarantee</w:t>
            </w:r>
          </w:p>
        </w:tc>
        <w:tc>
          <w:tcPr>
            <w:tcW w:w="1426" w:type="dxa"/>
          </w:tcPr>
          <w:p w14:paraId="0055931E" w14:textId="77777777" w:rsidR="000756EB" w:rsidRPr="001C5D4D" w:rsidRDefault="000756EB" w:rsidP="004255E9">
            <w:pPr>
              <w:pStyle w:val="TableCopy"/>
              <w:jc w:val="right"/>
              <w:rPr>
                <w:rFonts w:asciiTheme="minorHAnsi" w:hAnsiTheme="minorHAnsi" w:cstheme="minorHAnsi"/>
                <w:lang w:val="en-AU"/>
              </w:rPr>
            </w:pPr>
          </w:p>
        </w:tc>
        <w:tc>
          <w:tcPr>
            <w:tcW w:w="1316" w:type="dxa"/>
          </w:tcPr>
          <w:p w14:paraId="6DF99FD1" w14:textId="29BCBF48" w:rsidR="000756EB" w:rsidRPr="001C5D4D" w:rsidRDefault="004A4D88" w:rsidP="004255E9">
            <w:pPr>
              <w:pStyle w:val="TableCopy"/>
              <w:jc w:val="right"/>
              <w:rPr>
                <w:rFonts w:asciiTheme="minorHAnsi" w:hAnsiTheme="minorHAnsi" w:cstheme="minorHAnsi"/>
              </w:rPr>
            </w:pPr>
            <w:r w:rsidRPr="001C5D4D">
              <w:rPr>
                <w:rFonts w:asciiTheme="minorHAnsi" w:hAnsiTheme="minorHAnsi" w:cstheme="minorHAnsi"/>
              </w:rPr>
              <w:t>–</w:t>
            </w:r>
          </w:p>
        </w:tc>
        <w:tc>
          <w:tcPr>
            <w:tcW w:w="1418" w:type="dxa"/>
          </w:tcPr>
          <w:p w14:paraId="1C74FE6E" w14:textId="1486726F" w:rsidR="000756EB" w:rsidRPr="001C5D4D" w:rsidRDefault="004A4D88" w:rsidP="004255E9">
            <w:pPr>
              <w:pStyle w:val="TableCopy"/>
              <w:jc w:val="right"/>
              <w:rPr>
                <w:rFonts w:asciiTheme="minorHAnsi" w:hAnsiTheme="minorHAnsi" w:cstheme="minorHAnsi"/>
              </w:rPr>
            </w:pPr>
            <w:r w:rsidRPr="001C5D4D">
              <w:rPr>
                <w:rFonts w:asciiTheme="minorHAnsi" w:hAnsiTheme="minorHAnsi" w:cstheme="minorHAnsi"/>
              </w:rPr>
              <w:t>–</w:t>
            </w:r>
          </w:p>
        </w:tc>
        <w:tc>
          <w:tcPr>
            <w:tcW w:w="1393" w:type="dxa"/>
          </w:tcPr>
          <w:p w14:paraId="4F517A3B" w14:textId="3BD1FCAA" w:rsidR="000756EB" w:rsidRPr="001C5D4D" w:rsidRDefault="004A4D88" w:rsidP="004255E9">
            <w:pPr>
              <w:pStyle w:val="TableCopy"/>
              <w:jc w:val="right"/>
              <w:rPr>
                <w:rFonts w:asciiTheme="minorHAnsi" w:hAnsiTheme="minorHAnsi" w:cstheme="minorHAnsi"/>
              </w:rPr>
            </w:pPr>
            <w:r w:rsidRPr="001C5D4D">
              <w:rPr>
                <w:rFonts w:asciiTheme="minorHAnsi" w:hAnsiTheme="minorHAnsi" w:cstheme="minorHAnsi"/>
              </w:rPr>
              <w:t>–</w:t>
            </w:r>
          </w:p>
        </w:tc>
        <w:tc>
          <w:tcPr>
            <w:tcW w:w="1419" w:type="dxa"/>
          </w:tcPr>
          <w:p w14:paraId="03CB1316" w14:textId="2A9A8A46" w:rsidR="000756EB" w:rsidRPr="001C5D4D" w:rsidRDefault="004A4D88" w:rsidP="004255E9">
            <w:pPr>
              <w:pStyle w:val="TableCopy"/>
              <w:jc w:val="right"/>
              <w:rPr>
                <w:rFonts w:asciiTheme="minorHAnsi" w:hAnsiTheme="minorHAnsi" w:cstheme="minorHAnsi"/>
              </w:rPr>
            </w:pPr>
            <w:r w:rsidRPr="001C5D4D">
              <w:rPr>
                <w:rFonts w:asciiTheme="minorHAnsi" w:hAnsiTheme="minorHAnsi" w:cstheme="minorHAnsi"/>
              </w:rPr>
              <w:t>–</w:t>
            </w:r>
          </w:p>
        </w:tc>
      </w:tr>
      <w:tr w:rsidR="000756EB" w:rsidRPr="001C5D4D" w14:paraId="3BA8B4AE" w14:textId="77777777" w:rsidTr="001C5D4D">
        <w:trPr>
          <w:cantSplit/>
        </w:trPr>
        <w:tc>
          <w:tcPr>
            <w:tcW w:w="3539" w:type="dxa"/>
          </w:tcPr>
          <w:p w14:paraId="64E813C3" w14:textId="3763C849" w:rsidR="000756EB" w:rsidRPr="001C5D4D" w:rsidRDefault="004A4D88" w:rsidP="001C5D4D">
            <w:pPr>
              <w:pStyle w:val="TableCopy"/>
              <w:rPr>
                <w:rFonts w:asciiTheme="minorHAnsi" w:hAnsiTheme="minorHAnsi" w:cstheme="minorHAnsi"/>
              </w:rPr>
            </w:pPr>
            <w:r w:rsidRPr="001C5D4D">
              <w:rPr>
                <w:rFonts w:asciiTheme="minorHAnsi" w:hAnsiTheme="minorHAnsi" w:cstheme="minorHAnsi"/>
              </w:rPr>
              <w:t>Other</w:t>
            </w:r>
            <w:r w:rsidR="00A03629" w:rsidRPr="001C5D4D">
              <w:rPr>
                <w:rFonts w:asciiTheme="minorHAnsi" w:hAnsiTheme="minorHAnsi" w:cstheme="minorHAnsi"/>
              </w:rPr>
              <w:t xml:space="preserve"> </w:t>
            </w:r>
            <w:r w:rsidRPr="001C5D4D">
              <w:rPr>
                <w:rFonts w:asciiTheme="minorHAnsi" w:hAnsiTheme="minorHAnsi" w:cstheme="minorHAnsi"/>
              </w:rPr>
              <w:t>payables</w:t>
            </w:r>
          </w:p>
        </w:tc>
        <w:tc>
          <w:tcPr>
            <w:tcW w:w="1426" w:type="dxa"/>
          </w:tcPr>
          <w:p w14:paraId="364B16C1" w14:textId="77777777" w:rsidR="000756EB" w:rsidRPr="001C5D4D" w:rsidRDefault="000756EB" w:rsidP="004255E9">
            <w:pPr>
              <w:pStyle w:val="TableCopy"/>
              <w:jc w:val="right"/>
              <w:rPr>
                <w:rFonts w:asciiTheme="minorHAnsi" w:hAnsiTheme="minorHAnsi" w:cstheme="minorHAnsi"/>
                <w:lang w:val="en-AU"/>
              </w:rPr>
            </w:pPr>
          </w:p>
        </w:tc>
        <w:tc>
          <w:tcPr>
            <w:tcW w:w="1316" w:type="dxa"/>
          </w:tcPr>
          <w:p w14:paraId="79B4A7B3" w14:textId="05B76BCA" w:rsidR="000756EB" w:rsidRPr="001C5D4D" w:rsidRDefault="004A4D88" w:rsidP="004255E9">
            <w:pPr>
              <w:pStyle w:val="TableCopy"/>
              <w:jc w:val="right"/>
              <w:rPr>
                <w:rFonts w:asciiTheme="minorHAnsi" w:hAnsiTheme="minorHAnsi" w:cstheme="minorHAnsi"/>
              </w:rPr>
            </w:pPr>
            <w:r w:rsidRPr="001C5D4D">
              <w:rPr>
                <w:rFonts w:asciiTheme="minorHAnsi" w:hAnsiTheme="minorHAnsi" w:cstheme="minorHAnsi"/>
              </w:rPr>
              <w:t>2,045</w:t>
            </w:r>
          </w:p>
        </w:tc>
        <w:tc>
          <w:tcPr>
            <w:tcW w:w="1418" w:type="dxa"/>
          </w:tcPr>
          <w:p w14:paraId="22928A12" w14:textId="14D5B908" w:rsidR="000756EB" w:rsidRPr="001C5D4D" w:rsidRDefault="004A4D88" w:rsidP="004255E9">
            <w:pPr>
              <w:pStyle w:val="TableCopy"/>
              <w:jc w:val="right"/>
              <w:rPr>
                <w:rFonts w:asciiTheme="minorHAnsi" w:hAnsiTheme="minorHAnsi" w:cstheme="minorHAnsi"/>
              </w:rPr>
            </w:pPr>
            <w:r w:rsidRPr="001C5D4D">
              <w:rPr>
                <w:rFonts w:asciiTheme="minorHAnsi" w:hAnsiTheme="minorHAnsi" w:cstheme="minorHAnsi"/>
              </w:rPr>
              <w:t>–</w:t>
            </w:r>
          </w:p>
        </w:tc>
        <w:tc>
          <w:tcPr>
            <w:tcW w:w="1393" w:type="dxa"/>
          </w:tcPr>
          <w:p w14:paraId="6AC79ABF" w14:textId="2B75D2DD" w:rsidR="000756EB" w:rsidRPr="001C5D4D" w:rsidRDefault="004A4D88" w:rsidP="004255E9">
            <w:pPr>
              <w:pStyle w:val="TableCopy"/>
              <w:jc w:val="right"/>
              <w:rPr>
                <w:rFonts w:asciiTheme="minorHAnsi" w:hAnsiTheme="minorHAnsi" w:cstheme="minorHAnsi"/>
              </w:rPr>
            </w:pPr>
            <w:r w:rsidRPr="001C5D4D">
              <w:rPr>
                <w:rFonts w:asciiTheme="minorHAnsi" w:hAnsiTheme="minorHAnsi" w:cstheme="minorHAnsi"/>
              </w:rPr>
              <w:t>–</w:t>
            </w:r>
          </w:p>
        </w:tc>
        <w:tc>
          <w:tcPr>
            <w:tcW w:w="1419" w:type="dxa"/>
          </w:tcPr>
          <w:p w14:paraId="068872CC" w14:textId="62272101" w:rsidR="000756EB" w:rsidRPr="001C5D4D" w:rsidRDefault="004A4D88" w:rsidP="004255E9">
            <w:pPr>
              <w:pStyle w:val="TableCopy"/>
              <w:jc w:val="right"/>
              <w:rPr>
                <w:rFonts w:asciiTheme="minorHAnsi" w:hAnsiTheme="minorHAnsi" w:cstheme="minorHAnsi"/>
              </w:rPr>
            </w:pPr>
            <w:r w:rsidRPr="001C5D4D">
              <w:rPr>
                <w:rFonts w:asciiTheme="minorHAnsi" w:hAnsiTheme="minorHAnsi" w:cstheme="minorHAnsi"/>
              </w:rPr>
              <w:t>2,045</w:t>
            </w:r>
          </w:p>
        </w:tc>
      </w:tr>
      <w:tr w:rsidR="000756EB" w:rsidRPr="001C5D4D" w14:paraId="0E1FCD7C" w14:textId="77777777" w:rsidTr="001C5D4D">
        <w:trPr>
          <w:cantSplit/>
        </w:trPr>
        <w:tc>
          <w:tcPr>
            <w:tcW w:w="3539" w:type="dxa"/>
          </w:tcPr>
          <w:p w14:paraId="5228565E" w14:textId="77777777" w:rsidR="000756EB" w:rsidRPr="001C5D4D" w:rsidRDefault="004A4D88" w:rsidP="001C5D4D">
            <w:pPr>
              <w:pStyle w:val="TableHeading"/>
              <w:rPr>
                <w:rFonts w:asciiTheme="minorHAnsi" w:hAnsiTheme="minorHAnsi" w:cstheme="minorHAnsi"/>
              </w:rPr>
            </w:pPr>
            <w:r w:rsidRPr="001C5D4D">
              <w:rPr>
                <w:rFonts w:asciiTheme="minorHAnsi" w:hAnsiTheme="minorHAnsi" w:cstheme="minorHAnsi"/>
              </w:rPr>
              <w:t>Borrowings</w:t>
            </w:r>
          </w:p>
        </w:tc>
        <w:tc>
          <w:tcPr>
            <w:tcW w:w="1426" w:type="dxa"/>
          </w:tcPr>
          <w:p w14:paraId="70864836" w14:textId="77777777" w:rsidR="000756EB" w:rsidRPr="001C5D4D" w:rsidRDefault="000756EB" w:rsidP="004255E9">
            <w:pPr>
              <w:pStyle w:val="TableHeading"/>
              <w:jc w:val="right"/>
              <w:rPr>
                <w:rFonts w:asciiTheme="minorHAnsi" w:hAnsiTheme="minorHAnsi" w:cstheme="minorHAnsi"/>
                <w:lang w:val="en-AU"/>
              </w:rPr>
            </w:pPr>
          </w:p>
        </w:tc>
        <w:tc>
          <w:tcPr>
            <w:tcW w:w="1316" w:type="dxa"/>
          </w:tcPr>
          <w:p w14:paraId="6A8D2751" w14:textId="77777777" w:rsidR="000756EB" w:rsidRPr="001C5D4D" w:rsidRDefault="000756EB" w:rsidP="004255E9">
            <w:pPr>
              <w:pStyle w:val="TableHeading"/>
              <w:jc w:val="right"/>
              <w:rPr>
                <w:rFonts w:asciiTheme="minorHAnsi" w:hAnsiTheme="minorHAnsi" w:cstheme="minorHAnsi"/>
                <w:lang w:val="en-AU"/>
              </w:rPr>
            </w:pPr>
          </w:p>
        </w:tc>
        <w:tc>
          <w:tcPr>
            <w:tcW w:w="1418" w:type="dxa"/>
          </w:tcPr>
          <w:p w14:paraId="442A3740" w14:textId="77777777" w:rsidR="000756EB" w:rsidRPr="001C5D4D" w:rsidRDefault="000756EB" w:rsidP="004255E9">
            <w:pPr>
              <w:pStyle w:val="TableHeading"/>
              <w:jc w:val="right"/>
              <w:rPr>
                <w:rFonts w:asciiTheme="minorHAnsi" w:hAnsiTheme="minorHAnsi" w:cstheme="minorHAnsi"/>
                <w:lang w:val="en-AU"/>
              </w:rPr>
            </w:pPr>
          </w:p>
        </w:tc>
        <w:tc>
          <w:tcPr>
            <w:tcW w:w="1393" w:type="dxa"/>
          </w:tcPr>
          <w:p w14:paraId="22967083" w14:textId="77777777" w:rsidR="000756EB" w:rsidRPr="001C5D4D" w:rsidRDefault="000756EB" w:rsidP="004255E9">
            <w:pPr>
              <w:pStyle w:val="TableHeading"/>
              <w:jc w:val="right"/>
              <w:rPr>
                <w:rFonts w:asciiTheme="minorHAnsi" w:hAnsiTheme="minorHAnsi" w:cstheme="minorHAnsi"/>
                <w:lang w:val="en-AU"/>
              </w:rPr>
            </w:pPr>
          </w:p>
        </w:tc>
        <w:tc>
          <w:tcPr>
            <w:tcW w:w="1419" w:type="dxa"/>
          </w:tcPr>
          <w:p w14:paraId="00671867" w14:textId="77777777" w:rsidR="000756EB" w:rsidRPr="001C5D4D" w:rsidRDefault="000756EB" w:rsidP="004255E9">
            <w:pPr>
              <w:pStyle w:val="TableHeading"/>
              <w:jc w:val="right"/>
              <w:rPr>
                <w:rFonts w:asciiTheme="minorHAnsi" w:hAnsiTheme="minorHAnsi" w:cstheme="minorHAnsi"/>
                <w:lang w:val="en-AU"/>
              </w:rPr>
            </w:pPr>
          </w:p>
        </w:tc>
      </w:tr>
      <w:tr w:rsidR="000756EB" w14:paraId="3D858E7A" w14:textId="77777777" w:rsidTr="001C5D4D">
        <w:trPr>
          <w:cantSplit/>
        </w:trPr>
        <w:tc>
          <w:tcPr>
            <w:tcW w:w="3539" w:type="dxa"/>
          </w:tcPr>
          <w:p w14:paraId="751ACC03" w14:textId="209967F1" w:rsidR="000756EB" w:rsidRDefault="004A4D88" w:rsidP="001C5D4D">
            <w:pPr>
              <w:pStyle w:val="TableCopy"/>
            </w:pPr>
            <w:r>
              <w:t>Lease</w:t>
            </w:r>
            <w:r w:rsidR="00A03629">
              <w:t xml:space="preserve"> </w:t>
            </w:r>
            <w:r>
              <w:t>liabilities</w:t>
            </w:r>
          </w:p>
        </w:tc>
        <w:tc>
          <w:tcPr>
            <w:tcW w:w="1426" w:type="dxa"/>
          </w:tcPr>
          <w:p w14:paraId="20117F9E" w14:textId="77777777" w:rsidR="000756EB" w:rsidRDefault="004A4D88" w:rsidP="004255E9">
            <w:pPr>
              <w:pStyle w:val="TableCopy"/>
              <w:jc w:val="right"/>
            </w:pPr>
            <w:r>
              <w:t>2.20%</w:t>
            </w:r>
          </w:p>
        </w:tc>
        <w:tc>
          <w:tcPr>
            <w:tcW w:w="1316" w:type="dxa"/>
          </w:tcPr>
          <w:p w14:paraId="5A598512" w14:textId="122A1076" w:rsidR="000756EB" w:rsidRDefault="004A4D88" w:rsidP="004255E9">
            <w:pPr>
              <w:pStyle w:val="TableCopy"/>
              <w:jc w:val="right"/>
            </w:pPr>
            <w:r>
              <w:t>14,342</w:t>
            </w:r>
          </w:p>
        </w:tc>
        <w:tc>
          <w:tcPr>
            <w:tcW w:w="1418" w:type="dxa"/>
          </w:tcPr>
          <w:p w14:paraId="3752F7FA" w14:textId="72C64453" w:rsidR="000756EB" w:rsidRDefault="004A4D88" w:rsidP="004255E9">
            <w:pPr>
              <w:pStyle w:val="TableCopy"/>
              <w:jc w:val="right"/>
            </w:pPr>
            <w:r>
              <w:t>14,342</w:t>
            </w:r>
          </w:p>
        </w:tc>
        <w:tc>
          <w:tcPr>
            <w:tcW w:w="1393" w:type="dxa"/>
          </w:tcPr>
          <w:p w14:paraId="05001601" w14:textId="704851E0" w:rsidR="000756EB" w:rsidRDefault="004A4D88" w:rsidP="004255E9">
            <w:pPr>
              <w:pStyle w:val="TableCopy"/>
              <w:jc w:val="right"/>
            </w:pPr>
            <w:r>
              <w:t>–</w:t>
            </w:r>
          </w:p>
        </w:tc>
        <w:tc>
          <w:tcPr>
            <w:tcW w:w="1419" w:type="dxa"/>
          </w:tcPr>
          <w:p w14:paraId="6F58D238" w14:textId="5CBB8D08" w:rsidR="000756EB" w:rsidRDefault="004A4D88" w:rsidP="004255E9">
            <w:pPr>
              <w:pStyle w:val="TableCopy"/>
              <w:jc w:val="right"/>
            </w:pPr>
            <w:r>
              <w:t>–</w:t>
            </w:r>
          </w:p>
        </w:tc>
      </w:tr>
      <w:tr w:rsidR="000756EB" w14:paraId="58F0A828" w14:textId="77777777" w:rsidTr="001C5D4D">
        <w:trPr>
          <w:cantSplit/>
        </w:trPr>
        <w:tc>
          <w:tcPr>
            <w:tcW w:w="3539" w:type="dxa"/>
          </w:tcPr>
          <w:p w14:paraId="47B7B9F5" w14:textId="1650BF7F" w:rsidR="000756EB" w:rsidRDefault="004A4D88" w:rsidP="001C5D4D">
            <w:pPr>
              <w:pStyle w:val="TableCopy"/>
            </w:pPr>
            <w:r>
              <w:t>Advances</w:t>
            </w:r>
            <w:r w:rsidR="00A03629">
              <w:t xml:space="preserve"> </w:t>
            </w:r>
            <w:r>
              <w:t>from</w:t>
            </w:r>
            <w:r w:rsidR="00A03629">
              <w:t xml:space="preserve"> </w:t>
            </w:r>
            <w:r>
              <w:t>government</w:t>
            </w:r>
          </w:p>
        </w:tc>
        <w:tc>
          <w:tcPr>
            <w:tcW w:w="1426" w:type="dxa"/>
          </w:tcPr>
          <w:p w14:paraId="6E65CB76" w14:textId="77777777" w:rsidR="000756EB" w:rsidRDefault="000756EB" w:rsidP="004255E9">
            <w:pPr>
              <w:pStyle w:val="TableCopy"/>
              <w:jc w:val="right"/>
              <w:rPr>
                <w:rFonts w:cstheme="minorBidi"/>
                <w:lang w:val="en-AU"/>
              </w:rPr>
            </w:pPr>
          </w:p>
        </w:tc>
        <w:tc>
          <w:tcPr>
            <w:tcW w:w="1316" w:type="dxa"/>
          </w:tcPr>
          <w:p w14:paraId="523B5771" w14:textId="221E4A2B" w:rsidR="000756EB" w:rsidRDefault="004A4D88" w:rsidP="004255E9">
            <w:pPr>
              <w:pStyle w:val="TableCopy"/>
              <w:jc w:val="right"/>
            </w:pPr>
            <w:r>
              <w:t>59,689</w:t>
            </w:r>
          </w:p>
        </w:tc>
        <w:tc>
          <w:tcPr>
            <w:tcW w:w="1418" w:type="dxa"/>
          </w:tcPr>
          <w:p w14:paraId="49966158" w14:textId="27D2BA64" w:rsidR="000756EB" w:rsidRDefault="004A4D88" w:rsidP="004255E9">
            <w:pPr>
              <w:pStyle w:val="TableCopy"/>
              <w:jc w:val="right"/>
            </w:pPr>
            <w:r>
              <w:t>–</w:t>
            </w:r>
          </w:p>
        </w:tc>
        <w:tc>
          <w:tcPr>
            <w:tcW w:w="1393" w:type="dxa"/>
          </w:tcPr>
          <w:p w14:paraId="292137E6" w14:textId="2F8CBB67" w:rsidR="000756EB" w:rsidRDefault="004A4D88" w:rsidP="004255E9">
            <w:pPr>
              <w:pStyle w:val="TableCopy"/>
              <w:jc w:val="right"/>
            </w:pPr>
            <w:r>
              <w:t>–</w:t>
            </w:r>
          </w:p>
        </w:tc>
        <w:tc>
          <w:tcPr>
            <w:tcW w:w="1419" w:type="dxa"/>
          </w:tcPr>
          <w:p w14:paraId="7A6A3E9B" w14:textId="44FE364F" w:rsidR="000756EB" w:rsidRDefault="004A4D88" w:rsidP="004255E9">
            <w:pPr>
              <w:pStyle w:val="TableCopy"/>
              <w:jc w:val="right"/>
            </w:pPr>
            <w:r>
              <w:t>59,689</w:t>
            </w:r>
          </w:p>
        </w:tc>
      </w:tr>
      <w:tr w:rsidR="000756EB" w14:paraId="58DB5D73" w14:textId="77777777" w:rsidTr="001C5D4D">
        <w:trPr>
          <w:cantSplit/>
        </w:trPr>
        <w:tc>
          <w:tcPr>
            <w:tcW w:w="3539" w:type="dxa"/>
          </w:tcPr>
          <w:p w14:paraId="236FFD72" w14:textId="1EF416BB" w:rsidR="000756EB" w:rsidRDefault="004A4D88" w:rsidP="001C5D4D">
            <w:pPr>
              <w:pStyle w:val="TableCopy"/>
            </w:pPr>
            <w:r>
              <w:t>Advances</w:t>
            </w:r>
            <w:r w:rsidR="00A03629">
              <w:t xml:space="preserve"> </w:t>
            </w:r>
            <w:r>
              <w:t>from</w:t>
            </w:r>
            <w:r w:rsidR="00A03629">
              <w:t xml:space="preserve"> </w:t>
            </w:r>
            <w:r>
              <w:t>Commonwealth</w:t>
            </w:r>
          </w:p>
        </w:tc>
        <w:tc>
          <w:tcPr>
            <w:tcW w:w="1426" w:type="dxa"/>
          </w:tcPr>
          <w:p w14:paraId="1A5ABC02" w14:textId="77777777" w:rsidR="000756EB" w:rsidRDefault="000756EB" w:rsidP="004255E9">
            <w:pPr>
              <w:pStyle w:val="TableCopy"/>
              <w:jc w:val="right"/>
              <w:rPr>
                <w:rFonts w:cstheme="minorBidi"/>
                <w:lang w:val="en-AU"/>
              </w:rPr>
            </w:pPr>
          </w:p>
        </w:tc>
        <w:tc>
          <w:tcPr>
            <w:tcW w:w="1316" w:type="dxa"/>
          </w:tcPr>
          <w:p w14:paraId="25EB580B" w14:textId="410EB18A" w:rsidR="000756EB" w:rsidRDefault="004A4D88" w:rsidP="004255E9">
            <w:pPr>
              <w:pStyle w:val="TableCopy"/>
              <w:jc w:val="right"/>
            </w:pPr>
            <w:r>
              <w:t>–</w:t>
            </w:r>
          </w:p>
        </w:tc>
        <w:tc>
          <w:tcPr>
            <w:tcW w:w="1418" w:type="dxa"/>
          </w:tcPr>
          <w:p w14:paraId="509D6421" w14:textId="696CEAFC" w:rsidR="000756EB" w:rsidRDefault="004A4D88" w:rsidP="004255E9">
            <w:pPr>
              <w:pStyle w:val="TableCopy"/>
              <w:jc w:val="right"/>
            </w:pPr>
            <w:r>
              <w:t>–</w:t>
            </w:r>
          </w:p>
        </w:tc>
        <w:tc>
          <w:tcPr>
            <w:tcW w:w="1393" w:type="dxa"/>
          </w:tcPr>
          <w:p w14:paraId="4117206D" w14:textId="488D828C" w:rsidR="000756EB" w:rsidRDefault="004A4D88" w:rsidP="004255E9">
            <w:pPr>
              <w:pStyle w:val="TableCopy"/>
              <w:jc w:val="right"/>
            </w:pPr>
            <w:r>
              <w:t>–</w:t>
            </w:r>
          </w:p>
        </w:tc>
        <w:tc>
          <w:tcPr>
            <w:tcW w:w="1419" w:type="dxa"/>
          </w:tcPr>
          <w:p w14:paraId="2F43D8A7" w14:textId="6832CF64" w:rsidR="000756EB" w:rsidRDefault="004A4D88" w:rsidP="004255E9">
            <w:pPr>
              <w:pStyle w:val="TableCopy"/>
              <w:jc w:val="right"/>
            </w:pPr>
            <w:r>
              <w:t>–</w:t>
            </w:r>
          </w:p>
        </w:tc>
      </w:tr>
      <w:tr w:rsidR="000756EB" w:rsidRPr="001C5D4D" w14:paraId="47E9FA5D" w14:textId="77777777" w:rsidTr="001C5D4D">
        <w:trPr>
          <w:cantSplit/>
        </w:trPr>
        <w:tc>
          <w:tcPr>
            <w:tcW w:w="3539" w:type="dxa"/>
          </w:tcPr>
          <w:p w14:paraId="729CFC5C" w14:textId="701FB995" w:rsidR="000756EB" w:rsidRPr="001C5D4D" w:rsidRDefault="004A4D88" w:rsidP="001C5D4D">
            <w:pPr>
              <w:pStyle w:val="TableCopy"/>
              <w:rPr>
                <w:rFonts w:asciiTheme="minorHAnsi" w:hAnsiTheme="minorHAnsi" w:cstheme="minorHAnsi"/>
                <w:b/>
                <w:bCs/>
              </w:rPr>
            </w:pPr>
            <w:r w:rsidRPr="001C5D4D">
              <w:rPr>
                <w:rFonts w:asciiTheme="minorHAnsi" w:hAnsiTheme="minorHAnsi" w:cstheme="minorHAnsi"/>
                <w:b/>
                <w:bCs/>
              </w:rPr>
              <w:t>Total</w:t>
            </w:r>
            <w:r w:rsidR="00A03629" w:rsidRPr="001C5D4D">
              <w:rPr>
                <w:rFonts w:asciiTheme="minorHAnsi" w:hAnsiTheme="minorHAnsi" w:cstheme="minorHAnsi"/>
                <w:b/>
                <w:bCs/>
              </w:rPr>
              <w:t xml:space="preserve"> </w:t>
            </w:r>
            <w:r w:rsidRPr="001C5D4D">
              <w:rPr>
                <w:rFonts w:asciiTheme="minorHAnsi" w:hAnsiTheme="minorHAnsi" w:cstheme="minorHAnsi"/>
                <w:b/>
                <w:bCs/>
              </w:rPr>
              <w:t>financial</w:t>
            </w:r>
            <w:r w:rsidR="00A03629" w:rsidRPr="001C5D4D">
              <w:rPr>
                <w:rFonts w:asciiTheme="minorHAnsi" w:hAnsiTheme="minorHAnsi" w:cstheme="minorHAnsi"/>
                <w:b/>
                <w:bCs/>
              </w:rPr>
              <w:t xml:space="preserve"> </w:t>
            </w:r>
            <w:r w:rsidRPr="001C5D4D">
              <w:rPr>
                <w:rFonts w:asciiTheme="minorHAnsi" w:hAnsiTheme="minorHAnsi" w:cstheme="minorHAnsi"/>
                <w:b/>
                <w:bCs/>
              </w:rPr>
              <w:t>liabilities</w:t>
            </w:r>
          </w:p>
        </w:tc>
        <w:tc>
          <w:tcPr>
            <w:tcW w:w="1426" w:type="dxa"/>
          </w:tcPr>
          <w:p w14:paraId="0B8A51BB" w14:textId="77777777" w:rsidR="000756EB" w:rsidRPr="001C5D4D" w:rsidRDefault="000756EB" w:rsidP="004255E9">
            <w:pPr>
              <w:pStyle w:val="TableCopy"/>
              <w:jc w:val="right"/>
              <w:rPr>
                <w:rFonts w:asciiTheme="minorHAnsi" w:hAnsiTheme="minorHAnsi" w:cstheme="minorHAnsi"/>
                <w:b/>
                <w:bCs/>
                <w:lang w:val="en-AU"/>
              </w:rPr>
            </w:pPr>
          </w:p>
        </w:tc>
        <w:tc>
          <w:tcPr>
            <w:tcW w:w="1316" w:type="dxa"/>
          </w:tcPr>
          <w:p w14:paraId="546E3399" w14:textId="004B1011" w:rsidR="000756EB" w:rsidRPr="001C5D4D" w:rsidRDefault="004A4D88" w:rsidP="004255E9">
            <w:pPr>
              <w:pStyle w:val="TableCopy"/>
              <w:jc w:val="right"/>
              <w:rPr>
                <w:rFonts w:asciiTheme="minorHAnsi" w:hAnsiTheme="minorHAnsi" w:cstheme="minorHAnsi"/>
                <w:b/>
                <w:bCs/>
              </w:rPr>
            </w:pPr>
            <w:r w:rsidRPr="001C5D4D">
              <w:rPr>
                <w:rFonts w:asciiTheme="minorHAnsi" w:hAnsiTheme="minorHAnsi" w:cstheme="minorHAnsi"/>
                <w:b/>
                <w:bCs/>
              </w:rPr>
              <w:t>193,037</w:t>
            </w:r>
          </w:p>
        </w:tc>
        <w:tc>
          <w:tcPr>
            <w:tcW w:w="1418" w:type="dxa"/>
          </w:tcPr>
          <w:p w14:paraId="22BE450F" w14:textId="5AB3FC65" w:rsidR="000756EB" w:rsidRPr="001C5D4D" w:rsidRDefault="004A4D88" w:rsidP="004255E9">
            <w:pPr>
              <w:pStyle w:val="TableCopy"/>
              <w:jc w:val="right"/>
              <w:rPr>
                <w:rFonts w:asciiTheme="minorHAnsi" w:hAnsiTheme="minorHAnsi" w:cstheme="minorHAnsi"/>
                <w:b/>
                <w:bCs/>
              </w:rPr>
            </w:pPr>
            <w:r w:rsidRPr="001C5D4D">
              <w:rPr>
                <w:rFonts w:asciiTheme="minorHAnsi" w:hAnsiTheme="minorHAnsi" w:cstheme="minorHAnsi"/>
                <w:b/>
                <w:bCs/>
              </w:rPr>
              <w:t>14,342</w:t>
            </w:r>
          </w:p>
        </w:tc>
        <w:tc>
          <w:tcPr>
            <w:tcW w:w="1393" w:type="dxa"/>
          </w:tcPr>
          <w:p w14:paraId="786C0712" w14:textId="38ABE27B" w:rsidR="000756EB" w:rsidRPr="001C5D4D" w:rsidRDefault="004A4D88" w:rsidP="004255E9">
            <w:pPr>
              <w:pStyle w:val="TableCopy"/>
              <w:jc w:val="right"/>
              <w:rPr>
                <w:rFonts w:asciiTheme="minorHAnsi" w:hAnsiTheme="minorHAnsi" w:cstheme="minorHAnsi"/>
                <w:b/>
                <w:bCs/>
              </w:rPr>
            </w:pPr>
            <w:r w:rsidRPr="001C5D4D">
              <w:rPr>
                <w:rFonts w:asciiTheme="minorHAnsi" w:hAnsiTheme="minorHAnsi" w:cstheme="minorHAnsi"/>
                <w:b/>
                <w:bCs/>
              </w:rPr>
              <w:t>–</w:t>
            </w:r>
          </w:p>
        </w:tc>
        <w:tc>
          <w:tcPr>
            <w:tcW w:w="1419" w:type="dxa"/>
          </w:tcPr>
          <w:p w14:paraId="63582756" w14:textId="351C64EC" w:rsidR="000756EB" w:rsidRPr="001C5D4D" w:rsidRDefault="004A4D88" w:rsidP="004255E9">
            <w:pPr>
              <w:pStyle w:val="TableCopy"/>
              <w:jc w:val="right"/>
              <w:rPr>
                <w:rFonts w:asciiTheme="minorHAnsi" w:hAnsiTheme="minorHAnsi" w:cstheme="minorHAnsi"/>
                <w:b/>
                <w:bCs/>
              </w:rPr>
            </w:pPr>
            <w:r w:rsidRPr="001C5D4D">
              <w:rPr>
                <w:rFonts w:asciiTheme="minorHAnsi" w:hAnsiTheme="minorHAnsi" w:cstheme="minorHAnsi"/>
                <w:b/>
                <w:bCs/>
              </w:rPr>
              <w:t>178,695</w:t>
            </w:r>
          </w:p>
        </w:tc>
      </w:tr>
      <w:tr w:rsidR="000756EB" w:rsidRPr="001C5D4D" w14:paraId="67D05ABC" w14:textId="77777777" w:rsidTr="001C5D4D">
        <w:trPr>
          <w:cantSplit/>
        </w:trPr>
        <w:tc>
          <w:tcPr>
            <w:tcW w:w="3539" w:type="dxa"/>
          </w:tcPr>
          <w:p w14:paraId="76369FBE" w14:textId="77777777" w:rsidR="000756EB" w:rsidRPr="001C5D4D" w:rsidRDefault="004A4D88" w:rsidP="001C5D4D">
            <w:pPr>
              <w:pStyle w:val="TableHeading"/>
              <w:rPr>
                <w:rFonts w:asciiTheme="minorHAnsi" w:hAnsiTheme="minorHAnsi" w:cstheme="minorHAnsi"/>
              </w:rPr>
            </w:pPr>
            <w:r w:rsidRPr="001C5D4D">
              <w:rPr>
                <w:rFonts w:asciiTheme="minorHAnsi" w:hAnsiTheme="minorHAnsi" w:cstheme="minorHAnsi"/>
              </w:rPr>
              <w:t>2022</w:t>
            </w:r>
          </w:p>
        </w:tc>
        <w:tc>
          <w:tcPr>
            <w:tcW w:w="1426" w:type="dxa"/>
          </w:tcPr>
          <w:p w14:paraId="289B33B0" w14:textId="77777777" w:rsidR="000756EB" w:rsidRPr="001C5D4D" w:rsidRDefault="000756EB" w:rsidP="004255E9">
            <w:pPr>
              <w:pStyle w:val="TableHeading"/>
              <w:jc w:val="right"/>
              <w:rPr>
                <w:rFonts w:asciiTheme="minorHAnsi" w:hAnsiTheme="minorHAnsi" w:cstheme="minorHAnsi"/>
                <w:lang w:val="en-AU"/>
              </w:rPr>
            </w:pPr>
          </w:p>
        </w:tc>
        <w:tc>
          <w:tcPr>
            <w:tcW w:w="1316" w:type="dxa"/>
          </w:tcPr>
          <w:p w14:paraId="651A9D8F" w14:textId="77777777" w:rsidR="000756EB" w:rsidRPr="001C5D4D" w:rsidRDefault="000756EB" w:rsidP="004255E9">
            <w:pPr>
              <w:pStyle w:val="TableHeading"/>
              <w:jc w:val="right"/>
              <w:rPr>
                <w:rFonts w:asciiTheme="minorHAnsi" w:hAnsiTheme="minorHAnsi" w:cstheme="minorHAnsi"/>
                <w:lang w:val="en-AU"/>
              </w:rPr>
            </w:pPr>
          </w:p>
        </w:tc>
        <w:tc>
          <w:tcPr>
            <w:tcW w:w="1418" w:type="dxa"/>
          </w:tcPr>
          <w:p w14:paraId="491B60BF" w14:textId="77777777" w:rsidR="000756EB" w:rsidRPr="001C5D4D" w:rsidRDefault="000756EB" w:rsidP="004255E9">
            <w:pPr>
              <w:pStyle w:val="TableHeading"/>
              <w:jc w:val="right"/>
              <w:rPr>
                <w:rFonts w:asciiTheme="minorHAnsi" w:hAnsiTheme="minorHAnsi" w:cstheme="minorHAnsi"/>
                <w:lang w:val="en-AU"/>
              </w:rPr>
            </w:pPr>
          </w:p>
        </w:tc>
        <w:tc>
          <w:tcPr>
            <w:tcW w:w="1393" w:type="dxa"/>
          </w:tcPr>
          <w:p w14:paraId="3A5B6B82" w14:textId="77777777" w:rsidR="000756EB" w:rsidRPr="001C5D4D" w:rsidRDefault="000756EB" w:rsidP="004255E9">
            <w:pPr>
              <w:pStyle w:val="TableHeading"/>
              <w:jc w:val="right"/>
              <w:rPr>
                <w:rFonts w:asciiTheme="minorHAnsi" w:hAnsiTheme="minorHAnsi" w:cstheme="minorHAnsi"/>
                <w:lang w:val="en-AU"/>
              </w:rPr>
            </w:pPr>
          </w:p>
        </w:tc>
        <w:tc>
          <w:tcPr>
            <w:tcW w:w="1419" w:type="dxa"/>
          </w:tcPr>
          <w:p w14:paraId="6038382F" w14:textId="77777777" w:rsidR="000756EB" w:rsidRPr="001C5D4D" w:rsidRDefault="000756EB" w:rsidP="004255E9">
            <w:pPr>
              <w:pStyle w:val="TableHeading"/>
              <w:jc w:val="right"/>
              <w:rPr>
                <w:rFonts w:asciiTheme="minorHAnsi" w:hAnsiTheme="minorHAnsi" w:cstheme="minorHAnsi"/>
                <w:lang w:val="en-AU"/>
              </w:rPr>
            </w:pPr>
          </w:p>
        </w:tc>
      </w:tr>
      <w:tr w:rsidR="000756EB" w:rsidRPr="001C5D4D" w14:paraId="423039FF" w14:textId="77777777" w:rsidTr="001C5D4D">
        <w:trPr>
          <w:cantSplit/>
        </w:trPr>
        <w:tc>
          <w:tcPr>
            <w:tcW w:w="3539" w:type="dxa"/>
          </w:tcPr>
          <w:p w14:paraId="3F35BB35" w14:textId="371FDF0D" w:rsidR="000756EB" w:rsidRPr="001C5D4D" w:rsidRDefault="004A4D88" w:rsidP="001C5D4D">
            <w:pPr>
              <w:pStyle w:val="TableHeading"/>
              <w:rPr>
                <w:rFonts w:asciiTheme="minorHAnsi" w:hAnsiTheme="minorHAnsi" w:cstheme="minorHAnsi"/>
              </w:rPr>
            </w:pPr>
            <w:r w:rsidRPr="001C5D4D">
              <w:rPr>
                <w:rFonts w:asciiTheme="minorHAnsi" w:hAnsiTheme="minorHAnsi" w:cstheme="minorHAnsi"/>
              </w:rPr>
              <w:t>Financial</w:t>
            </w:r>
            <w:r w:rsidR="00A03629" w:rsidRPr="001C5D4D">
              <w:rPr>
                <w:rFonts w:asciiTheme="minorHAnsi" w:hAnsiTheme="minorHAnsi" w:cstheme="minorHAnsi"/>
              </w:rPr>
              <w:t xml:space="preserve"> </w:t>
            </w:r>
            <w:r w:rsidRPr="001C5D4D">
              <w:rPr>
                <w:rFonts w:asciiTheme="minorHAnsi" w:hAnsiTheme="minorHAnsi" w:cstheme="minorHAnsi"/>
              </w:rPr>
              <w:t>assets</w:t>
            </w:r>
          </w:p>
        </w:tc>
        <w:tc>
          <w:tcPr>
            <w:tcW w:w="1426" w:type="dxa"/>
          </w:tcPr>
          <w:p w14:paraId="0B5BC316" w14:textId="77777777" w:rsidR="000756EB" w:rsidRPr="001C5D4D" w:rsidRDefault="000756EB" w:rsidP="004255E9">
            <w:pPr>
              <w:pStyle w:val="TableHeading"/>
              <w:jc w:val="right"/>
              <w:rPr>
                <w:rFonts w:asciiTheme="minorHAnsi" w:hAnsiTheme="minorHAnsi" w:cstheme="minorHAnsi"/>
                <w:lang w:val="en-AU"/>
              </w:rPr>
            </w:pPr>
          </w:p>
        </w:tc>
        <w:tc>
          <w:tcPr>
            <w:tcW w:w="1316" w:type="dxa"/>
          </w:tcPr>
          <w:p w14:paraId="5A57ECDF" w14:textId="77777777" w:rsidR="000756EB" w:rsidRPr="001C5D4D" w:rsidRDefault="000756EB" w:rsidP="004255E9">
            <w:pPr>
              <w:pStyle w:val="TableHeading"/>
              <w:jc w:val="right"/>
              <w:rPr>
                <w:rFonts w:asciiTheme="minorHAnsi" w:hAnsiTheme="minorHAnsi" w:cstheme="minorHAnsi"/>
                <w:lang w:val="en-AU"/>
              </w:rPr>
            </w:pPr>
          </w:p>
        </w:tc>
        <w:tc>
          <w:tcPr>
            <w:tcW w:w="1418" w:type="dxa"/>
          </w:tcPr>
          <w:p w14:paraId="7A270498" w14:textId="77777777" w:rsidR="000756EB" w:rsidRPr="001C5D4D" w:rsidRDefault="000756EB" w:rsidP="004255E9">
            <w:pPr>
              <w:pStyle w:val="TableHeading"/>
              <w:jc w:val="right"/>
              <w:rPr>
                <w:rFonts w:asciiTheme="minorHAnsi" w:hAnsiTheme="minorHAnsi" w:cstheme="minorHAnsi"/>
                <w:lang w:val="en-AU"/>
              </w:rPr>
            </w:pPr>
          </w:p>
        </w:tc>
        <w:tc>
          <w:tcPr>
            <w:tcW w:w="1393" w:type="dxa"/>
          </w:tcPr>
          <w:p w14:paraId="45E83667" w14:textId="77777777" w:rsidR="000756EB" w:rsidRPr="001C5D4D" w:rsidRDefault="000756EB" w:rsidP="004255E9">
            <w:pPr>
              <w:pStyle w:val="TableHeading"/>
              <w:jc w:val="right"/>
              <w:rPr>
                <w:rFonts w:asciiTheme="minorHAnsi" w:hAnsiTheme="minorHAnsi" w:cstheme="minorHAnsi"/>
                <w:lang w:val="en-AU"/>
              </w:rPr>
            </w:pPr>
          </w:p>
        </w:tc>
        <w:tc>
          <w:tcPr>
            <w:tcW w:w="1419" w:type="dxa"/>
          </w:tcPr>
          <w:p w14:paraId="787BD891" w14:textId="77777777" w:rsidR="000756EB" w:rsidRPr="001C5D4D" w:rsidRDefault="000756EB" w:rsidP="004255E9">
            <w:pPr>
              <w:pStyle w:val="TableHeading"/>
              <w:jc w:val="right"/>
              <w:rPr>
                <w:rFonts w:asciiTheme="minorHAnsi" w:hAnsiTheme="minorHAnsi" w:cstheme="minorHAnsi"/>
                <w:lang w:val="en-AU"/>
              </w:rPr>
            </w:pPr>
          </w:p>
        </w:tc>
      </w:tr>
      <w:tr w:rsidR="000756EB" w:rsidRPr="001C5D4D" w14:paraId="721554BC" w14:textId="77777777" w:rsidTr="001C5D4D">
        <w:trPr>
          <w:cantSplit/>
        </w:trPr>
        <w:tc>
          <w:tcPr>
            <w:tcW w:w="3539" w:type="dxa"/>
          </w:tcPr>
          <w:p w14:paraId="4F2DC746" w14:textId="1160525B" w:rsidR="000756EB" w:rsidRPr="001C5D4D" w:rsidRDefault="004A4D88" w:rsidP="001C5D4D">
            <w:pPr>
              <w:pStyle w:val="TableCopy"/>
              <w:rPr>
                <w:rFonts w:asciiTheme="minorHAnsi" w:hAnsiTheme="minorHAnsi" w:cstheme="minorHAnsi"/>
              </w:rPr>
            </w:pPr>
            <w:r w:rsidRPr="001C5D4D">
              <w:rPr>
                <w:rFonts w:asciiTheme="minorHAnsi" w:hAnsiTheme="minorHAnsi" w:cstheme="minorHAnsi"/>
              </w:rPr>
              <w:t>Cash</w:t>
            </w:r>
            <w:r w:rsidR="00A03629" w:rsidRPr="001C5D4D">
              <w:rPr>
                <w:rFonts w:asciiTheme="minorHAnsi" w:hAnsiTheme="minorHAnsi" w:cstheme="minorHAnsi"/>
              </w:rPr>
              <w:t xml:space="preserve"> </w:t>
            </w:r>
            <w:r w:rsidRPr="001C5D4D">
              <w:rPr>
                <w:rFonts w:asciiTheme="minorHAnsi" w:hAnsiTheme="minorHAnsi" w:cstheme="minorHAnsi"/>
              </w:rPr>
              <w:t>and</w:t>
            </w:r>
            <w:r w:rsidR="00A03629" w:rsidRPr="001C5D4D">
              <w:rPr>
                <w:rFonts w:asciiTheme="minorHAnsi" w:hAnsiTheme="minorHAnsi" w:cstheme="minorHAnsi"/>
              </w:rPr>
              <w:t xml:space="preserve"> </w:t>
            </w:r>
            <w:r w:rsidRPr="001C5D4D">
              <w:rPr>
                <w:rFonts w:asciiTheme="minorHAnsi" w:hAnsiTheme="minorHAnsi" w:cstheme="minorHAnsi"/>
              </w:rPr>
              <w:t>deposits</w:t>
            </w:r>
          </w:p>
        </w:tc>
        <w:tc>
          <w:tcPr>
            <w:tcW w:w="1426" w:type="dxa"/>
          </w:tcPr>
          <w:p w14:paraId="2A42A7E4" w14:textId="77777777" w:rsidR="000756EB" w:rsidRPr="001C5D4D" w:rsidRDefault="004A4D88" w:rsidP="004255E9">
            <w:pPr>
              <w:pStyle w:val="TableCopy"/>
              <w:jc w:val="right"/>
              <w:rPr>
                <w:rFonts w:asciiTheme="minorHAnsi" w:hAnsiTheme="minorHAnsi" w:cstheme="minorHAnsi"/>
              </w:rPr>
            </w:pPr>
            <w:r w:rsidRPr="001C5D4D">
              <w:rPr>
                <w:rFonts w:asciiTheme="minorHAnsi" w:hAnsiTheme="minorHAnsi" w:cstheme="minorHAnsi"/>
              </w:rPr>
              <w:t>0.32%</w:t>
            </w:r>
          </w:p>
        </w:tc>
        <w:tc>
          <w:tcPr>
            <w:tcW w:w="1316" w:type="dxa"/>
          </w:tcPr>
          <w:p w14:paraId="5A2F990A" w14:textId="1D587C37" w:rsidR="000756EB" w:rsidRPr="001C5D4D" w:rsidRDefault="004A4D88" w:rsidP="004255E9">
            <w:pPr>
              <w:pStyle w:val="TableCopy"/>
              <w:jc w:val="right"/>
              <w:rPr>
                <w:rFonts w:asciiTheme="minorHAnsi" w:hAnsiTheme="minorHAnsi" w:cstheme="minorHAnsi"/>
              </w:rPr>
            </w:pPr>
            <w:r w:rsidRPr="001C5D4D">
              <w:rPr>
                <w:rFonts w:asciiTheme="minorHAnsi" w:hAnsiTheme="minorHAnsi" w:cstheme="minorHAnsi"/>
              </w:rPr>
              <w:t>416,760</w:t>
            </w:r>
          </w:p>
        </w:tc>
        <w:tc>
          <w:tcPr>
            <w:tcW w:w="1418" w:type="dxa"/>
          </w:tcPr>
          <w:p w14:paraId="6F0EEBD9" w14:textId="66A21295" w:rsidR="000756EB" w:rsidRPr="001C5D4D" w:rsidRDefault="004A4D88" w:rsidP="004255E9">
            <w:pPr>
              <w:pStyle w:val="TableCopy"/>
              <w:jc w:val="right"/>
              <w:rPr>
                <w:rFonts w:asciiTheme="minorHAnsi" w:hAnsiTheme="minorHAnsi" w:cstheme="minorHAnsi"/>
              </w:rPr>
            </w:pPr>
            <w:r w:rsidRPr="001C5D4D">
              <w:rPr>
                <w:rFonts w:asciiTheme="minorHAnsi" w:hAnsiTheme="minorHAnsi" w:cstheme="minorHAnsi"/>
              </w:rPr>
              <w:t>2,047</w:t>
            </w:r>
          </w:p>
        </w:tc>
        <w:tc>
          <w:tcPr>
            <w:tcW w:w="1393" w:type="dxa"/>
          </w:tcPr>
          <w:p w14:paraId="2A7ACE28" w14:textId="72AFDEB4" w:rsidR="000756EB" w:rsidRPr="001C5D4D" w:rsidRDefault="004A4D88" w:rsidP="004255E9">
            <w:pPr>
              <w:pStyle w:val="TableCopy"/>
              <w:jc w:val="right"/>
              <w:rPr>
                <w:rFonts w:asciiTheme="minorHAnsi" w:hAnsiTheme="minorHAnsi" w:cstheme="minorHAnsi"/>
              </w:rPr>
            </w:pPr>
            <w:r w:rsidRPr="001C5D4D">
              <w:rPr>
                <w:rFonts w:asciiTheme="minorHAnsi" w:hAnsiTheme="minorHAnsi" w:cstheme="minorHAnsi"/>
              </w:rPr>
              <w:t>279,827</w:t>
            </w:r>
          </w:p>
        </w:tc>
        <w:tc>
          <w:tcPr>
            <w:tcW w:w="1419" w:type="dxa"/>
          </w:tcPr>
          <w:p w14:paraId="4443A4C8" w14:textId="5FFF93E7" w:rsidR="000756EB" w:rsidRPr="001C5D4D" w:rsidRDefault="004A4D88" w:rsidP="004255E9">
            <w:pPr>
              <w:pStyle w:val="TableCopy"/>
              <w:jc w:val="right"/>
              <w:rPr>
                <w:rFonts w:asciiTheme="minorHAnsi" w:hAnsiTheme="minorHAnsi" w:cstheme="minorHAnsi"/>
              </w:rPr>
            </w:pPr>
            <w:r w:rsidRPr="001C5D4D">
              <w:rPr>
                <w:rFonts w:asciiTheme="minorHAnsi" w:hAnsiTheme="minorHAnsi" w:cstheme="minorHAnsi"/>
              </w:rPr>
              <w:t>134,885</w:t>
            </w:r>
          </w:p>
        </w:tc>
      </w:tr>
      <w:tr w:rsidR="000756EB" w:rsidRPr="001C5D4D" w14:paraId="31B5F2F5" w14:textId="77777777" w:rsidTr="001C5D4D">
        <w:trPr>
          <w:cantSplit/>
        </w:trPr>
        <w:tc>
          <w:tcPr>
            <w:tcW w:w="3539" w:type="dxa"/>
          </w:tcPr>
          <w:p w14:paraId="3760A676" w14:textId="6E9756EA" w:rsidR="000756EB" w:rsidRPr="001C5D4D" w:rsidRDefault="004A4D88" w:rsidP="001C5D4D">
            <w:pPr>
              <w:pStyle w:val="TableCopy"/>
              <w:rPr>
                <w:rFonts w:asciiTheme="minorHAnsi" w:hAnsiTheme="minorHAnsi" w:cstheme="minorHAnsi"/>
              </w:rPr>
            </w:pPr>
            <w:r w:rsidRPr="001C5D4D">
              <w:rPr>
                <w:rFonts w:asciiTheme="minorHAnsi" w:hAnsiTheme="minorHAnsi" w:cstheme="minorHAnsi"/>
              </w:rPr>
              <w:t>Receivables</w:t>
            </w:r>
            <w:r w:rsidR="00A03629" w:rsidRPr="001C5D4D">
              <w:rPr>
                <w:rFonts w:asciiTheme="minorHAnsi" w:hAnsiTheme="minorHAnsi" w:cstheme="minorHAnsi"/>
              </w:rPr>
              <w:t xml:space="preserve"> </w:t>
            </w:r>
            <w:r w:rsidRPr="00614829">
              <w:rPr>
                <w:rStyle w:val="FootnotereferencessuperscriptMisc"/>
              </w:rPr>
              <w:t>(</w:t>
            </w:r>
            <w:proofErr w:type="spellStart"/>
            <w:r w:rsidRPr="00614829">
              <w:rPr>
                <w:rStyle w:val="FootnotereferencessuperscriptMisc"/>
              </w:rPr>
              <w:t>i</w:t>
            </w:r>
            <w:proofErr w:type="spellEnd"/>
            <w:r w:rsidRPr="00614829">
              <w:rPr>
                <w:rStyle w:val="FootnotereferencessuperscriptMisc"/>
              </w:rPr>
              <w:t>)</w:t>
            </w:r>
          </w:p>
        </w:tc>
        <w:tc>
          <w:tcPr>
            <w:tcW w:w="1426" w:type="dxa"/>
          </w:tcPr>
          <w:p w14:paraId="11DEC194" w14:textId="77777777" w:rsidR="000756EB" w:rsidRPr="001C5D4D" w:rsidRDefault="004A4D88" w:rsidP="004255E9">
            <w:pPr>
              <w:pStyle w:val="TableCopy"/>
              <w:jc w:val="right"/>
              <w:rPr>
                <w:rFonts w:asciiTheme="minorHAnsi" w:hAnsiTheme="minorHAnsi" w:cstheme="minorHAnsi"/>
              </w:rPr>
            </w:pPr>
            <w:r w:rsidRPr="001C5D4D">
              <w:rPr>
                <w:rFonts w:asciiTheme="minorHAnsi" w:hAnsiTheme="minorHAnsi" w:cstheme="minorHAnsi"/>
              </w:rPr>
              <w:t>1.25%</w:t>
            </w:r>
          </w:p>
        </w:tc>
        <w:tc>
          <w:tcPr>
            <w:tcW w:w="1316" w:type="dxa"/>
          </w:tcPr>
          <w:p w14:paraId="29B513E6" w14:textId="6AD9F023" w:rsidR="000756EB" w:rsidRPr="001C5D4D" w:rsidRDefault="004A4D88" w:rsidP="004255E9">
            <w:pPr>
              <w:pStyle w:val="TableCopy"/>
              <w:jc w:val="right"/>
              <w:rPr>
                <w:rFonts w:asciiTheme="minorHAnsi" w:hAnsiTheme="minorHAnsi" w:cstheme="minorHAnsi"/>
              </w:rPr>
            </w:pPr>
            <w:r w:rsidRPr="001C5D4D">
              <w:rPr>
                <w:rFonts w:asciiTheme="minorHAnsi" w:hAnsiTheme="minorHAnsi" w:cstheme="minorHAnsi"/>
              </w:rPr>
              <w:t>264,829</w:t>
            </w:r>
          </w:p>
        </w:tc>
        <w:tc>
          <w:tcPr>
            <w:tcW w:w="1418" w:type="dxa"/>
          </w:tcPr>
          <w:p w14:paraId="22C91CD2" w14:textId="45DE6C25" w:rsidR="000756EB" w:rsidRPr="001C5D4D" w:rsidRDefault="004A4D88" w:rsidP="004255E9">
            <w:pPr>
              <w:pStyle w:val="TableCopy"/>
              <w:jc w:val="right"/>
              <w:rPr>
                <w:rFonts w:asciiTheme="minorHAnsi" w:hAnsiTheme="minorHAnsi" w:cstheme="minorHAnsi"/>
              </w:rPr>
            </w:pPr>
            <w:r w:rsidRPr="001C5D4D">
              <w:rPr>
                <w:rFonts w:asciiTheme="minorHAnsi" w:hAnsiTheme="minorHAnsi" w:cstheme="minorHAnsi"/>
              </w:rPr>
              <w:t>40,000</w:t>
            </w:r>
          </w:p>
        </w:tc>
        <w:tc>
          <w:tcPr>
            <w:tcW w:w="1393" w:type="dxa"/>
          </w:tcPr>
          <w:p w14:paraId="18637BF5" w14:textId="00E7A3FB" w:rsidR="000756EB" w:rsidRPr="001C5D4D" w:rsidRDefault="004A4D88" w:rsidP="004255E9">
            <w:pPr>
              <w:pStyle w:val="TableCopy"/>
              <w:jc w:val="right"/>
              <w:rPr>
                <w:rFonts w:asciiTheme="minorHAnsi" w:hAnsiTheme="minorHAnsi" w:cstheme="minorHAnsi"/>
              </w:rPr>
            </w:pPr>
            <w:r w:rsidRPr="001C5D4D">
              <w:rPr>
                <w:rFonts w:asciiTheme="minorHAnsi" w:hAnsiTheme="minorHAnsi" w:cstheme="minorHAnsi"/>
              </w:rPr>
              <w:t>136,906</w:t>
            </w:r>
          </w:p>
        </w:tc>
        <w:tc>
          <w:tcPr>
            <w:tcW w:w="1419" w:type="dxa"/>
          </w:tcPr>
          <w:p w14:paraId="3B972D69" w14:textId="518A942C" w:rsidR="000756EB" w:rsidRPr="001C5D4D" w:rsidRDefault="004A4D88" w:rsidP="004255E9">
            <w:pPr>
              <w:pStyle w:val="TableCopy"/>
              <w:jc w:val="right"/>
              <w:rPr>
                <w:rFonts w:asciiTheme="minorHAnsi" w:hAnsiTheme="minorHAnsi" w:cstheme="minorHAnsi"/>
              </w:rPr>
            </w:pPr>
            <w:r w:rsidRPr="001C5D4D">
              <w:rPr>
                <w:rFonts w:asciiTheme="minorHAnsi" w:hAnsiTheme="minorHAnsi" w:cstheme="minorHAnsi"/>
              </w:rPr>
              <w:t>87,883</w:t>
            </w:r>
          </w:p>
        </w:tc>
      </w:tr>
      <w:tr w:rsidR="000756EB" w:rsidRPr="001C5D4D" w14:paraId="76DB5900" w14:textId="77777777" w:rsidTr="001C5D4D">
        <w:trPr>
          <w:cantSplit/>
        </w:trPr>
        <w:tc>
          <w:tcPr>
            <w:tcW w:w="3539" w:type="dxa"/>
          </w:tcPr>
          <w:p w14:paraId="2C36645E" w14:textId="77777777" w:rsidR="000756EB" w:rsidRPr="001C5D4D" w:rsidRDefault="004A4D88" w:rsidP="001C5D4D">
            <w:pPr>
              <w:pStyle w:val="TableCopy"/>
              <w:rPr>
                <w:rFonts w:asciiTheme="minorHAnsi" w:hAnsiTheme="minorHAnsi" w:cstheme="minorHAnsi"/>
              </w:rPr>
            </w:pPr>
            <w:r w:rsidRPr="001C5D4D">
              <w:rPr>
                <w:rFonts w:asciiTheme="minorHAnsi" w:hAnsiTheme="minorHAnsi" w:cstheme="minorHAnsi"/>
              </w:rPr>
              <w:lastRenderedPageBreak/>
              <w:t>Investments</w:t>
            </w:r>
          </w:p>
        </w:tc>
        <w:tc>
          <w:tcPr>
            <w:tcW w:w="1426" w:type="dxa"/>
          </w:tcPr>
          <w:p w14:paraId="3DB528F0" w14:textId="77777777" w:rsidR="000756EB" w:rsidRPr="001C5D4D" w:rsidRDefault="000756EB" w:rsidP="004255E9">
            <w:pPr>
              <w:pStyle w:val="TableCopy"/>
              <w:jc w:val="right"/>
              <w:rPr>
                <w:rFonts w:asciiTheme="minorHAnsi" w:hAnsiTheme="minorHAnsi" w:cstheme="minorHAnsi"/>
                <w:lang w:val="en-AU"/>
              </w:rPr>
            </w:pPr>
          </w:p>
        </w:tc>
        <w:tc>
          <w:tcPr>
            <w:tcW w:w="1316" w:type="dxa"/>
          </w:tcPr>
          <w:p w14:paraId="69F06144" w14:textId="4C633A78" w:rsidR="000756EB" w:rsidRPr="001C5D4D" w:rsidRDefault="004A4D88" w:rsidP="004255E9">
            <w:pPr>
              <w:pStyle w:val="TableCopy"/>
              <w:jc w:val="right"/>
              <w:rPr>
                <w:rFonts w:asciiTheme="minorHAnsi" w:hAnsiTheme="minorHAnsi" w:cstheme="minorHAnsi"/>
              </w:rPr>
            </w:pPr>
            <w:r w:rsidRPr="001C5D4D">
              <w:rPr>
                <w:rFonts w:asciiTheme="minorHAnsi" w:hAnsiTheme="minorHAnsi" w:cstheme="minorHAnsi"/>
              </w:rPr>
              <w:t>71</w:t>
            </w:r>
          </w:p>
        </w:tc>
        <w:tc>
          <w:tcPr>
            <w:tcW w:w="1418" w:type="dxa"/>
          </w:tcPr>
          <w:p w14:paraId="45D064FD" w14:textId="0CA907FB" w:rsidR="000756EB" w:rsidRPr="001C5D4D" w:rsidRDefault="004A4D88" w:rsidP="004255E9">
            <w:pPr>
              <w:pStyle w:val="TableCopy"/>
              <w:jc w:val="right"/>
              <w:rPr>
                <w:rFonts w:asciiTheme="minorHAnsi" w:hAnsiTheme="minorHAnsi" w:cstheme="minorHAnsi"/>
              </w:rPr>
            </w:pPr>
            <w:r w:rsidRPr="001C5D4D">
              <w:rPr>
                <w:rFonts w:asciiTheme="minorHAnsi" w:hAnsiTheme="minorHAnsi" w:cstheme="minorHAnsi"/>
              </w:rPr>
              <w:t>–</w:t>
            </w:r>
          </w:p>
        </w:tc>
        <w:tc>
          <w:tcPr>
            <w:tcW w:w="1393" w:type="dxa"/>
          </w:tcPr>
          <w:p w14:paraId="66BF1E57" w14:textId="676B3CDC" w:rsidR="000756EB" w:rsidRPr="001C5D4D" w:rsidRDefault="004A4D88" w:rsidP="004255E9">
            <w:pPr>
              <w:pStyle w:val="TableCopy"/>
              <w:jc w:val="right"/>
              <w:rPr>
                <w:rFonts w:asciiTheme="minorHAnsi" w:hAnsiTheme="minorHAnsi" w:cstheme="minorHAnsi"/>
              </w:rPr>
            </w:pPr>
            <w:r w:rsidRPr="001C5D4D">
              <w:rPr>
                <w:rFonts w:asciiTheme="minorHAnsi" w:hAnsiTheme="minorHAnsi" w:cstheme="minorHAnsi"/>
              </w:rPr>
              <w:t>–</w:t>
            </w:r>
          </w:p>
        </w:tc>
        <w:tc>
          <w:tcPr>
            <w:tcW w:w="1419" w:type="dxa"/>
          </w:tcPr>
          <w:p w14:paraId="4CFBE70A" w14:textId="180AA901" w:rsidR="000756EB" w:rsidRPr="001C5D4D" w:rsidRDefault="004A4D88" w:rsidP="004255E9">
            <w:pPr>
              <w:pStyle w:val="TableCopy"/>
              <w:jc w:val="right"/>
              <w:rPr>
                <w:rFonts w:asciiTheme="minorHAnsi" w:hAnsiTheme="minorHAnsi" w:cstheme="minorHAnsi"/>
              </w:rPr>
            </w:pPr>
            <w:r w:rsidRPr="001C5D4D">
              <w:rPr>
                <w:rFonts w:asciiTheme="minorHAnsi" w:hAnsiTheme="minorHAnsi" w:cstheme="minorHAnsi"/>
              </w:rPr>
              <w:t>71</w:t>
            </w:r>
          </w:p>
        </w:tc>
      </w:tr>
      <w:tr w:rsidR="000756EB" w:rsidRPr="004255E9" w14:paraId="38553743" w14:textId="77777777" w:rsidTr="001C5D4D">
        <w:trPr>
          <w:cantSplit/>
        </w:trPr>
        <w:tc>
          <w:tcPr>
            <w:tcW w:w="3539" w:type="dxa"/>
          </w:tcPr>
          <w:p w14:paraId="57F24431" w14:textId="15D525C2" w:rsidR="000756EB" w:rsidRPr="004255E9" w:rsidRDefault="004A4D88" w:rsidP="004255E9">
            <w:pPr>
              <w:pStyle w:val="TableCopy"/>
              <w:rPr>
                <w:rFonts w:asciiTheme="minorHAnsi" w:hAnsiTheme="minorHAnsi" w:cstheme="minorHAnsi"/>
                <w:b/>
                <w:bCs/>
              </w:rPr>
            </w:pPr>
            <w:r w:rsidRPr="004255E9">
              <w:rPr>
                <w:rFonts w:asciiTheme="minorHAnsi" w:hAnsiTheme="minorHAnsi" w:cstheme="minorHAnsi"/>
                <w:b/>
                <w:bCs/>
              </w:rPr>
              <w:t>Total</w:t>
            </w:r>
            <w:r w:rsidR="00A03629" w:rsidRPr="004255E9">
              <w:rPr>
                <w:rFonts w:asciiTheme="minorHAnsi" w:hAnsiTheme="minorHAnsi" w:cstheme="minorHAnsi"/>
                <w:b/>
                <w:bCs/>
              </w:rPr>
              <w:t xml:space="preserve"> </w:t>
            </w:r>
            <w:r w:rsidRPr="004255E9">
              <w:rPr>
                <w:rFonts w:asciiTheme="minorHAnsi" w:hAnsiTheme="minorHAnsi" w:cstheme="minorHAnsi"/>
                <w:b/>
                <w:bCs/>
              </w:rPr>
              <w:t>financial</w:t>
            </w:r>
            <w:r w:rsidR="00A03629" w:rsidRPr="004255E9">
              <w:rPr>
                <w:rFonts w:asciiTheme="minorHAnsi" w:hAnsiTheme="minorHAnsi" w:cstheme="minorHAnsi"/>
                <w:b/>
                <w:bCs/>
              </w:rPr>
              <w:t xml:space="preserve"> </w:t>
            </w:r>
            <w:r w:rsidRPr="004255E9">
              <w:rPr>
                <w:rFonts w:asciiTheme="minorHAnsi" w:hAnsiTheme="minorHAnsi" w:cstheme="minorHAnsi"/>
                <w:b/>
                <w:bCs/>
              </w:rPr>
              <w:t>assets</w:t>
            </w:r>
          </w:p>
        </w:tc>
        <w:tc>
          <w:tcPr>
            <w:tcW w:w="1426" w:type="dxa"/>
          </w:tcPr>
          <w:p w14:paraId="042EFAEC" w14:textId="77777777" w:rsidR="000756EB" w:rsidRPr="004255E9" w:rsidRDefault="000756EB" w:rsidP="004255E9">
            <w:pPr>
              <w:pStyle w:val="TableCopy"/>
              <w:jc w:val="right"/>
              <w:rPr>
                <w:rFonts w:asciiTheme="minorHAnsi" w:hAnsiTheme="minorHAnsi" w:cstheme="minorHAnsi"/>
                <w:b/>
                <w:bCs/>
                <w:lang w:val="en-AU"/>
              </w:rPr>
            </w:pPr>
          </w:p>
        </w:tc>
        <w:tc>
          <w:tcPr>
            <w:tcW w:w="1316" w:type="dxa"/>
          </w:tcPr>
          <w:p w14:paraId="195CF186" w14:textId="6C02401C" w:rsidR="000756EB" w:rsidRPr="004255E9" w:rsidRDefault="004A4D88" w:rsidP="004255E9">
            <w:pPr>
              <w:pStyle w:val="TableCopy"/>
              <w:jc w:val="right"/>
              <w:rPr>
                <w:rFonts w:asciiTheme="minorHAnsi" w:hAnsiTheme="minorHAnsi" w:cstheme="minorHAnsi"/>
                <w:b/>
                <w:bCs/>
              </w:rPr>
            </w:pPr>
            <w:r w:rsidRPr="004255E9">
              <w:rPr>
                <w:rFonts w:asciiTheme="minorHAnsi" w:hAnsiTheme="minorHAnsi" w:cstheme="minorHAnsi"/>
                <w:b/>
                <w:bCs/>
              </w:rPr>
              <w:t>681,661</w:t>
            </w:r>
          </w:p>
        </w:tc>
        <w:tc>
          <w:tcPr>
            <w:tcW w:w="1418" w:type="dxa"/>
          </w:tcPr>
          <w:p w14:paraId="1DAA6797" w14:textId="2D626D95" w:rsidR="000756EB" w:rsidRPr="004255E9" w:rsidRDefault="004A4D88" w:rsidP="004255E9">
            <w:pPr>
              <w:pStyle w:val="TableCopy"/>
              <w:jc w:val="right"/>
              <w:rPr>
                <w:rFonts w:asciiTheme="minorHAnsi" w:hAnsiTheme="minorHAnsi" w:cstheme="minorHAnsi"/>
                <w:b/>
                <w:bCs/>
              </w:rPr>
            </w:pPr>
            <w:r w:rsidRPr="004255E9">
              <w:rPr>
                <w:rFonts w:asciiTheme="minorHAnsi" w:hAnsiTheme="minorHAnsi" w:cstheme="minorHAnsi"/>
                <w:b/>
                <w:bCs/>
              </w:rPr>
              <w:t>42,047</w:t>
            </w:r>
          </w:p>
        </w:tc>
        <w:tc>
          <w:tcPr>
            <w:tcW w:w="1393" w:type="dxa"/>
          </w:tcPr>
          <w:p w14:paraId="2D54D164" w14:textId="3412A6E6" w:rsidR="000756EB" w:rsidRPr="004255E9" w:rsidRDefault="004A4D88" w:rsidP="004255E9">
            <w:pPr>
              <w:pStyle w:val="TableCopy"/>
              <w:jc w:val="right"/>
              <w:rPr>
                <w:rFonts w:asciiTheme="minorHAnsi" w:hAnsiTheme="minorHAnsi" w:cstheme="minorHAnsi"/>
                <w:b/>
                <w:bCs/>
              </w:rPr>
            </w:pPr>
            <w:r w:rsidRPr="004255E9">
              <w:rPr>
                <w:rFonts w:asciiTheme="minorHAnsi" w:hAnsiTheme="minorHAnsi" w:cstheme="minorHAnsi"/>
                <w:b/>
                <w:bCs/>
              </w:rPr>
              <w:t>416,733</w:t>
            </w:r>
          </w:p>
        </w:tc>
        <w:tc>
          <w:tcPr>
            <w:tcW w:w="1419" w:type="dxa"/>
          </w:tcPr>
          <w:p w14:paraId="29F1B263" w14:textId="4A99A11E" w:rsidR="000756EB" w:rsidRPr="004255E9" w:rsidRDefault="004A4D88" w:rsidP="004255E9">
            <w:pPr>
              <w:pStyle w:val="TableCopy"/>
              <w:jc w:val="right"/>
              <w:rPr>
                <w:rFonts w:asciiTheme="minorHAnsi" w:hAnsiTheme="minorHAnsi" w:cstheme="minorHAnsi"/>
                <w:b/>
                <w:bCs/>
              </w:rPr>
            </w:pPr>
            <w:r w:rsidRPr="004255E9">
              <w:rPr>
                <w:rFonts w:asciiTheme="minorHAnsi" w:hAnsiTheme="minorHAnsi" w:cstheme="minorHAnsi"/>
                <w:b/>
                <w:bCs/>
              </w:rPr>
              <w:t>222,839</w:t>
            </w:r>
          </w:p>
        </w:tc>
      </w:tr>
      <w:tr w:rsidR="000756EB" w:rsidRPr="004255E9" w14:paraId="096F97A1" w14:textId="77777777" w:rsidTr="001C5D4D">
        <w:trPr>
          <w:cantSplit/>
        </w:trPr>
        <w:tc>
          <w:tcPr>
            <w:tcW w:w="3539" w:type="dxa"/>
          </w:tcPr>
          <w:p w14:paraId="3835E121" w14:textId="4DB213BE" w:rsidR="000756EB" w:rsidRPr="004255E9" w:rsidRDefault="004A4D88" w:rsidP="004255E9">
            <w:pPr>
              <w:pStyle w:val="TableHeading"/>
              <w:rPr>
                <w:rFonts w:asciiTheme="minorHAnsi" w:hAnsiTheme="minorHAnsi" w:cstheme="minorHAnsi"/>
              </w:rPr>
            </w:pPr>
            <w:r w:rsidRPr="004255E9">
              <w:rPr>
                <w:rFonts w:asciiTheme="minorHAnsi" w:hAnsiTheme="minorHAnsi" w:cstheme="minorHAnsi"/>
              </w:rPr>
              <w:t>Financial</w:t>
            </w:r>
            <w:r w:rsidR="00A03629" w:rsidRPr="004255E9">
              <w:rPr>
                <w:rFonts w:asciiTheme="minorHAnsi" w:hAnsiTheme="minorHAnsi" w:cstheme="minorHAnsi"/>
              </w:rPr>
              <w:t xml:space="preserve"> </w:t>
            </w:r>
            <w:r w:rsidRPr="004255E9">
              <w:rPr>
                <w:rFonts w:asciiTheme="minorHAnsi" w:hAnsiTheme="minorHAnsi" w:cstheme="minorHAnsi"/>
              </w:rPr>
              <w:t>liabilities</w:t>
            </w:r>
          </w:p>
        </w:tc>
        <w:tc>
          <w:tcPr>
            <w:tcW w:w="1426" w:type="dxa"/>
          </w:tcPr>
          <w:p w14:paraId="060A7606" w14:textId="77777777" w:rsidR="000756EB" w:rsidRPr="004255E9" w:rsidRDefault="000756EB" w:rsidP="004255E9">
            <w:pPr>
              <w:pStyle w:val="TableHeading"/>
              <w:jc w:val="right"/>
              <w:rPr>
                <w:rFonts w:asciiTheme="minorHAnsi" w:hAnsiTheme="minorHAnsi" w:cstheme="minorHAnsi"/>
                <w:lang w:val="en-AU"/>
              </w:rPr>
            </w:pPr>
          </w:p>
        </w:tc>
        <w:tc>
          <w:tcPr>
            <w:tcW w:w="1316" w:type="dxa"/>
          </w:tcPr>
          <w:p w14:paraId="5A5E7F26" w14:textId="77777777" w:rsidR="000756EB" w:rsidRPr="004255E9" w:rsidRDefault="000756EB" w:rsidP="004255E9">
            <w:pPr>
              <w:pStyle w:val="TableHeading"/>
              <w:jc w:val="right"/>
              <w:rPr>
                <w:rFonts w:asciiTheme="minorHAnsi" w:hAnsiTheme="minorHAnsi" w:cstheme="minorHAnsi"/>
                <w:lang w:val="en-AU"/>
              </w:rPr>
            </w:pPr>
          </w:p>
        </w:tc>
        <w:tc>
          <w:tcPr>
            <w:tcW w:w="1418" w:type="dxa"/>
          </w:tcPr>
          <w:p w14:paraId="7640ACC4" w14:textId="77777777" w:rsidR="000756EB" w:rsidRPr="004255E9" w:rsidRDefault="000756EB" w:rsidP="004255E9">
            <w:pPr>
              <w:pStyle w:val="TableHeading"/>
              <w:jc w:val="right"/>
              <w:rPr>
                <w:rFonts w:asciiTheme="minorHAnsi" w:hAnsiTheme="minorHAnsi" w:cstheme="minorHAnsi"/>
                <w:lang w:val="en-AU"/>
              </w:rPr>
            </w:pPr>
          </w:p>
        </w:tc>
        <w:tc>
          <w:tcPr>
            <w:tcW w:w="1393" w:type="dxa"/>
          </w:tcPr>
          <w:p w14:paraId="2A30E4D9" w14:textId="77777777" w:rsidR="000756EB" w:rsidRPr="004255E9" w:rsidRDefault="000756EB" w:rsidP="004255E9">
            <w:pPr>
              <w:pStyle w:val="TableHeading"/>
              <w:jc w:val="right"/>
              <w:rPr>
                <w:rFonts w:asciiTheme="minorHAnsi" w:hAnsiTheme="minorHAnsi" w:cstheme="minorHAnsi"/>
                <w:lang w:val="en-AU"/>
              </w:rPr>
            </w:pPr>
          </w:p>
        </w:tc>
        <w:tc>
          <w:tcPr>
            <w:tcW w:w="1419" w:type="dxa"/>
          </w:tcPr>
          <w:p w14:paraId="30C8263C" w14:textId="77777777" w:rsidR="000756EB" w:rsidRPr="004255E9" w:rsidRDefault="000756EB" w:rsidP="004255E9">
            <w:pPr>
              <w:pStyle w:val="TableHeading"/>
              <w:jc w:val="right"/>
              <w:rPr>
                <w:rFonts w:asciiTheme="minorHAnsi" w:hAnsiTheme="minorHAnsi" w:cstheme="minorHAnsi"/>
                <w:lang w:val="en-AU"/>
              </w:rPr>
            </w:pPr>
          </w:p>
        </w:tc>
      </w:tr>
      <w:tr w:rsidR="000756EB" w:rsidRPr="004255E9" w14:paraId="2C42C028" w14:textId="77777777" w:rsidTr="001C5D4D">
        <w:trPr>
          <w:cantSplit/>
        </w:trPr>
        <w:tc>
          <w:tcPr>
            <w:tcW w:w="3539" w:type="dxa"/>
          </w:tcPr>
          <w:p w14:paraId="1918A813" w14:textId="4259D7C4" w:rsidR="000756EB" w:rsidRPr="004255E9" w:rsidRDefault="004A4D88" w:rsidP="004255E9">
            <w:pPr>
              <w:pStyle w:val="TableHeading"/>
              <w:rPr>
                <w:rFonts w:asciiTheme="minorHAnsi" w:hAnsiTheme="minorHAnsi" w:cstheme="minorHAnsi"/>
              </w:rPr>
            </w:pPr>
            <w:r w:rsidRPr="004255E9">
              <w:rPr>
                <w:rFonts w:asciiTheme="minorHAnsi" w:hAnsiTheme="minorHAnsi" w:cstheme="minorHAnsi"/>
              </w:rPr>
              <w:t>Payables</w:t>
            </w:r>
            <w:r w:rsidR="00A03629" w:rsidRPr="004255E9">
              <w:rPr>
                <w:rFonts w:asciiTheme="minorHAnsi" w:hAnsiTheme="minorHAnsi" w:cstheme="minorHAnsi"/>
              </w:rPr>
              <w:t xml:space="preserve"> </w:t>
            </w:r>
            <w:r w:rsidRPr="00614829">
              <w:rPr>
                <w:rStyle w:val="FootnotereferencessuperscriptMisc"/>
              </w:rPr>
              <w:t>(</w:t>
            </w:r>
            <w:proofErr w:type="spellStart"/>
            <w:r w:rsidRPr="00614829">
              <w:rPr>
                <w:rStyle w:val="FootnotereferencessuperscriptMisc"/>
              </w:rPr>
              <w:t>i</w:t>
            </w:r>
            <w:proofErr w:type="spellEnd"/>
            <w:r w:rsidRPr="00614829">
              <w:rPr>
                <w:rStyle w:val="FootnotereferencessuperscriptMisc"/>
              </w:rPr>
              <w:t>)</w:t>
            </w:r>
          </w:p>
        </w:tc>
        <w:tc>
          <w:tcPr>
            <w:tcW w:w="1426" w:type="dxa"/>
          </w:tcPr>
          <w:p w14:paraId="61F4974C" w14:textId="77777777" w:rsidR="000756EB" w:rsidRPr="004255E9" w:rsidRDefault="000756EB" w:rsidP="004255E9">
            <w:pPr>
              <w:pStyle w:val="TableHeading"/>
              <w:jc w:val="right"/>
              <w:rPr>
                <w:rFonts w:asciiTheme="minorHAnsi" w:hAnsiTheme="minorHAnsi" w:cstheme="minorHAnsi"/>
                <w:lang w:val="en-AU"/>
              </w:rPr>
            </w:pPr>
          </w:p>
        </w:tc>
        <w:tc>
          <w:tcPr>
            <w:tcW w:w="1316" w:type="dxa"/>
          </w:tcPr>
          <w:p w14:paraId="7F5D39DD" w14:textId="77777777" w:rsidR="000756EB" w:rsidRPr="004255E9" w:rsidRDefault="000756EB" w:rsidP="004255E9">
            <w:pPr>
              <w:pStyle w:val="TableHeading"/>
              <w:jc w:val="right"/>
              <w:rPr>
                <w:rFonts w:asciiTheme="minorHAnsi" w:hAnsiTheme="minorHAnsi" w:cstheme="minorHAnsi"/>
                <w:lang w:val="en-AU"/>
              </w:rPr>
            </w:pPr>
          </w:p>
        </w:tc>
        <w:tc>
          <w:tcPr>
            <w:tcW w:w="1418" w:type="dxa"/>
          </w:tcPr>
          <w:p w14:paraId="3681CBC5" w14:textId="77777777" w:rsidR="000756EB" w:rsidRPr="004255E9" w:rsidRDefault="000756EB" w:rsidP="004255E9">
            <w:pPr>
              <w:pStyle w:val="TableHeading"/>
              <w:jc w:val="right"/>
              <w:rPr>
                <w:rFonts w:asciiTheme="minorHAnsi" w:hAnsiTheme="minorHAnsi" w:cstheme="minorHAnsi"/>
                <w:lang w:val="en-AU"/>
              </w:rPr>
            </w:pPr>
          </w:p>
        </w:tc>
        <w:tc>
          <w:tcPr>
            <w:tcW w:w="1393" w:type="dxa"/>
          </w:tcPr>
          <w:p w14:paraId="2C732167" w14:textId="77777777" w:rsidR="000756EB" w:rsidRPr="004255E9" w:rsidRDefault="000756EB" w:rsidP="004255E9">
            <w:pPr>
              <w:pStyle w:val="TableHeading"/>
              <w:jc w:val="right"/>
              <w:rPr>
                <w:rFonts w:asciiTheme="minorHAnsi" w:hAnsiTheme="minorHAnsi" w:cstheme="minorHAnsi"/>
                <w:lang w:val="en-AU"/>
              </w:rPr>
            </w:pPr>
          </w:p>
        </w:tc>
        <w:tc>
          <w:tcPr>
            <w:tcW w:w="1419" w:type="dxa"/>
          </w:tcPr>
          <w:p w14:paraId="57D54847" w14:textId="77777777" w:rsidR="000756EB" w:rsidRPr="004255E9" w:rsidRDefault="000756EB" w:rsidP="004255E9">
            <w:pPr>
              <w:pStyle w:val="TableHeading"/>
              <w:jc w:val="right"/>
              <w:rPr>
                <w:rFonts w:asciiTheme="minorHAnsi" w:hAnsiTheme="minorHAnsi" w:cstheme="minorHAnsi"/>
                <w:lang w:val="en-AU"/>
              </w:rPr>
            </w:pPr>
          </w:p>
        </w:tc>
      </w:tr>
      <w:tr w:rsidR="000756EB" w:rsidRPr="004255E9" w14:paraId="097B2A3D" w14:textId="77777777" w:rsidTr="001C5D4D">
        <w:trPr>
          <w:cantSplit/>
        </w:trPr>
        <w:tc>
          <w:tcPr>
            <w:tcW w:w="3539" w:type="dxa"/>
          </w:tcPr>
          <w:p w14:paraId="17D29BBF" w14:textId="48407B0F" w:rsidR="000756EB" w:rsidRPr="004255E9" w:rsidRDefault="004A4D88" w:rsidP="004255E9">
            <w:pPr>
              <w:pStyle w:val="TableCopy"/>
              <w:rPr>
                <w:rFonts w:asciiTheme="minorHAnsi" w:hAnsiTheme="minorHAnsi" w:cstheme="minorHAnsi"/>
              </w:rPr>
            </w:pPr>
            <w:r w:rsidRPr="004255E9">
              <w:rPr>
                <w:rFonts w:asciiTheme="minorHAnsi" w:hAnsiTheme="minorHAnsi" w:cstheme="minorHAnsi"/>
              </w:rPr>
              <w:t>Supplies</w:t>
            </w:r>
            <w:r w:rsidR="00A03629" w:rsidRPr="004255E9">
              <w:rPr>
                <w:rFonts w:asciiTheme="minorHAnsi" w:hAnsiTheme="minorHAnsi" w:cstheme="minorHAnsi"/>
              </w:rPr>
              <w:t xml:space="preserve"> </w:t>
            </w:r>
            <w:r w:rsidRPr="004255E9">
              <w:rPr>
                <w:rFonts w:asciiTheme="minorHAnsi" w:hAnsiTheme="minorHAnsi" w:cstheme="minorHAnsi"/>
              </w:rPr>
              <w:t>and</w:t>
            </w:r>
            <w:r w:rsidR="00A03629" w:rsidRPr="004255E9">
              <w:rPr>
                <w:rFonts w:asciiTheme="minorHAnsi" w:hAnsiTheme="minorHAnsi" w:cstheme="minorHAnsi"/>
              </w:rPr>
              <w:t xml:space="preserve"> </w:t>
            </w:r>
            <w:r w:rsidRPr="004255E9">
              <w:rPr>
                <w:rFonts w:asciiTheme="minorHAnsi" w:hAnsiTheme="minorHAnsi" w:cstheme="minorHAnsi"/>
              </w:rPr>
              <w:t>services</w:t>
            </w:r>
          </w:p>
        </w:tc>
        <w:tc>
          <w:tcPr>
            <w:tcW w:w="1426" w:type="dxa"/>
          </w:tcPr>
          <w:p w14:paraId="05ADA05E" w14:textId="77777777" w:rsidR="000756EB" w:rsidRPr="004255E9" w:rsidRDefault="000756EB" w:rsidP="004255E9">
            <w:pPr>
              <w:pStyle w:val="TableCopy"/>
              <w:jc w:val="right"/>
              <w:rPr>
                <w:rFonts w:asciiTheme="minorHAnsi" w:hAnsiTheme="minorHAnsi" w:cstheme="minorHAnsi"/>
                <w:lang w:val="en-AU"/>
              </w:rPr>
            </w:pPr>
          </w:p>
        </w:tc>
        <w:tc>
          <w:tcPr>
            <w:tcW w:w="1316" w:type="dxa"/>
          </w:tcPr>
          <w:p w14:paraId="70EDEF8A" w14:textId="02C6D465" w:rsidR="000756EB" w:rsidRPr="004255E9" w:rsidRDefault="004A4D88" w:rsidP="004255E9">
            <w:pPr>
              <w:pStyle w:val="TableCopy"/>
              <w:jc w:val="right"/>
              <w:rPr>
                <w:rFonts w:asciiTheme="minorHAnsi" w:hAnsiTheme="minorHAnsi" w:cstheme="minorHAnsi"/>
              </w:rPr>
            </w:pPr>
            <w:r w:rsidRPr="004255E9">
              <w:rPr>
                <w:rFonts w:asciiTheme="minorHAnsi" w:hAnsiTheme="minorHAnsi" w:cstheme="minorHAnsi"/>
              </w:rPr>
              <w:t>86,024</w:t>
            </w:r>
          </w:p>
        </w:tc>
        <w:tc>
          <w:tcPr>
            <w:tcW w:w="1418" w:type="dxa"/>
          </w:tcPr>
          <w:p w14:paraId="730B8694" w14:textId="37CE753D" w:rsidR="000756EB" w:rsidRPr="004255E9" w:rsidRDefault="004A4D88" w:rsidP="004255E9">
            <w:pPr>
              <w:pStyle w:val="TableCopy"/>
              <w:jc w:val="right"/>
              <w:rPr>
                <w:rFonts w:asciiTheme="minorHAnsi" w:hAnsiTheme="minorHAnsi" w:cstheme="minorHAnsi"/>
              </w:rPr>
            </w:pPr>
            <w:r w:rsidRPr="004255E9">
              <w:rPr>
                <w:rFonts w:asciiTheme="minorHAnsi" w:hAnsiTheme="minorHAnsi" w:cstheme="minorHAnsi"/>
              </w:rPr>
              <w:t>–</w:t>
            </w:r>
          </w:p>
        </w:tc>
        <w:tc>
          <w:tcPr>
            <w:tcW w:w="1393" w:type="dxa"/>
          </w:tcPr>
          <w:p w14:paraId="1C36C8F0" w14:textId="3EEB2CA7" w:rsidR="000756EB" w:rsidRPr="004255E9" w:rsidRDefault="004A4D88" w:rsidP="004255E9">
            <w:pPr>
              <w:pStyle w:val="TableCopy"/>
              <w:jc w:val="right"/>
              <w:rPr>
                <w:rFonts w:asciiTheme="minorHAnsi" w:hAnsiTheme="minorHAnsi" w:cstheme="minorHAnsi"/>
              </w:rPr>
            </w:pPr>
            <w:r w:rsidRPr="004255E9">
              <w:rPr>
                <w:rFonts w:asciiTheme="minorHAnsi" w:hAnsiTheme="minorHAnsi" w:cstheme="minorHAnsi"/>
              </w:rPr>
              <w:t>–</w:t>
            </w:r>
          </w:p>
        </w:tc>
        <w:tc>
          <w:tcPr>
            <w:tcW w:w="1419" w:type="dxa"/>
          </w:tcPr>
          <w:p w14:paraId="7CC76BB0" w14:textId="5F1CE918" w:rsidR="000756EB" w:rsidRPr="004255E9" w:rsidRDefault="004A4D88" w:rsidP="004255E9">
            <w:pPr>
              <w:pStyle w:val="TableCopy"/>
              <w:jc w:val="right"/>
              <w:rPr>
                <w:rFonts w:asciiTheme="minorHAnsi" w:hAnsiTheme="minorHAnsi" w:cstheme="minorHAnsi"/>
              </w:rPr>
            </w:pPr>
            <w:r w:rsidRPr="004255E9">
              <w:rPr>
                <w:rFonts w:asciiTheme="minorHAnsi" w:hAnsiTheme="minorHAnsi" w:cstheme="minorHAnsi"/>
              </w:rPr>
              <w:t>86,024</w:t>
            </w:r>
          </w:p>
        </w:tc>
      </w:tr>
      <w:tr w:rsidR="000756EB" w:rsidRPr="004255E9" w14:paraId="317301D0" w14:textId="77777777" w:rsidTr="001C5D4D">
        <w:trPr>
          <w:cantSplit/>
        </w:trPr>
        <w:tc>
          <w:tcPr>
            <w:tcW w:w="3539" w:type="dxa"/>
          </w:tcPr>
          <w:p w14:paraId="55101DD5" w14:textId="6458EED6" w:rsidR="000756EB" w:rsidRPr="004255E9" w:rsidRDefault="004A4D88" w:rsidP="004255E9">
            <w:pPr>
              <w:pStyle w:val="TableCopy"/>
              <w:rPr>
                <w:rFonts w:asciiTheme="minorHAnsi" w:hAnsiTheme="minorHAnsi" w:cstheme="minorHAnsi"/>
              </w:rPr>
            </w:pPr>
            <w:r w:rsidRPr="004255E9">
              <w:rPr>
                <w:rFonts w:asciiTheme="minorHAnsi" w:hAnsiTheme="minorHAnsi" w:cstheme="minorHAnsi"/>
              </w:rPr>
              <w:t>Amounts</w:t>
            </w:r>
            <w:r w:rsidR="00A03629" w:rsidRPr="004255E9">
              <w:rPr>
                <w:rFonts w:asciiTheme="minorHAnsi" w:hAnsiTheme="minorHAnsi" w:cstheme="minorHAnsi"/>
              </w:rPr>
              <w:t xml:space="preserve"> </w:t>
            </w:r>
            <w:r w:rsidRPr="004255E9">
              <w:rPr>
                <w:rFonts w:asciiTheme="minorHAnsi" w:hAnsiTheme="minorHAnsi" w:cstheme="minorHAnsi"/>
              </w:rPr>
              <w:t>payable</w:t>
            </w:r>
            <w:r w:rsidR="00A03629" w:rsidRPr="004255E9">
              <w:rPr>
                <w:rFonts w:asciiTheme="minorHAnsi" w:hAnsiTheme="minorHAnsi" w:cstheme="minorHAnsi"/>
              </w:rPr>
              <w:t xml:space="preserve"> </w:t>
            </w:r>
            <w:r w:rsidRPr="004255E9">
              <w:rPr>
                <w:rFonts w:asciiTheme="minorHAnsi" w:hAnsiTheme="minorHAnsi" w:cstheme="minorHAnsi"/>
              </w:rPr>
              <w:t>to</w:t>
            </w:r>
            <w:r w:rsidR="00A03629" w:rsidRPr="004255E9">
              <w:rPr>
                <w:rFonts w:asciiTheme="minorHAnsi" w:hAnsiTheme="minorHAnsi" w:cstheme="minorHAnsi"/>
              </w:rPr>
              <w:t xml:space="preserve"> </w:t>
            </w:r>
            <w:r w:rsidRPr="004255E9">
              <w:rPr>
                <w:rFonts w:asciiTheme="minorHAnsi" w:hAnsiTheme="minorHAnsi" w:cstheme="minorHAnsi"/>
              </w:rPr>
              <w:t>government</w:t>
            </w:r>
            <w:r w:rsidR="00A03629" w:rsidRPr="004255E9">
              <w:rPr>
                <w:rFonts w:asciiTheme="minorHAnsi" w:hAnsiTheme="minorHAnsi" w:cstheme="minorHAnsi"/>
              </w:rPr>
              <w:t xml:space="preserve"> </w:t>
            </w:r>
            <w:r w:rsidRPr="004255E9">
              <w:rPr>
                <w:rFonts w:asciiTheme="minorHAnsi" w:hAnsiTheme="minorHAnsi" w:cstheme="minorHAnsi"/>
              </w:rPr>
              <w:t>and</w:t>
            </w:r>
            <w:r w:rsidR="00A03629" w:rsidRPr="004255E9">
              <w:rPr>
                <w:rFonts w:asciiTheme="minorHAnsi" w:hAnsiTheme="minorHAnsi" w:cstheme="minorHAnsi"/>
              </w:rPr>
              <w:t xml:space="preserve"> </w:t>
            </w:r>
            <w:r w:rsidRPr="004255E9">
              <w:rPr>
                <w:rFonts w:asciiTheme="minorHAnsi" w:hAnsiTheme="minorHAnsi" w:cstheme="minorHAnsi"/>
              </w:rPr>
              <w:t>agencies</w:t>
            </w:r>
          </w:p>
        </w:tc>
        <w:tc>
          <w:tcPr>
            <w:tcW w:w="1426" w:type="dxa"/>
          </w:tcPr>
          <w:p w14:paraId="66554CA4" w14:textId="77777777" w:rsidR="000756EB" w:rsidRPr="004255E9" w:rsidRDefault="000756EB" w:rsidP="004255E9">
            <w:pPr>
              <w:pStyle w:val="TableCopy"/>
              <w:jc w:val="right"/>
              <w:rPr>
                <w:rFonts w:asciiTheme="minorHAnsi" w:hAnsiTheme="minorHAnsi" w:cstheme="minorHAnsi"/>
                <w:lang w:val="en-AU"/>
              </w:rPr>
            </w:pPr>
          </w:p>
        </w:tc>
        <w:tc>
          <w:tcPr>
            <w:tcW w:w="1316" w:type="dxa"/>
          </w:tcPr>
          <w:p w14:paraId="716A2EBB" w14:textId="7327232B" w:rsidR="000756EB" w:rsidRPr="004255E9" w:rsidRDefault="004A4D88" w:rsidP="004255E9">
            <w:pPr>
              <w:pStyle w:val="TableCopy"/>
              <w:jc w:val="right"/>
              <w:rPr>
                <w:rFonts w:asciiTheme="minorHAnsi" w:hAnsiTheme="minorHAnsi" w:cstheme="minorHAnsi"/>
              </w:rPr>
            </w:pPr>
            <w:r w:rsidRPr="004255E9">
              <w:rPr>
                <w:rFonts w:asciiTheme="minorHAnsi" w:hAnsiTheme="minorHAnsi" w:cstheme="minorHAnsi"/>
              </w:rPr>
              <w:t>47,639</w:t>
            </w:r>
          </w:p>
        </w:tc>
        <w:tc>
          <w:tcPr>
            <w:tcW w:w="1418" w:type="dxa"/>
          </w:tcPr>
          <w:p w14:paraId="118F9F24" w14:textId="3F3DBC47" w:rsidR="000756EB" w:rsidRPr="004255E9" w:rsidRDefault="004A4D88" w:rsidP="004255E9">
            <w:pPr>
              <w:pStyle w:val="TableCopy"/>
              <w:jc w:val="right"/>
              <w:rPr>
                <w:rFonts w:asciiTheme="minorHAnsi" w:hAnsiTheme="minorHAnsi" w:cstheme="minorHAnsi"/>
              </w:rPr>
            </w:pPr>
            <w:r w:rsidRPr="004255E9">
              <w:rPr>
                <w:rFonts w:asciiTheme="minorHAnsi" w:hAnsiTheme="minorHAnsi" w:cstheme="minorHAnsi"/>
              </w:rPr>
              <w:t>–</w:t>
            </w:r>
          </w:p>
        </w:tc>
        <w:tc>
          <w:tcPr>
            <w:tcW w:w="1393" w:type="dxa"/>
          </w:tcPr>
          <w:p w14:paraId="4DD8EE6F" w14:textId="70C1E387" w:rsidR="000756EB" w:rsidRPr="004255E9" w:rsidRDefault="004A4D88" w:rsidP="004255E9">
            <w:pPr>
              <w:pStyle w:val="TableCopy"/>
              <w:jc w:val="right"/>
              <w:rPr>
                <w:rFonts w:asciiTheme="minorHAnsi" w:hAnsiTheme="minorHAnsi" w:cstheme="minorHAnsi"/>
              </w:rPr>
            </w:pPr>
            <w:r w:rsidRPr="004255E9">
              <w:rPr>
                <w:rFonts w:asciiTheme="minorHAnsi" w:hAnsiTheme="minorHAnsi" w:cstheme="minorHAnsi"/>
              </w:rPr>
              <w:t>–</w:t>
            </w:r>
          </w:p>
        </w:tc>
        <w:tc>
          <w:tcPr>
            <w:tcW w:w="1419" w:type="dxa"/>
          </w:tcPr>
          <w:p w14:paraId="164007AC" w14:textId="59429B17" w:rsidR="000756EB" w:rsidRPr="004255E9" w:rsidRDefault="004A4D88" w:rsidP="004255E9">
            <w:pPr>
              <w:pStyle w:val="TableCopy"/>
              <w:jc w:val="right"/>
              <w:rPr>
                <w:rFonts w:asciiTheme="minorHAnsi" w:hAnsiTheme="minorHAnsi" w:cstheme="minorHAnsi"/>
              </w:rPr>
            </w:pPr>
            <w:r w:rsidRPr="004255E9">
              <w:rPr>
                <w:rFonts w:asciiTheme="minorHAnsi" w:hAnsiTheme="minorHAnsi" w:cstheme="minorHAnsi"/>
              </w:rPr>
              <w:t>47,639</w:t>
            </w:r>
          </w:p>
        </w:tc>
      </w:tr>
      <w:tr w:rsidR="000756EB" w:rsidRPr="004255E9" w14:paraId="7DEDC138" w14:textId="77777777" w:rsidTr="001C5D4D">
        <w:trPr>
          <w:cantSplit/>
        </w:trPr>
        <w:tc>
          <w:tcPr>
            <w:tcW w:w="3539" w:type="dxa"/>
          </w:tcPr>
          <w:p w14:paraId="24196879" w14:textId="4A30D0A4" w:rsidR="000756EB" w:rsidRPr="004255E9" w:rsidRDefault="004A4D88" w:rsidP="004255E9">
            <w:pPr>
              <w:pStyle w:val="TableCopy"/>
              <w:rPr>
                <w:rFonts w:asciiTheme="minorHAnsi" w:hAnsiTheme="minorHAnsi" w:cstheme="minorHAnsi"/>
              </w:rPr>
            </w:pPr>
            <w:r w:rsidRPr="004255E9">
              <w:rPr>
                <w:rFonts w:asciiTheme="minorHAnsi" w:hAnsiTheme="minorHAnsi" w:cstheme="minorHAnsi"/>
              </w:rPr>
              <w:t>Financial</w:t>
            </w:r>
            <w:r w:rsidR="00A03629" w:rsidRPr="004255E9">
              <w:rPr>
                <w:rFonts w:asciiTheme="minorHAnsi" w:hAnsiTheme="minorHAnsi" w:cstheme="minorHAnsi"/>
              </w:rPr>
              <w:t xml:space="preserve"> </w:t>
            </w:r>
            <w:r w:rsidRPr="004255E9">
              <w:rPr>
                <w:rFonts w:asciiTheme="minorHAnsi" w:hAnsiTheme="minorHAnsi" w:cstheme="minorHAnsi"/>
              </w:rPr>
              <w:t>guarantee</w:t>
            </w:r>
          </w:p>
        </w:tc>
        <w:tc>
          <w:tcPr>
            <w:tcW w:w="1426" w:type="dxa"/>
          </w:tcPr>
          <w:p w14:paraId="7DC9B09C" w14:textId="77777777" w:rsidR="000756EB" w:rsidRPr="004255E9" w:rsidRDefault="000756EB" w:rsidP="004255E9">
            <w:pPr>
              <w:pStyle w:val="TableCopy"/>
              <w:jc w:val="right"/>
              <w:rPr>
                <w:rFonts w:asciiTheme="minorHAnsi" w:hAnsiTheme="minorHAnsi" w:cstheme="minorHAnsi"/>
                <w:lang w:val="en-AU"/>
              </w:rPr>
            </w:pPr>
          </w:p>
        </w:tc>
        <w:tc>
          <w:tcPr>
            <w:tcW w:w="1316" w:type="dxa"/>
          </w:tcPr>
          <w:p w14:paraId="3D895BE4" w14:textId="6B44B4AB" w:rsidR="000756EB" w:rsidRPr="004255E9" w:rsidRDefault="004A4D88" w:rsidP="004255E9">
            <w:pPr>
              <w:pStyle w:val="TableCopy"/>
              <w:jc w:val="right"/>
              <w:rPr>
                <w:rFonts w:asciiTheme="minorHAnsi" w:hAnsiTheme="minorHAnsi" w:cstheme="minorHAnsi"/>
              </w:rPr>
            </w:pPr>
            <w:r w:rsidRPr="004255E9">
              <w:rPr>
                <w:rFonts w:asciiTheme="minorHAnsi" w:hAnsiTheme="minorHAnsi" w:cstheme="minorHAnsi"/>
              </w:rPr>
              <w:t>48,036</w:t>
            </w:r>
          </w:p>
        </w:tc>
        <w:tc>
          <w:tcPr>
            <w:tcW w:w="1418" w:type="dxa"/>
          </w:tcPr>
          <w:p w14:paraId="5997002F" w14:textId="45D3F2DD" w:rsidR="000756EB" w:rsidRPr="004255E9" w:rsidRDefault="004A4D88" w:rsidP="004255E9">
            <w:pPr>
              <w:pStyle w:val="TableCopy"/>
              <w:jc w:val="right"/>
              <w:rPr>
                <w:rFonts w:asciiTheme="minorHAnsi" w:hAnsiTheme="minorHAnsi" w:cstheme="minorHAnsi"/>
              </w:rPr>
            </w:pPr>
            <w:r w:rsidRPr="004255E9">
              <w:rPr>
                <w:rFonts w:asciiTheme="minorHAnsi" w:hAnsiTheme="minorHAnsi" w:cstheme="minorHAnsi"/>
              </w:rPr>
              <w:t>48,036</w:t>
            </w:r>
          </w:p>
        </w:tc>
        <w:tc>
          <w:tcPr>
            <w:tcW w:w="1393" w:type="dxa"/>
          </w:tcPr>
          <w:p w14:paraId="10EEFA6C" w14:textId="2B599843" w:rsidR="000756EB" w:rsidRPr="004255E9" w:rsidRDefault="004A4D88" w:rsidP="004255E9">
            <w:pPr>
              <w:pStyle w:val="TableCopy"/>
              <w:jc w:val="right"/>
              <w:rPr>
                <w:rFonts w:asciiTheme="minorHAnsi" w:hAnsiTheme="minorHAnsi" w:cstheme="minorHAnsi"/>
              </w:rPr>
            </w:pPr>
            <w:r w:rsidRPr="004255E9">
              <w:rPr>
                <w:rFonts w:asciiTheme="minorHAnsi" w:hAnsiTheme="minorHAnsi" w:cstheme="minorHAnsi"/>
              </w:rPr>
              <w:t>–</w:t>
            </w:r>
          </w:p>
        </w:tc>
        <w:tc>
          <w:tcPr>
            <w:tcW w:w="1419" w:type="dxa"/>
          </w:tcPr>
          <w:p w14:paraId="3B09B190" w14:textId="6A4396A1" w:rsidR="000756EB" w:rsidRPr="004255E9" w:rsidRDefault="004A4D88" w:rsidP="004255E9">
            <w:pPr>
              <w:pStyle w:val="TableCopy"/>
              <w:jc w:val="right"/>
              <w:rPr>
                <w:rFonts w:asciiTheme="minorHAnsi" w:hAnsiTheme="minorHAnsi" w:cstheme="minorHAnsi"/>
              </w:rPr>
            </w:pPr>
            <w:r w:rsidRPr="004255E9">
              <w:rPr>
                <w:rFonts w:asciiTheme="minorHAnsi" w:hAnsiTheme="minorHAnsi" w:cstheme="minorHAnsi"/>
              </w:rPr>
              <w:t>–</w:t>
            </w:r>
          </w:p>
        </w:tc>
      </w:tr>
      <w:tr w:rsidR="000756EB" w:rsidRPr="004255E9" w14:paraId="247E86B8" w14:textId="77777777" w:rsidTr="001C5D4D">
        <w:trPr>
          <w:cantSplit/>
        </w:trPr>
        <w:tc>
          <w:tcPr>
            <w:tcW w:w="3539" w:type="dxa"/>
          </w:tcPr>
          <w:p w14:paraId="251A6E5E" w14:textId="483A2B6C" w:rsidR="000756EB" w:rsidRPr="004255E9" w:rsidRDefault="004A4D88" w:rsidP="004255E9">
            <w:pPr>
              <w:pStyle w:val="TableCopy"/>
              <w:rPr>
                <w:rFonts w:asciiTheme="minorHAnsi" w:hAnsiTheme="minorHAnsi" w:cstheme="minorHAnsi"/>
              </w:rPr>
            </w:pPr>
            <w:r w:rsidRPr="004255E9">
              <w:rPr>
                <w:rFonts w:asciiTheme="minorHAnsi" w:hAnsiTheme="minorHAnsi" w:cstheme="minorHAnsi"/>
              </w:rPr>
              <w:t>Other</w:t>
            </w:r>
            <w:r w:rsidR="00A03629" w:rsidRPr="004255E9">
              <w:rPr>
                <w:rFonts w:asciiTheme="minorHAnsi" w:hAnsiTheme="minorHAnsi" w:cstheme="minorHAnsi"/>
              </w:rPr>
              <w:t xml:space="preserve"> </w:t>
            </w:r>
            <w:r w:rsidRPr="004255E9">
              <w:rPr>
                <w:rFonts w:asciiTheme="minorHAnsi" w:hAnsiTheme="minorHAnsi" w:cstheme="minorHAnsi"/>
              </w:rPr>
              <w:t>payables</w:t>
            </w:r>
          </w:p>
        </w:tc>
        <w:tc>
          <w:tcPr>
            <w:tcW w:w="1426" w:type="dxa"/>
          </w:tcPr>
          <w:p w14:paraId="0208CAB8" w14:textId="77777777" w:rsidR="000756EB" w:rsidRPr="004255E9" w:rsidRDefault="000756EB" w:rsidP="004255E9">
            <w:pPr>
              <w:pStyle w:val="TableCopy"/>
              <w:jc w:val="right"/>
              <w:rPr>
                <w:rFonts w:asciiTheme="minorHAnsi" w:hAnsiTheme="minorHAnsi" w:cstheme="minorHAnsi"/>
                <w:lang w:val="en-AU"/>
              </w:rPr>
            </w:pPr>
          </w:p>
        </w:tc>
        <w:tc>
          <w:tcPr>
            <w:tcW w:w="1316" w:type="dxa"/>
          </w:tcPr>
          <w:p w14:paraId="26559BA9" w14:textId="3DF6872A" w:rsidR="000756EB" w:rsidRPr="004255E9" w:rsidRDefault="004A4D88" w:rsidP="004255E9">
            <w:pPr>
              <w:pStyle w:val="TableCopy"/>
              <w:jc w:val="right"/>
              <w:rPr>
                <w:rFonts w:asciiTheme="minorHAnsi" w:hAnsiTheme="minorHAnsi" w:cstheme="minorHAnsi"/>
              </w:rPr>
            </w:pPr>
            <w:r w:rsidRPr="004255E9">
              <w:rPr>
                <w:rFonts w:asciiTheme="minorHAnsi" w:hAnsiTheme="minorHAnsi" w:cstheme="minorHAnsi"/>
              </w:rPr>
              <w:t>13,203</w:t>
            </w:r>
          </w:p>
        </w:tc>
        <w:tc>
          <w:tcPr>
            <w:tcW w:w="1418" w:type="dxa"/>
          </w:tcPr>
          <w:p w14:paraId="3D415952" w14:textId="2850F12E" w:rsidR="000756EB" w:rsidRPr="004255E9" w:rsidRDefault="004A4D88" w:rsidP="004255E9">
            <w:pPr>
              <w:pStyle w:val="TableCopy"/>
              <w:jc w:val="right"/>
              <w:rPr>
                <w:rFonts w:asciiTheme="minorHAnsi" w:hAnsiTheme="minorHAnsi" w:cstheme="minorHAnsi"/>
              </w:rPr>
            </w:pPr>
            <w:r w:rsidRPr="004255E9">
              <w:rPr>
                <w:rFonts w:asciiTheme="minorHAnsi" w:hAnsiTheme="minorHAnsi" w:cstheme="minorHAnsi"/>
              </w:rPr>
              <w:t>–</w:t>
            </w:r>
          </w:p>
        </w:tc>
        <w:tc>
          <w:tcPr>
            <w:tcW w:w="1393" w:type="dxa"/>
          </w:tcPr>
          <w:p w14:paraId="0F0C6EBE" w14:textId="15DCEA57" w:rsidR="000756EB" w:rsidRPr="004255E9" w:rsidRDefault="004A4D88" w:rsidP="004255E9">
            <w:pPr>
              <w:pStyle w:val="TableCopy"/>
              <w:jc w:val="right"/>
              <w:rPr>
                <w:rFonts w:asciiTheme="minorHAnsi" w:hAnsiTheme="minorHAnsi" w:cstheme="minorHAnsi"/>
              </w:rPr>
            </w:pPr>
            <w:r w:rsidRPr="004255E9">
              <w:rPr>
                <w:rFonts w:asciiTheme="minorHAnsi" w:hAnsiTheme="minorHAnsi" w:cstheme="minorHAnsi"/>
              </w:rPr>
              <w:t>–</w:t>
            </w:r>
          </w:p>
        </w:tc>
        <w:tc>
          <w:tcPr>
            <w:tcW w:w="1419" w:type="dxa"/>
          </w:tcPr>
          <w:p w14:paraId="6B011B3B" w14:textId="5716CA3F" w:rsidR="000756EB" w:rsidRPr="004255E9" w:rsidRDefault="004A4D88" w:rsidP="004255E9">
            <w:pPr>
              <w:pStyle w:val="TableCopy"/>
              <w:jc w:val="right"/>
              <w:rPr>
                <w:rFonts w:asciiTheme="minorHAnsi" w:hAnsiTheme="minorHAnsi" w:cstheme="minorHAnsi"/>
              </w:rPr>
            </w:pPr>
            <w:r w:rsidRPr="004255E9">
              <w:rPr>
                <w:rFonts w:asciiTheme="minorHAnsi" w:hAnsiTheme="minorHAnsi" w:cstheme="minorHAnsi"/>
              </w:rPr>
              <w:t>13,203</w:t>
            </w:r>
          </w:p>
        </w:tc>
      </w:tr>
      <w:tr w:rsidR="000756EB" w:rsidRPr="004255E9" w14:paraId="5ED1DEC8" w14:textId="77777777" w:rsidTr="001C5D4D">
        <w:trPr>
          <w:cantSplit/>
        </w:trPr>
        <w:tc>
          <w:tcPr>
            <w:tcW w:w="3539" w:type="dxa"/>
          </w:tcPr>
          <w:p w14:paraId="2503040E" w14:textId="77777777" w:rsidR="000756EB" w:rsidRPr="004255E9" w:rsidRDefault="004A4D88" w:rsidP="004255E9">
            <w:pPr>
              <w:pStyle w:val="TableHeading"/>
              <w:rPr>
                <w:rFonts w:asciiTheme="minorHAnsi" w:hAnsiTheme="minorHAnsi" w:cstheme="minorHAnsi"/>
              </w:rPr>
            </w:pPr>
            <w:r w:rsidRPr="004255E9">
              <w:rPr>
                <w:rFonts w:asciiTheme="minorHAnsi" w:hAnsiTheme="minorHAnsi" w:cstheme="minorHAnsi"/>
              </w:rPr>
              <w:t>Borrowings</w:t>
            </w:r>
          </w:p>
        </w:tc>
        <w:tc>
          <w:tcPr>
            <w:tcW w:w="1426" w:type="dxa"/>
          </w:tcPr>
          <w:p w14:paraId="7FBF644D" w14:textId="77777777" w:rsidR="000756EB" w:rsidRPr="004255E9" w:rsidRDefault="000756EB" w:rsidP="004255E9">
            <w:pPr>
              <w:pStyle w:val="TableHeading"/>
              <w:jc w:val="right"/>
              <w:rPr>
                <w:rFonts w:asciiTheme="minorHAnsi" w:hAnsiTheme="minorHAnsi" w:cstheme="minorHAnsi"/>
                <w:lang w:val="en-AU"/>
              </w:rPr>
            </w:pPr>
          </w:p>
        </w:tc>
        <w:tc>
          <w:tcPr>
            <w:tcW w:w="1316" w:type="dxa"/>
          </w:tcPr>
          <w:p w14:paraId="6C77C84B" w14:textId="77777777" w:rsidR="000756EB" w:rsidRPr="004255E9" w:rsidRDefault="000756EB" w:rsidP="004255E9">
            <w:pPr>
              <w:pStyle w:val="TableHeading"/>
              <w:jc w:val="right"/>
              <w:rPr>
                <w:rFonts w:asciiTheme="minorHAnsi" w:hAnsiTheme="minorHAnsi" w:cstheme="minorHAnsi"/>
                <w:lang w:val="en-AU"/>
              </w:rPr>
            </w:pPr>
          </w:p>
        </w:tc>
        <w:tc>
          <w:tcPr>
            <w:tcW w:w="1418" w:type="dxa"/>
          </w:tcPr>
          <w:p w14:paraId="4A4BDBDB" w14:textId="77777777" w:rsidR="000756EB" w:rsidRPr="004255E9" w:rsidRDefault="000756EB" w:rsidP="004255E9">
            <w:pPr>
              <w:pStyle w:val="TableHeading"/>
              <w:jc w:val="right"/>
              <w:rPr>
                <w:rFonts w:asciiTheme="minorHAnsi" w:hAnsiTheme="minorHAnsi" w:cstheme="minorHAnsi"/>
                <w:lang w:val="en-AU"/>
              </w:rPr>
            </w:pPr>
          </w:p>
        </w:tc>
        <w:tc>
          <w:tcPr>
            <w:tcW w:w="1393" w:type="dxa"/>
          </w:tcPr>
          <w:p w14:paraId="5B3E4F14" w14:textId="77777777" w:rsidR="000756EB" w:rsidRPr="004255E9" w:rsidRDefault="000756EB" w:rsidP="004255E9">
            <w:pPr>
              <w:pStyle w:val="TableHeading"/>
              <w:jc w:val="right"/>
              <w:rPr>
                <w:rFonts w:asciiTheme="minorHAnsi" w:hAnsiTheme="minorHAnsi" w:cstheme="minorHAnsi"/>
                <w:lang w:val="en-AU"/>
              </w:rPr>
            </w:pPr>
          </w:p>
        </w:tc>
        <w:tc>
          <w:tcPr>
            <w:tcW w:w="1419" w:type="dxa"/>
          </w:tcPr>
          <w:p w14:paraId="006C8909" w14:textId="77777777" w:rsidR="000756EB" w:rsidRPr="004255E9" w:rsidRDefault="000756EB" w:rsidP="004255E9">
            <w:pPr>
              <w:pStyle w:val="TableHeading"/>
              <w:jc w:val="right"/>
              <w:rPr>
                <w:rFonts w:asciiTheme="minorHAnsi" w:hAnsiTheme="minorHAnsi" w:cstheme="minorHAnsi"/>
                <w:lang w:val="en-AU"/>
              </w:rPr>
            </w:pPr>
          </w:p>
        </w:tc>
      </w:tr>
      <w:tr w:rsidR="000756EB" w14:paraId="2125D862" w14:textId="77777777" w:rsidTr="001C5D4D">
        <w:trPr>
          <w:cantSplit/>
        </w:trPr>
        <w:tc>
          <w:tcPr>
            <w:tcW w:w="3539" w:type="dxa"/>
          </w:tcPr>
          <w:p w14:paraId="345C878F" w14:textId="4A3C5ADE" w:rsidR="000756EB" w:rsidRDefault="004A4D88" w:rsidP="004255E9">
            <w:pPr>
              <w:pStyle w:val="TableCopy"/>
            </w:pPr>
            <w:r>
              <w:t>Lease</w:t>
            </w:r>
            <w:r w:rsidR="00A03629">
              <w:t xml:space="preserve"> </w:t>
            </w:r>
            <w:r>
              <w:t>liabilities</w:t>
            </w:r>
          </w:p>
        </w:tc>
        <w:tc>
          <w:tcPr>
            <w:tcW w:w="1426" w:type="dxa"/>
          </w:tcPr>
          <w:p w14:paraId="5CC94347" w14:textId="77777777" w:rsidR="000756EB" w:rsidRDefault="004A4D88" w:rsidP="004255E9">
            <w:pPr>
              <w:pStyle w:val="TableCopy"/>
              <w:jc w:val="right"/>
            </w:pPr>
            <w:r>
              <w:t>7.71%</w:t>
            </w:r>
          </w:p>
        </w:tc>
        <w:tc>
          <w:tcPr>
            <w:tcW w:w="1316" w:type="dxa"/>
          </w:tcPr>
          <w:p w14:paraId="3026DBD4" w14:textId="2059A709" w:rsidR="000756EB" w:rsidRDefault="004A4D88" w:rsidP="004255E9">
            <w:pPr>
              <w:pStyle w:val="TableCopy"/>
              <w:jc w:val="right"/>
            </w:pPr>
            <w:r>
              <w:t>299,985</w:t>
            </w:r>
          </w:p>
        </w:tc>
        <w:tc>
          <w:tcPr>
            <w:tcW w:w="1418" w:type="dxa"/>
          </w:tcPr>
          <w:p w14:paraId="5DCC101B" w14:textId="2A69B713" w:rsidR="000756EB" w:rsidRDefault="004A4D88" w:rsidP="004255E9">
            <w:pPr>
              <w:pStyle w:val="TableCopy"/>
              <w:jc w:val="right"/>
            </w:pPr>
            <w:r>
              <w:t>299,985</w:t>
            </w:r>
          </w:p>
        </w:tc>
        <w:tc>
          <w:tcPr>
            <w:tcW w:w="1393" w:type="dxa"/>
          </w:tcPr>
          <w:p w14:paraId="7892CF92" w14:textId="21851BD3" w:rsidR="000756EB" w:rsidRDefault="004A4D88" w:rsidP="004255E9">
            <w:pPr>
              <w:pStyle w:val="TableCopy"/>
              <w:jc w:val="right"/>
            </w:pPr>
            <w:r>
              <w:t>–</w:t>
            </w:r>
          </w:p>
        </w:tc>
        <w:tc>
          <w:tcPr>
            <w:tcW w:w="1419" w:type="dxa"/>
          </w:tcPr>
          <w:p w14:paraId="3332063B" w14:textId="4D49984F" w:rsidR="000756EB" w:rsidRDefault="004A4D88" w:rsidP="004255E9">
            <w:pPr>
              <w:pStyle w:val="TableCopy"/>
              <w:jc w:val="right"/>
            </w:pPr>
            <w:r>
              <w:t>–</w:t>
            </w:r>
          </w:p>
        </w:tc>
      </w:tr>
      <w:tr w:rsidR="000756EB" w14:paraId="214FF33A" w14:textId="77777777" w:rsidTr="001C5D4D">
        <w:trPr>
          <w:cantSplit/>
        </w:trPr>
        <w:tc>
          <w:tcPr>
            <w:tcW w:w="3539" w:type="dxa"/>
          </w:tcPr>
          <w:p w14:paraId="43EADE00" w14:textId="39A7A78B" w:rsidR="000756EB" w:rsidRDefault="004A4D88" w:rsidP="004255E9">
            <w:pPr>
              <w:pStyle w:val="TableCopy"/>
            </w:pPr>
            <w:r>
              <w:t>Advances</w:t>
            </w:r>
            <w:r w:rsidR="00A03629">
              <w:t xml:space="preserve"> </w:t>
            </w:r>
            <w:r>
              <w:t>from</w:t>
            </w:r>
            <w:r w:rsidR="00A03629">
              <w:t xml:space="preserve"> </w:t>
            </w:r>
            <w:r>
              <w:t>government</w:t>
            </w:r>
          </w:p>
        </w:tc>
        <w:tc>
          <w:tcPr>
            <w:tcW w:w="1426" w:type="dxa"/>
          </w:tcPr>
          <w:p w14:paraId="24537AE5" w14:textId="77777777" w:rsidR="000756EB" w:rsidRDefault="000756EB" w:rsidP="004255E9">
            <w:pPr>
              <w:pStyle w:val="TableCopy"/>
              <w:jc w:val="right"/>
              <w:rPr>
                <w:rFonts w:cstheme="minorBidi"/>
                <w:lang w:val="en-AU"/>
              </w:rPr>
            </w:pPr>
          </w:p>
        </w:tc>
        <w:tc>
          <w:tcPr>
            <w:tcW w:w="1316" w:type="dxa"/>
          </w:tcPr>
          <w:p w14:paraId="319E7550" w14:textId="1B64FAAC" w:rsidR="000756EB" w:rsidRDefault="004A4D88" w:rsidP="004255E9">
            <w:pPr>
              <w:pStyle w:val="TableCopy"/>
              <w:jc w:val="right"/>
            </w:pPr>
            <w:r>
              <w:t>62,751</w:t>
            </w:r>
          </w:p>
        </w:tc>
        <w:tc>
          <w:tcPr>
            <w:tcW w:w="1418" w:type="dxa"/>
          </w:tcPr>
          <w:p w14:paraId="27075AE7" w14:textId="47431CC4" w:rsidR="000756EB" w:rsidRDefault="004A4D88" w:rsidP="004255E9">
            <w:pPr>
              <w:pStyle w:val="TableCopy"/>
              <w:jc w:val="right"/>
            </w:pPr>
            <w:r>
              <w:t>–</w:t>
            </w:r>
          </w:p>
        </w:tc>
        <w:tc>
          <w:tcPr>
            <w:tcW w:w="1393" w:type="dxa"/>
          </w:tcPr>
          <w:p w14:paraId="6037056A" w14:textId="219144A9" w:rsidR="000756EB" w:rsidRDefault="004A4D88" w:rsidP="004255E9">
            <w:pPr>
              <w:pStyle w:val="TableCopy"/>
              <w:jc w:val="right"/>
            </w:pPr>
            <w:r>
              <w:t>–</w:t>
            </w:r>
          </w:p>
        </w:tc>
        <w:tc>
          <w:tcPr>
            <w:tcW w:w="1419" w:type="dxa"/>
          </w:tcPr>
          <w:p w14:paraId="39D7A7DF" w14:textId="5D03D432" w:rsidR="000756EB" w:rsidRDefault="004A4D88" w:rsidP="004255E9">
            <w:pPr>
              <w:pStyle w:val="TableCopy"/>
              <w:jc w:val="right"/>
            </w:pPr>
            <w:r>
              <w:t>62,751</w:t>
            </w:r>
          </w:p>
        </w:tc>
      </w:tr>
      <w:tr w:rsidR="000756EB" w14:paraId="494765B3" w14:textId="77777777" w:rsidTr="001C5D4D">
        <w:trPr>
          <w:cantSplit/>
        </w:trPr>
        <w:tc>
          <w:tcPr>
            <w:tcW w:w="3539" w:type="dxa"/>
          </w:tcPr>
          <w:p w14:paraId="1332AA0D" w14:textId="75D2AD6F" w:rsidR="000756EB" w:rsidRDefault="004A4D88" w:rsidP="004255E9">
            <w:pPr>
              <w:pStyle w:val="TableCopy"/>
            </w:pPr>
            <w:r>
              <w:t>Advances</w:t>
            </w:r>
            <w:r w:rsidR="00A03629">
              <w:t xml:space="preserve"> </w:t>
            </w:r>
            <w:r>
              <w:t>from</w:t>
            </w:r>
            <w:r w:rsidR="00A03629">
              <w:t xml:space="preserve"> </w:t>
            </w:r>
            <w:r>
              <w:t>Commonwealth</w:t>
            </w:r>
          </w:p>
        </w:tc>
        <w:tc>
          <w:tcPr>
            <w:tcW w:w="1426" w:type="dxa"/>
          </w:tcPr>
          <w:p w14:paraId="19B26E1F" w14:textId="77777777" w:rsidR="000756EB" w:rsidRDefault="004A4D88" w:rsidP="004255E9">
            <w:pPr>
              <w:pStyle w:val="TableCopy"/>
              <w:jc w:val="right"/>
            </w:pPr>
            <w:r>
              <w:t>1.83%</w:t>
            </w:r>
          </w:p>
        </w:tc>
        <w:tc>
          <w:tcPr>
            <w:tcW w:w="1316" w:type="dxa"/>
          </w:tcPr>
          <w:p w14:paraId="6D3753FB" w14:textId="76F062F8" w:rsidR="000756EB" w:rsidRDefault="004A4D88" w:rsidP="004255E9">
            <w:pPr>
              <w:pStyle w:val="TableCopy"/>
              <w:jc w:val="right"/>
            </w:pPr>
            <w:r>
              <w:t>142,767</w:t>
            </w:r>
          </w:p>
        </w:tc>
        <w:tc>
          <w:tcPr>
            <w:tcW w:w="1418" w:type="dxa"/>
          </w:tcPr>
          <w:p w14:paraId="7E9DB147" w14:textId="65CCFE90" w:rsidR="000756EB" w:rsidRDefault="004A4D88" w:rsidP="004255E9">
            <w:pPr>
              <w:pStyle w:val="TableCopy"/>
              <w:jc w:val="right"/>
            </w:pPr>
            <w:r>
              <w:t>–</w:t>
            </w:r>
          </w:p>
        </w:tc>
        <w:tc>
          <w:tcPr>
            <w:tcW w:w="1393" w:type="dxa"/>
          </w:tcPr>
          <w:p w14:paraId="02A6DC9E" w14:textId="044ED26D" w:rsidR="000756EB" w:rsidRDefault="004A4D88" w:rsidP="004255E9">
            <w:pPr>
              <w:pStyle w:val="TableCopy"/>
              <w:jc w:val="right"/>
            </w:pPr>
            <w:r>
              <w:t>142,767</w:t>
            </w:r>
          </w:p>
        </w:tc>
        <w:tc>
          <w:tcPr>
            <w:tcW w:w="1419" w:type="dxa"/>
          </w:tcPr>
          <w:p w14:paraId="566A5B8F" w14:textId="05D8E654" w:rsidR="000756EB" w:rsidRDefault="004A4D88" w:rsidP="004255E9">
            <w:pPr>
              <w:pStyle w:val="TableCopy"/>
              <w:jc w:val="right"/>
            </w:pPr>
            <w:r>
              <w:t>–</w:t>
            </w:r>
          </w:p>
        </w:tc>
      </w:tr>
      <w:tr w:rsidR="000756EB" w:rsidRPr="004255E9" w14:paraId="1942DD3E" w14:textId="77777777" w:rsidTr="001C5D4D">
        <w:trPr>
          <w:cantSplit/>
        </w:trPr>
        <w:tc>
          <w:tcPr>
            <w:tcW w:w="3539" w:type="dxa"/>
          </w:tcPr>
          <w:p w14:paraId="53157252" w14:textId="21BAFB87" w:rsidR="000756EB" w:rsidRPr="004255E9" w:rsidRDefault="004A4D88" w:rsidP="004255E9">
            <w:pPr>
              <w:pStyle w:val="TableCopy"/>
              <w:rPr>
                <w:rFonts w:asciiTheme="minorHAnsi" w:hAnsiTheme="minorHAnsi" w:cstheme="minorHAnsi"/>
                <w:b/>
                <w:bCs/>
              </w:rPr>
            </w:pPr>
            <w:r w:rsidRPr="004255E9">
              <w:rPr>
                <w:rFonts w:asciiTheme="minorHAnsi" w:hAnsiTheme="minorHAnsi" w:cstheme="minorHAnsi"/>
                <w:b/>
                <w:bCs/>
              </w:rPr>
              <w:t>Total</w:t>
            </w:r>
            <w:r w:rsidR="00A03629" w:rsidRPr="004255E9">
              <w:rPr>
                <w:rFonts w:asciiTheme="minorHAnsi" w:hAnsiTheme="minorHAnsi" w:cstheme="minorHAnsi"/>
                <w:b/>
                <w:bCs/>
              </w:rPr>
              <w:t xml:space="preserve"> </w:t>
            </w:r>
            <w:r w:rsidRPr="004255E9">
              <w:rPr>
                <w:rFonts w:asciiTheme="minorHAnsi" w:hAnsiTheme="minorHAnsi" w:cstheme="minorHAnsi"/>
                <w:b/>
                <w:bCs/>
              </w:rPr>
              <w:t>financial</w:t>
            </w:r>
            <w:r w:rsidR="00A03629" w:rsidRPr="004255E9">
              <w:rPr>
                <w:rFonts w:asciiTheme="minorHAnsi" w:hAnsiTheme="minorHAnsi" w:cstheme="minorHAnsi"/>
                <w:b/>
                <w:bCs/>
              </w:rPr>
              <w:t xml:space="preserve"> </w:t>
            </w:r>
            <w:r w:rsidRPr="004255E9">
              <w:rPr>
                <w:rFonts w:asciiTheme="minorHAnsi" w:hAnsiTheme="minorHAnsi" w:cstheme="minorHAnsi"/>
                <w:b/>
                <w:bCs/>
              </w:rPr>
              <w:t>liabilities</w:t>
            </w:r>
          </w:p>
        </w:tc>
        <w:tc>
          <w:tcPr>
            <w:tcW w:w="1426" w:type="dxa"/>
          </w:tcPr>
          <w:p w14:paraId="78CF9C03" w14:textId="77777777" w:rsidR="000756EB" w:rsidRPr="004255E9" w:rsidRDefault="000756EB" w:rsidP="004255E9">
            <w:pPr>
              <w:pStyle w:val="TableCopy"/>
              <w:jc w:val="right"/>
              <w:rPr>
                <w:rFonts w:asciiTheme="minorHAnsi" w:hAnsiTheme="minorHAnsi" w:cstheme="minorHAnsi"/>
                <w:b/>
                <w:bCs/>
                <w:lang w:val="en-AU"/>
              </w:rPr>
            </w:pPr>
          </w:p>
        </w:tc>
        <w:tc>
          <w:tcPr>
            <w:tcW w:w="1316" w:type="dxa"/>
          </w:tcPr>
          <w:p w14:paraId="4FA11254" w14:textId="6D08CA47" w:rsidR="000756EB" w:rsidRPr="004255E9" w:rsidRDefault="004A4D88" w:rsidP="004255E9">
            <w:pPr>
              <w:pStyle w:val="TableCopy"/>
              <w:jc w:val="right"/>
              <w:rPr>
                <w:rFonts w:asciiTheme="minorHAnsi" w:hAnsiTheme="minorHAnsi" w:cstheme="minorHAnsi"/>
                <w:b/>
                <w:bCs/>
              </w:rPr>
            </w:pPr>
            <w:r w:rsidRPr="004255E9">
              <w:rPr>
                <w:rFonts w:asciiTheme="minorHAnsi" w:hAnsiTheme="minorHAnsi" w:cstheme="minorHAnsi"/>
                <w:b/>
                <w:bCs/>
              </w:rPr>
              <w:t>700,405</w:t>
            </w:r>
          </w:p>
        </w:tc>
        <w:tc>
          <w:tcPr>
            <w:tcW w:w="1418" w:type="dxa"/>
          </w:tcPr>
          <w:p w14:paraId="71490870" w14:textId="0544F49E" w:rsidR="000756EB" w:rsidRPr="004255E9" w:rsidRDefault="004A4D88" w:rsidP="004255E9">
            <w:pPr>
              <w:pStyle w:val="TableCopy"/>
              <w:jc w:val="right"/>
              <w:rPr>
                <w:rFonts w:asciiTheme="minorHAnsi" w:hAnsiTheme="minorHAnsi" w:cstheme="minorHAnsi"/>
                <w:b/>
                <w:bCs/>
              </w:rPr>
            </w:pPr>
            <w:r w:rsidRPr="004255E9">
              <w:rPr>
                <w:rFonts w:asciiTheme="minorHAnsi" w:hAnsiTheme="minorHAnsi" w:cstheme="minorHAnsi"/>
                <w:b/>
                <w:bCs/>
              </w:rPr>
              <w:t>348,021</w:t>
            </w:r>
          </w:p>
        </w:tc>
        <w:tc>
          <w:tcPr>
            <w:tcW w:w="1393" w:type="dxa"/>
          </w:tcPr>
          <w:p w14:paraId="19D5AE6B" w14:textId="4168F763" w:rsidR="000756EB" w:rsidRPr="004255E9" w:rsidRDefault="004A4D88" w:rsidP="004255E9">
            <w:pPr>
              <w:pStyle w:val="TableCopy"/>
              <w:jc w:val="right"/>
              <w:rPr>
                <w:rFonts w:asciiTheme="minorHAnsi" w:hAnsiTheme="minorHAnsi" w:cstheme="minorHAnsi"/>
                <w:b/>
                <w:bCs/>
              </w:rPr>
            </w:pPr>
            <w:r w:rsidRPr="004255E9">
              <w:rPr>
                <w:rFonts w:asciiTheme="minorHAnsi" w:hAnsiTheme="minorHAnsi" w:cstheme="minorHAnsi"/>
                <w:b/>
                <w:bCs/>
              </w:rPr>
              <w:t>142,767</w:t>
            </w:r>
          </w:p>
        </w:tc>
        <w:tc>
          <w:tcPr>
            <w:tcW w:w="1419" w:type="dxa"/>
          </w:tcPr>
          <w:p w14:paraId="359110EB" w14:textId="72E76E53" w:rsidR="000756EB" w:rsidRPr="004255E9" w:rsidRDefault="004A4D88" w:rsidP="004255E9">
            <w:pPr>
              <w:pStyle w:val="TableCopy"/>
              <w:jc w:val="right"/>
              <w:rPr>
                <w:rFonts w:asciiTheme="minorHAnsi" w:hAnsiTheme="minorHAnsi" w:cstheme="minorHAnsi"/>
                <w:b/>
                <w:bCs/>
              </w:rPr>
            </w:pPr>
            <w:r w:rsidRPr="004255E9">
              <w:rPr>
                <w:rFonts w:asciiTheme="minorHAnsi" w:hAnsiTheme="minorHAnsi" w:cstheme="minorHAnsi"/>
                <w:b/>
                <w:bCs/>
              </w:rPr>
              <w:t>209,617</w:t>
            </w:r>
          </w:p>
        </w:tc>
      </w:tr>
    </w:tbl>
    <w:p w14:paraId="0D2336E9" w14:textId="62CA026F" w:rsidR="000756EB" w:rsidRDefault="004255E9" w:rsidP="004255E9">
      <w:pPr>
        <w:pStyle w:val="FootnoteText"/>
        <w:spacing w:before="120" w:after="280"/>
      </w:pPr>
      <w:r>
        <w:t>(</w:t>
      </w:r>
      <w:proofErr w:type="spellStart"/>
      <w:r>
        <w:t>i</w:t>
      </w:r>
      <w:proofErr w:type="spellEnd"/>
      <w:r>
        <w:t>) The carrying amounts disclosed exclude statutory receivables and payables (e.g. amounts owing from Victorian Government, GST</w:t>
      </w:r>
      <w:r>
        <w:rPr>
          <w:rFonts w:ascii="Cambria" w:hAnsi="Cambria" w:cs="Cambria"/>
        </w:rPr>
        <w:t xml:space="preserve"> </w:t>
      </w:r>
      <w:r>
        <w:t>recoverable and GST payable).</w:t>
      </w:r>
    </w:p>
    <w:p w14:paraId="1AFE4F3B" w14:textId="620A59BE" w:rsidR="000756EB" w:rsidRPr="004255E9" w:rsidRDefault="004A4D88" w:rsidP="004255E9">
      <w:pPr>
        <w:pStyle w:val="Normalbeforebullets"/>
        <w:rPr>
          <w:b/>
          <w:bCs/>
        </w:rPr>
      </w:pPr>
      <w:r w:rsidRPr="004255E9">
        <w:rPr>
          <w:b/>
          <w:bCs/>
        </w:rPr>
        <w:t>Sensitivity</w:t>
      </w:r>
      <w:r w:rsidR="00A03629" w:rsidRPr="004255E9">
        <w:rPr>
          <w:b/>
          <w:bCs/>
        </w:rPr>
        <w:t xml:space="preserve"> </w:t>
      </w:r>
      <w:r w:rsidRPr="004255E9">
        <w:rPr>
          <w:b/>
          <w:bCs/>
        </w:rPr>
        <w:t>analysis</w:t>
      </w:r>
      <w:r w:rsidR="00A03629" w:rsidRPr="004255E9">
        <w:rPr>
          <w:b/>
          <w:bCs/>
        </w:rPr>
        <w:t xml:space="preserve"> </w:t>
      </w:r>
      <w:r w:rsidRPr="004255E9">
        <w:rPr>
          <w:b/>
          <w:bCs/>
        </w:rPr>
        <w:t>disclosure</w:t>
      </w:r>
    </w:p>
    <w:p w14:paraId="293241F5" w14:textId="11205B7D" w:rsidR="000756EB" w:rsidRDefault="004A4D88" w:rsidP="004255E9">
      <w:r>
        <w:t>DJSIR’s</w:t>
      </w:r>
      <w:r w:rsidR="00A03629">
        <w:t xml:space="preserve"> </w:t>
      </w:r>
      <w:r>
        <w:t>sensitivity</w:t>
      </w:r>
      <w:r w:rsidR="00A03629">
        <w:t xml:space="preserve"> </w:t>
      </w:r>
      <w:r>
        <w:t>to</w:t>
      </w:r>
      <w:r w:rsidR="00A03629">
        <w:t xml:space="preserve"> </w:t>
      </w:r>
      <w:r>
        <w:t>market</w:t>
      </w:r>
      <w:r w:rsidR="00A03629">
        <w:t xml:space="preserve"> </w:t>
      </w:r>
      <w:r>
        <w:t>risk</w:t>
      </w:r>
      <w:r w:rsidR="00A03629">
        <w:t xml:space="preserve"> </w:t>
      </w:r>
      <w:r>
        <w:t>is</w:t>
      </w:r>
      <w:r w:rsidR="00A03629">
        <w:t xml:space="preserve"> </w:t>
      </w:r>
      <w:r>
        <w:t>determined</w:t>
      </w:r>
      <w:r w:rsidR="00A03629">
        <w:t xml:space="preserve"> </w:t>
      </w:r>
      <w:r>
        <w:t>based</w:t>
      </w:r>
      <w:r w:rsidR="00A03629">
        <w:t xml:space="preserve"> </w:t>
      </w:r>
      <w:r>
        <w:t>on</w:t>
      </w:r>
      <w:r w:rsidR="00A03629">
        <w:t xml:space="preserve"> </w:t>
      </w:r>
      <w:r>
        <w:t>the</w:t>
      </w:r>
      <w:r w:rsidR="00A03629">
        <w:t xml:space="preserve"> </w:t>
      </w:r>
      <w:r>
        <w:t>observed</w:t>
      </w:r>
      <w:r w:rsidR="00A03629">
        <w:t xml:space="preserve"> </w:t>
      </w:r>
      <w:r>
        <w:t>range</w:t>
      </w:r>
      <w:r w:rsidR="00A03629">
        <w:t xml:space="preserve"> </w:t>
      </w:r>
      <w:r>
        <w:t>of</w:t>
      </w:r>
      <w:r w:rsidR="00A03629">
        <w:t xml:space="preserve"> </w:t>
      </w:r>
      <w:r>
        <w:t>actual</w:t>
      </w:r>
      <w:r w:rsidR="00A03629">
        <w:t xml:space="preserve"> </w:t>
      </w:r>
      <w:r>
        <w:t>historical</w:t>
      </w:r>
      <w:r w:rsidR="00A03629">
        <w:t xml:space="preserve"> </w:t>
      </w:r>
      <w:r>
        <w:t>data</w:t>
      </w:r>
      <w:r w:rsidR="00A03629">
        <w:t xml:space="preserve"> </w:t>
      </w:r>
      <w:r>
        <w:t>for</w:t>
      </w:r>
      <w:r w:rsidR="00A03629">
        <w:t xml:space="preserve"> </w:t>
      </w:r>
      <w:r>
        <w:t>the</w:t>
      </w:r>
      <w:r w:rsidR="00A03629">
        <w:rPr>
          <w:rFonts w:ascii="Cambria" w:hAnsi="Cambria" w:cs="Cambria"/>
        </w:rPr>
        <w:t xml:space="preserve"> </w:t>
      </w:r>
      <w:r>
        <w:t>preceding</w:t>
      </w:r>
      <w:r w:rsidR="00A03629">
        <w:t xml:space="preserve"> </w:t>
      </w:r>
      <w:proofErr w:type="gramStart"/>
      <w:r>
        <w:t>five</w:t>
      </w:r>
      <w:r w:rsidR="00A03629">
        <w:t xml:space="preserve"> </w:t>
      </w:r>
      <w:r>
        <w:t>year</w:t>
      </w:r>
      <w:proofErr w:type="gramEnd"/>
      <w:r w:rsidR="00A03629">
        <w:t xml:space="preserve"> </w:t>
      </w:r>
      <w:r>
        <w:t>period.</w:t>
      </w:r>
      <w:r w:rsidR="00A03629">
        <w:t xml:space="preserve"> </w:t>
      </w:r>
      <w:r>
        <w:t>The</w:t>
      </w:r>
      <w:r w:rsidR="00A03629">
        <w:t xml:space="preserve"> </w:t>
      </w:r>
      <w:r>
        <w:t>following</w:t>
      </w:r>
      <w:r w:rsidR="00A03629">
        <w:t xml:space="preserve"> </w:t>
      </w:r>
      <w:r>
        <w:t>movements</w:t>
      </w:r>
      <w:r w:rsidR="00A03629">
        <w:t xml:space="preserve"> </w:t>
      </w:r>
      <w:r>
        <w:t>are</w:t>
      </w:r>
      <w:r w:rsidR="00A03629">
        <w:t xml:space="preserve"> </w:t>
      </w:r>
      <w:r>
        <w:t>“reasonably</w:t>
      </w:r>
      <w:r w:rsidR="00A03629">
        <w:t xml:space="preserve"> </w:t>
      </w:r>
      <w:r>
        <w:t>possible”</w:t>
      </w:r>
      <w:r w:rsidR="00A03629">
        <w:t xml:space="preserve"> </w:t>
      </w:r>
      <w:r>
        <w:t>over</w:t>
      </w:r>
      <w:r w:rsidR="00A03629">
        <w:t xml:space="preserve"> </w:t>
      </w:r>
      <w:r>
        <w:t>the</w:t>
      </w:r>
      <w:r w:rsidR="00A03629">
        <w:t xml:space="preserve"> </w:t>
      </w:r>
      <w:r>
        <w:t>next</w:t>
      </w:r>
      <w:r w:rsidR="00A03629">
        <w:t xml:space="preserve"> </w:t>
      </w:r>
      <w:r>
        <w:t>12</w:t>
      </w:r>
      <w:r w:rsidR="00A03629">
        <w:t xml:space="preserve"> </w:t>
      </w:r>
      <w:r>
        <w:t>months.</w:t>
      </w:r>
    </w:p>
    <w:p w14:paraId="08191E56" w14:textId="23804D12" w:rsidR="000756EB" w:rsidRDefault="004A4D88" w:rsidP="004255E9">
      <w:pPr>
        <w:rPr>
          <w:rFonts w:ascii="VIC Light" w:hAnsi="VIC Light" w:cs="VIC Light"/>
        </w:rPr>
      </w:pPr>
      <w:r>
        <w:t>A</w:t>
      </w:r>
      <w:r w:rsidR="00A03629">
        <w:t xml:space="preserve"> </w:t>
      </w:r>
      <w:r>
        <w:t>shift</w:t>
      </w:r>
      <w:r w:rsidR="00A03629">
        <w:t xml:space="preserve"> </w:t>
      </w:r>
      <w:r>
        <w:t>of</w:t>
      </w:r>
      <w:r w:rsidR="00A03629">
        <w:t xml:space="preserve"> </w:t>
      </w:r>
      <w:r>
        <w:t>+100</w:t>
      </w:r>
      <w:r w:rsidR="00A03629">
        <w:t xml:space="preserve"> </w:t>
      </w:r>
      <w:r>
        <w:t>basis</w:t>
      </w:r>
      <w:r w:rsidR="00A03629">
        <w:t xml:space="preserve"> </w:t>
      </w:r>
      <w:r>
        <w:t>points</w:t>
      </w:r>
      <w:r w:rsidR="00A03629">
        <w:t xml:space="preserve"> </w:t>
      </w:r>
      <w:r>
        <w:t>(1%)</w:t>
      </w:r>
      <w:r w:rsidR="00A03629">
        <w:t xml:space="preserve"> </w:t>
      </w:r>
      <w:r>
        <w:t>per</w:t>
      </w:r>
      <w:r w:rsidR="00A03629">
        <w:t xml:space="preserve"> </w:t>
      </w:r>
      <w:r>
        <w:t>cent</w:t>
      </w:r>
      <w:r w:rsidR="00A03629">
        <w:t xml:space="preserve"> </w:t>
      </w:r>
      <w:r>
        <w:t>and</w:t>
      </w:r>
      <w:r w:rsidR="00A03629">
        <w:t xml:space="preserve"> </w:t>
      </w:r>
      <w:r>
        <w:t>-100</w:t>
      </w:r>
      <w:r w:rsidR="00A03629">
        <w:t xml:space="preserve"> </w:t>
      </w:r>
      <w:r>
        <w:t>basis</w:t>
      </w:r>
      <w:r w:rsidR="00A03629">
        <w:t xml:space="preserve"> </w:t>
      </w:r>
      <w:r>
        <w:t>points</w:t>
      </w:r>
      <w:r w:rsidR="00A03629">
        <w:t xml:space="preserve"> </w:t>
      </w:r>
      <w:r>
        <w:t>(1%)</w:t>
      </w:r>
      <w:r w:rsidR="00A03629">
        <w:t xml:space="preserve"> </w:t>
      </w:r>
      <w:r>
        <w:t>per</w:t>
      </w:r>
      <w:r w:rsidR="00A03629">
        <w:t xml:space="preserve"> </w:t>
      </w:r>
      <w:r>
        <w:t>cent</w:t>
      </w:r>
      <w:r w:rsidR="00A03629">
        <w:t xml:space="preserve"> </w:t>
      </w:r>
      <w:r>
        <w:t>in</w:t>
      </w:r>
      <w:r w:rsidR="00A03629">
        <w:t xml:space="preserve"> </w:t>
      </w:r>
      <w:r>
        <w:t>market</w:t>
      </w:r>
      <w:r w:rsidR="00A03629">
        <w:t xml:space="preserve"> </w:t>
      </w:r>
      <w:r>
        <w:t>interest</w:t>
      </w:r>
      <w:r w:rsidR="00A03629">
        <w:t xml:space="preserve"> </w:t>
      </w:r>
      <w:r>
        <w:t>rates</w:t>
      </w:r>
      <w:r w:rsidR="00A03629">
        <w:t xml:space="preserve"> </w:t>
      </w:r>
      <w:r>
        <w:t>(AUD)</w:t>
      </w:r>
      <w:r w:rsidR="00A03629">
        <w:t xml:space="preserve"> </w:t>
      </w:r>
      <w:r>
        <w:t>from</w:t>
      </w:r>
      <w:r w:rsidR="00A03629">
        <w:t xml:space="preserve"> </w:t>
      </w:r>
      <w:r>
        <w:t>year-end</w:t>
      </w:r>
      <w:r w:rsidR="00A03629">
        <w:t xml:space="preserve"> </w:t>
      </w:r>
      <w:r>
        <w:t>rates</w:t>
      </w:r>
      <w:r w:rsidR="00A03629">
        <w:t xml:space="preserve"> </w:t>
      </w:r>
      <w:r>
        <w:t>will</w:t>
      </w:r>
      <w:r w:rsidR="00A03629">
        <w:t xml:space="preserve"> </w:t>
      </w:r>
      <w:r>
        <w:t>result</w:t>
      </w:r>
      <w:r w:rsidR="00A03629">
        <w:t xml:space="preserve"> </w:t>
      </w:r>
      <w:r>
        <w:t>in</w:t>
      </w:r>
      <w:r w:rsidR="00A03629">
        <w:t xml:space="preserve"> </w:t>
      </w:r>
      <w:r>
        <w:t>an</w:t>
      </w:r>
      <w:r w:rsidR="00A03629">
        <w:t xml:space="preserve"> </w:t>
      </w:r>
      <w:r>
        <w:t>impact</w:t>
      </w:r>
      <w:r w:rsidR="00A03629">
        <w:t xml:space="preserve"> </w:t>
      </w:r>
      <w:r>
        <w:t>on</w:t>
      </w:r>
      <w:r w:rsidR="00A03629">
        <w:t xml:space="preserve"> </w:t>
      </w:r>
      <w:r>
        <w:t>cash</w:t>
      </w:r>
      <w:r w:rsidR="00A03629">
        <w:t xml:space="preserve"> </w:t>
      </w:r>
      <w:r>
        <w:t>and</w:t>
      </w:r>
      <w:r w:rsidR="00A03629">
        <w:t xml:space="preserve"> </w:t>
      </w:r>
      <w:r>
        <w:t>deposits</w:t>
      </w:r>
      <w:r w:rsidR="00A03629">
        <w:t xml:space="preserve"> </w:t>
      </w:r>
      <w:r>
        <w:t>of</w:t>
      </w:r>
      <w:r w:rsidR="00A03629">
        <w:t xml:space="preserve"> </w:t>
      </w:r>
      <w:r>
        <w:t>$3.2m</w:t>
      </w:r>
      <w:r w:rsidR="00A03629">
        <w:t xml:space="preserve"> </w:t>
      </w:r>
      <w:r>
        <w:t>(2022;</w:t>
      </w:r>
      <w:r w:rsidR="00A03629">
        <w:t xml:space="preserve"> </w:t>
      </w:r>
      <w:r>
        <w:t>$4.2m).</w:t>
      </w:r>
    </w:p>
    <w:p w14:paraId="46AD83E9" w14:textId="28C3B424" w:rsidR="000756EB" w:rsidRDefault="004A4D88" w:rsidP="004255E9">
      <w:pPr>
        <w:pStyle w:val="Heading2"/>
      </w:pPr>
      <w:bookmarkStart w:id="125" w:name="_Toc149911834"/>
      <w:r>
        <w:lastRenderedPageBreak/>
        <w:t>8.2</w:t>
      </w:r>
      <w:r w:rsidR="00DE38B5">
        <w:t xml:space="preserve"> </w:t>
      </w:r>
      <w:r>
        <w:t>Contingent</w:t>
      </w:r>
      <w:r w:rsidR="00A03629">
        <w:t xml:space="preserve"> </w:t>
      </w:r>
      <w:r>
        <w:t>assets</w:t>
      </w:r>
      <w:r w:rsidR="00A03629">
        <w:t xml:space="preserve"> </w:t>
      </w:r>
      <w:r>
        <w:t>and</w:t>
      </w:r>
      <w:r w:rsidR="00A03629">
        <w:rPr>
          <w:rFonts w:ascii="Cambria" w:hAnsi="Cambria" w:cs="Cambria"/>
        </w:rPr>
        <w:t xml:space="preserve"> </w:t>
      </w:r>
      <w:r>
        <w:t>contingent</w:t>
      </w:r>
      <w:r w:rsidR="00A03629">
        <w:t xml:space="preserve"> </w:t>
      </w:r>
      <w:r>
        <w:t>liabilities</w:t>
      </w:r>
      <w:bookmarkEnd w:id="125"/>
    </w:p>
    <w:p w14:paraId="09AA641B" w14:textId="3C87055B" w:rsidR="000756EB" w:rsidRDefault="004A4D88" w:rsidP="004255E9">
      <w:r>
        <w:t>Contingent</w:t>
      </w:r>
      <w:r w:rsidR="00A03629">
        <w:t xml:space="preserve"> </w:t>
      </w:r>
      <w:r>
        <w:t>assets</w:t>
      </w:r>
      <w:r w:rsidR="00A03629">
        <w:t xml:space="preserve"> </w:t>
      </w:r>
      <w:r>
        <w:t>and</w:t>
      </w:r>
      <w:r w:rsidR="00A03629">
        <w:t xml:space="preserve"> </w:t>
      </w:r>
      <w:r>
        <w:t>contingent</w:t>
      </w:r>
      <w:r w:rsidR="00A03629">
        <w:t xml:space="preserve"> </w:t>
      </w:r>
      <w:r>
        <w:t>liabilities</w:t>
      </w:r>
      <w:r w:rsidR="00A03629">
        <w:t xml:space="preserve"> </w:t>
      </w:r>
      <w:r>
        <w:t>are</w:t>
      </w:r>
      <w:r w:rsidR="00A03629">
        <w:t xml:space="preserve"> </w:t>
      </w:r>
      <w:r>
        <w:t>not</w:t>
      </w:r>
      <w:r w:rsidR="00A03629">
        <w:t xml:space="preserve"> </w:t>
      </w:r>
      <w:r>
        <w:t>recognised</w:t>
      </w:r>
      <w:r w:rsidR="00A03629">
        <w:t xml:space="preserve"> </w:t>
      </w:r>
      <w:r>
        <w:t>in</w:t>
      </w:r>
      <w:r w:rsidR="00A03629">
        <w:t xml:space="preserve"> </w:t>
      </w:r>
      <w:r>
        <w:t>the</w:t>
      </w:r>
      <w:r w:rsidR="00A03629">
        <w:t xml:space="preserve"> </w:t>
      </w:r>
      <w:r>
        <w:t>balance</w:t>
      </w:r>
      <w:r w:rsidR="00A03629">
        <w:t xml:space="preserve"> </w:t>
      </w:r>
      <w:r>
        <w:t>sheet,</w:t>
      </w:r>
      <w:r w:rsidR="00A03629">
        <w:t xml:space="preserve"> </w:t>
      </w:r>
      <w:r>
        <w:t>but</w:t>
      </w:r>
      <w:r w:rsidR="00A03629">
        <w:t xml:space="preserve"> </w:t>
      </w:r>
      <w:r>
        <w:t>are</w:t>
      </w:r>
      <w:r w:rsidR="00A03629">
        <w:t xml:space="preserve"> </w:t>
      </w:r>
      <w:r>
        <w:t>disclosed</w:t>
      </w:r>
      <w:r w:rsidR="00A03629">
        <w:t xml:space="preserve"> </w:t>
      </w:r>
      <w:r>
        <w:t>by</w:t>
      </w:r>
      <w:r w:rsidR="00A03629">
        <w:t xml:space="preserve"> </w:t>
      </w:r>
      <w:r>
        <w:t>way</w:t>
      </w:r>
      <w:r w:rsidR="00A03629">
        <w:t xml:space="preserve"> </w:t>
      </w:r>
      <w:r>
        <w:t>of</w:t>
      </w:r>
      <w:r w:rsidR="00A03629">
        <w:t xml:space="preserve"> </w:t>
      </w:r>
      <w:r>
        <w:t>a</w:t>
      </w:r>
      <w:r w:rsidR="00A03629">
        <w:t xml:space="preserve"> </w:t>
      </w:r>
      <w:r>
        <w:t>note</w:t>
      </w:r>
      <w:r w:rsidR="00A03629">
        <w:t xml:space="preserve"> </w:t>
      </w:r>
      <w:r>
        <w:t>and,</w:t>
      </w:r>
      <w:r w:rsidR="00A03629">
        <w:t xml:space="preserve"> </w:t>
      </w:r>
      <w:r>
        <w:t>if</w:t>
      </w:r>
      <w:r w:rsidR="00A03629">
        <w:t xml:space="preserve"> </w:t>
      </w:r>
      <w:r>
        <w:t>quantifiable,</w:t>
      </w:r>
      <w:r w:rsidR="00A03629">
        <w:t xml:space="preserve"> </w:t>
      </w:r>
      <w:r>
        <w:t>are</w:t>
      </w:r>
      <w:r w:rsidR="00A03629">
        <w:t xml:space="preserve"> </w:t>
      </w:r>
      <w:r>
        <w:t>measured</w:t>
      </w:r>
      <w:r w:rsidR="00A03629">
        <w:t xml:space="preserve"> </w:t>
      </w:r>
      <w:r>
        <w:t>at</w:t>
      </w:r>
      <w:r w:rsidR="00A03629">
        <w:t xml:space="preserve"> </w:t>
      </w:r>
      <w:r>
        <w:t>nominal</w:t>
      </w:r>
      <w:r w:rsidR="00A03629">
        <w:t xml:space="preserve"> </w:t>
      </w:r>
      <w:r>
        <w:t>value.</w:t>
      </w:r>
      <w:r w:rsidR="00A03629">
        <w:t xml:space="preserve"> </w:t>
      </w:r>
      <w:r>
        <w:t>Contingent</w:t>
      </w:r>
      <w:r w:rsidR="00A03629">
        <w:t xml:space="preserve"> </w:t>
      </w:r>
      <w:r>
        <w:t>assets</w:t>
      </w:r>
      <w:r w:rsidR="00A03629">
        <w:t xml:space="preserve"> </w:t>
      </w:r>
      <w:r>
        <w:t>and</w:t>
      </w:r>
      <w:r w:rsidR="00A03629">
        <w:t xml:space="preserve"> </w:t>
      </w:r>
      <w:r>
        <w:t>liabilities</w:t>
      </w:r>
      <w:r w:rsidR="00A03629">
        <w:t xml:space="preserve"> </w:t>
      </w:r>
      <w:r>
        <w:t>are</w:t>
      </w:r>
      <w:r w:rsidR="00A03629">
        <w:t xml:space="preserve"> </w:t>
      </w:r>
      <w:r>
        <w:t>presented</w:t>
      </w:r>
      <w:r w:rsidR="00A03629">
        <w:t xml:space="preserve"> </w:t>
      </w:r>
      <w:r>
        <w:t>inclusive</w:t>
      </w:r>
      <w:r w:rsidR="00A03629">
        <w:t xml:space="preserve"> </w:t>
      </w:r>
      <w:r>
        <w:t>of</w:t>
      </w:r>
      <w:r w:rsidR="00A03629">
        <w:t xml:space="preserve"> </w:t>
      </w:r>
      <w:r>
        <w:t>GST</w:t>
      </w:r>
      <w:r w:rsidR="00A03629">
        <w:t xml:space="preserve"> </w:t>
      </w:r>
      <w:r>
        <w:t>receivable</w:t>
      </w:r>
      <w:r w:rsidR="00A03629">
        <w:t xml:space="preserve"> </w:t>
      </w:r>
      <w:r>
        <w:t>or</w:t>
      </w:r>
      <w:r w:rsidR="00A03629">
        <w:t xml:space="preserve"> </w:t>
      </w:r>
      <w:r>
        <w:t>payable</w:t>
      </w:r>
      <w:r w:rsidR="00A03629">
        <w:rPr>
          <w:rFonts w:ascii="Cambria" w:hAnsi="Cambria" w:cs="Cambria"/>
        </w:rPr>
        <w:t xml:space="preserve"> </w:t>
      </w:r>
      <w:r>
        <w:t>respectively.</w:t>
      </w:r>
    </w:p>
    <w:p w14:paraId="68CF06D8" w14:textId="585994B4" w:rsidR="000756EB" w:rsidRPr="004255E9" w:rsidRDefault="004A4D88" w:rsidP="004255E9">
      <w:pPr>
        <w:pStyle w:val="Normalbeforebullets"/>
        <w:rPr>
          <w:b/>
          <w:bCs/>
        </w:rPr>
      </w:pPr>
      <w:r w:rsidRPr="004255E9">
        <w:rPr>
          <w:b/>
          <w:bCs/>
        </w:rPr>
        <w:t>Contingent</w:t>
      </w:r>
      <w:r w:rsidR="00A03629" w:rsidRPr="004255E9">
        <w:rPr>
          <w:b/>
          <w:bCs/>
        </w:rPr>
        <w:t xml:space="preserve"> </w:t>
      </w:r>
      <w:r w:rsidRPr="004255E9">
        <w:rPr>
          <w:b/>
          <w:bCs/>
        </w:rPr>
        <w:t>assets</w:t>
      </w:r>
      <w:r w:rsidR="00A03629" w:rsidRPr="004255E9">
        <w:rPr>
          <w:b/>
          <w:bCs/>
        </w:rPr>
        <w:t xml:space="preserve"> </w:t>
      </w:r>
    </w:p>
    <w:p w14:paraId="69467EA8" w14:textId="1BAF8982" w:rsidR="000756EB" w:rsidRDefault="004A4D88" w:rsidP="004255E9">
      <w:r>
        <w:t>Contingent</w:t>
      </w:r>
      <w:r w:rsidR="00A03629">
        <w:t xml:space="preserve"> </w:t>
      </w:r>
      <w:r>
        <w:t>assets</w:t>
      </w:r>
      <w:r w:rsidR="00A03629">
        <w:t xml:space="preserve"> </w:t>
      </w:r>
      <w:r>
        <w:t>are</w:t>
      </w:r>
      <w:r w:rsidR="00A03629">
        <w:t xml:space="preserve"> </w:t>
      </w:r>
      <w:r>
        <w:t>possible</w:t>
      </w:r>
      <w:r w:rsidR="00A03629">
        <w:t xml:space="preserve"> </w:t>
      </w:r>
      <w:r>
        <w:t>assets</w:t>
      </w:r>
      <w:r w:rsidR="00A03629">
        <w:t xml:space="preserve"> </w:t>
      </w:r>
      <w:r>
        <w:t>that</w:t>
      </w:r>
      <w:r w:rsidR="00A03629">
        <w:t xml:space="preserve"> </w:t>
      </w:r>
      <w:r>
        <w:t>arise</w:t>
      </w:r>
      <w:r w:rsidR="00A03629">
        <w:t xml:space="preserve"> </w:t>
      </w:r>
      <w:r>
        <w:t>from</w:t>
      </w:r>
      <w:r w:rsidR="00A03629">
        <w:t xml:space="preserve"> </w:t>
      </w:r>
      <w:r>
        <w:t>past</w:t>
      </w:r>
      <w:r w:rsidR="00A03629">
        <w:t xml:space="preserve"> </w:t>
      </w:r>
      <w:r>
        <w:t>events,</w:t>
      </w:r>
      <w:r w:rsidR="00A03629">
        <w:t xml:space="preserve"> </w:t>
      </w:r>
      <w:r>
        <w:t>whose</w:t>
      </w:r>
      <w:r w:rsidR="00A03629">
        <w:t xml:space="preserve"> </w:t>
      </w:r>
      <w:r>
        <w:t>existence</w:t>
      </w:r>
      <w:r w:rsidR="00A03629">
        <w:t xml:space="preserve"> </w:t>
      </w:r>
      <w:r>
        <w:t>will</w:t>
      </w:r>
      <w:r w:rsidR="00A03629">
        <w:t xml:space="preserve"> </w:t>
      </w:r>
      <w:r>
        <w:t>be</w:t>
      </w:r>
      <w:r w:rsidR="00A03629">
        <w:t xml:space="preserve"> </w:t>
      </w:r>
      <w:r>
        <w:t>confirmed</w:t>
      </w:r>
      <w:r w:rsidR="00A03629">
        <w:t xml:space="preserve"> </w:t>
      </w:r>
      <w:r>
        <w:t>only</w:t>
      </w:r>
      <w:r w:rsidR="00A03629">
        <w:t xml:space="preserve"> </w:t>
      </w:r>
      <w:r>
        <w:t>by</w:t>
      </w:r>
      <w:r w:rsidR="00A03629">
        <w:t xml:space="preserve"> </w:t>
      </w:r>
      <w:r>
        <w:t>the</w:t>
      </w:r>
      <w:r w:rsidR="00A03629">
        <w:t xml:space="preserve"> </w:t>
      </w:r>
      <w:r>
        <w:t>occurrence</w:t>
      </w:r>
      <w:r w:rsidR="00A03629">
        <w:t xml:space="preserve"> </w:t>
      </w:r>
      <w:r>
        <w:t>or</w:t>
      </w:r>
      <w:r w:rsidR="00A03629">
        <w:t xml:space="preserve"> </w:t>
      </w:r>
      <w:r>
        <w:t>non-occurrence</w:t>
      </w:r>
      <w:r w:rsidR="00A03629">
        <w:t xml:space="preserve"> </w:t>
      </w:r>
      <w:r>
        <w:t>of</w:t>
      </w:r>
      <w:r w:rsidR="00A03629">
        <w:t xml:space="preserve"> </w:t>
      </w:r>
      <w:r>
        <w:t>one</w:t>
      </w:r>
      <w:r w:rsidR="00A03629">
        <w:t xml:space="preserve"> </w:t>
      </w:r>
      <w:r>
        <w:t>or</w:t>
      </w:r>
      <w:r w:rsidR="00A03629">
        <w:t xml:space="preserve"> </w:t>
      </w:r>
      <w:r>
        <w:t>more</w:t>
      </w:r>
      <w:r w:rsidR="00A03629">
        <w:t xml:space="preserve"> </w:t>
      </w:r>
      <w:r>
        <w:t>uncertain</w:t>
      </w:r>
      <w:r w:rsidR="00A03629">
        <w:t xml:space="preserve"> </w:t>
      </w:r>
      <w:r>
        <w:t>future</w:t>
      </w:r>
      <w:r w:rsidR="00A03629">
        <w:t xml:space="preserve"> </w:t>
      </w:r>
      <w:r>
        <w:t>events</w:t>
      </w:r>
      <w:r w:rsidR="00A03629">
        <w:t xml:space="preserve"> </w:t>
      </w:r>
      <w:r>
        <w:t>not</w:t>
      </w:r>
      <w:r w:rsidR="00A03629">
        <w:t xml:space="preserve"> </w:t>
      </w:r>
      <w:r>
        <w:t>wholly</w:t>
      </w:r>
      <w:r w:rsidR="00A03629">
        <w:t xml:space="preserve"> </w:t>
      </w:r>
      <w:r>
        <w:t>within</w:t>
      </w:r>
      <w:r w:rsidR="00A03629">
        <w:t xml:space="preserve"> </w:t>
      </w:r>
      <w:r>
        <w:t>the</w:t>
      </w:r>
      <w:r w:rsidR="00A03629">
        <w:t xml:space="preserve"> </w:t>
      </w:r>
      <w:r>
        <w:t>control</w:t>
      </w:r>
      <w:r w:rsidR="00A03629">
        <w:t xml:space="preserve"> </w:t>
      </w:r>
      <w:r>
        <w:t>of</w:t>
      </w:r>
      <w:r w:rsidR="00A03629">
        <w:t xml:space="preserve"> </w:t>
      </w:r>
      <w:r>
        <w:t>DJSIR.</w:t>
      </w:r>
    </w:p>
    <w:p w14:paraId="5075EC57" w14:textId="562E8DB5" w:rsidR="000756EB" w:rsidRDefault="004A4D88" w:rsidP="004255E9">
      <w:r>
        <w:t>DJSIR</w:t>
      </w:r>
      <w:r w:rsidR="00A03629">
        <w:t xml:space="preserve"> </w:t>
      </w:r>
      <w:r>
        <w:t>did</w:t>
      </w:r>
      <w:r w:rsidR="00A03629">
        <w:t xml:space="preserve"> </w:t>
      </w:r>
      <w:r>
        <w:t>not</w:t>
      </w:r>
      <w:r w:rsidR="00A03629">
        <w:t xml:space="preserve"> </w:t>
      </w:r>
      <w:r>
        <w:t>have</w:t>
      </w:r>
      <w:r w:rsidR="00A03629">
        <w:t xml:space="preserve"> </w:t>
      </w:r>
      <w:r>
        <w:t>any</w:t>
      </w:r>
      <w:r w:rsidR="00A03629">
        <w:t xml:space="preserve"> </w:t>
      </w:r>
      <w:r>
        <w:t>significant</w:t>
      </w:r>
      <w:r w:rsidR="00A03629">
        <w:t xml:space="preserve"> </w:t>
      </w:r>
      <w:r>
        <w:t>contingent</w:t>
      </w:r>
      <w:r w:rsidR="00A03629">
        <w:t xml:space="preserve"> </w:t>
      </w:r>
      <w:r>
        <w:t>assets</w:t>
      </w:r>
      <w:r w:rsidR="00A03629">
        <w:rPr>
          <w:rFonts w:ascii="Cambria" w:hAnsi="Cambria" w:cs="Cambria"/>
        </w:rPr>
        <w:t xml:space="preserve"> </w:t>
      </w:r>
      <w:r>
        <w:t>as</w:t>
      </w:r>
      <w:r w:rsidR="00A03629">
        <w:t xml:space="preserve"> </w:t>
      </w:r>
      <w:proofErr w:type="gramStart"/>
      <w:r>
        <w:t>at</w:t>
      </w:r>
      <w:proofErr w:type="gramEnd"/>
      <w:r w:rsidR="00A03629">
        <w:t xml:space="preserve"> </w:t>
      </w:r>
      <w:r>
        <w:t>30</w:t>
      </w:r>
      <w:r w:rsidR="00A03629">
        <w:t xml:space="preserve"> </w:t>
      </w:r>
      <w:r>
        <w:t>June</w:t>
      </w:r>
      <w:r w:rsidR="00A03629">
        <w:t xml:space="preserve"> </w:t>
      </w:r>
      <w:r>
        <w:t>2023</w:t>
      </w:r>
      <w:r w:rsidR="00A03629">
        <w:t xml:space="preserve"> </w:t>
      </w:r>
      <w:r>
        <w:t>(2022:</w:t>
      </w:r>
      <w:r w:rsidR="00A03629">
        <w:t xml:space="preserve"> </w:t>
      </w:r>
      <w:r>
        <w:t>$nil).</w:t>
      </w:r>
    </w:p>
    <w:p w14:paraId="1B79C50B" w14:textId="2344C2E5" w:rsidR="000756EB" w:rsidRPr="004255E9" w:rsidRDefault="004A4D88" w:rsidP="004255E9">
      <w:pPr>
        <w:pStyle w:val="Normalbeforebullets"/>
        <w:rPr>
          <w:b/>
          <w:bCs/>
        </w:rPr>
      </w:pPr>
      <w:r w:rsidRPr="004255E9">
        <w:rPr>
          <w:b/>
          <w:bCs/>
        </w:rPr>
        <w:t>Contingent</w:t>
      </w:r>
      <w:r w:rsidR="00A03629" w:rsidRPr="004255E9">
        <w:rPr>
          <w:b/>
          <w:bCs/>
        </w:rPr>
        <w:t xml:space="preserve"> </w:t>
      </w:r>
      <w:r w:rsidRPr="004255E9">
        <w:rPr>
          <w:b/>
          <w:bCs/>
        </w:rPr>
        <w:t>liabilities</w:t>
      </w:r>
    </w:p>
    <w:p w14:paraId="2989091F" w14:textId="18156BBA" w:rsidR="000756EB" w:rsidRDefault="004A4D88" w:rsidP="004255E9">
      <w:pPr>
        <w:pStyle w:val="Normalbeforebullets"/>
      </w:pPr>
      <w:r>
        <w:t>Contingent</w:t>
      </w:r>
      <w:r w:rsidR="00A03629">
        <w:t xml:space="preserve"> </w:t>
      </w:r>
      <w:r>
        <w:t>liabilities</w:t>
      </w:r>
      <w:r w:rsidR="00A03629">
        <w:t xml:space="preserve"> </w:t>
      </w:r>
      <w:r>
        <w:t>are:</w:t>
      </w:r>
    </w:p>
    <w:p w14:paraId="092FA0BD" w14:textId="18414D5B" w:rsidR="000756EB" w:rsidRDefault="004A4D88" w:rsidP="004255E9">
      <w:pPr>
        <w:pStyle w:val="Bullet"/>
      </w:pPr>
      <w:r>
        <w:t>possible</w:t>
      </w:r>
      <w:r w:rsidR="00A03629">
        <w:t xml:space="preserve"> </w:t>
      </w:r>
      <w:r>
        <w:t>obligations</w:t>
      </w:r>
      <w:r w:rsidR="00A03629">
        <w:t xml:space="preserve"> </w:t>
      </w:r>
      <w:r>
        <w:t>that</w:t>
      </w:r>
      <w:r w:rsidR="00A03629">
        <w:t xml:space="preserve"> </w:t>
      </w:r>
      <w:r>
        <w:t>arise</w:t>
      </w:r>
      <w:r w:rsidR="00A03629">
        <w:t xml:space="preserve"> </w:t>
      </w:r>
      <w:r>
        <w:t>from</w:t>
      </w:r>
      <w:r w:rsidR="00A03629">
        <w:t xml:space="preserve"> </w:t>
      </w:r>
      <w:r>
        <w:t>past</w:t>
      </w:r>
      <w:r w:rsidR="00A03629">
        <w:t xml:space="preserve"> </w:t>
      </w:r>
      <w:r>
        <w:t>events,</w:t>
      </w:r>
      <w:r w:rsidR="00A03629">
        <w:t xml:space="preserve"> </w:t>
      </w:r>
      <w:r>
        <w:t>whose</w:t>
      </w:r>
      <w:r w:rsidR="00A03629">
        <w:t xml:space="preserve"> </w:t>
      </w:r>
      <w:r>
        <w:t>existence</w:t>
      </w:r>
      <w:r w:rsidR="00A03629">
        <w:t xml:space="preserve"> </w:t>
      </w:r>
      <w:r>
        <w:t>will</w:t>
      </w:r>
      <w:r w:rsidR="00A03629">
        <w:t xml:space="preserve"> </w:t>
      </w:r>
      <w:r>
        <w:t>be</w:t>
      </w:r>
      <w:r w:rsidR="00A03629">
        <w:t xml:space="preserve"> </w:t>
      </w:r>
      <w:r>
        <w:t>confirmed</w:t>
      </w:r>
      <w:r w:rsidR="00A03629">
        <w:t xml:space="preserve"> </w:t>
      </w:r>
      <w:r>
        <w:t>only</w:t>
      </w:r>
      <w:r w:rsidR="00A03629">
        <w:t xml:space="preserve"> </w:t>
      </w:r>
      <w:r>
        <w:t>by</w:t>
      </w:r>
      <w:r w:rsidR="00A03629">
        <w:t xml:space="preserve"> </w:t>
      </w:r>
      <w:r>
        <w:t>the</w:t>
      </w:r>
      <w:r w:rsidR="00A03629">
        <w:t xml:space="preserve"> </w:t>
      </w:r>
      <w:r>
        <w:t>occurrence</w:t>
      </w:r>
      <w:r w:rsidR="00A03629">
        <w:t xml:space="preserve"> </w:t>
      </w:r>
      <w:r>
        <w:t>or</w:t>
      </w:r>
      <w:r w:rsidR="00A03629">
        <w:t xml:space="preserve"> </w:t>
      </w:r>
      <w:r>
        <w:t>non-occurrence</w:t>
      </w:r>
      <w:r w:rsidR="00A03629">
        <w:t xml:space="preserve"> </w:t>
      </w:r>
      <w:r>
        <w:t>of</w:t>
      </w:r>
      <w:r w:rsidR="00A03629">
        <w:t xml:space="preserve"> </w:t>
      </w:r>
      <w:r>
        <w:t>one</w:t>
      </w:r>
      <w:r w:rsidR="00A03629">
        <w:t xml:space="preserve"> </w:t>
      </w:r>
      <w:r>
        <w:t>or</w:t>
      </w:r>
      <w:r w:rsidR="00A03629">
        <w:t xml:space="preserve"> </w:t>
      </w:r>
      <w:r>
        <w:t>more</w:t>
      </w:r>
      <w:r w:rsidR="00A03629">
        <w:t xml:space="preserve"> </w:t>
      </w:r>
      <w:r>
        <w:t>uncertain</w:t>
      </w:r>
      <w:r w:rsidR="00A03629">
        <w:t xml:space="preserve"> </w:t>
      </w:r>
      <w:r>
        <w:t>future</w:t>
      </w:r>
      <w:r w:rsidR="00A03629">
        <w:t xml:space="preserve"> </w:t>
      </w:r>
      <w:r>
        <w:t>events</w:t>
      </w:r>
      <w:r w:rsidR="00A03629">
        <w:t xml:space="preserve"> </w:t>
      </w:r>
      <w:r>
        <w:t>not</w:t>
      </w:r>
      <w:r w:rsidR="00A03629">
        <w:t xml:space="preserve"> </w:t>
      </w:r>
      <w:r>
        <w:t>wholly</w:t>
      </w:r>
      <w:r w:rsidR="00A03629">
        <w:t xml:space="preserve"> </w:t>
      </w:r>
      <w:r>
        <w:t>within</w:t>
      </w:r>
      <w:r w:rsidR="00A03629">
        <w:t xml:space="preserve"> </w:t>
      </w:r>
      <w:r>
        <w:t>the</w:t>
      </w:r>
      <w:r w:rsidR="00A03629">
        <w:t xml:space="preserve"> </w:t>
      </w:r>
      <w:r>
        <w:t>control</w:t>
      </w:r>
      <w:r w:rsidR="00A03629">
        <w:t xml:space="preserve"> </w:t>
      </w:r>
      <w:r>
        <w:t>of</w:t>
      </w:r>
      <w:r w:rsidR="00A03629">
        <w:t xml:space="preserve"> </w:t>
      </w:r>
      <w:r>
        <w:t>the</w:t>
      </w:r>
      <w:r w:rsidR="00A03629">
        <w:t xml:space="preserve"> </w:t>
      </w:r>
      <w:r>
        <w:t>entity,</w:t>
      </w:r>
      <w:r w:rsidR="00A03629">
        <w:t xml:space="preserve"> </w:t>
      </w:r>
      <w:r>
        <w:t>or</w:t>
      </w:r>
    </w:p>
    <w:p w14:paraId="0336282A" w14:textId="533ED355" w:rsidR="000756EB" w:rsidRDefault="004A4D88" w:rsidP="004255E9">
      <w:pPr>
        <w:pStyle w:val="Bullet"/>
      </w:pPr>
      <w:r>
        <w:t>present</w:t>
      </w:r>
      <w:r w:rsidR="00A03629">
        <w:t xml:space="preserve"> </w:t>
      </w:r>
      <w:r>
        <w:t>obligations</w:t>
      </w:r>
      <w:r w:rsidR="00A03629">
        <w:t xml:space="preserve"> </w:t>
      </w:r>
      <w:r>
        <w:t>that</w:t>
      </w:r>
      <w:r w:rsidR="00A03629">
        <w:t xml:space="preserve"> </w:t>
      </w:r>
      <w:r>
        <w:t>arise</w:t>
      </w:r>
      <w:r w:rsidR="00A03629">
        <w:t xml:space="preserve"> </w:t>
      </w:r>
      <w:r>
        <w:t>from</w:t>
      </w:r>
      <w:r w:rsidR="00A03629">
        <w:t xml:space="preserve"> </w:t>
      </w:r>
      <w:r>
        <w:t>past</w:t>
      </w:r>
      <w:r w:rsidR="00A03629">
        <w:t xml:space="preserve"> </w:t>
      </w:r>
      <w:r>
        <w:t>events</w:t>
      </w:r>
      <w:r w:rsidR="00A03629">
        <w:t xml:space="preserve"> </w:t>
      </w:r>
      <w:r>
        <w:t>but</w:t>
      </w:r>
      <w:r w:rsidR="00A03629">
        <w:t xml:space="preserve"> </w:t>
      </w:r>
      <w:r>
        <w:t>are</w:t>
      </w:r>
      <w:r w:rsidR="00A03629">
        <w:t xml:space="preserve"> </w:t>
      </w:r>
      <w:r>
        <w:t>not</w:t>
      </w:r>
      <w:r w:rsidR="00A03629">
        <w:t xml:space="preserve"> </w:t>
      </w:r>
      <w:r>
        <w:t>recognised</w:t>
      </w:r>
      <w:r w:rsidR="00A03629">
        <w:t xml:space="preserve"> </w:t>
      </w:r>
      <w:r>
        <w:t>because:</w:t>
      </w:r>
    </w:p>
    <w:p w14:paraId="4FAF7AE5" w14:textId="10184A9A" w:rsidR="000756EB" w:rsidRDefault="004A4D88" w:rsidP="004255E9">
      <w:pPr>
        <w:pStyle w:val="Bullet2"/>
      </w:pPr>
      <w:r>
        <w:t>it</w:t>
      </w:r>
      <w:r w:rsidR="00A03629">
        <w:t xml:space="preserve"> </w:t>
      </w:r>
      <w:r>
        <w:t>is</w:t>
      </w:r>
      <w:r w:rsidR="00A03629">
        <w:t xml:space="preserve"> </w:t>
      </w:r>
      <w:r>
        <w:t>not</w:t>
      </w:r>
      <w:r w:rsidR="00A03629">
        <w:t xml:space="preserve"> </w:t>
      </w:r>
      <w:r>
        <w:t>probable</w:t>
      </w:r>
      <w:r w:rsidR="00A03629">
        <w:t xml:space="preserve"> </w:t>
      </w:r>
      <w:r>
        <w:t>that</w:t>
      </w:r>
      <w:r w:rsidR="00A03629">
        <w:t xml:space="preserve"> </w:t>
      </w:r>
      <w:r>
        <w:t>an</w:t>
      </w:r>
      <w:r w:rsidR="00A03629">
        <w:t xml:space="preserve"> </w:t>
      </w:r>
      <w:r>
        <w:t>outflow</w:t>
      </w:r>
      <w:r w:rsidR="00A03629">
        <w:t xml:space="preserve"> </w:t>
      </w:r>
      <w:r>
        <w:t>of</w:t>
      </w:r>
      <w:r w:rsidR="00A03629">
        <w:t xml:space="preserve"> </w:t>
      </w:r>
      <w:r>
        <w:t>resources</w:t>
      </w:r>
      <w:r w:rsidR="00A03629">
        <w:t xml:space="preserve"> </w:t>
      </w:r>
      <w:r>
        <w:t>embodying</w:t>
      </w:r>
      <w:r w:rsidR="00A03629">
        <w:t xml:space="preserve"> </w:t>
      </w:r>
      <w:r>
        <w:t>economic</w:t>
      </w:r>
      <w:r w:rsidR="00A03629">
        <w:t xml:space="preserve"> </w:t>
      </w:r>
      <w:r>
        <w:t>benefits</w:t>
      </w:r>
      <w:r w:rsidR="00A03629">
        <w:t xml:space="preserve"> </w:t>
      </w:r>
      <w:r>
        <w:t>will</w:t>
      </w:r>
      <w:r w:rsidR="00A03629">
        <w:t xml:space="preserve"> </w:t>
      </w:r>
      <w:r>
        <w:t>be</w:t>
      </w:r>
      <w:r w:rsidR="00A03629">
        <w:t xml:space="preserve"> </w:t>
      </w:r>
      <w:r>
        <w:t>required</w:t>
      </w:r>
      <w:r w:rsidR="00A03629">
        <w:t xml:space="preserve"> </w:t>
      </w:r>
      <w:r>
        <w:t>to</w:t>
      </w:r>
      <w:r w:rsidR="00A03629">
        <w:t xml:space="preserve"> </w:t>
      </w:r>
      <w:r>
        <w:t>settle</w:t>
      </w:r>
      <w:r w:rsidR="00A03629">
        <w:t xml:space="preserve"> </w:t>
      </w:r>
      <w:r>
        <w:t>the</w:t>
      </w:r>
      <w:r w:rsidR="00A03629">
        <w:t xml:space="preserve"> </w:t>
      </w:r>
      <w:r>
        <w:t>obligations,</w:t>
      </w:r>
      <w:r w:rsidR="00A03629">
        <w:t xml:space="preserve"> </w:t>
      </w:r>
      <w:r>
        <w:t>or</w:t>
      </w:r>
    </w:p>
    <w:p w14:paraId="1A0A8068" w14:textId="29271F6F" w:rsidR="000756EB" w:rsidRDefault="004A4D88" w:rsidP="004255E9">
      <w:pPr>
        <w:pStyle w:val="Bullet2"/>
        <w:spacing w:after="280"/>
        <w:ind w:left="568" w:hanging="284"/>
      </w:pPr>
      <w:r>
        <w:t>the</w:t>
      </w:r>
      <w:r w:rsidR="00A03629">
        <w:t xml:space="preserve"> </w:t>
      </w:r>
      <w:r>
        <w:t>amount</w:t>
      </w:r>
      <w:r w:rsidR="00A03629">
        <w:t xml:space="preserve"> </w:t>
      </w:r>
      <w:r>
        <w:t>of</w:t>
      </w:r>
      <w:r w:rsidR="00A03629">
        <w:t xml:space="preserve"> </w:t>
      </w:r>
      <w:r>
        <w:t>the</w:t>
      </w:r>
      <w:r w:rsidR="00A03629">
        <w:t xml:space="preserve"> </w:t>
      </w:r>
      <w:r>
        <w:t>obligations</w:t>
      </w:r>
      <w:r w:rsidR="00A03629">
        <w:t xml:space="preserve"> </w:t>
      </w:r>
      <w:r>
        <w:t>cannot</w:t>
      </w:r>
      <w:r w:rsidR="00A03629">
        <w:t xml:space="preserve"> </w:t>
      </w:r>
      <w:r>
        <w:t>be</w:t>
      </w:r>
      <w:r w:rsidR="00A03629">
        <w:t xml:space="preserve"> </w:t>
      </w:r>
      <w:r>
        <w:t>measured</w:t>
      </w:r>
      <w:r w:rsidR="00A03629">
        <w:t xml:space="preserve"> </w:t>
      </w:r>
      <w:r>
        <w:t>with</w:t>
      </w:r>
      <w:r w:rsidR="00A03629">
        <w:t xml:space="preserve"> </w:t>
      </w:r>
      <w:r>
        <w:t>sufficient</w:t>
      </w:r>
      <w:r w:rsidR="00A03629">
        <w:t xml:space="preserve"> </w:t>
      </w:r>
      <w:r>
        <w:t>reliability.</w:t>
      </w:r>
    </w:p>
    <w:p w14:paraId="1FECDEC4" w14:textId="1C8ED666" w:rsidR="000756EB" w:rsidRDefault="004A4D88" w:rsidP="004255E9">
      <w:r>
        <w:t>Contingent</w:t>
      </w:r>
      <w:r w:rsidR="00A03629">
        <w:t xml:space="preserve"> </w:t>
      </w:r>
      <w:r>
        <w:t>liabilities</w:t>
      </w:r>
      <w:r w:rsidR="00A03629">
        <w:t xml:space="preserve"> </w:t>
      </w:r>
      <w:r>
        <w:t>are</w:t>
      </w:r>
      <w:r w:rsidR="00A03629">
        <w:t xml:space="preserve"> </w:t>
      </w:r>
      <w:r>
        <w:t>also</w:t>
      </w:r>
      <w:r w:rsidR="00A03629">
        <w:t xml:space="preserve"> </w:t>
      </w:r>
      <w:r>
        <w:t>classified</w:t>
      </w:r>
      <w:r w:rsidR="00A03629">
        <w:t xml:space="preserve"> </w:t>
      </w:r>
      <w:r>
        <w:t>as</w:t>
      </w:r>
      <w:r w:rsidR="00A03629">
        <w:t xml:space="preserve"> </w:t>
      </w:r>
      <w:r>
        <w:t>either</w:t>
      </w:r>
      <w:r w:rsidR="00A03629">
        <w:t xml:space="preserve"> </w:t>
      </w:r>
      <w:r>
        <w:t>quantifiable</w:t>
      </w:r>
      <w:r w:rsidR="00A03629">
        <w:t xml:space="preserve"> </w:t>
      </w:r>
      <w:r>
        <w:t>or</w:t>
      </w:r>
      <w:r w:rsidR="00A03629">
        <w:t xml:space="preserve"> </w:t>
      </w:r>
      <w:r>
        <w:t>non-quantifiable.</w:t>
      </w:r>
    </w:p>
    <w:p w14:paraId="5D2AB588" w14:textId="563FAAF9" w:rsidR="000756EB" w:rsidRDefault="004A4D88" w:rsidP="004255E9">
      <w:r>
        <w:t>Contingent</w:t>
      </w:r>
      <w:r w:rsidR="00A03629">
        <w:t xml:space="preserve"> </w:t>
      </w:r>
      <w:r>
        <w:t>assets</w:t>
      </w:r>
      <w:r w:rsidR="00A03629">
        <w:t xml:space="preserve"> </w:t>
      </w:r>
      <w:r>
        <w:t>and</w:t>
      </w:r>
      <w:r w:rsidR="00A03629">
        <w:t xml:space="preserve"> </w:t>
      </w:r>
      <w:r>
        <w:t>contingent</w:t>
      </w:r>
      <w:r w:rsidR="00A03629">
        <w:t xml:space="preserve"> </w:t>
      </w:r>
      <w:r>
        <w:t>liabilities</w:t>
      </w:r>
      <w:r w:rsidR="00A03629">
        <w:t xml:space="preserve"> </w:t>
      </w:r>
      <w:r>
        <w:t>that</w:t>
      </w:r>
      <w:r w:rsidR="00A03629">
        <w:t xml:space="preserve"> </w:t>
      </w:r>
      <w:r>
        <w:t>relate</w:t>
      </w:r>
      <w:r w:rsidR="00A03629">
        <w:t xml:space="preserve"> </w:t>
      </w:r>
      <w:r>
        <w:t>to</w:t>
      </w:r>
      <w:r w:rsidR="00A03629">
        <w:t xml:space="preserve"> </w:t>
      </w:r>
      <w:r>
        <w:t>functions</w:t>
      </w:r>
      <w:r w:rsidR="00A03629">
        <w:t xml:space="preserve"> </w:t>
      </w:r>
      <w:r>
        <w:t>transferred</w:t>
      </w:r>
      <w:r w:rsidR="00A03629">
        <w:t xml:space="preserve"> </w:t>
      </w:r>
      <w:r>
        <w:t>out</w:t>
      </w:r>
      <w:r w:rsidR="00A03629">
        <w:t xml:space="preserve"> </w:t>
      </w:r>
      <w:r>
        <w:t>as</w:t>
      </w:r>
      <w:r w:rsidR="00A03629">
        <w:t xml:space="preserve"> </w:t>
      </w:r>
      <w:r>
        <w:t>part</w:t>
      </w:r>
      <w:r w:rsidR="00A03629">
        <w:t xml:space="preserve"> </w:t>
      </w:r>
      <w:r>
        <w:t>of</w:t>
      </w:r>
      <w:r w:rsidR="00A03629">
        <w:t xml:space="preserve"> </w:t>
      </w:r>
      <w:r>
        <w:t>the</w:t>
      </w:r>
      <w:r w:rsidR="00A03629">
        <w:t xml:space="preserve"> </w:t>
      </w:r>
      <w:r>
        <w:t>machinery</w:t>
      </w:r>
      <w:r w:rsidR="00A03629">
        <w:t xml:space="preserve"> </w:t>
      </w:r>
      <w:r>
        <w:t>of</w:t>
      </w:r>
      <w:r w:rsidR="00A03629">
        <w:t xml:space="preserve"> </w:t>
      </w:r>
      <w:r>
        <w:t>government</w:t>
      </w:r>
      <w:r w:rsidR="00A03629">
        <w:t xml:space="preserve"> </w:t>
      </w:r>
      <w:r>
        <w:t>changes</w:t>
      </w:r>
      <w:r w:rsidR="00A03629">
        <w:t xml:space="preserve"> </w:t>
      </w:r>
      <w:r>
        <w:t>have</w:t>
      </w:r>
      <w:r w:rsidR="00A03629">
        <w:t xml:space="preserve"> </w:t>
      </w:r>
      <w:r>
        <w:t>been</w:t>
      </w:r>
      <w:r w:rsidR="00A03629">
        <w:t xml:space="preserve"> </w:t>
      </w:r>
      <w:r>
        <w:t>transferred</w:t>
      </w:r>
      <w:r w:rsidR="00A03629">
        <w:t xml:space="preserve"> </w:t>
      </w:r>
      <w:r>
        <w:t>out</w:t>
      </w:r>
      <w:r w:rsidR="00A03629">
        <w:t xml:space="preserve"> </w:t>
      </w:r>
      <w:r>
        <w:t>of</w:t>
      </w:r>
      <w:r w:rsidR="00A03629">
        <w:t xml:space="preserve"> </w:t>
      </w:r>
      <w:r>
        <w:t>DJSIR</w:t>
      </w:r>
      <w:r w:rsidR="00A03629">
        <w:t xml:space="preserve"> </w:t>
      </w:r>
      <w:r>
        <w:t>and</w:t>
      </w:r>
      <w:r w:rsidR="00A03629">
        <w:t xml:space="preserve"> </w:t>
      </w:r>
      <w:r>
        <w:t>those</w:t>
      </w:r>
      <w:r w:rsidR="00A03629">
        <w:t xml:space="preserve"> </w:t>
      </w:r>
      <w:r>
        <w:t>relating</w:t>
      </w:r>
      <w:r w:rsidR="00A03629">
        <w:t xml:space="preserve"> </w:t>
      </w:r>
      <w:r>
        <w:t>to</w:t>
      </w:r>
      <w:r w:rsidR="00A03629">
        <w:t xml:space="preserve"> </w:t>
      </w:r>
      <w:r>
        <w:t>functions</w:t>
      </w:r>
      <w:r w:rsidR="00A03629">
        <w:t xml:space="preserve"> </w:t>
      </w:r>
      <w:r>
        <w:t>transferred</w:t>
      </w:r>
      <w:r w:rsidR="00A03629">
        <w:t xml:space="preserve"> </w:t>
      </w:r>
      <w:r>
        <w:t>into</w:t>
      </w:r>
      <w:r w:rsidR="00A03629">
        <w:t xml:space="preserve"> </w:t>
      </w:r>
      <w:r>
        <w:t>DJSIR</w:t>
      </w:r>
      <w:r w:rsidR="00A03629">
        <w:t xml:space="preserve"> </w:t>
      </w:r>
      <w:r>
        <w:t>have</w:t>
      </w:r>
      <w:r w:rsidR="00A03629">
        <w:t xml:space="preserve"> </w:t>
      </w:r>
      <w:r>
        <w:t>been</w:t>
      </w:r>
      <w:r w:rsidR="00A03629">
        <w:t xml:space="preserve"> </w:t>
      </w:r>
      <w:r>
        <w:t>included</w:t>
      </w:r>
      <w:r w:rsidR="00A03629">
        <w:rPr>
          <w:rFonts w:ascii="Cambria" w:hAnsi="Cambria" w:cs="Cambria"/>
        </w:rPr>
        <w:t xml:space="preserve"> </w:t>
      </w:r>
      <w:r>
        <w:t>below.</w:t>
      </w:r>
    </w:p>
    <w:p w14:paraId="4A830250" w14:textId="60955BBA" w:rsidR="000756EB" w:rsidRPr="003008C1" w:rsidRDefault="004A4D88" w:rsidP="004255E9">
      <w:pPr>
        <w:pStyle w:val="Normalbeforebullets"/>
        <w:rPr>
          <w:b/>
          <w:bCs/>
        </w:rPr>
      </w:pPr>
      <w:r w:rsidRPr="003008C1">
        <w:rPr>
          <w:b/>
          <w:bCs/>
        </w:rPr>
        <w:t>Quantifiable</w:t>
      </w:r>
      <w:r w:rsidR="00A03629" w:rsidRPr="003008C1">
        <w:rPr>
          <w:b/>
          <w:bCs/>
        </w:rPr>
        <w:t xml:space="preserve"> </w:t>
      </w:r>
      <w:r w:rsidR="004255E9" w:rsidRPr="003008C1">
        <w:rPr>
          <w:b/>
          <w:bCs/>
        </w:rPr>
        <w:t xml:space="preserve">Contingent Liabilities as </w:t>
      </w:r>
      <w:proofErr w:type="gramStart"/>
      <w:r w:rsidR="004255E9" w:rsidRPr="003008C1">
        <w:rPr>
          <w:b/>
          <w:bCs/>
        </w:rPr>
        <w:t>at</w:t>
      </w:r>
      <w:proofErr w:type="gramEnd"/>
      <w:r w:rsidR="004255E9" w:rsidRPr="003008C1">
        <w:rPr>
          <w:b/>
          <w:bCs/>
        </w:rPr>
        <w:t xml:space="preserve"> 30 </w:t>
      </w:r>
      <w:r w:rsidRPr="003008C1">
        <w:rPr>
          <w:b/>
          <w:bCs/>
        </w:rPr>
        <w:t>June</w:t>
      </w:r>
    </w:p>
    <w:tbl>
      <w:tblPr>
        <w:tblStyle w:val="TableGrid"/>
        <w:tblW w:w="10343" w:type="dxa"/>
        <w:tblLayout w:type="fixed"/>
        <w:tblLook w:val="0020" w:firstRow="1" w:lastRow="0" w:firstColumn="0" w:lastColumn="0" w:noHBand="0" w:noVBand="0"/>
      </w:tblPr>
      <w:tblGrid>
        <w:gridCol w:w="5807"/>
        <w:gridCol w:w="2268"/>
        <w:gridCol w:w="2268"/>
      </w:tblGrid>
      <w:tr w:rsidR="000756EB" w:rsidRPr="00253A0C" w14:paraId="58FC0658" w14:textId="77777777" w:rsidTr="003008C1">
        <w:trPr>
          <w:trHeight w:val="60"/>
        </w:trPr>
        <w:tc>
          <w:tcPr>
            <w:tcW w:w="5807" w:type="dxa"/>
          </w:tcPr>
          <w:p w14:paraId="5105BC05" w14:textId="77777777" w:rsidR="000756EB" w:rsidRPr="00253A0C" w:rsidRDefault="000756EB" w:rsidP="003008C1">
            <w:pPr>
              <w:pStyle w:val="TableColumnHeading"/>
              <w:rPr>
                <w:sz w:val="22"/>
                <w:szCs w:val="32"/>
              </w:rPr>
            </w:pPr>
            <w:bookmarkStart w:id="126" w:name="ColumnTitles_75"/>
            <w:bookmarkEnd w:id="126"/>
          </w:p>
        </w:tc>
        <w:tc>
          <w:tcPr>
            <w:tcW w:w="2268" w:type="dxa"/>
          </w:tcPr>
          <w:p w14:paraId="640AEAC0" w14:textId="484EB992" w:rsidR="000756EB" w:rsidRPr="00253A0C" w:rsidRDefault="004A4D88" w:rsidP="00253A0C">
            <w:pPr>
              <w:pStyle w:val="TableColumnHeading"/>
              <w:jc w:val="right"/>
              <w:rPr>
                <w:sz w:val="22"/>
                <w:szCs w:val="32"/>
              </w:rPr>
            </w:pPr>
            <w:r w:rsidRPr="00253A0C">
              <w:rPr>
                <w:sz w:val="22"/>
                <w:szCs w:val="32"/>
              </w:rPr>
              <w:t>2023</w:t>
            </w:r>
            <w:r w:rsidR="003008C1" w:rsidRPr="00253A0C">
              <w:rPr>
                <w:sz w:val="22"/>
                <w:szCs w:val="32"/>
              </w:rPr>
              <w:t xml:space="preserve"> ($ thousand)</w:t>
            </w:r>
          </w:p>
        </w:tc>
        <w:tc>
          <w:tcPr>
            <w:tcW w:w="2268" w:type="dxa"/>
          </w:tcPr>
          <w:p w14:paraId="11DCA6E9" w14:textId="0AF46F18" w:rsidR="000756EB" w:rsidRPr="00253A0C" w:rsidRDefault="004A4D88" w:rsidP="00253A0C">
            <w:pPr>
              <w:pStyle w:val="TableColumnHeading"/>
              <w:jc w:val="right"/>
              <w:rPr>
                <w:sz w:val="22"/>
                <w:szCs w:val="32"/>
              </w:rPr>
            </w:pPr>
            <w:r w:rsidRPr="00253A0C">
              <w:rPr>
                <w:sz w:val="22"/>
                <w:szCs w:val="32"/>
              </w:rPr>
              <w:t>2022</w:t>
            </w:r>
            <w:r w:rsidR="003008C1" w:rsidRPr="00253A0C">
              <w:rPr>
                <w:sz w:val="22"/>
                <w:szCs w:val="32"/>
              </w:rPr>
              <w:t xml:space="preserve"> ($ thousand)</w:t>
            </w:r>
          </w:p>
        </w:tc>
      </w:tr>
      <w:tr w:rsidR="000756EB" w:rsidRPr="003008C1" w14:paraId="2D470028" w14:textId="77777777" w:rsidTr="003008C1">
        <w:trPr>
          <w:trHeight w:val="60"/>
        </w:trPr>
        <w:tc>
          <w:tcPr>
            <w:tcW w:w="5807" w:type="dxa"/>
          </w:tcPr>
          <w:p w14:paraId="578C45AB" w14:textId="4909B6B4" w:rsidR="000756EB" w:rsidRPr="003008C1" w:rsidRDefault="004A4D88" w:rsidP="003008C1">
            <w:pPr>
              <w:pStyle w:val="TableCopy"/>
              <w:rPr>
                <w:rFonts w:asciiTheme="minorHAnsi" w:hAnsiTheme="minorHAnsi" w:cstheme="minorHAnsi"/>
              </w:rPr>
            </w:pPr>
            <w:r w:rsidRPr="003008C1">
              <w:rPr>
                <w:rFonts w:asciiTheme="minorHAnsi" w:hAnsiTheme="minorHAnsi" w:cstheme="minorHAnsi"/>
              </w:rPr>
              <w:t>Legal</w:t>
            </w:r>
            <w:r w:rsidR="00A03629" w:rsidRPr="003008C1">
              <w:rPr>
                <w:rFonts w:asciiTheme="minorHAnsi" w:hAnsiTheme="minorHAnsi" w:cstheme="minorHAnsi"/>
              </w:rPr>
              <w:t xml:space="preserve"> </w:t>
            </w:r>
            <w:r w:rsidRPr="003008C1">
              <w:rPr>
                <w:rFonts w:asciiTheme="minorHAnsi" w:hAnsiTheme="minorHAnsi" w:cstheme="minorHAnsi"/>
              </w:rPr>
              <w:t>disputes</w:t>
            </w:r>
          </w:p>
        </w:tc>
        <w:tc>
          <w:tcPr>
            <w:tcW w:w="2268" w:type="dxa"/>
          </w:tcPr>
          <w:p w14:paraId="3B5999F2" w14:textId="64251328" w:rsidR="000756EB" w:rsidRPr="003008C1" w:rsidRDefault="004A4D88" w:rsidP="00253A0C">
            <w:pPr>
              <w:pStyle w:val="TableCopy"/>
              <w:jc w:val="right"/>
              <w:rPr>
                <w:rFonts w:asciiTheme="minorHAnsi" w:hAnsiTheme="minorHAnsi" w:cstheme="minorHAnsi"/>
              </w:rPr>
            </w:pPr>
            <w:r w:rsidRPr="003008C1">
              <w:rPr>
                <w:rFonts w:asciiTheme="minorHAnsi" w:hAnsiTheme="minorHAnsi" w:cstheme="minorHAnsi"/>
              </w:rPr>
              <w:t>60</w:t>
            </w:r>
          </w:p>
        </w:tc>
        <w:tc>
          <w:tcPr>
            <w:tcW w:w="2268" w:type="dxa"/>
          </w:tcPr>
          <w:p w14:paraId="7773B72C" w14:textId="7D5CE368" w:rsidR="000756EB" w:rsidRPr="003008C1" w:rsidRDefault="004A4D88" w:rsidP="00253A0C">
            <w:pPr>
              <w:pStyle w:val="TableCopy"/>
              <w:jc w:val="right"/>
              <w:rPr>
                <w:rFonts w:asciiTheme="minorHAnsi" w:hAnsiTheme="minorHAnsi" w:cstheme="minorHAnsi"/>
              </w:rPr>
            </w:pPr>
            <w:r w:rsidRPr="003008C1">
              <w:rPr>
                <w:rFonts w:asciiTheme="minorHAnsi" w:hAnsiTheme="minorHAnsi" w:cstheme="minorHAnsi"/>
              </w:rPr>
              <w:t>60</w:t>
            </w:r>
          </w:p>
        </w:tc>
      </w:tr>
      <w:tr w:rsidR="000756EB" w:rsidRPr="003008C1" w14:paraId="1DC9E95E" w14:textId="77777777" w:rsidTr="003008C1">
        <w:trPr>
          <w:trHeight w:val="60"/>
        </w:trPr>
        <w:tc>
          <w:tcPr>
            <w:tcW w:w="5807" w:type="dxa"/>
          </w:tcPr>
          <w:p w14:paraId="17DDCB09" w14:textId="7B98F8F6" w:rsidR="000756EB" w:rsidRPr="003008C1" w:rsidRDefault="004A4D88" w:rsidP="003008C1">
            <w:pPr>
              <w:pStyle w:val="TableCopy"/>
              <w:rPr>
                <w:rFonts w:asciiTheme="minorHAnsi" w:hAnsiTheme="minorHAnsi" w:cstheme="minorHAnsi"/>
              </w:rPr>
            </w:pPr>
            <w:r w:rsidRPr="003008C1">
              <w:rPr>
                <w:rFonts w:asciiTheme="minorHAnsi" w:hAnsiTheme="minorHAnsi" w:cstheme="minorHAnsi"/>
              </w:rPr>
              <w:t>Insurance</w:t>
            </w:r>
            <w:r w:rsidR="00A03629" w:rsidRPr="003008C1">
              <w:rPr>
                <w:rFonts w:asciiTheme="minorHAnsi" w:hAnsiTheme="minorHAnsi" w:cstheme="minorHAnsi"/>
              </w:rPr>
              <w:t xml:space="preserve"> </w:t>
            </w:r>
            <w:r w:rsidRPr="003008C1">
              <w:rPr>
                <w:rFonts w:asciiTheme="minorHAnsi" w:hAnsiTheme="minorHAnsi" w:cstheme="minorHAnsi"/>
              </w:rPr>
              <w:t>claims</w:t>
            </w:r>
          </w:p>
        </w:tc>
        <w:tc>
          <w:tcPr>
            <w:tcW w:w="2268" w:type="dxa"/>
          </w:tcPr>
          <w:p w14:paraId="32C2DD34" w14:textId="6F8D12FA" w:rsidR="000756EB" w:rsidRPr="003008C1" w:rsidRDefault="004A4D88" w:rsidP="00253A0C">
            <w:pPr>
              <w:pStyle w:val="TableCopy"/>
              <w:jc w:val="right"/>
              <w:rPr>
                <w:rFonts w:asciiTheme="minorHAnsi" w:hAnsiTheme="minorHAnsi" w:cstheme="minorHAnsi"/>
              </w:rPr>
            </w:pPr>
            <w:r w:rsidRPr="003008C1">
              <w:rPr>
                <w:rFonts w:asciiTheme="minorHAnsi" w:hAnsiTheme="minorHAnsi" w:cstheme="minorHAnsi"/>
              </w:rPr>
              <w:t>503</w:t>
            </w:r>
          </w:p>
        </w:tc>
        <w:tc>
          <w:tcPr>
            <w:tcW w:w="2268" w:type="dxa"/>
          </w:tcPr>
          <w:p w14:paraId="78ACF1EC" w14:textId="121DE6F3" w:rsidR="000756EB" w:rsidRPr="003008C1" w:rsidRDefault="004A4D88" w:rsidP="00253A0C">
            <w:pPr>
              <w:pStyle w:val="TableCopy"/>
              <w:jc w:val="right"/>
              <w:rPr>
                <w:rFonts w:asciiTheme="minorHAnsi" w:hAnsiTheme="minorHAnsi" w:cstheme="minorHAnsi"/>
              </w:rPr>
            </w:pPr>
            <w:r w:rsidRPr="003008C1">
              <w:rPr>
                <w:rFonts w:asciiTheme="minorHAnsi" w:hAnsiTheme="minorHAnsi" w:cstheme="minorHAnsi"/>
              </w:rPr>
              <w:t>906</w:t>
            </w:r>
          </w:p>
        </w:tc>
      </w:tr>
      <w:tr w:rsidR="000756EB" w:rsidRPr="003008C1" w14:paraId="011AA24C" w14:textId="77777777" w:rsidTr="003008C1">
        <w:trPr>
          <w:trHeight w:val="60"/>
        </w:trPr>
        <w:tc>
          <w:tcPr>
            <w:tcW w:w="5807" w:type="dxa"/>
          </w:tcPr>
          <w:p w14:paraId="660A6DB9" w14:textId="7930FF63" w:rsidR="000756EB" w:rsidRPr="003008C1" w:rsidRDefault="004A4D88" w:rsidP="003008C1">
            <w:pPr>
              <w:pStyle w:val="TableCopy"/>
              <w:rPr>
                <w:rFonts w:asciiTheme="minorHAnsi" w:hAnsiTheme="minorHAnsi" w:cstheme="minorHAnsi"/>
              </w:rPr>
            </w:pPr>
            <w:r w:rsidRPr="003008C1">
              <w:rPr>
                <w:rFonts w:asciiTheme="minorHAnsi" w:hAnsiTheme="minorHAnsi" w:cstheme="minorHAnsi"/>
              </w:rPr>
              <w:t>Mining</w:t>
            </w:r>
            <w:r w:rsidR="00A03629" w:rsidRPr="003008C1">
              <w:rPr>
                <w:rFonts w:asciiTheme="minorHAnsi" w:hAnsiTheme="minorHAnsi" w:cstheme="minorHAnsi"/>
              </w:rPr>
              <w:t xml:space="preserve"> </w:t>
            </w:r>
            <w:r w:rsidRPr="003008C1">
              <w:rPr>
                <w:rFonts w:asciiTheme="minorHAnsi" w:hAnsiTheme="minorHAnsi" w:cstheme="minorHAnsi"/>
              </w:rPr>
              <w:t>site</w:t>
            </w:r>
            <w:r w:rsidR="00A03629" w:rsidRPr="003008C1">
              <w:rPr>
                <w:rFonts w:asciiTheme="minorHAnsi" w:hAnsiTheme="minorHAnsi" w:cstheme="minorHAnsi"/>
              </w:rPr>
              <w:t xml:space="preserve"> </w:t>
            </w:r>
            <w:r w:rsidRPr="003008C1">
              <w:rPr>
                <w:rFonts w:asciiTheme="minorHAnsi" w:hAnsiTheme="minorHAnsi" w:cstheme="minorHAnsi"/>
              </w:rPr>
              <w:t>rehabilitation</w:t>
            </w:r>
            <w:r w:rsidR="00A03629" w:rsidRPr="003008C1">
              <w:rPr>
                <w:rFonts w:asciiTheme="minorHAnsi" w:hAnsiTheme="minorHAnsi" w:cstheme="minorHAnsi"/>
              </w:rPr>
              <w:t xml:space="preserve"> </w:t>
            </w:r>
            <w:r w:rsidRPr="003008C1">
              <w:rPr>
                <w:rFonts w:asciiTheme="minorHAnsi" w:hAnsiTheme="minorHAnsi" w:cstheme="minorHAnsi"/>
              </w:rPr>
              <w:t>bonds</w:t>
            </w:r>
            <w:r w:rsidR="00A03629" w:rsidRPr="003008C1">
              <w:rPr>
                <w:rFonts w:asciiTheme="minorHAnsi" w:hAnsiTheme="minorHAnsi" w:cstheme="minorHAnsi"/>
              </w:rPr>
              <w:t xml:space="preserve"> </w:t>
            </w:r>
            <w:r w:rsidRPr="00614829">
              <w:rPr>
                <w:rStyle w:val="FootnotereferencessuperscriptMisc"/>
              </w:rPr>
              <w:t>(</w:t>
            </w:r>
            <w:proofErr w:type="spellStart"/>
            <w:r w:rsidRPr="00614829">
              <w:rPr>
                <w:rStyle w:val="FootnotereferencessuperscriptMisc"/>
              </w:rPr>
              <w:t>i</w:t>
            </w:r>
            <w:proofErr w:type="spellEnd"/>
            <w:r w:rsidRPr="00614829">
              <w:rPr>
                <w:rStyle w:val="FootnotereferencessuperscriptMisc"/>
              </w:rPr>
              <w:t>)</w:t>
            </w:r>
          </w:p>
        </w:tc>
        <w:tc>
          <w:tcPr>
            <w:tcW w:w="2268" w:type="dxa"/>
          </w:tcPr>
          <w:p w14:paraId="39204359" w14:textId="2FE9B682" w:rsidR="000756EB" w:rsidRPr="003008C1" w:rsidRDefault="004A4D88" w:rsidP="00253A0C">
            <w:pPr>
              <w:pStyle w:val="TableCopy"/>
              <w:jc w:val="right"/>
              <w:rPr>
                <w:rFonts w:asciiTheme="minorHAnsi" w:hAnsiTheme="minorHAnsi" w:cstheme="minorHAnsi"/>
              </w:rPr>
            </w:pPr>
            <w:r w:rsidRPr="003008C1">
              <w:rPr>
                <w:rFonts w:asciiTheme="minorHAnsi" w:hAnsiTheme="minorHAnsi" w:cstheme="minorHAnsi"/>
              </w:rPr>
              <w:t>–</w:t>
            </w:r>
          </w:p>
        </w:tc>
        <w:tc>
          <w:tcPr>
            <w:tcW w:w="2268" w:type="dxa"/>
          </w:tcPr>
          <w:p w14:paraId="25C491D0" w14:textId="340B540C" w:rsidR="000756EB" w:rsidRPr="003008C1" w:rsidRDefault="004A4D88" w:rsidP="00253A0C">
            <w:pPr>
              <w:pStyle w:val="TableCopy"/>
              <w:jc w:val="right"/>
              <w:rPr>
                <w:rFonts w:asciiTheme="minorHAnsi" w:hAnsiTheme="minorHAnsi" w:cstheme="minorHAnsi"/>
              </w:rPr>
            </w:pPr>
            <w:r w:rsidRPr="003008C1">
              <w:rPr>
                <w:rFonts w:asciiTheme="minorHAnsi" w:hAnsiTheme="minorHAnsi" w:cstheme="minorHAnsi"/>
              </w:rPr>
              <w:t>166,180</w:t>
            </w:r>
          </w:p>
        </w:tc>
      </w:tr>
      <w:tr w:rsidR="000756EB" w:rsidRPr="003008C1" w14:paraId="5DED3189" w14:textId="77777777" w:rsidTr="003008C1">
        <w:trPr>
          <w:trHeight w:val="60"/>
        </w:trPr>
        <w:tc>
          <w:tcPr>
            <w:tcW w:w="5807" w:type="dxa"/>
          </w:tcPr>
          <w:p w14:paraId="75D0E6E4" w14:textId="00CC74D5" w:rsidR="000756EB" w:rsidRPr="003008C1" w:rsidRDefault="004A4D88" w:rsidP="003008C1">
            <w:pPr>
              <w:pStyle w:val="TableCopy"/>
              <w:rPr>
                <w:rFonts w:asciiTheme="minorHAnsi" w:hAnsiTheme="minorHAnsi" w:cstheme="minorHAnsi"/>
                <w:b/>
                <w:bCs/>
              </w:rPr>
            </w:pPr>
            <w:r w:rsidRPr="003008C1">
              <w:rPr>
                <w:rFonts w:asciiTheme="minorHAnsi" w:hAnsiTheme="minorHAnsi" w:cstheme="minorHAnsi"/>
                <w:b/>
                <w:bCs/>
              </w:rPr>
              <w:t>Total</w:t>
            </w:r>
            <w:r w:rsidR="00A03629" w:rsidRPr="003008C1">
              <w:rPr>
                <w:rFonts w:asciiTheme="minorHAnsi" w:hAnsiTheme="minorHAnsi" w:cstheme="minorHAnsi"/>
                <w:b/>
                <w:bCs/>
              </w:rPr>
              <w:t xml:space="preserve"> </w:t>
            </w:r>
            <w:r w:rsidRPr="003008C1">
              <w:rPr>
                <w:rFonts w:asciiTheme="minorHAnsi" w:hAnsiTheme="minorHAnsi" w:cstheme="minorHAnsi"/>
                <w:b/>
                <w:bCs/>
              </w:rPr>
              <w:t>contingent</w:t>
            </w:r>
            <w:r w:rsidR="00A03629" w:rsidRPr="003008C1">
              <w:rPr>
                <w:rFonts w:asciiTheme="minorHAnsi" w:hAnsiTheme="minorHAnsi" w:cstheme="minorHAnsi"/>
                <w:b/>
                <w:bCs/>
              </w:rPr>
              <w:t xml:space="preserve"> </w:t>
            </w:r>
            <w:r w:rsidRPr="003008C1">
              <w:rPr>
                <w:rFonts w:asciiTheme="minorHAnsi" w:hAnsiTheme="minorHAnsi" w:cstheme="minorHAnsi"/>
                <w:b/>
                <w:bCs/>
              </w:rPr>
              <w:t>liabilities</w:t>
            </w:r>
          </w:p>
        </w:tc>
        <w:tc>
          <w:tcPr>
            <w:tcW w:w="2268" w:type="dxa"/>
          </w:tcPr>
          <w:p w14:paraId="6A36BC40" w14:textId="31A41A64" w:rsidR="000756EB" w:rsidRPr="003008C1" w:rsidRDefault="004A4D88" w:rsidP="00253A0C">
            <w:pPr>
              <w:pStyle w:val="TableCopy"/>
              <w:jc w:val="right"/>
              <w:rPr>
                <w:rFonts w:asciiTheme="minorHAnsi" w:hAnsiTheme="minorHAnsi" w:cstheme="minorHAnsi"/>
                <w:b/>
                <w:bCs/>
              </w:rPr>
            </w:pPr>
            <w:r w:rsidRPr="003008C1">
              <w:rPr>
                <w:rFonts w:asciiTheme="minorHAnsi" w:hAnsiTheme="minorHAnsi" w:cstheme="minorHAnsi"/>
                <w:b/>
                <w:bCs/>
              </w:rPr>
              <w:t>563</w:t>
            </w:r>
          </w:p>
        </w:tc>
        <w:tc>
          <w:tcPr>
            <w:tcW w:w="2268" w:type="dxa"/>
          </w:tcPr>
          <w:p w14:paraId="50E0DF8E" w14:textId="7F95337C" w:rsidR="000756EB" w:rsidRPr="003008C1" w:rsidRDefault="004A4D88" w:rsidP="00253A0C">
            <w:pPr>
              <w:pStyle w:val="TableCopy"/>
              <w:jc w:val="right"/>
              <w:rPr>
                <w:rFonts w:asciiTheme="minorHAnsi" w:hAnsiTheme="minorHAnsi" w:cstheme="minorHAnsi"/>
                <w:b/>
                <w:bCs/>
              </w:rPr>
            </w:pPr>
            <w:r w:rsidRPr="003008C1">
              <w:rPr>
                <w:rFonts w:asciiTheme="minorHAnsi" w:hAnsiTheme="minorHAnsi" w:cstheme="minorHAnsi"/>
                <w:b/>
                <w:bCs/>
              </w:rPr>
              <w:t>167,146</w:t>
            </w:r>
          </w:p>
        </w:tc>
      </w:tr>
    </w:tbl>
    <w:p w14:paraId="5345ED36" w14:textId="65E972CF" w:rsidR="000756EB" w:rsidRDefault="003008C1" w:rsidP="003008C1">
      <w:pPr>
        <w:pStyle w:val="FootnoteText"/>
        <w:spacing w:before="120" w:after="280"/>
      </w:pPr>
      <w:r>
        <w:t>(</w:t>
      </w:r>
      <w:proofErr w:type="spellStart"/>
      <w:r>
        <w:t>i</w:t>
      </w:r>
      <w:proofErr w:type="spellEnd"/>
      <w:r>
        <w:t>) This contingent liability was raised in the prior year as per the requirements under the Mineral Resources (Sustainable Development) Act</w:t>
      </w:r>
      <w:r>
        <w:rPr>
          <w:rFonts w:ascii="Cambria" w:hAnsi="Cambria" w:cs="Cambria"/>
        </w:rPr>
        <w:t xml:space="preserve"> </w:t>
      </w:r>
      <w:r>
        <w:t xml:space="preserve">1990, which stipulate that the holders of an exploration or mining licence, or extractive industry work authority are required to rehabilitate their earth resources sites (details of responsibility in the Act), and failure to do so by them, may result in the State being liable to rehabilitate the sites under the Act. The </w:t>
      </w:r>
      <w:r>
        <w:lastRenderedPageBreak/>
        <w:t xml:space="preserve">contingent liability represents an estimate of the State’s possible financial exposure, </w:t>
      </w:r>
      <w:proofErr w:type="gramStart"/>
      <w:r>
        <w:t>in</w:t>
      </w:r>
      <w:r>
        <w:rPr>
          <w:rFonts w:ascii="Cambria" w:hAnsi="Cambria" w:cs="Cambria"/>
        </w:rPr>
        <w:t xml:space="preserve"> </w:t>
      </w:r>
      <w:r>
        <w:t>the event that</w:t>
      </w:r>
      <w:proofErr w:type="gramEnd"/>
      <w:r>
        <w:t xml:space="preserve"> authority holders with a rehabilitation bond shortfall default on their obligations and the State makes a determination to</w:t>
      </w:r>
      <w:r>
        <w:rPr>
          <w:rFonts w:ascii="Cambria" w:hAnsi="Cambria" w:cs="Cambria"/>
        </w:rPr>
        <w:t xml:space="preserve"> </w:t>
      </w:r>
      <w:r>
        <w:t>rehabilitate the sites. This was transferred to DEECA as part of the machinery of government changes effective 1 January 2023.</w:t>
      </w:r>
    </w:p>
    <w:p w14:paraId="3CAA2043" w14:textId="69B8AF95" w:rsidR="000756EB" w:rsidRPr="003008C1" w:rsidRDefault="004A4D88" w:rsidP="003008C1">
      <w:pPr>
        <w:pStyle w:val="Normalbeforebullets"/>
        <w:rPr>
          <w:b/>
          <w:bCs/>
        </w:rPr>
      </w:pPr>
      <w:r w:rsidRPr="003008C1">
        <w:rPr>
          <w:b/>
          <w:bCs/>
        </w:rPr>
        <w:t>Non-quantifiable</w:t>
      </w:r>
      <w:r w:rsidR="00A03629" w:rsidRPr="003008C1">
        <w:rPr>
          <w:b/>
          <w:bCs/>
        </w:rPr>
        <w:t xml:space="preserve"> </w:t>
      </w:r>
      <w:r w:rsidRPr="003008C1">
        <w:rPr>
          <w:b/>
          <w:bCs/>
        </w:rPr>
        <w:t>contingent</w:t>
      </w:r>
      <w:r w:rsidR="00A03629" w:rsidRPr="003008C1">
        <w:rPr>
          <w:b/>
          <w:bCs/>
        </w:rPr>
        <w:t xml:space="preserve"> </w:t>
      </w:r>
      <w:r w:rsidRPr="003008C1">
        <w:rPr>
          <w:b/>
          <w:bCs/>
        </w:rPr>
        <w:t>liabilities</w:t>
      </w:r>
    </w:p>
    <w:p w14:paraId="65A4768A" w14:textId="512C7523" w:rsidR="000756EB" w:rsidRDefault="004A4D88" w:rsidP="003008C1">
      <w:r>
        <w:t>From</w:t>
      </w:r>
      <w:r w:rsidR="00A03629">
        <w:t xml:space="preserve"> </w:t>
      </w:r>
      <w:r>
        <w:t>1</w:t>
      </w:r>
      <w:r w:rsidR="00A03629">
        <w:t xml:space="preserve"> </w:t>
      </w:r>
      <w:r>
        <w:t>January</w:t>
      </w:r>
      <w:r w:rsidR="00A03629">
        <w:t xml:space="preserve"> </w:t>
      </w:r>
      <w:r>
        <w:t>2023,</w:t>
      </w:r>
      <w:r w:rsidR="00A03629">
        <w:t xml:space="preserve"> </w:t>
      </w:r>
      <w:r>
        <w:t>all</w:t>
      </w:r>
      <w:r w:rsidR="00A03629">
        <w:t xml:space="preserve"> </w:t>
      </w:r>
      <w:r>
        <w:t>DJSIR’s</w:t>
      </w:r>
      <w:r w:rsidR="00A03629">
        <w:t xml:space="preserve"> </w:t>
      </w:r>
      <w:r>
        <w:t>joint</w:t>
      </w:r>
      <w:r w:rsidR="00A03629">
        <w:t xml:space="preserve"> </w:t>
      </w:r>
      <w:r>
        <w:t>venture</w:t>
      </w:r>
      <w:r w:rsidR="00A03629">
        <w:t xml:space="preserve"> </w:t>
      </w:r>
      <w:r>
        <w:t>arrangements</w:t>
      </w:r>
      <w:r w:rsidR="00A03629">
        <w:t xml:space="preserve"> </w:t>
      </w:r>
      <w:r>
        <w:t>have</w:t>
      </w:r>
      <w:r w:rsidR="00A03629">
        <w:t xml:space="preserve"> </w:t>
      </w:r>
      <w:r>
        <w:t>been</w:t>
      </w:r>
      <w:r w:rsidR="00A03629">
        <w:t xml:space="preserve"> </w:t>
      </w:r>
      <w:r>
        <w:t>transferred</w:t>
      </w:r>
      <w:r w:rsidR="00A03629">
        <w:t xml:space="preserve"> </w:t>
      </w:r>
      <w:r>
        <w:t>out</w:t>
      </w:r>
      <w:r w:rsidR="00A03629">
        <w:t xml:space="preserve"> </w:t>
      </w:r>
      <w:r>
        <w:t>of</w:t>
      </w:r>
      <w:r w:rsidR="00A03629">
        <w:t xml:space="preserve"> </w:t>
      </w:r>
      <w:r>
        <w:t>the</w:t>
      </w:r>
      <w:r w:rsidR="00A03629">
        <w:t xml:space="preserve"> </w:t>
      </w:r>
      <w:r>
        <w:t>department</w:t>
      </w:r>
      <w:r w:rsidR="00A03629">
        <w:t xml:space="preserve"> </w:t>
      </w:r>
      <w:r>
        <w:t>portfolio.</w:t>
      </w:r>
      <w:r w:rsidR="00A03629">
        <w:t xml:space="preserve"> </w:t>
      </w:r>
      <w:r>
        <w:t>Therefore,</w:t>
      </w:r>
      <w:r w:rsidR="00A03629">
        <w:t xml:space="preserve"> </w:t>
      </w:r>
      <w:r>
        <w:t>the</w:t>
      </w:r>
      <w:r w:rsidR="00A03629">
        <w:t xml:space="preserve"> </w:t>
      </w:r>
      <w:r>
        <w:t>department</w:t>
      </w:r>
      <w:r w:rsidR="00A03629">
        <w:t xml:space="preserve"> </w:t>
      </w:r>
      <w:r>
        <w:t>has</w:t>
      </w:r>
      <w:r w:rsidR="00A03629">
        <w:t xml:space="preserve"> </w:t>
      </w:r>
      <w:r>
        <w:t>no</w:t>
      </w:r>
      <w:r w:rsidR="00A03629">
        <w:t xml:space="preserve"> </w:t>
      </w:r>
      <w:r>
        <w:t>contingent</w:t>
      </w:r>
      <w:r w:rsidR="00A03629">
        <w:t xml:space="preserve"> </w:t>
      </w:r>
      <w:r>
        <w:t>liabilities</w:t>
      </w:r>
      <w:r w:rsidR="00A03629">
        <w:t xml:space="preserve"> </w:t>
      </w:r>
      <w:r>
        <w:t>relating</w:t>
      </w:r>
      <w:r w:rsidR="00A03629">
        <w:t xml:space="preserve"> </w:t>
      </w:r>
      <w:r>
        <w:t>to</w:t>
      </w:r>
      <w:r w:rsidR="00A03629">
        <w:t xml:space="preserve"> </w:t>
      </w:r>
      <w:r>
        <w:t>these</w:t>
      </w:r>
      <w:r w:rsidR="00A03629">
        <w:t xml:space="preserve"> </w:t>
      </w:r>
      <w:r>
        <w:t>arrangements.</w:t>
      </w:r>
    </w:p>
    <w:p w14:paraId="716481EB" w14:textId="06CC5187" w:rsidR="000756EB" w:rsidRDefault="004A4D88" w:rsidP="003008C1">
      <w:pPr>
        <w:rPr>
          <w:b/>
          <w:bCs/>
          <w:color w:val="333740"/>
          <w:sz w:val="22"/>
          <w:szCs w:val="22"/>
        </w:rPr>
      </w:pPr>
      <w:r>
        <w:t>Contingent</w:t>
      </w:r>
      <w:r w:rsidR="00A03629">
        <w:t xml:space="preserve"> </w:t>
      </w:r>
      <w:r>
        <w:t>liabilities</w:t>
      </w:r>
      <w:r w:rsidR="00A03629">
        <w:t xml:space="preserve"> </w:t>
      </w:r>
      <w:r>
        <w:t>are</w:t>
      </w:r>
      <w:r w:rsidR="00A03629">
        <w:t xml:space="preserve"> </w:t>
      </w:r>
      <w:r>
        <w:t>not</w:t>
      </w:r>
      <w:r w:rsidR="00A03629">
        <w:t xml:space="preserve"> </w:t>
      </w:r>
      <w:r>
        <w:t>secured</w:t>
      </w:r>
      <w:r w:rsidR="00A03629">
        <w:t xml:space="preserve"> </w:t>
      </w:r>
      <w:r>
        <w:t>over</w:t>
      </w:r>
      <w:r w:rsidR="00A03629">
        <w:t xml:space="preserve"> </w:t>
      </w:r>
      <w:r>
        <w:t>any</w:t>
      </w:r>
      <w:r w:rsidR="00A03629">
        <w:t xml:space="preserve"> </w:t>
      </w:r>
      <w:r>
        <w:t>of</w:t>
      </w:r>
      <w:r w:rsidR="00A03629">
        <w:rPr>
          <w:rFonts w:ascii="Cambria" w:hAnsi="Cambria" w:cs="Cambria"/>
        </w:rPr>
        <w:t xml:space="preserve"> </w:t>
      </w:r>
      <w:r>
        <w:t>the</w:t>
      </w:r>
      <w:r w:rsidR="00A03629">
        <w:rPr>
          <w:rFonts w:ascii="Cambria" w:hAnsi="Cambria" w:cs="Cambria"/>
        </w:rPr>
        <w:t xml:space="preserve"> </w:t>
      </w:r>
      <w:r>
        <w:t>assets</w:t>
      </w:r>
      <w:r w:rsidR="00A03629">
        <w:t xml:space="preserve"> </w:t>
      </w:r>
      <w:r>
        <w:t>of</w:t>
      </w:r>
      <w:r w:rsidR="00A03629">
        <w:t xml:space="preserve"> </w:t>
      </w:r>
      <w:r>
        <w:t>DJSIR.</w:t>
      </w:r>
    </w:p>
    <w:p w14:paraId="37D902E4" w14:textId="7E4A497C" w:rsidR="000756EB" w:rsidRDefault="004A4D88" w:rsidP="003008C1">
      <w:pPr>
        <w:pStyle w:val="Heading2"/>
      </w:pPr>
      <w:bookmarkStart w:id="127" w:name="_Toc149911835"/>
      <w:r>
        <w:t>8.3</w:t>
      </w:r>
      <w:r w:rsidR="00DE38B5">
        <w:t xml:space="preserve"> </w:t>
      </w:r>
      <w:r>
        <w:t>Fair</w:t>
      </w:r>
      <w:r w:rsidR="00A03629">
        <w:t xml:space="preserve"> </w:t>
      </w:r>
      <w:r>
        <w:t>value</w:t>
      </w:r>
      <w:r w:rsidR="00A03629">
        <w:t xml:space="preserve"> </w:t>
      </w:r>
      <w:r>
        <w:t>determination</w:t>
      </w:r>
      <w:bookmarkEnd w:id="127"/>
    </w:p>
    <w:p w14:paraId="1B50BBAC" w14:textId="2A32804E" w:rsidR="000756EB" w:rsidRDefault="004A4D88" w:rsidP="003008C1">
      <w:r>
        <w:t>This</w:t>
      </w:r>
      <w:r w:rsidR="00A03629">
        <w:t xml:space="preserve"> </w:t>
      </w:r>
      <w:r>
        <w:t>section</w:t>
      </w:r>
      <w:r w:rsidR="00A03629">
        <w:t xml:space="preserve"> </w:t>
      </w:r>
      <w:r>
        <w:t>sets</w:t>
      </w:r>
      <w:r w:rsidR="00A03629">
        <w:t xml:space="preserve"> </w:t>
      </w:r>
      <w:r>
        <w:t>out</w:t>
      </w:r>
      <w:r w:rsidR="00A03629">
        <w:t xml:space="preserve"> </w:t>
      </w:r>
      <w:r>
        <w:t>information</w:t>
      </w:r>
      <w:r w:rsidR="00A03629">
        <w:t xml:space="preserve"> </w:t>
      </w:r>
      <w:r>
        <w:t>on</w:t>
      </w:r>
      <w:r w:rsidR="00A03629">
        <w:t xml:space="preserve"> </w:t>
      </w:r>
      <w:r>
        <w:t>how</w:t>
      </w:r>
      <w:r w:rsidR="00A03629">
        <w:t xml:space="preserve"> </w:t>
      </w:r>
      <w:r>
        <w:t>DJSIR</w:t>
      </w:r>
      <w:r w:rsidR="00A03629">
        <w:t xml:space="preserve"> </w:t>
      </w:r>
      <w:r>
        <w:t>determined</w:t>
      </w:r>
      <w:r w:rsidR="00A03629">
        <w:t xml:space="preserve"> </w:t>
      </w:r>
      <w:r>
        <w:t>fair</w:t>
      </w:r>
      <w:r w:rsidR="00A03629">
        <w:t xml:space="preserve"> </w:t>
      </w:r>
      <w:r>
        <w:t>value</w:t>
      </w:r>
      <w:r w:rsidR="00A03629">
        <w:t xml:space="preserve"> </w:t>
      </w:r>
      <w:r>
        <w:t>for</w:t>
      </w:r>
      <w:r w:rsidR="00A03629">
        <w:t xml:space="preserve"> </w:t>
      </w:r>
      <w:r>
        <w:t>financial</w:t>
      </w:r>
      <w:r w:rsidR="00A03629">
        <w:t xml:space="preserve"> </w:t>
      </w:r>
      <w:r>
        <w:t>reporting</w:t>
      </w:r>
      <w:r w:rsidR="00A03629">
        <w:t xml:space="preserve"> </w:t>
      </w:r>
      <w:r>
        <w:t>purposes.</w:t>
      </w:r>
      <w:r w:rsidR="00A03629">
        <w:t xml:space="preserve"> </w:t>
      </w:r>
      <w:r>
        <w:t>Fair</w:t>
      </w:r>
      <w:r w:rsidR="00A03629">
        <w:t xml:space="preserve"> </w:t>
      </w:r>
      <w:r>
        <w:t>value</w:t>
      </w:r>
      <w:r w:rsidR="00A03629">
        <w:t xml:space="preserve"> </w:t>
      </w:r>
      <w:r>
        <w:t>is</w:t>
      </w:r>
      <w:r w:rsidR="00A03629">
        <w:t xml:space="preserve"> </w:t>
      </w:r>
      <w:r>
        <w:t>the</w:t>
      </w:r>
      <w:r w:rsidR="00A03629">
        <w:t xml:space="preserve"> </w:t>
      </w:r>
      <w:r>
        <w:t>price</w:t>
      </w:r>
      <w:r w:rsidR="00A03629">
        <w:t xml:space="preserve"> </w:t>
      </w:r>
      <w:r>
        <w:t>that</w:t>
      </w:r>
      <w:r w:rsidR="00A03629">
        <w:t xml:space="preserve"> </w:t>
      </w:r>
      <w:r>
        <w:t>would</w:t>
      </w:r>
      <w:r w:rsidR="00A03629">
        <w:t xml:space="preserve"> </w:t>
      </w:r>
      <w:r>
        <w:t>be</w:t>
      </w:r>
      <w:r w:rsidR="00A03629">
        <w:t xml:space="preserve"> </w:t>
      </w:r>
      <w:r>
        <w:t>received</w:t>
      </w:r>
      <w:r w:rsidR="00A03629">
        <w:t xml:space="preserve"> </w:t>
      </w:r>
      <w:r>
        <w:t>to</w:t>
      </w:r>
      <w:r w:rsidR="00A03629">
        <w:t xml:space="preserve"> </w:t>
      </w:r>
      <w:r>
        <w:t>sell</w:t>
      </w:r>
      <w:r w:rsidR="00A03629">
        <w:t xml:space="preserve"> </w:t>
      </w:r>
      <w:r>
        <w:t>an</w:t>
      </w:r>
      <w:r w:rsidR="00A03629">
        <w:t xml:space="preserve"> </w:t>
      </w:r>
      <w:r>
        <w:t>asset</w:t>
      </w:r>
      <w:r w:rsidR="00A03629">
        <w:t xml:space="preserve"> </w:t>
      </w:r>
      <w:r>
        <w:t>or</w:t>
      </w:r>
      <w:r w:rsidR="00A03629">
        <w:t xml:space="preserve"> </w:t>
      </w:r>
      <w:r>
        <w:t>paid</w:t>
      </w:r>
      <w:r w:rsidR="00A03629">
        <w:t xml:space="preserve"> </w:t>
      </w:r>
      <w:r>
        <w:t>to</w:t>
      </w:r>
      <w:r w:rsidR="00A03629">
        <w:t xml:space="preserve"> </w:t>
      </w:r>
      <w:r>
        <w:t>transfer</w:t>
      </w:r>
      <w:r w:rsidR="00A03629">
        <w:t xml:space="preserve"> </w:t>
      </w:r>
      <w:r>
        <w:t>a</w:t>
      </w:r>
      <w:r w:rsidR="00A03629">
        <w:t xml:space="preserve"> </w:t>
      </w:r>
      <w:r>
        <w:t>liability</w:t>
      </w:r>
      <w:r w:rsidR="00A03629">
        <w:t xml:space="preserve"> </w:t>
      </w:r>
      <w:r>
        <w:t>in</w:t>
      </w:r>
      <w:r w:rsidR="00A03629">
        <w:t xml:space="preserve"> </w:t>
      </w:r>
      <w:r>
        <w:t>an</w:t>
      </w:r>
      <w:r w:rsidR="00A03629">
        <w:t xml:space="preserve"> </w:t>
      </w:r>
      <w:r>
        <w:t>orderly</w:t>
      </w:r>
      <w:r w:rsidR="00A03629">
        <w:t xml:space="preserve"> </w:t>
      </w:r>
      <w:r>
        <w:t>transaction</w:t>
      </w:r>
      <w:r w:rsidR="00A03629">
        <w:t xml:space="preserve"> </w:t>
      </w:r>
      <w:r>
        <w:t>between</w:t>
      </w:r>
      <w:r w:rsidR="00A03629">
        <w:t xml:space="preserve"> </w:t>
      </w:r>
      <w:r>
        <w:t>market</w:t>
      </w:r>
      <w:r w:rsidR="00A03629">
        <w:rPr>
          <w:rFonts w:ascii="Cambria" w:hAnsi="Cambria" w:cs="Cambria"/>
        </w:rPr>
        <w:t xml:space="preserve"> </w:t>
      </w:r>
      <w:r>
        <w:t>participants</w:t>
      </w:r>
      <w:r w:rsidR="00A03629">
        <w:t xml:space="preserve"> </w:t>
      </w:r>
      <w:r>
        <w:t>at</w:t>
      </w:r>
      <w:r w:rsidR="00A03629">
        <w:t xml:space="preserve"> </w:t>
      </w:r>
      <w:r>
        <w:t>the</w:t>
      </w:r>
      <w:r w:rsidR="00A03629">
        <w:t xml:space="preserve"> </w:t>
      </w:r>
      <w:r>
        <w:t>measurement</w:t>
      </w:r>
      <w:r w:rsidR="00A03629">
        <w:t xml:space="preserve"> </w:t>
      </w:r>
      <w:r>
        <w:t>date.</w:t>
      </w:r>
    </w:p>
    <w:p w14:paraId="033C7CF8" w14:textId="3A92789E" w:rsidR="000756EB" w:rsidRDefault="004A4D88" w:rsidP="003008C1">
      <w:pPr>
        <w:pStyle w:val="Normalbeforebullets"/>
      </w:pPr>
      <w:r>
        <w:t>The</w:t>
      </w:r>
      <w:r w:rsidR="00A03629">
        <w:t xml:space="preserve"> </w:t>
      </w:r>
      <w:r>
        <w:t>following</w:t>
      </w:r>
      <w:r w:rsidR="00A03629">
        <w:t xml:space="preserve"> </w:t>
      </w:r>
      <w:r>
        <w:t>assets</w:t>
      </w:r>
      <w:r w:rsidR="00A03629">
        <w:t xml:space="preserve"> </w:t>
      </w:r>
      <w:r>
        <w:t>and</w:t>
      </w:r>
      <w:r w:rsidR="00A03629">
        <w:t xml:space="preserve"> </w:t>
      </w:r>
      <w:r>
        <w:t>liabilities</w:t>
      </w:r>
      <w:r w:rsidR="00A03629">
        <w:t xml:space="preserve"> </w:t>
      </w:r>
      <w:r>
        <w:t>are</w:t>
      </w:r>
      <w:r w:rsidR="00A03629">
        <w:t xml:space="preserve"> </w:t>
      </w:r>
      <w:r>
        <w:t>carried</w:t>
      </w:r>
      <w:r w:rsidR="00A03629">
        <w:t xml:space="preserve"> </w:t>
      </w:r>
      <w:r>
        <w:t>at</w:t>
      </w:r>
      <w:r w:rsidR="00A03629">
        <w:rPr>
          <w:rFonts w:ascii="Cambria" w:hAnsi="Cambria" w:cs="Cambria"/>
        </w:rPr>
        <w:t xml:space="preserve"> </w:t>
      </w:r>
      <w:r>
        <w:t>fair</w:t>
      </w:r>
      <w:r w:rsidR="00A03629">
        <w:rPr>
          <w:rFonts w:ascii="Cambria" w:hAnsi="Cambria" w:cs="Cambria"/>
        </w:rPr>
        <w:t xml:space="preserve"> </w:t>
      </w:r>
      <w:r>
        <w:t>value:</w:t>
      </w:r>
    </w:p>
    <w:p w14:paraId="4292F482" w14:textId="6DA73229" w:rsidR="000756EB" w:rsidRDefault="004A4D88" w:rsidP="003008C1">
      <w:pPr>
        <w:pStyle w:val="Bullet"/>
      </w:pPr>
      <w:r>
        <w:t>financial</w:t>
      </w:r>
      <w:r w:rsidR="00A03629">
        <w:t xml:space="preserve"> </w:t>
      </w:r>
      <w:r>
        <w:t>assets</w:t>
      </w:r>
      <w:r w:rsidR="00A03629">
        <w:t xml:space="preserve"> </w:t>
      </w:r>
      <w:r>
        <w:t>and</w:t>
      </w:r>
      <w:r w:rsidR="00A03629">
        <w:t xml:space="preserve"> </w:t>
      </w:r>
      <w:r>
        <w:t>liabilities</w:t>
      </w:r>
      <w:r w:rsidR="00A03629">
        <w:t xml:space="preserve"> </w:t>
      </w:r>
      <w:r>
        <w:t>at</w:t>
      </w:r>
      <w:r w:rsidR="00A03629">
        <w:t xml:space="preserve"> </w:t>
      </w:r>
      <w:r>
        <w:t>fair</w:t>
      </w:r>
      <w:r w:rsidR="00A03629">
        <w:t xml:space="preserve"> </w:t>
      </w:r>
      <w:r>
        <w:t>value</w:t>
      </w:r>
      <w:r w:rsidR="00A03629">
        <w:t xml:space="preserve"> </w:t>
      </w:r>
      <w:r>
        <w:t>through</w:t>
      </w:r>
      <w:r w:rsidR="00A03629">
        <w:rPr>
          <w:rFonts w:ascii="Cambria" w:hAnsi="Cambria" w:cs="Cambria"/>
        </w:rPr>
        <w:t xml:space="preserve"> </w:t>
      </w:r>
      <w:r>
        <w:t>operating</w:t>
      </w:r>
      <w:r w:rsidR="00A03629">
        <w:t xml:space="preserve"> </w:t>
      </w:r>
      <w:r>
        <w:t>result;</w:t>
      </w:r>
      <w:r w:rsidR="00A03629">
        <w:t xml:space="preserve"> </w:t>
      </w:r>
      <w:r>
        <w:t>and</w:t>
      </w:r>
    </w:p>
    <w:p w14:paraId="1ABB04D6" w14:textId="57479F8D" w:rsidR="000756EB" w:rsidRDefault="004A4D88" w:rsidP="003008C1">
      <w:pPr>
        <w:pStyle w:val="Bulletlast"/>
      </w:pPr>
      <w:r>
        <w:t>property,</w:t>
      </w:r>
      <w:r w:rsidR="00A03629">
        <w:t xml:space="preserve"> </w:t>
      </w:r>
      <w:proofErr w:type="gramStart"/>
      <w:r>
        <w:t>plant</w:t>
      </w:r>
      <w:proofErr w:type="gramEnd"/>
      <w:r w:rsidR="00A03629">
        <w:t xml:space="preserve"> </w:t>
      </w:r>
      <w:r>
        <w:t>and</w:t>
      </w:r>
      <w:r w:rsidR="00A03629">
        <w:t xml:space="preserve"> </w:t>
      </w:r>
      <w:r>
        <w:t>equipment.</w:t>
      </w:r>
    </w:p>
    <w:p w14:paraId="13B5358D" w14:textId="047CB0A0" w:rsidR="000756EB" w:rsidRPr="003008C1" w:rsidRDefault="004A4D88" w:rsidP="003008C1">
      <w:pPr>
        <w:pStyle w:val="Normalbeforebullets"/>
        <w:rPr>
          <w:b/>
          <w:bCs/>
        </w:rPr>
      </w:pPr>
      <w:r w:rsidRPr="003008C1">
        <w:rPr>
          <w:b/>
          <w:bCs/>
        </w:rPr>
        <w:t>Fair</w:t>
      </w:r>
      <w:r w:rsidR="00A03629" w:rsidRPr="003008C1">
        <w:rPr>
          <w:b/>
          <w:bCs/>
        </w:rPr>
        <w:t xml:space="preserve"> </w:t>
      </w:r>
      <w:r w:rsidRPr="003008C1">
        <w:rPr>
          <w:b/>
          <w:bCs/>
        </w:rPr>
        <w:t>value</w:t>
      </w:r>
      <w:r w:rsidR="00A03629" w:rsidRPr="003008C1">
        <w:rPr>
          <w:b/>
          <w:bCs/>
        </w:rPr>
        <w:t xml:space="preserve"> </w:t>
      </w:r>
      <w:r w:rsidRPr="003008C1">
        <w:rPr>
          <w:b/>
          <w:bCs/>
        </w:rPr>
        <w:t>hierarchy</w:t>
      </w:r>
    </w:p>
    <w:p w14:paraId="29D4115B" w14:textId="021EB75D" w:rsidR="000756EB" w:rsidRDefault="004A4D88" w:rsidP="003008C1">
      <w:pPr>
        <w:pStyle w:val="Normalbeforebullets"/>
      </w:pPr>
      <w:r>
        <w:t>In</w:t>
      </w:r>
      <w:r w:rsidR="00A03629">
        <w:t xml:space="preserve"> </w:t>
      </w:r>
      <w:r>
        <w:t>determining</w:t>
      </w:r>
      <w:r w:rsidR="00A03629">
        <w:t xml:space="preserve"> </w:t>
      </w:r>
      <w:r>
        <w:t>fair</w:t>
      </w:r>
      <w:r w:rsidR="00A03629">
        <w:t xml:space="preserve"> </w:t>
      </w:r>
      <w:proofErr w:type="gramStart"/>
      <w:r>
        <w:t>values</w:t>
      </w:r>
      <w:proofErr w:type="gramEnd"/>
      <w:r w:rsidR="00A03629">
        <w:t xml:space="preserve"> </w:t>
      </w:r>
      <w:r>
        <w:t>a</w:t>
      </w:r>
      <w:r w:rsidR="00A03629">
        <w:t xml:space="preserve"> </w:t>
      </w:r>
      <w:r>
        <w:t>number</w:t>
      </w:r>
      <w:r w:rsidR="00A03629">
        <w:t xml:space="preserve"> </w:t>
      </w:r>
      <w:r>
        <w:t>of</w:t>
      </w:r>
      <w:r w:rsidR="00A03629">
        <w:t xml:space="preserve"> </w:t>
      </w:r>
      <w:r>
        <w:t>inputs</w:t>
      </w:r>
      <w:r w:rsidR="00A03629">
        <w:t xml:space="preserve"> </w:t>
      </w:r>
      <w:r>
        <w:t>are</w:t>
      </w:r>
      <w:r w:rsidR="00A03629">
        <w:t xml:space="preserve"> </w:t>
      </w:r>
      <w:r>
        <w:t>used.</w:t>
      </w:r>
      <w:r w:rsidR="00A03629">
        <w:t xml:space="preserve"> </w:t>
      </w:r>
      <w:r>
        <w:t>To</w:t>
      </w:r>
      <w:r w:rsidR="00A03629">
        <w:t xml:space="preserve"> </w:t>
      </w:r>
      <w:r>
        <w:t>increase</w:t>
      </w:r>
      <w:r w:rsidR="00A03629">
        <w:t xml:space="preserve"> </w:t>
      </w:r>
      <w:r>
        <w:t>consistency</w:t>
      </w:r>
      <w:r w:rsidR="00A03629">
        <w:t xml:space="preserve"> </w:t>
      </w:r>
      <w:r>
        <w:t>and</w:t>
      </w:r>
      <w:r w:rsidR="00A03629">
        <w:t xml:space="preserve"> </w:t>
      </w:r>
      <w:r>
        <w:t>comparability</w:t>
      </w:r>
      <w:r w:rsidR="00A03629">
        <w:t xml:space="preserve"> </w:t>
      </w:r>
      <w:r>
        <w:t>in</w:t>
      </w:r>
      <w:r w:rsidR="00A03629">
        <w:t xml:space="preserve"> </w:t>
      </w:r>
      <w:r>
        <w:t>the</w:t>
      </w:r>
      <w:r w:rsidR="00A03629">
        <w:t xml:space="preserve"> </w:t>
      </w:r>
      <w:r>
        <w:t>financial</w:t>
      </w:r>
      <w:r w:rsidR="00A03629">
        <w:t xml:space="preserve"> </w:t>
      </w:r>
      <w:r>
        <w:t>statements,</w:t>
      </w:r>
      <w:r w:rsidR="00A03629">
        <w:t xml:space="preserve"> </w:t>
      </w:r>
      <w:r>
        <w:t>these</w:t>
      </w:r>
      <w:r w:rsidR="00A03629">
        <w:t xml:space="preserve"> </w:t>
      </w:r>
      <w:r>
        <w:t>inputs</w:t>
      </w:r>
      <w:r w:rsidR="00A03629">
        <w:t xml:space="preserve"> </w:t>
      </w:r>
      <w:r>
        <w:t>are</w:t>
      </w:r>
      <w:r w:rsidR="00A03629">
        <w:t xml:space="preserve"> </w:t>
      </w:r>
      <w:r>
        <w:t>categorised</w:t>
      </w:r>
      <w:r w:rsidR="00A03629">
        <w:t xml:space="preserve"> </w:t>
      </w:r>
      <w:r>
        <w:t>into</w:t>
      </w:r>
      <w:r w:rsidR="00A03629">
        <w:t xml:space="preserve"> </w:t>
      </w:r>
      <w:r>
        <w:t>three</w:t>
      </w:r>
      <w:r w:rsidR="00A03629">
        <w:t xml:space="preserve"> </w:t>
      </w:r>
      <w:r>
        <w:t>levels,</w:t>
      </w:r>
      <w:r w:rsidR="00A03629">
        <w:t xml:space="preserve"> </w:t>
      </w:r>
      <w:r>
        <w:t>also</w:t>
      </w:r>
      <w:r w:rsidR="00A03629">
        <w:t xml:space="preserve"> </w:t>
      </w:r>
      <w:r>
        <w:t>known</w:t>
      </w:r>
      <w:r w:rsidR="00A03629">
        <w:t xml:space="preserve"> </w:t>
      </w:r>
      <w:r>
        <w:t>as</w:t>
      </w:r>
      <w:r w:rsidR="00A03629">
        <w:t xml:space="preserve"> </w:t>
      </w:r>
      <w:r>
        <w:t>the</w:t>
      </w:r>
      <w:r w:rsidR="00A03629">
        <w:t xml:space="preserve"> </w:t>
      </w:r>
      <w:r>
        <w:t>fair</w:t>
      </w:r>
      <w:r w:rsidR="00A03629">
        <w:rPr>
          <w:rFonts w:ascii="Cambria" w:hAnsi="Cambria" w:cs="Cambria"/>
        </w:rPr>
        <w:t xml:space="preserve"> </w:t>
      </w:r>
      <w:r>
        <w:t>value</w:t>
      </w:r>
      <w:r w:rsidR="00A03629">
        <w:t xml:space="preserve"> </w:t>
      </w:r>
      <w:r>
        <w:t>hierarchy.</w:t>
      </w:r>
      <w:r w:rsidR="00A03629">
        <w:t xml:space="preserve"> </w:t>
      </w:r>
      <w:r>
        <w:t>The</w:t>
      </w:r>
      <w:r w:rsidR="00A03629">
        <w:t xml:space="preserve"> </w:t>
      </w:r>
      <w:r>
        <w:t>levels</w:t>
      </w:r>
      <w:r w:rsidR="00A03629">
        <w:t xml:space="preserve"> </w:t>
      </w:r>
      <w:r>
        <w:t>are</w:t>
      </w:r>
      <w:r w:rsidR="00A03629">
        <w:t xml:space="preserve"> </w:t>
      </w:r>
      <w:r>
        <w:t>as</w:t>
      </w:r>
      <w:r w:rsidR="00A03629">
        <w:t xml:space="preserve"> </w:t>
      </w:r>
      <w:r>
        <w:t>follows:</w:t>
      </w:r>
    </w:p>
    <w:p w14:paraId="47AA8D33" w14:textId="49274748" w:rsidR="000756EB" w:rsidRDefault="004A4D88" w:rsidP="002F48E0">
      <w:pPr>
        <w:pStyle w:val="Bullet"/>
      </w:pPr>
      <w:r>
        <w:t>Level</w:t>
      </w:r>
      <w:r w:rsidR="00A03629">
        <w:t xml:space="preserve"> </w:t>
      </w:r>
      <w:r>
        <w:t>1</w:t>
      </w:r>
      <w:r w:rsidR="00A03629">
        <w:t xml:space="preserve"> </w:t>
      </w:r>
      <w:r>
        <w:t>–</w:t>
      </w:r>
      <w:r w:rsidR="00A03629">
        <w:t xml:space="preserve"> </w:t>
      </w:r>
      <w:r>
        <w:t>quoted</w:t>
      </w:r>
      <w:r w:rsidR="00A03629">
        <w:t xml:space="preserve"> </w:t>
      </w:r>
      <w:r>
        <w:t>(unadjusted)</w:t>
      </w:r>
      <w:r w:rsidR="00A03629">
        <w:t xml:space="preserve"> </w:t>
      </w:r>
      <w:r>
        <w:t>market</w:t>
      </w:r>
      <w:r w:rsidR="00A03629">
        <w:t xml:space="preserve"> </w:t>
      </w:r>
      <w:r>
        <w:t>prices</w:t>
      </w:r>
      <w:r w:rsidR="00A03629">
        <w:t xml:space="preserve"> </w:t>
      </w:r>
      <w:r>
        <w:t>in</w:t>
      </w:r>
      <w:r w:rsidR="00A03629">
        <w:t xml:space="preserve"> </w:t>
      </w:r>
      <w:r>
        <w:t>active</w:t>
      </w:r>
      <w:r w:rsidR="00A03629">
        <w:t xml:space="preserve"> </w:t>
      </w:r>
      <w:r>
        <w:t>markets</w:t>
      </w:r>
      <w:r w:rsidR="00A03629">
        <w:t xml:space="preserve"> </w:t>
      </w:r>
      <w:r>
        <w:t>for</w:t>
      </w:r>
      <w:r w:rsidR="00A03629">
        <w:t xml:space="preserve"> </w:t>
      </w:r>
      <w:r>
        <w:t>identical</w:t>
      </w:r>
      <w:r w:rsidR="00A03629">
        <w:t xml:space="preserve"> </w:t>
      </w:r>
      <w:r>
        <w:t>assets</w:t>
      </w:r>
      <w:r w:rsidR="00A03629">
        <w:t xml:space="preserve"> </w:t>
      </w:r>
      <w:r>
        <w:t>or</w:t>
      </w:r>
      <w:r w:rsidR="00A03629">
        <w:t xml:space="preserve"> </w:t>
      </w:r>
      <w:proofErr w:type="gramStart"/>
      <w:r>
        <w:t>liabilities;</w:t>
      </w:r>
      <w:proofErr w:type="gramEnd"/>
    </w:p>
    <w:p w14:paraId="74F7BFC1" w14:textId="76176065" w:rsidR="000756EB" w:rsidRDefault="004A4D88" w:rsidP="002F48E0">
      <w:pPr>
        <w:pStyle w:val="Bullet"/>
      </w:pPr>
      <w:r>
        <w:t>Level</w:t>
      </w:r>
      <w:r w:rsidR="00A03629">
        <w:t xml:space="preserve"> </w:t>
      </w:r>
      <w:r>
        <w:t>2</w:t>
      </w:r>
      <w:r w:rsidR="00A03629">
        <w:t xml:space="preserve"> </w:t>
      </w:r>
      <w:r>
        <w:t>–</w:t>
      </w:r>
      <w:r w:rsidR="00A03629">
        <w:t xml:space="preserve"> </w:t>
      </w:r>
      <w:r>
        <w:t>valuation</w:t>
      </w:r>
      <w:r w:rsidR="00A03629">
        <w:t xml:space="preserve"> </w:t>
      </w:r>
      <w:r>
        <w:t>techniques</w:t>
      </w:r>
      <w:r w:rsidR="00A03629">
        <w:t xml:space="preserve"> </w:t>
      </w:r>
      <w:r>
        <w:t>for</w:t>
      </w:r>
      <w:r w:rsidR="00A03629">
        <w:t xml:space="preserve"> </w:t>
      </w:r>
      <w:r>
        <w:t>which</w:t>
      </w:r>
      <w:r w:rsidR="00A03629">
        <w:t xml:space="preserve"> </w:t>
      </w:r>
      <w:r>
        <w:t>the</w:t>
      </w:r>
      <w:r w:rsidR="00A03629">
        <w:t xml:space="preserve"> </w:t>
      </w:r>
      <w:r>
        <w:t>lowest</w:t>
      </w:r>
      <w:r w:rsidR="00A03629">
        <w:rPr>
          <w:rFonts w:ascii="Cambria" w:hAnsi="Cambria" w:cs="Cambria"/>
        </w:rPr>
        <w:t xml:space="preserve"> </w:t>
      </w:r>
      <w:r>
        <w:t>level</w:t>
      </w:r>
      <w:r w:rsidR="00A03629">
        <w:t xml:space="preserve"> </w:t>
      </w:r>
      <w:r>
        <w:t>input</w:t>
      </w:r>
      <w:r w:rsidR="00A03629">
        <w:t xml:space="preserve"> </w:t>
      </w:r>
      <w:r>
        <w:t>that</w:t>
      </w:r>
      <w:r w:rsidR="00A03629">
        <w:t xml:space="preserve"> </w:t>
      </w:r>
      <w:r>
        <w:t>is</w:t>
      </w:r>
      <w:r w:rsidR="00A03629">
        <w:t xml:space="preserve"> </w:t>
      </w:r>
      <w:r>
        <w:t>significant</w:t>
      </w:r>
      <w:r w:rsidR="00A03629">
        <w:t xml:space="preserve"> </w:t>
      </w:r>
      <w:r>
        <w:t>to</w:t>
      </w:r>
      <w:r w:rsidR="00A03629">
        <w:t xml:space="preserve"> </w:t>
      </w:r>
      <w:r>
        <w:t>the</w:t>
      </w:r>
      <w:r w:rsidR="00A03629">
        <w:t xml:space="preserve"> </w:t>
      </w:r>
      <w:r>
        <w:t>fair</w:t>
      </w:r>
      <w:r w:rsidR="00A03629">
        <w:t xml:space="preserve"> </w:t>
      </w:r>
      <w:r>
        <w:t>value</w:t>
      </w:r>
      <w:r w:rsidR="00A03629">
        <w:t xml:space="preserve"> </w:t>
      </w:r>
      <w:r>
        <w:t>measurement</w:t>
      </w:r>
      <w:r w:rsidR="00A03629">
        <w:t xml:space="preserve"> </w:t>
      </w:r>
      <w:r>
        <w:t>is</w:t>
      </w:r>
      <w:r w:rsidR="00A03629">
        <w:t xml:space="preserve"> </w:t>
      </w:r>
      <w:r>
        <w:t>directly</w:t>
      </w:r>
      <w:r w:rsidR="00A03629">
        <w:t xml:space="preserve"> </w:t>
      </w:r>
      <w:r>
        <w:t>or</w:t>
      </w:r>
      <w:r w:rsidR="00A03629">
        <w:t xml:space="preserve"> </w:t>
      </w:r>
      <w:r>
        <w:t>indirectly</w:t>
      </w:r>
      <w:r w:rsidR="00A03629">
        <w:t xml:space="preserve"> </w:t>
      </w:r>
      <w:r>
        <w:t>observable;</w:t>
      </w:r>
      <w:r w:rsidR="00A03629">
        <w:t xml:space="preserve"> </w:t>
      </w:r>
      <w:r>
        <w:t>and</w:t>
      </w:r>
    </w:p>
    <w:p w14:paraId="5F845456" w14:textId="4D66640E" w:rsidR="000756EB" w:rsidRDefault="004A4D88" w:rsidP="002F48E0">
      <w:pPr>
        <w:pStyle w:val="Bulletlast"/>
      </w:pPr>
      <w:r>
        <w:t>Level</w:t>
      </w:r>
      <w:r w:rsidR="00A03629">
        <w:t xml:space="preserve"> </w:t>
      </w:r>
      <w:r>
        <w:t>3</w:t>
      </w:r>
      <w:r w:rsidR="00A03629">
        <w:t xml:space="preserve"> </w:t>
      </w:r>
      <w:r>
        <w:t>–</w:t>
      </w:r>
      <w:r w:rsidR="00A03629">
        <w:t xml:space="preserve"> </w:t>
      </w:r>
      <w:r>
        <w:t>valuation</w:t>
      </w:r>
      <w:r w:rsidR="00A03629">
        <w:t xml:space="preserve"> </w:t>
      </w:r>
      <w:r>
        <w:t>techniques</w:t>
      </w:r>
      <w:r w:rsidR="00A03629">
        <w:t xml:space="preserve"> </w:t>
      </w:r>
      <w:r>
        <w:t>for</w:t>
      </w:r>
      <w:r w:rsidR="00A03629">
        <w:t xml:space="preserve"> </w:t>
      </w:r>
      <w:r>
        <w:t>which</w:t>
      </w:r>
      <w:r w:rsidR="00A03629">
        <w:t xml:space="preserve"> </w:t>
      </w:r>
      <w:r>
        <w:t>the</w:t>
      </w:r>
      <w:r w:rsidR="00A03629">
        <w:t xml:space="preserve"> </w:t>
      </w:r>
      <w:r>
        <w:t>lowest</w:t>
      </w:r>
      <w:r w:rsidR="00A03629">
        <w:t xml:space="preserve"> </w:t>
      </w:r>
      <w:r>
        <w:t>level</w:t>
      </w:r>
      <w:r w:rsidR="00A03629">
        <w:t xml:space="preserve"> </w:t>
      </w:r>
      <w:r>
        <w:t>input</w:t>
      </w:r>
      <w:r w:rsidR="00A03629">
        <w:t xml:space="preserve"> </w:t>
      </w:r>
      <w:r>
        <w:t>that</w:t>
      </w:r>
      <w:r w:rsidR="00A03629">
        <w:t xml:space="preserve"> </w:t>
      </w:r>
      <w:r>
        <w:t>is</w:t>
      </w:r>
      <w:r w:rsidR="00A03629">
        <w:t xml:space="preserve"> </w:t>
      </w:r>
      <w:r>
        <w:t>significant</w:t>
      </w:r>
      <w:r w:rsidR="00A03629">
        <w:t xml:space="preserve"> </w:t>
      </w:r>
      <w:r>
        <w:t>to</w:t>
      </w:r>
      <w:r w:rsidR="00A03629">
        <w:t xml:space="preserve"> </w:t>
      </w:r>
      <w:r>
        <w:t>the</w:t>
      </w:r>
      <w:r w:rsidR="00A03629">
        <w:t xml:space="preserve"> </w:t>
      </w:r>
      <w:r>
        <w:t>fair</w:t>
      </w:r>
      <w:r w:rsidR="00A03629">
        <w:t xml:space="preserve"> </w:t>
      </w:r>
      <w:r>
        <w:t>value</w:t>
      </w:r>
      <w:r w:rsidR="00A03629">
        <w:t xml:space="preserve"> </w:t>
      </w:r>
      <w:r>
        <w:t>measurement</w:t>
      </w:r>
      <w:r w:rsidR="00A03629">
        <w:t xml:space="preserve"> </w:t>
      </w:r>
      <w:r>
        <w:t>is</w:t>
      </w:r>
      <w:r w:rsidR="00A03629">
        <w:t xml:space="preserve"> </w:t>
      </w:r>
      <w:r>
        <w:t>unobservable.</w:t>
      </w:r>
    </w:p>
    <w:p w14:paraId="72A43F94" w14:textId="1847AD71" w:rsidR="000756EB" w:rsidRDefault="004A4D88" w:rsidP="002F48E0">
      <w:r>
        <w:t>DJSIR</w:t>
      </w:r>
      <w:r w:rsidR="00A03629">
        <w:t xml:space="preserve"> </w:t>
      </w:r>
      <w:r>
        <w:t>determines</w:t>
      </w:r>
      <w:r w:rsidR="00A03629">
        <w:t xml:space="preserve"> </w:t>
      </w:r>
      <w:r>
        <w:t>whether</w:t>
      </w:r>
      <w:r w:rsidR="00A03629">
        <w:t xml:space="preserve"> </w:t>
      </w:r>
      <w:r>
        <w:t>transfers</w:t>
      </w:r>
      <w:r w:rsidR="00A03629">
        <w:t xml:space="preserve"> </w:t>
      </w:r>
      <w:r>
        <w:t>have</w:t>
      </w:r>
      <w:r w:rsidR="00A03629">
        <w:t xml:space="preserve"> </w:t>
      </w:r>
      <w:r>
        <w:t>occurred</w:t>
      </w:r>
      <w:r w:rsidR="00A03629">
        <w:t xml:space="preserve"> </w:t>
      </w:r>
      <w:r>
        <w:t>between</w:t>
      </w:r>
      <w:r w:rsidR="00A03629">
        <w:t xml:space="preserve"> </w:t>
      </w:r>
      <w:r>
        <w:t>levels</w:t>
      </w:r>
      <w:r w:rsidR="00A03629">
        <w:t xml:space="preserve"> </w:t>
      </w:r>
      <w:r>
        <w:t>in</w:t>
      </w:r>
      <w:r w:rsidR="00A03629">
        <w:t xml:space="preserve"> </w:t>
      </w:r>
      <w:r>
        <w:t>the</w:t>
      </w:r>
      <w:r w:rsidR="00A03629">
        <w:t xml:space="preserve"> </w:t>
      </w:r>
      <w:r>
        <w:t>hierarchy</w:t>
      </w:r>
      <w:r w:rsidR="00A03629">
        <w:t xml:space="preserve"> </w:t>
      </w:r>
      <w:r>
        <w:t>by</w:t>
      </w:r>
      <w:r w:rsidR="00A03629">
        <w:t xml:space="preserve"> </w:t>
      </w:r>
      <w:r>
        <w:t>reassessing</w:t>
      </w:r>
      <w:r w:rsidR="00A03629">
        <w:t xml:space="preserve"> </w:t>
      </w:r>
      <w:r>
        <w:t>categorisation</w:t>
      </w:r>
      <w:r w:rsidR="00A03629">
        <w:t xml:space="preserve"> </w:t>
      </w:r>
      <w:r>
        <w:t>(based</w:t>
      </w:r>
      <w:r w:rsidR="00A03629">
        <w:t xml:space="preserve"> </w:t>
      </w:r>
      <w:r>
        <w:t>on</w:t>
      </w:r>
      <w:r w:rsidR="00A03629">
        <w:t xml:space="preserve"> </w:t>
      </w:r>
      <w:r>
        <w:t>the</w:t>
      </w:r>
      <w:r w:rsidR="00A03629">
        <w:t xml:space="preserve"> </w:t>
      </w:r>
      <w:r>
        <w:t>lowest</w:t>
      </w:r>
      <w:r w:rsidR="00A03629">
        <w:t xml:space="preserve"> </w:t>
      </w:r>
      <w:r>
        <w:t>level</w:t>
      </w:r>
      <w:r w:rsidR="00A03629">
        <w:t xml:space="preserve"> </w:t>
      </w:r>
      <w:r>
        <w:t>input</w:t>
      </w:r>
      <w:r w:rsidR="00A03629">
        <w:t xml:space="preserve"> </w:t>
      </w:r>
      <w:r>
        <w:t>that</w:t>
      </w:r>
      <w:r w:rsidR="00A03629">
        <w:rPr>
          <w:rFonts w:ascii="Cambria" w:hAnsi="Cambria" w:cs="Cambria"/>
        </w:rPr>
        <w:t xml:space="preserve"> </w:t>
      </w:r>
      <w:r>
        <w:t>is</w:t>
      </w:r>
      <w:r w:rsidR="00A03629">
        <w:t xml:space="preserve"> </w:t>
      </w:r>
      <w:r>
        <w:t>significant</w:t>
      </w:r>
      <w:r w:rsidR="00A03629">
        <w:t xml:space="preserve"> </w:t>
      </w:r>
      <w:r>
        <w:t>to</w:t>
      </w:r>
      <w:r w:rsidR="00A03629">
        <w:t xml:space="preserve"> </w:t>
      </w:r>
      <w:r>
        <w:t>the</w:t>
      </w:r>
      <w:r w:rsidR="00A03629">
        <w:t xml:space="preserve"> </w:t>
      </w:r>
      <w:r>
        <w:t>fair</w:t>
      </w:r>
      <w:r w:rsidR="00A03629">
        <w:t xml:space="preserve"> </w:t>
      </w:r>
      <w:r>
        <w:t>value</w:t>
      </w:r>
      <w:r w:rsidR="00A03629">
        <w:t xml:space="preserve"> </w:t>
      </w:r>
      <w:r>
        <w:t>measurement</w:t>
      </w:r>
      <w:r w:rsidR="00A03629">
        <w:t xml:space="preserve"> </w:t>
      </w:r>
      <w:r>
        <w:t>as</w:t>
      </w:r>
      <w:r w:rsidR="00A03629">
        <w:rPr>
          <w:rFonts w:ascii="Cambria" w:hAnsi="Cambria" w:cs="Cambria"/>
        </w:rPr>
        <w:t xml:space="preserve"> </w:t>
      </w:r>
      <w:r>
        <w:t>a</w:t>
      </w:r>
      <w:r w:rsidR="00A03629">
        <w:rPr>
          <w:rFonts w:ascii="Cambria" w:hAnsi="Cambria" w:cs="Cambria"/>
        </w:rPr>
        <w:t xml:space="preserve"> </w:t>
      </w:r>
      <w:r>
        <w:t>whole)</w:t>
      </w:r>
      <w:r w:rsidR="00A03629">
        <w:t xml:space="preserve"> </w:t>
      </w:r>
      <w:r>
        <w:t>at</w:t>
      </w:r>
      <w:r w:rsidR="00A03629">
        <w:t xml:space="preserve"> </w:t>
      </w:r>
      <w:r>
        <w:t>the</w:t>
      </w:r>
      <w:r w:rsidR="00A03629">
        <w:t xml:space="preserve"> </w:t>
      </w:r>
      <w:r>
        <w:t>end</w:t>
      </w:r>
      <w:r w:rsidR="00A03629">
        <w:t xml:space="preserve"> </w:t>
      </w:r>
      <w:r>
        <w:t>of</w:t>
      </w:r>
      <w:r w:rsidR="00A03629">
        <w:t xml:space="preserve"> </w:t>
      </w:r>
      <w:r>
        <w:t>each</w:t>
      </w:r>
      <w:r w:rsidR="00A03629">
        <w:t xml:space="preserve"> </w:t>
      </w:r>
      <w:r>
        <w:t>reporting</w:t>
      </w:r>
      <w:r w:rsidR="00A03629">
        <w:t xml:space="preserve"> </w:t>
      </w:r>
      <w:r>
        <w:t>period.</w:t>
      </w:r>
    </w:p>
    <w:p w14:paraId="222816E4" w14:textId="1A6ED3EC" w:rsidR="000756EB" w:rsidRDefault="004A4D88" w:rsidP="002F48E0">
      <w:r>
        <w:t>The</w:t>
      </w:r>
      <w:r w:rsidR="00A03629">
        <w:t xml:space="preserve"> </w:t>
      </w:r>
      <w:r>
        <w:t>Valuer-General</w:t>
      </w:r>
      <w:r w:rsidR="00A03629">
        <w:t xml:space="preserve"> </w:t>
      </w:r>
      <w:r>
        <w:t>Victoria</w:t>
      </w:r>
      <w:r w:rsidR="00A03629">
        <w:t xml:space="preserve"> </w:t>
      </w:r>
      <w:r>
        <w:t>(VGV)</w:t>
      </w:r>
      <w:r w:rsidR="00A03629">
        <w:t xml:space="preserve"> </w:t>
      </w:r>
      <w:r>
        <w:t>is</w:t>
      </w:r>
      <w:r w:rsidR="00A03629">
        <w:t xml:space="preserve"> </w:t>
      </w:r>
      <w:r>
        <w:t>DJSIR’s</w:t>
      </w:r>
      <w:r w:rsidR="00A03629">
        <w:t xml:space="preserve"> </w:t>
      </w:r>
      <w:r>
        <w:t>independent</w:t>
      </w:r>
      <w:r w:rsidR="00A03629">
        <w:t xml:space="preserve"> </w:t>
      </w:r>
      <w:r>
        <w:t>valuation</w:t>
      </w:r>
      <w:r w:rsidR="00A03629">
        <w:t xml:space="preserve"> </w:t>
      </w:r>
      <w:r>
        <w:t>agency</w:t>
      </w:r>
      <w:r w:rsidR="00A03629">
        <w:t xml:space="preserve"> </w:t>
      </w:r>
      <w:r>
        <w:t>and</w:t>
      </w:r>
      <w:r w:rsidR="00A03629">
        <w:t xml:space="preserve"> </w:t>
      </w:r>
      <w:r>
        <w:t>DJSIR</w:t>
      </w:r>
      <w:r w:rsidR="00A03629">
        <w:t xml:space="preserve"> </w:t>
      </w:r>
      <w:r>
        <w:t>will</w:t>
      </w:r>
      <w:r w:rsidR="00A03629">
        <w:t xml:space="preserve"> </w:t>
      </w:r>
      <w:r>
        <w:t>engage</w:t>
      </w:r>
      <w:r w:rsidR="00A03629">
        <w:t xml:space="preserve"> </w:t>
      </w:r>
      <w:r>
        <w:t>them</w:t>
      </w:r>
      <w:r w:rsidR="00A03629">
        <w:t xml:space="preserve"> </w:t>
      </w:r>
      <w:r>
        <w:t>to</w:t>
      </w:r>
      <w:r w:rsidR="00A03629">
        <w:t xml:space="preserve"> </w:t>
      </w:r>
      <w:r>
        <w:t>monitor</w:t>
      </w:r>
      <w:r w:rsidR="00A03629">
        <w:t xml:space="preserve"> </w:t>
      </w:r>
      <w:r>
        <w:t>changes</w:t>
      </w:r>
      <w:r w:rsidR="00A03629">
        <w:t xml:space="preserve"> </w:t>
      </w:r>
      <w:r>
        <w:t>in</w:t>
      </w:r>
      <w:r w:rsidR="00A03629">
        <w:t xml:space="preserve"> </w:t>
      </w:r>
      <w:r>
        <w:t>the</w:t>
      </w:r>
      <w:r w:rsidR="00A03629">
        <w:t xml:space="preserve"> </w:t>
      </w:r>
      <w:r>
        <w:t>fair</w:t>
      </w:r>
      <w:r w:rsidR="00A03629">
        <w:t xml:space="preserve"> </w:t>
      </w:r>
      <w:r>
        <w:t>value</w:t>
      </w:r>
      <w:r w:rsidR="00A03629">
        <w:t xml:space="preserve"> </w:t>
      </w:r>
      <w:r>
        <w:t>of</w:t>
      </w:r>
      <w:r w:rsidR="00A03629">
        <w:t xml:space="preserve"> </w:t>
      </w:r>
      <w:r>
        <w:t>each</w:t>
      </w:r>
      <w:r w:rsidR="00A03629">
        <w:t xml:space="preserve"> </w:t>
      </w:r>
      <w:r>
        <w:t>asset</w:t>
      </w:r>
      <w:r w:rsidR="00A03629">
        <w:t xml:space="preserve"> </w:t>
      </w:r>
      <w:r>
        <w:t>and</w:t>
      </w:r>
      <w:r w:rsidR="00A03629">
        <w:t xml:space="preserve"> </w:t>
      </w:r>
      <w:r>
        <w:t>liability</w:t>
      </w:r>
      <w:r w:rsidR="00A03629">
        <w:t xml:space="preserve"> </w:t>
      </w:r>
      <w:r>
        <w:t>through</w:t>
      </w:r>
      <w:r w:rsidR="00A03629">
        <w:t xml:space="preserve"> </w:t>
      </w:r>
      <w:r>
        <w:t>relevant</w:t>
      </w:r>
      <w:r w:rsidR="00A03629">
        <w:t xml:space="preserve"> </w:t>
      </w:r>
      <w:r>
        <w:t>data</w:t>
      </w:r>
      <w:r w:rsidR="00A03629">
        <w:t xml:space="preserve"> </w:t>
      </w:r>
      <w:r>
        <w:t>sources</w:t>
      </w:r>
      <w:r w:rsidR="00A03629">
        <w:t xml:space="preserve"> </w:t>
      </w:r>
      <w:r>
        <w:t>to</w:t>
      </w:r>
      <w:r w:rsidR="00A03629">
        <w:rPr>
          <w:rFonts w:ascii="Cambria" w:hAnsi="Cambria" w:cs="Cambria"/>
        </w:rPr>
        <w:t xml:space="preserve"> </w:t>
      </w:r>
      <w:r>
        <w:t>determine</w:t>
      </w:r>
      <w:r w:rsidR="00A03629">
        <w:t xml:space="preserve"> </w:t>
      </w:r>
      <w:r>
        <w:t>revaluations</w:t>
      </w:r>
      <w:r w:rsidR="00A03629">
        <w:t xml:space="preserve"> </w:t>
      </w:r>
      <w:r>
        <w:t>when</w:t>
      </w:r>
      <w:r w:rsidR="00A03629">
        <w:t xml:space="preserve"> </w:t>
      </w:r>
      <w:r>
        <w:t>it</w:t>
      </w:r>
      <w:r w:rsidR="00A03629">
        <w:t xml:space="preserve"> </w:t>
      </w:r>
      <w:r>
        <w:t>is</w:t>
      </w:r>
      <w:r w:rsidR="00A03629">
        <w:t xml:space="preserve"> </w:t>
      </w:r>
      <w:r>
        <w:t>required.</w:t>
      </w:r>
    </w:p>
    <w:p w14:paraId="7702E1B2" w14:textId="40E3E3E1" w:rsidR="000756EB" w:rsidRPr="002F48E0" w:rsidRDefault="004A4D88" w:rsidP="002F48E0">
      <w:pPr>
        <w:pStyle w:val="Normalbeforebullets"/>
        <w:rPr>
          <w:b/>
          <w:bCs/>
        </w:rPr>
      </w:pPr>
      <w:r w:rsidRPr="002F48E0">
        <w:rPr>
          <w:b/>
          <w:bCs/>
        </w:rPr>
        <w:lastRenderedPageBreak/>
        <w:t>How</w:t>
      </w:r>
      <w:r w:rsidR="00A03629" w:rsidRPr="002F48E0">
        <w:rPr>
          <w:b/>
          <w:bCs/>
        </w:rPr>
        <w:t xml:space="preserve"> </w:t>
      </w:r>
      <w:r w:rsidRPr="002F48E0">
        <w:rPr>
          <w:b/>
          <w:bCs/>
        </w:rPr>
        <w:t>this</w:t>
      </w:r>
      <w:r w:rsidR="00A03629" w:rsidRPr="002F48E0">
        <w:rPr>
          <w:b/>
          <w:bCs/>
        </w:rPr>
        <w:t xml:space="preserve"> </w:t>
      </w:r>
      <w:r w:rsidRPr="002F48E0">
        <w:rPr>
          <w:b/>
          <w:bCs/>
        </w:rPr>
        <w:t>section</w:t>
      </w:r>
      <w:r w:rsidR="00A03629" w:rsidRPr="002F48E0">
        <w:rPr>
          <w:b/>
          <w:bCs/>
        </w:rPr>
        <w:t xml:space="preserve"> </w:t>
      </w:r>
      <w:r w:rsidRPr="002F48E0">
        <w:rPr>
          <w:b/>
          <w:bCs/>
        </w:rPr>
        <w:t>is</w:t>
      </w:r>
      <w:r w:rsidR="00A03629" w:rsidRPr="002F48E0">
        <w:rPr>
          <w:b/>
          <w:bCs/>
        </w:rPr>
        <w:t xml:space="preserve"> </w:t>
      </w:r>
      <w:r w:rsidRPr="002F48E0">
        <w:rPr>
          <w:b/>
          <w:bCs/>
        </w:rPr>
        <w:t>structured</w:t>
      </w:r>
    </w:p>
    <w:p w14:paraId="449964B2" w14:textId="0B412004" w:rsidR="000756EB" w:rsidRDefault="004A4D88" w:rsidP="002F48E0">
      <w:pPr>
        <w:pStyle w:val="Normalbeforebullets"/>
      </w:pPr>
      <w:r>
        <w:t>For</w:t>
      </w:r>
      <w:r w:rsidR="00A03629">
        <w:t xml:space="preserve"> </w:t>
      </w:r>
      <w:r>
        <w:t>those</w:t>
      </w:r>
      <w:r w:rsidR="00A03629">
        <w:t xml:space="preserve"> </w:t>
      </w:r>
      <w:r>
        <w:t>assets</w:t>
      </w:r>
      <w:r w:rsidR="00A03629">
        <w:t xml:space="preserve"> </w:t>
      </w:r>
      <w:r>
        <w:t>and</w:t>
      </w:r>
      <w:r w:rsidR="00A03629">
        <w:t xml:space="preserve"> </w:t>
      </w:r>
      <w:r>
        <w:t>liabilities</w:t>
      </w:r>
      <w:r w:rsidR="00A03629">
        <w:t xml:space="preserve"> </w:t>
      </w:r>
      <w:r>
        <w:t>for</w:t>
      </w:r>
      <w:r w:rsidR="00A03629">
        <w:t xml:space="preserve"> </w:t>
      </w:r>
      <w:r>
        <w:t>which</w:t>
      </w:r>
      <w:r w:rsidR="00A03629">
        <w:t xml:space="preserve"> </w:t>
      </w:r>
      <w:r>
        <w:t>fair</w:t>
      </w:r>
      <w:r w:rsidR="00A03629">
        <w:t xml:space="preserve"> </w:t>
      </w:r>
      <w:r>
        <w:t>values</w:t>
      </w:r>
      <w:r w:rsidR="00A03629">
        <w:rPr>
          <w:rFonts w:ascii="Cambria" w:hAnsi="Cambria" w:cs="Cambria"/>
        </w:rPr>
        <w:t xml:space="preserve"> </w:t>
      </w:r>
      <w:r>
        <w:t>are</w:t>
      </w:r>
      <w:r w:rsidR="00A03629">
        <w:t xml:space="preserve"> </w:t>
      </w:r>
      <w:r>
        <w:t>determined,</w:t>
      </w:r>
      <w:r w:rsidR="00A03629">
        <w:t xml:space="preserve"> </w:t>
      </w:r>
      <w:r>
        <w:t>the</w:t>
      </w:r>
      <w:r w:rsidR="00A03629">
        <w:t xml:space="preserve"> </w:t>
      </w:r>
      <w:r>
        <w:t>following</w:t>
      </w:r>
      <w:r w:rsidR="00A03629">
        <w:t xml:space="preserve"> </w:t>
      </w:r>
      <w:r>
        <w:t>disclosures</w:t>
      </w:r>
      <w:r w:rsidR="00A03629">
        <w:t xml:space="preserve"> </w:t>
      </w:r>
      <w:r>
        <w:t>are</w:t>
      </w:r>
      <w:r w:rsidR="00A03629">
        <w:rPr>
          <w:rFonts w:ascii="Cambria" w:hAnsi="Cambria" w:cs="Cambria"/>
        </w:rPr>
        <w:t xml:space="preserve"> </w:t>
      </w:r>
      <w:r>
        <w:t>provided:</w:t>
      </w:r>
    </w:p>
    <w:p w14:paraId="4BB8E465" w14:textId="5CB169F3" w:rsidR="000756EB" w:rsidRDefault="004A4D88" w:rsidP="002F48E0">
      <w:pPr>
        <w:pStyle w:val="Bullet"/>
      </w:pPr>
      <w:r>
        <w:t>carrying</w:t>
      </w:r>
      <w:r w:rsidR="00A03629">
        <w:t xml:space="preserve"> </w:t>
      </w:r>
      <w:r>
        <w:t>amount</w:t>
      </w:r>
      <w:r w:rsidR="00A03629">
        <w:t xml:space="preserve"> </w:t>
      </w:r>
      <w:r>
        <w:t>and</w:t>
      </w:r>
      <w:r w:rsidR="00A03629">
        <w:t xml:space="preserve"> </w:t>
      </w:r>
      <w:r>
        <w:t>the</w:t>
      </w:r>
      <w:r w:rsidR="00A03629">
        <w:t xml:space="preserve"> </w:t>
      </w:r>
      <w:r>
        <w:t>fair</w:t>
      </w:r>
      <w:r w:rsidR="00A03629">
        <w:t xml:space="preserve"> </w:t>
      </w:r>
      <w:r>
        <w:t>value</w:t>
      </w:r>
      <w:r w:rsidR="00A03629">
        <w:t xml:space="preserve"> </w:t>
      </w:r>
      <w:r>
        <w:t>(which</w:t>
      </w:r>
      <w:r w:rsidR="00A03629">
        <w:t xml:space="preserve"> </w:t>
      </w:r>
      <w:r>
        <w:t>would</w:t>
      </w:r>
      <w:r w:rsidR="00A03629">
        <w:rPr>
          <w:rFonts w:ascii="Cambria" w:hAnsi="Cambria" w:cs="Cambria"/>
        </w:rPr>
        <w:t xml:space="preserve"> </w:t>
      </w:r>
      <w:r>
        <w:t>be</w:t>
      </w:r>
      <w:r w:rsidR="00A03629">
        <w:t xml:space="preserve"> </w:t>
      </w:r>
      <w:r>
        <w:t>the</w:t>
      </w:r>
      <w:r w:rsidR="00A03629">
        <w:t xml:space="preserve"> </w:t>
      </w:r>
      <w:r>
        <w:t>same</w:t>
      </w:r>
      <w:r w:rsidR="00A03629">
        <w:t xml:space="preserve"> </w:t>
      </w:r>
      <w:r>
        <w:t>for</w:t>
      </w:r>
      <w:r w:rsidR="00A03629">
        <w:t xml:space="preserve"> </w:t>
      </w:r>
      <w:r>
        <w:t>those</w:t>
      </w:r>
      <w:r w:rsidR="00A03629">
        <w:t xml:space="preserve"> </w:t>
      </w:r>
      <w:r>
        <w:t>assets</w:t>
      </w:r>
      <w:r w:rsidR="00A03629">
        <w:t xml:space="preserve"> </w:t>
      </w:r>
      <w:r>
        <w:t>measured</w:t>
      </w:r>
      <w:r w:rsidR="00A03629">
        <w:t xml:space="preserve"> </w:t>
      </w:r>
      <w:r>
        <w:t>at</w:t>
      </w:r>
      <w:r w:rsidR="00A03629">
        <w:rPr>
          <w:rFonts w:ascii="Cambria" w:hAnsi="Cambria" w:cs="Cambria"/>
        </w:rPr>
        <w:t xml:space="preserve"> </w:t>
      </w:r>
      <w:r>
        <w:t>fair</w:t>
      </w:r>
      <w:r w:rsidR="00A03629">
        <w:t xml:space="preserve"> </w:t>
      </w:r>
      <w:r>
        <w:t>value</w:t>
      </w:r>
      <w:proofErr w:type="gramStart"/>
      <w:r>
        <w:t>);</w:t>
      </w:r>
      <w:proofErr w:type="gramEnd"/>
    </w:p>
    <w:p w14:paraId="0F1EC778" w14:textId="7966E3AA" w:rsidR="000756EB" w:rsidRDefault="004A4D88" w:rsidP="002F48E0">
      <w:pPr>
        <w:pStyle w:val="Bullet"/>
      </w:pPr>
      <w:r>
        <w:t>which</w:t>
      </w:r>
      <w:r w:rsidR="00A03629">
        <w:t xml:space="preserve"> </w:t>
      </w:r>
      <w:r>
        <w:t>level</w:t>
      </w:r>
      <w:r w:rsidR="00A03629">
        <w:t xml:space="preserve"> </w:t>
      </w:r>
      <w:r>
        <w:t>of</w:t>
      </w:r>
      <w:r w:rsidR="00A03629">
        <w:t xml:space="preserve"> </w:t>
      </w:r>
      <w:r>
        <w:t>the</w:t>
      </w:r>
      <w:r w:rsidR="00A03629">
        <w:t xml:space="preserve"> </w:t>
      </w:r>
      <w:r>
        <w:t>fair</w:t>
      </w:r>
      <w:r w:rsidR="00A03629">
        <w:t xml:space="preserve"> </w:t>
      </w:r>
      <w:r>
        <w:t>value</w:t>
      </w:r>
      <w:r w:rsidR="00A03629">
        <w:t xml:space="preserve"> </w:t>
      </w:r>
      <w:r>
        <w:t>hierarchy</w:t>
      </w:r>
      <w:r w:rsidR="00A03629">
        <w:t xml:space="preserve"> </w:t>
      </w:r>
      <w:r>
        <w:t>was</w:t>
      </w:r>
      <w:r w:rsidR="00A03629">
        <w:t xml:space="preserve"> </w:t>
      </w:r>
      <w:r>
        <w:t>used</w:t>
      </w:r>
      <w:r w:rsidR="00A03629">
        <w:t xml:space="preserve"> </w:t>
      </w:r>
      <w:r>
        <w:t>to</w:t>
      </w:r>
      <w:r w:rsidR="00A03629">
        <w:rPr>
          <w:rFonts w:ascii="Cambria" w:hAnsi="Cambria" w:cs="Cambria"/>
        </w:rPr>
        <w:t xml:space="preserve"> </w:t>
      </w:r>
      <w:r>
        <w:t>determine</w:t>
      </w:r>
      <w:r w:rsidR="00A03629">
        <w:t xml:space="preserve"> </w:t>
      </w:r>
      <w:r>
        <w:t>the</w:t>
      </w:r>
      <w:r w:rsidR="00A03629">
        <w:t xml:space="preserve"> </w:t>
      </w:r>
      <w:r>
        <w:t>fair</w:t>
      </w:r>
      <w:r w:rsidR="00A03629">
        <w:t xml:space="preserve"> </w:t>
      </w:r>
      <w:r>
        <w:t>value;</w:t>
      </w:r>
      <w:r w:rsidR="00A03629">
        <w:t xml:space="preserve"> </w:t>
      </w:r>
      <w:r>
        <w:t>and</w:t>
      </w:r>
    </w:p>
    <w:p w14:paraId="2AD6F2BA" w14:textId="2C70C8A2" w:rsidR="000756EB" w:rsidRDefault="004A4D88" w:rsidP="002F48E0">
      <w:pPr>
        <w:pStyle w:val="Bullet"/>
      </w:pPr>
      <w:r>
        <w:t>in</w:t>
      </w:r>
      <w:r w:rsidR="00A03629">
        <w:t xml:space="preserve"> </w:t>
      </w:r>
      <w:r>
        <w:t>respect</w:t>
      </w:r>
      <w:r w:rsidR="00A03629">
        <w:t xml:space="preserve"> </w:t>
      </w:r>
      <w:r>
        <w:t>of</w:t>
      </w:r>
      <w:r w:rsidR="00A03629">
        <w:t xml:space="preserve"> </w:t>
      </w:r>
      <w:r>
        <w:t>those</w:t>
      </w:r>
      <w:r w:rsidR="00A03629">
        <w:t xml:space="preserve"> </w:t>
      </w:r>
      <w:r>
        <w:t>assets</w:t>
      </w:r>
      <w:r w:rsidR="00A03629">
        <w:t xml:space="preserve"> </w:t>
      </w:r>
      <w:r>
        <w:t>and</w:t>
      </w:r>
      <w:r w:rsidR="00A03629">
        <w:t xml:space="preserve"> </w:t>
      </w:r>
      <w:r>
        <w:t>liabilities</w:t>
      </w:r>
      <w:r w:rsidR="00A03629">
        <w:t xml:space="preserve"> </w:t>
      </w:r>
      <w:r>
        <w:t>subject</w:t>
      </w:r>
      <w:r w:rsidR="00A03629">
        <w:t xml:space="preserve"> </w:t>
      </w:r>
      <w:r>
        <w:t>to</w:t>
      </w:r>
      <w:r w:rsidR="00A03629">
        <w:rPr>
          <w:rFonts w:ascii="Cambria" w:hAnsi="Cambria" w:cs="Cambria"/>
        </w:rPr>
        <w:t xml:space="preserve"> </w:t>
      </w:r>
      <w:r>
        <w:t>fair</w:t>
      </w:r>
      <w:r w:rsidR="00A03629">
        <w:t xml:space="preserve"> </w:t>
      </w:r>
      <w:r>
        <w:t>value</w:t>
      </w:r>
      <w:r w:rsidR="00A03629">
        <w:t xml:space="preserve"> </w:t>
      </w:r>
      <w:r>
        <w:t>determination</w:t>
      </w:r>
      <w:r w:rsidR="00A03629">
        <w:t xml:space="preserve"> </w:t>
      </w:r>
      <w:r>
        <w:t>using</w:t>
      </w:r>
      <w:r w:rsidR="00A03629">
        <w:t xml:space="preserve"> </w:t>
      </w:r>
      <w:r>
        <w:t>Level</w:t>
      </w:r>
      <w:r w:rsidR="00A03629">
        <w:t xml:space="preserve"> </w:t>
      </w:r>
      <w:r>
        <w:t>3</w:t>
      </w:r>
      <w:r w:rsidR="00A03629">
        <w:t xml:space="preserve"> </w:t>
      </w:r>
      <w:r>
        <w:t>inputs:</w:t>
      </w:r>
    </w:p>
    <w:p w14:paraId="132AA2E3" w14:textId="615F2715" w:rsidR="000756EB" w:rsidRDefault="004A4D88" w:rsidP="002F48E0">
      <w:pPr>
        <w:pStyle w:val="Bullet2"/>
      </w:pPr>
      <w:r>
        <w:t>a</w:t>
      </w:r>
      <w:r w:rsidR="00A03629">
        <w:t xml:space="preserve"> </w:t>
      </w:r>
      <w:r>
        <w:t>reconciliation</w:t>
      </w:r>
      <w:r w:rsidR="00A03629">
        <w:t xml:space="preserve"> </w:t>
      </w:r>
      <w:r>
        <w:t>of</w:t>
      </w:r>
      <w:r w:rsidR="00A03629">
        <w:t xml:space="preserve"> </w:t>
      </w:r>
      <w:r>
        <w:t>the</w:t>
      </w:r>
      <w:r w:rsidR="00A03629">
        <w:t xml:space="preserve"> </w:t>
      </w:r>
      <w:r>
        <w:t>movements</w:t>
      </w:r>
      <w:r w:rsidR="00A03629">
        <w:t xml:space="preserve"> </w:t>
      </w:r>
      <w:r>
        <w:t>in</w:t>
      </w:r>
      <w:r w:rsidR="00A03629">
        <w:t xml:space="preserve"> </w:t>
      </w:r>
      <w:r>
        <w:t>fair</w:t>
      </w:r>
      <w:r w:rsidR="00A03629">
        <w:t xml:space="preserve"> </w:t>
      </w:r>
      <w:r>
        <w:t>values</w:t>
      </w:r>
      <w:r w:rsidR="00A03629">
        <w:t xml:space="preserve"> </w:t>
      </w:r>
      <w:r>
        <w:t>from</w:t>
      </w:r>
      <w:r w:rsidR="00A03629">
        <w:t xml:space="preserve"> </w:t>
      </w:r>
      <w:r>
        <w:t>the</w:t>
      </w:r>
      <w:r w:rsidR="00A03629">
        <w:t xml:space="preserve"> </w:t>
      </w:r>
      <w:r>
        <w:t>beginning</w:t>
      </w:r>
      <w:r w:rsidR="00A03629">
        <w:t xml:space="preserve"> </w:t>
      </w:r>
      <w:r>
        <w:t>of</w:t>
      </w:r>
      <w:r w:rsidR="00A03629">
        <w:t xml:space="preserve"> </w:t>
      </w:r>
      <w:r>
        <w:t>the</w:t>
      </w:r>
      <w:r w:rsidR="00A03629">
        <w:t xml:space="preserve"> </w:t>
      </w:r>
      <w:r>
        <w:t>year</w:t>
      </w:r>
      <w:r w:rsidR="00A03629">
        <w:t xml:space="preserve"> </w:t>
      </w:r>
      <w:r>
        <w:t>to</w:t>
      </w:r>
      <w:r w:rsidR="00A03629">
        <w:t xml:space="preserve"> </w:t>
      </w:r>
      <w:r>
        <w:t>the</w:t>
      </w:r>
      <w:r w:rsidR="00A03629">
        <w:t xml:space="preserve"> </w:t>
      </w:r>
      <w:r>
        <w:t>end;</w:t>
      </w:r>
      <w:r w:rsidR="00A03629">
        <w:t xml:space="preserve"> </w:t>
      </w:r>
      <w:r>
        <w:t>and</w:t>
      </w:r>
    </w:p>
    <w:p w14:paraId="65B7A5B8" w14:textId="67ACF527" w:rsidR="000756EB" w:rsidRDefault="004A4D88" w:rsidP="002F48E0">
      <w:pPr>
        <w:pStyle w:val="Bullet2"/>
        <w:spacing w:after="280"/>
        <w:ind w:left="568" w:hanging="284"/>
      </w:pPr>
      <w:r>
        <w:t>details</w:t>
      </w:r>
      <w:r w:rsidR="00A03629">
        <w:t xml:space="preserve"> </w:t>
      </w:r>
      <w:r>
        <w:t>of</w:t>
      </w:r>
      <w:r w:rsidR="00A03629">
        <w:t xml:space="preserve"> </w:t>
      </w:r>
      <w:r>
        <w:t>significant</w:t>
      </w:r>
      <w:r w:rsidR="00A03629">
        <w:t xml:space="preserve"> </w:t>
      </w:r>
      <w:r>
        <w:t>unobservable</w:t>
      </w:r>
      <w:r w:rsidR="00A03629">
        <w:t xml:space="preserve"> </w:t>
      </w:r>
      <w:r>
        <w:t>inputs</w:t>
      </w:r>
      <w:r w:rsidR="00A03629">
        <w:t xml:space="preserve"> </w:t>
      </w:r>
      <w:r>
        <w:t>used</w:t>
      </w:r>
      <w:r w:rsidR="00A03629">
        <w:rPr>
          <w:rFonts w:ascii="Cambria" w:hAnsi="Cambria" w:cs="Cambria"/>
        </w:rPr>
        <w:t xml:space="preserve"> </w:t>
      </w:r>
      <w:r>
        <w:t>in</w:t>
      </w:r>
      <w:r w:rsidR="00A03629">
        <w:t xml:space="preserve"> </w:t>
      </w:r>
      <w:r>
        <w:t>the</w:t>
      </w:r>
      <w:r w:rsidR="00A03629">
        <w:t xml:space="preserve"> </w:t>
      </w:r>
      <w:r>
        <w:t>fair</w:t>
      </w:r>
      <w:r w:rsidR="00A03629">
        <w:t xml:space="preserve"> </w:t>
      </w:r>
      <w:r>
        <w:t>value</w:t>
      </w:r>
      <w:r w:rsidR="00A03629">
        <w:t xml:space="preserve"> </w:t>
      </w:r>
      <w:r>
        <w:t>determination.</w:t>
      </w:r>
    </w:p>
    <w:p w14:paraId="515D7A14" w14:textId="6F72F116" w:rsidR="000756EB" w:rsidRDefault="004A4D88" w:rsidP="002F48E0">
      <w:r>
        <w:t>This</w:t>
      </w:r>
      <w:r w:rsidR="00A03629">
        <w:t xml:space="preserve"> </w:t>
      </w:r>
      <w:r>
        <w:t>section</w:t>
      </w:r>
      <w:r w:rsidR="00A03629">
        <w:t xml:space="preserve"> </w:t>
      </w:r>
      <w:r>
        <w:t>is</w:t>
      </w:r>
      <w:r w:rsidR="00A03629">
        <w:t xml:space="preserve"> </w:t>
      </w:r>
      <w:r>
        <w:t>divided</w:t>
      </w:r>
      <w:r w:rsidR="00A03629">
        <w:t xml:space="preserve"> </w:t>
      </w:r>
      <w:r>
        <w:t>between</w:t>
      </w:r>
      <w:r w:rsidR="00A03629">
        <w:t xml:space="preserve"> </w:t>
      </w:r>
      <w:r>
        <w:t>disclosures</w:t>
      </w:r>
      <w:r w:rsidR="00A03629">
        <w:t xml:space="preserve"> </w:t>
      </w:r>
      <w:r>
        <w:t>in</w:t>
      </w:r>
      <w:r w:rsidR="00A03629">
        <w:t xml:space="preserve"> </w:t>
      </w:r>
      <w:r>
        <w:t>connection</w:t>
      </w:r>
      <w:r w:rsidR="00A03629">
        <w:t xml:space="preserve"> </w:t>
      </w:r>
      <w:r>
        <w:t>with</w:t>
      </w:r>
      <w:r w:rsidR="00A03629">
        <w:t xml:space="preserve"> </w:t>
      </w:r>
      <w:r>
        <w:t>fair</w:t>
      </w:r>
      <w:r w:rsidR="00A03629">
        <w:t xml:space="preserve"> </w:t>
      </w:r>
      <w:r>
        <w:t>value</w:t>
      </w:r>
      <w:r w:rsidR="00A03629">
        <w:t xml:space="preserve"> </w:t>
      </w:r>
      <w:r>
        <w:t>determination</w:t>
      </w:r>
      <w:r w:rsidR="00A03629">
        <w:t xml:space="preserve"> </w:t>
      </w:r>
      <w:r>
        <w:t>for</w:t>
      </w:r>
      <w:r w:rsidR="00A03629">
        <w:t xml:space="preserve"> </w:t>
      </w:r>
      <w:r>
        <w:t>financial</w:t>
      </w:r>
      <w:r w:rsidR="00A03629">
        <w:t xml:space="preserve"> </w:t>
      </w:r>
      <w:r>
        <w:t>instruments</w:t>
      </w:r>
      <w:r w:rsidR="00A03629">
        <w:t xml:space="preserve"> </w:t>
      </w:r>
      <w:r>
        <w:t>(refer</w:t>
      </w:r>
      <w:r w:rsidR="00A03629">
        <w:t xml:space="preserve"> </w:t>
      </w:r>
      <w:r>
        <w:t>to</w:t>
      </w:r>
      <w:r w:rsidR="00A03629">
        <w:t xml:space="preserve"> </w:t>
      </w:r>
      <w:r>
        <w:t>Note</w:t>
      </w:r>
      <w:r w:rsidR="00A03629">
        <w:t xml:space="preserve"> </w:t>
      </w:r>
      <w:r>
        <w:t>8.3.1</w:t>
      </w:r>
      <w:r w:rsidR="00A03629">
        <w:t xml:space="preserve"> </w:t>
      </w:r>
      <w:r>
        <w:t>–</w:t>
      </w:r>
      <w:r w:rsidR="00A03629">
        <w:t xml:space="preserve"> </w:t>
      </w:r>
      <w:r>
        <w:t>Fair</w:t>
      </w:r>
      <w:r w:rsidR="00A03629">
        <w:t xml:space="preserve"> </w:t>
      </w:r>
      <w:r>
        <w:t>value</w:t>
      </w:r>
      <w:r w:rsidR="00A03629">
        <w:rPr>
          <w:rFonts w:ascii="Cambria" w:hAnsi="Cambria" w:cs="Cambria"/>
        </w:rPr>
        <w:t xml:space="preserve"> </w:t>
      </w:r>
      <w:r>
        <w:t>determination</w:t>
      </w:r>
      <w:r w:rsidR="00A03629">
        <w:t xml:space="preserve"> </w:t>
      </w:r>
      <w:r>
        <w:t>of</w:t>
      </w:r>
      <w:r w:rsidR="00A03629">
        <w:t xml:space="preserve"> </w:t>
      </w:r>
      <w:r>
        <w:t>financial</w:t>
      </w:r>
      <w:r w:rsidR="00A03629">
        <w:t xml:space="preserve"> </w:t>
      </w:r>
      <w:r>
        <w:t>assets</w:t>
      </w:r>
      <w:r w:rsidR="00A03629">
        <w:t xml:space="preserve"> </w:t>
      </w:r>
      <w:r>
        <w:t>and</w:t>
      </w:r>
      <w:r w:rsidR="00A03629">
        <w:t xml:space="preserve"> </w:t>
      </w:r>
      <w:r>
        <w:t>liabilities)</w:t>
      </w:r>
      <w:r w:rsidR="00A03629">
        <w:t xml:space="preserve"> </w:t>
      </w:r>
      <w:r>
        <w:t>and</w:t>
      </w:r>
      <w:r w:rsidR="00A03629">
        <w:rPr>
          <w:rFonts w:ascii="Cambria" w:hAnsi="Cambria" w:cs="Cambria"/>
        </w:rPr>
        <w:t xml:space="preserve"> </w:t>
      </w:r>
      <w:r>
        <w:t>non-financial</w:t>
      </w:r>
      <w:r w:rsidR="00A03629">
        <w:t xml:space="preserve"> </w:t>
      </w:r>
      <w:r>
        <w:t>physical</w:t>
      </w:r>
      <w:r w:rsidR="00A03629">
        <w:t xml:space="preserve"> </w:t>
      </w:r>
      <w:r>
        <w:t>assets</w:t>
      </w:r>
      <w:r w:rsidR="00A03629">
        <w:t xml:space="preserve"> </w:t>
      </w:r>
      <w:r>
        <w:t>(refer</w:t>
      </w:r>
      <w:r w:rsidR="00A03629">
        <w:rPr>
          <w:rFonts w:ascii="Cambria" w:hAnsi="Cambria" w:cs="Cambria"/>
        </w:rPr>
        <w:t xml:space="preserve"> </w:t>
      </w:r>
      <w:r>
        <w:t>to</w:t>
      </w:r>
      <w:r w:rsidR="00A03629">
        <w:rPr>
          <w:rFonts w:ascii="Cambria" w:hAnsi="Cambria" w:cs="Cambria"/>
        </w:rPr>
        <w:t xml:space="preserve"> </w:t>
      </w:r>
      <w:r>
        <w:t>Note</w:t>
      </w:r>
      <w:r w:rsidR="00A03629">
        <w:t xml:space="preserve"> </w:t>
      </w:r>
      <w:r>
        <w:t>8.3.2</w:t>
      </w:r>
      <w:r w:rsidR="00A03629">
        <w:t xml:space="preserve"> </w:t>
      </w:r>
      <w:r>
        <w:t>–</w:t>
      </w:r>
      <w:r w:rsidR="00A03629">
        <w:t xml:space="preserve"> </w:t>
      </w:r>
      <w:r>
        <w:t>Fair</w:t>
      </w:r>
      <w:r w:rsidR="00A03629">
        <w:t xml:space="preserve"> </w:t>
      </w:r>
      <w:r>
        <w:t>value</w:t>
      </w:r>
      <w:r w:rsidR="00A03629">
        <w:t xml:space="preserve"> </w:t>
      </w:r>
      <w:r>
        <w:t>determination:</w:t>
      </w:r>
      <w:r w:rsidR="00A03629">
        <w:t xml:space="preserve"> </w:t>
      </w:r>
      <w:r>
        <w:t>Non</w:t>
      </w:r>
      <w:r>
        <w:noBreakHyphen/>
        <w:t>financial</w:t>
      </w:r>
      <w:r w:rsidR="00A03629">
        <w:t xml:space="preserve"> </w:t>
      </w:r>
      <w:r>
        <w:t>physical</w:t>
      </w:r>
      <w:r w:rsidR="00A03629">
        <w:t xml:space="preserve"> </w:t>
      </w:r>
      <w:r>
        <w:t>assets).</w:t>
      </w:r>
    </w:p>
    <w:p w14:paraId="0A21433C" w14:textId="5E003B33" w:rsidR="000756EB" w:rsidRDefault="004A4D88" w:rsidP="002F48E0">
      <w:r>
        <w:t>DJSIR</w:t>
      </w:r>
      <w:r w:rsidR="00A03629">
        <w:t xml:space="preserve"> </w:t>
      </w:r>
      <w:r>
        <w:t>currently</w:t>
      </w:r>
      <w:r w:rsidR="00A03629">
        <w:t xml:space="preserve"> </w:t>
      </w:r>
      <w:r>
        <w:t>holds</w:t>
      </w:r>
      <w:r w:rsidR="00A03629">
        <w:t xml:space="preserve"> </w:t>
      </w:r>
      <w:r>
        <w:t>a</w:t>
      </w:r>
      <w:r w:rsidR="00A03629">
        <w:t xml:space="preserve"> </w:t>
      </w:r>
      <w:r>
        <w:t>range</w:t>
      </w:r>
      <w:r w:rsidR="00A03629">
        <w:t xml:space="preserve"> </w:t>
      </w:r>
      <w:r>
        <w:t>of</w:t>
      </w:r>
      <w:r w:rsidR="00A03629">
        <w:t xml:space="preserve"> </w:t>
      </w:r>
      <w:r>
        <w:t>financial</w:t>
      </w:r>
      <w:r w:rsidR="00A03629">
        <w:t xml:space="preserve"> </w:t>
      </w:r>
      <w:r>
        <w:t>instruments</w:t>
      </w:r>
      <w:r w:rsidR="00A03629">
        <w:t xml:space="preserve"> </w:t>
      </w:r>
      <w:r>
        <w:t>that</w:t>
      </w:r>
      <w:r w:rsidR="00A03629">
        <w:t xml:space="preserve"> </w:t>
      </w:r>
      <w:r>
        <w:t>are</w:t>
      </w:r>
      <w:r w:rsidR="00A03629">
        <w:t xml:space="preserve"> </w:t>
      </w:r>
      <w:r>
        <w:t>recorded</w:t>
      </w:r>
      <w:r w:rsidR="00A03629">
        <w:t xml:space="preserve"> </w:t>
      </w:r>
      <w:r>
        <w:t>in</w:t>
      </w:r>
      <w:r w:rsidR="00A03629">
        <w:t xml:space="preserve"> </w:t>
      </w:r>
      <w:r>
        <w:t>the</w:t>
      </w:r>
      <w:r w:rsidR="00A03629">
        <w:t xml:space="preserve"> </w:t>
      </w:r>
      <w:r>
        <w:t>financial</w:t>
      </w:r>
      <w:r w:rsidR="00A03629">
        <w:t xml:space="preserve"> </w:t>
      </w:r>
      <w:r>
        <w:t>statements</w:t>
      </w:r>
      <w:r w:rsidR="00A03629">
        <w:t xml:space="preserve"> </w:t>
      </w:r>
      <w:r>
        <w:t>where</w:t>
      </w:r>
      <w:r w:rsidR="00A03629">
        <w:t xml:space="preserve"> </w:t>
      </w:r>
      <w:r>
        <w:t>the</w:t>
      </w:r>
      <w:r w:rsidR="00A03629">
        <w:t xml:space="preserve"> </w:t>
      </w:r>
      <w:r>
        <w:t>carrying</w:t>
      </w:r>
      <w:r w:rsidR="00A03629">
        <w:t xml:space="preserve"> </w:t>
      </w:r>
      <w:r>
        <w:t>amounts</w:t>
      </w:r>
      <w:r w:rsidR="00A03629">
        <w:t xml:space="preserve"> </w:t>
      </w:r>
      <w:r>
        <w:t>are</w:t>
      </w:r>
      <w:r w:rsidR="00A03629">
        <w:t xml:space="preserve"> </w:t>
      </w:r>
      <w:r>
        <w:t>a</w:t>
      </w:r>
      <w:r w:rsidR="00A03629">
        <w:t xml:space="preserve"> </w:t>
      </w:r>
      <w:r>
        <w:t>reasonable</w:t>
      </w:r>
      <w:r w:rsidR="00A03629">
        <w:t xml:space="preserve"> </w:t>
      </w:r>
      <w:r>
        <w:t>approximation</w:t>
      </w:r>
      <w:r w:rsidR="00A03629">
        <w:t xml:space="preserve"> </w:t>
      </w:r>
      <w:r>
        <w:t>of</w:t>
      </w:r>
      <w:r w:rsidR="00A03629">
        <w:t xml:space="preserve"> </w:t>
      </w:r>
      <w:r>
        <w:t>fair</w:t>
      </w:r>
      <w:r w:rsidR="00A03629">
        <w:t xml:space="preserve"> </w:t>
      </w:r>
      <w:r>
        <w:t>value,</w:t>
      </w:r>
      <w:r w:rsidR="00A03629">
        <w:t xml:space="preserve"> </w:t>
      </w:r>
      <w:r>
        <w:t>either</w:t>
      </w:r>
      <w:r w:rsidR="00A03629">
        <w:t xml:space="preserve"> </w:t>
      </w:r>
      <w:r>
        <w:t>due</w:t>
      </w:r>
      <w:r w:rsidR="00A03629">
        <w:t xml:space="preserve"> </w:t>
      </w:r>
      <w:r>
        <w:t>to</w:t>
      </w:r>
      <w:r w:rsidR="00A03629">
        <w:t xml:space="preserve"> </w:t>
      </w:r>
      <w:r>
        <w:t>their</w:t>
      </w:r>
      <w:r w:rsidR="00A03629">
        <w:t xml:space="preserve"> </w:t>
      </w:r>
      <w:r>
        <w:t>short-term</w:t>
      </w:r>
      <w:r w:rsidR="00A03629">
        <w:t xml:space="preserve"> </w:t>
      </w:r>
      <w:r>
        <w:t>nature</w:t>
      </w:r>
      <w:r w:rsidR="00A03629">
        <w:t xml:space="preserve"> </w:t>
      </w:r>
      <w:r>
        <w:t>or</w:t>
      </w:r>
      <w:r w:rsidR="00A03629">
        <w:t xml:space="preserve"> </w:t>
      </w:r>
      <w:r>
        <w:t>with</w:t>
      </w:r>
      <w:r w:rsidR="00A03629">
        <w:t xml:space="preserve"> </w:t>
      </w:r>
      <w:r>
        <w:t>the</w:t>
      </w:r>
      <w:r w:rsidR="00A03629">
        <w:t xml:space="preserve"> </w:t>
      </w:r>
      <w:r>
        <w:t>expectation</w:t>
      </w:r>
      <w:r w:rsidR="00A03629">
        <w:t xml:space="preserve"> </w:t>
      </w:r>
      <w:r>
        <w:t>that</w:t>
      </w:r>
      <w:r w:rsidR="00A03629">
        <w:t xml:space="preserve"> </w:t>
      </w:r>
      <w:r>
        <w:t>they</w:t>
      </w:r>
      <w:r w:rsidR="00A03629">
        <w:t xml:space="preserve"> </w:t>
      </w:r>
      <w:r>
        <w:t>will</w:t>
      </w:r>
      <w:r w:rsidR="00A03629">
        <w:t xml:space="preserve"> </w:t>
      </w:r>
      <w:r>
        <w:t>be</w:t>
      </w:r>
      <w:r w:rsidR="00A03629">
        <w:t xml:space="preserve"> </w:t>
      </w:r>
      <w:r>
        <w:t>paid</w:t>
      </w:r>
      <w:r w:rsidR="00A03629">
        <w:t xml:space="preserve"> </w:t>
      </w:r>
      <w:r>
        <w:t>in</w:t>
      </w:r>
      <w:r w:rsidR="00A03629">
        <w:t xml:space="preserve"> </w:t>
      </w:r>
      <w:r>
        <w:t>full</w:t>
      </w:r>
      <w:r w:rsidR="00A03629">
        <w:t xml:space="preserve"> </w:t>
      </w:r>
      <w:r>
        <w:t>by</w:t>
      </w:r>
      <w:r w:rsidR="00A03629">
        <w:t xml:space="preserve"> </w:t>
      </w:r>
      <w:r>
        <w:t>the</w:t>
      </w:r>
      <w:r w:rsidR="00A03629">
        <w:t xml:space="preserve"> </w:t>
      </w:r>
      <w:r>
        <w:t>end</w:t>
      </w:r>
      <w:r w:rsidR="00A03629">
        <w:t xml:space="preserve"> </w:t>
      </w:r>
      <w:r>
        <w:t>of</w:t>
      </w:r>
      <w:r w:rsidR="00A03629">
        <w:t xml:space="preserve"> </w:t>
      </w:r>
      <w:r>
        <w:t>the</w:t>
      </w:r>
      <w:r w:rsidR="00A03629">
        <w:t xml:space="preserve"> </w:t>
      </w:r>
      <w:r>
        <w:t>2022–23</w:t>
      </w:r>
      <w:r w:rsidR="00A03629">
        <w:t xml:space="preserve"> </w:t>
      </w:r>
      <w:r>
        <w:t>reporting</w:t>
      </w:r>
      <w:r w:rsidR="00A03629">
        <w:t xml:space="preserve"> </w:t>
      </w:r>
      <w:r>
        <w:t>period.</w:t>
      </w:r>
    </w:p>
    <w:p w14:paraId="2B6884DE" w14:textId="772D31AF" w:rsidR="000756EB" w:rsidRPr="00253A0C" w:rsidRDefault="004A4D88" w:rsidP="00253A0C">
      <w:pPr>
        <w:pStyle w:val="Normalbeforebullets"/>
        <w:rPr>
          <w:b/>
          <w:bCs/>
        </w:rPr>
      </w:pPr>
      <w:r w:rsidRPr="00253A0C">
        <w:rPr>
          <w:b/>
          <w:bCs/>
        </w:rPr>
        <w:t>Fair</w:t>
      </w:r>
      <w:r w:rsidR="00A03629" w:rsidRPr="00253A0C">
        <w:rPr>
          <w:b/>
          <w:bCs/>
        </w:rPr>
        <w:t xml:space="preserve"> </w:t>
      </w:r>
      <w:r w:rsidR="00253A0C" w:rsidRPr="00253A0C">
        <w:rPr>
          <w:b/>
          <w:bCs/>
        </w:rPr>
        <w:t xml:space="preserve">Value of Financial Instruments Measured at Amortised Cost </w:t>
      </w:r>
    </w:p>
    <w:tbl>
      <w:tblPr>
        <w:tblStyle w:val="TableGrid"/>
        <w:tblW w:w="10308" w:type="dxa"/>
        <w:tblLayout w:type="fixed"/>
        <w:tblLook w:val="0020" w:firstRow="1" w:lastRow="0" w:firstColumn="0" w:lastColumn="0" w:noHBand="0" w:noVBand="0"/>
      </w:tblPr>
      <w:tblGrid>
        <w:gridCol w:w="4248"/>
        <w:gridCol w:w="1515"/>
        <w:gridCol w:w="1515"/>
        <w:gridCol w:w="1515"/>
        <w:gridCol w:w="1515"/>
      </w:tblGrid>
      <w:tr w:rsidR="000756EB" w:rsidRPr="00253A0C" w14:paraId="71CBCFCF" w14:textId="77777777" w:rsidTr="00B404D7">
        <w:trPr>
          <w:trHeight w:val="60"/>
          <w:tblHeader/>
        </w:trPr>
        <w:tc>
          <w:tcPr>
            <w:tcW w:w="4248" w:type="dxa"/>
          </w:tcPr>
          <w:p w14:paraId="627AE133" w14:textId="77777777" w:rsidR="000756EB" w:rsidRPr="00253A0C" w:rsidRDefault="000756EB" w:rsidP="00253A0C">
            <w:pPr>
              <w:pStyle w:val="TableColumnHeading"/>
              <w:rPr>
                <w:sz w:val="20"/>
                <w:szCs w:val="28"/>
              </w:rPr>
            </w:pPr>
            <w:bookmarkStart w:id="128" w:name="ColumnTitles_76"/>
            <w:bookmarkEnd w:id="128"/>
          </w:p>
        </w:tc>
        <w:tc>
          <w:tcPr>
            <w:tcW w:w="1515" w:type="dxa"/>
          </w:tcPr>
          <w:p w14:paraId="1F1E5D9C" w14:textId="06365F13" w:rsidR="000756EB" w:rsidRPr="00253A0C" w:rsidRDefault="00253A0C" w:rsidP="00B404D7">
            <w:pPr>
              <w:pStyle w:val="TableColumnHeading"/>
              <w:jc w:val="right"/>
              <w:rPr>
                <w:sz w:val="20"/>
                <w:szCs w:val="28"/>
              </w:rPr>
            </w:pPr>
            <w:r w:rsidRPr="00253A0C">
              <w:rPr>
                <w:sz w:val="20"/>
                <w:szCs w:val="28"/>
              </w:rPr>
              <w:t>Carrying</w:t>
            </w:r>
            <w:r>
              <w:rPr>
                <w:sz w:val="20"/>
                <w:szCs w:val="28"/>
              </w:rPr>
              <w:t xml:space="preserve"> </w:t>
            </w:r>
            <w:r w:rsidRPr="00253A0C">
              <w:rPr>
                <w:sz w:val="20"/>
                <w:szCs w:val="28"/>
              </w:rPr>
              <w:t xml:space="preserve">amount </w:t>
            </w:r>
            <w:r w:rsidR="004A4D88" w:rsidRPr="00253A0C">
              <w:rPr>
                <w:sz w:val="20"/>
                <w:szCs w:val="28"/>
              </w:rPr>
              <w:t>2023</w:t>
            </w:r>
            <w:r w:rsidRPr="00253A0C">
              <w:rPr>
                <w:sz w:val="20"/>
                <w:szCs w:val="28"/>
              </w:rPr>
              <w:t xml:space="preserve"> ($</w:t>
            </w:r>
            <w:r>
              <w:rPr>
                <w:sz w:val="20"/>
                <w:szCs w:val="28"/>
              </w:rPr>
              <w:t> </w:t>
            </w:r>
            <w:r w:rsidRPr="00253A0C">
              <w:rPr>
                <w:sz w:val="20"/>
                <w:szCs w:val="28"/>
              </w:rPr>
              <w:t>thousand)</w:t>
            </w:r>
            <w:r w:rsidR="00A03629" w:rsidRPr="00253A0C">
              <w:rPr>
                <w:sz w:val="20"/>
                <w:szCs w:val="28"/>
              </w:rPr>
              <w:t xml:space="preserve"> </w:t>
            </w:r>
          </w:p>
        </w:tc>
        <w:tc>
          <w:tcPr>
            <w:tcW w:w="1515" w:type="dxa"/>
          </w:tcPr>
          <w:p w14:paraId="6AF9FBB7" w14:textId="21ED09FA" w:rsidR="000756EB" w:rsidRPr="00253A0C" w:rsidRDefault="00253A0C" w:rsidP="00B404D7">
            <w:pPr>
              <w:pStyle w:val="TableColumnHeading"/>
              <w:jc w:val="right"/>
              <w:rPr>
                <w:sz w:val="20"/>
                <w:szCs w:val="28"/>
              </w:rPr>
            </w:pPr>
            <w:r w:rsidRPr="00253A0C">
              <w:rPr>
                <w:sz w:val="20"/>
                <w:szCs w:val="28"/>
              </w:rPr>
              <w:t>Carrying</w:t>
            </w:r>
            <w:r>
              <w:rPr>
                <w:sz w:val="20"/>
                <w:szCs w:val="28"/>
              </w:rPr>
              <w:t xml:space="preserve"> </w:t>
            </w:r>
            <w:r w:rsidRPr="00253A0C">
              <w:rPr>
                <w:sz w:val="20"/>
                <w:szCs w:val="28"/>
              </w:rPr>
              <w:t xml:space="preserve">amount </w:t>
            </w:r>
            <w:r w:rsidR="004A4D88" w:rsidRPr="00253A0C">
              <w:rPr>
                <w:sz w:val="20"/>
                <w:szCs w:val="28"/>
              </w:rPr>
              <w:t>2022</w:t>
            </w:r>
            <w:r w:rsidRPr="00253A0C">
              <w:rPr>
                <w:sz w:val="20"/>
                <w:szCs w:val="28"/>
              </w:rPr>
              <w:t xml:space="preserve"> ($</w:t>
            </w:r>
            <w:r>
              <w:rPr>
                <w:sz w:val="20"/>
                <w:szCs w:val="28"/>
              </w:rPr>
              <w:t> </w:t>
            </w:r>
            <w:r w:rsidRPr="00253A0C">
              <w:rPr>
                <w:sz w:val="20"/>
                <w:szCs w:val="28"/>
              </w:rPr>
              <w:t>thousand)</w:t>
            </w:r>
          </w:p>
        </w:tc>
        <w:tc>
          <w:tcPr>
            <w:tcW w:w="1515" w:type="dxa"/>
          </w:tcPr>
          <w:p w14:paraId="133A97B7" w14:textId="541328E4" w:rsidR="000756EB" w:rsidRPr="00253A0C" w:rsidRDefault="00253A0C" w:rsidP="00B404D7">
            <w:pPr>
              <w:pStyle w:val="TableColumnHeading"/>
              <w:jc w:val="right"/>
              <w:rPr>
                <w:sz w:val="20"/>
                <w:szCs w:val="28"/>
              </w:rPr>
            </w:pPr>
            <w:r w:rsidRPr="00253A0C">
              <w:rPr>
                <w:sz w:val="20"/>
                <w:szCs w:val="28"/>
              </w:rPr>
              <w:t xml:space="preserve">Fair Value </w:t>
            </w:r>
            <w:r w:rsidR="004A4D88" w:rsidRPr="00253A0C">
              <w:rPr>
                <w:sz w:val="20"/>
                <w:szCs w:val="28"/>
              </w:rPr>
              <w:t>2023</w:t>
            </w:r>
            <w:r w:rsidRPr="00253A0C">
              <w:rPr>
                <w:sz w:val="20"/>
                <w:szCs w:val="28"/>
              </w:rPr>
              <w:t xml:space="preserve"> ($</w:t>
            </w:r>
            <w:r w:rsidR="00B404D7">
              <w:rPr>
                <w:sz w:val="20"/>
                <w:szCs w:val="28"/>
              </w:rPr>
              <w:t> </w:t>
            </w:r>
            <w:r w:rsidRPr="00253A0C">
              <w:rPr>
                <w:sz w:val="20"/>
                <w:szCs w:val="28"/>
              </w:rPr>
              <w:t>thousand)</w:t>
            </w:r>
            <w:r w:rsidR="00A03629" w:rsidRPr="00253A0C">
              <w:rPr>
                <w:sz w:val="20"/>
                <w:szCs w:val="28"/>
              </w:rPr>
              <w:t xml:space="preserve"> </w:t>
            </w:r>
          </w:p>
        </w:tc>
        <w:tc>
          <w:tcPr>
            <w:tcW w:w="1515" w:type="dxa"/>
          </w:tcPr>
          <w:p w14:paraId="49DB0140" w14:textId="7930E214" w:rsidR="000756EB" w:rsidRPr="00253A0C" w:rsidRDefault="00253A0C" w:rsidP="00B404D7">
            <w:pPr>
              <w:pStyle w:val="TableColumnHeading"/>
              <w:jc w:val="right"/>
              <w:rPr>
                <w:sz w:val="20"/>
                <w:szCs w:val="28"/>
              </w:rPr>
            </w:pPr>
            <w:r w:rsidRPr="00253A0C">
              <w:rPr>
                <w:sz w:val="20"/>
                <w:szCs w:val="28"/>
              </w:rPr>
              <w:t xml:space="preserve">Fair Value </w:t>
            </w:r>
            <w:r w:rsidR="004A4D88" w:rsidRPr="00253A0C">
              <w:rPr>
                <w:sz w:val="20"/>
                <w:szCs w:val="28"/>
              </w:rPr>
              <w:t>2022</w:t>
            </w:r>
            <w:r w:rsidRPr="00253A0C">
              <w:rPr>
                <w:sz w:val="20"/>
                <w:szCs w:val="28"/>
              </w:rPr>
              <w:t xml:space="preserve"> ($</w:t>
            </w:r>
            <w:r w:rsidR="00B404D7">
              <w:rPr>
                <w:sz w:val="20"/>
                <w:szCs w:val="28"/>
              </w:rPr>
              <w:t> </w:t>
            </w:r>
            <w:r w:rsidRPr="00253A0C">
              <w:rPr>
                <w:sz w:val="20"/>
                <w:szCs w:val="28"/>
              </w:rPr>
              <w:t>thousand)</w:t>
            </w:r>
          </w:p>
        </w:tc>
      </w:tr>
      <w:tr w:rsidR="000756EB" w:rsidRPr="00253A0C" w14:paraId="5B9DF369" w14:textId="77777777" w:rsidTr="00B404D7">
        <w:trPr>
          <w:trHeight w:val="60"/>
        </w:trPr>
        <w:tc>
          <w:tcPr>
            <w:tcW w:w="4248" w:type="dxa"/>
          </w:tcPr>
          <w:p w14:paraId="32F0370E" w14:textId="6F9585C4" w:rsidR="000756EB" w:rsidRPr="00253A0C" w:rsidRDefault="004A4D88" w:rsidP="00253A0C">
            <w:pPr>
              <w:pStyle w:val="TableColumnHeading"/>
              <w:rPr>
                <w:rFonts w:asciiTheme="minorHAnsi" w:hAnsiTheme="minorHAnsi" w:cstheme="minorHAnsi"/>
              </w:rPr>
            </w:pPr>
            <w:r w:rsidRPr="00253A0C">
              <w:rPr>
                <w:rFonts w:asciiTheme="minorHAnsi" w:hAnsiTheme="minorHAnsi" w:cstheme="minorHAnsi"/>
              </w:rPr>
              <w:t>Contractual</w:t>
            </w:r>
            <w:r w:rsidR="00A03629" w:rsidRPr="00253A0C">
              <w:rPr>
                <w:rFonts w:asciiTheme="minorHAnsi" w:hAnsiTheme="minorHAnsi" w:cstheme="minorHAnsi"/>
              </w:rPr>
              <w:t xml:space="preserve"> </w:t>
            </w:r>
            <w:r w:rsidRPr="00253A0C">
              <w:rPr>
                <w:rFonts w:asciiTheme="minorHAnsi" w:hAnsiTheme="minorHAnsi" w:cstheme="minorHAnsi"/>
              </w:rPr>
              <w:t>financial</w:t>
            </w:r>
            <w:r w:rsidR="00A03629" w:rsidRPr="00253A0C">
              <w:rPr>
                <w:rFonts w:asciiTheme="minorHAnsi" w:hAnsiTheme="minorHAnsi" w:cstheme="minorHAnsi"/>
              </w:rPr>
              <w:t xml:space="preserve"> </w:t>
            </w:r>
            <w:r w:rsidRPr="00253A0C">
              <w:rPr>
                <w:rFonts w:asciiTheme="minorHAnsi" w:hAnsiTheme="minorHAnsi" w:cstheme="minorHAnsi"/>
              </w:rPr>
              <w:t>assets</w:t>
            </w:r>
          </w:p>
        </w:tc>
        <w:tc>
          <w:tcPr>
            <w:tcW w:w="1515" w:type="dxa"/>
          </w:tcPr>
          <w:p w14:paraId="447CDB7E" w14:textId="77777777" w:rsidR="000756EB" w:rsidRPr="00253A0C" w:rsidRDefault="000756EB" w:rsidP="00B404D7">
            <w:pPr>
              <w:pStyle w:val="TableColumnHeading"/>
              <w:jc w:val="right"/>
              <w:rPr>
                <w:rFonts w:asciiTheme="minorHAnsi" w:hAnsiTheme="minorHAnsi" w:cstheme="minorHAnsi"/>
                <w:lang w:val="en-AU"/>
              </w:rPr>
            </w:pPr>
          </w:p>
        </w:tc>
        <w:tc>
          <w:tcPr>
            <w:tcW w:w="1515" w:type="dxa"/>
          </w:tcPr>
          <w:p w14:paraId="04FD4E96" w14:textId="77777777" w:rsidR="000756EB" w:rsidRPr="00253A0C" w:rsidRDefault="000756EB" w:rsidP="00B404D7">
            <w:pPr>
              <w:pStyle w:val="TableColumnHeading"/>
              <w:jc w:val="right"/>
              <w:rPr>
                <w:rFonts w:asciiTheme="minorHAnsi" w:hAnsiTheme="minorHAnsi" w:cstheme="minorHAnsi"/>
                <w:lang w:val="en-AU"/>
              </w:rPr>
            </w:pPr>
          </w:p>
        </w:tc>
        <w:tc>
          <w:tcPr>
            <w:tcW w:w="1515" w:type="dxa"/>
          </w:tcPr>
          <w:p w14:paraId="04BC93DB" w14:textId="77777777" w:rsidR="000756EB" w:rsidRPr="00253A0C" w:rsidRDefault="000756EB" w:rsidP="00B404D7">
            <w:pPr>
              <w:pStyle w:val="TableColumnHeading"/>
              <w:jc w:val="right"/>
              <w:rPr>
                <w:rFonts w:asciiTheme="minorHAnsi" w:hAnsiTheme="minorHAnsi" w:cstheme="minorHAnsi"/>
                <w:lang w:val="en-AU"/>
              </w:rPr>
            </w:pPr>
          </w:p>
        </w:tc>
        <w:tc>
          <w:tcPr>
            <w:tcW w:w="1515" w:type="dxa"/>
          </w:tcPr>
          <w:p w14:paraId="5180F759" w14:textId="77777777" w:rsidR="000756EB" w:rsidRPr="00253A0C" w:rsidRDefault="000756EB" w:rsidP="00B404D7">
            <w:pPr>
              <w:pStyle w:val="TableColumnHeading"/>
              <w:jc w:val="right"/>
              <w:rPr>
                <w:rFonts w:asciiTheme="minorHAnsi" w:hAnsiTheme="minorHAnsi" w:cstheme="minorHAnsi"/>
                <w:lang w:val="en-AU"/>
              </w:rPr>
            </w:pPr>
          </w:p>
        </w:tc>
      </w:tr>
      <w:tr w:rsidR="000756EB" w:rsidRPr="00253A0C" w14:paraId="0E195089" w14:textId="77777777" w:rsidTr="00B404D7">
        <w:trPr>
          <w:trHeight w:val="60"/>
        </w:trPr>
        <w:tc>
          <w:tcPr>
            <w:tcW w:w="4248" w:type="dxa"/>
          </w:tcPr>
          <w:p w14:paraId="558FFA6E" w14:textId="7E68F387" w:rsidR="000756EB" w:rsidRPr="00253A0C" w:rsidRDefault="004A4D88" w:rsidP="00253A0C">
            <w:pPr>
              <w:pStyle w:val="TableCopy"/>
              <w:rPr>
                <w:rFonts w:asciiTheme="minorHAnsi" w:hAnsiTheme="minorHAnsi" w:cstheme="minorHAnsi"/>
              </w:rPr>
            </w:pPr>
            <w:r w:rsidRPr="00253A0C">
              <w:rPr>
                <w:rFonts w:asciiTheme="minorHAnsi" w:hAnsiTheme="minorHAnsi" w:cstheme="minorHAnsi"/>
              </w:rPr>
              <w:t>Cash</w:t>
            </w:r>
            <w:r w:rsidR="00A03629" w:rsidRPr="00253A0C">
              <w:rPr>
                <w:rFonts w:asciiTheme="minorHAnsi" w:hAnsiTheme="minorHAnsi" w:cstheme="minorHAnsi"/>
              </w:rPr>
              <w:t xml:space="preserve"> </w:t>
            </w:r>
            <w:r w:rsidRPr="00253A0C">
              <w:rPr>
                <w:rFonts w:asciiTheme="minorHAnsi" w:hAnsiTheme="minorHAnsi" w:cstheme="minorHAnsi"/>
              </w:rPr>
              <w:t>and</w:t>
            </w:r>
            <w:r w:rsidR="00A03629" w:rsidRPr="00253A0C">
              <w:rPr>
                <w:rFonts w:asciiTheme="minorHAnsi" w:hAnsiTheme="minorHAnsi" w:cstheme="minorHAnsi"/>
              </w:rPr>
              <w:t xml:space="preserve"> </w:t>
            </w:r>
            <w:r w:rsidRPr="00253A0C">
              <w:rPr>
                <w:rFonts w:asciiTheme="minorHAnsi" w:hAnsiTheme="minorHAnsi" w:cstheme="minorHAnsi"/>
              </w:rPr>
              <w:t>deposits</w:t>
            </w:r>
          </w:p>
        </w:tc>
        <w:tc>
          <w:tcPr>
            <w:tcW w:w="1515" w:type="dxa"/>
          </w:tcPr>
          <w:p w14:paraId="0F872E66" w14:textId="635E0D2E" w:rsidR="000756EB" w:rsidRPr="00253A0C" w:rsidRDefault="004A4D88" w:rsidP="00B404D7">
            <w:pPr>
              <w:pStyle w:val="TableCopy"/>
              <w:jc w:val="right"/>
              <w:rPr>
                <w:rFonts w:asciiTheme="minorHAnsi" w:hAnsiTheme="minorHAnsi" w:cstheme="minorHAnsi"/>
              </w:rPr>
            </w:pPr>
            <w:r w:rsidRPr="00253A0C">
              <w:rPr>
                <w:rFonts w:asciiTheme="minorHAnsi" w:hAnsiTheme="minorHAnsi" w:cstheme="minorHAnsi"/>
              </w:rPr>
              <w:t>322,133</w:t>
            </w:r>
          </w:p>
        </w:tc>
        <w:tc>
          <w:tcPr>
            <w:tcW w:w="1515" w:type="dxa"/>
          </w:tcPr>
          <w:p w14:paraId="500BA9C3" w14:textId="2A2C778D" w:rsidR="000756EB" w:rsidRPr="00253A0C" w:rsidRDefault="004A4D88" w:rsidP="00B404D7">
            <w:pPr>
              <w:pStyle w:val="TableCopy"/>
              <w:jc w:val="right"/>
              <w:rPr>
                <w:rFonts w:asciiTheme="minorHAnsi" w:hAnsiTheme="minorHAnsi" w:cstheme="minorHAnsi"/>
              </w:rPr>
            </w:pPr>
            <w:r w:rsidRPr="00253A0C">
              <w:rPr>
                <w:rFonts w:asciiTheme="minorHAnsi" w:hAnsiTheme="minorHAnsi" w:cstheme="minorHAnsi"/>
              </w:rPr>
              <w:t>416,760</w:t>
            </w:r>
          </w:p>
        </w:tc>
        <w:tc>
          <w:tcPr>
            <w:tcW w:w="1515" w:type="dxa"/>
          </w:tcPr>
          <w:p w14:paraId="6A7C8C35" w14:textId="06F32DE6" w:rsidR="000756EB" w:rsidRPr="00253A0C" w:rsidRDefault="004A4D88" w:rsidP="00B404D7">
            <w:pPr>
              <w:pStyle w:val="TableCopy"/>
              <w:jc w:val="right"/>
              <w:rPr>
                <w:rFonts w:asciiTheme="minorHAnsi" w:hAnsiTheme="minorHAnsi" w:cstheme="minorHAnsi"/>
              </w:rPr>
            </w:pPr>
            <w:r w:rsidRPr="00253A0C">
              <w:rPr>
                <w:rFonts w:asciiTheme="minorHAnsi" w:hAnsiTheme="minorHAnsi" w:cstheme="minorHAnsi"/>
              </w:rPr>
              <w:t>322,133</w:t>
            </w:r>
          </w:p>
        </w:tc>
        <w:tc>
          <w:tcPr>
            <w:tcW w:w="1515" w:type="dxa"/>
          </w:tcPr>
          <w:p w14:paraId="471BBC73" w14:textId="3A348395" w:rsidR="000756EB" w:rsidRPr="00253A0C" w:rsidRDefault="004A4D88" w:rsidP="00B404D7">
            <w:pPr>
              <w:pStyle w:val="TableCopy"/>
              <w:jc w:val="right"/>
              <w:rPr>
                <w:rFonts w:asciiTheme="minorHAnsi" w:hAnsiTheme="minorHAnsi" w:cstheme="minorHAnsi"/>
              </w:rPr>
            </w:pPr>
            <w:r w:rsidRPr="00253A0C">
              <w:rPr>
                <w:rFonts w:asciiTheme="minorHAnsi" w:hAnsiTheme="minorHAnsi" w:cstheme="minorHAnsi"/>
              </w:rPr>
              <w:t>416,760</w:t>
            </w:r>
          </w:p>
        </w:tc>
      </w:tr>
      <w:tr w:rsidR="000756EB" w:rsidRPr="00253A0C" w14:paraId="2F851DAA" w14:textId="77777777" w:rsidTr="00B404D7">
        <w:trPr>
          <w:trHeight w:val="60"/>
        </w:trPr>
        <w:tc>
          <w:tcPr>
            <w:tcW w:w="4248" w:type="dxa"/>
          </w:tcPr>
          <w:p w14:paraId="7C33598E" w14:textId="078EC7E3" w:rsidR="000756EB" w:rsidRPr="00253A0C" w:rsidRDefault="004A4D88" w:rsidP="00253A0C">
            <w:pPr>
              <w:pStyle w:val="TableCopy"/>
              <w:rPr>
                <w:rFonts w:asciiTheme="minorHAnsi" w:hAnsiTheme="minorHAnsi" w:cstheme="minorHAnsi"/>
              </w:rPr>
            </w:pPr>
            <w:r w:rsidRPr="00253A0C">
              <w:rPr>
                <w:rFonts w:asciiTheme="minorHAnsi" w:hAnsiTheme="minorHAnsi" w:cstheme="minorHAnsi"/>
              </w:rPr>
              <w:t>Receivables</w:t>
            </w:r>
            <w:r w:rsidR="00A03629" w:rsidRPr="00253A0C">
              <w:rPr>
                <w:rFonts w:asciiTheme="minorHAnsi" w:hAnsiTheme="minorHAnsi" w:cstheme="minorHAnsi"/>
              </w:rPr>
              <w:t xml:space="preserve"> </w:t>
            </w:r>
            <w:r w:rsidRPr="00614829">
              <w:rPr>
                <w:rStyle w:val="FootnotereferencessuperscriptMisc"/>
              </w:rPr>
              <w:t>(</w:t>
            </w:r>
            <w:proofErr w:type="spellStart"/>
            <w:r w:rsidRPr="00614829">
              <w:rPr>
                <w:rStyle w:val="FootnotereferencessuperscriptMisc"/>
              </w:rPr>
              <w:t>i</w:t>
            </w:r>
            <w:proofErr w:type="spellEnd"/>
            <w:r w:rsidRPr="00614829">
              <w:rPr>
                <w:rStyle w:val="FootnotereferencessuperscriptMisc"/>
              </w:rPr>
              <w:t>)</w:t>
            </w:r>
          </w:p>
        </w:tc>
        <w:tc>
          <w:tcPr>
            <w:tcW w:w="1515" w:type="dxa"/>
          </w:tcPr>
          <w:p w14:paraId="58FF88DB" w14:textId="0BA8B95C" w:rsidR="000756EB" w:rsidRPr="00253A0C" w:rsidRDefault="004A4D88" w:rsidP="00B404D7">
            <w:pPr>
              <w:pStyle w:val="TableCopy"/>
              <w:jc w:val="right"/>
              <w:rPr>
                <w:rFonts w:asciiTheme="minorHAnsi" w:hAnsiTheme="minorHAnsi" w:cstheme="minorHAnsi"/>
              </w:rPr>
            </w:pPr>
            <w:r w:rsidRPr="00253A0C">
              <w:rPr>
                <w:rFonts w:asciiTheme="minorHAnsi" w:hAnsiTheme="minorHAnsi" w:cstheme="minorHAnsi"/>
              </w:rPr>
              <w:t>225,347</w:t>
            </w:r>
          </w:p>
        </w:tc>
        <w:tc>
          <w:tcPr>
            <w:tcW w:w="1515" w:type="dxa"/>
          </w:tcPr>
          <w:p w14:paraId="5E322587" w14:textId="62DBA3CF" w:rsidR="000756EB" w:rsidRPr="00253A0C" w:rsidRDefault="004A4D88" w:rsidP="00B404D7">
            <w:pPr>
              <w:pStyle w:val="TableCopy"/>
              <w:jc w:val="right"/>
              <w:rPr>
                <w:rFonts w:asciiTheme="minorHAnsi" w:hAnsiTheme="minorHAnsi" w:cstheme="minorHAnsi"/>
              </w:rPr>
            </w:pPr>
            <w:r w:rsidRPr="00253A0C">
              <w:rPr>
                <w:rFonts w:asciiTheme="minorHAnsi" w:hAnsiTheme="minorHAnsi" w:cstheme="minorHAnsi"/>
              </w:rPr>
              <w:t>264,829</w:t>
            </w:r>
          </w:p>
        </w:tc>
        <w:tc>
          <w:tcPr>
            <w:tcW w:w="1515" w:type="dxa"/>
          </w:tcPr>
          <w:p w14:paraId="44D6A26E" w14:textId="1F282E8B" w:rsidR="000756EB" w:rsidRPr="00253A0C" w:rsidRDefault="004A4D88" w:rsidP="00B404D7">
            <w:pPr>
              <w:pStyle w:val="TableCopy"/>
              <w:jc w:val="right"/>
              <w:rPr>
                <w:rFonts w:asciiTheme="minorHAnsi" w:hAnsiTheme="minorHAnsi" w:cstheme="minorHAnsi"/>
              </w:rPr>
            </w:pPr>
            <w:r w:rsidRPr="00253A0C">
              <w:rPr>
                <w:rFonts w:asciiTheme="minorHAnsi" w:hAnsiTheme="minorHAnsi" w:cstheme="minorHAnsi"/>
              </w:rPr>
              <w:t>225,347</w:t>
            </w:r>
          </w:p>
        </w:tc>
        <w:tc>
          <w:tcPr>
            <w:tcW w:w="1515" w:type="dxa"/>
          </w:tcPr>
          <w:p w14:paraId="79222F7F" w14:textId="638E4503" w:rsidR="000756EB" w:rsidRPr="00253A0C" w:rsidRDefault="004A4D88" w:rsidP="00B404D7">
            <w:pPr>
              <w:pStyle w:val="TableCopy"/>
              <w:jc w:val="right"/>
              <w:rPr>
                <w:rFonts w:asciiTheme="minorHAnsi" w:hAnsiTheme="minorHAnsi" w:cstheme="minorHAnsi"/>
              </w:rPr>
            </w:pPr>
            <w:r w:rsidRPr="00253A0C">
              <w:rPr>
                <w:rFonts w:asciiTheme="minorHAnsi" w:hAnsiTheme="minorHAnsi" w:cstheme="minorHAnsi"/>
              </w:rPr>
              <w:t>264,829</w:t>
            </w:r>
          </w:p>
        </w:tc>
      </w:tr>
      <w:tr w:rsidR="000756EB" w:rsidRPr="00253A0C" w14:paraId="768C2E57" w14:textId="77777777" w:rsidTr="00B404D7">
        <w:trPr>
          <w:trHeight w:val="60"/>
        </w:trPr>
        <w:tc>
          <w:tcPr>
            <w:tcW w:w="4248" w:type="dxa"/>
          </w:tcPr>
          <w:p w14:paraId="20CFC66C" w14:textId="77777777" w:rsidR="000756EB" w:rsidRPr="00253A0C" w:rsidRDefault="004A4D88" w:rsidP="00253A0C">
            <w:pPr>
              <w:pStyle w:val="TableCopy"/>
              <w:rPr>
                <w:rFonts w:asciiTheme="minorHAnsi" w:hAnsiTheme="minorHAnsi" w:cstheme="minorHAnsi"/>
              </w:rPr>
            </w:pPr>
            <w:r w:rsidRPr="00253A0C">
              <w:rPr>
                <w:rFonts w:asciiTheme="minorHAnsi" w:hAnsiTheme="minorHAnsi" w:cstheme="minorHAnsi"/>
              </w:rPr>
              <w:t>Investments</w:t>
            </w:r>
          </w:p>
        </w:tc>
        <w:tc>
          <w:tcPr>
            <w:tcW w:w="1515" w:type="dxa"/>
          </w:tcPr>
          <w:p w14:paraId="5DFBD188" w14:textId="1BE5EC1A" w:rsidR="000756EB" w:rsidRPr="00253A0C" w:rsidRDefault="004A4D88" w:rsidP="00B404D7">
            <w:pPr>
              <w:pStyle w:val="TableCopy"/>
              <w:jc w:val="right"/>
              <w:rPr>
                <w:rFonts w:asciiTheme="minorHAnsi" w:hAnsiTheme="minorHAnsi" w:cstheme="minorHAnsi"/>
              </w:rPr>
            </w:pPr>
            <w:r w:rsidRPr="00253A0C">
              <w:rPr>
                <w:rFonts w:asciiTheme="minorHAnsi" w:hAnsiTheme="minorHAnsi" w:cstheme="minorHAnsi"/>
              </w:rPr>
              <w:t>–</w:t>
            </w:r>
          </w:p>
        </w:tc>
        <w:tc>
          <w:tcPr>
            <w:tcW w:w="1515" w:type="dxa"/>
          </w:tcPr>
          <w:p w14:paraId="20A2465E" w14:textId="5E9F6C86" w:rsidR="000756EB" w:rsidRPr="00253A0C" w:rsidRDefault="004A4D88" w:rsidP="00B404D7">
            <w:pPr>
              <w:pStyle w:val="TableCopy"/>
              <w:jc w:val="right"/>
              <w:rPr>
                <w:rFonts w:asciiTheme="minorHAnsi" w:hAnsiTheme="minorHAnsi" w:cstheme="minorHAnsi"/>
              </w:rPr>
            </w:pPr>
            <w:r w:rsidRPr="00253A0C">
              <w:rPr>
                <w:rFonts w:asciiTheme="minorHAnsi" w:hAnsiTheme="minorHAnsi" w:cstheme="minorHAnsi"/>
              </w:rPr>
              <w:t>71</w:t>
            </w:r>
          </w:p>
        </w:tc>
        <w:tc>
          <w:tcPr>
            <w:tcW w:w="1515" w:type="dxa"/>
          </w:tcPr>
          <w:p w14:paraId="0C725693" w14:textId="6B58C1BA" w:rsidR="000756EB" w:rsidRPr="00253A0C" w:rsidRDefault="004A4D88" w:rsidP="00B404D7">
            <w:pPr>
              <w:pStyle w:val="TableCopy"/>
              <w:jc w:val="right"/>
              <w:rPr>
                <w:rFonts w:asciiTheme="minorHAnsi" w:hAnsiTheme="minorHAnsi" w:cstheme="minorHAnsi"/>
              </w:rPr>
            </w:pPr>
            <w:r w:rsidRPr="00253A0C">
              <w:rPr>
                <w:rFonts w:asciiTheme="minorHAnsi" w:hAnsiTheme="minorHAnsi" w:cstheme="minorHAnsi"/>
              </w:rPr>
              <w:t>–</w:t>
            </w:r>
          </w:p>
        </w:tc>
        <w:tc>
          <w:tcPr>
            <w:tcW w:w="1515" w:type="dxa"/>
          </w:tcPr>
          <w:p w14:paraId="196FF163" w14:textId="470CF415" w:rsidR="000756EB" w:rsidRPr="00253A0C" w:rsidRDefault="004A4D88" w:rsidP="00B404D7">
            <w:pPr>
              <w:pStyle w:val="TableCopy"/>
              <w:jc w:val="right"/>
              <w:rPr>
                <w:rFonts w:asciiTheme="minorHAnsi" w:hAnsiTheme="minorHAnsi" w:cstheme="minorHAnsi"/>
              </w:rPr>
            </w:pPr>
            <w:r w:rsidRPr="00253A0C">
              <w:rPr>
                <w:rFonts w:asciiTheme="minorHAnsi" w:hAnsiTheme="minorHAnsi" w:cstheme="minorHAnsi"/>
              </w:rPr>
              <w:t>71</w:t>
            </w:r>
          </w:p>
        </w:tc>
      </w:tr>
      <w:tr w:rsidR="000756EB" w:rsidRPr="00253A0C" w14:paraId="2F3AA220" w14:textId="77777777" w:rsidTr="00B404D7">
        <w:trPr>
          <w:trHeight w:val="60"/>
        </w:trPr>
        <w:tc>
          <w:tcPr>
            <w:tcW w:w="4248" w:type="dxa"/>
          </w:tcPr>
          <w:p w14:paraId="7ADAB577" w14:textId="71CF1F04" w:rsidR="000756EB" w:rsidRPr="00253A0C" w:rsidRDefault="004A4D88" w:rsidP="00253A0C">
            <w:pPr>
              <w:pStyle w:val="TableCopy"/>
              <w:rPr>
                <w:rFonts w:asciiTheme="minorHAnsi" w:hAnsiTheme="minorHAnsi" w:cstheme="minorHAnsi"/>
                <w:b/>
                <w:bCs/>
              </w:rPr>
            </w:pPr>
            <w:r w:rsidRPr="00253A0C">
              <w:rPr>
                <w:rFonts w:asciiTheme="minorHAnsi" w:hAnsiTheme="minorHAnsi" w:cstheme="minorHAnsi"/>
                <w:b/>
                <w:bCs/>
              </w:rPr>
              <w:t>Total</w:t>
            </w:r>
            <w:r w:rsidR="00A03629" w:rsidRPr="00253A0C">
              <w:rPr>
                <w:rFonts w:asciiTheme="minorHAnsi" w:hAnsiTheme="minorHAnsi" w:cstheme="minorHAnsi"/>
                <w:b/>
                <w:bCs/>
              </w:rPr>
              <w:t xml:space="preserve"> </w:t>
            </w:r>
            <w:r w:rsidRPr="00253A0C">
              <w:rPr>
                <w:rFonts w:asciiTheme="minorHAnsi" w:hAnsiTheme="minorHAnsi" w:cstheme="minorHAnsi"/>
                <w:b/>
                <w:bCs/>
              </w:rPr>
              <w:t>contractual</w:t>
            </w:r>
            <w:r w:rsidR="00A03629" w:rsidRPr="00253A0C">
              <w:rPr>
                <w:rFonts w:asciiTheme="minorHAnsi" w:hAnsiTheme="minorHAnsi" w:cstheme="minorHAnsi"/>
                <w:b/>
                <w:bCs/>
              </w:rPr>
              <w:t xml:space="preserve"> </w:t>
            </w:r>
            <w:r w:rsidRPr="00253A0C">
              <w:rPr>
                <w:rFonts w:asciiTheme="minorHAnsi" w:hAnsiTheme="minorHAnsi" w:cstheme="minorHAnsi"/>
                <w:b/>
                <w:bCs/>
              </w:rPr>
              <w:t>financial</w:t>
            </w:r>
            <w:r w:rsidR="00A03629" w:rsidRPr="00253A0C">
              <w:rPr>
                <w:rFonts w:asciiTheme="minorHAnsi" w:hAnsiTheme="minorHAnsi" w:cstheme="minorHAnsi"/>
                <w:b/>
                <w:bCs/>
              </w:rPr>
              <w:t xml:space="preserve"> </w:t>
            </w:r>
            <w:r w:rsidRPr="00253A0C">
              <w:rPr>
                <w:rFonts w:asciiTheme="minorHAnsi" w:hAnsiTheme="minorHAnsi" w:cstheme="minorHAnsi"/>
                <w:b/>
                <w:bCs/>
              </w:rPr>
              <w:t>assets</w:t>
            </w:r>
          </w:p>
        </w:tc>
        <w:tc>
          <w:tcPr>
            <w:tcW w:w="1515" w:type="dxa"/>
          </w:tcPr>
          <w:p w14:paraId="33708BCB" w14:textId="56FC98AD" w:rsidR="000756EB" w:rsidRPr="00253A0C" w:rsidRDefault="004A4D88" w:rsidP="00B404D7">
            <w:pPr>
              <w:pStyle w:val="TableCopy"/>
              <w:jc w:val="right"/>
              <w:rPr>
                <w:rFonts w:asciiTheme="minorHAnsi" w:hAnsiTheme="minorHAnsi" w:cstheme="minorHAnsi"/>
                <w:b/>
                <w:bCs/>
              </w:rPr>
            </w:pPr>
            <w:r w:rsidRPr="00253A0C">
              <w:rPr>
                <w:rFonts w:asciiTheme="minorHAnsi" w:hAnsiTheme="minorHAnsi" w:cstheme="minorHAnsi"/>
                <w:b/>
                <w:bCs/>
              </w:rPr>
              <w:t>547,480</w:t>
            </w:r>
          </w:p>
        </w:tc>
        <w:tc>
          <w:tcPr>
            <w:tcW w:w="1515" w:type="dxa"/>
          </w:tcPr>
          <w:p w14:paraId="7FAFC46F" w14:textId="337A16E4" w:rsidR="000756EB" w:rsidRPr="00253A0C" w:rsidRDefault="004A4D88" w:rsidP="00B404D7">
            <w:pPr>
              <w:pStyle w:val="TableCopy"/>
              <w:jc w:val="right"/>
              <w:rPr>
                <w:rFonts w:asciiTheme="minorHAnsi" w:hAnsiTheme="minorHAnsi" w:cstheme="minorHAnsi"/>
                <w:b/>
                <w:bCs/>
              </w:rPr>
            </w:pPr>
            <w:r w:rsidRPr="00253A0C">
              <w:rPr>
                <w:rFonts w:asciiTheme="minorHAnsi" w:hAnsiTheme="minorHAnsi" w:cstheme="minorHAnsi"/>
                <w:b/>
                <w:bCs/>
              </w:rPr>
              <w:t>681,660</w:t>
            </w:r>
          </w:p>
        </w:tc>
        <w:tc>
          <w:tcPr>
            <w:tcW w:w="1515" w:type="dxa"/>
          </w:tcPr>
          <w:p w14:paraId="150FC06D" w14:textId="6DCCEDD6" w:rsidR="000756EB" w:rsidRPr="00253A0C" w:rsidRDefault="004A4D88" w:rsidP="00B404D7">
            <w:pPr>
              <w:pStyle w:val="TableCopy"/>
              <w:jc w:val="right"/>
              <w:rPr>
                <w:rFonts w:asciiTheme="minorHAnsi" w:hAnsiTheme="minorHAnsi" w:cstheme="minorHAnsi"/>
                <w:b/>
                <w:bCs/>
              </w:rPr>
            </w:pPr>
            <w:r w:rsidRPr="00253A0C">
              <w:rPr>
                <w:rFonts w:asciiTheme="minorHAnsi" w:hAnsiTheme="minorHAnsi" w:cstheme="minorHAnsi"/>
                <w:b/>
                <w:bCs/>
              </w:rPr>
              <w:t>547,480</w:t>
            </w:r>
          </w:p>
        </w:tc>
        <w:tc>
          <w:tcPr>
            <w:tcW w:w="1515" w:type="dxa"/>
          </w:tcPr>
          <w:p w14:paraId="1855D0DE" w14:textId="69CD0FBE" w:rsidR="000756EB" w:rsidRPr="00253A0C" w:rsidRDefault="004A4D88" w:rsidP="00B404D7">
            <w:pPr>
              <w:pStyle w:val="TableCopy"/>
              <w:jc w:val="right"/>
              <w:rPr>
                <w:rFonts w:asciiTheme="minorHAnsi" w:hAnsiTheme="minorHAnsi" w:cstheme="minorHAnsi"/>
                <w:b/>
                <w:bCs/>
              </w:rPr>
            </w:pPr>
            <w:r w:rsidRPr="00253A0C">
              <w:rPr>
                <w:rFonts w:asciiTheme="minorHAnsi" w:hAnsiTheme="minorHAnsi" w:cstheme="minorHAnsi"/>
                <w:b/>
                <w:bCs/>
              </w:rPr>
              <w:t>681,660</w:t>
            </w:r>
          </w:p>
        </w:tc>
      </w:tr>
      <w:tr w:rsidR="000756EB" w:rsidRPr="00B404D7" w14:paraId="64E4C8F7" w14:textId="77777777" w:rsidTr="00B404D7">
        <w:trPr>
          <w:trHeight w:val="60"/>
        </w:trPr>
        <w:tc>
          <w:tcPr>
            <w:tcW w:w="4248" w:type="dxa"/>
          </w:tcPr>
          <w:p w14:paraId="776A786B" w14:textId="176FC047" w:rsidR="000756EB" w:rsidRPr="00B404D7" w:rsidRDefault="004A4D88" w:rsidP="00B404D7">
            <w:pPr>
              <w:pStyle w:val="TableHeading"/>
              <w:rPr>
                <w:rFonts w:asciiTheme="minorHAnsi" w:hAnsiTheme="minorHAnsi" w:cstheme="minorHAnsi"/>
              </w:rPr>
            </w:pPr>
            <w:r w:rsidRPr="00B404D7">
              <w:rPr>
                <w:rFonts w:asciiTheme="minorHAnsi" w:hAnsiTheme="minorHAnsi" w:cstheme="minorHAnsi"/>
              </w:rPr>
              <w:t>Contractual</w:t>
            </w:r>
            <w:r w:rsidR="00A03629" w:rsidRPr="00B404D7">
              <w:rPr>
                <w:rFonts w:asciiTheme="minorHAnsi" w:hAnsiTheme="minorHAnsi" w:cstheme="minorHAnsi"/>
              </w:rPr>
              <w:t xml:space="preserve"> </w:t>
            </w:r>
            <w:r w:rsidRPr="00B404D7">
              <w:rPr>
                <w:rFonts w:asciiTheme="minorHAnsi" w:hAnsiTheme="minorHAnsi" w:cstheme="minorHAnsi"/>
              </w:rPr>
              <w:t>financial</w:t>
            </w:r>
            <w:r w:rsidR="00A03629" w:rsidRPr="00B404D7">
              <w:rPr>
                <w:rFonts w:asciiTheme="minorHAnsi" w:hAnsiTheme="minorHAnsi" w:cstheme="minorHAnsi"/>
              </w:rPr>
              <w:t xml:space="preserve"> </w:t>
            </w:r>
            <w:r w:rsidRPr="00B404D7">
              <w:rPr>
                <w:rFonts w:asciiTheme="minorHAnsi" w:hAnsiTheme="minorHAnsi" w:cstheme="minorHAnsi"/>
              </w:rPr>
              <w:t>liabilities</w:t>
            </w:r>
          </w:p>
        </w:tc>
        <w:tc>
          <w:tcPr>
            <w:tcW w:w="1515" w:type="dxa"/>
          </w:tcPr>
          <w:p w14:paraId="4A9A960F" w14:textId="77777777" w:rsidR="000756EB" w:rsidRPr="00B404D7" w:rsidRDefault="000756EB" w:rsidP="00B404D7">
            <w:pPr>
              <w:pStyle w:val="TableHeading"/>
              <w:jc w:val="right"/>
              <w:rPr>
                <w:rFonts w:asciiTheme="minorHAnsi" w:hAnsiTheme="minorHAnsi" w:cstheme="minorHAnsi"/>
                <w:lang w:val="en-AU"/>
              </w:rPr>
            </w:pPr>
          </w:p>
        </w:tc>
        <w:tc>
          <w:tcPr>
            <w:tcW w:w="1515" w:type="dxa"/>
          </w:tcPr>
          <w:p w14:paraId="277B9A96" w14:textId="77777777" w:rsidR="000756EB" w:rsidRPr="00B404D7" w:rsidRDefault="000756EB" w:rsidP="00B404D7">
            <w:pPr>
              <w:pStyle w:val="TableHeading"/>
              <w:jc w:val="right"/>
              <w:rPr>
                <w:rFonts w:asciiTheme="minorHAnsi" w:hAnsiTheme="minorHAnsi" w:cstheme="minorHAnsi"/>
                <w:lang w:val="en-AU"/>
              </w:rPr>
            </w:pPr>
          </w:p>
        </w:tc>
        <w:tc>
          <w:tcPr>
            <w:tcW w:w="1515" w:type="dxa"/>
          </w:tcPr>
          <w:p w14:paraId="4BE63DDD" w14:textId="77777777" w:rsidR="000756EB" w:rsidRPr="00B404D7" w:rsidRDefault="000756EB" w:rsidP="00B404D7">
            <w:pPr>
              <w:pStyle w:val="TableHeading"/>
              <w:jc w:val="right"/>
              <w:rPr>
                <w:rFonts w:asciiTheme="minorHAnsi" w:hAnsiTheme="minorHAnsi" w:cstheme="minorHAnsi"/>
                <w:lang w:val="en-AU"/>
              </w:rPr>
            </w:pPr>
          </w:p>
        </w:tc>
        <w:tc>
          <w:tcPr>
            <w:tcW w:w="1515" w:type="dxa"/>
          </w:tcPr>
          <w:p w14:paraId="5AE02B2A" w14:textId="77777777" w:rsidR="000756EB" w:rsidRPr="00B404D7" w:rsidRDefault="000756EB" w:rsidP="00B404D7">
            <w:pPr>
              <w:pStyle w:val="TableHeading"/>
              <w:jc w:val="right"/>
              <w:rPr>
                <w:rFonts w:asciiTheme="minorHAnsi" w:hAnsiTheme="minorHAnsi" w:cstheme="minorHAnsi"/>
                <w:lang w:val="en-AU"/>
              </w:rPr>
            </w:pPr>
          </w:p>
        </w:tc>
      </w:tr>
      <w:tr w:rsidR="000756EB" w:rsidRPr="00B404D7" w14:paraId="72C048B9" w14:textId="77777777" w:rsidTr="00B404D7">
        <w:trPr>
          <w:trHeight w:val="60"/>
        </w:trPr>
        <w:tc>
          <w:tcPr>
            <w:tcW w:w="4248" w:type="dxa"/>
          </w:tcPr>
          <w:p w14:paraId="37FE9C59" w14:textId="10304CCB" w:rsidR="000756EB" w:rsidRPr="00B404D7" w:rsidRDefault="004A4D88" w:rsidP="00B404D7">
            <w:pPr>
              <w:pStyle w:val="TableHeading"/>
              <w:rPr>
                <w:rFonts w:asciiTheme="minorHAnsi" w:hAnsiTheme="minorHAnsi" w:cstheme="minorHAnsi"/>
              </w:rPr>
            </w:pPr>
            <w:r w:rsidRPr="00B404D7">
              <w:rPr>
                <w:rFonts w:asciiTheme="minorHAnsi" w:hAnsiTheme="minorHAnsi" w:cstheme="minorHAnsi"/>
              </w:rPr>
              <w:t>Payables</w:t>
            </w:r>
            <w:r w:rsidR="00A03629" w:rsidRPr="00B404D7">
              <w:rPr>
                <w:rFonts w:asciiTheme="minorHAnsi" w:hAnsiTheme="minorHAnsi" w:cstheme="minorHAnsi"/>
              </w:rPr>
              <w:t xml:space="preserve"> </w:t>
            </w:r>
            <w:r w:rsidRPr="00614829">
              <w:rPr>
                <w:rStyle w:val="FootnotereferencessuperscriptMisc"/>
              </w:rPr>
              <w:t>(</w:t>
            </w:r>
            <w:proofErr w:type="spellStart"/>
            <w:r w:rsidRPr="00614829">
              <w:rPr>
                <w:rStyle w:val="FootnotereferencessuperscriptMisc"/>
              </w:rPr>
              <w:t>i</w:t>
            </w:r>
            <w:proofErr w:type="spellEnd"/>
            <w:r w:rsidRPr="00614829">
              <w:rPr>
                <w:rStyle w:val="FootnotereferencessuperscriptMisc"/>
              </w:rPr>
              <w:t>)</w:t>
            </w:r>
          </w:p>
        </w:tc>
        <w:tc>
          <w:tcPr>
            <w:tcW w:w="1515" w:type="dxa"/>
          </w:tcPr>
          <w:p w14:paraId="3DC0DC65" w14:textId="77777777" w:rsidR="000756EB" w:rsidRPr="00B404D7" w:rsidRDefault="000756EB" w:rsidP="00B404D7">
            <w:pPr>
              <w:pStyle w:val="TableHeading"/>
              <w:jc w:val="right"/>
              <w:rPr>
                <w:rFonts w:asciiTheme="minorHAnsi" w:hAnsiTheme="minorHAnsi" w:cstheme="minorHAnsi"/>
                <w:lang w:val="en-AU"/>
              </w:rPr>
            </w:pPr>
          </w:p>
        </w:tc>
        <w:tc>
          <w:tcPr>
            <w:tcW w:w="1515" w:type="dxa"/>
          </w:tcPr>
          <w:p w14:paraId="2AD3F545" w14:textId="77777777" w:rsidR="000756EB" w:rsidRPr="00B404D7" w:rsidRDefault="000756EB" w:rsidP="00B404D7">
            <w:pPr>
              <w:pStyle w:val="TableHeading"/>
              <w:jc w:val="right"/>
              <w:rPr>
                <w:rFonts w:asciiTheme="minorHAnsi" w:hAnsiTheme="minorHAnsi" w:cstheme="minorHAnsi"/>
                <w:lang w:val="en-AU"/>
              </w:rPr>
            </w:pPr>
          </w:p>
        </w:tc>
        <w:tc>
          <w:tcPr>
            <w:tcW w:w="1515" w:type="dxa"/>
          </w:tcPr>
          <w:p w14:paraId="20752518" w14:textId="77777777" w:rsidR="000756EB" w:rsidRPr="00B404D7" w:rsidRDefault="000756EB" w:rsidP="00B404D7">
            <w:pPr>
              <w:pStyle w:val="TableHeading"/>
              <w:jc w:val="right"/>
              <w:rPr>
                <w:rFonts w:asciiTheme="minorHAnsi" w:hAnsiTheme="minorHAnsi" w:cstheme="minorHAnsi"/>
                <w:lang w:val="en-AU"/>
              </w:rPr>
            </w:pPr>
          </w:p>
        </w:tc>
        <w:tc>
          <w:tcPr>
            <w:tcW w:w="1515" w:type="dxa"/>
          </w:tcPr>
          <w:p w14:paraId="491CD911" w14:textId="77777777" w:rsidR="000756EB" w:rsidRPr="00B404D7" w:rsidRDefault="000756EB" w:rsidP="00B404D7">
            <w:pPr>
              <w:pStyle w:val="TableHeading"/>
              <w:jc w:val="right"/>
              <w:rPr>
                <w:rFonts w:asciiTheme="minorHAnsi" w:hAnsiTheme="minorHAnsi" w:cstheme="minorHAnsi"/>
                <w:lang w:val="en-AU"/>
              </w:rPr>
            </w:pPr>
          </w:p>
        </w:tc>
      </w:tr>
      <w:tr w:rsidR="000756EB" w:rsidRPr="00B404D7" w14:paraId="6C191F24" w14:textId="77777777" w:rsidTr="00B404D7">
        <w:trPr>
          <w:trHeight w:val="60"/>
        </w:trPr>
        <w:tc>
          <w:tcPr>
            <w:tcW w:w="4248" w:type="dxa"/>
          </w:tcPr>
          <w:p w14:paraId="55B2E275" w14:textId="258D8257" w:rsidR="000756EB" w:rsidRPr="00B404D7" w:rsidRDefault="004A4D88" w:rsidP="00B404D7">
            <w:pPr>
              <w:pStyle w:val="TableCopy"/>
              <w:rPr>
                <w:rFonts w:asciiTheme="minorHAnsi" w:hAnsiTheme="minorHAnsi" w:cstheme="minorHAnsi"/>
              </w:rPr>
            </w:pPr>
            <w:r w:rsidRPr="00B404D7">
              <w:rPr>
                <w:rFonts w:asciiTheme="minorHAnsi" w:hAnsiTheme="minorHAnsi" w:cstheme="minorHAnsi"/>
              </w:rPr>
              <w:t>–</w:t>
            </w:r>
            <w:r w:rsidR="00A03629" w:rsidRPr="00B404D7">
              <w:rPr>
                <w:rFonts w:asciiTheme="minorHAnsi" w:hAnsiTheme="minorHAnsi" w:cstheme="minorHAnsi"/>
              </w:rPr>
              <w:t xml:space="preserve"> </w:t>
            </w:r>
            <w:r w:rsidRPr="00B404D7">
              <w:rPr>
                <w:rFonts w:asciiTheme="minorHAnsi" w:hAnsiTheme="minorHAnsi" w:cstheme="minorHAnsi"/>
              </w:rPr>
              <w:t>Supplies</w:t>
            </w:r>
            <w:r w:rsidR="00A03629" w:rsidRPr="00B404D7">
              <w:rPr>
                <w:rFonts w:asciiTheme="minorHAnsi" w:hAnsiTheme="minorHAnsi" w:cstheme="minorHAnsi"/>
              </w:rPr>
              <w:t xml:space="preserve"> </w:t>
            </w:r>
            <w:r w:rsidRPr="00B404D7">
              <w:rPr>
                <w:rFonts w:asciiTheme="minorHAnsi" w:hAnsiTheme="minorHAnsi" w:cstheme="minorHAnsi"/>
              </w:rPr>
              <w:t>and</w:t>
            </w:r>
            <w:r w:rsidR="00A03629" w:rsidRPr="00B404D7">
              <w:rPr>
                <w:rFonts w:asciiTheme="minorHAnsi" w:hAnsiTheme="minorHAnsi" w:cstheme="minorHAnsi"/>
              </w:rPr>
              <w:t xml:space="preserve"> </w:t>
            </w:r>
            <w:r w:rsidRPr="00B404D7">
              <w:rPr>
                <w:rFonts w:asciiTheme="minorHAnsi" w:hAnsiTheme="minorHAnsi" w:cstheme="minorHAnsi"/>
              </w:rPr>
              <w:t>services</w:t>
            </w:r>
          </w:p>
        </w:tc>
        <w:tc>
          <w:tcPr>
            <w:tcW w:w="1515" w:type="dxa"/>
          </w:tcPr>
          <w:p w14:paraId="4AA68915" w14:textId="7AE1E687" w:rsidR="000756EB" w:rsidRPr="00B404D7" w:rsidRDefault="004A4D88" w:rsidP="00B404D7">
            <w:pPr>
              <w:pStyle w:val="TableCopy"/>
              <w:jc w:val="right"/>
              <w:rPr>
                <w:rFonts w:asciiTheme="minorHAnsi" w:hAnsiTheme="minorHAnsi" w:cstheme="minorHAnsi"/>
              </w:rPr>
            </w:pPr>
            <w:r w:rsidRPr="00B404D7">
              <w:rPr>
                <w:rFonts w:asciiTheme="minorHAnsi" w:hAnsiTheme="minorHAnsi" w:cstheme="minorHAnsi"/>
              </w:rPr>
              <w:t>404,145</w:t>
            </w:r>
          </w:p>
        </w:tc>
        <w:tc>
          <w:tcPr>
            <w:tcW w:w="1515" w:type="dxa"/>
          </w:tcPr>
          <w:p w14:paraId="71E5B7A7" w14:textId="4755C892" w:rsidR="000756EB" w:rsidRPr="00B404D7" w:rsidRDefault="004A4D88" w:rsidP="00B404D7">
            <w:pPr>
              <w:pStyle w:val="TableCopy"/>
              <w:jc w:val="right"/>
              <w:rPr>
                <w:rFonts w:asciiTheme="minorHAnsi" w:hAnsiTheme="minorHAnsi" w:cstheme="minorHAnsi"/>
              </w:rPr>
            </w:pPr>
            <w:r w:rsidRPr="00B404D7">
              <w:rPr>
                <w:rFonts w:asciiTheme="minorHAnsi" w:hAnsiTheme="minorHAnsi" w:cstheme="minorHAnsi"/>
              </w:rPr>
              <w:t>331,834</w:t>
            </w:r>
          </w:p>
        </w:tc>
        <w:tc>
          <w:tcPr>
            <w:tcW w:w="1515" w:type="dxa"/>
          </w:tcPr>
          <w:p w14:paraId="14C37762" w14:textId="40FC68DF" w:rsidR="000756EB" w:rsidRPr="00B404D7" w:rsidRDefault="004A4D88" w:rsidP="00B404D7">
            <w:pPr>
              <w:pStyle w:val="TableCopy"/>
              <w:jc w:val="right"/>
              <w:rPr>
                <w:rFonts w:asciiTheme="minorHAnsi" w:hAnsiTheme="minorHAnsi" w:cstheme="minorHAnsi"/>
              </w:rPr>
            </w:pPr>
            <w:r w:rsidRPr="00B404D7">
              <w:rPr>
                <w:rFonts w:asciiTheme="minorHAnsi" w:hAnsiTheme="minorHAnsi" w:cstheme="minorHAnsi"/>
              </w:rPr>
              <w:t>404,145</w:t>
            </w:r>
          </w:p>
        </w:tc>
        <w:tc>
          <w:tcPr>
            <w:tcW w:w="1515" w:type="dxa"/>
          </w:tcPr>
          <w:p w14:paraId="29C7ABDE" w14:textId="2E501911" w:rsidR="000756EB" w:rsidRPr="00B404D7" w:rsidRDefault="004A4D88" w:rsidP="00B404D7">
            <w:pPr>
              <w:pStyle w:val="TableCopy"/>
              <w:jc w:val="right"/>
              <w:rPr>
                <w:rFonts w:asciiTheme="minorHAnsi" w:hAnsiTheme="minorHAnsi" w:cstheme="minorHAnsi"/>
              </w:rPr>
            </w:pPr>
            <w:r w:rsidRPr="00B404D7">
              <w:rPr>
                <w:rFonts w:asciiTheme="minorHAnsi" w:hAnsiTheme="minorHAnsi" w:cstheme="minorHAnsi"/>
              </w:rPr>
              <w:t>331,834</w:t>
            </w:r>
          </w:p>
        </w:tc>
      </w:tr>
      <w:tr w:rsidR="000756EB" w:rsidRPr="00B404D7" w14:paraId="19005224" w14:textId="77777777" w:rsidTr="00B404D7">
        <w:trPr>
          <w:trHeight w:val="60"/>
        </w:trPr>
        <w:tc>
          <w:tcPr>
            <w:tcW w:w="4248" w:type="dxa"/>
          </w:tcPr>
          <w:p w14:paraId="1ACC8A76" w14:textId="522E4C05" w:rsidR="000756EB" w:rsidRPr="00B404D7" w:rsidRDefault="004A4D88" w:rsidP="00B404D7">
            <w:pPr>
              <w:pStyle w:val="TableCopy"/>
              <w:rPr>
                <w:rFonts w:asciiTheme="minorHAnsi" w:hAnsiTheme="minorHAnsi" w:cstheme="minorHAnsi"/>
              </w:rPr>
            </w:pPr>
            <w:r w:rsidRPr="00B404D7">
              <w:rPr>
                <w:rFonts w:asciiTheme="minorHAnsi" w:hAnsiTheme="minorHAnsi" w:cstheme="minorHAnsi"/>
              </w:rPr>
              <w:t>–</w:t>
            </w:r>
            <w:r w:rsidR="00A03629" w:rsidRPr="00B404D7">
              <w:rPr>
                <w:rFonts w:asciiTheme="minorHAnsi" w:hAnsiTheme="minorHAnsi" w:cstheme="minorHAnsi"/>
              </w:rPr>
              <w:t xml:space="preserve"> </w:t>
            </w:r>
            <w:r w:rsidRPr="00B404D7">
              <w:rPr>
                <w:rFonts w:asciiTheme="minorHAnsi" w:hAnsiTheme="minorHAnsi" w:cstheme="minorHAnsi"/>
              </w:rPr>
              <w:t>Finance</w:t>
            </w:r>
            <w:r w:rsidR="00A03629" w:rsidRPr="00B404D7">
              <w:rPr>
                <w:rFonts w:asciiTheme="minorHAnsi" w:hAnsiTheme="minorHAnsi" w:cstheme="minorHAnsi"/>
              </w:rPr>
              <w:t xml:space="preserve"> </w:t>
            </w:r>
            <w:r w:rsidRPr="00B404D7">
              <w:rPr>
                <w:rFonts w:asciiTheme="minorHAnsi" w:hAnsiTheme="minorHAnsi" w:cstheme="minorHAnsi"/>
              </w:rPr>
              <w:t>guarantee</w:t>
            </w:r>
          </w:p>
        </w:tc>
        <w:tc>
          <w:tcPr>
            <w:tcW w:w="1515" w:type="dxa"/>
          </w:tcPr>
          <w:p w14:paraId="33E89760" w14:textId="5BA70237" w:rsidR="000756EB" w:rsidRPr="00B404D7" w:rsidRDefault="004A4D88" w:rsidP="00B404D7">
            <w:pPr>
              <w:pStyle w:val="TableCopy"/>
              <w:jc w:val="right"/>
              <w:rPr>
                <w:rFonts w:asciiTheme="minorHAnsi" w:hAnsiTheme="minorHAnsi" w:cstheme="minorHAnsi"/>
              </w:rPr>
            </w:pPr>
            <w:r w:rsidRPr="00B404D7">
              <w:rPr>
                <w:rFonts w:asciiTheme="minorHAnsi" w:hAnsiTheme="minorHAnsi" w:cstheme="minorHAnsi"/>
              </w:rPr>
              <w:t>–</w:t>
            </w:r>
          </w:p>
        </w:tc>
        <w:tc>
          <w:tcPr>
            <w:tcW w:w="1515" w:type="dxa"/>
          </w:tcPr>
          <w:p w14:paraId="7D0414CA" w14:textId="310CDCE9" w:rsidR="000756EB" w:rsidRPr="00B404D7" w:rsidRDefault="004A4D88" w:rsidP="00B404D7">
            <w:pPr>
              <w:pStyle w:val="TableCopy"/>
              <w:jc w:val="right"/>
              <w:rPr>
                <w:rFonts w:asciiTheme="minorHAnsi" w:hAnsiTheme="minorHAnsi" w:cstheme="minorHAnsi"/>
              </w:rPr>
            </w:pPr>
            <w:r w:rsidRPr="00B404D7">
              <w:rPr>
                <w:rFonts w:asciiTheme="minorHAnsi" w:hAnsiTheme="minorHAnsi" w:cstheme="minorHAnsi"/>
              </w:rPr>
              <w:t>48,036</w:t>
            </w:r>
          </w:p>
        </w:tc>
        <w:tc>
          <w:tcPr>
            <w:tcW w:w="1515" w:type="dxa"/>
          </w:tcPr>
          <w:p w14:paraId="209E7E33" w14:textId="36308C93" w:rsidR="000756EB" w:rsidRPr="00B404D7" w:rsidRDefault="004A4D88" w:rsidP="00B404D7">
            <w:pPr>
              <w:pStyle w:val="TableCopy"/>
              <w:jc w:val="right"/>
              <w:rPr>
                <w:rFonts w:asciiTheme="minorHAnsi" w:hAnsiTheme="minorHAnsi" w:cstheme="minorHAnsi"/>
              </w:rPr>
            </w:pPr>
            <w:r w:rsidRPr="00B404D7">
              <w:rPr>
                <w:rFonts w:asciiTheme="minorHAnsi" w:hAnsiTheme="minorHAnsi" w:cstheme="minorHAnsi"/>
              </w:rPr>
              <w:t>–</w:t>
            </w:r>
          </w:p>
        </w:tc>
        <w:tc>
          <w:tcPr>
            <w:tcW w:w="1515" w:type="dxa"/>
          </w:tcPr>
          <w:p w14:paraId="7B5C24E5" w14:textId="7F8DC2B5" w:rsidR="000756EB" w:rsidRPr="00B404D7" w:rsidRDefault="004A4D88" w:rsidP="00B404D7">
            <w:pPr>
              <w:pStyle w:val="TableCopy"/>
              <w:jc w:val="right"/>
              <w:rPr>
                <w:rFonts w:asciiTheme="minorHAnsi" w:hAnsiTheme="minorHAnsi" w:cstheme="minorHAnsi"/>
              </w:rPr>
            </w:pPr>
            <w:r w:rsidRPr="00B404D7">
              <w:rPr>
                <w:rFonts w:asciiTheme="minorHAnsi" w:hAnsiTheme="minorHAnsi" w:cstheme="minorHAnsi"/>
              </w:rPr>
              <w:t>48,036</w:t>
            </w:r>
          </w:p>
        </w:tc>
      </w:tr>
      <w:tr w:rsidR="000756EB" w:rsidRPr="00B404D7" w14:paraId="19AF9D3B" w14:textId="77777777" w:rsidTr="00B404D7">
        <w:trPr>
          <w:trHeight w:val="60"/>
        </w:trPr>
        <w:tc>
          <w:tcPr>
            <w:tcW w:w="4248" w:type="dxa"/>
          </w:tcPr>
          <w:p w14:paraId="3C5BE6C0" w14:textId="77777777" w:rsidR="000756EB" w:rsidRPr="00B404D7" w:rsidRDefault="004A4D88" w:rsidP="00B404D7">
            <w:pPr>
              <w:pStyle w:val="TableHeading"/>
              <w:rPr>
                <w:rFonts w:asciiTheme="minorHAnsi" w:hAnsiTheme="minorHAnsi" w:cstheme="minorHAnsi"/>
              </w:rPr>
            </w:pPr>
            <w:r w:rsidRPr="00B404D7">
              <w:rPr>
                <w:rFonts w:asciiTheme="minorHAnsi" w:hAnsiTheme="minorHAnsi" w:cstheme="minorHAnsi"/>
              </w:rPr>
              <w:lastRenderedPageBreak/>
              <w:t>Borrowings</w:t>
            </w:r>
          </w:p>
        </w:tc>
        <w:tc>
          <w:tcPr>
            <w:tcW w:w="1515" w:type="dxa"/>
          </w:tcPr>
          <w:p w14:paraId="2CB02C04" w14:textId="77777777" w:rsidR="000756EB" w:rsidRPr="00B404D7" w:rsidRDefault="000756EB" w:rsidP="00B404D7">
            <w:pPr>
              <w:pStyle w:val="TableHeading"/>
              <w:jc w:val="right"/>
              <w:rPr>
                <w:rFonts w:asciiTheme="minorHAnsi" w:hAnsiTheme="minorHAnsi" w:cstheme="minorHAnsi"/>
                <w:lang w:val="en-AU"/>
              </w:rPr>
            </w:pPr>
          </w:p>
        </w:tc>
        <w:tc>
          <w:tcPr>
            <w:tcW w:w="1515" w:type="dxa"/>
          </w:tcPr>
          <w:p w14:paraId="7D956E3D" w14:textId="77777777" w:rsidR="000756EB" w:rsidRPr="00B404D7" w:rsidRDefault="000756EB" w:rsidP="00B404D7">
            <w:pPr>
              <w:pStyle w:val="TableHeading"/>
              <w:jc w:val="right"/>
              <w:rPr>
                <w:rFonts w:asciiTheme="minorHAnsi" w:hAnsiTheme="minorHAnsi" w:cstheme="minorHAnsi"/>
                <w:lang w:val="en-AU"/>
              </w:rPr>
            </w:pPr>
          </w:p>
        </w:tc>
        <w:tc>
          <w:tcPr>
            <w:tcW w:w="1515" w:type="dxa"/>
          </w:tcPr>
          <w:p w14:paraId="68B323BA" w14:textId="77777777" w:rsidR="000756EB" w:rsidRPr="00B404D7" w:rsidRDefault="000756EB" w:rsidP="00B404D7">
            <w:pPr>
              <w:pStyle w:val="TableHeading"/>
              <w:jc w:val="right"/>
              <w:rPr>
                <w:rFonts w:asciiTheme="minorHAnsi" w:hAnsiTheme="minorHAnsi" w:cstheme="minorHAnsi"/>
                <w:lang w:val="en-AU"/>
              </w:rPr>
            </w:pPr>
          </w:p>
        </w:tc>
        <w:tc>
          <w:tcPr>
            <w:tcW w:w="1515" w:type="dxa"/>
          </w:tcPr>
          <w:p w14:paraId="3B6E834B" w14:textId="77777777" w:rsidR="000756EB" w:rsidRPr="00B404D7" w:rsidRDefault="000756EB" w:rsidP="00B404D7">
            <w:pPr>
              <w:pStyle w:val="TableHeading"/>
              <w:jc w:val="right"/>
              <w:rPr>
                <w:rFonts w:asciiTheme="minorHAnsi" w:hAnsiTheme="minorHAnsi" w:cstheme="minorHAnsi"/>
                <w:lang w:val="en-AU"/>
              </w:rPr>
            </w:pPr>
          </w:p>
        </w:tc>
      </w:tr>
      <w:tr w:rsidR="000756EB" w:rsidRPr="00B404D7" w14:paraId="56D683E5" w14:textId="77777777" w:rsidTr="00B404D7">
        <w:trPr>
          <w:trHeight w:val="60"/>
        </w:trPr>
        <w:tc>
          <w:tcPr>
            <w:tcW w:w="4248" w:type="dxa"/>
          </w:tcPr>
          <w:p w14:paraId="012F90C4" w14:textId="2391B93B" w:rsidR="000756EB" w:rsidRPr="00B404D7" w:rsidRDefault="004A4D88" w:rsidP="00B404D7">
            <w:pPr>
              <w:pStyle w:val="TableCopy"/>
            </w:pPr>
            <w:r w:rsidRPr="00B404D7">
              <w:t>–</w:t>
            </w:r>
            <w:r w:rsidR="00A03629" w:rsidRPr="00B404D7">
              <w:t xml:space="preserve"> </w:t>
            </w:r>
            <w:r w:rsidRPr="00B404D7">
              <w:t>Lease</w:t>
            </w:r>
            <w:r w:rsidR="00A03629" w:rsidRPr="00B404D7">
              <w:t xml:space="preserve"> </w:t>
            </w:r>
            <w:r w:rsidRPr="00B404D7">
              <w:t>liabilities</w:t>
            </w:r>
          </w:p>
        </w:tc>
        <w:tc>
          <w:tcPr>
            <w:tcW w:w="1515" w:type="dxa"/>
          </w:tcPr>
          <w:p w14:paraId="18D168C0" w14:textId="7C739BC0" w:rsidR="000756EB" w:rsidRPr="00B404D7" w:rsidRDefault="004A4D88" w:rsidP="00B404D7">
            <w:pPr>
              <w:pStyle w:val="TableCopy"/>
              <w:jc w:val="right"/>
            </w:pPr>
            <w:r w:rsidRPr="00B404D7">
              <w:t>14,342</w:t>
            </w:r>
          </w:p>
        </w:tc>
        <w:tc>
          <w:tcPr>
            <w:tcW w:w="1515" w:type="dxa"/>
          </w:tcPr>
          <w:p w14:paraId="34AC5469" w14:textId="7A2B1AA5" w:rsidR="000756EB" w:rsidRPr="00B404D7" w:rsidRDefault="004A4D88" w:rsidP="00B404D7">
            <w:pPr>
              <w:pStyle w:val="TableCopy"/>
              <w:jc w:val="right"/>
            </w:pPr>
            <w:r w:rsidRPr="00B404D7">
              <w:t>299,985</w:t>
            </w:r>
          </w:p>
        </w:tc>
        <w:tc>
          <w:tcPr>
            <w:tcW w:w="1515" w:type="dxa"/>
          </w:tcPr>
          <w:p w14:paraId="522F0A23" w14:textId="62AA1C8F" w:rsidR="000756EB" w:rsidRPr="00B404D7" w:rsidRDefault="004A4D88" w:rsidP="00B404D7">
            <w:pPr>
              <w:pStyle w:val="TableCopy"/>
              <w:jc w:val="right"/>
            </w:pPr>
            <w:r w:rsidRPr="00B404D7">
              <w:t>14,342</w:t>
            </w:r>
          </w:p>
        </w:tc>
        <w:tc>
          <w:tcPr>
            <w:tcW w:w="1515" w:type="dxa"/>
          </w:tcPr>
          <w:p w14:paraId="71A4B592" w14:textId="33167417" w:rsidR="000756EB" w:rsidRPr="00B404D7" w:rsidRDefault="004A4D88" w:rsidP="00B404D7">
            <w:pPr>
              <w:pStyle w:val="TableCopy"/>
              <w:jc w:val="right"/>
            </w:pPr>
            <w:r w:rsidRPr="00B404D7">
              <w:t>299,985</w:t>
            </w:r>
          </w:p>
        </w:tc>
      </w:tr>
      <w:tr w:rsidR="000756EB" w:rsidRPr="00B404D7" w14:paraId="1C6827B5" w14:textId="77777777" w:rsidTr="00B404D7">
        <w:trPr>
          <w:trHeight w:val="60"/>
        </w:trPr>
        <w:tc>
          <w:tcPr>
            <w:tcW w:w="4248" w:type="dxa"/>
          </w:tcPr>
          <w:p w14:paraId="7E8ECAB8" w14:textId="77282905" w:rsidR="000756EB" w:rsidRPr="00B404D7" w:rsidRDefault="004A4D88" w:rsidP="00B404D7">
            <w:pPr>
              <w:pStyle w:val="TableCopy"/>
            </w:pPr>
            <w:r w:rsidRPr="00B404D7">
              <w:t>–</w:t>
            </w:r>
            <w:r w:rsidR="00A03629" w:rsidRPr="00B404D7">
              <w:t xml:space="preserve"> </w:t>
            </w:r>
            <w:r w:rsidRPr="00B404D7">
              <w:t>Advances</w:t>
            </w:r>
            <w:r w:rsidR="00A03629" w:rsidRPr="00B404D7">
              <w:t xml:space="preserve"> </w:t>
            </w:r>
            <w:r w:rsidRPr="00B404D7">
              <w:t>from</w:t>
            </w:r>
            <w:r w:rsidR="00A03629" w:rsidRPr="00B404D7">
              <w:t xml:space="preserve"> </w:t>
            </w:r>
            <w:r w:rsidRPr="00B404D7">
              <w:t>government</w:t>
            </w:r>
          </w:p>
        </w:tc>
        <w:tc>
          <w:tcPr>
            <w:tcW w:w="1515" w:type="dxa"/>
          </w:tcPr>
          <w:p w14:paraId="4703EF94" w14:textId="7F705D89" w:rsidR="000756EB" w:rsidRPr="00B404D7" w:rsidRDefault="004A4D88" w:rsidP="00B404D7">
            <w:pPr>
              <w:pStyle w:val="TableCopy"/>
              <w:jc w:val="right"/>
            </w:pPr>
            <w:r w:rsidRPr="00B404D7">
              <w:t>59,689</w:t>
            </w:r>
          </w:p>
        </w:tc>
        <w:tc>
          <w:tcPr>
            <w:tcW w:w="1515" w:type="dxa"/>
          </w:tcPr>
          <w:p w14:paraId="7D0AC89E" w14:textId="14C1400A" w:rsidR="000756EB" w:rsidRPr="00B404D7" w:rsidRDefault="004A4D88" w:rsidP="00B404D7">
            <w:pPr>
              <w:pStyle w:val="TableCopy"/>
              <w:jc w:val="right"/>
            </w:pPr>
            <w:r w:rsidRPr="00B404D7">
              <w:t>62,751</w:t>
            </w:r>
          </w:p>
        </w:tc>
        <w:tc>
          <w:tcPr>
            <w:tcW w:w="1515" w:type="dxa"/>
          </w:tcPr>
          <w:p w14:paraId="21BF5D05" w14:textId="54C28F6E" w:rsidR="000756EB" w:rsidRPr="00B404D7" w:rsidRDefault="004A4D88" w:rsidP="00B404D7">
            <w:pPr>
              <w:pStyle w:val="TableCopy"/>
              <w:jc w:val="right"/>
            </w:pPr>
            <w:r w:rsidRPr="00B404D7">
              <w:t>59,689</w:t>
            </w:r>
          </w:p>
        </w:tc>
        <w:tc>
          <w:tcPr>
            <w:tcW w:w="1515" w:type="dxa"/>
          </w:tcPr>
          <w:p w14:paraId="456059F7" w14:textId="470559F5" w:rsidR="000756EB" w:rsidRPr="00B404D7" w:rsidRDefault="004A4D88" w:rsidP="00B404D7">
            <w:pPr>
              <w:pStyle w:val="TableCopy"/>
              <w:jc w:val="right"/>
            </w:pPr>
            <w:r w:rsidRPr="00B404D7">
              <w:t>62,751</w:t>
            </w:r>
          </w:p>
        </w:tc>
      </w:tr>
      <w:tr w:rsidR="000756EB" w:rsidRPr="00B404D7" w14:paraId="023581DA" w14:textId="77777777" w:rsidTr="00B404D7">
        <w:trPr>
          <w:trHeight w:val="333"/>
        </w:trPr>
        <w:tc>
          <w:tcPr>
            <w:tcW w:w="4248" w:type="dxa"/>
          </w:tcPr>
          <w:p w14:paraId="62C80F76" w14:textId="0AB88388" w:rsidR="000756EB" w:rsidRPr="00B404D7" w:rsidRDefault="004A4D88" w:rsidP="00B404D7">
            <w:pPr>
              <w:pStyle w:val="TableCopy"/>
            </w:pPr>
            <w:r w:rsidRPr="00B404D7">
              <w:t>–</w:t>
            </w:r>
            <w:r w:rsidR="00A03629" w:rsidRPr="00B404D7">
              <w:t xml:space="preserve"> </w:t>
            </w:r>
            <w:r w:rsidRPr="00B404D7">
              <w:t>Advances</w:t>
            </w:r>
            <w:r w:rsidR="00A03629" w:rsidRPr="00B404D7">
              <w:t xml:space="preserve"> </w:t>
            </w:r>
            <w:r w:rsidRPr="00B404D7">
              <w:t>from</w:t>
            </w:r>
            <w:r w:rsidR="00A03629" w:rsidRPr="00B404D7">
              <w:t xml:space="preserve"> </w:t>
            </w:r>
            <w:r w:rsidRPr="00B404D7">
              <w:t>Commonwealth</w:t>
            </w:r>
          </w:p>
        </w:tc>
        <w:tc>
          <w:tcPr>
            <w:tcW w:w="1515" w:type="dxa"/>
          </w:tcPr>
          <w:p w14:paraId="3006115D" w14:textId="76A9C7CA" w:rsidR="000756EB" w:rsidRPr="00B404D7" w:rsidRDefault="004A4D88" w:rsidP="00B404D7">
            <w:pPr>
              <w:pStyle w:val="TableCopy"/>
              <w:jc w:val="right"/>
            </w:pPr>
            <w:r w:rsidRPr="00B404D7">
              <w:t>–</w:t>
            </w:r>
          </w:p>
        </w:tc>
        <w:tc>
          <w:tcPr>
            <w:tcW w:w="1515" w:type="dxa"/>
          </w:tcPr>
          <w:p w14:paraId="73D4DB0C" w14:textId="6A628E09" w:rsidR="000756EB" w:rsidRPr="00B404D7" w:rsidRDefault="004A4D88" w:rsidP="00B404D7">
            <w:pPr>
              <w:pStyle w:val="TableCopy"/>
              <w:jc w:val="right"/>
            </w:pPr>
            <w:r w:rsidRPr="00B404D7">
              <w:t>142,767</w:t>
            </w:r>
          </w:p>
        </w:tc>
        <w:tc>
          <w:tcPr>
            <w:tcW w:w="1515" w:type="dxa"/>
          </w:tcPr>
          <w:p w14:paraId="47E45963" w14:textId="4A89A03C" w:rsidR="000756EB" w:rsidRPr="00B404D7" w:rsidRDefault="004A4D88" w:rsidP="00B404D7">
            <w:pPr>
              <w:pStyle w:val="TableCopy"/>
              <w:jc w:val="right"/>
            </w:pPr>
            <w:r w:rsidRPr="00B404D7">
              <w:t>–</w:t>
            </w:r>
          </w:p>
        </w:tc>
        <w:tc>
          <w:tcPr>
            <w:tcW w:w="1515" w:type="dxa"/>
          </w:tcPr>
          <w:p w14:paraId="1E4618E3" w14:textId="1CD50187" w:rsidR="000756EB" w:rsidRPr="00B404D7" w:rsidRDefault="004A4D88" w:rsidP="00B404D7">
            <w:pPr>
              <w:pStyle w:val="TableCopy"/>
              <w:jc w:val="right"/>
            </w:pPr>
            <w:r w:rsidRPr="00B404D7">
              <w:t>142,767</w:t>
            </w:r>
          </w:p>
        </w:tc>
      </w:tr>
      <w:tr w:rsidR="000756EB" w:rsidRPr="00B404D7" w14:paraId="5F1759F2" w14:textId="77777777" w:rsidTr="00B404D7">
        <w:trPr>
          <w:trHeight w:val="60"/>
        </w:trPr>
        <w:tc>
          <w:tcPr>
            <w:tcW w:w="4248" w:type="dxa"/>
          </w:tcPr>
          <w:p w14:paraId="59C34350" w14:textId="7207B1AA" w:rsidR="000756EB" w:rsidRPr="00B404D7" w:rsidRDefault="004A4D88" w:rsidP="00B404D7">
            <w:pPr>
              <w:pStyle w:val="TableCopy"/>
              <w:rPr>
                <w:b/>
                <w:bCs/>
              </w:rPr>
            </w:pPr>
            <w:r w:rsidRPr="00B404D7">
              <w:rPr>
                <w:b/>
                <w:bCs/>
              </w:rPr>
              <w:t>Total</w:t>
            </w:r>
            <w:r w:rsidR="00A03629" w:rsidRPr="00B404D7">
              <w:rPr>
                <w:b/>
                <w:bCs/>
              </w:rPr>
              <w:t xml:space="preserve"> </w:t>
            </w:r>
            <w:r w:rsidRPr="00B404D7">
              <w:rPr>
                <w:b/>
                <w:bCs/>
              </w:rPr>
              <w:t>contractual</w:t>
            </w:r>
            <w:r w:rsidR="00A03629" w:rsidRPr="00B404D7">
              <w:rPr>
                <w:b/>
                <w:bCs/>
              </w:rPr>
              <w:t xml:space="preserve"> </w:t>
            </w:r>
            <w:r w:rsidRPr="00B404D7">
              <w:rPr>
                <w:b/>
                <w:bCs/>
              </w:rPr>
              <w:t>financial</w:t>
            </w:r>
            <w:r w:rsidR="00A03629" w:rsidRPr="00B404D7">
              <w:rPr>
                <w:b/>
                <w:bCs/>
              </w:rPr>
              <w:t xml:space="preserve"> </w:t>
            </w:r>
            <w:r w:rsidRPr="00B404D7">
              <w:rPr>
                <w:b/>
                <w:bCs/>
              </w:rPr>
              <w:t>liabilities</w:t>
            </w:r>
          </w:p>
        </w:tc>
        <w:tc>
          <w:tcPr>
            <w:tcW w:w="1515" w:type="dxa"/>
          </w:tcPr>
          <w:p w14:paraId="32FA39F8" w14:textId="32A868D1" w:rsidR="000756EB" w:rsidRPr="00B404D7" w:rsidRDefault="004A4D88" w:rsidP="00B404D7">
            <w:pPr>
              <w:pStyle w:val="TableCopy"/>
              <w:jc w:val="right"/>
              <w:rPr>
                <w:b/>
                <w:bCs/>
              </w:rPr>
            </w:pPr>
            <w:r w:rsidRPr="00B404D7">
              <w:rPr>
                <w:b/>
                <w:bCs/>
              </w:rPr>
              <w:t>478,175</w:t>
            </w:r>
          </w:p>
        </w:tc>
        <w:tc>
          <w:tcPr>
            <w:tcW w:w="1515" w:type="dxa"/>
          </w:tcPr>
          <w:p w14:paraId="448EAAC5" w14:textId="01C9EC6D" w:rsidR="000756EB" w:rsidRPr="00B404D7" w:rsidRDefault="004A4D88" w:rsidP="00B404D7">
            <w:pPr>
              <w:pStyle w:val="TableCopy"/>
              <w:jc w:val="right"/>
              <w:rPr>
                <w:b/>
                <w:bCs/>
              </w:rPr>
            </w:pPr>
            <w:r w:rsidRPr="00B404D7">
              <w:rPr>
                <w:b/>
                <w:bCs/>
              </w:rPr>
              <w:t>885,373</w:t>
            </w:r>
          </w:p>
        </w:tc>
        <w:tc>
          <w:tcPr>
            <w:tcW w:w="1515" w:type="dxa"/>
          </w:tcPr>
          <w:p w14:paraId="303A32F1" w14:textId="3A7FC48D" w:rsidR="000756EB" w:rsidRPr="00B404D7" w:rsidRDefault="004A4D88" w:rsidP="00B404D7">
            <w:pPr>
              <w:pStyle w:val="TableCopy"/>
              <w:jc w:val="right"/>
              <w:rPr>
                <w:b/>
                <w:bCs/>
              </w:rPr>
            </w:pPr>
            <w:r w:rsidRPr="00B404D7">
              <w:rPr>
                <w:b/>
                <w:bCs/>
              </w:rPr>
              <w:t>478,175</w:t>
            </w:r>
          </w:p>
        </w:tc>
        <w:tc>
          <w:tcPr>
            <w:tcW w:w="1515" w:type="dxa"/>
          </w:tcPr>
          <w:p w14:paraId="43C10631" w14:textId="52A41C7B" w:rsidR="000756EB" w:rsidRPr="00B404D7" w:rsidRDefault="004A4D88" w:rsidP="00B404D7">
            <w:pPr>
              <w:pStyle w:val="TableCopy"/>
              <w:jc w:val="right"/>
              <w:rPr>
                <w:b/>
                <w:bCs/>
              </w:rPr>
            </w:pPr>
            <w:r w:rsidRPr="00B404D7">
              <w:rPr>
                <w:b/>
                <w:bCs/>
              </w:rPr>
              <w:t>885,373</w:t>
            </w:r>
          </w:p>
        </w:tc>
      </w:tr>
    </w:tbl>
    <w:p w14:paraId="7DDE6A64" w14:textId="16F6622C" w:rsidR="000756EB" w:rsidRDefault="00B404D7" w:rsidP="00B404D7">
      <w:pPr>
        <w:pStyle w:val="FootnoteText"/>
        <w:spacing w:before="120" w:after="280"/>
      </w:pPr>
      <w:r>
        <w:t>(</w:t>
      </w:r>
      <w:proofErr w:type="spellStart"/>
      <w:r>
        <w:t>i</w:t>
      </w:r>
      <w:proofErr w:type="spellEnd"/>
      <w:r>
        <w:t>) The carrying amounts exclude statutory amounts (e.g. amounts owing from government, GST input tax credit recoverable, and GST payable).</w:t>
      </w:r>
    </w:p>
    <w:p w14:paraId="37581305" w14:textId="71402765" w:rsidR="000756EB" w:rsidRDefault="004A4D88" w:rsidP="00B404D7">
      <w:pPr>
        <w:pStyle w:val="Heading3"/>
      </w:pPr>
      <w:r>
        <w:t>8.3.1</w:t>
      </w:r>
      <w:r w:rsidR="00DE38B5">
        <w:t xml:space="preserve"> </w:t>
      </w:r>
      <w:r>
        <w:t>Fair</w:t>
      </w:r>
      <w:r w:rsidR="00A03629">
        <w:t xml:space="preserve"> </w:t>
      </w:r>
      <w:r>
        <w:t>value</w:t>
      </w:r>
      <w:r w:rsidR="00A03629">
        <w:t xml:space="preserve"> </w:t>
      </w:r>
      <w:r>
        <w:t>determination</w:t>
      </w:r>
      <w:r w:rsidR="00A03629">
        <w:t xml:space="preserve"> </w:t>
      </w:r>
      <w:r>
        <w:t>of</w:t>
      </w:r>
      <w:r w:rsidR="00A03629">
        <w:t xml:space="preserve"> </w:t>
      </w:r>
      <w:r>
        <w:t>financial</w:t>
      </w:r>
      <w:r w:rsidR="00A03629">
        <w:t xml:space="preserve"> </w:t>
      </w:r>
      <w:r>
        <w:t>assets</w:t>
      </w:r>
      <w:r w:rsidR="00A03629">
        <w:t xml:space="preserve"> </w:t>
      </w:r>
      <w:r>
        <w:t>and</w:t>
      </w:r>
      <w:r w:rsidR="00A03629">
        <w:t xml:space="preserve"> </w:t>
      </w:r>
      <w:r>
        <w:t>liabilities</w:t>
      </w:r>
    </w:p>
    <w:p w14:paraId="48DE7365" w14:textId="3AFB6C58" w:rsidR="000756EB" w:rsidRPr="00E054C1" w:rsidRDefault="004A4D88" w:rsidP="00E054C1">
      <w:pPr>
        <w:pStyle w:val="Normalbeforebullets"/>
        <w:rPr>
          <w:b/>
          <w:bCs/>
        </w:rPr>
      </w:pPr>
      <w:r w:rsidRPr="00E054C1">
        <w:rPr>
          <w:b/>
          <w:bCs/>
        </w:rPr>
        <w:t>Financial</w:t>
      </w:r>
      <w:r w:rsidR="00A03629" w:rsidRPr="00E054C1">
        <w:rPr>
          <w:b/>
          <w:bCs/>
        </w:rPr>
        <w:t xml:space="preserve"> </w:t>
      </w:r>
      <w:r w:rsidR="00E054C1" w:rsidRPr="00E054C1">
        <w:rPr>
          <w:b/>
          <w:bCs/>
        </w:rPr>
        <w:t xml:space="preserve">Assets and Liabilities Measured at Fair Value </w:t>
      </w:r>
      <w:r w:rsidRPr="00614829">
        <w:rPr>
          <w:rStyle w:val="FootnotereferencessuperscriptMisc"/>
          <w:b/>
          <w:bCs/>
        </w:rPr>
        <w:t>(</w:t>
      </w:r>
      <w:proofErr w:type="spellStart"/>
      <w:r w:rsidRPr="00614829">
        <w:rPr>
          <w:rStyle w:val="FootnotereferencessuperscriptMisc"/>
          <w:b/>
          <w:bCs/>
        </w:rPr>
        <w:t>i</w:t>
      </w:r>
      <w:proofErr w:type="spellEnd"/>
      <w:r w:rsidRPr="00614829">
        <w:rPr>
          <w:rStyle w:val="FootnotereferencessuperscriptMisc"/>
          <w:b/>
          <w:bCs/>
        </w:rPr>
        <w:t>)</w:t>
      </w:r>
    </w:p>
    <w:tbl>
      <w:tblPr>
        <w:tblStyle w:val="TableGrid"/>
        <w:tblW w:w="10343" w:type="dxa"/>
        <w:tblLayout w:type="fixed"/>
        <w:tblLook w:val="0020" w:firstRow="1" w:lastRow="0" w:firstColumn="0" w:lastColumn="0" w:noHBand="0" w:noVBand="0"/>
      </w:tblPr>
      <w:tblGrid>
        <w:gridCol w:w="4390"/>
        <w:gridCol w:w="1417"/>
        <w:gridCol w:w="1512"/>
        <w:gridCol w:w="1512"/>
        <w:gridCol w:w="1512"/>
      </w:tblGrid>
      <w:tr w:rsidR="000756EB" w:rsidRPr="00F93A58" w14:paraId="4A0E8A0C" w14:textId="77777777" w:rsidTr="005369D2">
        <w:trPr>
          <w:trHeight w:val="60"/>
        </w:trPr>
        <w:tc>
          <w:tcPr>
            <w:tcW w:w="4390" w:type="dxa"/>
          </w:tcPr>
          <w:p w14:paraId="38B48BDE" w14:textId="77777777" w:rsidR="000756EB" w:rsidRPr="00F93A58" w:rsidRDefault="000756EB" w:rsidP="00F93A58">
            <w:pPr>
              <w:pStyle w:val="TableColumnHeading"/>
              <w:rPr>
                <w:sz w:val="20"/>
                <w:szCs w:val="28"/>
              </w:rPr>
            </w:pPr>
            <w:bookmarkStart w:id="129" w:name="ColumnTitles_77"/>
            <w:bookmarkEnd w:id="129"/>
          </w:p>
        </w:tc>
        <w:tc>
          <w:tcPr>
            <w:tcW w:w="1417" w:type="dxa"/>
          </w:tcPr>
          <w:p w14:paraId="01668690" w14:textId="081D664F" w:rsidR="000756EB" w:rsidRPr="00F93A58" w:rsidRDefault="000756EB" w:rsidP="005369D2">
            <w:pPr>
              <w:pStyle w:val="TableColumnHeading"/>
              <w:jc w:val="right"/>
              <w:rPr>
                <w:sz w:val="20"/>
                <w:szCs w:val="28"/>
              </w:rPr>
            </w:pPr>
          </w:p>
        </w:tc>
        <w:tc>
          <w:tcPr>
            <w:tcW w:w="1512" w:type="dxa"/>
          </w:tcPr>
          <w:p w14:paraId="5544FDA8" w14:textId="34BD4A31" w:rsidR="000756EB" w:rsidRPr="00F93A58" w:rsidRDefault="00F93A58" w:rsidP="005369D2">
            <w:pPr>
              <w:pStyle w:val="TableColumnHeading"/>
              <w:jc w:val="right"/>
              <w:rPr>
                <w:sz w:val="20"/>
                <w:szCs w:val="28"/>
              </w:rPr>
            </w:pPr>
            <w:r w:rsidRPr="00F93A58">
              <w:rPr>
                <w:sz w:val="20"/>
                <w:szCs w:val="28"/>
              </w:rPr>
              <w:t xml:space="preserve">Fair value measurement at end of reporting period using </w:t>
            </w:r>
            <w:r w:rsidR="004A4D88" w:rsidRPr="00F93A58">
              <w:rPr>
                <w:sz w:val="20"/>
                <w:szCs w:val="28"/>
              </w:rPr>
              <w:t>Level</w:t>
            </w:r>
            <w:r w:rsidR="00A03629" w:rsidRPr="00F93A58">
              <w:rPr>
                <w:sz w:val="20"/>
                <w:szCs w:val="28"/>
              </w:rPr>
              <w:t xml:space="preserve"> </w:t>
            </w:r>
            <w:r w:rsidR="004A4D88" w:rsidRPr="00F93A58">
              <w:rPr>
                <w:sz w:val="20"/>
                <w:szCs w:val="28"/>
              </w:rPr>
              <w:t>1</w:t>
            </w:r>
            <w:r w:rsidR="00A03629" w:rsidRPr="00F93A58">
              <w:rPr>
                <w:sz w:val="20"/>
                <w:szCs w:val="28"/>
                <w:vertAlign w:val="superscript"/>
              </w:rPr>
              <w:t xml:space="preserve"> </w:t>
            </w:r>
            <w:r w:rsidR="004A4D88" w:rsidRPr="00614829">
              <w:rPr>
                <w:rStyle w:val="FootnotereferencessuperscriptMisc"/>
                <w:sz w:val="20"/>
                <w:szCs w:val="28"/>
              </w:rPr>
              <w:t>(</w:t>
            </w:r>
            <w:proofErr w:type="spellStart"/>
            <w:r w:rsidR="004A4D88" w:rsidRPr="00614829">
              <w:rPr>
                <w:rStyle w:val="FootnotereferencessuperscriptMisc"/>
                <w:sz w:val="20"/>
                <w:szCs w:val="28"/>
              </w:rPr>
              <w:t>i</w:t>
            </w:r>
            <w:proofErr w:type="spellEnd"/>
            <w:r w:rsidR="004A4D88" w:rsidRPr="00614829">
              <w:rPr>
                <w:rStyle w:val="FootnotereferencessuperscriptMisc"/>
                <w:sz w:val="20"/>
                <w:szCs w:val="28"/>
              </w:rPr>
              <w:t>)</w:t>
            </w:r>
            <w:r w:rsidRPr="00614829">
              <w:rPr>
                <w:rStyle w:val="FootnotereferencessuperscriptMisc"/>
                <w:sz w:val="20"/>
                <w:szCs w:val="28"/>
              </w:rPr>
              <w:t xml:space="preserve"> </w:t>
            </w:r>
            <w:r w:rsidRPr="00F93A58">
              <w:rPr>
                <w:sz w:val="20"/>
                <w:szCs w:val="28"/>
              </w:rPr>
              <w:t>($</w:t>
            </w:r>
            <w:r>
              <w:rPr>
                <w:sz w:val="20"/>
                <w:szCs w:val="28"/>
              </w:rPr>
              <w:t> </w:t>
            </w:r>
            <w:r w:rsidRPr="00F93A58">
              <w:rPr>
                <w:sz w:val="20"/>
                <w:szCs w:val="28"/>
              </w:rPr>
              <w:t>thousand)</w:t>
            </w:r>
          </w:p>
        </w:tc>
        <w:tc>
          <w:tcPr>
            <w:tcW w:w="1512" w:type="dxa"/>
          </w:tcPr>
          <w:p w14:paraId="52C3EA7A" w14:textId="4EA090A5" w:rsidR="000756EB" w:rsidRPr="00F93A58" w:rsidRDefault="00F93A58" w:rsidP="005369D2">
            <w:pPr>
              <w:pStyle w:val="TableColumnHeading"/>
              <w:jc w:val="right"/>
              <w:rPr>
                <w:sz w:val="20"/>
                <w:szCs w:val="28"/>
              </w:rPr>
            </w:pPr>
            <w:r w:rsidRPr="00F93A58">
              <w:rPr>
                <w:sz w:val="20"/>
                <w:szCs w:val="28"/>
              </w:rPr>
              <w:t xml:space="preserve">Fair value measurement at end of reporting period using </w:t>
            </w:r>
            <w:r w:rsidR="004A4D88" w:rsidRPr="00F93A58">
              <w:rPr>
                <w:sz w:val="20"/>
                <w:szCs w:val="28"/>
              </w:rPr>
              <w:t>Level</w:t>
            </w:r>
            <w:r w:rsidR="00A03629" w:rsidRPr="00F93A58">
              <w:rPr>
                <w:sz w:val="20"/>
                <w:szCs w:val="28"/>
              </w:rPr>
              <w:t xml:space="preserve"> </w:t>
            </w:r>
            <w:r w:rsidR="004A4D88" w:rsidRPr="00F93A58">
              <w:rPr>
                <w:sz w:val="20"/>
                <w:szCs w:val="28"/>
              </w:rPr>
              <w:t>2</w:t>
            </w:r>
            <w:r w:rsidR="00A03629" w:rsidRPr="00614829">
              <w:rPr>
                <w:rStyle w:val="FootnotereferencessuperscriptMisc"/>
                <w:sz w:val="20"/>
                <w:szCs w:val="28"/>
              </w:rPr>
              <w:t xml:space="preserve"> </w:t>
            </w:r>
            <w:r w:rsidR="004A4D88" w:rsidRPr="00614829">
              <w:rPr>
                <w:rStyle w:val="FootnotereferencessuperscriptMisc"/>
                <w:sz w:val="20"/>
                <w:szCs w:val="28"/>
              </w:rPr>
              <w:t>(</w:t>
            </w:r>
            <w:proofErr w:type="spellStart"/>
            <w:r w:rsidR="004A4D88" w:rsidRPr="00614829">
              <w:rPr>
                <w:rStyle w:val="FootnotereferencessuperscriptMisc"/>
                <w:sz w:val="20"/>
                <w:szCs w:val="28"/>
              </w:rPr>
              <w:t>i</w:t>
            </w:r>
            <w:proofErr w:type="spellEnd"/>
            <w:r w:rsidR="004A4D88" w:rsidRPr="00614829">
              <w:rPr>
                <w:rStyle w:val="FootnotereferencessuperscriptMisc"/>
                <w:sz w:val="20"/>
                <w:szCs w:val="28"/>
              </w:rPr>
              <w:t>)</w:t>
            </w:r>
            <w:r w:rsidRPr="00614829">
              <w:rPr>
                <w:rStyle w:val="FootnotereferencessuperscriptMisc"/>
                <w:sz w:val="20"/>
                <w:szCs w:val="28"/>
              </w:rPr>
              <w:t xml:space="preserve"> </w:t>
            </w:r>
            <w:r w:rsidRPr="00F93A58">
              <w:rPr>
                <w:sz w:val="20"/>
                <w:szCs w:val="28"/>
              </w:rPr>
              <w:t>($</w:t>
            </w:r>
            <w:r>
              <w:rPr>
                <w:sz w:val="20"/>
                <w:szCs w:val="28"/>
              </w:rPr>
              <w:t> </w:t>
            </w:r>
            <w:r w:rsidRPr="00F93A58">
              <w:rPr>
                <w:sz w:val="20"/>
                <w:szCs w:val="28"/>
              </w:rPr>
              <w:t>thousand)</w:t>
            </w:r>
          </w:p>
        </w:tc>
        <w:tc>
          <w:tcPr>
            <w:tcW w:w="1512" w:type="dxa"/>
          </w:tcPr>
          <w:p w14:paraId="41072476" w14:textId="45B316E9" w:rsidR="000756EB" w:rsidRPr="00F93A58" w:rsidRDefault="00F93A58" w:rsidP="005369D2">
            <w:pPr>
              <w:pStyle w:val="TableColumnHeading"/>
              <w:jc w:val="right"/>
              <w:rPr>
                <w:sz w:val="20"/>
                <w:szCs w:val="28"/>
              </w:rPr>
            </w:pPr>
            <w:r w:rsidRPr="00F93A58">
              <w:rPr>
                <w:sz w:val="20"/>
                <w:szCs w:val="28"/>
              </w:rPr>
              <w:t xml:space="preserve">Fair value measurement at end of reporting period using </w:t>
            </w:r>
            <w:r w:rsidR="004A4D88" w:rsidRPr="00F93A58">
              <w:rPr>
                <w:sz w:val="20"/>
                <w:szCs w:val="28"/>
              </w:rPr>
              <w:t>Level</w:t>
            </w:r>
            <w:r w:rsidR="00A03629" w:rsidRPr="00F93A58">
              <w:rPr>
                <w:sz w:val="20"/>
                <w:szCs w:val="28"/>
              </w:rPr>
              <w:t xml:space="preserve"> </w:t>
            </w:r>
            <w:r w:rsidR="004A4D88" w:rsidRPr="00F93A58">
              <w:rPr>
                <w:sz w:val="20"/>
                <w:szCs w:val="28"/>
              </w:rPr>
              <w:t>3</w:t>
            </w:r>
            <w:r w:rsidR="00A03629" w:rsidRPr="00F93A58">
              <w:rPr>
                <w:sz w:val="20"/>
                <w:szCs w:val="28"/>
                <w:vertAlign w:val="superscript"/>
              </w:rPr>
              <w:t xml:space="preserve"> </w:t>
            </w:r>
            <w:r w:rsidR="004A4D88" w:rsidRPr="00614829">
              <w:rPr>
                <w:rStyle w:val="FootnotereferencessuperscriptMisc"/>
                <w:sz w:val="20"/>
                <w:szCs w:val="28"/>
              </w:rPr>
              <w:t>(</w:t>
            </w:r>
            <w:proofErr w:type="spellStart"/>
            <w:r w:rsidR="004A4D88" w:rsidRPr="00614829">
              <w:rPr>
                <w:rStyle w:val="FootnotereferencessuperscriptMisc"/>
                <w:sz w:val="20"/>
                <w:szCs w:val="28"/>
              </w:rPr>
              <w:t>i</w:t>
            </w:r>
            <w:proofErr w:type="spellEnd"/>
            <w:r w:rsidR="004A4D88" w:rsidRPr="00614829">
              <w:rPr>
                <w:rStyle w:val="FootnotereferencessuperscriptMisc"/>
                <w:sz w:val="20"/>
                <w:szCs w:val="28"/>
              </w:rPr>
              <w:t>)</w:t>
            </w:r>
            <w:r w:rsidRPr="00614829">
              <w:rPr>
                <w:rStyle w:val="FootnotereferencessuperscriptMisc"/>
                <w:sz w:val="20"/>
                <w:szCs w:val="28"/>
              </w:rPr>
              <w:t xml:space="preserve"> </w:t>
            </w:r>
            <w:r w:rsidRPr="00F93A58">
              <w:rPr>
                <w:sz w:val="20"/>
                <w:szCs w:val="28"/>
              </w:rPr>
              <w:t>($</w:t>
            </w:r>
            <w:r>
              <w:rPr>
                <w:sz w:val="20"/>
                <w:szCs w:val="28"/>
              </w:rPr>
              <w:t> </w:t>
            </w:r>
            <w:r w:rsidRPr="00F93A58">
              <w:rPr>
                <w:sz w:val="20"/>
                <w:szCs w:val="28"/>
              </w:rPr>
              <w:t>thousand)</w:t>
            </w:r>
          </w:p>
        </w:tc>
      </w:tr>
      <w:tr w:rsidR="000756EB" w:rsidRPr="005369D2" w14:paraId="23B3E981" w14:textId="77777777" w:rsidTr="005369D2">
        <w:trPr>
          <w:trHeight w:val="60"/>
        </w:trPr>
        <w:tc>
          <w:tcPr>
            <w:tcW w:w="4390" w:type="dxa"/>
          </w:tcPr>
          <w:p w14:paraId="2AD2DDA1" w14:textId="77777777" w:rsidR="000756EB" w:rsidRPr="005369D2" w:rsidRDefault="004A4D88" w:rsidP="005369D2">
            <w:pPr>
              <w:pStyle w:val="TableHeading"/>
            </w:pPr>
            <w:r w:rsidRPr="005369D2">
              <w:t>2023</w:t>
            </w:r>
          </w:p>
        </w:tc>
        <w:tc>
          <w:tcPr>
            <w:tcW w:w="1417" w:type="dxa"/>
          </w:tcPr>
          <w:p w14:paraId="768D3935" w14:textId="77777777" w:rsidR="000756EB" w:rsidRPr="005369D2" w:rsidRDefault="000756EB" w:rsidP="005369D2">
            <w:pPr>
              <w:pStyle w:val="TableHeading"/>
              <w:jc w:val="right"/>
              <w:rPr>
                <w:lang w:val="en-AU"/>
              </w:rPr>
            </w:pPr>
          </w:p>
        </w:tc>
        <w:tc>
          <w:tcPr>
            <w:tcW w:w="1512" w:type="dxa"/>
          </w:tcPr>
          <w:p w14:paraId="22D8B0A6" w14:textId="77777777" w:rsidR="000756EB" w:rsidRPr="005369D2" w:rsidRDefault="000756EB" w:rsidP="005369D2">
            <w:pPr>
              <w:pStyle w:val="TableHeading"/>
              <w:jc w:val="right"/>
              <w:rPr>
                <w:lang w:val="en-AU"/>
              </w:rPr>
            </w:pPr>
          </w:p>
        </w:tc>
        <w:tc>
          <w:tcPr>
            <w:tcW w:w="1512" w:type="dxa"/>
          </w:tcPr>
          <w:p w14:paraId="6DFD96A9" w14:textId="77777777" w:rsidR="000756EB" w:rsidRPr="005369D2" w:rsidRDefault="000756EB" w:rsidP="005369D2">
            <w:pPr>
              <w:pStyle w:val="TableHeading"/>
              <w:jc w:val="right"/>
              <w:rPr>
                <w:lang w:val="en-AU"/>
              </w:rPr>
            </w:pPr>
          </w:p>
        </w:tc>
        <w:tc>
          <w:tcPr>
            <w:tcW w:w="1512" w:type="dxa"/>
          </w:tcPr>
          <w:p w14:paraId="3489C0BD" w14:textId="77777777" w:rsidR="000756EB" w:rsidRPr="005369D2" w:rsidRDefault="000756EB" w:rsidP="005369D2">
            <w:pPr>
              <w:pStyle w:val="TableHeading"/>
              <w:jc w:val="right"/>
              <w:rPr>
                <w:lang w:val="en-AU"/>
              </w:rPr>
            </w:pPr>
          </w:p>
        </w:tc>
      </w:tr>
      <w:tr w:rsidR="000756EB" w:rsidRPr="005369D2" w14:paraId="7BCF31A4" w14:textId="77777777" w:rsidTr="005369D2">
        <w:trPr>
          <w:trHeight w:val="60"/>
        </w:trPr>
        <w:tc>
          <w:tcPr>
            <w:tcW w:w="4390" w:type="dxa"/>
          </w:tcPr>
          <w:p w14:paraId="4811C158" w14:textId="697FAC92" w:rsidR="000756EB" w:rsidRPr="005369D2" w:rsidRDefault="004A4D88" w:rsidP="005369D2">
            <w:pPr>
              <w:pStyle w:val="TableHeading"/>
            </w:pPr>
            <w:r w:rsidRPr="005369D2">
              <w:t>Financial</w:t>
            </w:r>
            <w:r w:rsidR="00A03629" w:rsidRPr="005369D2">
              <w:t xml:space="preserve"> </w:t>
            </w:r>
            <w:r w:rsidRPr="005369D2">
              <w:t>assets</w:t>
            </w:r>
            <w:r w:rsidR="00A03629" w:rsidRPr="005369D2">
              <w:t xml:space="preserve"> </w:t>
            </w:r>
            <w:r w:rsidRPr="005369D2">
              <w:t>at</w:t>
            </w:r>
            <w:r w:rsidR="00A03629" w:rsidRPr="005369D2">
              <w:t xml:space="preserve"> </w:t>
            </w:r>
            <w:r w:rsidRPr="005369D2">
              <w:t>fair</w:t>
            </w:r>
            <w:r w:rsidR="00A03629" w:rsidRPr="005369D2">
              <w:t xml:space="preserve"> </w:t>
            </w:r>
            <w:r w:rsidRPr="005369D2">
              <w:t>value</w:t>
            </w:r>
            <w:r w:rsidR="00A03629" w:rsidRPr="005369D2">
              <w:t xml:space="preserve"> </w:t>
            </w:r>
            <w:r w:rsidRPr="005369D2">
              <w:t>through</w:t>
            </w:r>
            <w:r w:rsidR="00A03629" w:rsidRPr="005369D2">
              <w:t xml:space="preserve"> </w:t>
            </w:r>
            <w:r w:rsidRPr="005369D2">
              <w:t>net</w:t>
            </w:r>
            <w:r w:rsidR="00A03629" w:rsidRPr="005369D2">
              <w:t xml:space="preserve"> </w:t>
            </w:r>
            <w:r w:rsidRPr="005369D2">
              <w:t>result</w:t>
            </w:r>
          </w:p>
        </w:tc>
        <w:tc>
          <w:tcPr>
            <w:tcW w:w="1417" w:type="dxa"/>
          </w:tcPr>
          <w:p w14:paraId="6C3331BF" w14:textId="77777777" w:rsidR="000756EB" w:rsidRPr="005369D2" w:rsidRDefault="000756EB" w:rsidP="005369D2">
            <w:pPr>
              <w:pStyle w:val="TableHeading"/>
              <w:jc w:val="right"/>
              <w:rPr>
                <w:lang w:val="en-AU"/>
              </w:rPr>
            </w:pPr>
          </w:p>
        </w:tc>
        <w:tc>
          <w:tcPr>
            <w:tcW w:w="1512" w:type="dxa"/>
          </w:tcPr>
          <w:p w14:paraId="030851FE" w14:textId="77777777" w:rsidR="000756EB" w:rsidRPr="005369D2" w:rsidRDefault="000756EB" w:rsidP="005369D2">
            <w:pPr>
              <w:pStyle w:val="TableHeading"/>
              <w:jc w:val="right"/>
              <w:rPr>
                <w:lang w:val="en-AU"/>
              </w:rPr>
            </w:pPr>
          </w:p>
        </w:tc>
        <w:tc>
          <w:tcPr>
            <w:tcW w:w="1512" w:type="dxa"/>
          </w:tcPr>
          <w:p w14:paraId="713E3C6F" w14:textId="77777777" w:rsidR="000756EB" w:rsidRPr="005369D2" w:rsidRDefault="000756EB" w:rsidP="005369D2">
            <w:pPr>
              <w:pStyle w:val="TableHeading"/>
              <w:jc w:val="right"/>
              <w:rPr>
                <w:lang w:val="en-AU"/>
              </w:rPr>
            </w:pPr>
          </w:p>
        </w:tc>
        <w:tc>
          <w:tcPr>
            <w:tcW w:w="1512" w:type="dxa"/>
          </w:tcPr>
          <w:p w14:paraId="7BA1733F" w14:textId="77777777" w:rsidR="000756EB" w:rsidRPr="005369D2" w:rsidRDefault="000756EB" w:rsidP="005369D2">
            <w:pPr>
              <w:pStyle w:val="TableHeading"/>
              <w:jc w:val="right"/>
              <w:rPr>
                <w:lang w:val="en-AU"/>
              </w:rPr>
            </w:pPr>
          </w:p>
        </w:tc>
      </w:tr>
      <w:tr w:rsidR="000756EB" w14:paraId="0EA3BF7D" w14:textId="77777777" w:rsidTr="005369D2">
        <w:trPr>
          <w:trHeight w:val="60"/>
        </w:trPr>
        <w:tc>
          <w:tcPr>
            <w:tcW w:w="4390" w:type="dxa"/>
          </w:tcPr>
          <w:p w14:paraId="56B06739" w14:textId="77777777" w:rsidR="000756EB" w:rsidRDefault="004A4D88" w:rsidP="005369D2">
            <w:pPr>
              <w:pStyle w:val="TableCopy"/>
            </w:pPr>
            <w:r>
              <w:t>Receivables</w:t>
            </w:r>
          </w:p>
        </w:tc>
        <w:tc>
          <w:tcPr>
            <w:tcW w:w="1417" w:type="dxa"/>
          </w:tcPr>
          <w:p w14:paraId="4874DF48" w14:textId="73A07237" w:rsidR="000756EB" w:rsidRDefault="004A4D88" w:rsidP="005369D2">
            <w:pPr>
              <w:pStyle w:val="TableCopy"/>
              <w:jc w:val="right"/>
            </w:pPr>
            <w:r>
              <w:t>2,180</w:t>
            </w:r>
          </w:p>
        </w:tc>
        <w:tc>
          <w:tcPr>
            <w:tcW w:w="1512" w:type="dxa"/>
          </w:tcPr>
          <w:p w14:paraId="46A6A45F" w14:textId="6D4AAB7A" w:rsidR="000756EB" w:rsidRDefault="004A4D88" w:rsidP="005369D2">
            <w:pPr>
              <w:pStyle w:val="TableCopy"/>
              <w:jc w:val="right"/>
            </w:pPr>
            <w:r>
              <w:t>2,180</w:t>
            </w:r>
          </w:p>
        </w:tc>
        <w:tc>
          <w:tcPr>
            <w:tcW w:w="1512" w:type="dxa"/>
          </w:tcPr>
          <w:p w14:paraId="01FCBAD7" w14:textId="1DCB5FEA" w:rsidR="000756EB" w:rsidRDefault="004A4D88" w:rsidP="005369D2">
            <w:pPr>
              <w:pStyle w:val="TableCopy"/>
              <w:jc w:val="right"/>
            </w:pPr>
            <w:r>
              <w:t>–</w:t>
            </w:r>
          </w:p>
        </w:tc>
        <w:tc>
          <w:tcPr>
            <w:tcW w:w="1512" w:type="dxa"/>
          </w:tcPr>
          <w:p w14:paraId="579873EA" w14:textId="7E8A4465" w:rsidR="000756EB" w:rsidRDefault="004A4D88" w:rsidP="005369D2">
            <w:pPr>
              <w:pStyle w:val="TableCopy"/>
              <w:jc w:val="right"/>
            </w:pPr>
            <w:r>
              <w:t>–</w:t>
            </w:r>
          </w:p>
        </w:tc>
      </w:tr>
      <w:tr w:rsidR="000756EB" w14:paraId="3F6F8ED3" w14:textId="77777777" w:rsidTr="005369D2">
        <w:trPr>
          <w:trHeight w:val="60"/>
        </w:trPr>
        <w:tc>
          <w:tcPr>
            <w:tcW w:w="4390" w:type="dxa"/>
          </w:tcPr>
          <w:p w14:paraId="3AF5E2F8" w14:textId="77777777" w:rsidR="000756EB" w:rsidRDefault="004A4D88" w:rsidP="005369D2">
            <w:pPr>
              <w:pStyle w:val="TableCopy"/>
            </w:pPr>
            <w:r>
              <w:t>Investments</w:t>
            </w:r>
          </w:p>
        </w:tc>
        <w:tc>
          <w:tcPr>
            <w:tcW w:w="1417" w:type="dxa"/>
          </w:tcPr>
          <w:p w14:paraId="061125A7" w14:textId="196ED3F9" w:rsidR="000756EB" w:rsidRDefault="004A4D88" w:rsidP="005369D2">
            <w:pPr>
              <w:pStyle w:val="TableCopy"/>
              <w:jc w:val="right"/>
            </w:pPr>
            <w:r>
              <w:t>3,261</w:t>
            </w:r>
          </w:p>
        </w:tc>
        <w:tc>
          <w:tcPr>
            <w:tcW w:w="1512" w:type="dxa"/>
          </w:tcPr>
          <w:p w14:paraId="5ADE3E2D" w14:textId="4BC6C5E8" w:rsidR="000756EB" w:rsidRDefault="004A4D88" w:rsidP="005369D2">
            <w:pPr>
              <w:pStyle w:val="TableCopy"/>
              <w:jc w:val="right"/>
            </w:pPr>
            <w:r>
              <w:t>651</w:t>
            </w:r>
          </w:p>
        </w:tc>
        <w:tc>
          <w:tcPr>
            <w:tcW w:w="1512" w:type="dxa"/>
          </w:tcPr>
          <w:p w14:paraId="1B041B44" w14:textId="47591E2A" w:rsidR="000756EB" w:rsidRDefault="004A4D88" w:rsidP="005369D2">
            <w:pPr>
              <w:pStyle w:val="TableCopy"/>
              <w:jc w:val="right"/>
            </w:pPr>
            <w:r>
              <w:t>–</w:t>
            </w:r>
          </w:p>
        </w:tc>
        <w:tc>
          <w:tcPr>
            <w:tcW w:w="1512" w:type="dxa"/>
          </w:tcPr>
          <w:p w14:paraId="0796CE28" w14:textId="40E71344" w:rsidR="000756EB" w:rsidRDefault="004A4D88" w:rsidP="005369D2">
            <w:pPr>
              <w:pStyle w:val="TableCopy"/>
              <w:jc w:val="right"/>
            </w:pPr>
            <w:r>
              <w:t>2,610</w:t>
            </w:r>
          </w:p>
        </w:tc>
      </w:tr>
      <w:tr w:rsidR="000756EB" w:rsidRPr="005369D2" w14:paraId="7DA33E7E" w14:textId="77777777" w:rsidTr="005369D2">
        <w:trPr>
          <w:trHeight w:val="60"/>
        </w:trPr>
        <w:tc>
          <w:tcPr>
            <w:tcW w:w="4390" w:type="dxa"/>
          </w:tcPr>
          <w:p w14:paraId="35C71AA1" w14:textId="600290AD" w:rsidR="000756EB" w:rsidRPr="005369D2" w:rsidRDefault="004A4D88" w:rsidP="005369D2">
            <w:pPr>
              <w:pStyle w:val="TableCopy"/>
              <w:rPr>
                <w:b/>
                <w:bCs/>
              </w:rPr>
            </w:pPr>
            <w:r w:rsidRPr="005369D2">
              <w:rPr>
                <w:b/>
                <w:bCs/>
              </w:rPr>
              <w:t>Total</w:t>
            </w:r>
            <w:r w:rsidR="00A03629" w:rsidRPr="005369D2">
              <w:rPr>
                <w:b/>
                <w:bCs/>
              </w:rPr>
              <w:t xml:space="preserve"> </w:t>
            </w:r>
            <w:r w:rsidRPr="005369D2">
              <w:rPr>
                <w:b/>
                <w:bCs/>
              </w:rPr>
              <w:t>financial</w:t>
            </w:r>
            <w:r w:rsidR="00A03629" w:rsidRPr="005369D2">
              <w:rPr>
                <w:b/>
                <w:bCs/>
              </w:rPr>
              <w:t xml:space="preserve"> </w:t>
            </w:r>
            <w:r w:rsidRPr="005369D2">
              <w:rPr>
                <w:b/>
                <w:bCs/>
              </w:rPr>
              <w:t>assets</w:t>
            </w:r>
            <w:r w:rsidR="00A03629" w:rsidRPr="005369D2">
              <w:rPr>
                <w:b/>
                <w:bCs/>
              </w:rPr>
              <w:t xml:space="preserve"> </w:t>
            </w:r>
            <w:r w:rsidRPr="005369D2">
              <w:rPr>
                <w:b/>
                <w:bCs/>
              </w:rPr>
              <w:t>at</w:t>
            </w:r>
            <w:r w:rsidR="00A03629" w:rsidRPr="005369D2">
              <w:rPr>
                <w:b/>
                <w:bCs/>
              </w:rPr>
              <w:t xml:space="preserve"> </w:t>
            </w:r>
            <w:r w:rsidRPr="005369D2">
              <w:rPr>
                <w:b/>
                <w:bCs/>
              </w:rPr>
              <w:t>fair</w:t>
            </w:r>
            <w:r w:rsidR="00A03629" w:rsidRPr="005369D2">
              <w:rPr>
                <w:b/>
                <w:bCs/>
              </w:rPr>
              <w:t xml:space="preserve"> </w:t>
            </w:r>
            <w:r w:rsidRPr="005369D2">
              <w:rPr>
                <w:b/>
                <w:bCs/>
              </w:rPr>
              <w:t>value</w:t>
            </w:r>
          </w:p>
        </w:tc>
        <w:tc>
          <w:tcPr>
            <w:tcW w:w="1417" w:type="dxa"/>
          </w:tcPr>
          <w:p w14:paraId="3255747F" w14:textId="7BDAE1A7" w:rsidR="000756EB" w:rsidRPr="005369D2" w:rsidRDefault="004A4D88" w:rsidP="005369D2">
            <w:pPr>
              <w:pStyle w:val="TableCopy"/>
              <w:jc w:val="right"/>
              <w:rPr>
                <w:b/>
                <w:bCs/>
              </w:rPr>
            </w:pPr>
            <w:r w:rsidRPr="005369D2">
              <w:rPr>
                <w:b/>
                <w:bCs/>
              </w:rPr>
              <w:t>5,441</w:t>
            </w:r>
          </w:p>
        </w:tc>
        <w:tc>
          <w:tcPr>
            <w:tcW w:w="1512" w:type="dxa"/>
          </w:tcPr>
          <w:p w14:paraId="1362F618" w14:textId="170FCE96" w:rsidR="000756EB" w:rsidRPr="005369D2" w:rsidRDefault="004A4D88" w:rsidP="005369D2">
            <w:pPr>
              <w:pStyle w:val="TableCopy"/>
              <w:jc w:val="right"/>
              <w:rPr>
                <w:b/>
                <w:bCs/>
              </w:rPr>
            </w:pPr>
            <w:r w:rsidRPr="005369D2">
              <w:rPr>
                <w:b/>
                <w:bCs/>
              </w:rPr>
              <w:t>2,831</w:t>
            </w:r>
          </w:p>
        </w:tc>
        <w:tc>
          <w:tcPr>
            <w:tcW w:w="1512" w:type="dxa"/>
          </w:tcPr>
          <w:p w14:paraId="5687B4E8" w14:textId="2C8CE012" w:rsidR="000756EB" w:rsidRPr="005369D2" w:rsidRDefault="004A4D88" w:rsidP="005369D2">
            <w:pPr>
              <w:pStyle w:val="TableCopy"/>
              <w:jc w:val="right"/>
              <w:rPr>
                <w:b/>
                <w:bCs/>
              </w:rPr>
            </w:pPr>
            <w:r w:rsidRPr="005369D2">
              <w:rPr>
                <w:b/>
                <w:bCs/>
              </w:rPr>
              <w:t>–</w:t>
            </w:r>
          </w:p>
        </w:tc>
        <w:tc>
          <w:tcPr>
            <w:tcW w:w="1512" w:type="dxa"/>
          </w:tcPr>
          <w:p w14:paraId="2F341F58" w14:textId="337CE7BC" w:rsidR="000756EB" w:rsidRPr="005369D2" w:rsidRDefault="004A4D88" w:rsidP="005369D2">
            <w:pPr>
              <w:pStyle w:val="TableCopy"/>
              <w:jc w:val="right"/>
              <w:rPr>
                <w:b/>
                <w:bCs/>
              </w:rPr>
            </w:pPr>
            <w:r w:rsidRPr="005369D2">
              <w:rPr>
                <w:b/>
                <w:bCs/>
              </w:rPr>
              <w:t>2,610</w:t>
            </w:r>
          </w:p>
        </w:tc>
      </w:tr>
      <w:tr w:rsidR="000756EB" w:rsidRPr="005369D2" w14:paraId="30304246" w14:textId="77777777" w:rsidTr="005369D2">
        <w:trPr>
          <w:trHeight w:val="60"/>
        </w:trPr>
        <w:tc>
          <w:tcPr>
            <w:tcW w:w="4390" w:type="dxa"/>
          </w:tcPr>
          <w:p w14:paraId="7AA16B92" w14:textId="77777777" w:rsidR="000756EB" w:rsidRPr="005369D2" w:rsidRDefault="004A4D88" w:rsidP="005369D2">
            <w:pPr>
              <w:pStyle w:val="TableHeading"/>
            </w:pPr>
            <w:r w:rsidRPr="005369D2">
              <w:t>2022</w:t>
            </w:r>
          </w:p>
        </w:tc>
        <w:tc>
          <w:tcPr>
            <w:tcW w:w="1417" w:type="dxa"/>
          </w:tcPr>
          <w:p w14:paraId="1DA8AD5D" w14:textId="77777777" w:rsidR="000756EB" w:rsidRPr="005369D2" w:rsidRDefault="000756EB" w:rsidP="005369D2">
            <w:pPr>
              <w:pStyle w:val="TableHeading"/>
              <w:jc w:val="right"/>
              <w:rPr>
                <w:lang w:val="en-AU"/>
              </w:rPr>
            </w:pPr>
          </w:p>
        </w:tc>
        <w:tc>
          <w:tcPr>
            <w:tcW w:w="1512" w:type="dxa"/>
          </w:tcPr>
          <w:p w14:paraId="6B0F7CDC" w14:textId="77777777" w:rsidR="000756EB" w:rsidRPr="005369D2" w:rsidRDefault="000756EB" w:rsidP="005369D2">
            <w:pPr>
              <w:pStyle w:val="TableHeading"/>
              <w:jc w:val="right"/>
              <w:rPr>
                <w:lang w:val="en-AU"/>
              </w:rPr>
            </w:pPr>
          </w:p>
        </w:tc>
        <w:tc>
          <w:tcPr>
            <w:tcW w:w="1512" w:type="dxa"/>
          </w:tcPr>
          <w:p w14:paraId="4C35E6FA" w14:textId="77777777" w:rsidR="000756EB" w:rsidRPr="005369D2" w:rsidRDefault="000756EB" w:rsidP="005369D2">
            <w:pPr>
              <w:pStyle w:val="TableHeading"/>
              <w:jc w:val="right"/>
              <w:rPr>
                <w:lang w:val="en-AU"/>
              </w:rPr>
            </w:pPr>
          </w:p>
        </w:tc>
        <w:tc>
          <w:tcPr>
            <w:tcW w:w="1512" w:type="dxa"/>
          </w:tcPr>
          <w:p w14:paraId="4AEAE3C1" w14:textId="77777777" w:rsidR="000756EB" w:rsidRPr="005369D2" w:rsidRDefault="000756EB" w:rsidP="005369D2">
            <w:pPr>
              <w:pStyle w:val="TableHeading"/>
              <w:jc w:val="right"/>
              <w:rPr>
                <w:lang w:val="en-AU"/>
              </w:rPr>
            </w:pPr>
          </w:p>
        </w:tc>
      </w:tr>
      <w:tr w:rsidR="000756EB" w:rsidRPr="005369D2" w14:paraId="4F94870A" w14:textId="77777777" w:rsidTr="005369D2">
        <w:trPr>
          <w:trHeight w:val="60"/>
        </w:trPr>
        <w:tc>
          <w:tcPr>
            <w:tcW w:w="4390" w:type="dxa"/>
          </w:tcPr>
          <w:p w14:paraId="466B4521" w14:textId="6649B1AE" w:rsidR="000756EB" w:rsidRPr="005369D2" w:rsidRDefault="004A4D88" w:rsidP="005369D2">
            <w:pPr>
              <w:pStyle w:val="TableHeading"/>
            </w:pPr>
            <w:r w:rsidRPr="005369D2">
              <w:t>Financial</w:t>
            </w:r>
            <w:r w:rsidR="00A03629" w:rsidRPr="005369D2">
              <w:t xml:space="preserve"> </w:t>
            </w:r>
            <w:r w:rsidRPr="005369D2">
              <w:t>assets</w:t>
            </w:r>
            <w:r w:rsidR="00A03629" w:rsidRPr="005369D2">
              <w:t xml:space="preserve"> </w:t>
            </w:r>
            <w:r w:rsidRPr="005369D2">
              <w:t>at</w:t>
            </w:r>
            <w:r w:rsidR="00A03629" w:rsidRPr="005369D2">
              <w:t xml:space="preserve"> </w:t>
            </w:r>
            <w:r w:rsidRPr="005369D2">
              <w:t>fair</w:t>
            </w:r>
            <w:r w:rsidR="00A03629" w:rsidRPr="005369D2">
              <w:t xml:space="preserve"> </w:t>
            </w:r>
            <w:r w:rsidRPr="005369D2">
              <w:t>value</w:t>
            </w:r>
            <w:r w:rsidR="00A03629" w:rsidRPr="005369D2">
              <w:t xml:space="preserve"> </w:t>
            </w:r>
            <w:r w:rsidRPr="005369D2">
              <w:t>through</w:t>
            </w:r>
            <w:r w:rsidR="00A03629" w:rsidRPr="005369D2">
              <w:t xml:space="preserve"> </w:t>
            </w:r>
            <w:r w:rsidRPr="005369D2">
              <w:t>net</w:t>
            </w:r>
            <w:r w:rsidR="00A03629" w:rsidRPr="005369D2">
              <w:t xml:space="preserve"> </w:t>
            </w:r>
            <w:r w:rsidRPr="005369D2">
              <w:t>result</w:t>
            </w:r>
          </w:p>
        </w:tc>
        <w:tc>
          <w:tcPr>
            <w:tcW w:w="1417" w:type="dxa"/>
          </w:tcPr>
          <w:p w14:paraId="1C47EAB1" w14:textId="77777777" w:rsidR="000756EB" w:rsidRPr="005369D2" w:rsidRDefault="000756EB" w:rsidP="005369D2">
            <w:pPr>
              <w:pStyle w:val="TableHeading"/>
              <w:jc w:val="right"/>
              <w:rPr>
                <w:lang w:val="en-AU"/>
              </w:rPr>
            </w:pPr>
          </w:p>
        </w:tc>
        <w:tc>
          <w:tcPr>
            <w:tcW w:w="1512" w:type="dxa"/>
          </w:tcPr>
          <w:p w14:paraId="0E034AC4" w14:textId="77777777" w:rsidR="000756EB" w:rsidRPr="005369D2" w:rsidRDefault="000756EB" w:rsidP="005369D2">
            <w:pPr>
              <w:pStyle w:val="TableHeading"/>
              <w:jc w:val="right"/>
              <w:rPr>
                <w:lang w:val="en-AU"/>
              </w:rPr>
            </w:pPr>
          </w:p>
        </w:tc>
        <w:tc>
          <w:tcPr>
            <w:tcW w:w="1512" w:type="dxa"/>
          </w:tcPr>
          <w:p w14:paraId="2F57F91A" w14:textId="77777777" w:rsidR="000756EB" w:rsidRPr="005369D2" w:rsidRDefault="000756EB" w:rsidP="005369D2">
            <w:pPr>
              <w:pStyle w:val="TableHeading"/>
              <w:jc w:val="right"/>
              <w:rPr>
                <w:lang w:val="en-AU"/>
              </w:rPr>
            </w:pPr>
          </w:p>
        </w:tc>
        <w:tc>
          <w:tcPr>
            <w:tcW w:w="1512" w:type="dxa"/>
          </w:tcPr>
          <w:p w14:paraId="5CFC2140" w14:textId="77777777" w:rsidR="000756EB" w:rsidRPr="005369D2" w:rsidRDefault="000756EB" w:rsidP="005369D2">
            <w:pPr>
              <w:pStyle w:val="TableHeading"/>
              <w:jc w:val="right"/>
              <w:rPr>
                <w:lang w:val="en-AU"/>
              </w:rPr>
            </w:pPr>
          </w:p>
        </w:tc>
      </w:tr>
      <w:tr w:rsidR="000756EB" w14:paraId="18FEB5B1" w14:textId="77777777" w:rsidTr="005369D2">
        <w:trPr>
          <w:trHeight w:val="60"/>
        </w:trPr>
        <w:tc>
          <w:tcPr>
            <w:tcW w:w="4390" w:type="dxa"/>
          </w:tcPr>
          <w:p w14:paraId="100D6EF7" w14:textId="77777777" w:rsidR="000756EB" w:rsidRDefault="004A4D88" w:rsidP="005369D2">
            <w:pPr>
              <w:pStyle w:val="TableCopy"/>
            </w:pPr>
            <w:r>
              <w:t>Investments</w:t>
            </w:r>
          </w:p>
        </w:tc>
        <w:tc>
          <w:tcPr>
            <w:tcW w:w="1417" w:type="dxa"/>
          </w:tcPr>
          <w:p w14:paraId="6E66B585" w14:textId="59D2DEED" w:rsidR="000756EB" w:rsidRDefault="004A4D88" w:rsidP="005369D2">
            <w:pPr>
              <w:pStyle w:val="TableCopy"/>
              <w:jc w:val="right"/>
            </w:pPr>
            <w:r>
              <w:t>1,610</w:t>
            </w:r>
          </w:p>
        </w:tc>
        <w:tc>
          <w:tcPr>
            <w:tcW w:w="1512" w:type="dxa"/>
          </w:tcPr>
          <w:p w14:paraId="754EAD91" w14:textId="09BF1CD1" w:rsidR="000756EB" w:rsidRDefault="004A4D88" w:rsidP="005369D2">
            <w:pPr>
              <w:pStyle w:val="TableCopy"/>
              <w:jc w:val="right"/>
            </w:pPr>
            <w:r>
              <w:t>1,610</w:t>
            </w:r>
          </w:p>
        </w:tc>
        <w:tc>
          <w:tcPr>
            <w:tcW w:w="1512" w:type="dxa"/>
          </w:tcPr>
          <w:p w14:paraId="6665966C" w14:textId="26182803" w:rsidR="000756EB" w:rsidRDefault="004A4D88" w:rsidP="005369D2">
            <w:pPr>
              <w:pStyle w:val="TableCopy"/>
              <w:jc w:val="right"/>
            </w:pPr>
            <w:r>
              <w:t>–</w:t>
            </w:r>
          </w:p>
        </w:tc>
        <w:tc>
          <w:tcPr>
            <w:tcW w:w="1512" w:type="dxa"/>
          </w:tcPr>
          <w:p w14:paraId="6248AC16" w14:textId="7E736423" w:rsidR="000756EB" w:rsidRDefault="004A4D88" w:rsidP="005369D2">
            <w:pPr>
              <w:pStyle w:val="TableCopy"/>
              <w:jc w:val="right"/>
            </w:pPr>
            <w:r>
              <w:t>–</w:t>
            </w:r>
          </w:p>
        </w:tc>
      </w:tr>
      <w:tr w:rsidR="000756EB" w:rsidRPr="005369D2" w14:paraId="40A3ABA5" w14:textId="77777777" w:rsidTr="005369D2">
        <w:trPr>
          <w:trHeight w:val="60"/>
        </w:trPr>
        <w:tc>
          <w:tcPr>
            <w:tcW w:w="4390" w:type="dxa"/>
          </w:tcPr>
          <w:p w14:paraId="7E8CF7C7" w14:textId="0A32CC0C" w:rsidR="000756EB" w:rsidRPr="00614829" w:rsidRDefault="004A4D88" w:rsidP="00614829">
            <w:pPr>
              <w:pStyle w:val="TableCopy"/>
              <w:rPr>
                <w:b/>
                <w:bCs/>
              </w:rPr>
            </w:pPr>
            <w:r w:rsidRPr="00614829">
              <w:rPr>
                <w:b/>
                <w:bCs/>
              </w:rPr>
              <w:t>Total</w:t>
            </w:r>
            <w:r w:rsidR="00A03629" w:rsidRPr="00614829">
              <w:rPr>
                <w:b/>
                <w:bCs/>
              </w:rPr>
              <w:t xml:space="preserve"> </w:t>
            </w:r>
            <w:r w:rsidRPr="00614829">
              <w:rPr>
                <w:b/>
                <w:bCs/>
              </w:rPr>
              <w:t>financial</w:t>
            </w:r>
            <w:r w:rsidR="00A03629" w:rsidRPr="00614829">
              <w:rPr>
                <w:b/>
                <w:bCs/>
              </w:rPr>
              <w:t xml:space="preserve"> </w:t>
            </w:r>
            <w:r w:rsidRPr="00614829">
              <w:rPr>
                <w:b/>
                <w:bCs/>
              </w:rPr>
              <w:t>assets</w:t>
            </w:r>
            <w:r w:rsidR="00A03629" w:rsidRPr="00614829">
              <w:rPr>
                <w:b/>
                <w:bCs/>
              </w:rPr>
              <w:t xml:space="preserve"> </w:t>
            </w:r>
            <w:r w:rsidRPr="00614829">
              <w:rPr>
                <w:b/>
                <w:bCs/>
              </w:rPr>
              <w:t>at</w:t>
            </w:r>
            <w:r w:rsidR="00A03629" w:rsidRPr="00614829">
              <w:rPr>
                <w:b/>
                <w:bCs/>
              </w:rPr>
              <w:t xml:space="preserve"> </w:t>
            </w:r>
            <w:r w:rsidRPr="00614829">
              <w:rPr>
                <w:b/>
                <w:bCs/>
              </w:rPr>
              <w:t>fair</w:t>
            </w:r>
            <w:r w:rsidR="00A03629" w:rsidRPr="00614829">
              <w:rPr>
                <w:b/>
                <w:bCs/>
              </w:rPr>
              <w:t xml:space="preserve"> </w:t>
            </w:r>
            <w:r w:rsidRPr="00614829">
              <w:rPr>
                <w:b/>
                <w:bCs/>
              </w:rPr>
              <w:t>value</w:t>
            </w:r>
          </w:p>
        </w:tc>
        <w:tc>
          <w:tcPr>
            <w:tcW w:w="1417" w:type="dxa"/>
          </w:tcPr>
          <w:p w14:paraId="010A7B24" w14:textId="2BD59F22" w:rsidR="000756EB" w:rsidRPr="005369D2" w:rsidRDefault="004A4D88" w:rsidP="005369D2">
            <w:pPr>
              <w:pStyle w:val="TableCopy"/>
              <w:jc w:val="right"/>
              <w:rPr>
                <w:b/>
                <w:bCs/>
              </w:rPr>
            </w:pPr>
            <w:r w:rsidRPr="005369D2">
              <w:rPr>
                <w:b/>
                <w:bCs/>
              </w:rPr>
              <w:t>1,610</w:t>
            </w:r>
          </w:p>
        </w:tc>
        <w:tc>
          <w:tcPr>
            <w:tcW w:w="1512" w:type="dxa"/>
          </w:tcPr>
          <w:p w14:paraId="0A22D2A6" w14:textId="3D469E1D" w:rsidR="000756EB" w:rsidRPr="005369D2" w:rsidRDefault="004A4D88" w:rsidP="005369D2">
            <w:pPr>
              <w:pStyle w:val="TableCopy"/>
              <w:jc w:val="right"/>
              <w:rPr>
                <w:b/>
                <w:bCs/>
              </w:rPr>
            </w:pPr>
            <w:r w:rsidRPr="005369D2">
              <w:rPr>
                <w:b/>
                <w:bCs/>
              </w:rPr>
              <w:t>1,610</w:t>
            </w:r>
          </w:p>
        </w:tc>
        <w:tc>
          <w:tcPr>
            <w:tcW w:w="1512" w:type="dxa"/>
          </w:tcPr>
          <w:p w14:paraId="74F7D11E" w14:textId="1DF59706" w:rsidR="000756EB" w:rsidRPr="005369D2" w:rsidRDefault="004A4D88" w:rsidP="005369D2">
            <w:pPr>
              <w:pStyle w:val="TableCopy"/>
              <w:jc w:val="right"/>
              <w:rPr>
                <w:b/>
                <w:bCs/>
              </w:rPr>
            </w:pPr>
            <w:r w:rsidRPr="005369D2">
              <w:rPr>
                <w:b/>
                <w:bCs/>
              </w:rPr>
              <w:t>–</w:t>
            </w:r>
          </w:p>
        </w:tc>
        <w:tc>
          <w:tcPr>
            <w:tcW w:w="1512" w:type="dxa"/>
          </w:tcPr>
          <w:p w14:paraId="621E54AF" w14:textId="7711D50C" w:rsidR="000756EB" w:rsidRPr="005369D2" w:rsidRDefault="004A4D88" w:rsidP="005369D2">
            <w:pPr>
              <w:pStyle w:val="TableCopy"/>
              <w:jc w:val="right"/>
              <w:rPr>
                <w:b/>
                <w:bCs/>
              </w:rPr>
            </w:pPr>
            <w:r w:rsidRPr="005369D2">
              <w:rPr>
                <w:b/>
                <w:bCs/>
              </w:rPr>
              <w:t>–</w:t>
            </w:r>
          </w:p>
        </w:tc>
      </w:tr>
    </w:tbl>
    <w:p w14:paraId="2684976B" w14:textId="7B2A1069" w:rsidR="000756EB" w:rsidRDefault="005369D2" w:rsidP="005369D2">
      <w:pPr>
        <w:pStyle w:val="FootnoteText"/>
        <w:spacing w:before="120" w:after="280"/>
      </w:pPr>
      <w:r>
        <w:t>(</w:t>
      </w:r>
      <w:proofErr w:type="spellStart"/>
      <w:r>
        <w:t>i</w:t>
      </w:r>
      <w:proofErr w:type="spellEnd"/>
      <w:r>
        <w:t>) The fair value hierarchies are disclosed by class of financial instrument.</w:t>
      </w:r>
    </w:p>
    <w:p w14:paraId="47B1B7DE" w14:textId="323DA282" w:rsidR="000756EB" w:rsidRDefault="004A4D88" w:rsidP="005369D2">
      <w:r>
        <w:lastRenderedPageBreak/>
        <w:t>There</w:t>
      </w:r>
      <w:r w:rsidR="00A03629">
        <w:t xml:space="preserve"> </w:t>
      </w:r>
      <w:r>
        <w:t>have</w:t>
      </w:r>
      <w:r w:rsidR="00A03629">
        <w:t xml:space="preserve"> </w:t>
      </w:r>
      <w:r>
        <w:t>been</w:t>
      </w:r>
      <w:r w:rsidR="00A03629">
        <w:t xml:space="preserve"> </w:t>
      </w:r>
      <w:r>
        <w:t>no</w:t>
      </w:r>
      <w:r w:rsidR="00A03629">
        <w:t xml:space="preserve"> </w:t>
      </w:r>
      <w:r>
        <w:t>transfers</w:t>
      </w:r>
      <w:r w:rsidR="00A03629">
        <w:t xml:space="preserve"> </w:t>
      </w:r>
      <w:r>
        <w:t>between</w:t>
      </w:r>
      <w:r w:rsidR="00A03629">
        <w:t xml:space="preserve"> </w:t>
      </w:r>
      <w:r>
        <w:t>levels</w:t>
      </w:r>
      <w:r w:rsidR="00A03629">
        <w:t xml:space="preserve"> </w:t>
      </w:r>
      <w:r>
        <w:t>during</w:t>
      </w:r>
      <w:r w:rsidR="00A03629">
        <w:t xml:space="preserve"> </w:t>
      </w:r>
      <w:r>
        <w:t>the</w:t>
      </w:r>
      <w:r w:rsidR="00A03629">
        <w:t xml:space="preserve"> </w:t>
      </w:r>
      <w:r>
        <w:t>period.</w:t>
      </w:r>
    </w:p>
    <w:p w14:paraId="07E78AE1" w14:textId="5F5534C3" w:rsidR="000756EB" w:rsidRDefault="004A4D88" w:rsidP="005369D2">
      <w:r>
        <w:t>The</w:t>
      </w:r>
      <w:r w:rsidR="00A03629">
        <w:t xml:space="preserve"> </w:t>
      </w:r>
      <w:r>
        <w:t>fair</w:t>
      </w:r>
      <w:r w:rsidR="00A03629">
        <w:t xml:space="preserve"> </w:t>
      </w:r>
      <w:r>
        <w:t>value</w:t>
      </w:r>
      <w:r w:rsidR="00A03629">
        <w:t xml:space="preserve"> </w:t>
      </w:r>
      <w:r>
        <w:t>of</w:t>
      </w:r>
      <w:r w:rsidR="00A03629">
        <w:t xml:space="preserve"> </w:t>
      </w:r>
      <w:r>
        <w:t>the</w:t>
      </w:r>
      <w:r w:rsidR="00A03629">
        <w:t xml:space="preserve"> </w:t>
      </w:r>
      <w:r>
        <w:t>financial</w:t>
      </w:r>
      <w:r w:rsidR="00A03629">
        <w:t xml:space="preserve"> </w:t>
      </w:r>
      <w:r>
        <w:t>assets</w:t>
      </w:r>
      <w:r w:rsidR="00A03629">
        <w:t xml:space="preserve"> </w:t>
      </w:r>
      <w:r>
        <w:t>and</w:t>
      </w:r>
      <w:r w:rsidR="00A03629">
        <w:t xml:space="preserve"> </w:t>
      </w:r>
      <w:r>
        <w:t>liabilities</w:t>
      </w:r>
      <w:r w:rsidR="00A03629">
        <w:t xml:space="preserve"> </w:t>
      </w:r>
      <w:r>
        <w:t>is</w:t>
      </w:r>
      <w:r w:rsidR="00A03629">
        <w:t xml:space="preserve"> </w:t>
      </w:r>
      <w:r>
        <w:t>included</w:t>
      </w:r>
      <w:r w:rsidR="00A03629">
        <w:t xml:space="preserve"> </w:t>
      </w:r>
      <w:r>
        <w:t>at</w:t>
      </w:r>
      <w:r w:rsidR="00A03629">
        <w:t xml:space="preserve"> </w:t>
      </w:r>
      <w:r>
        <w:t>the</w:t>
      </w:r>
      <w:r w:rsidR="00A03629">
        <w:t xml:space="preserve"> </w:t>
      </w:r>
      <w:r>
        <w:t>amount</w:t>
      </w:r>
      <w:r w:rsidR="00A03629">
        <w:t xml:space="preserve"> </w:t>
      </w:r>
      <w:r>
        <w:t>at</w:t>
      </w:r>
      <w:r w:rsidR="00A03629">
        <w:t xml:space="preserve"> </w:t>
      </w:r>
      <w:r>
        <w:t>which</w:t>
      </w:r>
      <w:r w:rsidR="00A03629">
        <w:t xml:space="preserve"> </w:t>
      </w:r>
      <w:r>
        <w:t>the</w:t>
      </w:r>
      <w:r w:rsidR="00A03629">
        <w:t xml:space="preserve"> </w:t>
      </w:r>
      <w:r>
        <w:t>instrument</w:t>
      </w:r>
      <w:r w:rsidR="00A03629">
        <w:t xml:space="preserve"> </w:t>
      </w:r>
      <w:r>
        <w:t>could</w:t>
      </w:r>
      <w:r w:rsidR="00A03629">
        <w:t xml:space="preserve"> </w:t>
      </w:r>
      <w:r>
        <w:t>be</w:t>
      </w:r>
      <w:r w:rsidR="00A03629">
        <w:rPr>
          <w:rFonts w:ascii="Cambria" w:hAnsi="Cambria" w:cs="Cambria"/>
        </w:rPr>
        <w:t xml:space="preserve"> </w:t>
      </w:r>
      <w:r>
        <w:t>exchanged</w:t>
      </w:r>
      <w:r w:rsidR="00A03629">
        <w:t xml:space="preserve"> </w:t>
      </w:r>
      <w:r>
        <w:t>in</w:t>
      </w:r>
      <w:r w:rsidR="00A03629">
        <w:t xml:space="preserve"> </w:t>
      </w:r>
      <w:r>
        <w:t>a</w:t>
      </w:r>
      <w:r w:rsidR="00A03629">
        <w:t xml:space="preserve"> </w:t>
      </w:r>
      <w:r>
        <w:t>current</w:t>
      </w:r>
      <w:r w:rsidR="00A03629">
        <w:t xml:space="preserve"> </w:t>
      </w:r>
      <w:r>
        <w:t>transaction</w:t>
      </w:r>
      <w:r w:rsidR="00A03629">
        <w:t xml:space="preserve"> </w:t>
      </w:r>
      <w:r>
        <w:t>between</w:t>
      </w:r>
      <w:r w:rsidR="00A03629">
        <w:t xml:space="preserve"> </w:t>
      </w:r>
      <w:r>
        <w:t>willing</w:t>
      </w:r>
      <w:r w:rsidR="00A03629">
        <w:t xml:space="preserve"> </w:t>
      </w:r>
      <w:r>
        <w:t>parties,</w:t>
      </w:r>
      <w:r w:rsidR="00A03629">
        <w:t xml:space="preserve"> </w:t>
      </w:r>
      <w:r>
        <w:t>other</w:t>
      </w:r>
      <w:r w:rsidR="00A03629">
        <w:t xml:space="preserve"> </w:t>
      </w:r>
      <w:r>
        <w:t>than</w:t>
      </w:r>
      <w:r w:rsidR="00A03629">
        <w:t xml:space="preserve"> </w:t>
      </w:r>
      <w:r>
        <w:t>in</w:t>
      </w:r>
      <w:r w:rsidR="00A03629">
        <w:t xml:space="preserve"> </w:t>
      </w:r>
      <w:r>
        <w:t>a</w:t>
      </w:r>
      <w:r w:rsidR="00A03629">
        <w:t xml:space="preserve"> </w:t>
      </w:r>
      <w:r>
        <w:t>forced</w:t>
      </w:r>
      <w:r w:rsidR="00A03629">
        <w:t xml:space="preserve"> </w:t>
      </w:r>
      <w:r>
        <w:t>or</w:t>
      </w:r>
      <w:r w:rsidR="00A03629">
        <w:t xml:space="preserve"> </w:t>
      </w:r>
      <w:r>
        <w:t>liquidation</w:t>
      </w:r>
      <w:r w:rsidR="00A03629">
        <w:t xml:space="preserve"> </w:t>
      </w:r>
      <w:r>
        <w:t>sale.</w:t>
      </w:r>
    </w:p>
    <w:p w14:paraId="58C79B4D" w14:textId="003037E0" w:rsidR="000756EB" w:rsidRDefault="004A4D88" w:rsidP="005369D2">
      <w:pPr>
        <w:pStyle w:val="Heading3"/>
      </w:pPr>
      <w:r>
        <w:t>8.3.2</w:t>
      </w:r>
      <w:r w:rsidR="00DE38B5">
        <w:t xml:space="preserve"> </w:t>
      </w:r>
      <w:r>
        <w:t>Fair</w:t>
      </w:r>
      <w:r w:rsidR="00A03629">
        <w:t xml:space="preserve"> </w:t>
      </w:r>
      <w:r>
        <w:t>value</w:t>
      </w:r>
      <w:r w:rsidR="00A03629">
        <w:t xml:space="preserve"> </w:t>
      </w:r>
      <w:r>
        <w:t>determination:</w:t>
      </w:r>
      <w:r w:rsidR="00A03629">
        <w:t xml:space="preserve"> </w:t>
      </w:r>
      <w:r>
        <w:t>Non-financial</w:t>
      </w:r>
      <w:r w:rsidR="00A03629">
        <w:t xml:space="preserve"> </w:t>
      </w:r>
      <w:r>
        <w:t>physical</w:t>
      </w:r>
      <w:r w:rsidR="00A03629">
        <w:t xml:space="preserve"> </w:t>
      </w:r>
      <w:r>
        <w:t>assets</w:t>
      </w:r>
    </w:p>
    <w:p w14:paraId="7C9DB056" w14:textId="15CE4BF8" w:rsidR="000756EB" w:rsidRPr="005369D2" w:rsidRDefault="004A4D88" w:rsidP="005369D2">
      <w:pPr>
        <w:pStyle w:val="Normalbeforebullets"/>
        <w:rPr>
          <w:b/>
          <w:bCs/>
        </w:rPr>
      </w:pPr>
      <w:r w:rsidRPr="005369D2">
        <w:rPr>
          <w:b/>
          <w:bCs/>
        </w:rPr>
        <w:t>Fair</w:t>
      </w:r>
      <w:r w:rsidR="00A03629" w:rsidRPr="005369D2">
        <w:rPr>
          <w:b/>
          <w:bCs/>
        </w:rPr>
        <w:t xml:space="preserve"> </w:t>
      </w:r>
      <w:r w:rsidR="005369D2" w:rsidRPr="005369D2">
        <w:rPr>
          <w:b/>
          <w:bCs/>
        </w:rPr>
        <w:t>Value Measurement Hierarchy for Assets</w:t>
      </w:r>
    </w:p>
    <w:tbl>
      <w:tblPr>
        <w:tblStyle w:val="TableGrid"/>
        <w:tblW w:w="10343" w:type="dxa"/>
        <w:tblLayout w:type="fixed"/>
        <w:tblLook w:val="0020" w:firstRow="1" w:lastRow="0" w:firstColumn="0" w:lastColumn="0" w:noHBand="0" w:noVBand="0"/>
      </w:tblPr>
      <w:tblGrid>
        <w:gridCol w:w="3963"/>
        <w:gridCol w:w="1422"/>
        <w:gridCol w:w="1652"/>
        <w:gridCol w:w="1653"/>
        <w:gridCol w:w="1653"/>
      </w:tblGrid>
      <w:tr w:rsidR="000756EB" w:rsidRPr="00EF650A" w14:paraId="51509ABF" w14:textId="77777777" w:rsidTr="000B6926">
        <w:trPr>
          <w:cantSplit/>
          <w:tblHeader/>
        </w:trPr>
        <w:tc>
          <w:tcPr>
            <w:tcW w:w="3963" w:type="dxa"/>
          </w:tcPr>
          <w:p w14:paraId="0D82DA11" w14:textId="77777777" w:rsidR="000756EB" w:rsidRPr="00EF650A" w:rsidRDefault="000756EB" w:rsidP="00EF650A">
            <w:pPr>
              <w:pStyle w:val="TableColumnHeading"/>
              <w:rPr>
                <w:sz w:val="20"/>
                <w:szCs w:val="28"/>
              </w:rPr>
            </w:pPr>
            <w:bookmarkStart w:id="130" w:name="ColumnTitles_78"/>
            <w:bookmarkEnd w:id="130"/>
          </w:p>
        </w:tc>
        <w:tc>
          <w:tcPr>
            <w:tcW w:w="1422" w:type="dxa"/>
          </w:tcPr>
          <w:p w14:paraId="6FF47578" w14:textId="7A535BE7" w:rsidR="000756EB" w:rsidRPr="00EF650A" w:rsidRDefault="00EF650A" w:rsidP="007F7F10">
            <w:pPr>
              <w:pStyle w:val="TableColumnHeading"/>
              <w:jc w:val="right"/>
              <w:rPr>
                <w:sz w:val="20"/>
                <w:szCs w:val="28"/>
              </w:rPr>
            </w:pPr>
            <w:r w:rsidRPr="00EF650A">
              <w:rPr>
                <w:sz w:val="20"/>
                <w:szCs w:val="28"/>
              </w:rPr>
              <w:t xml:space="preserve">Carrying amount as </w:t>
            </w:r>
            <w:proofErr w:type="gramStart"/>
            <w:r w:rsidRPr="00EF650A">
              <w:rPr>
                <w:sz w:val="20"/>
                <w:szCs w:val="28"/>
              </w:rPr>
              <w:t>at</w:t>
            </w:r>
            <w:proofErr w:type="gramEnd"/>
            <w:r w:rsidRPr="00EF650A">
              <w:rPr>
                <w:sz w:val="20"/>
                <w:szCs w:val="28"/>
              </w:rPr>
              <w:t xml:space="preserve"> 30 June 2023</w:t>
            </w:r>
            <w:r>
              <w:rPr>
                <w:sz w:val="20"/>
                <w:szCs w:val="28"/>
              </w:rPr>
              <w:t xml:space="preserve"> </w:t>
            </w:r>
            <w:r w:rsidRPr="00EF650A">
              <w:rPr>
                <w:sz w:val="20"/>
                <w:szCs w:val="28"/>
              </w:rPr>
              <w:t>($ thousand)</w:t>
            </w:r>
          </w:p>
        </w:tc>
        <w:tc>
          <w:tcPr>
            <w:tcW w:w="1652" w:type="dxa"/>
          </w:tcPr>
          <w:p w14:paraId="104B7EBF" w14:textId="397C563E" w:rsidR="000756EB" w:rsidRPr="00EF650A" w:rsidRDefault="00EF650A" w:rsidP="007F7F10">
            <w:pPr>
              <w:pStyle w:val="TableColumnHeading"/>
              <w:jc w:val="right"/>
              <w:rPr>
                <w:sz w:val="20"/>
                <w:szCs w:val="28"/>
              </w:rPr>
            </w:pPr>
            <w:r w:rsidRPr="00EF650A">
              <w:rPr>
                <w:sz w:val="20"/>
                <w:szCs w:val="28"/>
              </w:rPr>
              <w:t>Fair value measurement at end</w:t>
            </w:r>
            <w:r>
              <w:rPr>
                <w:sz w:val="20"/>
                <w:szCs w:val="28"/>
              </w:rPr>
              <w:t xml:space="preserve"> </w:t>
            </w:r>
            <w:r w:rsidRPr="00EF650A">
              <w:rPr>
                <w:sz w:val="20"/>
                <w:szCs w:val="28"/>
              </w:rPr>
              <w:t xml:space="preserve">of reporting period using </w:t>
            </w:r>
            <w:r w:rsidR="004A4D88" w:rsidRPr="00EF650A">
              <w:rPr>
                <w:sz w:val="20"/>
                <w:szCs w:val="28"/>
              </w:rPr>
              <w:t>Level</w:t>
            </w:r>
            <w:r w:rsidR="00A03629" w:rsidRPr="00EF650A">
              <w:rPr>
                <w:sz w:val="20"/>
                <w:szCs w:val="28"/>
              </w:rPr>
              <w:t xml:space="preserve"> </w:t>
            </w:r>
            <w:r w:rsidR="004A4D88" w:rsidRPr="00EF650A">
              <w:rPr>
                <w:sz w:val="20"/>
                <w:szCs w:val="28"/>
              </w:rPr>
              <w:t>1</w:t>
            </w:r>
            <w:r>
              <w:rPr>
                <w:sz w:val="20"/>
                <w:szCs w:val="28"/>
              </w:rPr>
              <w:t xml:space="preserve"> </w:t>
            </w:r>
            <w:r w:rsidRPr="00EF650A">
              <w:rPr>
                <w:sz w:val="20"/>
                <w:szCs w:val="28"/>
              </w:rPr>
              <w:t>($</w:t>
            </w:r>
            <w:r>
              <w:rPr>
                <w:sz w:val="20"/>
                <w:szCs w:val="28"/>
              </w:rPr>
              <w:t> </w:t>
            </w:r>
            <w:r w:rsidRPr="00EF650A">
              <w:rPr>
                <w:sz w:val="20"/>
                <w:szCs w:val="28"/>
              </w:rPr>
              <w:t>thousand)</w:t>
            </w:r>
          </w:p>
        </w:tc>
        <w:tc>
          <w:tcPr>
            <w:tcW w:w="1653" w:type="dxa"/>
          </w:tcPr>
          <w:p w14:paraId="3B4A2C7F" w14:textId="532860A1" w:rsidR="000756EB" w:rsidRPr="00EF650A" w:rsidRDefault="00EF650A" w:rsidP="007F7F10">
            <w:pPr>
              <w:pStyle w:val="TableColumnHeading"/>
              <w:jc w:val="right"/>
              <w:rPr>
                <w:sz w:val="20"/>
                <w:szCs w:val="28"/>
              </w:rPr>
            </w:pPr>
            <w:r w:rsidRPr="00EF650A">
              <w:rPr>
                <w:sz w:val="20"/>
                <w:szCs w:val="28"/>
              </w:rPr>
              <w:t>Fair value measurement at end</w:t>
            </w:r>
            <w:r>
              <w:rPr>
                <w:sz w:val="20"/>
                <w:szCs w:val="28"/>
              </w:rPr>
              <w:t xml:space="preserve"> </w:t>
            </w:r>
            <w:r w:rsidRPr="00EF650A">
              <w:rPr>
                <w:sz w:val="20"/>
                <w:szCs w:val="28"/>
              </w:rPr>
              <w:t xml:space="preserve">of reporting period using </w:t>
            </w:r>
            <w:r w:rsidR="004A4D88" w:rsidRPr="00EF650A">
              <w:rPr>
                <w:sz w:val="20"/>
                <w:szCs w:val="28"/>
              </w:rPr>
              <w:t>Level</w:t>
            </w:r>
            <w:r w:rsidR="00A03629" w:rsidRPr="00EF650A">
              <w:rPr>
                <w:sz w:val="20"/>
                <w:szCs w:val="28"/>
              </w:rPr>
              <w:t xml:space="preserve"> </w:t>
            </w:r>
            <w:r w:rsidR="004A4D88" w:rsidRPr="00EF650A">
              <w:rPr>
                <w:sz w:val="20"/>
                <w:szCs w:val="28"/>
              </w:rPr>
              <w:t>2</w:t>
            </w:r>
            <w:r>
              <w:rPr>
                <w:sz w:val="20"/>
                <w:szCs w:val="28"/>
              </w:rPr>
              <w:t xml:space="preserve"> </w:t>
            </w:r>
            <w:r w:rsidRPr="00EF650A">
              <w:rPr>
                <w:sz w:val="20"/>
                <w:szCs w:val="28"/>
              </w:rPr>
              <w:t>($</w:t>
            </w:r>
            <w:r>
              <w:rPr>
                <w:sz w:val="20"/>
                <w:szCs w:val="28"/>
              </w:rPr>
              <w:t> </w:t>
            </w:r>
            <w:r w:rsidRPr="00EF650A">
              <w:rPr>
                <w:sz w:val="20"/>
                <w:szCs w:val="28"/>
              </w:rPr>
              <w:t>thousand)</w:t>
            </w:r>
          </w:p>
        </w:tc>
        <w:tc>
          <w:tcPr>
            <w:tcW w:w="1653" w:type="dxa"/>
          </w:tcPr>
          <w:p w14:paraId="2799C613" w14:textId="2FE1070C" w:rsidR="000756EB" w:rsidRPr="00EF650A" w:rsidRDefault="00EF650A" w:rsidP="007F7F10">
            <w:pPr>
              <w:pStyle w:val="TableColumnHeading"/>
              <w:jc w:val="right"/>
              <w:rPr>
                <w:sz w:val="20"/>
                <w:szCs w:val="28"/>
              </w:rPr>
            </w:pPr>
            <w:r w:rsidRPr="00EF650A">
              <w:rPr>
                <w:sz w:val="20"/>
                <w:szCs w:val="28"/>
              </w:rPr>
              <w:t>Fair value measurement at end</w:t>
            </w:r>
            <w:r>
              <w:rPr>
                <w:sz w:val="20"/>
                <w:szCs w:val="28"/>
              </w:rPr>
              <w:t xml:space="preserve"> </w:t>
            </w:r>
            <w:r w:rsidRPr="00EF650A">
              <w:rPr>
                <w:sz w:val="20"/>
                <w:szCs w:val="28"/>
              </w:rPr>
              <w:t xml:space="preserve">of reporting period using </w:t>
            </w:r>
            <w:r w:rsidR="004A4D88" w:rsidRPr="00EF650A">
              <w:rPr>
                <w:sz w:val="20"/>
                <w:szCs w:val="28"/>
              </w:rPr>
              <w:t>Level</w:t>
            </w:r>
            <w:r w:rsidR="00A03629" w:rsidRPr="00EF650A">
              <w:rPr>
                <w:sz w:val="20"/>
                <w:szCs w:val="28"/>
              </w:rPr>
              <w:t xml:space="preserve"> </w:t>
            </w:r>
            <w:r w:rsidR="004A4D88" w:rsidRPr="00EF650A">
              <w:rPr>
                <w:sz w:val="20"/>
                <w:szCs w:val="28"/>
              </w:rPr>
              <w:t>3</w:t>
            </w:r>
            <w:r>
              <w:rPr>
                <w:sz w:val="20"/>
                <w:szCs w:val="28"/>
              </w:rPr>
              <w:t xml:space="preserve"> </w:t>
            </w:r>
            <w:r w:rsidRPr="00EF650A">
              <w:rPr>
                <w:sz w:val="20"/>
                <w:szCs w:val="28"/>
              </w:rPr>
              <w:t>($</w:t>
            </w:r>
            <w:r>
              <w:rPr>
                <w:sz w:val="20"/>
                <w:szCs w:val="28"/>
              </w:rPr>
              <w:t> </w:t>
            </w:r>
            <w:r w:rsidRPr="00EF650A">
              <w:rPr>
                <w:sz w:val="20"/>
                <w:szCs w:val="28"/>
              </w:rPr>
              <w:t>thousand)</w:t>
            </w:r>
          </w:p>
        </w:tc>
      </w:tr>
      <w:tr w:rsidR="000756EB" w:rsidRPr="000D37C4" w14:paraId="13870E72" w14:textId="77777777" w:rsidTr="000B6926">
        <w:trPr>
          <w:cantSplit/>
        </w:trPr>
        <w:tc>
          <w:tcPr>
            <w:tcW w:w="3963" w:type="dxa"/>
          </w:tcPr>
          <w:p w14:paraId="1C4D750B" w14:textId="77777777" w:rsidR="000756EB" w:rsidRPr="000D37C4" w:rsidRDefault="004A4D88" w:rsidP="000D37C4">
            <w:pPr>
              <w:pStyle w:val="TableHeading"/>
            </w:pPr>
            <w:r w:rsidRPr="000D37C4">
              <w:t>2023</w:t>
            </w:r>
          </w:p>
        </w:tc>
        <w:tc>
          <w:tcPr>
            <w:tcW w:w="1422" w:type="dxa"/>
          </w:tcPr>
          <w:p w14:paraId="628FF0CC" w14:textId="77777777" w:rsidR="000756EB" w:rsidRPr="000D37C4" w:rsidRDefault="000756EB" w:rsidP="007F7F10">
            <w:pPr>
              <w:pStyle w:val="TableHeading"/>
              <w:jc w:val="right"/>
              <w:rPr>
                <w:lang w:val="en-AU"/>
              </w:rPr>
            </w:pPr>
          </w:p>
        </w:tc>
        <w:tc>
          <w:tcPr>
            <w:tcW w:w="1652" w:type="dxa"/>
          </w:tcPr>
          <w:p w14:paraId="4715BF17" w14:textId="77777777" w:rsidR="000756EB" w:rsidRPr="000D37C4" w:rsidRDefault="000756EB" w:rsidP="007F7F10">
            <w:pPr>
              <w:pStyle w:val="TableHeading"/>
              <w:jc w:val="right"/>
              <w:rPr>
                <w:lang w:val="en-AU"/>
              </w:rPr>
            </w:pPr>
          </w:p>
        </w:tc>
        <w:tc>
          <w:tcPr>
            <w:tcW w:w="1653" w:type="dxa"/>
          </w:tcPr>
          <w:p w14:paraId="2850AE4C" w14:textId="77777777" w:rsidR="000756EB" w:rsidRPr="000D37C4" w:rsidRDefault="000756EB" w:rsidP="007F7F10">
            <w:pPr>
              <w:pStyle w:val="TableHeading"/>
              <w:jc w:val="right"/>
              <w:rPr>
                <w:lang w:val="en-AU"/>
              </w:rPr>
            </w:pPr>
          </w:p>
        </w:tc>
        <w:tc>
          <w:tcPr>
            <w:tcW w:w="1653" w:type="dxa"/>
          </w:tcPr>
          <w:p w14:paraId="3A3B6463" w14:textId="77777777" w:rsidR="000756EB" w:rsidRPr="000D37C4" w:rsidRDefault="000756EB" w:rsidP="007F7F10">
            <w:pPr>
              <w:pStyle w:val="TableHeading"/>
              <w:jc w:val="right"/>
              <w:rPr>
                <w:lang w:val="en-AU"/>
              </w:rPr>
            </w:pPr>
          </w:p>
        </w:tc>
      </w:tr>
      <w:tr w:rsidR="000756EB" w:rsidRPr="000D37C4" w14:paraId="2EA25D4C" w14:textId="77777777" w:rsidTr="000B6926">
        <w:trPr>
          <w:cantSplit/>
        </w:trPr>
        <w:tc>
          <w:tcPr>
            <w:tcW w:w="3963" w:type="dxa"/>
          </w:tcPr>
          <w:p w14:paraId="3F41F525" w14:textId="21055945" w:rsidR="000756EB" w:rsidRPr="000D37C4" w:rsidRDefault="004A4D88" w:rsidP="000D37C4">
            <w:pPr>
              <w:pStyle w:val="TableHeading"/>
            </w:pPr>
            <w:r w:rsidRPr="000D37C4">
              <w:t>Land</w:t>
            </w:r>
            <w:r w:rsidR="00A03629" w:rsidRPr="000D37C4">
              <w:t xml:space="preserve"> </w:t>
            </w:r>
            <w:r w:rsidRPr="000D37C4">
              <w:t>at</w:t>
            </w:r>
            <w:r w:rsidR="00A03629" w:rsidRPr="000D37C4">
              <w:t xml:space="preserve"> </w:t>
            </w:r>
            <w:r w:rsidRPr="000D37C4">
              <w:t>fair</w:t>
            </w:r>
            <w:r w:rsidR="00A03629" w:rsidRPr="000D37C4">
              <w:t xml:space="preserve"> </w:t>
            </w:r>
            <w:r w:rsidRPr="000D37C4">
              <w:t>value</w:t>
            </w:r>
          </w:p>
        </w:tc>
        <w:tc>
          <w:tcPr>
            <w:tcW w:w="1422" w:type="dxa"/>
          </w:tcPr>
          <w:p w14:paraId="60665C17" w14:textId="77777777" w:rsidR="000756EB" w:rsidRPr="000D37C4" w:rsidRDefault="000756EB" w:rsidP="007F7F10">
            <w:pPr>
              <w:pStyle w:val="TableHeading"/>
              <w:jc w:val="right"/>
              <w:rPr>
                <w:lang w:val="en-AU"/>
              </w:rPr>
            </w:pPr>
          </w:p>
        </w:tc>
        <w:tc>
          <w:tcPr>
            <w:tcW w:w="1652" w:type="dxa"/>
          </w:tcPr>
          <w:p w14:paraId="51E7BB6A" w14:textId="77777777" w:rsidR="000756EB" w:rsidRPr="000D37C4" w:rsidRDefault="000756EB" w:rsidP="007F7F10">
            <w:pPr>
              <w:pStyle w:val="TableHeading"/>
              <w:jc w:val="right"/>
              <w:rPr>
                <w:lang w:val="en-AU"/>
              </w:rPr>
            </w:pPr>
          </w:p>
        </w:tc>
        <w:tc>
          <w:tcPr>
            <w:tcW w:w="1653" w:type="dxa"/>
          </w:tcPr>
          <w:p w14:paraId="420DC246" w14:textId="77777777" w:rsidR="000756EB" w:rsidRPr="000D37C4" w:rsidRDefault="000756EB" w:rsidP="007F7F10">
            <w:pPr>
              <w:pStyle w:val="TableHeading"/>
              <w:jc w:val="right"/>
              <w:rPr>
                <w:lang w:val="en-AU"/>
              </w:rPr>
            </w:pPr>
          </w:p>
        </w:tc>
        <w:tc>
          <w:tcPr>
            <w:tcW w:w="1653" w:type="dxa"/>
          </w:tcPr>
          <w:p w14:paraId="24E2DF6F" w14:textId="77777777" w:rsidR="000756EB" w:rsidRPr="000D37C4" w:rsidRDefault="000756EB" w:rsidP="007F7F10">
            <w:pPr>
              <w:pStyle w:val="TableHeading"/>
              <w:jc w:val="right"/>
              <w:rPr>
                <w:lang w:val="en-AU"/>
              </w:rPr>
            </w:pPr>
          </w:p>
        </w:tc>
      </w:tr>
      <w:tr w:rsidR="000756EB" w14:paraId="79324D88" w14:textId="77777777" w:rsidTr="000B6926">
        <w:trPr>
          <w:cantSplit/>
        </w:trPr>
        <w:tc>
          <w:tcPr>
            <w:tcW w:w="3963" w:type="dxa"/>
          </w:tcPr>
          <w:p w14:paraId="25E1FA63" w14:textId="27EC4640" w:rsidR="000756EB" w:rsidRDefault="004A4D88" w:rsidP="000D37C4">
            <w:pPr>
              <w:pStyle w:val="TableCopy"/>
            </w:pPr>
            <w:r>
              <w:t>Non-specialised</w:t>
            </w:r>
            <w:r w:rsidR="00A03629">
              <w:t xml:space="preserve"> </w:t>
            </w:r>
            <w:r>
              <w:t>land</w:t>
            </w:r>
          </w:p>
        </w:tc>
        <w:tc>
          <w:tcPr>
            <w:tcW w:w="1422" w:type="dxa"/>
          </w:tcPr>
          <w:p w14:paraId="694F7045" w14:textId="5604CC40" w:rsidR="000756EB" w:rsidRDefault="004A4D88" w:rsidP="007F7F10">
            <w:pPr>
              <w:pStyle w:val="TableCopy"/>
              <w:jc w:val="right"/>
            </w:pPr>
            <w:r>
              <w:t>374,241</w:t>
            </w:r>
          </w:p>
        </w:tc>
        <w:tc>
          <w:tcPr>
            <w:tcW w:w="1652" w:type="dxa"/>
          </w:tcPr>
          <w:p w14:paraId="2792EBC6" w14:textId="13B30B1C" w:rsidR="000756EB" w:rsidRDefault="004A4D88" w:rsidP="007F7F10">
            <w:pPr>
              <w:pStyle w:val="TableCopy"/>
              <w:jc w:val="right"/>
            </w:pPr>
            <w:r>
              <w:t>–</w:t>
            </w:r>
          </w:p>
        </w:tc>
        <w:tc>
          <w:tcPr>
            <w:tcW w:w="1653" w:type="dxa"/>
          </w:tcPr>
          <w:p w14:paraId="4A6BC333" w14:textId="56BDF8BA" w:rsidR="000756EB" w:rsidRDefault="004A4D88" w:rsidP="007F7F10">
            <w:pPr>
              <w:pStyle w:val="TableCopy"/>
              <w:jc w:val="right"/>
            </w:pPr>
            <w:r>
              <w:t>374,241</w:t>
            </w:r>
          </w:p>
        </w:tc>
        <w:tc>
          <w:tcPr>
            <w:tcW w:w="1653" w:type="dxa"/>
          </w:tcPr>
          <w:p w14:paraId="232C652E" w14:textId="6A4C7BE8" w:rsidR="000756EB" w:rsidRDefault="004A4D88" w:rsidP="007F7F10">
            <w:pPr>
              <w:pStyle w:val="TableCopy"/>
              <w:jc w:val="right"/>
            </w:pPr>
            <w:r>
              <w:t>–</w:t>
            </w:r>
          </w:p>
        </w:tc>
      </w:tr>
      <w:tr w:rsidR="000756EB" w14:paraId="05D6B6E5" w14:textId="77777777" w:rsidTr="000B6926">
        <w:trPr>
          <w:cantSplit/>
        </w:trPr>
        <w:tc>
          <w:tcPr>
            <w:tcW w:w="3963" w:type="dxa"/>
          </w:tcPr>
          <w:p w14:paraId="19D5409C" w14:textId="20B235AF" w:rsidR="000756EB" w:rsidRDefault="004A4D88" w:rsidP="000D37C4">
            <w:pPr>
              <w:pStyle w:val="TableCopy"/>
            </w:pPr>
            <w:r>
              <w:t>Specialised</w:t>
            </w:r>
            <w:r w:rsidR="00A03629">
              <w:t xml:space="preserve"> </w:t>
            </w:r>
            <w:r>
              <w:t>land</w:t>
            </w:r>
          </w:p>
        </w:tc>
        <w:tc>
          <w:tcPr>
            <w:tcW w:w="1422" w:type="dxa"/>
          </w:tcPr>
          <w:p w14:paraId="251C7139" w14:textId="133A5930" w:rsidR="000756EB" w:rsidRDefault="004A4D88" w:rsidP="007F7F10">
            <w:pPr>
              <w:pStyle w:val="TableCopy"/>
              <w:jc w:val="right"/>
            </w:pPr>
            <w:r>
              <w:t>475,325</w:t>
            </w:r>
          </w:p>
        </w:tc>
        <w:tc>
          <w:tcPr>
            <w:tcW w:w="1652" w:type="dxa"/>
          </w:tcPr>
          <w:p w14:paraId="4F30554C" w14:textId="78F4959B" w:rsidR="000756EB" w:rsidRDefault="004A4D88" w:rsidP="007F7F10">
            <w:pPr>
              <w:pStyle w:val="TableCopy"/>
              <w:jc w:val="right"/>
            </w:pPr>
            <w:r>
              <w:t>–</w:t>
            </w:r>
          </w:p>
        </w:tc>
        <w:tc>
          <w:tcPr>
            <w:tcW w:w="1653" w:type="dxa"/>
          </w:tcPr>
          <w:p w14:paraId="0C452A4A" w14:textId="0E7C307E" w:rsidR="000756EB" w:rsidRDefault="004A4D88" w:rsidP="007F7F10">
            <w:pPr>
              <w:pStyle w:val="TableCopy"/>
              <w:jc w:val="right"/>
            </w:pPr>
            <w:r>
              <w:t>–</w:t>
            </w:r>
          </w:p>
        </w:tc>
        <w:tc>
          <w:tcPr>
            <w:tcW w:w="1653" w:type="dxa"/>
          </w:tcPr>
          <w:p w14:paraId="54741F04" w14:textId="4D5D1283" w:rsidR="000756EB" w:rsidRDefault="004A4D88" w:rsidP="007F7F10">
            <w:pPr>
              <w:pStyle w:val="TableCopy"/>
              <w:jc w:val="right"/>
            </w:pPr>
            <w:r>
              <w:t>475,325</w:t>
            </w:r>
          </w:p>
        </w:tc>
      </w:tr>
      <w:tr w:rsidR="000756EB" w:rsidRPr="000D37C4" w14:paraId="0384C6F6" w14:textId="77777777" w:rsidTr="000B6926">
        <w:trPr>
          <w:cantSplit/>
        </w:trPr>
        <w:tc>
          <w:tcPr>
            <w:tcW w:w="3963" w:type="dxa"/>
          </w:tcPr>
          <w:p w14:paraId="19332BE3" w14:textId="45BE721C" w:rsidR="000756EB" w:rsidRPr="000D37C4" w:rsidRDefault="004A4D88" w:rsidP="000D37C4">
            <w:pPr>
              <w:pStyle w:val="TableCopy"/>
              <w:rPr>
                <w:b/>
                <w:bCs/>
              </w:rPr>
            </w:pPr>
            <w:r w:rsidRPr="000D37C4">
              <w:rPr>
                <w:b/>
                <w:bCs/>
              </w:rPr>
              <w:t>Total</w:t>
            </w:r>
            <w:r w:rsidR="00A03629" w:rsidRPr="000D37C4">
              <w:rPr>
                <w:b/>
                <w:bCs/>
              </w:rPr>
              <w:t xml:space="preserve"> </w:t>
            </w:r>
            <w:r w:rsidRPr="000D37C4">
              <w:rPr>
                <w:b/>
                <w:bCs/>
              </w:rPr>
              <w:t>of</w:t>
            </w:r>
            <w:r w:rsidR="00A03629" w:rsidRPr="000D37C4">
              <w:rPr>
                <w:b/>
                <w:bCs/>
              </w:rPr>
              <w:t xml:space="preserve"> </w:t>
            </w:r>
            <w:r w:rsidRPr="000D37C4">
              <w:rPr>
                <w:b/>
                <w:bCs/>
              </w:rPr>
              <w:t>land</w:t>
            </w:r>
            <w:r w:rsidR="00A03629" w:rsidRPr="000D37C4">
              <w:rPr>
                <w:b/>
                <w:bCs/>
              </w:rPr>
              <w:t xml:space="preserve"> </w:t>
            </w:r>
            <w:r w:rsidRPr="000D37C4">
              <w:rPr>
                <w:b/>
                <w:bCs/>
              </w:rPr>
              <w:t>at</w:t>
            </w:r>
            <w:r w:rsidR="00A03629" w:rsidRPr="000D37C4">
              <w:rPr>
                <w:b/>
                <w:bCs/>
              </w:rPr>
              <w:t xml:space="preserve"> </w:t>
            </w:r>
            <w:r w:rsidRPr="000D37C4">
              <w:rPr>
                <w:b/>
                <w:bCs/>
              </w:rPr>
              <w:t>fair</w:t>
            </w:r>
            <w:r w:rsidR="00A03629" w:rsidRPr="000D37C4">
              <w:rPr>
                <w:b/>
                <w:bCs/>
              </w:rPr>
              <w:t xml:space="preserve"> </w:t>
            </w:r>
            <w:r w:rsidRPr="000D37C4">
              <w:rPr>
                <w:b/>
                <w:bCs/>
              </w:rPr>
              <w:t>value</w:t>
            </w:r>
          </w:p>
        </w:tc>
        <w:tc>
          <w:tcPr>
            <w:tcW w:w="1422" w:type="dxa"/>
          </w:tcPr>
          <w:p w14:paraId="5B275BE2" w14:textId="069C0309" w:rsidR="000756EB" w:rsidRPr="000D37C4" w:rsidRDefault="004A4D88" w:rsidP="007F7F10">
            <w:pPr>
              <w:pStyle w:val="TableCopy"/>
              <w:jc w:val="right"/>
              <w:rPr>
                <w:b/>
                <w:bCs/>
              </w:rPr>
            </w:pPr>
            <w:r w:rsidRPr="000D37C4">
              <w:rPr>
                <w:b/>
                <w:bCs/>
              </w:rPr>
              <w:t>849,566</w:t>
            </w:r>
          </w:p>
        </w:tc>
        <w:tc>
          <w:tcPr>
            <w:tcW w:w="1652" w:type="dxa"/>
          </w:tcPr>
          <w:p w14:paraId="0FFCE4B1" w14:textId="209BC9BE" w:rsidR="000756EB" w:rsidRPr="000D37C4" w:rsidRDefault="004A4D88" w:rsidP="007F7F10">
            <w:pPr>
              <w:pStyle w:val="TableCopy"/>
              <w:jc w:val="right"/>
              <w:rPr>
                <w:b/>
                <w:bCs/>
              </w:rPr>
            </w:pPr>
            <w:r w:rsidRPr="000D37C4">
              <w:rPr>
                <w:b/>
                <w:bCs/>
              </w:rPr>
              <w:t>–</w:t>
            </w:r>
          </w:p>
        </w:tc>
        <w:tc>
          <w:tcPr>
            <w:tcW w:w="1653" w:type="dxa"/>
          </w:tcPr>
          <w:p w14:paraId="73DE09E1" w14:textId="13974043" w:rsidR="000756EB" w:rsidRPr="000D37C4" w:rsidRDefault="004A4D88" w:rsidP="007F7F10">
            <w:pPr>
              <w:pStyle w:val="TableCopy"/>
              <w:jc w:val="right"/>
              <w:rPr>
                <w:b/>
                <w:bCs/>
              </w:rPr>
            </w:pPr>
            <w:r w:rsidRPr="000D37C4">
              <w:rPr>
                <w:b/>
                <w:bCs/>
              </w:rPr>
              <w:t>374,241</w:t>
            </w:r>
          </w:p>
        </w:tc>
        <w:tc>
          <w:tcPr>
            <w:tcW w:w="1653" w:type="dxa"/>
          </w:tcPr>
          <w:p w14:paraId="282DE3B1" w14:textId="2C8913B2" w:rsidR="000756EB" w:rsidRPr="000D37C4" w:rsidRDefault="004A4D88" w:rsidP="007F7F10">
            <w:pPr>
              <w:pStyle w:val="TableCopy"/>
              <w:jc w:val="right"/>
              <w:rPr>
                <w:b/>
                <w:bCs/>
              </w:rPr>
            </w:pPr>
            <w:r w:rsidRPr="000D37C4">
              <w:rPr>
                <w:b/>
                <w:bCs/>
              </w:rPr>
              <w:t>475,325</w:t>
            </w:r>
          </w:p>
        </w:tc>
      </w:tr>
      <w:tr w:rsidR="000756EB" w:rsidRPr="000D37C4" w14:paraId="0ECB2967" w14:textId="77777777" w:rsidTr="000B6926">
        <w:trPr>
          <w:cantSplit/>
        </w:trPr>
        <w:tc>
          <w:tcPr>
            <w:tcW w:w="3963" w:type="dxa"/>
          </w:tcPr>
          <w:p w14:paraId="17D16DB0" w14:textId="4FD38735" w:rsidR="000756EB" w:rsidRPr="000D37C4" w:rsidRDefault="004A4D88" w:rsidP="000D37C4">
            <w:pPr>
              <w:pStyle w:val="TableHeading"/>
            </w:pPr>
            <w:r w:rsidRPr="000D37C4">
              <w:t>Buildings</w:t>
            </w:r>
            <w:r w:rsidR="00A03629" w:rsidRPr="000D37C4">
              <w:t xml:space="preserve"> </w:t>
            </w:r>
            <w:r w:rsidRPr="000D37C4">
              <w:t>at</w:t>
            </w:r>
            <w:r w:rsidR="00A03629" w:rsidRPr="000D37C4">
              <w:t xml:space="preserve"> </w:t>
            </w:r>
            <w:r w:rsidRPr="000D37C4">
              <w:t>fair</w:t>
            </w:r>
            <w:r w:rsidR="00A03629" w:rsidRPr="000D37C4">
              <w:t xml:space="preserve"> </w:t>
            </w:r>
            <w:r w:rsidRPr="000D37C4">
              <w:t>value</w:t>
            </w:r>
          </w:p>
        </w:tc>
        <w:tc>
          <w:tcPr>
            <w:tcW w:w="1422" w:type="dxa"/>
          </w:tcPr>
          <w:p w14:paraId="5869B3C1" w14:textId="77777777" w:rsidR="000756EB" w:rsidRPr="000D37C4" w:rsidRDefault="000756EB" w:rsidP="007F7F10">
            <w:pPr>
              <w:pStyle w:val="TableHeading"/>
              <w:jc w:val="right"/>
              <w:rPr>
                <w:lang w:val="en-AU"/>
              </w:rPr>
            </w:pPr>
          </w:p>
        </w:tc>
        <w:tc>
          <w:tcPr>
            <w:tcW w:w="1652" w:type="dxa"/>
          </w:tcPr>
          <w:p w14:paraId="6A21E381" w14:textId="77777777" w:rsidR="000756EB" w:rsidRPr="000D37C4" w:rsidRDefault="000756EB" w:rsidP="007F7F10">
            <w:pPr>
              <w:pStyle w:val="TableHeading"/>
              <w:jc w:val="right"/>
              <w:rPr>
                <w:lang w:val="en-AU"/>
              </w:rPr>
            </w:pPr>
          </w:p>
        </w:tc>
        <w:tc>
          <w:tcPr>
            <w:tcW w:w="1653" w:type="dxa"/>
          </w:tcPr>
          <w:p w14:paraId="3121B763" w14:textId="77777777" w:rsidR="000756EB" w:rsidRPr="000D37C4" w:rsidRDefault="000756EB" w:rsidP="007F7F10">
            <w:pPr>
              <w:pStyle w:val="TableHeading"/>
              <w:jc w:val="right"/>
              <w:rPr>
                <w:lang w:val="en-AU"/>
              </w:rPr>
            </w:pPr>
          </w:p>
        </w:tc>
        <w:tc>
          <w:tcPr>
            <w:tcW w:w="1653" w:type="dxa"/>
          </w:tcPr>
          <w:p w14:paraId="75851D8A" w14:textId="77777777" w:rsidR="000756EB" w:rsidRPr="000D37C4" w:rsidRDefault="000756EB" w:rsidP="007F7F10">
            <w:pPr>
              <w:pStyle w:val="TableHeading"/>
              <w:jc w:val="right"/>
              <w:rPr>
                <w:lang w:val="en-AU"/>
              </w:rPr>
            </w:pPr>
          </w:p>
        </w:tc>
      </w:tr>
      <w:tr w:rsidR="000756EB" w14:paraId="5DA1F5D2" w14:textId="77777777" w:rsidTr="000B6926">
        <w:trPr>
          <w:cantSplit/>
        </w:trPr>
        <w:tc>
          <w:tcPr>
            <w:tcW w:w="3963" w:type="dxa"/>
          </w:tcPr>
          <w:p w14:paraId="2300080C" w14:textId="1B9C6492" w:rsidR="000756EB" w:rsidRDefault="004A4D88" w:rsidP="000D37C4">
            <w:pPr>
              <w:pStyle w:val="TableCopy"/>
            </w:pPr>
            <w:r>
              <w:t>Non-specialised</w:t>
            </w:r>
            <w:r w:rsidR="00A03629">
              <w:t xml:space="preserve"> </w:t>
            </w:r>
            <w:r>
              <w:t>buildings</w:t>
            </w:r>
          </w:p>
        </w:tc>
        <w:tc>
          <w:tcPr>
            <w:tcW w:w="1422" w:type="dxa"/>
          </w:tcPr>
          <w:p w14:paraId="53416D9B" w14:textId="21C566D6" w:rsidR="000756EB" w:rsidRDefault="004A4D88" w:rsidP="007F7F10">
            <w:pPr>
              <w:pStyle w:val="TableCopy"/>
              <w:jc w:val="right"/>
            </w:pPr>
            <w:r>
              <w:t>9,981</w:t>
            </w:r>
          </w:p>
        </w:tc>
        <w:tc>
          <w:tcPr>
            <w:tcW w:w="1652" w:type="dxa"/>
          </w:tcPr>
          <w:p w14:paraId="1016A476" w14:textId="7D73F3E3" w:rsidR="000756EB" w:rsidRDefault="004A4D88" w:rsidP="007F7F10">
            <w:pPr>
              <w:pStyle w:val="TableCopy"/>
              <w:jc w:val="right"/>
            </w:pPr>
            <w:r>
              <w:t>–</w:t>
            </w:r>
          </w:p>
        </w:tc>
        <w:tc>
          <w:tcPr>
            <w:tcW w:w="1653" w:type="dxa"/>
          </w:tcPr>
          <w:p w14:paraId="4FAFEB7A" w14:textId="5C46BC3F" w:rsidR="000756EB" w:rsidRDefault="004A4D88" w:rsidP="007F7F10">
            <w:pPr>
              <w:pStyle w:val="TableCopy"/>
              <w:jc w:val="right"/>
            </w:pPr>
            <w:r>
              <w:t>–</w:t>
            </w:r>
          </w:p>
        </w:tc>
        <w:tc>
          <w:tcPr>
            <w:tcW w:w="1653" w:type="dxa"/>
          </w:tcPr>
          <w:p w14:paraId="2AE99265" w14:textId="20B0AEA1" w:rsidR="000756EB" w:rsidRDefault="004A4D88" w:rsidP="007F7F10">
            <w:pPr>
              <w:pStyle w:val="TableCopy"/>
              <w:jc w:val="right"/>
            </w:pPr>
            <w:r>
              <w:t>9,981</w:t>
            </w:r>
          </w:p>
        </w:tc>
      </w:tr>
      <w:tr w:rsidR="000756EB" w14:paraId="71CF32F9" w14:textId="77777777" w:rsidTr="000B6926">
        <w:trPr>
          <w:cantSplit/>
        </w:trPr>
        <w:tc>
          <w:tcPr>
            <w:tcW w:w="3963" w:type="dxa"/>
          </w:tcPr>
          <w:p w14:paraId="29605DEB" w14:textId="6DAB3589" w:rsidR="000756EB" w:rsidRDefault="004A4D88" w:rsidP="000D37C4">
            <w:pPr>
              <w:pStyle w:val="TableCopy"/>
            </w:pPr>
            <w:r>
              <w:t>Specialised</w:t>
            </w:r>
            <w:r w:rsidR="00A03629">
              <w:t xml:space="preserve"> </w:t>
            </w:r>
            <w:r>
              <w:t>buildings</w:t>
            </w:r>
          </w:p>
        </w:tc>
        <w:tc>
          <w:tcPr>
            <w:tcW w:w="1422" w:type="dxa"/>
          </w:tcPr>
          <w:p w14:paraId="70FFD809" w14:textId="352825FD" w:rsidR="000756EB" w:rsidRDefault="004A4D88" w:rsidP="007F7F10">
            <w:pPr>
              <w:pStyle w:val="TableCopy"/>
              <w:jc w:val="right"/>
            </w:pPr>
            <w:r>
              <w:t>265,018</w:t>
            </w:r>
          </w:p>
        </w:tc>
        <w:tc>
          <w:tcPr>
            <w:tcW w:w="1652" w:type="dxa"/>
          </w:tcPr>
          <w:p w14:paraId="220FBF0B" w14:textId="7EC76DE9" w:rsidR="000756EB" w:rsidRDefault="004A4D88" w:rsidP="007F7F10">
            <w:pPr>
              <w:pStyle w:val="TableCopy"/>
              <w:jc w:val="right"/>
            </w:pPr>
            <w:r>
              <w:t>–</w:t>
            </w:r>
          </w:p>
        </w:tc>
        <w:tc>
          <w:tcPr>
            <w:tcW w:w="1653" w:type="dxa"/>
          </w:tcPr>
          <w:p w14:paraId="5120C084" w14:textId="33617681" w:rsidR="000756EB" w:rsidRDefault="004A4D88" w:rsidP="007F7F10">
            <w:pPr>
              <w:pStyle w:val="TableCopy"/>
              <w:jc w:val="right"/>
            </w:pPr>
            <w:r>
              <w:t>–</w:t>
            </w:r>
          </w:p>
        </w:tc>
        <w:tc>
          <w:tcPr>
            <w:tcW w:w="1653" w:type="dxa"/>
          </w:tcPr>
          <w:p w14:paraId="708678A5" w14:textId="3D0C116C" w:rsidR="000756EB" w:rsidRDefault="004A4D88" w:rsidP="007F7F10">
            <w:pPr>
              <w:pStyle w:val="TableCopy"/>
              <w:jc w:val="right"/>
            </w:pPr>
            <w:r>
              <w:t>265,018</w:t>
            </w:r>
          </w:p>
        </w:tc>
      </w:tr>
      <w:tr w:rsidR="000756EB" w:rsidRPr="000D37C4" w14:paraId="3257F7E2" w14:textId="77777777" w:rsidTr="000B6926">
        <w:trPr>
          <w:cantSplit/>
        </w:trPr>
        <w:tc>
          <w:tcPr>
            <w:tcW w:w="3963" w:type="dxa"/>
          </w:tcPr>
          <w:p w14:paraId="34E35CFD" w14:textId="3D9BBB4F" w:rsidR="000756EB" w:rsidRPr="000D37C4" w:rsidRDefault="004A4D88" w:rsidP="000D37C4">
            <w:pPr>
              <w:pStyle w:val="TableCopy"/>
              <w:rPr>
                <w:b/>
                <w:bCs/>
              </w:rPr>
            </w:pPr>
            <w:r w:rsidRPr="000D37C4">
              <w:rPr>
                <w:b/>
                <w:bCs/>
              </w:rPr>
              <w:t>Total</w:t>
            </w:r>
            <w:r w:rsidR="00A03629" w:rsidRPr="000D37C4">
              <w:rPr>
                <w:b/>
                <w:bCs/>
              </w:rPr>
              <w:t xml:space="preserve"> </w:t>
            </w:r>
            <w:r w:rsidRPr="000D37C4">
              <w:rPr>
                <w:b/>
                <w:bCs/>
              </w:rPr>
              <w:t>of</w:t>
            </w:r>
            <w:r w:rsidR="00A03629" w:rsidRPr="000D37C4">
              <w:rPr>
                <w:b/>
                <w:bCs/>
              </w:rPr>
              <w:t xml:space="preserve"> </w:t>
            </w:r>
            <w:r w:rsidRPr="000D37C4">
              <w:rPr>
                <w:b/>
                <w:bCs/>
              </w:rPr>
              <w:t>buildings</w:t>
            </w:r>
            <w:r w:rsidR="00A03629" w:rsidRPr="000D37C4">
              <w:rPr>
                <w:b/>
                <w:bCs/>
              </w:rPr>
              <w:t xml:space="preserve"> </w:t>
            </w:r>
            <w:r w:rsidRPr="000D37C4">
              <w:rPr>
                <w:b/>
                <w:bCs/>
              </w:rPr>
              <w:t>at</w:t>
            </w:r>
            <w:r w:rsidR="00A03629" w:rsidRPr="000D37C4">
              <w:rPr>
                <w:b/>
                <w:bCs/>
              </w:rPr>
              <w:t xml:space="preserve"> </w:t>
            </w:r>
            <w:r w:rsidRPr="000D37C4">
              <w:rPr>
                <w:b/>
                <w:bCs/>
              </w:rPr>
              <w:t>fair</w:t>
            </w:r>
            <w:r w:rsidR="00A03629" w:rsidRPr="000D37C4">
              <w:rPr>
                <w:b/>
                <w:bCs/>
              </w:rPr>
              <w:t xml:space="preserve"> </w:t>
            </w:r>
            <w:r w:rsidRPr="000D37C4">
              <w:rPr>
                <w:b/>
                <w:bCs/>
              </w:rPr>
              <w:t>value</w:t>
            </w:r>
          </w:p>
        </w:tc>
        <w:tc>
          <w:tcPr>
            <w:tcW w:w="1422" w:type="dxa"/>
          </w:tcPr>
          <w:p w14:paraId="11732A5C" w14:textId="13053EEB" w:rsidR="000756EB" w:rsidRPr="000D37C4" w:rsidRDefault="004A4D88" w:rsidP="007F7F10">
            <w:pPr>
              <w:pStyle w:val="TableCopy"/>
              <w:jc w:val="right"/>
              <w:rPr>
                <w:b/>
                <w:bCs/>
              </w:rPr>
            </w:pPr>
            <w:r w:rsidRPr="000D37C4">
              <w:rPr>
                <w:b/>
                <w:bCs/>
              </w:rPr>
              <w:t>274,999</w:t>
            </w:r>
          </w:p>
        </w:tc>
        <w:tc>
          <w:tcPr>
            <w:tcW w:w="1652" w:type="dxa"/>
          </w:tcPr>
          <w:p w14:paraId="0A2CB3BD" w14:textId="2979D7E4" w:rsidR="000756EB" w:rsidRPr="000D37C4" w:rsidRDefault="004A4D88" w:rsidP="007F7F10">
            <w:pPr>
              <w:pStyle w:val="TableCopy"/>
              <w:jc w:val="right"/>
              <w:rPr>
                <w:b/>
                <w:bCs/>
              </w:rPr>
            </w:pPr>
            <w:r w:rsidRPr="000D37C4">
              <w:rPr>
                <w:b/>
                <w:bCs/>
              </w:rPr>
              <w:t>–</w:t>
            </w:r>
          </w:p>
        </w:tc>
        <w:tc>
          <w:tcPr>
            <w:tcW w:w="1653" w:type="dxa"/>
          </w:tcPr>
          <w:p w14:paraId="6FF8027E" w14:textId="625A5EC0" w:rsidR="000756EB" w:rsidRPr="000D37C4" w:rsidRDefault="004A4D88" w:rsidP="007F7F10">
            <w:pPr>
              <w:pStyle w:val="TableCopy"/>
              <w:jc w:val="right"/>
              <w:rPr>
                <w:b/>
                <w:bCs/>
              </w:rPr>
            </w:pPr>
            <w:r w:rsidRPr="000D37C4">
              <w:rPr>
                <w:b/>
                <w:bCs/>
              </w:rPr>
              <w:t>–</w:t>
            </w:r>
          </w:p>
        </w:tc>
        <w:tc>
          <w:tcPr>
            <w:tcW w:w="1653" w:type="dxa"/>
          </w:tcPr>
          <w:p w14:paraId="18849BC1" w14:textId="3FF1CF8E" w:rsidR="000756EB" w:rsidRPr="000D37C4" w:rsidRDefault="004A4D88" w:rsidP="007F7F10">
            <w:pPr>
              <w:pStyle w:val="TableCopy"/>
              <w:jc w:val="right"/>
              <w:rPr>
                <w:b/>
                <w:bCs/>
              </w:rPr>
            </w:pPr>
            <w:r w:rsidRPr="000D37C4">
              <w:rPr>
                <w:b/>
                <w:bCs/>
              </w:rPr>
              <w:t>274,999</w:t>
            </w:r>
          </w:p>
        </w:tc>
      </w:tr>
      <w:tr w:rsidR="000756EB" w:rsidRPr="000D37C4" w14:paraId="72106858" w14:textId="77777777" w:rsidTr="000B6926">
        <w:trPr>
          <w:cantSplit/>
        </w:trPr>
        <w:tc>
          <w:tcPr>
            <w:tcW w:w="3963" w:type="dxa"/>
          </w:tcPr>
          <w:p w14:paraId="73CD587D" w14:textId="7DF5819D" w:rsidR="000756EB" w:rsidRPr="000D37C4" w:rsidRDefault="004A4D88" w:rsidP="000D37C4">
            <w:pPr>
              <w:pStyle w:val="TableHeading"/>
            </w:pPr>
            <w:r w:rsidRPr="000D37C4">
              <w:t>Plant</w:t>
            </w:r>
            <w:r w:rsidR="00A03629" w:rsidRPr="000D37C4">
              <w:t xml:space="preserve"> </w:t>
            </w:r>
            <w:r w:rsidRPr="000D37C4">
              <w:t>and</w:t>
            </w:r>
            <w:r w:rsidR="00A03629" w:rsidRPr="000D37C4">
              <w:t xml:space="preserve"> </w:t>
            </w:r>
            <w:r w:rsidRPr="000D37C4">
              <w:t>equipment</w:t>
            </w:r>
            <w:r w:rsidR="00A03629" w:rsidRPr="000D37C4">
              <w:t xml:space="preserve"> </w:t>
            </w:r>
            <w:r w:rsidRPr="000D37C4">
              <w:t>at</w:t>
            </w:r>
            <w:r w:rsidR="00A03629" w:rsidRPr="000D37C4">
              <w:t xml:space="preserve"> </w:t>
            </w:r>
            <w:r w:rsidRPr="000D37C4">
              <w:t>fair</w:t>
            </w:r>
            <w:r w:rsidR="00A03629" w:rsidRPr="000D37C4">
              <w:t xml:space="preserve"> </w:t>
            </w:r>
            <w:r w:rsidRPr="000D37C4">
              <w:t>value</w:t>
            </w:r>
          </w:p>
        </w:tc>
        <w:tc>
          <w:tcPr>
            <w:tcW w:w="1422" w:type="dxa"/>
          </w:tcPr>
          <w:p w14:paraId="27C8A6E0" w14:textId="77777777" w:rsidR="000756EB" w:rsidRPr="000D37C4" w:rsidRDefault="000756EB" w:rsidP="007F7F10">
            <w:pPr>
              <w:pStyle w:val="TableHeading"/>
              <w:jc w:val="right"/>
              <w:rPr>
                <w:lang w:val="en-AU"/>
              </w:rPr>
            </w:pPr>
          </w:p>
        </w:tc>
        <w:tc>
          <w:tcPr>
            <w:tcW w:w="1652" w:type="dxa"/>
          </w:tcPr>
          <w:p w14:paraId="57B6B5C4" w14:textId="77777777" w:rsidR="000756EB" w:rsidRPr="000D37C4" w:rsidRDefault="000756EB" w:rsidP="007F7F10">
            <w:pPr>
              <w:pStyle w:val="TableHeading"/>
              <w:jc w:val="right"/>
              <w:rPr>
                <w:lang w:val="en-AU"/>
              </w:rPr>
            </w:pPr>
          </w:p>
        </w:tc>
        <w:tc>
          <w:tcPr>
            <w:tcW w:w="1653" w:type="dxa"/>
          </w:tcPr>
          <w:p w14:paraId="17680A9B" w14:textId="77777777" w:rsidR="000756EB" w:rsidRPr="000D37C4" w:rsidRDefault="000756EB" w:rsidP="007F7F10">
            <w:pPr>
              <w:pStyle w:val="TableHeading"/>
              <w:jc w:val="right"/>
              <w:rPr>
                <w:lang w:val="en-AU"/>
              </w:rPr>
            </w:pPr>
          </w:p>
        </w:tc>
        <w:tc>
          <w:tcPr>
            <w:tcW w:w="1653" w:type="dxa"/>
          </w:tcPr>
          <w:p w14:paraId="0D6B8D17" w14:textId="77777777" w:rsidR="000756EB" w:rsidRPr="000D37C4" w:rsidRDefault="000756EB" w:rsidP="007F7F10">
            <w:pPr>
              <w:pStyle w:val="TableHeading"/>
              <w:jc w:val="right"/>
              <w:rPr>
                <w:lang w:val="en-AU"/>
              </w:rPr>
            </w:pPr>
          </w:p>
        </w:tc>
      </w:tr>
      <w:tr w:rsidR="000756EB" w14:paraId="365AD63C" w14:textId="77777777" w:rsidTr="000B6926">
        <w:trPr>
          <w:cantSplit/>
        </w:trPr>
        <w:tc>
          <w:tcPr>
            <w:tcW w:w="3963" w:type="dxa"/>
          </w:tcPr>
          <w:p w14:paraId="7A7FF2A0" w14:textId="77777777" w:rsidR="000756EB" w:rsidRDefault="004A4D88" w:rsidP="000D37C4">
            <w:pPr>
              <w:pStyle w:val="TableCopy"/>
            </w:pPr>
            <w:r>
              <w:t>Vehicles</w:t>
            </w:r>
          </w:p>
        </w:tc>
        <w:tc>
          <w:tcPr>
            <w:tcW w:w="1422" w:type="dxa"/>
          </w:tcPr>
          <w:p w14:paraId="198BCB4E" w14:textId="3AB45254" w:rsidR="000756EB" w:rsidRDefault="004A4D88" w:rsidP="007F7F10">
            <w:pPr>
              <w:pStyle w:val="TableCopy"/>
              <w:jc w:val="right"/>
            </w:pPr>
            <w:r>
              <w:t>46</w:t>
            </w:r>
          </w:p>
        </w:tc>
        <w:tc>
          <w:tcPr>
            <w:tcW w:w="1652" w:type="dxa"/>
          </w:tcPr>
          <w:p w14:paraId="23032776" w14:textId="1E5EBA85" w:rsidR="000756EB" w:rsidRDefault="004A4D88" w:rsidP="007F7F10">
            <w:pPr>
              <w:pStyle w:val="TableCopy"/>
              <w:jc w:val="right"/>
            </w:pPr>
            <w:r>
              <w:t>–</w:t>
            </w:r>
          </w:p>
        </w:tc>
        <w:tc>
          <w:tcPr>
            <w:tcW w:w="1653" w:type="dxa"/>
          </w:tcPr>
          <w:p w14:paraId="4B0D8F37" w14:textId="5E0D885A" w:rsidR="000756EB" w:rsidRDefault="004A4D88" w:rsidP="007F7F10">
            <w:pPr>
              <w:pStyle w:val="TableCopy"/>
              <w:jc w:val="right"/>
            </w:pPr>
            <w:r>
              <w:t>–</w:t>
            </w:r>
          </w:p>
        </w:tc>
        <w:tc>
          <w:tcPr>
            <w:tcW w:w="1653" w:type="dxa"/>
          </w:tcPr>
          <w:p w14:paraId="623C1768" w14:textId="4834D889" w:rsidR="000756EB" w:rsidRDefault="004A4D88" w:rsidP="007F7F10">
            <w:pPr>
              <w:pStyle w:val="TableCopy"/>
              <w:jc w:val="right"/>
            </w:pPr>
            <w:r>
              <w:t>46</w:t>
            </w:r>
          </w:p>
        </w:tc>
      </w:tr>
      <w:tr w:rsidR="000756EB" w14:paraId="3D7D59B7" w14:textId="77777777" w:rsidTr="000B6926">
        <w:trPr>
          <w:cantSplit/>
        </w:trPr>
        <w:tc>
          <w:tcPr>
            <w:tcW w:w="3963" w:type="dxa"/>
          </w:tcPr>
          <w:p w14:paraId="55D99363" w14:textId="37D1372F" w:rsidR="000756EB" w:rsidRDefault="004A4D88" w:rsidP="000D37C4">
            <w:pPr>
              <w:pStyle w:val="TableCopy"/>
            </w:pPr>
            <w:r>
              <w:t>Plant</w:t>
            </w:r>
            <w:r w:rsidR="00A03629">
              <w:t xml:space="preserve"> </w:t>
            </w:r>
            <w:r>
              <w:t>and</w:t>
            </w:r>
            <w:r w:rsidR="00A03629">
              <w:t xml:space="preserve"> </w:t>
            </w:r>
            <w:r>
              <w:t>equipment</w:t>
            </w:r>
          </w:p>
        </w:tc>
        <w:tc>
          <w:tcPr>
            <w:tcW w:w="1422" w:type="dxa"/>
          </w:tcPr>
          <w:p w14:paraId="16F823C5" w14:textId="2E63D291" w:rsidR="000756EB" w:rsidRDefault="004A4D88" w:rsidP="007F7F10">
            <w:pPr>
              <w:pStyle w:val="TableCopy"/>
              <w:jc w:val="right"/>
            </w:pPr>
            <w:r>
              <w:t>946</w:t>
            </w:r>
          </w:p>
        </w:tc>
        <w:tc>
          <w:tcPr>
            <w:tcW w:w="1652" w:type="dxa"/>
          </w:tcPr>
          <w:p w14:paraId="4880F822" w14:textId="636BB2A2" w:rsidR="000756EB" w:rsidRDefault="004A4D88" w:rsidP="007F7F10">
            <w:pPr>
              <w:pStyle w:val="TableCopy"/>
              <w:jc w:val="right"/>
            </w:pPr>
            <w:r>
              <w:t>–</w:t>
            </w:r>
          </w:p>
        </w:tc>
        <w:tc>
          <w:tcPr>
            <w:tcW w:w="1653" w:type="dxa"/>
          </w:tcPr>
          <w:p w14:paraId="16BC19B4" w14:textId="5ED7A65F" w:rsidR="000756EB" w:rsidRDefault="004A4D88" w:rsidP="007F7F10">
            <w:pPr>
              <w:pStyle w:val="TableCopy"/>
              <w:jc w:val="right"/>
            </w:pPr>
            <w:r>
              <w:t>–</w:t>
            </w:r>
          </w:p>
        </w:tc>
        <w:tc>
          <w:tcPr>
            <w:tcW w:w="1653" w:type="dxa"/>
          </w:tcPr>
          <w:p w14:paraId="4932D0B4" w14:textId="12166939" w:rsidR="000756EB" w:rsidRDefault="004A4D88" w:rsidP="007F7F10">
            <w:pPr>
              <w:pStyle w:val="TableCopy"/>
              <w:jc w:val="right"/>
            </w:pPr>
            <w:r>
              <w:t>946</w:t>
            </w:r>
          </w:p>
        </w:tc>
      </w:tr>
      <w:tr w:rsidR="000756EB" w:rsidRPr="000D37C4" w14:paraId="100D5565" w14:textId="77777777" w:rsidTr="000B6926">
        <w:trPr>
          <w:cantSplit/>
        </w:trPr>
        <w:tc>
          <w:tcPr>
            <w:tcW w:w="3963" w:type="dxa"/>
          </w:tcPr>
          <w:p w14:paraId="0CE79089" w14:textId="06F7D9DD" w:rsidR="000756EB" w:rsidRPr="000D37C4" w:rsidRDefault="004A4D88" w:rsidP="000D37C4">
            <w:pPr>
              <w:pStyle w:val="TableCopy"/>
              <w:rPr>
                <w:b/>
                <w:bCs/>
              </w:rPr>
            </w:pPr>
            <w:r w:rsidRPr="000D37C4">
              <w:rPr>
                <w:b/>
                <w:bCs/>
              </w:rPr>
              <w:t>Total</w:t>
            </w:r>
            <w:r w:rsidR="00A03629" w:rsidRPr="000D37C4">
              <w:rPr>
                <w:b/>
                <w:bCs/>
              </w:rPr>
              <w:t xml:space="preserve"> </w:t>
            </w:r>
            <w:r w:rsidRPr="000D37C4">
              <w:rPr>
                <w:b/>
                <w:bCs/>
              </w:rPr>
              <w:t>plant</w:t>
            </w:r>
            <w:r w:rsidR="00A03629" w:rsidRPr="000D37C4">
              <w:rPr>
                <w:b/>
                <w:bCs/>
              </w:rPr>
              <w:t xml:space="preserve"> </w:t>
            </w:r>
            <w:r w:rsidRPr="000D37C4">
              <w:rPr>
                <w:b/>
                <w:bCs/>
              </w:rPr>
              <w:t>and</w:t>
            </w:r>
            <w:r w:rsidR="00A03629" w:rsidRPr="000D37C4">
              <w:rPr>
                <w:b/>
                <w:bCs/>
              </w:rPr>
              <w:t xml:space="preserve"> </w:t>
            </w:r>
            <w:r w:rsidRPr="000D37C4">
              <w:rPr>
                <w:b/>
                <w:bCs/>
              </w:rPr>
              <w:t>equipment</w:t>
            </w:r>
            <w:r w:rsidR="00A03629" w:rsidRPr="000D37C4">
              <w:rPr>
                <w:b/>
                <w:bCs/>
              </w:rPr>
              <w:t xml:space="preserve"> </w:t>
            </w:r>
            <w:r w:rsidRPr="000D37C4">
              <w:rPr>
                <w:b/>
                <w:bCs/>
              </w:rPr>
              <w:t>at</w:t>
            </w:r>
            <w:r w:rsidR="00A03629" w:rsidRPr="000D37C4">
              <w:rPr>
                <w:b/>
                <w:bCs/>
              </w:rPr>
              <w:t xml:space="preserve"> </w:t>
            </w:r>
            <w:r w:rsidRPr="000D37C4">
              <w:rPr>
                <w:b/>
                <w:bCs/>
              </w:rPr>
              <w:t>fair</w:t>
            </w:r>
            <w:r w:rsidR="00A03629" w:rsidRPr="000D37C4">
              <w:rPr>
                <w:b/>
                <w:bCs/>
              </w:rPr>
              <w:t xml:space="preserve"> </w:t>
            </w:r>
            <w:r w:rsidRPr="000D37C4">
              <w:rPr>
                <w:b/>
                <w:bCs/>
              </w:rPr>
              <w:t>value</w:t>
            </w:r>
          </w:p>
        </w:tc>
        <w:tc>
          <w:tcPr>
            <w:tcW w:w="1422" w:type="dxa"/>
          </w:tcPr>
          <w:p w14:paraId="2AA07D16" w14:textId="00CF79F7" w:rsidR="000756EB" w:rsidRPr="000D37C4" w:rsidRDefault="004A4D88" w:rsidP="007F7F10">
            <w:pPr>
              <w:pStyle w:val="TableCopy"/>
              <w:jc w:val="right"/>
              <w:rPr>
                <w:b/>
                <w:bCs/>
              </w:rPr>
            </w:pPr>
            <w:r w:rsidRPr="000D37C4">
              <w:rPr>
                <w:b/>
                <w:bCs/>
              </w:rPr>
              <w:t>993</w:t>
            </w:r>
          </w:p>
        </w:tc>
        <w:tc>
          <w:tcPr>
            <w:tcW w:w="1652" w:type="dxa"/>
          </w:tcPr>
          <w:p w14:paraId="69EB7A00" w14:textId="7391DE89" w:rsidR="000756EB" w:rsidRPr="000D37C4" w:rsidRDefault="004A4D88" w:rsidP="007F7F10">
            <w:pPr>
              <w:pStyle w:val="TableCopy"/>
              <w:jc w:val="right"/>
              <w:rPr>
                <w:b/>
                <w:bCs/>
              </w:rPr>
            </w:pPr>
            <w:r w:rsidRPr="000D37C4">
              <w:rPr>
                <w:b/>
                <w:bCs/>
              </w:rPr>
              <w:t>–</w:t>
            </w:r>
          </w:p>
        </w:tc>
        <w:tc>
          <w:tcPr>
            <w:tcW w:w="1653" w:type="dxa"/>
          </w:tcPr>
          <w:p w14:paraId="09B43702" w14:textId="00A52D6F" w:rsidR="000756EB" w:rsidRPr="000D37C4" w:rsidRDefault="004A4D88" w:rsidP="007F7F10">
            <w:pPr>
              <w:pStyle w:val="TableCopy"/>
              <w:jc w:val="right"/>
              <w:rPr>
                <w:b/>
                <w:bCs/>
              </w:rPr>
            </w:pPr>
            <w:r w:rsidRPr="000D37C4">
              <w:rPr>
                <w:b/>
                <w:bCs/>
              </w:rPr>
              <w:t>–</w:t>
            </w:r>
          </w:p>
        </w:tc>
        <w:tc>
          <w:tcPr>
            <w:tcW w:w="1653" w:type="dxa"/>
          </w:tcPr>
          <w:p w14:paraId="61AEF582" w14:textId="5BCCAD3A" w:rsidR="000756EB" w:rsidRPr="000D37C4" w:rsidRDefault="004A4D88" w:rsidP="007F7F10">
            <w:pPr>
              <w:pStyle w:val="TableCopy"/>
              <w:jc w:val="right"/>
              <w:rPr>
                <w:b/>
                <w:bCs/>
              </w:rPr>
            </w:pPr>
            <w:r w:rsidRPr="000D37C4">
              <w:rPr>
                <w:b/>
                <w:bCs/>
              </w:rPr>
              <w:t>993</w:t>
            </w:r>
          </w:p>
        </w:tc>
      </w:tr>
      <w:tr w:rsidR="000756EB" w:rsidRPr="000D37C4" w14:paraId="706EE867" w14:textId="77777777" w:rsidTr="000B6926">
        <w:trPr>
          <w:cantSplit/>
        </w:trPr>
        <w:tc>
          <w:tcPr>
            <w:tcW w:w="3963" w:type="dxa"/>
          </w:tcPr>
          <w:p w14:paraId="6A91BD02" w14:textId="12EA3838" w:rsidR="000756EB" w:rsidRPr="000D37C4" w:rsidRDefault="004A4D88" w:rsidP="000D37C4">
            <w:pPr>
              <w:pStyle w:val="TableHeading"/>
            </w:pPr>
            <w:r w:rsidRPr="000D37C4">
              <w:t>Cultural</w:t>
            </w:r>
            <w:r w:rsidR="00A03629" w:rsidRPr="000D37C4">
              <w:t xml:space="preserve"> </w:t>
            </w:r>
            <w:r w:rsidRPr="000D37C4">
              <w:t>assets</w:t>
            </w:r>
            <w:r w:rsidR="00A03629" w:rsidRPr="000D37C4">
              <w:t xml:space="preserve"> </w:t>
            </w:r>
            <w:r w:rsidRPr="000D37C4">
              <w:t>at</w:t>
            </w:r>
            <w:r w:rsidR="00A03629" w:rsidRPr="000D37C4">
              <w:t xml:space="preserve"> </w:t>
            </w:r>
            <w:r w:rsidRPr="000D37C4">
              <w:t>fair</w:t>
            </w:r>
            <w:r w:rsidR="00A03629" w:rsidRPr="000D37C4">
              <w:t xml:space="preserve"> </w:t>
            </w:r>
            <w:r w:rsidRPr="000D37C4">
              <w:t>value</w:t>
            </w:r>
          </w:p>
        </w:tc>
        <w:tc>
          <w:tcPr>
            <w:tcW w:w="1422" w:type="dxa"/>
          </w:tcPr>
          <w:p w14:paraId="740CF434" w14:textId="77777777" w:rsidR="000756EB" w:rsidRPr="000D37C4" w:rsidRDefault="000756EB" w:rsidP="007F7F10">
            <w:pPr>
              <w:pStyle w:val="TableHeading"/>
              <w:jc w:val="right"/>
              <w:rPr>
                <w:lang w:val="en-AU"/>
              </w:rPr>
            </w:pPr>
          </w:p>
        </w:tc>
        <w:tc>
          <w:tcPr>
            <w:tcW w:w="1652" w:type="dxa"/>
          </w:tcPr>
          <w:p w14:paraId="3001601C" w14:textId="77777777" w:rsidR="000756EB" w:rsidRPr="000D37C4" w:rsidRDefault="000756EB" w:rsidP="007F7F10">
            <w:pPr>
              <w:pStyle w:val="TableHeading"/>
              <w:jc w:val="right"/>
              <w:rPr>
                <w:lang w:val="en-AU"/>
              </w:rPr>
            </w:pPr>
          </w:p>
        </w:tc>
        <w:tc>
          <w:tcPr>
            <w:tcW w:w="1653" w:type="dxa"/>
          </w:tcPr>
          <w:p w14:paraId="3FD0D755" w14:textId="77777777" w:rsidR="000756EB" w:rsidRPr="000D37C4" w:rsidRDefault="000756EB" w:rsidP="007F7F10">
            <w:pPr>
              <w:pStyle w:val="TableHeading"/>
              <w:jc w:val="right"/>
              <w:rPr>
                <w:lang w:val="en-AU"/>
              </w:rPr>
            </w:pPr>
          </w:p>
        </w:tc>
        <w:tc>
          <w:tcPr>
            <w:tcW w:w="1653" w:type="dxa"/>
          </w:tcPr>
          <w:p w14:paraId="49E1A475" w14:textId="77777777" w:rsidR="000756EB" w:rsidRPr="000D37C4" w:rsidRDefault="000756EB" w:rsidP="007F7F10">
            <w:pPr>
              <w:pStyle w:val="TableHeading"/>
              <w:jc w:val="right"/>
              <w:rPr>
                <w:lang w:val="en-AU"/>
              </w:rPr>
            </w:pPr>
          </w:p>
        </w:tc>
      </w:tr>
      <w:tr w:rsidR="000756EB" w14:paraId="5A04ADD6" w14:textId="77777777" w:rsidTr="000B6926">
        <w:trPr>
          <w:cantSplit/>
        </w:trPr>
        <w:tc>
          <w:tcPr>
            <w:tcW w:w="3963" w:type="dxa"/>
          </w:tcPr>
          <w:p w14:paraId="69D6B7B1" w14:textId="21F62C05" w:rsidR="000756EB" w:rsidRDefault="004A4D88" w:rsidP="000D37C4">
            <w:pPr>
              <w:pStyle w:val="TableCopy"/>
            </w:pPr>
            <w:r>
              <w:t>Cultural</w:t>
            </w:r>
            <w:r w:rsidR="00A03629">
              <w:t xml:space="preserve"> </w:t>
            </w:r>
            <w:r>
              <w:t>assets</w:t>
            </w:r>
          </w:p>
        </w:tc>
        <w:tc>
          <w:tcPr>
            <w:tcW w:w="1422" w:type="dxa"/>
          </w:tcPr>
          <w:p w14:paraId="6D52004D" w14:textId="561E62DC" w:rsidR="000756EB" w:rsidRDefault="004A4D88" w:rsidP="007F7F10">
            <w:pPr>
              <w:pStyle w:val="TableCopy"/>
              <w:jc w:val="right"/>
            </w:pPr>
            <w:r>
              <w:t>2,726</w:t>
            </w:r>
          </w:p>
        </w:tc>
        <w:tc>
          <w:tcPr>
            <w:tcW w:w="1652" w:type="dxa"/>
          </w:tcPr>
          <w:p w14:paraId="7DE2859A" w14:textId="7529058E" w:rsidR="000756EB" w:rsidRDefault="004A4D88" w:rsidP="007F7F10">
            <w:pPr>
              <w:pStyle w:val="TableCopy"/>
              <w:jc w:val="right"/>
            </w:pPr>
            <w:r>
              <w:t>–</w:t>
            </w:r>
          </w:p>
        </w:tc>
        <w:tc>
          <w:tcPr>
            <w:tcW w:w="1653" w:type="dxa"/>
          </w:tcPr>
          <w:p w14:paraId="762C5A0E" w14:textId="0EC6C6DB" w:rsidR="000756EB" w:rsidRDefault="004A4D88" w:rsidP="007F7F10">
            <w:pPr>
              <w:pStyle w:val="TableCopy"/>
              <w:jc w:val="right"/>
            </w:pPr>
            <w:r>
              <w:t>–</w:t>
            </w:r>
          </w:p>
        </w:tc>
        <w:tc>
          <w:tcPr>
            <w:tcW w:w="1653" w:type="dxa"/>
          </w:tcPr>
          <w:p w14:paraId="1E87C7B2" w14:textId="7AC77E58" w:rsidR="000756EB" w:rsidRDefault="004A4D88" w:rsidP="007F7F10">
            <w:pPr>
              <w:pStyle w:val="TableCopy"/>
              <w:jc w:val="right"/>
            </w:pPr>
            <w:r>
              <w:t>2,726</w:t>
            </w:r>
          </w:p>
        </w:tc>
      </w:tr>
      <w:tr w:rsidR="000756EB" w:rsidRPr="000D37C4" w14:paraId="12094D99" w14:textId="77777777" w:rsidTr="000B6926">
        <w:trPr>
          <w:cantSplit/>
        </w:trPr>
        <w:tc>
          <w:tcPr>
            <w:tcW w:w="3963" w:type="dxa"/>
          </w:tcPr>
          <w:p w14:paraId="008DD119" w14:textId="04CCDA7F" w:rsidR="000756EB" w:rsidRPr="000D37C4" w:rsidRDefault="004A4D88" w:rsidP="000D37C4">
            <w:pPr>
              <w:pStyle w:val="TableCopy"/>
              <w:rPr>
                <w:b/>
                <w:bCs/>
              </w:rPr>
            </w:pPr>
            <w:r w:rsidRPr="000D37C4">
              <w:rPr>
                <w:b/>
                <w:bCs/>
              </w:rPr>
              <w:t>Total</w:t>
            </w:r>
            <w:r w:rsidR="00A03629" w:rsidRPr="000D37C4">
              <w:rPr>
                <w:b/>
                <w:bCs/>
              </w:rPr>
              <w:t xml:space="preserve"> </w:t>
            </w:r>
            <w:r w:rsidRPr="000D37C4">
              <w:rPr>
                <w:b/>
                <w:bCs/>
              </w:rPr>
              <w:t>cultural</w:t>
            </w:r>
            <w:r w:rsidR="00A03629" w:rsidRPr="000D37C4">
              <w:rPr>
                <w:b/>
                <w:bCs/>
              </w:rPr>
              <w:t xml:space="preserve"> </w:t>
            </w:r>
            <w:r w:rsidRPr="000D37C4">
              <w:rPr>
                <w:b/>
                <w:bCs/>
              </w:rPr>
              <w:t>assets</w:t>
            </w:r>
            <w:r w:rsidR="00A03629" w:rsidRPr="000D37C4">
              <w:rPr>
                <w:b/>
                <w:bCs/>
              </w:rPr>
              <w:t xml:space="preserve"> </w:t>
            </w:r>
            <w:r w:rsidRPr="000D37C4">
              <w:rPr>
                <w:b/>
                <w:bCs/>
              </w:rPr>
              <w:t>at</w:t>
            </w:r>
            <w:r w:rsidR="00A03629" w:rsidRPr="000D37C4">
              <w:rPr>
                <w:b/>
                <w:bCs/>
              </w:rPr>
              <w:t xml:space="preserve"> </w:t>
            </w:r>
            <w:r w:rsidRPr="000D37C4">
              <w:rPr>
                <w:b/>
                <w:bCs/>
              </w:rPr>
              <w:t>fair</w:t>
            </w:r>
            <w:r w:rsidR="00A03629" w:rsidRPr="000D37C4">
              <w:rPr>
                <w:b/>
                <w:bCs/>
              </w:rPr>
              <w:t xml:space="preserve"> </w:t>
            </w:r>
            <w:r w:rsidRPr="000D37C4">
              <w:rPr>
                <w:b/>
                <w:bCs/>
              </w:rPr>
              <w:t>value</w:t>
            </w:r>
          </w:p>
        </w:tc>
        <w:tc>
          <w:tcPr>
            <w:tcW w:w="1422" w:type="dxa"/>
          </w:tcPr>
          <w:p w14:paraId="5B9B6434" w14:textId="5246FE6A" w:rsidR="000756EB" w:rsidRPr="000D37C4" w:rsidRDefault="004A4D88" w:rsidP="007F7F10">
            <w:pPr>
              <w:pStyle w:val="TableCopy"/>
              <w:jc w:val="right"/>
              <w:rPr>
                <w:b/>
                <w:bCs/>
              </w:rPr>
            </w:pPr>
            <w:r w:rsidRPr="000D37C4">
              <w:rPr>
                <w:b/>
                <w:bCs/>
              </w:rPr>
              <w:t>2,726</w:t>
            </w:r>
          </w:p>
        </w:tc>
        <w:tc>
          <w:tcPr>
            <w:tcW w:w="1652" w:type="dxa"/>
          </w:tcPr>
          <w:p w14:paraId="735FFA9A" w14:textId="3C62B144" w:rsidR="000756EB" w:rsidRPr="000D37C4" w:rsidRDefault="004A4D88" w:rsidP="007F7F10">
            <w:pPr>
              <w:pStyle w:val="TableCopy"/>
              <w:jc w:val="right"/>
              <w:rPr>
                <w:b/>
                <w:bCs/>
              </w:rPr>
            </w:pPr>
            <w:r w:rsidRPr="000D37C4">
              <w:rPr>
                <w:b/>
                <w:bCs/>
              </w:rPr>
              <w:t>–</w:t>
            </w:r>
          </w:p>
        </w:tc>
        <w:tc>
          <w:tcPr>
            <w:tcW w:w="1653" w:type="dxa"/>
          </w:tcPr>
          <w:p w14:paraId="441DD7D6" w14:textId="3137D76A" w:rsidR="000756EB" w:rsidRPr="000D37C4" w:rsidRDefault="004A4D88" w:rsidP="007F7F10">
            <w:pPr>
              <w:pStyle w:val="TableCopy"/>
              <w:jc w:val="right"/>
              <w:rPr>
                <w:b/>
                <w:bCs/>
              </w:rPr>
            </w:pPr>
            <w:r w:rsidRPr="000D37C4">
              <w:rPr>
                <w:b/>
                <w:bCs/>
              </w:rPr>
              <w:t>–</w:t>
            </w:r>
          </w:p>
        </w:tc>
        <w:tc>
          <w:tcPr>
            <w:tcW w:w="1653" w:type="dxa"/>
          </w:tcPr>
          <w:p w14:paraId="47EE0A2D" w14:textId="464FC2D1" w:rsidR="000756EB" w:rsidRPr="000D37C4" w:rsidRDefault="004A4D88" w:rsidP="007F7F10">
            <w:pPr>
              <w:pStyle w:val="TableCopy"/>
              <w:jc w:val="right"/>
              <w:rPr>
                <w:b/>
                <w:bCs/>
              </w:rPr>
            </w:pPr>
            <w:r w:rsidRPr="000D37C4">
              <w:rPr>
                <w:b/>
                <w:bCs/>
              </w:rPr>
              <w:t>2,726</w:t>
            </w:r>
          </w:p>
        </w:tc>
      </w:tr>
      <w:tr w:rsidR="000756EB" w:rsidRPr="000D37C4" w14:paraId="6EF4DEAD" w14:textId="77777777" w:rsidTr="000B6926">
        <w:trPr>
          <w:cantSplit/>
        </w:trPr>
        <w:tc>
          <w:tcPr>
            <w:tcW w:w="3963" w:type="dxa"/>
          </w:tcPr>
          <w:p w14:paraId="09F2939E" w14:textId="20365E5E" w:rsidR="000756EB" w:rsidRPr="000D37C4" w:rsidRDefault="004A4D88" w:rsidP="000D37C4">
            <w:pPr>
              <w:pStyle w:val="TableHeading"/>
            </w:pPr>
            <w:r w:rsidRPr="000D37C4">
              <w:lastRenderedPageBreak/>
              <w:t>Building</w:t>
            </w:r>
            <w:r w:rsidR="00A03629" w:rsidRPr="000D37C4">
              <w:t xml:space="preserve"> </w:t>
            </w:r>
            <w:r w:rsidRPr="000D37C4">
              <w:t>leasehold</w:t>
            </w:r>
            <w:r w:rsidR="00A03629" w:rsidRPr="000D37C4">
              <w:t xml:space="preserve"> </w:t>
            </w:r>
            <w:r w:rsidRPr="000D37C4">
              <w:t>improvements</w:t>
            </w:r>
            <w:r w:rsidR="00A03629" w:rsidRPr="000D37C4">
              <w:t xml:space="preserve"> </w:t>
            </w:r>
            <w:r w:rsidRPr="000D37C4">
              <w:t>at</w:t>
            </w:r>
            <w:r w:rsidR="00A03629" w:rsidRPr="000D37C4">
              <w:t xml:space="preserve"> </w:t>
            </w:r>
            <w:r w:rsidRPr="000D37C4">
              <w:t>fair</w:t>
            </w:r>
            <w:r w:rsidR="00A03629" w:rsidRPr="000D37C4">
              <w:t xml:space="preserve"> </w:t>
            </w:r>
            <w:r w:rsidRPr="000D37C4">
              <w:t>value</w:t>
            </w:r>
          </w:p>
        </w:tc>
        <w:tc>
          <w:tcPr>
            <w:tcW w:w="1422" w:type="dxa"/>
          </w:tcPr>
          <w:p w14:paraId="3A15CE3E" w14:textId="77777777" w:rsidR="000756EB" w:rsidRPr="000D37C4" w:rsidRDefault="000756EB" w:rsidP="007F7F10">
            <w:pPr>
              <w:pStyle w:val="TableHeading"/>
              <w:jc w:val="right"/>
              <w:rPr>
                <w:lang w:val="en-AU"/>
              </w:rPr>
            </w:pPr>
          </w:p>
        </w:tc>
        <w:tc>
          <w:tcPr>
            <w:tcW w:w="1652" w:type="dxa"/>
          </w:tcPr>
          <w:p w14:paraId="7196030D" w14:textId="77777777" w:rsidR="000756EB" w:rsidRPr="000D37C4" w:rsidRDefault="000756EB" w:rsidP="007F7F10">
            <w:pPr>
              <w:pStyle w:val="TableHeading"/>
              <w:jc w:val="right"/>
              <w:rPr>
                <w:lang w:val="en-AU"/>
              </w:rPr>
            </w:pPr>
          </w:p>
        </w:tc>
        <w:tc>
          <w:tcPr>
            <w:tcW w:w="1653" w:type="dxa"/>
          </w:tcPr>
          <w:p w14:paraId="23000475" w14:textId="77777777" w:rsidR="000756EB" w:rsidRPr="000D37C4" w:rsidRDefault="000756EB" w:rsidP="007F7F10">
            <w:pPr>
              <w:pStyle w:val="TableHeading"/>
              <w:jc w:val="right"/>
              <w:rPr>
                <w:lang w:val="en-AU"/>
              </w:rPr>
            </w:pPr>
          </w:p>
        </w:tc>
        <w:tc>
          <w:tcPr>
            <w:tcW w:w="1653" w:type="dxa"/>
          </w:tcPr>
          <w:p w14:paraId="52B7C45C" w14:textId="77777777" w:rsidR="000756EB" w:rsidRPr="000D37C4" w:rsidRDefault="000756EB" w:rsidP="007F7F10">
            <w:pPr>
              <w:pStyle w:val="TableHeading"/>
              <w:jc w:val="right"/>
              <w:rPr>
                <w:lang w:val="en-AU"/>
              </w:rPr>
            </w:pPr>
          </w:p>
        </w:tc>
      </w:tr>
      <w:tr w:rsidR="000756EB" w14:paraId="4A18A473" w14:textId="77777777" w:rsidTr="000B6926">
        <w:trPr>
          <w:cantSplit/>
        </w:trPr>
        <w:tc>
          <w:tcPr>
            <w:tcW w:w="3963" w:type="dxa"/>
          </w:tcPr>
          <w:p w14:paraId="430F8A35" w14:textId="7F7ACB65" w:rsidR="000756EB" w:rsidRDefault="004A4D88" w:rsidP="000D37C4">
            <w:pPr>
              <w:pStyle w:val="TableCopy"/>
            </w:pPr>
            <w:r>
              <w:t>Leasehold</w:t>
            </w:r>
            <w:r w:rsidR="00A03629">
              <w:t xml:space="preserve"> </w:t>
            </w:r>
            <w:r>
              <w:t>improvements</w:t>
            </w:r>
          </w:p>
        </w:tc>
        <w:tc>
          <w:tcPr>
            <w:tcW w:w="1422" w:type="dxa"/>
          </w:tcPr>
          <w:p w14:paraId="4635FABB" w14:textId="7CF1A670" w:rsidR="000756EB" w:rsidRDefault="004A4D88" w:rsidP="007F7F10">
            <w:pPr>
              <w:pStyle w:val="TableCopy"/>
              <w:jc w:val="right"/>
            </w:pPr>
            <w:r>
              <w:t>7,546</w:t>
            </w:r>
          </w:p>
        </w:tc>
        <w:tc>
          <w:tcPr>
            <w:tcW w:w="1652" w:type="dxa"/>
          </w:tcPr>
          <w:p w14:paraId="1FE0ABDB" w14:textId="38A720DB" w:rsidR="000756EB" w:rsidRDefault="004A4D88" w:rsidP="007F7F10">
            <w:pPr>
              <w:pStyle w:val="TableCopy"/>
              <w:jc w:val="right"/>
            </w:pPr>
            <w:r>
              <w:t>–</w:t>
            </w:r>
          </w:p>
        </w:tc>
        <w:tc>
          <w:tcPr>
            <w:tcW w:w="1653" w:type="dxa"/>
          </w:tcPr>
          <w:p w14:paraId="092DB4D2" w14:textId="7FBC7BEC" w:rsidR="000756EB" w:rsidRDefault="004A4D88" w:rsidP="007F7F10">
            <w:pPr>
              <w:pStyle w:val="TableCopy"/>
              <w:jc w:val="right"/>
            </w:pPr>
            <w:r>
              <w:t>–</w:t>
            </w:r>
          </w:p>
        </w:tc>
        <w:tc>
          <w:tcPr>
            <w:tcW w:w="1653" w:type="dxa"/>
          </w:tcPr>
          <w:p w14:paraId="397EA1F9" w14:textId="7CEB05E4" w:rsidR="000756EB" w:rsidRDefault="004A4D88" w:rsidP="007F7F10">
            <w:pPr>
              <w:pStyle w:val="TableCopy"/>
              <w:jc w:val="right"/>
            </w:pPr>
            <w:r>
              <w:t>7,546</w:t>
            </w:r>
          </w:p>
        </w:tc>
      </w:tr>
      <w:tr w:rsidR="000756EB" w:rsidRPr="000D37C4" w14:paraId="2590AFCE" w14:textId="77777777" w:rsidTr="000B6926">
        <w:trPr>
          <w:cantSplit/>
        </w:trPr>
        <w:tc>
          <w:tcPr>
            <w:tcW w:w="3963" w:type="dxa"/>
          </w:tcPr>
          <w:p w14:paraId="2E69A532" w14:textId="0F75845F" w:rsidR="000756EB" w:rsidRPr="000D37C4" w:rsidRDefault="004A4D88" w:rsidP="000D37C4">
            <w:pPr>
              <w:pStyle w:val="TableCopy"/>
              <w:rPr>
                <w:b/>
                <w:bCs/>
              </w:rPr>
            </w:pPr>
            <w:r w:rsidRPr="000D37C4">
              <w:rPr>
                <w:b/>
                <w:bCs/>
              </w:rPr>
              <w:t>Total</w:t>
            </w:r>
            <w:r w:rsidR="00A03629" w:rsidRPr="000D37C4">
              <w:rPr>
                <w:b/>
                <w:bCs/>
              </w:rPr>
              <w:t xml:space="preserve"> </w:t>
            </w:r>
            <w:r w:rsidRPr="000D37C4">
              <w:rPr>
                <w:b/>
                <w:bCs/>
              </w:rPr>
              <w:t>building</w:t>
            </w:r>
            <w:r w:rsidR="00A03629" w:rsidRPr="000D37C4">
              <w:rPr>
                <w:b/>
                <w:bCs/>
              </w:rPr>
              <w:t xml:space="preserve"> </w:t>
            </w:r>
            <w:r w:rsidRPr="000D37C4">
              <w:rPr>
                <w:b/>
                <w:bCs/>
              </w:rPr>
              <w:t>leasehold</w:t>
            </w:r>
            <w:r w:rsidR="00A03629" w:rsidRPr="000D37C4">
              <w:rPr>
                <w:b/>
                <w:bCs/>
              </w:rPr>
              <w:t xml:space="preserve"> </w:t>
            </w:r>
            <w:r w:rsidRPr="000D37C4">
              <w:rPr>
                <w:b/>
                <w:bCs/>
              </w:rPr>
              <w:t>improvements</w:t>
            </w:r>
            <w:r w:rsidR="00A03629" w:rsidRPr="000D37C4">
              <w:rPr>
                <w:b/>
                <w:bCs/>
              </w:rPr>
              <w:t xml:space="preserve"> </w:t>
            </w:r>
            <w:r w:rsidRPr="000D37C4">
              <w:rPr>
                <w:b/>
                <w:bCs/>
              </w:rPr>
              <w:t>at</w:t>
            </w:r>
            <w:r w:rsidR="00A03629" w:rsidRPr="000D37C4">
              <w:rPr>
                <w:rFonts w:ascii="Cambria" w:hAnsi="Cambria" w:cs="Cambria"/>
                <w:b/>
                <w:bCs/>
              </w:rPr>
              <w:t xml:space="preserve"> </w:t>
            </w:r>
            <w:r w:rsidRPr="000D37C4">
              <w:rPr>
                <w:b/>
                <w:bCs/>
              </w:rPr>
              <w:t>fair</w:t>
            </w:r>
            <w:r w:rsidR="00A03629" w:rsidRPr="000D37C4">
              <w:rPr>
                <w:rFonts w:ascii="Cambria" w:hAnsi="Cambria" w:cs="Cambria"/>
                <w:b/>
                <w:bCs/>
              </w:rPr>
              <w:t xml:space="preserve"> </w:t>
            </w:r>
            <w:r w:rsidRPr="000D37C4">
              <w:rPr>
                <w:b/>
                <w:bCs/>
              </w:rPr>
              <w:t>value</w:t>
            </w:r>
          </w:p>
        </w:tc>
        <w:tc>
          <w:tcPr>
            <w:tcW w:w="1422" w:type="dxa"/>
          </w:tcPr>
          <w:p w14:paraId="25F34BB4" w14:textId="5F4DF117" w:rsidR="000756EB" w:rsidRPr="000D37C4" w:rsidRDefault="004A4D88" w:rsidP="007F7F10">
            <w:pPr>
              <w:pStyle w:val="TableCopy"/>
              <w:jc w:val="right"/>
              <w:rPr>
                <w:b/>
                <w:bCs/>
              </w:rPr>
            </w:pPr>
            <w:r w:rsidRPr="000D37C4">
              <w:rPr>
                <w:b/>
                <w:bCs/>
              </w:rPr>
              <w:t>7,546</w:t>
            </w:r>
          </w:p>
        </w:tc>
        <w:tc>
          <w:tcPr>
            <w:tcW w:w="1652" w:type="dxa"/>
          </w:tcPr>
          <w:p w14:paraId="01ABF862" w14:textId="0AF3D2FE" w:rsidR="000756EB" w:rsidRPr="000D37C4" w:rsidRDefault="004A4D88" w:rsidP="007F7F10">
            <w:pPr>
              <w:pStyle w:val="TableCopy"/>
              <w:jc w:val="right"/>
              <w:rPr>
                <w:b/>
                <w:bCs/>
              </w:rPr>
            </w:pPr>
            <w:r w:rsidRPr="000D37C4">
              <w:rPr>
                <w:b/>
                <w:bCs/>
              </w:rPr>
              <w:t>–</w:t>
            </w:r>
          </w:p>
        </w:tc>
        <w:tc>
          <w:tcPr>
            <w:tcW w:w="1653" w:type="dxa"/>
          </w:tcPr>
          <w:p w14:paraId="3D647FB9" w14:textId="4FF7C58F" w:rsidR="000756EB" w:rsidRPr="000D37C4" w:rsidRDefault="004A4D88" w:rsidP="007F7F10">
            <w:pPr>
              <w:pStyle w:val="TableCopy"/>
              <w:jc w:val="right"/>
              <w:rPr>
                <w:b/>
                <w:bCs/>
              </w:rPr>
            </w:pPr>
            <w:r w:rsidRPr="000D37C4">
              <w:rPr>
                <w:b/>
                <w:bCs/>
              </w:rPr>
              <w:t>–</w:t>
            </w:r>
          </w:p>
        </w:tc>
        <w:tc>
          <w:tcPr>
            <w:tcW w:w="1653" w:type="dxa"/>
          </w:tcPr>
          <w:p w14:paraId="5384B7EC" w14:textId="6F62D770" w:rsidR="000756EB" w:rsidRPr="000D37C4" w:rsidRDefault="004A4D88" w:rsidP="007F7F10">
            <w:pPr>
              <w:pStyle w:val="TableCopy"/>
              <w:jc w:val="right"/>
              <w:rPr>
                <w:b/>
                <w:bCs/>
              </w:rPr>
            </w:pPr>
            <w:r w:rsidRPr="000D37C4">
              <w:rPr>
                <w:b/>
                <w:bCs/>
              </w:rPr>
              <w:t>7,546</w:t>
            </w:r>
          </w:p>
        </w:tc>
      </w:tr>
      <w:tr w:rsidR="000756EB" w:rsidRPr="000D37C4" w14:paraId="086B22F7" w14:textId="77777777" w:rsidTr="000B6926">
        <w:trPr>
          <w:cantSplit/>
        </w:trPr>
        <w:tc>
          <w:tcPr>
            <w:tcW w:w="3963" w:type="dxa"/>
          </w:tcPr>
          <w:p w14:paraId="3AB527DC" w14:textId="2B519A30" w:rsidR="000756EB" w:rsidRPr="000D37C4" w:rsidRDefault="004A4D88" w:rsidP="000D37C4">
            <w:pPr>
              <w:pStyle w:val="TableHeading"/>
            </w:pPr>
            <w:r w:rsidRPr="000D37C4">
              <w:t>Motor</w:t>
            </w:r>
            <w:r w:rsidR="00A03629" w:rsidRPr="000D37C4">
              <w:t xml:space="preserve"> </w:t>
            </w:r>
            <w:r w:rsidRPr="000D37C4">
              <w:t>vehicles</w:t>
            </w:r>
            <w:r w:rsidR="00A03629" w:rsidRPr="000D37C4">
              <w:t xml:space="preserve"> </w:t>
            </w:r>
            <w:r w:rsidRPr="000D37C4">
              <w:t>at</w:t>
            </w:r>
            <w:r w:rsidR="00A03629" w:rsidRPr="000D37C4">
              <w:t xml:space="preserve"> </w:t>
            </w:r>
            <w:r w:rsidRPr="000D37C4">
              <w:t>fair</w:t>
            </w:r>
            <w:r w:rsidR="00A03629" w:rsidRPr="000D37C4">
              <w:t xml:space="preserve"> </w:t>
            </w:r>
            <w:r w:rsidRPr="000D37C4">
              <w:t>value</w:t>
            </w:r>
          </w:p>
        </w:tc>
        <w:tc>
          <w:tcPr>
            <w:tcW w:w="1422" w:type="dxa"/>
          </w:tcPr>
          <w:p w14:paraId="52C6FB56" w14:textId="77777777" w:rsidR="000756EB" w:rsidRPr="000D37C4" w:rsidRDefault="000756EB" w:rsidP="007F7F10">
            <w:pPr>
              <w:pStyle w:val="TableHeading"/>
              <w:jc w:val="right"/>
              <w:rPr>
                <w:lang w:val="en-AU"/>
              </w:rPr>
            </w:pPr>
          </w:p>
        </w:tc>
        <w:tc>
          <w:tcPr>
            <w:tcW w:w="1652" w:type="dxa"/>
          </w:tcPr>
          <w:p w14:paraId="36A4F8F8" w14:textId="77777777" w:rsidR="000756EB" w:rsidRPr="000D37C4" w:rsidRDefault="000756EB" w:rsidP="007F7F10">
            <w:pPr>
              <w:pStyle w:val="TableHeading"/>
              <w:jc w:val="right"/>
              <w:rPr>
                <w:lang w:val="en-AU"/>
              </w:rPr>
            </w:pPr>
          </w:p>
        </w:tc>
        <w:tc>
          <w:tcPr>
            <w:tcW w:w="1653" w:type="dxa"/>
          </w:tcPr>
          <w:p w14:paraId="71F01D0E" w14:textId="77777777" w:rsidR="000756EB" w:rsidRPr="000D37C4" w:rsidRDefault="000756EB" w:rsidP="007F7F10">
            <w:pPr>
              <w:pStyle w:val="TableHeading"/>
              <w:jc w:val="right"/>
              <w:rPr>
                <w:lang w:val="en-AU"/>
              </w:rPr>
            </w:pPr>
          </w:p>
        </w:tc>
        <w:tc>
          <w:tcPr>
            <w:tcW w:w="1653" w:type="dxa"/>
          </w:tcPr>
          <w:p w14:paraId="23978F8F" w14:textId="77777777" w:rsidR="000756EB" w:rsidRPr="000D37C4" w:rsidRDefault="000756EB" w:rsidP="007F7F10">
            <w:pPr>
              <w:pStyle w:val="TableHeading"/>
              <w:jc w:val="right"/>
              <w:rPr>
                <w:lang w:val="en-AU"/>
              </w:rPr>
            </w:pPr>
          </w:p>
        </w:tc>
      </w:tr>
      <w:tr w:rsidR="000756EB" w14:paraId="19C808A4" w14:textId="77777777" w:rsidTr="000B6926">
        <w:trPr>
          <w:cantSplit/>
        </w:trPr>
        <w:tc>
          <w:tcPr>
            <w:tcW w:w="3963" w:type="dxa"/>
          </w:tcPr>
          <w:p w14:paraId="1129122F" w14:textId="615FFBC6" w:rsidR="000756EB" w:rsidRDefault="004A4D88" w:rsidP="000D37C4">
            <w:pPr>
              <w:pStyle w:val="TableCopy"/>
            </w:pPr>
            <w:r>
              <w:t>Motor</w:t>
            </w:r>
            <w:r w:rsidR="00A03629">
              <w:t xml:space="preserve"> </w:t>
            </w:r>
            <w:r>
              <w:t>vehicles</w:t>
            </w:r>
            <w:r w:rsidR="00A03629">
              <w:t xml:space="preserve"> </w:t>
            </w:r>
          </w:p>
        </w:tc>
        <w:tc>
          <w:tcPr>
            <w:tcW w:w="1422" w:type="dxa"/>
          </w:tcPr>
          <w:p w14:paraId="6FAB4E3E" w14:textId="3DEFD162" w:rsidR="000756EB" w:rsidRDefault="004A4D88" w:rsidP="007F7F10">
            <w:pPr>
              <w:pStyle w:val="TableCopy"/>
              <w:jc w:val="right"/>
            </w:pPr>
            <w:r>
              <w:t>3,588</w:t>
            </w:r>
          </w:p>
        </w:tc>
        <w:tc>
          <w:tcPr>
            <w:tcW w:w="1652" w:type="dxa"/>
          </w:tcPr>
          <w:p w14:paraId="19E59112" w14:textId="2799A3E6" w:rsidR="000756EB" w:rsidRDefault="004A4D88" w:rsidP="007F7F10">
            <w:pPr>
              <w:pStyle w:val="TableCopy"/>
              <w:jc w:val="right"/>
            </w:pPr>
            <w:r>
              <w:t>–</w:t>
            </w:r>
          </w:p>
        </w:tc>
        <w:tc>
          <w:tcPr>
            <w:tcW w:w="1653" w:type="dxa"/>
          </w:tcPr>
          <w:p w14:paraId="16FB0C6D" w14:textId="1F2E4BB3" w:rsidR="000756EB" w:rsidRDefault="004A4D88" w:rsidP="007F7F10">
            <w:pPr>
              <w:pStyle w:val="TableCopy"/>
              <w:jc w:val="right"/>
            </w:pPr>
            <w:r>
              <w:t>–</w:t>
            </w:r>
          </w:p>
        </w:tc>
        <w:tc>
          <w:tcPr>
            <w:tcW w:w="1653" w:type="dxa"/>
          </w:tcPr>
          <w:p w14:paraId="38185D82" w14:textId="4E1AD131" w:rsidR="000756EB" w:rsidRDefault="004A4D88" w:rsidP="007F7F10">
            <w:pPr>
              <w:pStyle w:val="TableCopy"/>
              <w:jc w:val="right"/>
            </w:pPr>
            <w:r>
              <w:t>3,588</w:t>
            </w:r>
          </w:p>
        </w:tc>
      </w:tr>
      <w:tr w:rsidR="000756EB" w:rsidRPr="000D37C4" w14:paraId="72721BBA" w14:textId="77777777" w:rsidTr="000B6926">
        <w:trPr>
          <w:cantSplit/>
        </w:trPr>
        <w:tc>
          <w:tcPr>
            <w:tcW w:w="3963" w:type="dxa"/>
          </w:tcPr>
          <w:p w14:paraId="2A0028D6" w14:textId="7EEF2194" w:rsidR="000756EB" w:rsidRPr="000D37C4" w:rsidRDefault="004A4D88" w:rsidP="000D37C4">
            <w:pPr>
              <w:pStyle w:val="TableCopy"/>
              <w:rPr>
                <w:b/>
                <w:bCs/>
              </w:rPr>
            </w:pPr>
            <w:r w:rsidRPr="000D37C4">
              <w:rPr>
                <w:b/>
                <w:bCs/>
              </w:rPr>
              <w:t>Total</w:t>
            </w:r>
            <w:r w:rsidR="00A03629" w:rsidRPr="000D37C4">
              <w:rPr>
                <w:b/>
                <w:bCs/>
              </w:rPr>
              <w:t xml:space="preserve"> </w:t>
            </w:r>
            <w:r w:rsidRPr="000D37C4">
              <w:rPr>
                <w:b/>
                <w:bCs/>
              </w:rPr>
              <w:t>motor</w:t>
            </w:r>
            <w:r w:rsidR="00A03629" w:rsidRPr="000D37C4">
              <w:rPr>
                <w:b/>
                <w:bCs/>
              </w:rPr>
              <w:t xml:space="preserve"> </w:t>
            </w:r>
            <w:r w:rsidRPr="000D37C4">
              <w:rPr>
                <w:b/>
                <w:bCs/>
              </w:rPr>
              <w:t>vehicles</w:t>
            </w:r>
            <w:r w:rsidR="00A03629" w:rsidRPr="000D37C4">
              <w:rPr>
                <w:b/>
                <w:bCs/>
              </w:rPr>
              <w:t xml:space="preserve"> </w:t>
            </w:r>
            <w:r w:rsidRPr="000D37C4">
              <w:rPr>
                <w:b/>
                <w:bCs/>
              </w:rPr>
              <w:t>at</w:t>
            </w:r>
            <w:r w:rsidR="00A03629" w:rsidRPr="000D37C4">
              <w:rPr>
                <w:b/>
                <w:bCs/>
              </w:rPr>
              <w:t xml:space="preserve"> </w:t>
            </w:r>
            <w:r w:rsidRPr="000D37C4">
              <w:rPr>
                <w:b/>
                <w:bCs/>
              </w:rPr>
              <w:t>fair</w:t>
            </w:r>
            <w:r w:rsidR="00A03629" w:rsidRPr="000D37C4">
              <w:rPr>
                <w:b/>
                <w:bCs/>
              </w:rPr>
              <w:t xml:space="preserve"> </w:t>
            </w:r>
            <w:r w:rsidRPr="000D37C4">
              <w:rPr>
                <w:b/>
                <w:bCs/>
              </w:rPr>
              <w:t>value</w:t>
            </w:r>
          </w:p>
        </w:tc>
        <w:tc>
          <w:tcPr>
            <w:tcW w:w="1422" w:type="dxa"/>
          </w:tcPr>
          <w:p w14:paraId="632B687D" w14:textId="75D8235B" w:rsidR="000756EB" w:rsidRPr="000D37C4" w:rsidRDefault="004A4D88" w:rsidP="007F7F10">
            <w:pPr>
              <w:pStyle w:val="TableCopy"/>
              <w:jc w:val="right"/>
              <w:rPr>
                <w:b/>
                <w:bCs/>
              </w:rPr>
            </w:pPr>
            <w:r w:rsidRPr="000D37C4">
              <w:rPr>
                <w:b/>
                <w:bCs/>
              </w:rPr>
              <w:t>3,588</w:t>
            </w:r>
          </w:p>
        </w:tc>
        <w:tc>
          <w:tcPr>
            <w:tcW w:w="1652" w:type="dxa"/>
          </w:tcPr>
          <w:p w14:paraId="13547FF2" w14:textId="1ED3BED4" w:rsidR="000756EB" w:rsidRPr="000D37C4" w:rsidRDefault="004A4D88" w:rsidP="007F7F10">
            <w:pPr>
              <w:pStyle w:val="TableCopy"/>
              <w:jc w:val="right"/>
              <w:rPr>
                <w:b/>
                <w:bCs/>
              </w:rPr>
            </w:pPr>
            <w:r w:rsidRPr="000D37C4">
              <w:rPr>
                <w:b/>
                <w:bCs/>
              </w:rPr>
              <w:t>–</w:t>
            </w:r>
          </w:p>
        </w:tc>
        <w:tc>
          <w:tcPr>
            <w:tcW w:w="1653" w:type="dxa"/>
          </w:tcPr>
          <w:p w14:paraId="2BBD160C" w14:textId="60779898" w:rsidR="000756EB" w:rsidRPr="000D37C4" w:rsidRDefault="004A4D88" w:rsidP="007F7F10">
            <w:pPr>
              <w:pStyle w:val="TableCopy"/>
              <w:jc w:val="right"/>
              <w:rPr>
                <w:b/>
                <w:bCs/>
              </w:rPr>
            </w:pPr>
            <w:r w:rsidRPr="000D37C4">
              <w:rPr>
                <w:b/>
                <w:bCs/>
              </w:rPr>
              <w:t>–</w:t>
            </w:r>
          </w:p>
        </w:tc>
        <w:tc>
          <w:tcPr>
            <w:tcW w:w="1653" w:type="dxa"/>
          </w:tcPr>
          <w:p w14:paraId="10038781" w14:textId="6725F408" w:rsidR="000756EB" w:rsidRPr="000D37C4" w:rsidRDefault="004A4D88" w:rsidP="007F7F10">
            <w:pPr>
              <w:pStyle w:val="TableCopy"/>
              <w:jc w:val="right"/>
              <w:rPr>
                <w:b/>
                <w:bCs/>
              </w:rPr>
            </w:pPr>
            <w:r w:rsidRPr="000D37C4">
              <w:rPr>
                <w:b/>
                <w:bCs/>
              </w:rPr>
              <w:t>3,588</w:t>
            </w:r>
          </w:p>
        </w:tc>
      </w:tr>
      <w:tr w:rsidR="000756EB" w:rsidRPr="000D37C4" w14:paraId="4F365BC7" w14:textId="77777777" w:rsidTr="000B6926">
        <w:trPr>
          <w:cantSplit/>
        </w:trPr>
        <w:tc>
          <w:tcPr>
            <w:tcW w:w="3963" w:type="dxa"/>
          </w:tcPr>
          <w:p w14:paraId="1E9EB3CC" w14:textId="48672C1D" w:rsidR="000756EB" w:rsidRPr="000D37C4" w:rsidRDefault="004A4D88" w:rsidP="000D37C4">
            <w:pPr>
              <w:pStyle w:val="TableCopy"/>
              <w:rPr>
                <w:b/>
                <w:bCs/>
              </w:rPr>
            </w:pPr>
            <w:r w:rsidRPr="000D37C4">
              <w:rPr>
                <w:b/>
                <w:bCs/>
              </w:rPr>
              <w:t>Total</w:t>
            </w:r>
            <w:r w:rsidR="00A03629" w:rsidRPr="000D37C4">
              <w:rPr>
                <w:b/>
                <w:bCs/>
              </w:rPr>
              <w:t xml:space="preserve"> </w:t>
            </w:r>
            <w:r w:rsidRPr="000D37C4">
              <w:rPr>
                <w:b/>
                <w:bCs/>
              </w:rPr>
              <w:t>property,</w:t>
            </w:r>
            <w:r w:rsidR="00A03629" w:rsidRPr="000D37C4">
              <w:rPr>
                <w:b/>
                <w:bCs/>
              </w:rPr>
              <w:t xml:space="preserve"> </w:t>
            </w:r>
            <w:r w:rsidRPr="000D37C4">
              <w:rPr>
                <w:b/>
                <w:bCs/>
              </w:rPr>
              <w:t>plant,</w:t>
            </w:r>
            <w:r w:rsidR="00A03629" w:rsidRPr="000D37C4">
              <w:rPr>
                <w:b/>
                <w:bCs/>
              </w:rPr>
              <w:t xml:space="preserve"> </w:t>
            </w:r>
            <w:r w:rsidRPr="000D37C4">
              <w:rPr>
                <w:b/>
                <w:bCs/>
              </w:rPr>
              <w:t>equipment</w:t>
            </w:r>
            <w:r w:rsidR="00A03629" w:rsidRPr="000D37C4">
              <w:rPr>
                <w:b/>
                <w:bCs/>
              </w:rPr>
              <w:t xml:space="preserve"> </w:t>
            </w:r>
            <w:r w:rsidRPr="000D37C4">
              <w:rPr>
                <w:b/>
                <w:bCs/>
              </w:rPr>
              <w:t>and</w:t>
            </w:r>
            <w:r w:rsidR="00A03629" w:rsidRPr="000D37C4">
              <w:rPr>
                <w:b/>
                <w:bCs/>
              </w:rPr>
              <w:t xml:space="preserve"> </w:t>
            </w:r>
            <w:r w:rsidRPr="000D37C4">
              <w:rPr>
                <w:b/>
                <w:bCs/>
              </w:rPr>
              <w:t>at</w:t>
            </w:r>
            <w:r w:rsidR="00A03629" w:rsidRPr="000D37C4">
              <w:rPr>
                <w:rFonts w:ascii="Cambria" w:hAnsi="Cambria" w:cs="Cambria"/>
                <w:b/>
                <w:bCs/>
              </w:rPr>
              <w:t xml:space="preserve"> </w:t>
            </w:r>
            <w:r w:rsidRPr="000D37C4">
              <w:rPr>
                <w:b/>
                <w:bCs/>
              </w:rPr>
              <w:t>fair</w:t>
            </w:r>
            <w:r w:rsidR="00A03629" w:rsidRPr="000D37C4">
              <w:rPr>
                <w:rFonts w:ascii="Cambria" w:hAnsi="Cambria" w:cs="Cambria"/>
                <w:b/>
                <w:bCs/>
              </w:rPr>
              <w:t xml:space="preserve"> </w:t>
            </w:r>
            <w:r w:rsidRPr="000D37C4">
              <w:rPr>
                <w:b/>
                <w:bCs/>
              </w:rPr>
              <w:t>value</w:t>
            </w:r>
          </w:p>
        </w:tc>
        <w:tc>
          <w:tcPr>
            <w:tcW w:w="1422" w:type="dxa"/>
          </w:tcPr>
          <w:p w14:paraId="49644B16" w14:textId="360FB791" w:rsidR="000756EB" w:rsidRPr="000D37C4" w:rsidRDefault="004A4D88" w:rsidP="007F7F10">
            <w:pPr>
              <w:pStyle w:val="TableCopy"/>
              <w:jc w:val="right"/>
              <w:rPr>
                <w:b/>
                <w:bCs/>
              </w:rPr>
            </w:pPr>
            <w:r w:rsidRPr="000D37C4">
              <w:rPr>
                <w:b/>
                <w:bCs/>
              </w:rPr>
              <w:t>1,139,418</w:t>
            </w:r>
          </w:p>
        </w:tc>
        <w:tc>
          <w:tcPr>
            <w:tcW w:w="1652" w:type="dxa"/>
          </w:tcPr>
          <w:p w14:paraId="27A16AC1" w14:textId="2A2BF9E4" w:rsidR="000756EB" w:rsidRPr="000D37C4" w:rsidRDefault="004A4D88" w:rsidP="007F7F10">
            <w:pPr>
              <w:pStyle w:val="TableCopy"/>
              <w:jc w:val="right"/>
              <w:rPr>
                <w:b/>
                <w:bCs/>
              </w:rPr>
            </w:pPr>
            <w:r w:rsidRPr="000D37C4">
              <w:rPr>
                <w:b/>
                <w:bCs/>
              </w:rPr>
              <w:t>–</w:t>
            </w:r>
          </w:p>
        </w:tc>
        <w:tc>
          <w:tcPr>
            <w:tcW w:w="1653" w:type="dxa"/>
          </w:tcPr>
          <w:p w14:paraId="768926D5" w14:textId="741E69C8" w:rsidR="000756EB" w:rsidRPr="000D37C4" w:rsidRDefault="004A4D88" w:rsidP="007F7F10">
            <w:pPr>
              <w:pStyle w:val="TableCopy"/>
              <w:jc w:val="right"/>
              <w:rPr>
                <w:b/>
                <w:bCs/>
              </w:rPr>
            </w:pPr>
            <w:r w:rsidRPr="000D37C4">
              <w:rPr>
                <w:b/>
                <w:bCs/>
              </w:rPr>
              <w:t>374,241</w:t>
            </w:r>
          </w:p>
        </w:tc>
        <w:tc>
          <w:tcPr>
            <w:tcW w:w="1653" w:type="dxa"/>
          </w:tcPr>
          <w:p w14:paraId="06A3A67A" w14:textId="4DCD0236" w:rsidR="000756EB" w:rsidRPr="000D37C4" w:rsidRDefault="004A4D88" w:rsidP="007F7F10">
            <w:pPr>
              <w:pStyle w:val="TableCopy"/>
              <w:jc w:val="right"/>
              <w:rPr>
                <w:b/>
                <w:bCs/>
              </w:rPr>
            </w:pPr>
            <w:r w:rsidRPr="000D37C4">
              <w:rPr>
                <w:b/>
                <w:bCs/>
              </w:rPr>
              <w:t>765,177</w:t>
            </w:r>
          </w:p>
        </w:tc>
      </w:tr>
      <w:tr w:rsidR="000756EB" w:rsidRPr="000B6926" w14:paraId="3ED8E0ED" w14:textId="77777777" w:rsidTr="000B6926">
        <w:trPr>
          <w:cantSplit/>
        </w:trPr>
        <w:tc>
          <w:tcPr>
            <w:tcW w:w="3963" w:type="dxa"/>
          </w:tcPr>
          <w:p w14:paraId="6BF64CDA" w14:textId="77777777" w:rsidR="000756EB" w:rsidRPr="000B6926" w:rsidRDefault="004A4D88" w:rsidP="000B6926">
            <w:pPr>
              <w:pStyle w:val="TableHeading"/>
            </w:pPr>
            <w:r w:rsidRPr="000B6926">
              <w:t>2022</w:t>
            </w:r>
          </w:p>
        </w:tc>
        <w:tc>
          <w:tcPr>
            <w:tcW w:w="1422" w:type="dxa"/>
          </w:tcPr>
          <w:p w14:paraId="62EF35A3" w14:textId="77777777" w:rsidR="000756EB" w:rsidRPr="000B6926" w:rsidRDefault="000756EB" w:rsidP="007F7F10">
            <w:pPr>
              <w:pStyle w:val="TableHeading"/>
              <w:jc w:val="right"/>
              <w:rPr>
                <w:lang w:val="en-AU"/>
              </w:rPr>
            </w:pPr>
          </w:p>
        </w:tc>
        <w:tc>
          <w:tcPr>
            <w:tcW w:w="1652" w:type="dxa"/>
          </w:tcPr>
          <w:p w14:paraId="0DE9A488" w14:textId="77777777" w:rsidR="000756EB" w:rsidRPr="000B6926" w:rsidRDefault="000756EB" w:rsidP="007F7F10">
            <w:pPr>
              <w:pStyle w:val="TableHeading"/>
              <w:jc w:val="right"/>
              <w:rPr>
                <w:lang w:val="en-AU"/>
              </w:rPr>
            </w:pPr>
          </w:p>
        </w:tc>
        <w:tc>
          <w:tcPr>
            <w:tcW w:w="1653" w:type="dxa"/>
          </w:tcPr>
          <w:p w14:paraId="5759A19D" w14:textId="77777777" w:rsidR="000756EB" w:rsidRPr="000B6926" w:rsidRDefault="000756EB" w:rsidP="007F7F10">
            <w:pPr>
              <w:pStyle w:val="TableHeading"/>
              <w:jc w:val="right"/>
              <w:rPr>
                <w:lang w:val="en-AU"/>
              </w:rPr>
            </w:pPr>
          </w:p>
        </w:tc>
        <w:tc>
          <w:tcPr>
            <w:tcW w:w="1653" w:type="dxa"/>
          </w:tcPr>
          <w:p w14:paraId="2499E452" w14:textId="77777777" w:rsidR="000756EB" w:rsidRPr="000B6926" w:rsidRDefault="000756EB" w:rsidP="007F7F10">
            <w:pPr>
              <w:pStyle w:val="TableHeading"/>
              <w:jc w:val="right"/>
              <w:rPr>
                <w:lang w:val="en-AU"/>
              </w:rPr>
            </w:pPr>
          </w:p>
        </w:tc>
      </w:tr>
      <w:tr w:rsidR="000756EB" w:rsidRPr="000B6926" w14:paraId="5D4B982B" w14:textId="77777777" w:rsidTr="000B6926">
        <w:trPr>
          <w:cantSplit/>
        </w:trPr>
        <w:tc>
          <w:tcPr>
            <w:tcW w:w="3963" w:type="dxa"/>
          </w:tcPr>
          <w:p w14:paraId="2139B459" w14:textId="458604DB" w:rsidR="000756EB" w:rsidRPr="000B6926" w:rsidRDefault="004A4D88" w:rsidP="000B6926">
            <w:pPr>
              <w:pStyle w:val="TableHeading"/>
            </w:pPr>
            <w:r w:rsidRPr="000B6926">
              <w:t>Land</w:t>
            </w:r>
            <w:r w:rsidR="00A03629" w:rsidRPr="000B6926">
              <w:t xml:space="preserve"> </w:t>
            </w:r>
            <w:r w:rsidRPr="000B6926">
              <w:t>at</w:t>
            </w:r>
            <w:r w:rsidR="00A03629" w:rsidRPr="000B6926">
              <w:t xml:space="preserve"> </w:t>
            </w:r>
            <w:r w:rsidRPr="000B6926">
              <w:t>fair</w:t>
            </w:r>
            <w:r w:rsidR="00A03629" w:rsidRPr="000B6926">
              <w:t xml:space="preserve"> </w:t>
            </w:r>
            <w:r w:rsidRPr="000B6926">
              <w:t>value</w:t>
            </w:r>
          </w:p>
        </w:tc>
        <w:tc>
          <w:tcPr>
            <w:tcW w:w="1422" w:type="dxa"/>
          </w:tcPr>
          <w:p w14:paraId="3DC8826A" w14:textId="77777777" w:rsidR="000756EB" w:rsidRPr="000B6926" w:rsidRDefault="000756EB" w:rsidP="007F7F10">
            <w:pPr>
              <w:pStyle w:val="TableHeading"/>
              <w:jc w:val="right"/>
              <w:rPr>
                <w:lang w:val="en-AU"/>
              </w:rPr>
            </w:pPr>
          </w:p>
        </w:tc>
        <w:tc>
          <w:tcPr>
            <w:tcW w:w="1652" w:type="dxa"/>
          </w:tcPr>
          <w:p w14:paraId="503FEC4E" w14:textId="77777777" w:rsidR="000756EB" w:rsidRPr="000B6926" w:rsidRDefault="000756EB" w:rsidP="007F7F10">
            <w:pPr>
              <w:pStyle w:val="TableHeading"/>
              <w:jc w:val="right"/>
              <w:rPr>
                <w:lang w:val="en-AU"/>
              </w:rPr>
            </w:pPr>
          </w:p>
        </w:tc>
        <w:tc>
          <w:tcPr>
            <w:tcW w:w="1653" w:type="dxa"/>
          </w:tcPr>
          <w:p w14:paraId="3F595755" w14:textId="77777777" w:rsidR="000756EB" w:rsidRPr="000B6926" w:rsidRDefault="000756EB" w:rsidP="007F7F10">
            <w:pPr>
              <w:pStyle w:val="TableHeading"/>
              <w:jc w:val="right"/>
              <w:rPr>
                <w:lang w:val="en-AU"/>
              </w:rPr>
            </w:pPr>
          </w:p>
        </w:tc>
        <w:tc>
          <w:tcPr>
            <w:tcW w:w="1653" w:type="dxa"/>
          </w:tcPr>
          <w:p w14:paraId="61784067" w14:textId="77777777" w:rsidR="000756EB" w:rsidRPr="000B6926" w:rsidRDefault="000756EB" w:rsidP="007F7F10">
            <w:pPr>
              <w:pStyle w:val="TableHeading"/>
              <w:jc w:val="right"/>
              <w:rPr>
                <w:lang w:val="en-AU"/>
              </w:rPr>
            </w:pPr>
          </w:p>
        </w:tc>
      </w:tr>
      <w:tr w:rsidR="000756EB" w14:paraId="3C2A2E2B" w14:textId="77777777" w:rsidTr="000B6926">
        <w:trPr>
          <w:cantSplit/>
        </w:trPr>
        <w:tc>
          <w:tcPr>
            <w:tcW w:w="3963" w:type="dxa"/>
          </w:tcPr>
          <w:p w14:paraId="381980EA" w14:textId="481F5CC0" w:rsidR="000756EB" w:rsidRDefault="004A4D88" w:rsidP="000B6926">
            <w:pPr>
              <w:pStyle w:val="TableCopy"/>
            </w:pPr>
            <w:r>
              <w:t>Non-specialised</w:t>
            </w:r>
            <w:r w:rsidR="00A03629">
              <w:t xml:space="preserve"> </w:t>
            </w:r>
            <w:r>
              <w:t>land</w:t>
            </w:r>
          </w:p>
        </w:tc>
        <w:tc>
          <w:tcPr>
            <w:tcW w:w="1422" w:type="dxa"/>
          </w:tcPr>
          <w:p w14:paraId="45735BF0" w14:textId="0932A6A9" w:rsidR="000756EB" w:rsidRDefault="004A4D88" w:rsidP="007F7F10">
            <w:pPr>
              <w:pStyle w:val="TableCopy"/>
              <w:jc w:val="right"/>
            </w:pPr>
            <w:r>
              <w:t>516,943</w:t>
            </w:r>
          </w:p>
        </w:tc>
        <w:tc>
          <w:tcPr>
            <w:tcW w:w="1652" w:type="dxa"/>
          </w:tcPr>
          <w:p w14:paraId="759AD23D" w14:textId="123AD773" w:rsidR="000756EB" w:rsidRDefault="004A4D88" w:rsidP="007F7F10">
            <w:pPr>
              <w:pStyle w:val="TableCopy"/>
              <w:jc w:val="right"/>
            </w:pPr>
            <w:r>
              <w:t>–</w:t>
            </w:r>
          </w:p>
        </w:tc>
        <w:tc>
          <w:tcPr>
            <w:tcW w:w="1653" w:type="dxa"/>
          </w:tcPr>
          <w:p w14:paraId="4F805603" w14:textId="7668065B" w:rsidR="000756EB" w:rsidRDefault="004A4D88" w:rsidP="007F7F10">
            <w:pPr>
              <w:pStyle w:val="TableCopy"/>
              <w:jc w:val="right"/>
            </w:pPr>
            <w:r>
              <w:t>516,943</w:t>
            </w:r>
          </w:p>
        </w:tc>
        <w:tc>
          <w:tcPr>
            <w:tcW w:w="1653" w:type="dxa"/>
          </w:tcPr>
          <w:p w14:paraId="097081A4" w14:textId="224814BF" w:rsidR="000756EB" w:rsidRDefault="004A4D88" w:rsidP="007F7F10">
            <w:pPr>
              <w:pStyle w:val="TableCopy"/>
              <w:jc w:val="right"/>
            </w:pPr>
            <w:r>
              <w:t>–</w:t>
            </w:r>
          </w:p>
        </w:tc>
      </w:tr>
      <w:tr w:rsidR="000756EB" w14:paraId="17E55EC8" w14:textId="77777777" w:rsidTr="000B6926">
        <w:trPr>
          <w:cantSplit/>
        </w:trPr>
        <w:tc>
          <w:tcPr>
            <w:tcW w:w="3963" w:type="dxa"/>
          </w:tcPr>
          <w:p w14:paraId="393A0D4D" w14:textId="78232BB9" w:rsidR="000756EB" w:rsidRDefault="004A4D88" w:rsidP="000B6926">
            <w:pPr>
              <w:pStyle w:val="TableCopy"/>
            </w:pPr>
            <w:r>
              <w:t>Specialised</w:t>
            </w:r>
            <w:r w:rsidR="00A03629">
              <w:t xml:space="preserve"> </w:t>
            </w:r>
            <w:r>
              <w:t>land</w:t>
            </w:r>
          </w:p>
        </w:tc>
        <w:tc>
          <w:tcPr>
            <w:tcW w:w="1422" w:type="dxa"/>
          </w:tcPr>
          <w:p w14:paraId="031D091C" w14:textId="4250AC11" w:rsidR="000756EB" w:rsidRDefault="004A4D88" w:rsidP="007F7F10">
            <w:pPr>
              <w:pStyle w:val="TableCopy"/>
              <w:jc w:val="right"/>
            </w:pPr>
            <w:r>
              <w:t>492,597</w:t>
            </w:r>
          </w:p>
        </w:tc>
        <w:tc>
          <w:tcPr>
            <w:tcW w:w="1652" w:type="dxa"/>
          </w:tcPr>
          <w:p w14:paraId="0BF32B40" w14:textId="2E363874" w:rsidR="000756EB" w:rsidRDefault="004A4D88" w:rsidP="007F7F10">
            <w:pPr>
              <w:pStyle w:val="TableCopy"/>
              <w:jc w:val="right"/>
            </w:pPr>
            <w:r>
              <w:t>–</w:t>
            </w:r>
          </w:p>
        </w:tc>
        <w:tc>
          <w:tcPr>
            <w:tcW w:w="1653" w:type="dxa"/>
          </w:tcPr>
          <w:p w14:paraId="0ACEF2F3" w14:textId="06C0798E" w:rsidR="000756EB" w:rsidRDefault="004A4D88" w:rsidP="007F7F10">
            <w:pPr>
              <w:pStyle w:val="TableCopy"/>
              <w:jc w:val="right"/>
            </w:pPr>
            <w:r>
              <w:t>–</w:t>
            </w:r>
          </w:p>
        </w:tc>
        <w:tc>
          <w:tcPr>
            <w:tcW w:w="1653" w:type="dxa"/>
          </w:tcPr>
          <w:p w14:paraId="404AFD54" w14:textId="2103E247" w:rsidR="000756EB" w:rsidRDefault="004A4D88" w:rsidP="007F7F10">
            <w:pPr>
              <w:pStyle w:val="TableCopy"/>
              <w:jc w:val="right"/>
            </w:pPr>
            <w:r>
              <w:t>492,597</w:t>
            </w:r>
          </w:p>
        </w:tc>
      </w:tr>
      <w:tr w:rsidR="000756EB" w:rsidRPr="000B6926" w14:paraId="7F244DAC" w14:textId="77777777" w:rsidTr="000B6926">
        <w:trPr>
          <w:cantSplit/>
        </w:trPr>
        <w:tc>
          <w:tcPr>
            <w:tcW w:w="3963" w:type="dxa"/>
          </w:tcPr>
          <w:p w14:paraId="5571D461" w14:textId="113F0FA1" w:rsidR="000756EB" w:rsidRPr="000B6926" w:rsidRDefault="004A4D88" w:rsidP="000B6926">
            <w:pPr>
              <w:pStyle w:val="TableCopy"/>
              <w:rPr>
                <w:b/>
                <w:bCs/>
              </w:rPr>
            </w:pPr>
            <w:r w:rsidRPr="000B6926">
              <w:rPr>
                <w:b/>
                <w:bCs/>
              </w:rPr>
              <w:t>Total</w:t>
            </w:r>
            <w:r w:rsidR="00A03629" w:rsidRPr="000B6926">
              <w:rPr>
                <w:b/>
                <w:bCs/>
              </w:rPr>
              <w:t xml:space="preserve"> </w:t>
            </w:r>
            <w:r w:rsidRPr="000B6926">
              <w:rPr>
                <w:b/>
                <w:bCs/>
              </w:rPr>
              <w:t>of</w:t>
            </w:r>
            <w:r w:rsidR="00A03629" w:rsidRPr="000B6926">
              <w:rPr>
                <w:b/>
                <w:bCs/>
              </w:rPr>
              <w:t xml:space="preserve"> </w:t>
            </w:r>
            <w:r w:rsidRPr="000B6926">
              <w:rPr>
                <w:b/>
                <w:bCs/>
              </w:rPr>
              <w:t>land</w:t>
            </w:r>
            <w:r w:rsidR="00A03629" w:rsidRPr="000B6926">
              <w:rPr>
                <w:b/>
                <w:bCs/>
              </w:rPr>
              <w:t xml:space="preserve"> </w:t>
            </w:r>
            <w:r w:rsidRPr="000B6926">
              <w:rPr>
                <w:b/>
                <w:bCs/>
              </w:rPr>
              <w:t>at</w:t>
            </w:r>
            <w:r w:rsidR="00A03629" w:rsidRPr="000B6926">
              <w:rPr>
                <w:b/>
                <w:bCs/>
              </w:rPr>
              <w:t xml:space="preserve"> </w:t>
            </w:r>
            <w:r w:rsidRPr="000B6926">
              <w:rPr>
                <w:b/>
                <w:bCs/>
              </w:rPr>
              <w:t>fair</w:t>
            </w:r>
            <w:r w:rsidR="00A03629" w:rsidRPr="000B6926">
              <w:rPr>
                <w:b/>
                <w:bCs/>
              </w:rPr>
              <w:t xml:space="preserve"> </w:t>
            </w:r>
            <w:r w:rsidRPr="000B6926">
              <w:rPr>
                <w:b/>
                <w:bCs/>
              </w:rPr>
              <w:t>value</w:t>
            </w:r>
          </w:p>
        </w:tc>
        <w:tc>
          <w:tcPr>
            <w:tcW w:w="1422" w:type="dxa"/>
          </w:tcPr>
          <w:p w14:paraId="0AED7026" w14:textId="2D0C7F48" w:rsidR="000756EB" w:rsidRPr="000B6926" w:rsidRDefault="004A4D88" w:rsidP="007F7F10">
            <w:pPr>
              <w:pStyle w:val="TableCopy"/>
              <w:jc w:val="right"/>
              <w:rPr>
                <w:b/>
                <w:bCs/>
              </w:rPr>
            </w:pPr>
            <w:r w:rsidRPr="000B6926">
              <w:rPr>
                <w:b/>
                <w:bCs/>
              </w:rPr>
              <w:t>1,009,540</w:t>
            </w:r>
          </w:p>
        </w:tc>
        <w:tc>
          <w:tcPr>
            <w:tcW w:w="1652" w:type="dxa"/>
          </w:tcPr>
          <w:p w14:paraId="51F40C4A" w14:textId="4D23C69A" w:rsidR="000756EB" w:rsidRPr="000B6926" w:rsidRDefault="004A4D88" w:rsidP="007F7F10">
            <w:pPr>
              <w:pStyle w:val="TableCopy"/>
              <w:jc w:val="right"/>
              <w:rPr>
                <w:b/>
                <w:bCs/>
              </w:rPr>
            </w:pPr>
            <w:r w:rsidRPr="000B6926">
              <w:rPr>
                <w:b/>
                <w:bCs/>
              </w:rPr>
              <w:t>–</w:t>
            </w:r>
          </w:p>
        </w:tc>
        <w:tc>
          <w:tcPr>
            <w:tcW w:w="1653" w:type="dxa"/>
          </w:tcPr>
          <w:p w14:paraId="1A884C5A" w14:textId="7086EFDD" w:rsidR="000756EB" w:rsidRPr="000B6926" w:rsidRDefault="004A4D88" w:rsidP="007F7F10">
            <w:pPr>
              <w:pStyle w:val="TableCopy"/>
              <w:jc w:val="right"/>
              <w:rPr>
                <w:b/>
                <w:bCs/>
              </w:rPr>
            </w:pPr>
            <w:r w:rsidRPr="000B6926">
              <w:rPr>
                <w:b/>
                <w:bCs/>
              </w:rPr>
              <w:t>516,943</w:t>
            </w:r>
          </w:p>
        </w:tc>
        <w:tc>
          <w:tcPr>
            <w:tcW w:w="1653" w:type="dxa"/>
          </w:tcPr>
          <w:p w14:paraId="79E5C786" w14:textId="03ACDD09" w:rsidR="000756EB" w:rsidRPr="000B6926" w:rsidRDefault="004A4D88" w:rsidP="007F7F10">
            <w:pPr>
              <w:pStyle w:val="TableCopy"/>
              <w:jc w:val="right"/>
              <w:rPr>
                <w:b/>
                <w:bCs/>
              </w:rPr>
            </w:pPr>
            <w:r w:rsidRPr="000B6926">
              <w:rPr>
                <w:b/>
                <w:bCs/>
              </w:rPr>
              <w:t>492,597</w:t>
            </w:r>
          </w:p>
        </w:tc>
      </w:tr>
      <w:tr w:rsidR="000756EB" w:rsidRPr="000B6926" w14:paraId="3EA07727" w14:textId="77777777" w:rsidTr="000B6926">
        <w:trPr>
          <w:cantSplit/>
        </w:trPr>
        <w:tc>
          <w:tcPr>
            <w:tcW w:w="3963" w:type="dxa"/>
          </w:tcPr>
          <w:p w14:paraId="2EC4B233" w14:textId="5B68D400" w:rsidR="000756EB" w:rsidRPr="000B6926" w:rsidRDefault="004A4D88" w:rsidP="000B6926">
            <w:pPr>
              <w:pStyle w:val="TableHeading"/>
            </w:pPr>
            <w:r w:rsidRPr="000B6926">
              <w:t>Buildings</w:t>
            </w:r>
            <w:r w:rsidR="00A03629" w:rsidRPr="000B6926">
              <w:t xml:space="preserve"> </w:t>
            </w:r>
            <w:r w:rsidRPr="000B6926">
              <w:t>at</w:t>
            </w:r>
            <w:r w:rsidR="00A03629" w:rsidRPr="000B6926">
              <w:t xml:space="preserve"> </w:t>
            </w:r>
            <w:r w:rsidRPr="000B6926">
              <w:t>fair</w:t>
            </w:r>
            <w:r w:rsidR="00A03629" w:rsidRPr="000B6926">
              <w:t xml:space="preserve"> </w:t>
            </w:r>
            <w:r w:rsidRPr="000B6926">
              <w:t>value</w:t>
            </w:r>
          </w:p>
        </w:tc>
        <w:tc>
          <w:tcPr>
            <w:tcW w:w="1422" w:type="dxa"/>
          </w:tcPr>
          <w:p w14:paraId="4AF52BF6" w14:textId="77777777" w:rsidR="000756EB" w:rsidRPr="000B6926" w:rsidRDefault="000756EB" w:rsidP="007F7F10">
            <w:pPr>
              <w:pStyle w:val="TableHeading"/>
              <w:jc w:val="right"/>
              <w:rPr>
                <w:lang w:val="en-AU"/>
              </w:rPr>
            </w:pPr>
          </w:p>
        </w:tc>
        <w:tc>
          <w:tcPr>
            <w:tcW w:w="1652" w:type="dxa"/>
          </w:tcPr>
          <w:p w14:paraId="3AA4699D" w14:textId="77777777" w:rsidR="000756EB" w:rsidRPr="000B6926" w:rsidRDefault="000756EB" w:rsidP="007F7F10">
            <w:pPr>
              <w:pStyle w:val="TableHeading"/>
              <w:jc w:val="right"/>
              <w:rPr>
                <w:lang w:val="en-AU"/>
              </w:rPr>
            </w:pPr>
          </w:p>
        </w:tc>
        <w:tc>
          <w:tcPr>
            <w:tcW w:w="1653" w:type="dxa"/>
          </w:tcPr>
          <w:p w14:paraId="50747F6E" w14:textId="77777777" w:rsidR="000756EB" w:rsidRPr="000B6926" w:rsidRDefault="000756EB" w:rsidP="007F7F10">
            <w:pPr>
              <w:pStyle w:val="TableHeading"/>
              <w:jc w:val="right"/>
              <w:rPr>
                <w:lang w:val="en-AU"/>
              </w:rPr>
            </w:pPr>
          </w:p>
        </w:tc>
        <w:tc>
          <w:tcPr>
            <w:tcW w:w="1653" w:type="dxa"/>
          </w:tcPr>
          <w:p w14:paraId="20497F2C" w14:textId="77777777" w:rsidR="000756EB" w:rsidRPr="000B6926" w:rsidRDefault="000756EB" w:rsidP="007F7F10">
            <w:pPr>
              <w:pStyle w:val="TableHeading"/>
              <w:jc w:val="right"/>
              <w:rPr>
                <w:lang w:val="en-AU"/>
              </w:rPr>
            </w:pPr>
          </w:p>
        </w:tc>
      </w:tr>
      <w:tr w:rsidR="000756EB" w14:paraId="53F5A38E" w14:textId="77777777" w:rsidTr="000B6926">
        <w:trPr>
          <w:cantSplit/>
        </w:trPr>
        <w:tc>
          <w:tcPr>
            <w:tcW w:w="3963" w:type="dxa"/>
          </w:tcPr>
          <w:p w14:paraId="2D07E78A" w14:textId="3066EA2C" w:rsidR="000756EB" w:rsidRDefault="004A4D88" w:rsidP="000B6926">
            <w:pPr>
              <w:pStyle w:val="TableCopy"/>
            </w:pPr>
            <w:r>
              <w:t>Non-specialised</w:t>
            </w:r>
            <w:r w:rsidR="00A03629">
              <w:t xml:space="preserve"> </w:t>
            </w:r>
            <w:r>
              <w:t>buildings</w:t>
            </w:r>
          </w:p>
        </w:tc>
        <w:tc>
          <w:tcPr>
            <w:tcW w:w="1422" w:type="dxa"/>
          </w:tcPr>
          <w:p w14:paraId="234A60D7" w14:textId="19A85D8A" w:rsidR="000756EB" w:rsidRDefault="004A4D88" w:rsidP="007F7F10">
            <w:pPr>
              <w:pStyle w:val="TableCopy"/>
              <w:jc w:val="right"/>
            </w:pPr>
            <w:r>
              <w:t>18,733</w:t>
            </w:r>
          </w:p>
        </w:tc>
        <w:tc>
          <w:tcPr>
            <w:tcW w:w="1652" w:type="dxa"/>
          </w:tcPr>
          <w:p w14:paraId="7771EB6C" w14:textId="4369E778" w:rsidR="000756EB" w:rsidRDefault="004A4D88" w:rsidP="007F7F10">
            <w:pPr>
              <w:pStyle w:val="TableCopy"/>
              <w:jc w:val="right"/>
            </w:pPr>
            <w:r>
              <w:t>–</w:t>
            </w:r>
          </w:p>
        </w:tc>
        <w:tc>
          <w:tcPr>
            <w:tcW w:w="1653" w:type="dxa"/>
          </w:tcPr>
          <w:p w14:paraId="68618DD6" w14:textId="7DFC86E0" w:rsidR="000756EB" w:rsidRDefault="004A4D88" w:rsidP="007F7F10">
            <w:pPr>
              <w:pStyle w:val="TableCopy"/>
              <w:jc w:val="right"/>
            </w:pPr>
            <w:r>
              <w:t>–</w:t>
            </w:r>
          </w:p>
        </w:tc>
        <w:tc>
          <w:tcPr>
            <w:tcW w:w="1653" w:type="dxa"/>
          </w:tcPr>
          <w:p w14:paraId="018B3179" w14:textId="5BCF32FD" w:rsidR="000756EB" w:rsidRDefault="004A4D88" w:rsidP="007F7F10">
            <w:pPr>
              <w:pStyle w:val="TableCopy"/>
              <w:jc w:val="right"/>
            </w:pPr>
            <w:r>
              <w:t>18,733</w:t>
            </w:r>
          </w:p>
        </w:tc>
      </w:tr>
      <w:tr w:rsidR="000756EB" w14:paraId="76CD0EDB" w14:textId="77777777" w:rsidTr="000B6926">
        <w:trPr>
          <w:cantSplit/>
        </w:trPr>
        <w:tc>
          <w:tcPr>
            <w:tcW w:w="3963" w:type="dxa"/>
          </w:tcPr>
          <w:p w14:paraId="11906C0F" w14:textId="368768C0" w:rsidR="000756EB" w:rsidRDefault="004A4D88" w:rsidP="000B6926">
            <w:pPr>
              <w:pStyle w:val="TableCopy"/>
            </w:pPr>
            <w:r>
              <w:t>Specialised</w:t>
            </w:r>
            <w:r w:rsidR="00A03629">
              <w:t xml:space="preserve"> </w:t>
            </w:r>
            <w:r>
              <w:t>buildings</w:t>
            </w:r>
          </w:p>
        </w:tc>
        <w:tc>
          <w:tcPr>
            <w:tcW w:w="1422" w:type="dxa"/>
          </w:tcPr>
          <w:p w14:paraId="6C8E48D9" w14:textId="36E3F83D" w:rsidR="000756EB" w:rsidRDefault="004A4D88" w:rsidP="007F7F10">
            <w:pPr>
              <w:pStyle w:val="TableCopy"/>
              <w:jc w:val="right"/>
            </w:pPr>
            <w:r>
              <w:t>469,618</w:t>
            </w:r>
          </w:p>
        </w:tc>
        <w:tc>
          <w:tcPr>
            <w:tcW w:w="1652" w:type="dxa"/>
          </w:tcPr>
          <w:p w14:paraId="298D9F06" w14:textId="2612E152" w:rsidR="000756EB" w:rsidRDefault="004A4D88" w:rsidP="007F7F10">
            <w:pPr>
              <w:pStyle w:val="TableCopy"/>
              <w:jc w:val="right"/>
            </w:pPr>
            <w:r>
              <w:t>–</w:t>
            </w:r>
          </w:p>
        </w:tc>
        <w:tc>
          <w:tcPr>
            <w:tcW w:w="1653" w:type="dxa"/>
          </w:tcPr>
          <w:p w14:paraId="391A7C20" w14:textId="5D07701B" w:rsidR="000756EB" w:rsidRDefault="004A4D88" w:rsidP="007F7F10">
            <w:pPr>
              <w:pStyle w:val="TableCopy"/>
              <w:jc w:val="right"/>
            </w:pPr>
            <w:r>
              <w:t>–</w:t>
            </w:r>
          </w:p>
        </w:tc>
        <w:tc>
          <w:tcPr>
            <w:tcW w:w="1653" w:type="dxa"/>
          </w:tcPr>
          <w:p w14:paraId="4818B463" w14:textId="0164A6A9" w:rsidR="000756EB" w:rsidRDefault="004A4D88" w:rsidP="007F7F10">
            <w:pPr>
              <w:pStyle w:val="TableCopy"/>
              <w:jc w:val="right"/>
            </w:pPr>
            <w:r>
              <w:t>469,618</w:t>
            </w:r>
          </w:p>
        </w:tc>
      </w:tr>
      <w:tr w:rsidR="000756EB" w:rsidRPr="000B6926" w14:paraId="1C9DD8AC" w14:textId="77777777" w:rsidTr="000B6926">
        <w:trPr>
          <w:cantSplit/>
        </w:trPr>
        <w:tc>
          <w:tcPr>
            <w:tcW w:w="3963" w:type="dxa"/>
          </w:tcPr>
          <w:p w14:paraId="33BFE00B" w14:textId="2D1ECAAF" w:rsidR="000756EB" w:rsidRPr="000B6926" w:rsidRDefault="004A4D88" w:rsidP="000B6926">
            <w:pPr>
              <w:pStyle w:val="TableCopy"/>
              <w:rPr>
                <w:b/>
                <w:bCs/>
              </w:rPr>
            </w:pPr>
            <w:r w:rsidRPr="000B6926">
              <w:rPr>
                <w:b/>
                <w:bCs/>
              </w:rPr>
              <w:t>Total</w:t>
            </w:r>
            <w:r w:rsidR="00A03629" w:rsidRPr="000B6926">
              <w:rPr>
                <w:b/>
                <w:bCs/>
              </w:rPr>
              <w:t xml:space="preserve"> </w:t>
            </w:r>
            <w:r w:rsidRPr="000B6926">
              <w:rPr>
                <w:b/>
                <w:bCs/>
              </w:rPr>
              <w:t>of</w:t>
            </w:r>
            <w:r w:rsidR="00A03629" w:rsidRPr="000B6926">
              <w:rPr>
                <w:b/>
                <w:bCs/>
              </w:rPr>
              <w:t xml:space="preserve"> </w:t>
            </w:r>
            <w:r w:rsidRPr="000B6926">
              <w:rPr>
                <w:b/>
                <w:bCs/>
              </w:rPr>
              <w:t>buildings</w:t>
            </w:r>
            <w:r w:rsidR="00A03629" w:rsidRPr="000B6926">
              <w:rPr>
                <w:b/>
                <w:bCs/>
              </w:rPr>
              <w:t xml:space="preserve"> </w:t>
            </w:r>
            <w:r w:rsidRPr="000B6926">
              <w:rPr>
                <w:b/>
                <w:bCs/>
              </w:rPr>
              <w:t>at</w:t>
            </w:r>
            <w:r w:rsidR="00A03629" w:rsidRPr="000B6926">
              <w:rPr>
                <w:b/>
                <w:bCs/>
              </w:rPr>
              <w:t xml:space="preserve"> </w:t>
            </w:r>
            <w:r w:rsidRPr="000B6926">
              <w:rPr>
                <w:b/>
                <w:bCs/>
              </w:rPr>
              <w:t>fair</w:t>
            </w:r>
            <w:r w:rsidR="00A03629" w:rsidRPr="000B6926">
              <w:rPr>
                <w:b/>
                <w:bCs/>
              </w:rPr>
              <w:t xml:space="preserve"> </w:t>
            </w:r>
            <w:r w:rsidRPr="000B6926">
              <w:rPr>
                <w:b/>
                <w:bCs/>
              </w:rPr>
              <w:t>value</w:t>
            </w:r>
          </w:p>
        </w:tc>
        <w:tc>
          <w:tcPr>
            <w:tcW w:w="1422" w:type="dxa"/>
          </w:tcPr>
          <w:p w14:paraId="6302E2D5" w14:textId="0D5A559F" w:rsidR="000756EB" w:rsidRPr="000B6926" w:rsidRDefault="004A4D88" w:rsidP="007F7F10">
            <w:pPr>
              <w:pStyle w:val="TableCopy"/>
              <w:jc w:val="right"/>
              <w:rPr>
                <w:b/>
                <w:bCs/>
              </w:rPr>
            </w:pPr>
            <w:r w:rsidRPr="000B6926">
              <w:rPr>
                <w:b/>
                <w:bCs/>
              </w:rPr>
              <w:t>488,351</w:t>
            </w:r>
          </w:p>
        </w:tc>
        <w:tc>
          <w:tcPr>
            <w:tcW w:w="1652" w:type="dxa"/>
          </w:tcPr>
          <w:p w14:paraId="00C4E13F" w14:textId="7E8B015E" w:rsidR="000756EB" w:rsidRPr="000B6926" w:rsidRDefault="004A4D88" w:rsidP="007F7F10">
            <w:pPr>
              <w:pStyle w:val="TableCopy"/>
              <w:jc w:val="right"/>
              <w:rPr>
                <w:b/>
                <w:bCs/>
              </w:rPr>
            </w:pPr>
            <w:r w:rsidRPr="000B6926">
              <w:rPr>
                <w:b/>
                <w:bCs/>
              </w:rPr>
              <w:t>–</w:t>
            </w:r>
          </w:p>
        </w:tc>
        <w:tc>
          <w:tcPr>
            <w:tcW w:w="1653" w:type="dxa"/>
          </w:tcPr>
          <w:p w14:paraId="1C01D587" w14:textId="341BA9C0" w:rsidR="000756EB" w:rsidRPr="000B6926" w:rsidRDefault="004A4D88" w:rsidP="007F7F10">
            <w:pPr>
              <w:pStyle w:val="TableCopy"/>
              <w:jc w:val="right"/>
              <w:rPr>
                <w:b/>
                <w:bCs/>
              </w:rPr>
            </w:pPr>
            <w:r w:rsidRPr="000B6926">
              <w:rPr>
                <w:b/>
                <w:bCs/>
              </w:rPr>
              <w:t>–</w:t>
            </w:r>
          </w:p>
        </w:tc>
        <w:tc>
          <w:tcPr>
            <w:tcW w:w="1653" w:type="dxa"/>
          </w:tcPr>
          <w:p w14:paraId="0D6952E5" w14:textId="244BF455" w:rsidR="000756EB" w:rsidRPr="000B6926" w:rsidRDefault="004A4D88" w:rsidP="007F7F10">
            <w:pPr>
              <w:pStyle w:val="TableCopy"/>
              <w:jc w:val="right"/>
              <w:rPr>
                <w:b/>
                <w:bCs/>
              </w:rPr>
            </w:pPr>
            <w:r w:rsidRPr="000B6926">
              <w:rPr>
                <w:b/>
                <w:bCs/>
              </w:rPr>
              <w:t>488,351</w:t>
            </w:r>
          </w:p>
        </w:tc>
      </w:tr>
      <w:tr w:rsidR="000756EB" w:rsidRPr="000B6926" w14:paraId="4642EADF" w14:textId="77777777" w:rsidTr="000B6926">
        <w:trPr>
          <w:cantSplit/>
        </w:trPr>
        <w:tc>
          <w:tcPr>
            <w:tcW w:w="3963" w:type="dxa"/>
          </w:tcPr>
          <w:p w14:paraId="6E8E0687" w14:textId="27043C5D" w:rsidR="000756EB" w:rsidRPr="000B6926" w:rsidRDefault="004A4D88" w:rsidP="000B6926">
            <w:pPr>
              <w:pStyle w:val="TableHeading"/>
            </w:pPr>
            <w:r w:rsidRPr="000B6926">
              <w:t>Plant</w:t>
            </w:r>
            <w:r w:rsidR="00A03629" w:rsidRPr="000B6926">
              <w:t xml:space="preserve"> </w:t>
            </w:r>
            <w:r w:rsidRPr="000B6926">
              <w:t>and</w:t>
            </w:r>
            <w:r w:rsidR="00A03629" w:rsidRPr="000B6926">
              <w:t xml:space="preserve"> </w:t>
            </w:r>
            <w:r w:rsidRPr="000B6926">
              <w:t>equipment</w:t>
            </w:r>
            <w:r w:rsidR="00A03629" w:rsidRPr="000B6926">
              <w:t xml:space="preserve"> </w:t>
            </w:r>
            <w:r w:rsidRPr="000B6926">
              <w:t>at</w:t>
            </w:r>
            <w:r w:rsidR="00A03629" w:rsidRPr="000B6926">
              <w:t xml:space="preserve"> </w:t>
            </w:r>
            <w:r w:rsidRPr="000B6926">
              <w:t>fair</w:t>
            </w:r>
            <w:r w:rsidR="00A03629" w:rsidRPr="000B6926">
              <w:t xml:space="preserve"> </w:t>
            </w:r>
            <w:r w:rsidRPr="000B6926">
              <w:t>value</w:t>
            </w:r>
          </w:p>
        </w:tc>
        <w:tc>
          <w:tcPr>
            <w:tcW w:w="1422" w:type="dxa"/>
          </w:tcPr>
          <w:p w14:paraId="599D488A" w14:textId="77777777" w:rsidR="000756EB" w:rsidRPr="000B6926" w:rsidRDefault="000756EB" w:rsidP="007F7F10">
            <w:pPr>
              <w:pStyle w:val="TableHeading"/>
              <w:jc w:val="right"/>
              <w:rPr>
                <w:lang w:val="en-AU"/>
              </w:rPr>
            </w:pPr>
          </w:p>
        </w:tc>
        <w:tc>
          <w:tcPr>
            <w:tcW w:w="1652" w:type="dxa"/>
          </w:tcPr>
          <w:p w14:paraId="01F4B020" w14:textId="77777777" w:rsidR="000756EB" w:rsidRPr="000B6926" w:rsidRDefault="000756EB" w:rsidP="007F7F10">
            <w:pPr>
              <w:pStyle w:val="TableHeading"/>
              <w:jc w:val="right"/>
              <w:rPr>
                <w:lang w:val="en-AU"/>
              </w:rPr>
            </w:pPr>
          </w:p>
        </w:tc>
        <w:tc>
          <w:tcPr>
            <w:tcW w:w="1653" w:type="dxa"/>
          </w:tcPr>
          <w:p w14:paraId="231574DF" w14:textId="77777777" w:rsidR="000756EB" w:rsidRPr="000B6926" w:rsidRDefault="000756EB" w:rsidP="007F7F10">
            <w:pPr>
              <w:pStyle w:val="TableHeading"/>
              <w:jc w:val="right"/>
              <w:rPr>
                <w:lang w:val="en-AU"/>
              </w:rPr>
            </w:pPr>
          </w:p>
        </w:tc>
        <w:tc>
          <w:tcPr>
            <w:tcW w:w="1653" w:type="dxa"/>
          </w:tcPr>
          <w:p w14:paraId="0931602A" w14:textId="77777777" w:rsidR="000756EB" w:rsidRPr="000B6926" w:rsidRDefault="000756EB" w:rsidP="007F7F10">
            <w:pPr>
              <w:pStyle w:val="TableHeading"/>
              <w:jc w:val="right"/>
              <w:rPr>
                <w:lang w:val="en-AU"/>
              </w:rPr>
            </w:pPr>
          </w:p>
        </w:tc>
      </w:tr>
      <w:tr w:rsidR="000756EB" w:rsidRPr="000B6926" w14:paraId="49DEADA8" w14:textId="77777777" w:rsidTr="000B6926">
        <w:trPr>
          <w:cantSplit/>
        </w:trPr>
        <w:tc>
          <w:tcPr>
            <w:tcW w:w="3963" w:type="dxa"/>
          </w:tcPr>
          <w:p w14:paraId="10394F05" w14:textId="6FDCE044" w:rsidR="000756EB" w:rsidRPr="000B6926" w:rsidRDefault="004A4D88" w:rsidP="000B6926">
            <w:pPr>
              <w:pStyle w:val="TableCopy"/>
            </w:pPr>
            <w:r w:rsidRPr="000B6926">
              <w:t>Vehicles</w:t>
            </w:r>
            <w:r w:rsidR="00A03629" w:rsidRPr="000B6926">
              <w:t xml:space="preserve"> </w:t>
            </w:r>
            <w:r w:rsidRPr="00614829">
              <w:rPr>
                <w:rStyle w:val="FootnotereferencessuperscriptMisc"/>
              </w:rPr>
              <w:t>(ii)</w:t>
            </w:r>
          </w:p>
        </w:tc>
        <w:tc>
          <w:tcPr>
            <w:tcW w:w="1422" w:type="dxa"/>
          </w:tcPr>
          <w:p w14:paraId="01993CC6" w14:textId="10E92298" w:rsidR="000756EB" w:rsidRPr="000B6926" w:rsidRDefault="004A4D88" w:rsidP="007F7F10">
            <w:pPr>
              <w:pStyle w:val="TableCopy"/>
              <w:jc w:val="right"/>
            </w:pPr>
            <w:r w:rsidRPr="000B6926">
              <w:t>466</w:t>
            </w:r>
          </w:p>
        </w:tc>
        <w:tc>
          <w:tcPr>
            <w:tcW w:w="1652" w:type="dxa"/>
          </w:tcPr>
          <w:p w14:paraId="6EBD361E" w14:textId="00044E8E" w:rsidR="000756EB" w:rsidRPr="000B6926" w:rsidRDefault="004A4D88" w:rsidP="007F7F10">
            <w:pPr>
              <w:pStyle w:val="TableCopy"/>
              <w:jc w:val="right"/>
            </w:pPr>
            <w:r w:rsidRPr="000B6926">
              <w:t>–</w:t>
            </w:r>
          </w:p>
        </w:tc>
        <w:tc>
          <w:tcPr>
            <w:tcW w:w="1653" w:type="dxa"/>
          </w:tcPr>
          <w:p w14:paraId="6BD213F5" w14:textId="620E621A" w:rsidR="000756EB" w:rsidRPr="000B6926" w:rsidRDefault="004A4D88" w:rsidP="007F7F10">
            <w:pPr>
              <w:pStyle w:val="TableCopy"/>
              <w:jc w:val="right"/>
            </w:pPr>
            <w:r w:rsidRPr="000B6926">
              <w:t>–</w:t>
            </w:r>
          </w:p>
        </w:tc>
        <w:tc>
          <w:tcPr>
            <w:tcW w:w="1653" w:type="dxa"/>
          </w:tcPr>
          <w:p w14:paraId="75549B82" w14:textId="5CD65756" w:rsidR="000756EB" w:rsidRPr="000B6926" w:rsidRDefault="004A4D88" w:rsidP="007F7F10">
            <w:pPr>
              <w:pStyle w:val="TableCopy"/>
              <w:jc w:val="right"/>
            </w:pPr>
            <w:r w:rsidRPr="000B6926">
              <w:t>466</w:t>
            </w:r>
          </w:p>
        </w:tc>
      </w:tr>
      <w:tr w:rsidR="000756EB" w:rsidRPr="000B6926" w14:paraId="6A12D510" w14:textId="77777777" w:rsidTr="000B6926">
        <w:trPr>
          <w:cantSplit/>
        </w:trPr>
        <w:tc>
          <w:tcPr>
            <w:tcW w:w="3963" w:type="dxa"/>
          </w:tcPr>
          <w:p w14:paraId="7EB8E15E" w14:textId="3D0B224E" w:rsidR="000756EB" w:rsidRPr="000B6926" w:rsidRDefault="004A4D88" w:rsidP="000B6926">
            <w:pPr>
              <w:pStyle w:val="TableCopy"/>
            </w:pPr>
            <w:r w:rsidRPr="000B6926">
              <w:t>Plant</w:t>
            </w:r>
            <w:r w:rsidR="00A03629" w:rsidRPr="000B6926">
              <w:t xml:space="preserve"> </w:t>
            </w:r>
            <w:r w:rsidRPr="000B6926">
              <w:t>and</w:t>
            </w:r>
            <w:r w:rsidR="00A03629" w:rsidRPr="000B6926">
              <w:t xml:space="preserve"> </w:t>
            </w:r>
            <w:r w:rsidRPr="000B6926">
              <w:t>equipment</w:t>
            </w:r>
          </w:p>
        </w:tc>
        <w:tc>
          <w:tcPr>
            <w:tcW w:w="1422" w:type="dxa"/>
          </w:tcPr>
          <w:p w14:paraId="15AABD1A" w14:textId="25E15A8E" w:rsidR="000756EB" w:rsidRPr="000B6926" w:rsidRDefault="004A4D88" w:rsidP="007F7F10">
            <w:pPr>
              <w:pStyle w:val="TableCopy"/>
              <w:jc w:val="right"/>
            </w:pPr>
            <w:r w:rsidRPr="000B6926">
              <w:t>23,416</w:t>
            </w:r>
          </w:p>
        </w:tc>
        <w:tc>
          <w:tcPr>
            <w:tcW w:w="1652" w:type="dxa"/>
          </w:tcPr>
          <w:p w14:paraId="52253BED" w14:textId="4988DCC1" w:rsidR="000756EB" w:rsidRPr="000B6926" w:rsidRDefault="004A4D88" w:rsidP="007F7F10">
            <w:pPr>
              <w:pStyle w:val="TableCopy"/>
              <w:jc w:val="right"/>
            </w:pPr>
            <w:r w:rsidRPr="000B6926">
              <w:t>–</w:t>
            </w:r>
          </w:p>
        </w:tc>
        <w:tc>
          <w:tcPr>
            <w:tcW w:w="1653" w:type="dxa"/>
          </w:tcPr>
          <w:p w14:paraId="7978D6C0" w14:textId="17996E06" w:rsidR="000756EB" w:rsidRPr="000B6926" w:rsidRDefault="004A4D88" w:rsidP="007F7F10">
            <w:pPr>
              <w:pStyle w:val="TableCopy"/>
              <w:jc w:val="right"/>
            </w:pPr>
            <w:r w:rsidRPr="000B6926">
              <w:t>–</w:t>
            </w:r>
          </w:p>
        </w:tc>
        <w:tc>
          <w:tcPr>
            <w:tcW w:w="1653" w:type="dxa"/>
          </w:tcPr>
          <w:p w14:paraId="2BD373EB" w14:textId="741E8C5B" w:rsidR="000756EB" w:rsidRPr="000B6926" w:rsidRDefault="004A4D88" w:rsidP="007F7F10">
            <w:pPr>
              <w:pStyle w:val="TableCopy"/>
              <w:jc w:val="right"/>
            </w:pPr>
            <w:r w:rsidRPr="000B6926">
              <w:t>23,416</w:t>
            </w:r>
          </w:p>
        </w:tc>
      </w:tr>
      <w:tr w:rsidR="000756EB" w:rsidRPr="000B6926" w14:paraId="0548CF3D" w14:textId="77777777" w:rsidTr="000B6926">
        <w:trPr>
          <w:cantSplit/>
        </w:trPr>
        <w:tc>
          <w:tcPr>
            <w:tcW w:w="3963" w:type="dxa"/>
          </w:tcPr>
          <w:p w14:paraId="6F84A6B8" w14:textId="3E4ED35E" w:rsidR="000756EB" w:rsidRPr="000B6926" w:rsidRDefault="004A4D88" w:rsidP="000B6926">
            <w:pPr>
              <w:pStyle w:val="TableCopy"/>
              <w:rPr>
                <w:b/>
                <w:bCs/>
              </w:rPr>
            </w:pPr>
            <w:r w:rsidRPr="000B6926">
              <w:rPr>
                <w:b/>
                <w:bCs/>
              </w:rPr>
              <w:t>Total</w:t>
            </w:r>
            <w:r w:rsidR="00A03629" w:rsidRPr="000B6926">
              <w:rPr>
                <w:b/>
                <w:bCs/>
              </w:rPr>
              <w:t xml:space="preserve"> </w:t>
            </w:r>
            <w:r w:rsidRPr="000B6926">
              <w:rPr>
                <w:b/>
                <w:bCs/>
              </w:rPr>
              <w:t>plant</w:t>
            </w:r>
            <w:r w:rsidR="00A03629" w:rsidRPr="000B6926">
              <w:rPr>
                <w:b/>
                <w:bCs/>
              </w:rPr>
              <w:t xml:space="preserve"> </w:t>
            </w:r>
            <w:r w:rsidRPr="000B6926">
              <w:rPr>
                <w:b/>
                <w:bCs/>
              </w:rPr>
              <w:t>and</w:t>
            </w:r>
            <w:r w:rsidR="00A03629" w:rsidRPr="000B6926">
              <w:rPr>
                <w:b/>
                <w:bCs/>
              </w:rPr>
              <w:t xml:space="preserve"> </w:t>
            </w:r>
            <w:r w:rsidRPr="000B6926">
              <w:rPr>
                <w:b/>
                <w:bCs/>
              </w:rPr>
              <w:t>equipment</w:t>
            </w:r>
            <w:r w:rsidR="00A03629" w:rsidRPr="000B6926">
              <w:rPr>
                <w:b/>
                <w:bCs/>
              </w:rPr>
              <w:t xml:space="preserve"> </w:t>
            </w:r>
            <w:r w:rsidRPr="000B6926">
              <w:rPr>
                <w:b/>
                <w:bCs/>
              </w:rPr>
              <w:t>at</w:t>
            </w:r>
            <w:r w:rsidR="00A03629" w:rsidRPr="000B6926">
              <w:rPr>
                <w:b/>
                <w:bCs/>
              </w:rPr>
              <w:t xml:space="preserve"> </w:t>
            </w:r>
            <w:r w:rsidRPr="000B6926">
              <w:rPr>
                <w:b/>
                <w:bCs/>
              </w:rPr>
              <w:t>fair</w:t>
            </w:r>
            <w:r w:rsidR="00A03629" w:rsidRPr="000B6926">
              <w:rPr>
                <w:b/>
                <w:bCs/>
              </w:rPr>
              <w:t xml:space="preserve"> </w:t>
            </w:r>
            <w:r w:rsidRPr="000B6926">
              <w:rPr>
                <w:b/>
                <w:bCs/>
              </w:rPr>
              <w:t>value</w:t>
            </w:r>
          </w:p>
        </w:tc>
        <w:tc>
          <w:tcPr>
            <w:tcW w:w="1422" w:type="dxa"/>
          </w:tcPr>
          <w:p w14:paraId="4EFCCDDD" w14:textId="52FB7765" w:rsidR="000756EB" w:rsidRPr="000B6926" w:rsidRDefault="004A4D88" w:rsidP="007F7F10">
            <w:pPr>
              <w:pStyle w:val="TableCopy"/>
              <w:jc w:val="right"/>
              <w:rPr>
                <w:b/>
                <w:bCs/>
              </w:rPr>
            </w:pPr>
            <w:r w:rsidRPr="000B6926">
              <w:rPr>
                <w:b/>
                <w:bCs/>
              </w:rPr>
              <w:t>23,882</w:t>
            </w:r>
          </w:p>
        </w:tc>
        <w:tc>
          <w:tcPr>
            <w:tcW w:w="1652" w:type="dxa"/>
          </w:tcPr>
          <w:p w14:paraId="53727C36" w14:textId="316140B4" w:rsidR="000756EB" w:rsidRPr="000B6926" w:rsidRDefault="004A4D88" w:rsidP="007F7F10">
            <w:pPr>
              <w:pStyle w:val="TableCopy"/>
              <w:jc w:val="right"/>
              <w:rPr>
                <w:b/>
                <w:bCs/>
              </w:rPr>
            </w:pPr>
            <w:r w:rsidRPr="000B6926">
              <w:rPr>
                <w:b/>
                <w:bCs/>
              </w:rPr>
              <w:t>–</w:t>
            </w:r>
          </w:p>
        </w:tc>
        <w:tc>
          <w:tcPr>
            <w:tcW w:w="1653" w:type="dxa"/>
          </w:tcPr>
          <w:p w14:paraId="6A141728" w14:textId="305B740F" w:rsidR="000756EB" w:rsidRPr="000B6926" w:rsidRDefault="004A4D88" w:rsidP="007F7F10">
            <w:pPr>
              <w:pStyle w:val="TableCopy"/>
              <w:jc w:val="right"/>
              <w:rPr>
                <w:b/>
                <w:bCs/>
              </w:rPr>
            </w:pPr>
            <w:r w:rsidRPr="000B6926">
              <w:rPr>
                <w:b/>
                <w:bCs/>
              </w:rPr>
              <w:t>–</w:t>
            </w:r>
          </w:p>
        </w:tc>
        <w:tc>
          <w:tcPr>
            <w:tcW w:w="1653" w:type="dxa"/>
          </w:tcPr>
          <w:p w14:paraId="1FC936D2" w14:textId="3F803798" w:rsidR="000756EB" w:rsidRPr="000B6926" w:rsidRDefault="004A4D88" w:rsidP="007F7F10">
            <w:pPr>
              <w:pStyle w:val="TableCopy"/>
              <w:jc w:val="right"/>
              <w:rPr>
                <w:b/>
                <w:bCs/>
              </w:rPr>
            </w:pPr>
            <w:r w:rsidRPr="000B6926">
              <w:rPr>
                <w:b/>
                <w:bCs/>
              </w:rPr>
              <w:t>23,882</w:t>
            </w:r>
          </w:p>
        </w:tc>
      </w:tr>
      <w:tr w:rsidR="000756EB" w:rsidRPr="000B6926" w14:paraId="6F9CC7A9" w14:textId="77777777" w:rsidTr="000B6926">
        <w:trPr>
          <w:cantSplit/>
        </w:trPr>
        <w:tc>
          <w:tcPr>
            <w:tcW w:w="3963" w:type="dxa"/>
          </w:tcPr>
          <w:p w14:paraId="55430C6F" w14:textId="233FBE67" w:rsidR="000756EB" w:rsidRPr="000B6926" w:rsidRDefault="004A4D88" w:rsidP="000B6926">
            <w:pPr>
              <w:pStyle w:val="TableHeading"/>
            </w:pPr>
            <w:r w:rsidRPr="000B6926">
              <w:lastRenderedPageBreak/>
              <w:t>Cultural</w:t>
            </w:r>
            <w:r w:rsidR="00A03629" w:rsidRPr="000B6926">
              <w:t xml:space="preserve"> </w:t>
            </w:r>
            <w:r w:rsidRPr="000B6926">
              <w:t>assets</w:t>
            </w:r>
            <w:r w:rsidR="00A03629" w:rsidRPr="000B6926">
              <w:t xml:space="preserve"> </w:t>
            </w:r>
            <w:r w:rsidRPr="000B6926">
              <w:t>at</w:t>
            </w:r>
            <w:r w:rsidR="00A03629" w:rsidRPr="000B6926">
              <w:t xml:space="preserve"> </w:t>
            </w:r>
            <w:r w:rsidRPr="000B6926">
              <w:t>fair</w:t>
            </w:r>
            <w:r w:rsidR="00A03629" w:rsidRPr="000B6926">
              <w:t xml:space="preserve"> </w:t>
            </w:r>
            <w:r w:rsidRPr="000B6926">
              <w:t>value</w:t>
            </w:r>
          </w:p>
        </w:tc>
        <w:tc>
          <w:tcPr>
            <w:tcW w:w="1422" w:type="dxa"/>
          </w:tcPr>
          <w:p w14:paraId="0840DDC9" w14:textId="77777777" w:rsidR="000756EB" w:rsidRPr="000B6926" w:rsidRDefault="000756EB" w:rsidP="007F7F10">
            <w:pPr>
              <w:pStyle w:val="TableHeading"/>
              <w:jc w:val="right"/>
              <w:rPr>
                <w:lang w:val="en-AU"/>
              </w:rPr>
            </w:pPr>
          </w:p>
        </w:tc>
        <w:tc>
          <w:tcPr>
            <w:tcW w:w="1652" w:type="dxa"/>
          </w:tcPr>
          <w:p w14:paraId="3B892B3B" w14:textId="77777777" w:rsidR="000756EB" w:rsidRPr="000B6926" w:rsidRDefault="000756EB" w:rsidP="007F7F10">
            <w:pPr>
              <w:pStyle w:val="TableHeading"/>
              <w:jc w:val="right"/>
              <w:rPr>
                <w:lang w:val="en-AU"/>
              </w:rPr>
            </w:pPr>
          </w:p>
        </w:tc>
        <w:tc>
          <w:tcPr>
            <w:tcW w:w="1653" w:type="dxa"/>
          </w:tcPr>
          <w:p w14:paraId="184C4DA7" w14:textId="77777777" w:rsidR="000756EB" w:rsidRPr="000B6926" w:rsidRDefault="000756EB" w:rsidP="007F7F10">
            <w:pPr>
              <w:pStyle w:val="TableHeading"/>
              <w:jc w:val="right"/>
              <w:rPr>
                <w:lang w:val="en-AU"/>
              </w:rPr>
            </w:pPr>
          </w:p>
        </w:tc>
        <w:tc>
          <w:tcPr>
            <w:tcW w:w="1653" w:type="dxa"/>
          </w:tcPr>
          <w:p w14:paraId="424BC3A1" w14:textId="77777777" w:rsidR="000756EB" w:rsidRPr="000B6926" w:rsidRDefault="000756EB" w:rsidP="007F7F10">
            <w:pPr>
              <w:pStyle w:val="TableHeading"/>
              <w:jc w:val="right"/>
              <w:rPr>
                <w:lang w:val="en-AU"/>
              </w:rPr>
            </w:pPr>
          </w:p>
        </w:tc>
      </w:tr>
      <w:tr w:rsidR="000756EB" w14:paraId="1F9A76FD" w14:textId="77777777" w:rsidTr="000B6926">
        <w:trPr>
          <w:cantSplit/>
        </w:trPr>
        <w:tc>
          <w:tcPr>
            <w:tcW w:w="3963" w:type="dxa"/>
          </w:tcPr>
          <w:p w14:paraId="6CA485DE" w14:textId="2285EB2E" w:rsidR="000756EB" w:rsidRDefault="004A4D88" w:rsidP="000B6926">
            <w:pPr>
              <w:pStyle w:val="TableCopy"/>
            </w:pPr>
            <w:r>
              <w:t>Cultural</w:t>
            </w:r>
            <w:r w:rsidR="00A03629">
              <w:t xml:space="preserve"> </w:t>
            </w:r>
            <w:r>
              <w:t>assets</w:t>
            </w:r>
          </w:p>
        </w:tc>
        <w:tc>
          <w:tcPr>
            <w:tcW w:w="1422" w:type="dxa"/>
          </w:tcPr>
          <w:p w14:paraId="7EB09001" w14:textId="34E19B62" w:rsidR="000756EB" w:rsidRDefault="004A4D88" w:rsidP="007F7F10">
            <w:pPr>
              <w:pStyle w:val="TableCopy"/>
              <w:jc w:val="right"/>
            </w:pPr>
            <w:r>
              <w:t>2,785</w:t>
            </w:r>
          </w:p>
        </w:tc>
        <w:tc>
          <w:tcPr>
            <w:tcW w:w="1652" w:type="dxa"/>
          </w:tcPr>
          <w:p w14:paraId="56916807" w14:textId="44E66EA3" w:rsidR="000756EB" w:rsidRDefault="004A4D88" w:rsidP="007F7F10">
            <w:pPr>
              <w:pStyle w:val="TableCopy"/>
              <w:jc w:val="right"/>
            </w:pPr>
            <w:r>
              <w:t>–</w:t>
            </w:r>
          </w:p>
        </w:tc>
        <w:tc>
          <w:tcPr>
            <w:tcW w:w="1653" w:type="dxa"/>
          </w:tcPr>
          <w:p w14:paraId="2350C384" w14:textId="572F2E11" w:rsidR="000756EB" w:rsidRDefault="004A4D88" w:rsidP="007F7F10">
            <w:pPr>
              <w:pStyle w:val="TableCopy"/>
              <w:jc w:val="right"/>
            </w:pPr>
            <w:r>
              <w:t>13</w:t>
            </w:r>
          </w:p>
        </w:tc>
        <w:tc>
          <w:tcPr>
            <w:tcW w:w="1653" w:type="dxa"/>
          </w:tcPr>
          <w:p w14:paraId="6C6952CD" w14:textId="48072D9F" w:rsidR="000756EB" w:rsidRDefault="004A4D88" w:rsidP="007F7F10">
            <w:pPr>
              <w:pStyle w:val="TableCopy"/>
              <w:jc w:val="right"/>
            </w:pPr>
            <w:r>
              <w:t>2,772</w:t>
            </w:r>
          </w:p>
        </w:tc>
      </w:tr>
      <w:tr w:rsidR="000756EB" w:rsidRPr="000B6926" w14:paraId="53B88606" w14:textId="77777777" w:rsidTr="000B6926">
        <w:trPr>
          <w:cantSplit/>
        </w:trPr>
        <w:tc>
          <w:tcPr>
            <w:tcW w:w="3963" w:type="dxa"/>
          </w:tcPr>
          <w:p w14:paraId="03D38CC6" w14:textId="547794E4" w:rsidR="000756EB" w:rsidRPr="000B6926" w:rsidRDefault="004A4D88" w:rsidP="000B6926">
            <w:pPr>
              <w:pStyle w:val="TableCopy"/>
              <w:rPr>
                <w:b/>
                <w:bCs/>
              </w:rPr>
            </w:pPr>
            <w:r w:rsidRPr="000B6926">
              <w:rPr>
                <w:b/>
                <w:bCs/>
              </w:rPr>
              <w:t>Total</w:t>
            </w:r>
            <w:r w:rsidR="00A03629" w:rsidRPr="000B6926">
              <w:rPr>
                <w:b/>
                <w:bCs/>
              </w:rPr>
              <w:t xml:space="preserve"> </w:t>
            </w:r>
            <w:r w:rsidRPr="000B6926">
              <w:rPr>
                <w:b/>
                <w:bCs/>
              </w:rPr>
              <w:t>cultural</w:t>
            </w:r>
            <w:r w:rsidR="00A03629" w:rsidRPr="000B6926">
              <w:rPr>
                <w:b/>
                <w:bCs/>
              </w:rPr>
              <w:t xml:space="preserve"> </w:t>
            </w:r>
            <w:r w:rsidRPr="000B6926">
              <w:rPr>
                <w:b/>
                <w:bCs/>
              </w:rPr>
              <w:t>assets</w:t>
            </w:r>
            <w:r w:rsidR="00A03629" w:rsidRPr="000B6926">
              <w:rPr>
                <w:b/>
                <w:bCs/>
              </w:rPr>
              <w:t xml:space="preserve"> </w:t>
            </w:r>
            <w:r w:rsidRPr="000B6926">
              <w:rPr>
                <w:b/>
                <w:bCs/>
              </w:rPr>
              <w:t>at</w:t>
            </w:r>
            <w:r w:rsidR="00A03629" w:rsidRPr="000B6926">
              <w:rPr>
                <w:b/>
                <w:bCs/>
              </w:rPr>
              <w:t xml:space="preserve"> </w:t>
            </w:r>
            <w:r w:rsidRPr="000B6926">
              <w:rPr>
                <w:b/>
                <w:bCs/>
              </w:rPr>
              <w:t>fair</w:t>
            </w:r>
            <w:r w:rsidR="00A03629" w:rsidRPr="000B6926">
              <w:rPr>
                <w:b/>
                <w:bCs/>
              </w:rPr>
              <w:t xml:space="preserve"> </w:t>
            </w:r>
            <w:r w:rsidRPr="000B6926">
              <w:rPr>
                <w:b/>
                <w:bCs/>
              </w:rPr>
              <w:t>value</w:t>
            </w:r>
          </w:p>
        </w:tc>
        <w:tc>
          <w:tcPr>
            <w:tcW w:w="1422" w:type="dxa"/>
          </w:tcPr>
          <w:p w14:paraId="65CC38A2" w14:textId="566E18BB" w:rsidR="000756EB" w:rsidRPr="000B6926" w:rsidRDefault="004A4D88" w:rsidP="007F7F10">
            <w:pPr>
              <w:pStyle w:val="TableCopy"/>
              <w:jc w:val="right"/>
              <w:rPr>
                <w:b/>
                <w:bCs/>
              </w:rPr>
            </w:pPr>
            <w:r w:rsidRPr="000B6926">
              <w:rPr>
                <w:b/>
                <w:bCs/>
              </w:rPr>
              <w:t>2,785</w:t>
            </w:r>
          </w:p>
        </w:tc>
        <w:tc>
          <w:tcPr>
            <w:tcW w:w="1652" w:type="dxa"/>
          </w:tcPr>
          <w:p w14:paraId="66A57B3C" w14:textId="1A8D8755" w:rsidR="000756EB" w:rsidRPr="000B6926" w:rsidRDefault="004A4D88" w:rsidP="007F7F10">
            <w:pPr>
              <w:pStyle w:val="TableCopy"/>
              <w:jc w:val="right"/>
              <w:rPr>
                <w:b/>
                <w:bCs/>
              </w:rPr>
            </w:pPr>
            <w:r w:rsidRPr="000B6926">
              <w:rPr>
                <w:b/>
                <w:bCs/>
              </w:rPr>
              <w:t>–</w:t>
            </w:r>
          </w:p>
        </w:tc>
        <w:tc>
          <w:tcPr>
            <w:tcW w:w="1653" w:type="dxa"/>
          </w:tcPr>
          <w:p w14:paraId="7575AB93" w14:textId="428D7DAD" w:rsidR="000756EB" w:rsidRPr="000B6926" w:rsidRDefault="004A4D88" w:rsidP="007F7F10">
            <w:pPr>
              <w:pStyle w:val="TableCopy"/>
              <w:jc w:val="right"/>
              <w:rPr>
                <w:b/>
                <w:bCs/>
              </w:rPr>
            </w:pPr>
            <w:r w:rsidRPr="000B6926">
              <w:rPr>
                <w:b/>
                <w:bCs/>
              </w:rPr>
              <w:t>13</w:t>
            </w:r>
          </w:p>
        </w:tc>
        <w:tc>
          <w:tcPr>
            <w:tcW w:w="1653" w:type="dxa"/>
          </w:tcPr>
          <w:p w14:paraId="3E440D21" w14:textId="491B3FB9" w:rsidR="000756EB" w:rsidRPr="000B6926" w:rsidRDefault="004A4D88" w:rsidP="007F7F10">
            <w:pPr>
              <w:pStyle w:val="TableCopy"/>
              <w:jc w:val="right"/>
              <w:rPr>
                <w:b/>
                <w:bCs/>
              </w:rPr>
            </w:pPr>
            <w:r w:rsidRPr="000B6926">
              <w:rPr>
                <w:b/>
                <w:bCs/>
              </w:rPr>
              <w:t>2,772</w:t>
            </w:r>
          </w:p>
        </w:tc>
      </w:tr>
      <w:tr w:rsidR="000756EB" w:rsidRPr="000B6926" w14:paraId="6834436B" w14:textId="77777777" w:rsidTr="000B6926">
        <w:trPr>
          <w:cantSplit/>
        </w:trPr>
        <w:tc>
          <w:tcPr>
            <w:tcW w:w="3963" w:type="dxa"/>
          </w:tcPr>
          <w:p w14:paraId="68FA889E" w14:textId="0AE5B57B" w:rsidR="000756EB" w:rsidRPr="000B6926" w:rsidRDefault="004A4D88" w:rsidP="000B6926">
            <w:pPr>
              <w:pStyle w:val="TableHeading"/>
            </w:pPr>
            <w:r w:rsidRPr="000B6926">
              <w:t>Building</w:t>
            </w:r>
            <w:r w:rsidR="00A03629" w:rsidRPr="000B6926">
              <w:t xml:space="preserve"> </w:t>
            </w:r>
            <w:r w:rsidRPr="000B6926">
              <w:t>leasehold</w:t>
            </w:r>
            <w:r w:rsidR="00A03629" w:rsidRPr="000B6926">
              <w:t xml:space="preserve"> </w:t>
            </w:r>
            <w:r w:rsidRPr="000B6926">
              <w:t>improvements</w:t>
            </w:r>
            <w:r w:rsidR="00A03629" w:rsidRPr="000B6926">
              <w:t xml:space="preserve"> </w:t>
            </w:r>
            <w:r w:rsidRPr="000B6926">
              <w:t>at</w:t>
            </w:r>
            <w:r w:rsidR="00A03629" w:rsidRPr="000B6926">
              <w:t xml:space="preserve"> </w:t>
            </w:r>
            <w:r w:rsidRPr="000B6926">
              <w:t>fair</w:t>
            </w:r>
            <w:r w:rsidR="00A03629" w:rsidRPr="000B6926">
              <w:t xml:space="preserve"> </w:t>
            </w:r>
            <w:r w:rsidRPr="000B6926">
              <w:t>value</w:t>
            </w:r>
          </w:p>
        </w:tc>
        <w:tc>
          <w:tcPr>
            <w:tcW w:w="1422" w:type="dxa"/>
          </w:tcPr>
          <w:p w14:paraId="6E57F993" w14:textId="77777777" w:rsidR="000756EB" w:rsidRPr="000B6926" w:rsidRDefault="000756EB" w:rsidP="007F7F10">
            <w:pPr>
              <w:pStyle w:val="TableHeading"/>
              <w:jc w:val="right"/>
              <w:rPr>
                <w:lang w:val="en-AU"/>
              </w:rPr>
            </w:pPr>
          </w:p>
        </w:tc>
        <w:tc>
          <w:tcPr>
            <w:tcW w:w="1652" w:type="dxa"/>
          </w:tcPr>
          <w:p w14:paraId="400E76FC" w14:textId="77777777" w:rsidR="000756EB" w:rsidRPr="000B6926" w:rsidRDefault="000756EB" w:rsidP="007F7F10">
            <w:pPr>
              <w:pStyle w:val="TableHeading"/>
              <w:jc w:val="right"/>
              <w:rPr>
                <w:lang w:val="en-AU"/>
              </w:rPr>
            </w:pPr>
          </w:p>
        </w:tc>
        <w:tc>
          <w:tcPr>
            <w:tcW w:w="1653" w:type="dxa"/>
          </w:tcPr>
          <w:p w14:paraId="05F781AF" w14:textId="77777777" w:rsidR="000756EB" w:rsidRPr="000B6926" w:rsidRDefault="000756EB" w:rsidP="007F7F10">
            <w:pPr>
              <w:pStyle w:val="TableHeading"/>
              <w:jc w:val="right"/>
              <w:rPr>
                <w:lang w:val="en-AU"/>
              </w:rPr>
            </w:pPr>
          </w:p>
        </w:tc>
        <w:tc>
          <w:tcPr>
            <w:tcW w:w="1653" w:type="dxa"/>
          </w:tcPr>
          <w:p w14:paraId="0336CBC7" w14:textId="77777777" w:rsidR="000756EB" w:rsidRPr="000B6926" w:rsidRDefault="000756EB" w:rsidP="007F7F10">
            <w:pPr>
              <w:pStyle w:val="TableHeading"/>
              <w:jc w:val="right"/>
              <w:rPr>
                <w:lang w:val="en-AU"/>
              </w:rPr>
            </w:pPr>
          </w:p>
        </w:tc>
      </w:tr>
      <w:tr w:rsidR="000756EB" w14:paraId="5293930F" w14:textId="77777777" w:rsidTr="000B6926">
        <w:trPr>
          <w:cantSplit/>
        </w:trPr>
        <w:tc>
          <w:tcPr>
            <w:tcW w:w="3963" w:type="dxa"/>
          </w:tcPr>
          <w:p w14:paraId="380B4D92" w14:textId="45D1BD67" w:rsidR="000756EB" w:rsidRDefault="004A4D88" w:rsidP="000B6926">
            <w:pPr>
              <w:pStyle w:val="TableCopy"/>
            </w:pPr>
            <w:r>
              <w:t>Leasehold</w:t>
            </w:r>
            <w:r w:rsidR="00A03629">
              <w:t xml:space="preserve"> </w:t>
            </w:r>
            <w:r>
              <w:t>improvements</w:t>
            </w:r>
          </w:p>
        </w:tc>
        <w:tc>
          <w:tcPr>
            <w:tcW w:w="1422" w:type="dxa"/>
          </w:tcPr>
          <w:p w14:paraId="24ABA186" w14:textId="356868EF" w:rsidR="000756EB" w:rsidRDefault="004A4D88" w:rsidP="007F7F10">
            <w:pPr>
              <w:pStyle w:val="TableCopy"/>
              <w:jc w:val="right"/>
            </w:pPr>
            <w:r>
              <w:t>20,093</w:t>
            </w:r>
          </w:p>
        </w:tc>
        <w:tc>
          <w:tcPr>
            <w:tcW w:w="1652" w:type="dxa"/>
          </w:tcPr>
          <w:p w14:paraId="67605018" w14:textId="50D1B56E" w:rsidR="000756EB" w:rsidRDefault="004A4D88" w:rsidP="007F7F10">
            <w:pPr>
              <w:pStyle w:val="TableCopy"/>
              <w:jc w:val="right"/>
            </w:pPr>
            <w:r>
              <w:t>–</w:t>
            </w:r>
          </w:p>
        </w:tc>
        <w:tc>
          <w:tcPr>
            <w:tcW w:w="1653" w:type="dxa"/>
          </w:tcPr>
          <w:p w14:paraId="74ED8E52" w14:textId="21A85463" w:rsidR="000756EB" w:rsidRDefault="004A4D88" w:rsidP="007F7F10">
            <w:pPr>
              <w:pStyle w:val="TableCopy"/>
              <w:jc w:val="right"/>
            </w:pPr>
            <w:r>
              <w:t>–</w:t>
            </w:r>
          </w:p>
        </w:tc>
        <w:tc>
          <w:tcPr>
            <w:tcW w:w="1653" w:type="dxa"/>
          </w:tcPr>
          <w:p w14:paraId="5879C551" w14:textId="51BA1DB3" w:rsidR="000756EB" w:rsidRDefault="004A4D88" w:rsidP="007F7F10">
            <w:pPr>
              <w:pStyle w:val="TableCopy"/>
              <w:jc w:val="right"/>
            </w:pPr>
            <w:r>
              <w:t>20,093</w:t>
            </w:r>
          </w:p>
        </w:tc>
      </w:tr>
      <w:tr w:rsidR="000756EB" w:rsidRPr="000B6926" w14:paraId="3CCDF2F2" w14:textId="77777777" w:rsidTr="000B6926">
        <w:trPr>
          <w:cantSplit/>
        </w:trPr>
        <w:tc>
          <w:tcPr>
            <w:tcW w:w="3963" w:type="dxa"/>
          </w:tcPr>
          <w:p w14:paraId="027D901A" w14:textId="47CB0709" w:rsidR="000756EB" w:rsidRPr="000B6926" w:rsidRDefault="004A4D88" w:rsidP="000B6926">
            <w:pPr>
              <w:pStyle w:val="TableCopy"/>
              <w:rPr>
                <w:b/>
                <w:bCs/>
              </w:rPr>
            </w:pPr>
            <w:r w:rsidRPr="000B6926">
              <w:rPr>
                <w:b/>
                <w:bCs/>
              </w:rPr>
              <w:t>Total</w:t>
            </w:r>
            <w:r w:rsidR="00A03629" w:rsidRPr="000B6926">
              <w:rPr>
                <w:b/>
                <w:bCs/>
              </w:rPr>
              <w:t xml:space="preserve"> </w:t>
            </w:r>
            <w:r w:rsidRPr="000B6926">
              <w:rPr>
                <w:b/>
                <w:bCs/>
              </w:rPr>
              <w:t>building</w:t>
            </w:r>
            <w:r w:rsidR="00A03629" w:rsidRPr="000B6926">
              <w:rPr>
                <w:b/>
                <w:bCs/>
              </w:rPr>
              <w:t xml:space="preserve"> </w:t>
            </w:r>
            <w:r w:rsidRPr="000B6926">
              <w:rPr>
                <w:b/>
                <w:bCs/>
              </w:rPr>
              <w:t>leasehold</w:t>
            </w:r>
            <w:r w:rsidR="00A03629" w:rsidRPr="000B6926">
              <w:rPr>
                <w:b/>
                <w:bCs/>
              </w:rPr>
              <w:t xml:space="preserve"> </w:t>
            </w:r>
            <w:r w:rsidRPr="000B6926">
              <w:rPr>
                <w:b/>
                <w:bCs/>
              </w:rPr>
              <w:t>improvements</w:t>
            </w:r>
            <w:r w:rsidR="00A03629" w:rsidRPr="000B6926">
              <w:rPr>
                <w:b/>
                <w:bCs/>
              </w:rPr>
              <w:t xml:space="preserve"> </w:t>
            </w:r>
            <w:r w:rsidRPr="000B6926">
              <w:rPr>
                <w:b/>
                <w:bCs/>
              </w:rPr>
              <w:t>at</w:t>
            </w:r>
            <w:r w:rsidR="00A03629" w:rsidRPr="000B6926">
              <w:rPr>
                <w:b/>
                <w:bCs/>
              </w:rPr>
              <w:t xml:space="preserve"> </w:t>
            </w:r>
            <w:r w:rsidRPr="000B6926">
              <w:rPr>
                <w:b/>
                <w:bCs/>
              </w:rPr>
              <w:t>fair</w:t>
            </w:r>
            <w:r w:rsidR="00A03629" w:rsidRPr="000B6926">
              <w:rPr>
                <w:b/>
                <w:bCs/>
              </w:rPr>
              <w:t xml:space="preserve"> </w:t>
            </w:r>
            <w:r w:rsidRPr="000B6926">
              <w:rPr>
                <w:b/>
                <w:bCs/>
              </w:rPr>
              <w:t>value</w:t>
            </w:r>
          </w:p>
        </w:tc>
        <w:tc>
          <w:tcPr>
            <w:tcW w:w="1422" w:type="dxa"/>
          </w:tcPr>
          <w:p w14:paraId="260DED45" w14:textId="6C123DA8" w:rsidR="000756EB" w:rsidRPr="000B6926" w:rsidRDefault="004A4D88" w:rsidP="007F7F10">
            <w:pPr>
              <w:pStyle w:val="TableCopy"/>
              <w:jc w:val="right"/>
              <w:rPr>
                <w:b/>
                <w:bCs/>
              </w:rPr>
            </w:pPr>
            <w:r w:rsidRPr="000B6926">
              <w:rPr>
                <w:b/>
                <w:bCs/>
              </w:rPr>
              <w:t>20,093</w:t>
            </w:r>
          </w:p>
        </w:tc>
        <w:tc>
          <w:tcPr>
            <w:tcW w:w="1652" w:type="dxa"/>
          </w:tcPr>
          <w:p w14:paraId="7F542FE7" w14:textId="7522C2F4" w:rsidR="000756EB" w:rsidRPr="000B6926" w:rsidRDefault="004A4D88" w:rsidP="007F7F10">
            <w:pPr>
              <w:pStyle w:val="TableCopy"/>
              <w:jc w:val="right"/>
              <w:rPr>
                <w:b/>
                <w:bCs/>
              </w:rPr>
            </w:pPr>
            <w:r w:rsidRPr="000B6926">
              <w:rPr>
                <w:b/>
                <w:bCs/>
              </w:rPr>
              <w:t>–</w:t>
            </w:r>
          </w:p>
        </w:tc>
        <w:tc>
          <w:tcPr>
            <w:tcW w:w="1653" w:type="dxa"/>
          </w:tcPr>
          <w:p w14:paraId="5BBEBED5" w14:textId="3782ED3F" w:rsidR="000756EB" w:rsidRPr="000B6926" w:rsidRDefault="004A4D88" w:rsidP="007F7F10">
            <w:pPr>
              <w:pStyle w:val="TableCopy"/>
              <w:jc w:val="right"/>
              <w:rPr>
                <w:b/>
                <w:bCs/>
              </w:rPr>
            </w:pPr>
            <w:r w:rsidRPr="000B6926">
              <w:rPr>
                <w:b/>
                <w:bCs/>
              </w:rPr>
              <w:t>–</w:t>
            </w:r>
          </w:p>
        </w:tc>
        <w:tc>
          <w:tcPr>
            <w:tcW w:w="1653" w:type="dxa"/>
          </w:tcPr>
          <w:p w14:paraId="3FABCC6B" w14:textId="34D469F2" w:rsidR="000756EB" w:rsidRPr="000B6926" w:rsidRDefault="004A4D88" w:rsidP="007F7F10">
            <w:pPr>
              <w:pStyle w:val="TableCopy"/>
              <w:jc w:val="right"/>
              <w:rPr>
                <w:b/>
                <w:bCs/>
              </w:rPr>
            </w:pPr>
            <w:r w:rsidRPr="000B6926">
              <w:rPr>
                <w:b/>
                <w:bCs/>
              </w:rPr>
              <w:t>20,093</w:t>
            </w:r>
          </w:p>
        </w:tc>
      </w:tr>
      <w:tr w:rsidR="000756EB" w:rsidRPr="000B6926" w14:paraId="5BB8EFC5" w14:textId="77777777" w:rsidTr="000B6926">
        <w:trPr>
          <w:cantSplit/>
        </w:trPr>
        <w:tc>
          <w:tcPr>
            <w:tcW w:w="3963" w:type="dxa"/>
          </w:tcPr>
          <w:p w14:paraId="43EE1218" w14:textId="797A0096" w:rsidR="000756EB" w:rsidRPr="000B6926" w:rsidRDefault="004A4D88" w:rsidP="000B6926">
            <w:pPr>
              <w:pStyle w:val="TableHeading"/>
            </w:pPr>
            <w:r w:rsidRPr="000B6926">
              <w:t>Motor</w:t>
            </w:r>
            <w:r w:rsidR="00A03629" w:rsidRPr="000B6926">
              <w:t xml:space="preserve"> </w:t>
            </w:r>
            <w:r w:rsidRPr="000B6926">
              <w:t>vehicles</w:t>
            </w:r>
            <w:r w:rsidR="00A03629" w:rsidRPr="000B6926">
              <w:t xml:space="preserve"> </w:t>
            </w:r>
            <w:r w:rsidRPr="000B6926">
              <w:t>at</w:t>
            </w:r>
            <w:r w:rsidR="00A03629" w:rsidRPr="000B6926">
              <w:t xml:space="preserve"> </w:t>
            </w:r>
            <w:r w:rsidRPr="000B6926">
              <w:t>fair</w:t>
            </w:r>
            <w:r w:rsidR="00A03629" w:rsidRPr="000B6926">
              <w:t xml:space="preserve"> </w:t>
            </w:r>
            <w:r w:rsidRPr="000B6926">
              <w:t>value</w:t>
            </w:r>
          </w:p>
        </w:tc>
        <w:tc>
          <w:tcPr>
            <w:tcW w:w="1422" w:type="dxa"/>
          </w:tcPr>
          <w:p w14:paraId="1F38F6F1" w14:textId="77777777" w:rsidR="000756EB" w:rsidRPr="000B6926" w:rsidRDefault="000756EB" w:rsidP="007F7F10">
            <w:pPr>
              <w:pStyle w:val="TableHeading"/>
              <w:jc w:val="right"/>
              <w:rPr>
                <w:lang w:val="en-AU"/>
              </w:rPr>
            </w:pPr>
          </w:p>
        </w:tc>
        <w:tc>
          <w:tcPr>
            <w:tcW w:w="1652" w:type="dxa"/>
          </w:tcPr>
          <w:p w14:paraId="67663552" w14:textId="77777777" w:rsidR="000756EB" w:rsidRPr="000B6926" w:rsidRDefault="000756EB" w:rsidP="007F7F10">
            <w:pPr>
              <w:pStyle w:val="TableHeading"/>
              <w:jc w:val="right"/>
              <w:rPr>
                <w:lang w:val="en-AU"/>
              </w:rPr>
            </w:pPr>
          </w:p>
        </w:tc>
        <w:tc>
          <w:tcPr>
            <w:tcW w:w="1653" w:type="dxa"/>
          </w:tcPr>
          <w:p w14:paraId="5718665A" w14:textId="77777777" w:rsidR="000756EB" w:rsidRPr="000B6926" w:rsidRDefault="000756EB" w:rsidP="007F7F10">
            <w:pPr>
              <w:pStyle w:val="TableHeading"/>
              <w:jc w:val="right"/>
              <w:rPr>
                <w:lang w:val="en-AU"/>
              </w:rPr>
            </w:pPr>
          </w:p>
        </w:tc>
        <w:tc>
          <w:tcPr>
            <w:tcW w:w="1653" w:type="dxa"/>
          </w:tcPr>
          <w:p w14:paraId="5E1B632F" w14:textId="77777777" w:rsidR="000756EB" w:rsidRPr="000B6926" w:rsidRDefault="000756EB" w:rsidP="007F7F10">
            <w:pPr>
              <w:pStyle w:val="TableHeading"/>
              <w:jc w:val="right"/>
              <w:rPr>
                <w:lang w:val="en-AU"/>
              </w:rPr>
            </w:pPr>
          </w:p>
        </w:tc>
      </w:tr>
      <w:tr w:rsidR="000756EB" w:rsidRPr="000B6926" w14:paraId="749B8B06" w14:textId="77777777" w:rsidTr="000B6926">
        <w:trPr>
          <w:cantSplit/>
        </w:trPr>
        <w:tc>
          <w:tcPr>
            <w:tcW w:w="3963" w:type="dxa"/>
          </w:tcPr>
          <w:p w14:paraId="60D32F68" w14:textId="13016389" w:rsidR="000756EB" w:rsidRPr="000B6926" w:rsidRDefault="004A4D88" w:rsidP="000B6926">
            <w:pPr>
              <w:pStyle w:val="TableCopy"/>
            </w:pPr>
            <w:r w:rsidRPr="000B6926">
              <w:t>Motor</w:t>
            </w:r>
            <w:r w:rsidR="00A03629" w:rsidRPr="000B6926">
              <w:t xml:space="preserve"> </w:t>
            </w:r>
            <w:r w:rsidRPr="000B6926">
              <w:t>vehicles</w:t>
            </w:r>
          </w:p>
        </w:tc>
        <w:tc>
          <w:tcPr>
            <w:tcW w:w="1422" w:type="dxa"/>
          </w:tcPr>
          <w:p w14:paraId="20CE96A1" w14:textId="53F13D82" w:rsidR="000756EB" w:rsidRPr="000B6926" w:rsidRDefault="004A4D88" w:rsidP="007F7F10">
            <w:pPr>
              <w:pStyle w:val="TableCopy"/>
              <w:jc w:val="right"/>
            </w:pPr>
            <w:r w:rsidRPr="000B6926">
              <w:t>11,059</w:t>
            </w:r>
          </w:p>
        </w:tc>
        <w:tc>
          <w:tcPr>
            <w:tcW w:w="1652" w:type="dxa"/>
          </w:tcPr>
          <w:p w14:paraId="30755CE8" w14:textId="48487F10" w:rsidR="000756EB" w:rsidRPr="000B6926" w:rsidRDefault="004A4D88" w:rsidP="007F7F10">
            <w:pPr>
              <w:pStyle w:val="TableCopy"/>
              <w:jc w:val="right"/>
            </w:pPr>
            <w:r w:rsidRPr="000B6926">
              <w:t>–</w:t>
            </w:r>
          </w:p>
        </w:tc>
        <w:tc>
          <w:tcPr>
            <w:tcW w:w="1653" w:type="dxa"/>
          </w:tcPr>
          <w:p w14:paraId="2179EF86" w14:textId="3ACC916F" w:rsidR="000756EB" w:rsidRPr="000B6926" w:rsidRDefault="004A4D88" w:rsidP="007F7F10">
            <w:pPr>
              <w:pStyle w:val="TableCopy"/>
              <w:jc w:val="right"/>
            </w:pPr>
            <w:r w:rsidRPr="000B6926">
              <w:t>–</w:t>
            </w:r>
          </w:p>
        </w:tc>
        <w:tc>
          <w:tcPr>
            <w:tcW w:w="1653" w:type="dxa"/>
          </w:tcPr>
          <w:p w14:paraId="5DE6A6D8" w14:textId="54F4323B" w:rsidR="000756EB" w:rsidRPr="000B6926" w:rsidRDefault="004A4D88" w:rsidP="007F7F10">
            <w:pPr>
              <w:pStyle w:val="TableCopy"/>
              <w:jc w:val="right"/>
            </w:pPr>
            <w:r w:rsidRPr="000B6926">
              <w:t>11,059</w:t>
            </w:r>
          </w:p>
        </w:tc>
      </w:tr>
      <w:tr w:rsidR="000756EB" w:rsidRPr="000B6926" w14:paraId="77EA770F" w14:textId="77777777" w:rsidTr="000B6926">
        <w:trPr>
          <w:cantSplit/>
        </w:trPr>
        <w:tc>
          <w:tcPr>
            <w:tcW w:w="3963" w:type="dxa"/>
          </w:tcPr>
          <w:p w14:paraId="0E316E3A" w14:textId="1731DC57" w:rsidR="000756EB" w:rsidRPr="000B6926" w:rsidRDefault="004A4D88" w:rsidP="000B6926">
            <w:pPr>
              <w:pStyle w:val="TableCopy"/>
              <w:rPr>
                <w:b/>
                <w:bCs/>
              </w:rPr>
            </w:pPr>
            <w:r w:rsidRPr="000B6926">
              <w:rPr>
                <w:b/>
                <w:bCs/>
              </w:rPr>
              <w:t>Total</w:t>
            </w:r>
            <w:r w:rsidR="00A03629" w:rsidRPr="000B6926">
              <w:rPr>
                <w:b/>
                <w:bCs/>
              </w:rPr>
              <w:t xml:space="preserve"> </w:t>
            </w:r>
            <w:r w:rsidRPr="000B6926">
              <w:rPr>
                <w:b/>
                <w:bCs/>
              </w:rPr>
              <w:t>motor</w:t>
            </w:r>
            <w:r w:rsidR="00A03629" w:rsidRPr="000B6926">
              <w:rPr>
                <w:b/>
                <w:bCs/>
              </w:rPr>
              <w:t xml:space="preserve"> </w:t>
            </w:r>
            <w:r w:rsidRPr="000B6926">
              <w:rPr>
                <w:b/>
                <w:bCs/>
              </w:rPr>
              <w:t>vehicles</w:t>
            </w:r>
            <w:r w:rsidR="00A03629" w:rsidRPr="000B6926">
              <w:rPr>
                <w:b/>
                <w:bCs/>
              </w:rPr>
              <w:t xml:space="preserve"> </w:t>
            </w:r>
            <w:r w:rsidRPr="000B6926">
              <w:rPr>
                <w:b/>
                <w:bCs/>
              </w:rPr>
              <w:t>at</w:t>
            </w:r>
            <w:r w:rsidR="00A03629" w:rsidRPr="000B6926">
              <w:rPr>
                <w:b/>
                <w:bCs/>
              </w:rPr>
              <w:t xml:space="preserve"> </w:t>
            </w:r>
            <w:r w:rsidRPr="000B6926">
              <w:rPr>
                <w:b/>
                <w:bCs/>
              </w:rPr>
              <w:t>fair</w:t>
            </w:r>
            <w:r w:rsidR="00A03629" w:rsidRPr="000B6926">
              <w:rPr>
                <w:b/>
                <w:bCs/>
              </w:rPr>
              <w:t xml:space="preserve"> </w:t>
            </w:r>
            <w:r w:rsidRPr="000B6926">
              <w:rPr>
                <w:b/>
                <w:bCs/>
              </w:rPr>
              <w:t>value</w:t>
            </w:r>
          </w:p>
        </w:tc>
        <w:tc>
          <w:tcPr>
            <w:tcW w:w="1422" w:type="dxa"/>
          </w:tcPr>
          <w:p w14:paraId="195E6317" w14:textId="3737D248" w:rsidR="000756EB" w:rsidRPr="000B6926" w:rsidRDefault="004A4D88" w:rsidP="007F7F10">
            <w:pPr>
              <w:pStyle w:val="TableCopy"/>
              <w:jc w:val="right"/>
              <w:rPr>
                <w:b/>
                <w:bCs/>
              </w:rPr>
            </w:pPr>
            <w:r w:rsidRPr="000B6926">
              <w:rPr>
                <w:b/>
                <w:bCs/>
              </w:rPr>
              <w:t>11,059</w:t>
            </w:r>
          </w:p>
        </w:tc>
        <w:tc>
          <w:tcPr>
            <w:tcW w:w="1652" w:type="dxa"/>
          </w:tcPr>
          <w:p w14:paraId="550C2FC9" w14:textId="33CAC1F5" w:rsidR="000756EB" w:rsidRPr="000B6926" w:rsidRDefault="004A4D88" w:rsidP="007F7F10">
            <w:pPr>
              <w:pStyle w:val="TableCopy"/>
              <w:jc w:val="right"/>
              <w:rPr>
                <w:b/>
                <w:bCs/>
              </w:rPr>
            </w:pPr>
            <w:r w:rsidRPr="000B6926">
              <w:rPr>
                <w:b/>
                <w:bCs/>
              </w:rPr>
              <w:t>–</w:t>
            </w:r>
          </w:p>
        </w:tc>
        <w:tc>
          <w:tcPr>
            <w:tcW w:w="1653" w:type="dxa"/>
          </w:tcPr>
          <w:p w14:paraId="4F922855" w14:textId="2E856870" w:rsidR="000756EB" w:rsidRPr="000B6926" w:rsidRDefault="004A4D88" w:rsidP="007F7F10">
            <w:pPr>
              <w:pStyle w:val="TableCopy"/>
              <w:jc w:val="right"/>
              <w:rPr>
                <w:b/>
                <w:bCs/>
              </w:rPr>
            </w:pPr>
            <w:r w:rsidRPr="000B6926">
              <w:rPr>
                <w:b/>
                <w:bCs/>
              </w:rPr>
              <w:t>–</w:t>
            </w:r>
          </w:p>
        </w:tc>
        <w:tc>
          <w:tcPr>
            <w:tcW w:w="1653" w:type="dxa"/>
          </w:tcPr>
          <w:p w14:paraId="35221773" w14:textId="4F0469ED" w:rsidR="000756EB" w:rsidRPr="000B6926" w:rsidRDefault="004A4D88" w:rsidP="007F7F10">
            <w:pPr>
              <w:pStyle w:val="TableCopy"/>
              <w:jc w:val="right"/>
              <w:rPr>
                <w:b/>
                <w:bCs/>
              </w:rPr>
            </w:pPr>
            <w:r w:rsidRPr="000B6926">
              <w:rPr>
                <w:b/>
                <w:bCs/>
              </w:rPr>
              <w:t>11,059</w:t>
            </w:r>
          </w:p>
        </w:tc>
      </w:tr>
      <w:tr w:rsidR="000756EB" w:rsidRPr="000B6926" w14:paraId="2393452A" w14:textId="77777777" w:rsidTr="000B6926">
        <w:trPr>
          <w:cantSplit/>
        </w:trPr>
        <w:tc>
          <w:tcPr>
            <w:tcW w:w="3963" w:type="dxa"/>
          </w:tcPr>
          <w:p w14:paraId="78E663F2" w14:textId="0CEB6D33" w:rsidR="000756EB" w:rsidRPr="000B6926" w:rsidRDefault="004A4D88" w:rsidP="000B6926">
            <w:pPr>
              <w:pStyle w:val="TableCopy"/>
              <w:rPr>
                <w:b/>
                <w:bCs/>
              </w:rPr>
            </w:pPr>
            <w:r w:rsidRPr="000B6926">
              <w:rPr>
                <w:b/>
                <w:bCs/>
              </w:rPr>
              <w:t>Total</w:t>
            </w:r>
            <w:r w:rsidR="00A03629" w:rsidRPr="000B6926">
              <w:rPr>
                <w:b/>
                <w:bCs/>
              </w:rPr>
              <w:t xml:space="preserve"> </w:t>
            </w:r>
            <w:r w:rsidRPr="000B6926">
              <w:rPr>
                <w:b/>
                <w:bCs/>
              </w:rPr>
              <w:t>property,</w:t>
            </w:r>
            <w:r w:rsidR="00A03629" w:rsidRPr="000B6926">
              <w:rPr>
                <w:b/>
                <w:bCs/>
              </w:rPr>
              <w:t xml:space="preserve"> </w:t>
            </w:r>
            <w:r w:rsidRPr="000B6926">
              <w:rPr>
                <w:b/>
                <w:bCs/>
              </w:rPr>
              <w:t>plant,</w:t>
            </w:r>
            <w:r w:rsidR="00A03629" w:rsidRPr="000B6926">
              <w:rPr>
                <w:b/>
                <w:bCs/>
              </w:rPr>
              <w:t xml:space="preserve"> </w:t>
            </w:r>
            <w:r w:rsidRPr="000B6926">
              <w:rPr>
                <w:b/>
                <w:bCs/>
              </w:rPr>
              <w:t>equipment</w:t>
            </w:r>
            <w:r w:rsidR="00A03629" w:rsidRPr="000B6926">
              <w:rPr>
                <w:b/>
                <w:bCs/>
              </w:rPr>
              <w:t xml:space="preserve"> </w:t>
            </w:r>
            <w:r w:rsidRPr="000B6926">
              <w:rPr>
                <w:b/>
                <w:bCs/>
              </w:rPr>
              <w:t>and</w:t>
            </w:r>
            <w:r w:rsidR="00A03629" w:rsidRPr="000B6926">
              <w:rPr>
                <w:b/>
                <w:bCs/>
              </w:rPr>
              <w:t xml:space="preserve"> </w:t>
            </w:r>
            <w:r w:rsidRPr="000B6926">
              <w:rPr>
                <w:b/>
                <w:bCs/>
              </w:rPr>
              <w:t>at</w:t>
            </w:r>
            <w:r w:rsidR="00A03629" w:rsidRPr="000B6926">
              <w:rPr>
                <w:b/>
                <w:bCs/>
              </w:rPr>
              <w:t xml:space="preserve"> </w:t>
            </w:r>
            <w:r w:rsidRPr="000B6926">
              <w:rPr>
                <w:b/>
                <w:bCs/>
              </w:rPr>
              <w:t>fair</w:t>
            </w:r>
            <w:r w:rsidR="00A03629" w:rsidRPr="000B6926">
              <w:rPr>
                <w:b/>
                <w:bCs/>
              </w:rPr>
              <w:t xml:space="preserve"> </w:t>
            </w:r>
            <w:r w:rsidRPr="000B6926">
              <w:rPr>
                <w:b/>
                <w:bCs/>
              </w:rPr>
              <w:t>value</w:t>
            </w:r>
          </w:p>
        </w:tc>
        <w:tc>
          <w:tcPr>
            <w:tcW w:w="1422" w:type="dxa"/>
          </w:tcPr>
          <w:p w14:paraId="39953187" w14:textId="77608FBF" w:rsidR="000756EB" w:rsidRPr="000B6926" w:rsidRDefault="004A4D88" w:rsidP="007F7F10">
            <w:pPr>
              <w:pStyle w:val="TableCopy"/>
              <w:jc w:val="right"/>
              <w:rPr>
                <w:b/>
                <w:bCs/>
              </w:rPr>
            </w:pPr>
            <w:r w:rsidRPr="000B6926">
              <w:rPr>
                <w:b/>
                <w:bCs/>
              </w:rPr>
              <w:t>1,555,710</w:t>
            </w:r>
          </w:p>
        </w:tc>
        <w:tc>
          <w:tcPr>
            <w:tcW w:w="1652" w:type="dxa"/>
          </w:tcPr>
          <w:p w14:paraId="2B99D033" w14:textId="5B5F46B0" w:rsidR="000756EB" w:rsidRPr="000B6926" w:rsidRDefault="004A4D88" w:rsidP="007F7F10">
            <w:pPr>
              <w:pStyle w:val="TableCopy"/>
              <w:jc w:val="right"/>
              <w:rPr>
                <w:b/>
                <w:bCs/>
              </w:rPr>
            </w:pPr>
            <w:r w:rsidRPr="000B6926">
              <w:rPr>
                <w:b/>
                <w:bCs/>
              </w:rPr>
              <w:t>–</w:t>
            </w:r>
          </w:p>
        </w:tc>
        <w:tc>
          <w:tcPr>
            <w:tcW w:w="1653" w:type="dxa"/>
          </w:tcPr>
          <w:p w14:paraId="46D50B4B" w14:textId="7127BCD4" w:rsidR="000756EB" w:rsidRPr="000B6926" w:rsidRDefault="004A4D88" w:rsidP="007F7F10">
            <w:pPr>
              <w:pStyle w:val="TableCopy"/>
              <w:jc w:val="right"/>
              <w:rPr>
                <w:b/>
                <w:bCs/>
              </w:rPr>
            </w:pPr>
            <w:r w:rsidRPr="000B6926">
              <w:rPr>
                <w:b/>
                <w:bCs/>
              </w:rPr>
              <w:t>516,956</w:t>
            </w:r>
          </w:p>
        </w:tc>
        <w:tc>
          <w:tcPr>
            <w:tcW w:w="1653" w:type="dxa"/>
          </w:tcPr>
          <w:p w14:paraId="761F231F" w14:textId="1C840AA0" w:rsidR="000756EB" w:rsidRPr="000B6926" w:rsidRDefault="004A4D88" w:rsidP="007F7F10">
            <w:pPr>
              <w:pStyle w:val="TableCopy"/>
              <w:jc w:val="right"/>
              <w:rPr>
                <w:b/>
                <w:bCs/>
              </w:rPr>
            </w:pPr>
            <w:r w:rsidRPr="000B6926">
              <w:rPr>
                <w:b/>
                <w:bCs/>
              </w:rPr>
              <w:t>1,038,754</w:t>
            </w:r>
          </w:p>
        </w:tc>
      </w:tr>
    </w:tbl>
    <w:p w14:paraId="2E0C4F2F" w14:textId="77777777" w:rsidR="007F7F10" w:rsidRDefault="007F7F10" w:rsidP="007F7F10">
      <w:pPr>
        <w:pStyle w:val="FootnoteText"/>
        <w:spacing w:before="120"/>
        <w:rPr>
          <w:i/>
          <w:iCs/>
        </w:rPr>
      </w:pPr>
      <w:r>
        <w:t>(</w:t>
      </w:r>
      <w:proofErr w:type="spellStart"/>
      <w:r>
        <w:t>i</w:t>
      </w:r>
      <w:proofErr w:type="spellEnd"/>
      <w:r>
        <w:t>) Classified in accordance with the fair value hierarchy.</w:t>
      </w:r>
    </w:p>
    <w:p w14:paraId="5AD10917" w14:textId="29468E40" w:rsidR="000756EB" w:rsidRDefault="007F7F10" w:rsidP="007F7F10">
      <w:pPr>
        <w:pStyle w:val="FootnoteText"/>
        <w:spacing w:after="280"/>
      </w:pPr>
      <w:r>
        <w:t>(ii) Vehicles are categorised to level 3 assets as current replacement cost method is used in estimating fair value.</w:t>
      </w:r>
    </w:p>
    <w:p w14:paraId="37F54FD5" w14:textId="42D1BA0C" w:rsidR="000756EB" w:rsidRDefault="004A4D88" w:rsidP="007F7F10">
      <w:r>
        <w:t>DJSIR</w:t>
      </w:r>
      <w:r w:rsidR="00A03629">
        <w:t xml:space="preserve"> </w:t>
      </w:r>
      <w:r>
        <w:t>assets</w:t>
      </w:r>
      <w:r w:rsidR="00A03629">
        <w:t xml:space="preserve"> </w:t>
      </w:r>
      <w:r>
        <w:t>relating</w:t>
      </w:r>
      <w:r w:rsidR="00A03629">
        <w:t xml:space="preserve"> </w:t>
      </w:r>
      <w:r>
        <w:t>to</w:t>
      </w:r>
      <w:r w:rsidR="00A03629">
        <w:t xml:space="preserve"> </w:t>
      </w:r>
      <w:r>
        <w:t>land,</w:t>
      </w:r>
      <w:r w:rsidR="00A03629">
        <w:t xml:space="preserve"> </w:t>
      </w:r>
      <w:r>
        <w:t>buildings</w:t>
      </w:r>
      <w:r w:rsidR="00A03629">
        <w:t xml:space="preserve"> </w:t>
      </w:r>
      <w:r>
        <w:t>and</w:t>
      </w:r>
      <w:r w:rsidR="00A03629">
        <w:t xml:space="preserve"> </w:t>
      </w:r>
      <w:r>
        <w:t>cultural</w:t>
      </w:r>
      <w:r w:rsidR="00A03629">
        <w:t xml:space="preserve"> </w:t>
      </w:r>
      <w:r>
        <w:t>assets</w:t>
      </w:r>
      <w:r w:rsidR="00A03629">
        <w:t xml:space="preserve"> </w:t>
      </w:r>
      <w:r>
        <w:t>were</w:t>
      </w:r>
      <w:r w:rsidR="00A03629">
        <w:t xml:space="preserve"> </w:t>
      </w:r>
      <w:r>
        <w:t>last</w:t>
      </w:r>
      <w:r w:rsidR="00A03629">
        <w:t xml:space="preserve"> </w:t>
      </w:r>
      <w:r>
        <w:t>independently</w:t>
      </w:r>
      <w:r w:rsidR="00A03629">
        <w:t xml:space="preserve"> </w:t>
      </w:r>
      <w:r>
        <w:t>valued</w:t>
      </w:r>
      <w:r w:rsidR="00A03629">
        <w:t xml:space="preserve"> </w:t>
      </w:r>
      <w:r>
        <w:t>by</w:t>
      </w:r>
      <w:r w:rsidR="00A03629">
        <w:t xml:space="preserve"> </w:t>
      </w:r>
      <w:r>
        <w:t>the</w:t>
      </w:r>
      <w:r w:rsidR="00A03629">
        <w:t xml:space="preserve"> </w:t>
      </w:r>
      <w:r>
        <w:t>VGV</w:t>
      </w:r>
      <w:r w:rsidR="00A03629">
        <w:t xml:space="preserve"> </w:t>
      </w:r>
      <w:r>
        <w:t>in</w:t>
      </w:r>
      <w:r w:rsidR="00A03629">
        <w:rPr>
          <w:rFonts w:ascii="Cambria" w:hAnsi="Cambria" w:cs="Cambria"/>
        </w:rPr>
        <w:t xml:space="preserve"> </w:t>
      </w:r>
      <w:r>
        <w:t>the</w:t>
      </w:r>
      <w:r w:rsidR="00A03629">
        <w:t xml:space="preserve"> </w:t>
      </w:r>
      <w:r>
        <w:t>2020–21.</w:t>
      </w:r>
      <w:r w:rsidR="00A03629">
        <w:t xml:space="preserve"> </w:t>
      </w:r>
      <w:r>
        <w:t>The</w:t>
      </w:r>
      <w:r w:rsidR="00A03629">
        <w:t xml:space="preserve"> </w:t>
      </w:r>
      <w:r>
        <w:t>fair</w:t>
      </w:r>
      <w:r w:rsidR="00A03629">
        <w:t xml:space="preserve"> </w:t>
      </w:r>
      <w:r>
        <w:t>value</w:t>
      </w:r>
      <w:r w:rsidR="00A03629">
        <w:t xml:space="preserve"> </w:t>
      </w:r>
      <w:r>
        <w:t>assessment</w:t>
      </w:r>
      <w:r w:rsidR="00A03629">
        <w:t xml:space="preserve"> </w:t>
      </w:r>
      <w:r>
        <w:t>undertaken</w:t>
      </w:r>
      <w:r w:rsidR="00A03629">
        <w:t xml:space="preserve"> </w:t>
      </w:r>
      <w:r>
        <w:t>by</w:t>
      </w:r>
      <w:r w:rsidR="00A03629">
        <w:t xml:space="preserve"> </w:t>
      </w:r>
      <w:r>
        <w:t>DJSIR,</w:t>
      </w:r>
      <w:r w:rsidR="00A03629">
        <w:t xml:space="preserve"> </w:t>
      </w:r>
      <w:r>
        <w:t>indicate</w:t>
      </w:r>
      <w:r w:rsidR="00A03629">
        <w:t xml:space="preserve"> </w:t>
      </w:r>
      <w:r>
        <w:t>no</w:t>
      </w:r>
      <w:r w:rsidR="00A03629">
        <w:t xml:space="preserve"> </w:t>
      </w:r>
      <w:r>
        <w:t>material</w:t>
      </w:r>
      <w:r w:rsidR="00A03629">
        <w:t xml:space="preserve"> </w:t>
      </w:r>
      <w:r>
        <w:t>change</w:t>
      </w:r>
      <w:r w:rsidR="00A03629">
        <w:t xml:space="preserve"> </w:t>
      </w:r>
      <w:r>
        <w:t>in</w:t>
      </w:r>
      <w:r w:rsidR="00A03629">
        <w:t xml:space="preserve"> </w:t>
      </w:r>
      <w:r>
        <w:t>values</w:t>
      </w:r>
      <w:r w:rsidR="00A03629">
        <w:t xml:space="preserve"> </w:t>
      </w:r>
      <w:r>
        <w:t>as</w:t>
      </w:r>
      <w:r w:rsidR="00A03629">
        <w:t xml:space="preserve"> </w:t>
      </w:r>
      <w:proofErr w:type="gramStart"/>
      <w:r>
        <w:t>at</w:t>
      </w:r>
      <w:proofErr w:type="gramEnd"/>
      <w:r w:rsidR="00A03629">
        <w:t xml:space="preserve"> </w:t>
      </w:r>
      <w:r>
        <w:t>30</w:t>
      </w:r>
      <w:r w:rsidR="00A03629">
        <w:t xml:space="preserve"> </w:t>
      </w:r>
      <w:r>
        <w:t>June</w:t>
      </w:r>
      <w:r w:rsidR="00A03629">
        <w:t xml:space="preserve"> </w:t>
      </w:r>
      <w:r>
        <w:t>2023.</w:t>
      </w:r>
      <w:r w:rsidR="00A03629">
        <w:t xml:space="preserve"> </w:t>
      </w:r>
      <w:r>
        <w:t>As</w:t>
      </w:r>
      <w:r w:rsidR="00A03629">
        <w:t xml:space="preserve"> </w:t>
      </w:r>
      <w:proofErr w:type="gramStart"/>
      <w:r>
        <w:t>at</w:t>
      </w:r>
      <w:proofErr w:type="gramEnd"/>
      <w:r w:rsidR="00A03629">
        <w:t xml:space="preserve"> </w:t>
      </w:r>
      <w:r>
        <w:t>30</w:t>
      </w:r>
      <w:r w:rsidR="00A03629">
        <w:t xml:space="preserve"> </w:t>
      </w:r>
      <w:r>
        <w:t>June</w:t>
      </w:r>
      <w:r w:rsidR="00A03629">
        <w:t xml:space="preserve"> </w:t>
      </w:r>
      <w:r>
        <w:t>2023,</w:t>
      </w:r>
      <w:r w:rsidR="00A03629">
        <w:t xml:space="preserve"> </w:t>
      </w:r>
      <w:r>
        <w:t>the</w:t>
      </w:r>
      <w:r w:rsidR="00A03629">
        <w:t xml:space="preserve"> </w:t>
      </w:r>
      <w:r>
        <w:t>assets</w:t>
      </w:r>
      <w:r w:rsidR="00A03629">
        <w:t xml:space="preserve"> </w:t>
      </w:r>
      <w:r>
        <w:t>transferred</w:t>
      </w:r>
      <w:r w:rsidR="00A03629">
        <w:t xml:space="preserve"> </w:t>
      </w:r>
      <w:r>
        <w:t>from</w:t>
      </w:r>
      <w:r w:rsidR="00A03629">
        <w:t xml:space="preserve"> </w:t>
      </w:r>
      <w:r>
        <w:t>the</w:t>
      </w:r>
      <w:r w:rsidR="00A03629">
        <w:t xml:space="preserve"> </w:t>
      </w:r>
      <w:r>
        <w:t>Department</w:t>
      </w:r>
      <w:r w:rsidR="00A03629">
        <w:t xml:space="preserve"> </w:t>
      </w:r>
      <w:r>
        <w:t>of</w:t>
      </w:r>
      <w:r w:rsidR="00A03629">
        <w:t xml:space="preserve"> </w:t>
      </w:r>
      <w:r>
        <w:t>Education</w:t>
      </w:r>
      <w:r w:rsidR="00A03629">
        <w:t xml:space="preserve"> </w:t>
      </w:r>
      <w:r>
        <w:t>were</w:t>
      </w:r>
      <w:r w:rsidR="00A03629">
        <w:t xml:space="preserve"> </w:t>
      </w:r>
      <w:r>
        <w:t>independently</w:t>
      </w:r>
      <w:r w:rsidR="00A03629">
        <w:t xml:space="preserve"> </w:t>
      </w:r>
      <w:r>
        <w:t>revalued</w:t>
      </w:r>
      <w:r w:rsidR="00A03629">
        <w:t xml:space="preserve"> </w:t>
      </w:r>
      <w:r>
        <w:t>by</w:t>
      </w:r>
      <w:r w:rsidR="00A03629">
        <w:t xml:space="preserve"> </w:t>
      </w:r>
      <w:r>
        <w:t>the</w:t>
      </w:r>
      <w:r w:rsidR="00A03629">
        <w:t xml:space="preserve"> </w:t>
      </w:r>
      <w:r>
        <w:t>VGV</w:t>
      </w:r>
      <w:r w:rsidR="00A03629">
        <w:t xml:space="preserve"> </w:t>
      </w:r>
      <w:r>
        <w:t>in</w:t>
      </w:r>
      <w:r w:rsidR="00A03629">
        <w:t xml:space="preserve"> </w:t>
      </w:r>
      <w:r>
        <w:t>accordance</w:t>
      </w:r>
      <w:r w:rsidR="00A03629">
        <w:t xml:space="preserve"> </w:t>
      </w:r>
      <w:r>
        <w:t>with</w:t>
      </w:r>
      <w:r w:rsidR="00A03629">
        <w:t xml:space="preserve"> </w:t>
      </w:r>
      <w:r>
        <w:t>the</w:t>
      </w:r>
      <w:r w:rsidR="00A03629">
        <w:t xml:space="preserve"> </w:t>
      </w:r>
      <w:r>
        <w:t>5-year</w:t>
      </w:r>
      <w:r w:rsidR="00A03629">
        <w:t xml:space="preserve"> </w:t>
      </w:r>
      <w:r>
        <w:t>scheduled</w:t>
      </w:r>
      <w:r w:rsidR="00A03629">
        <w:t xml:space="preserve"> </w:t>
      </w:r>
      <w:r>
        <w:t>revaluation.</w:t>
      </w:r>
    </w:p>
    <w:p w14:paraId="59046915" w14:textId="3038807E" w:rsidR="000756EB" w:rsidRPr="007F7F10" w:rsidRDefault="004A4D88" w:rsidP="007F7F10">
      <w:pPr>
        <w:pStyle w:val="Normalbeforebullets"/>
        <w:rPr>
          <w:b/>
          <w:bCs/>
        </w:rPr>
      </w:pPr>
      <w:r w:rsidRPr="007F7F10">
        <w:rPr>
          <w:b/>
          <w:bCs/>
        </w:rPr>
        <w:t>Non-specialised</w:t>
      </w:r>
      <w:r w:rsidR="00A03629" w:rsidRPr="007F7F10">
        <w:rPr>
          <w:b/>
          <w:bCs/>
        </w:rPr>
        <w:t xml:space="preserve"> </w:t>
      </w:r>
      <w:r w:rsidRPr="007F7F10">
        <w:rPr>
          <w:b/>
          <w:bCs/>
        </w:rPr>
        <w:t>land</w:t>
      </w:r>
    </w:p>
    <w:p w14:paraId="19402824" w14:textId="1C3CF6DC" w:rsidR="000756EB" w:rsidRDefault="004A4D88" w:rsidP="007F7F10">
      <w:r>
        <w:t>Non-specialised</w:t>
      </w:r>
      <w:r w:rsidR="00A03629">
        <w:t xml:space="preserve"> </w:t>
      </w:r>
      <w:r>
        <w:t>land</w:t>
      </w:r>
      <w:r w:rsidR="00A03629">
        <w:t xml:space="preserve"> </w:t>
      </w:r>
      <w:r>
        <w:t>is</w:t>
      </w:r>
      <w:r w:rsidR="00A03629">
        <w:t xml:space="preserve"> </w:t>
      </w:r>
      <w:r>
        <w:t>valued</w:t>
      </w:r>
      <w:r w:rsidR="00A03629">
        <w:t xml:space="preserve"> </w:t>
      </w:r>
      <w:r>
        <w:t>using</w:t>
      </w:r>
      <w:r w:rsidR="00A03629">
        <w:t xml:space="preserve"> </w:t>
      </w:r>
      <w:r>
        <w:t>fair</w:t>
      </w:r>
      <w:r w:rsidR="00A03629">
        <w:t xml:space="preserve"> </w:t>
      </w:r>
      <w:r>
        <w:t>value.</w:t>
      </w:r>
      <w:r w:rsidR="00A03629">
        <w:t xml:space="preserve"> </w:t>
      </w:r>
      <w:r>
        <w:t>Under</w:t>
      </w:r>
      <w:r w:rsidR="00A03629">
        <w:t xml:space="preserve"> </w:t>
      </w:r>
      <w:r>
        <w:t>this</w:t>
      </w:r>
      <w:r w:rsidR="00A03629">
        <w:t xml:space="preserve"> </w:t>
      </w:r>
      <w:r>
        <w:t>valuation</w:t>
      </w:r>
      <w:r w:rsidR="00A03629">
        <w:t xml:space="preserve"> </w:t>
      </w:r>
      <w:r>
        <w:t>method,</w:t>
      </w:r>
      <w:r w:rsidR="00A03629">
        <w:t xml:space="preserve"> </w:t>
      </w:r>
      <w:r>
        <w:t>the</w:t>
      </w:r>
      <w:r w:rsidR="00A03629">
        <w:t xml:space="preserve"> </w:t>
      </w:r>
      <w:r>
        <w:t>assets</w:t>
      </w:r>
      <w:r w:rsidR="00A03629">
        <w:t xml:space="preserve"> </w:t>
      </w:r>
      <w:r>
        <w:t>are</w:t>
      </w:r>
      <w:r w:rsidR="00A03629">
        <w:t xml:space="preserve"> </w:t>
      </w:r>
      <w:r>
        <w:t>compared</w:t>
      </w:r>
      <w:r w:rsidR="00A03629">
        <w:t xml:space="preserve"> </w:t>
      </w:r>
      <w:r>
        <w:t>to</w:t>
      </w:r>
      <w:r w:rsidR="00A03629">
        <w:t xml:space="preserve"> </w:t>
      </w:r>
      <w:r>
        <w:t>recent</w:t>
      </w:r>
      <w:r w:rsidR="00A03629">
        <w:t xml:space="preserve"> </w:t>
      </w:r>
      <w:r>
        <w:t>comparable</w:t>
      </w:r>
      <w:r w:rsidR="00A03629">
        <w:t xml:space="preserve"> </w:t>
      </w:r>
      <w:r>
        <w:t>sales</w:t>
      </w:r>
      <w:r w:rsidR="00A03629">
        <w:t xml:space="preserve"> </w:t>
      </w:r>
      <w:r>
        <w:t>or</w:t>
      </w:r>
      <w:r w:rsidR="00A03629">
        <w:t xml:space="preserve"> </w:t>
      </w:r>
      <w:r>
        <w:t>sales</w:t>
      </w:r>
      <w:r w:rsidR="00A03629">
        <w:t xml:space="preserve"> </w:t>
      </w:r>
      <w:r>
        <w:t>of</w:t>
      </w:r>
      <w:r w:rsidR="00A03629">
        <w:t xml:space="preserve"> </w:t>
      </w:r>
      <w:r>
        <w:t>comparable</w:t>
      </w:r>
      <w:r w:rsidR="00A03629">
        <w:t xml:space="preserve"> </w:t>
      </w:r>
      <w:r>
        <w:t>assets</w:t>
      </w:r>
      <w:r w:rsidR="00A03629">
        <w:t xml:space="preserve"> </w:t>
      </w:r>
      <w:r>
        <w:t>which</w:t>
      </w:r>
      <w:r w:rsidR="00A03629">
        <w:t xml:space="preserve"> </w:t>
      </w:r>
      <w:r>
        <w:t>are</w:t>
      </w:r>
      <w:r w:rsidR="00A03629">
        <w:t xml:space="preserve"> </w:t>
      </w:r>
      <w:r>
        <w:t>considered</w:t>
      </w:r>
      <w:r w:rsidR="00A03629">
        <w:t xml:space="preserve"> </w:t>
      </w:r>
      <w:r>
        <w:t>to</w:t>
      </w:r>
      <w:r w:rsidR="00A03629">
        <w:t xml:space="preserve"> </w:t>
      </w:r>
      <w:r>
        <w:t>have</w:t>
      </w:r>
      <w:r w:rsidR="00A03629">
        <w:t xml:space="preserve"> </w:t>
      </w:r>
      <w:r>
        <w:t>nominal</w:t>
      </w:r>
      <w:r w:rsidR="00A03629">
        <w:t xml:space="preserve"> </w:t>
      </w:r>
      <w:r>
        <w:t>or</w:t>
      </w:r>
      <w:r w:rsidR="00A03629">
        <w:t xml:space="preserve"> </w:t>
      </w:r>
      <w:r>
        <w:t>no</w:t>
      </w:r>
      <w:r w:rsidR="00A03629">
        <w:t xml:space="preserve"> </w:t>
      </w:r>
      <w:r>
        <w:t>added</w:t>
      </w:r>
      <w:r w:rsidR="00A03629">
        <w:t xml:space="preserve"> </w:t>
      </w:r>
      <w:r>
        <w:t>improvement</w:t>
      </w:r>
      <w:r w:rsidR="00A03629">
        <w:t xml:space="preserve"> </w:t>
      </w:r>
      <w:r>
        <w:t>value.</w:t>
      </w:r>
    </w:p>
    <w:p w14:paraId="4D50BAEE" w14:textId="70C14F12" w:rsidR="000756EB" w:rsidRDefault="004A4D88" w:rsidP="007F7F10">
      <w:r>
        <w:t>An</w:t>
      </w:r>
      <w:r w:rsidR="00A03629">
        <w:t xml:space="preserve"> </w:t>
      </w:r>
      <w:r>
        <w:t>independent</w:t>
      </w:r>
      <w:r w:rsidR="00A03629">
        <w:t xml:space="preserve"> </w:t>
      </w:r>
      <w:r>
        <w:t>valuation</w:t>
      </w:r>
      <w:r w:rsidR="00A03629">
        <w:t xml:space="preserve"> </w:t>
      </w:r>
      <w:r>
        <w:t>is</w:t>
      </w:r>
      <w:r w:rsidR="00A03629">
        <w:t xml:space="preserve"> </w:t>
      </w:r>
      <w:r>
        <w:t>performed</w:t>
      </w:r>
      <w:r w:rsidR="00A03629">
        <w:t xml:space="preserve"> </w:t>
      </w:r>
      <w:r>
        <w:t>by</w:t>
      </w:r>
      <w:r w:rsidR="00A03629">
        <w:t xml:space="preserve"> </w:t>
      </w:r>
      <w:r>
        <w:t>the</w:t>
      </w:r>
      <w:r w:rsidR="00A03629">
        <w:t xml:space="preserve"> </w:t>
      </w:r>
      <w:r>
        <w:t>Valuer-General</w:t>
      </w:r>
      <w:r w:rsidR="00A03629">
        <w:t xml:space="preserve"> </w:t>
      </w:r>
      <w:r>
        <w:t>Victoria</w:t>
      </w:r>
      <w:r w:rsidR="00A03629">
        <w:t xml:space="preserve"> </w:t>
      </w:r>
      <w:r>
        <w:t>(VGV)</w:t>
      </w:r>
      <w:r w:rsidR="00A03629">
        <w:t xml:space="preserve"> </w:t>
      </w:r>
      <w:r>
        <w:t>to</w:t>
      </w:r>
      <w:r w:rsidR="00A03629">
        <w:t xml:space="preserve"> </w:t>
      </w:r>
      <w:r>
        <w:t>determine</w:t>
      </w:r>
      <w:r w:rsidR="00A03629">
        <w:t xml:space="preserve"> </w:t>
      </w:r>
      <w:r>
        <w:t>the</w:t>
      </w:r>
      <w:r w:rsidR="00A03629">
        <w:t xml:space="preserve"> </w:t>
      </w:r>
      <w:r>
        <w:t>fair</w:t>
      </w:r>
      <w:r w:rsidR="00A03629">
        <w:t xml:space="preserve"> </w:t>
      </w:r>
      <w:r>
        <w:t>value</w:t>
      </w:r>
      <w:r w:rsidR="00A03629">
        <w:t xml:space="preserve"> </w:t>
      </w:r>
      <w:r>
        <w:t>using</w:t>
      </w:r>
      <w:r w:rsidR="00A03629">
        <w:t xml:space="preserve"> </w:t>
      </w:r>
      <w:r>
        <w:t>the</w:t>
      </w:r>
      <w:r w:rsidR="00A03629">
        <w:t xml:space="preserve"> </w:t>
      </w:r>
      <w:r>
        <w:t>market</w:t>
      </w:r>
      <w:r w:rsidR="00A03629">
        <w:t xml:space="preserve"> </w:t>
      </w:r>
      <w:r>
        <w:t>approach</w:t>
      </w:r>
      <w:r w:rsidR="00A03629">
        <w:t xml:space="preserve"> </w:t>
      </w:r>
      <w:r>
        <w:t>as</w:t>
      </w:r>
      <w:r w:rsidR="00A03629">
        <w:t xml:space="preserve"> </w:t>
      </w:r>
      <w:r>
        <w:t>well</w:t>
      </w:r>
      <w:r w:rsidR="00A03629">
        <w:t xml:space="preserve"> </w:t>
      </w:r>
      <w:r>
        <w:t>as</w:t>
      </w:r>
      <w:r w:rsidR="00A03629">
        <w:t xml:space="preserve"> </w:t>
      </w:r>
      <w:r>
        <w:t>the</w:t>
      </w:r>
      <w:r w:rsidR="00A03629">
        <w:t xml:space="preserve"> </w:t>
      </w:r>
      <w:r>
        <w:t>current</w:t>
      </w:r>
      <w:r w:rsidR="00A03629">
        <w:t xml:space="preserve"> </w:t>
      </w:r>
      <w:r>
        <w:t>replacement</w:t>
      </w:r>
      <w:r w:rsidR="00A03629">
        <w:t xml:space="preserve"> </w:t>
      </w:r>
      <w:r>
        <w:t>cost</w:t>
      </w:r>
      <w:r w:rsidR="00A03629">
        <w:t xml:space="preserve"> </w:t>
      </w:r>
      <w:r>
        <w:t>method</w:t>
      </w:r>
      <w:r w:rsidR="00A03629">
        <w:t xml:space="preserve"> </w:t>
      </w:r>
      <w:r>
        <w:t>approach.</w:t>
      </w:r>
      <w:r w:rsidR="00A03629">
        <w:t xml:space="preserve"> </w:t>
      </w:r>
      <w:r>
        <w:t>Valuation</w:t>
      </w:r>
      <w:r w:rsidR="00A03629">
        <w:t xml:space="preserve"> </w:t>
      </w:r>
      <w:r>
        <w:t>of</w:t>
      </w:r>
      <w:r w:rsidR="00A03629">
        <w:t xml:space="preserve"> </w:t>
      </w:r>
      <w:r>
        <w:t>the</w:t>
      </w:r>
      <w:r w:rsidR="00A03629">
        <w:t xml:space="preserve"> </w:t>
      </w:r>
      <w:r>
        <w:t>assets</w:t>
      </w:r>
      <w:r w:rsidR="00A03629">
        <w:t xml:space="preserve"> </w:t>
      </w:r>
      <w:r>
        <w:t>is</w:t>
      </w:r>
      <w:r w:rsidR="00A03629">
        <w:t xml:space="preserve"> </w:t>
      </w:r>
      <w:r>
        <w:t>determined</w:t>
      </w:r>
      <w:r w:rsidR="00A03629">
        <w:t xml:space="preserve"> </w:t>
      </w:r>
      <w:r>
        <w:t>by</w:t>
      </w:r>
      <w:r w:rsidR="00A03629">
        <w:t xml:space="preserve"> </w:t>
      </w:r>
      <w:r>
        <w:t>analysing</w:t>
      </w:r>
      <w:r w:rsidR="00A03629">
        <w:t xml:space="preserve"> </w:t>
      </w:r>
      <w:r>
        <w:t>comparable</w:t>
      </w:r>
      <w:r w:rsidR="00A03629">
        <w:t xml:space="preserve"> </w:t>
      </w:r>
      <w:r>
        <w:t>sales</w:t>
      </w:r>
      <w:r w:rsidR="00A03629">
        <w:t xml:space="preserve"> </w:t>
      </w:r>
      <w:r>
        <w:t>and</w:t>
      </w:r>
      <w:r w:rsidR="00A03629">
        <w:t xml:space="preserve"> </w:t>
      </w:r>
      <w:r>
        <w:t>allowing</w:t>
      </w:r>
      <w:r w:rsidR="00A03629">
        <w:t xml:space="preserve"> </w:t>
      </w:r>
      <w:r>
        <w:t>for</w:t>
      </w:r>
      <w:r w:rsidR="00A03629">
        <w:t xml:space="preserve"> </w:t>
      </w:r>
      <w:r>
        <w:t>share,</w:t>
      </w:r>
      <w:r w:rsidR="00A03629">
        <w:t xml:space="preserve"> </w:t>
      </w:r>
      <w:r>
        <w:t>size,</w:t>
      </w:r>
      <w:r w:rsidR="00A03629">
        <w:t xml:space="preserve"> </w:t>
      </w:r>
      <w:r>
        <w:t>topography,</w:t>
      </w:r>
      <w:r w:rsidR="00A03629">
        <w:t xml:space="preserve"> </w:t>
      </w:r>
      <w:r>
        <w:t>location,</w:t>
      </w:r>
      <w:r w:rsidR="00A03629">
        <w:t xml:space="preserve"> </w:t>
      </w:r>
      <w:r>
        <w:t>and</w:t>
      </w:r>
      <w:r w:rsidR="00A03629">
        <w:t xml:space="preserve"> </w:t>
      </w:r>
      <w:r>
        <w:t>other</w:t>
      </w:r>
      <w:r w:rsidR="00A03629">
        <w:t xml:space="preserve"> </w:t>
      </w:r>
      <w:r>
        <w:t>relevant</w:t>
      </w:r>
      <w:r w:rsidR="00A03629">
        <w:t xml:space="preserve"> </w:t>
      </w:r>
      <w:r>
        <w:t>factors</w:t>
      </w:r>
      <w:r w:rsidR="00A03629">
        <w:t xml:space="preserve"> </w:t>
      </w:r>
      <w:r>
        <w:t>specific</w:t>
      </w:r>
      <w:r w:rsidR="00A03629">
        <w:t xml:space="preserve"> </w:t>
      </w:r>
      <w:r>
        <w:t>to</w:t>
      </w:r>
      <w:r w:rsidR="00A03629">
        <w:t xml:space="preserve"> </w:t>
      </w:r>
      <w:r>
        <w:t>the</w:t>
      </w:r>
      <w:r w:rsidR="00A03629">
        <w:t xml:space="preserve"> </w:t>
      </w:r>
      <w:r>
        <w:t>asset</w:t>
      </w:r>
      <w:r w:rsidR="00A03629">
        <w:t xml:space="preserve"> </w:t>
      </w:r>
      <w:r>
        <w:t>being</w:t>
      </w:r>
      <w:r w:rsidR="00A03629">
        <w:t xml:space="preserve"> </w:t>
      </w:r>
      <w:r>
        <w:t>valued.</w:t>
      </w:r>
      <w:r w:rsidR="00A03629">
        <w:t xml:space="preserve"> </w:t>
      </w:r>
      <w:r>
        <w:t>From</w:t>
      </w:r>
      <w:r w:rsidR="00A03629">
        <w:t xml:space="preserve"> </w:t>
      </w:r>
      <w:r>
        <w:t>the</w:t>
      </w:r>
      <w:r w:rsidR="00A03629">
        <w:t xml:space="preserve"> </w:t>
      </w:r>
      <w:r>
        <w:t>sales</w:t>
      </w:r>
      <w:r w:rsidR="00A03629">
        <w:t xml:space="preserve"> </w:t>
      </w:r>
      <w:r>
        <w:t>analysed,</w:t>
      </w:r>
      <w:r w:rsidR="00A03629">
        <w:t xml:space="preserve"> </w:t>
      </w:r>
      <w:r>
        <w:t>an</w:t>
      </w:r>
      <w:r w:rsidR="00A03629">
        <w:t xml:space="preserve"> </w:t>
      </w:r>
      <w:r>
        <w:t>appropriate</w:t>
      </w:r>
      <w:r w:rsidR="00A03629">
        <w:t xml:space="preserve"> </w:t>
      </w:r>
      <w:r>
        <w:t>rate</w:t>
      </w:r>
      <w:r w:rsidR="00A03629">
        <w:t xml:space="preserve"> </w:t>
      </w:r>
      <w:r>
        <w:t>per</w:t>
      </w:r>
      <w:r w:rsidR="00A03629">
        <w:t xml:space="preserve"> </w:t>
      </w:r>
      <w:r>
        <w:t>square</w:t>
      </w:r>
      <w:r w:rsidR="00A03629">
        <w:t xml:space="preserve"> </w:t>
      </w:r>
      <w:r>
        <w:t>metre</w:t>
      </w:r>
      <w:r w:rsidR="00A03629">
        <w:t xml:space="preserve"> </w:t>
      </w:r>
      <w:r>
        <w:t>has</w:t>
      </w:r>
      <w:r w:rsidR="00A03629">
        <w:rPr>
          <w:rFonts w:ascii="Cambria" w:hAnsi="Cambria" w:cs="Cambria"/>
        </w:rPr>
        <w:t xml:space="preserve"> </w:t>
      </w:r>
      <w:r>
        <w:t>been</w:t>
      </w:r>
      <w:r w:rsidR="00A03629">
        <w:t xml:space="preserve"> </w:t>
      </w:r>
      <w:r>
        <w:t>applied</w:t>
      </w:r>
      <w:r w:rsidR="00A03629">
        <w:t xml:space="preserve"> </w:t>
      </w:r>
      <w:r>
        <w:t>to</w:t>
      </w:r>
      <w:r w:rsidR="00A03629">
        <w:t xml:space="preserve"> </w:t>
      </w:r>
      <w:r>
        <w:t>the</w:t>
      </w:r>
      <w:r w:rsidR="00A03629">
        <w:t xml:space="preserve"> </w:t>
      </w:r>
      <w:r>
        <w:t>subject</w:t>
      </w:r>
      <w:r w:rsidR="00A03629">
        <w:t xml:space="preserve"> </w:t>
      </w:r>
      <w:r>
        <w:t>asset.</w:t>
      </w:r>
    </w:p>
    <w:p w14:paraId="2D200BBD" w14:textId="52377CBA" w:rsidR="000756EB" w:rsidRDefault="004A4D88" w:rsidP="007F7F10">
      <w:r>
        <w:lastRenderedPageBreak/>
        <w:t>To</w:t>
      </w:r>
      <w:r w:rsidR="00A03629">
        <w:t xml:space="preserve"> </w:t>
      </w:r>
      <w:r>
        <w:t>the</w:t>
      </w:r>
      <w:r w:rsidR="00A03629">
        <w:t xml:space="preserve"> </w:t>
      </w:r>
      <w:r>
        <w:t>extent</w:t>
      </w:r>
      <w:r w:rsidR="00A03629">
        <w:t xml:space="preserve"> </w:t>
      </w:r>
      <w:r>
        <w:t>that</w:t>
      </w:r>
      <w:r w:rsidR="00A03629">
        <w:t xml:space="preserve"> </w:t>
      </w:r>
      <w:r>
        <w:t>non-specialised</w:t>
      </w:r>
      <w:r w:rsidR="00A03629">
        <w:t xml:space="preserve"> </w:t>
      </w:r>
      <w:r>
        <w:t>land</w:t>
      </w:r>
      <w:r w:rsidR="00A03629">
        <w:t xml:space="preserve"> </w:t>
      </w:r>
      <w:proofErr w:type="gramStart"/>
      <w:r>
        <w:t>do</w:t>
      </w:r>
      <w:proofErr w:type="gramEnd"/>
      <w:r w:rsidR="00A03629">
        <w:t xml:space="preserve"> </w:t>
      </w:r>
      <w:r>
        <w:t>not</w:t>
      </w:r>
      <w:r w:rsidR="00A03629">
        <w:t xml:space="preserve"> </w:t>
      </w:r>
      <w:r>
        <w:t>contain</w:t>
      </w:r>
      <w:r w:rsidR="00A03629">
        <w:t xml:space="preserve"> </w:t>
      </w:r>
      <w:r>
        <w:t>significant,</w:t>
      </w:r>
      <w:r w:rsidR="00A03629">
        <w:t xml:space="preserve"> </w:t>
      </w:r>
      <w:r>
        <w:t>unobservable</w:t>
      </w:r>
      <w:r w:rsidR="00A03629">
        <w:t xml:space="preserve"> </w:t>
      </w:r>
      <w:r>
        <w:t>adjustments,</w:t>
      </w:r>
      <w:r w:rsidR="00A03629">
        <w:t xml:space="preserve"> </w:t>
      </w:r>
      <w:r>
        <w:t>these</w:t>
      </w:r>
      <w:r w:rsidR="00A03629">
        <w:rPr>
          <w:rFonts w:ascii="Cambria" w:hAnsi="Cambria" w:cs="Cambria"/>
        </w:rPr>
        <w:t xml:space="preserve"> </w:t>
      </w:r>
      <w:r>
        <w:t>assets</w:t>
      </w:r>
      <w:r w:rsidR="00A03629">
        <w:t xml:space="preserve"> </w:t>
      </w:r>
      <w:r>
        <w:t>are</w:t>
      </w:r>
      <w:r w:rsidR="00A03629">
        <w:t xml:space="preserve"> </w:t>
      </w:r>
      <w:r>
        <w:t>classified</w:t>
      </w:r>
      <w:r w:rsidR="00A03629">
        <w:t xml:space="preserve"> </w:t>
      </w:r>
      <w:r>
        <w:t>as</w:t>
      </w:r>
      <w:r w:rsidR="00A03629">
        <w:t xml:space="preserve"> </w:t>
      </w:r>
      <w:r>
        <w:t>level</w:t>
      </w:r>
      <w:r w:rsidR="00A03629">
        <w:t xml:space="preserve"> </w:t>
      </w:r>
      <w:r>
        <w:t>2</w:t>
      </w:r>
      <w:r w:rsidR="00A03629">
        <w:t xml:space="preserve"> </w:t>
      </w:r>
      <w:r>
        <w:t>under</w:t>
      </w:r>
      <w:r w:rsidR="00A03629">
        <w:t xml:space="preserve"> </w:t>
      </w:r>
      <w:r>
        <w:t>the</w:t>
      </w:r>
      <w:r w:rsidR="00A03629">
        <w:t xml:space="preserve"> </w:t>
      </w:r>
      <w:r>
        <w:t>market</w:t>
      </w:r>
      <w:r w:rsidR="00A03629">
        <w:t xml:space="preserve"> </w:t>
      </w:r>
      <w:r>
        <w:t>approach.</w:t>
      </w:r>
    </w:p>
    <w:p w14:paraId="416F0BE1" w14:textId="2999E34F" w:rsidR="000756EB" w:rsidRPr="007F7F10" w:rsidRDefault="004A4D88" w:rsidP="007F7F10">
      <w:pPr>
        <w:pStyle w:val="Normalbeforebullets"/>
        <w:rPr>
          <w:b/>
          <w:bCs/>
        </w:rPr>
      </w:pPr>
      <w:r w:rsidRPr="007F7F10">
        <w:rPr>
          <w:b/>
          <w:bCs/>
        </w:rPr>
        <w:t>Specialised</w:t>
      </w:r>
      <w:r w:rsidR="00A03629" w:rsidRPr="007F7F10">
        <w:rPr>
          <w:b/>
          <w:bCs/>
        </w:rPr>
        <w:t xml:space="preserve"> </w:t>
      </w:r>
      <w:r w:rsidRPr="007F7F10">
        <w:rPr>
          <w:b/>
          <w:bCs/>
        </w:rPr>
        <w:t>land</w:t>
      </w:r>
      <w:r w:rsidR="00A03629" w:rsidRPr="007F7F10">
        <w:rPr>
          <w:b/>
          <w:bCs/>
        </w:rPr>
        <w:t xml:space="preserve"> </w:t>
      </w:r>
      <w:r w:rsidRPr="007F7F10">
        <w:rPr>
          <w:b/>
          <w:bCs/>
        </w:rPr>
        <w:t>and</w:t>
      </w:r>
      <w:r w:rsidR="00A03629" w:rsidRPr="007F7F10">
        <w:rPr>
          <w:b/>
          <w:bCs/>
        </w:rPr>
        <w:t xml:space="preserve"> </w:t>
      </w:r>
      <w:r w:rsidRPr="007F7F10">
        <w:rPr>
          <w:b/>
          <w:bCs/>
        </w:rPr>
        <w:t>specialised</w:t>
      </w:r>
      <w:r w:rsidR="00A03629" w:rsidRPr="007F7F10">
        <w:rPr>
          <w:rFonts w:ascii="Cambria" w:hAnsi="Cambria" w:cs="Cambria"/>
          <w:b/>
          <w:bCs/>
        </w:rPr>
        <w:t xml:space="preserve"> </w:t>
      </w:r>
      <w:r w:rsidRPr="007F7F10">
        <w:rPr>
          <w:b/>
          <w:bCs/>
        </w:rPr>
        <w:t>buildings</w:t>
      </w:r>
    </w:p>
    <w:p w14:paraId="5C2795BF" w14:textId="33D6ACB0" w:rsidR="000756EB" w:rsidRDefault="004A4D88" w:rsidP="007F7F10">
      <w:r>
        <w:t>The</w:t>
      </w:r>
      <w:r w:rsidR="00A03629">
        <w:t xml:space="preserve"> </w:t>
      </w:r>
      <w:r>
        <w:t>market</w:t>
      </w:r>
      <w:r w:rsidR="00A03629">
        <w:t xml:space="preserve"> </w:t>
      </w:r>
      <w:r>
        <w:t>approach</w:t>
      </w:r>
      <w:r w:rsidR="00A03629">
        <w:t xml:space="preserve"> </w:t>
      </w:r>
      <w:r>
        <w:t>is</w:t>
      </w:r>
      <w:r w:rsidR="00A03629">
        <w:t xml:space="preserve"> </w:t>
      </w:r>
      <w:r>
        <w:t>also</w:t>
      </w:r>
      <w:r w:rsidR="00A03629">
        <w:t xml:space="preserve"> </w:t>
      </w:r>
      <w:r>
        <w:t>used</w:t>
      </w:r>
      <w:r w:rsidR="00A03629">
        <w:t xml:space="preserve"> </w:t>
      </w:r>
      <w:r>
        <w:t>for</w:t>
      </w:r>
      <w:r w:rsidR="00A03629">
        <w:t xml:space="preserve"> </w:t>
      </w:r>
      <w:r>
        <w:t>specialised</w:t>
      </w:r>
      <w:r w:rsidR="00A03629">
        <w:t xml:space="preserve"> </w:t>
      </w:r>
      <w:r>
        <w:t>land,</w:t>
      </w:r>
      <w:r w:rsidR="00A03629">
        <w:t xml:space="preserve"> </w:t>
      </w:r>
      <w:r>
        <w:t>although</w:t>
      </w:r>
      <w:r w:rsidR="00A03629">
        <w:t xml:space="preserve"> </w:t>
      </w:r>
      <w:r>
        <w:t>it</w:t>
      </w:r>
      <w:r w:rsidR="00A03629">
        <w:t xml:space="preserve"> </w:t>
      </w:r>
      <w:r>
        <w:t>is</w:t>
      </w:r>
      <w:r w:rsidR="00A03629">
        <w:t xml:space="preserve"> </w:t>
      </w:r>
      <w:r>
        <w:t>adjusted</w:t>
      </w:r>
      <w:r w:rsidR="00A03629">
        <w:t xml:space="preserve"> </w:t>
      </w:r>
      <w:r>
        <w:t>for</w:t>
      </w:r>
      <w:r w:rsidR="00A03629">
        <w:t xml:space="preserve"> </w:t>
      </w:r>
      <w:r>
        <w:t>the</w:t>
      </w:r>
      <w:r w:rsidR="00A03629">
        <w:t xml:space="preserve"> </w:t>
      </w:r>
      <w:r>
        <w:t>community</w:t>
      </w:r>
      <w:r w:rsidR="00A03629">
        <w:t xml:space="preserve"> </w:t>
      </w:r>
      <w:r>
        <w:t>service</w:t>
      </w:r>
      <w:r w:rsidR="00A03629">
        <w:t xml:space="preserve"> </w:t>
      </w:r>
      <w:r>
        <w:t>obligation</w:t>
      </w:r>
      <w:r w:rsidR="00A03629">
        <w:t xml:space="preserve"> </w:t>
      </w:r>
      <w:r>
        <w:t>(CSO)</w:t>
      </w:r>
      <w:r w:rsidR="00A03629">
        <w:t xml:space="preserve"> </w:t>
      </w:r>
      <w:r>
        <w:t>to</w:t>
      </w:r>
      <w:r w:rsidR="00A03629">
        <w:t xml:space="preserve"> </w:t>
      </w:r>
      <w:r>
        <w:t>reflect</w:t>
      </w:r>
      <w:r w:rsidR="00A03629">
        <w:t xml:space="preserve"> </w:t>
      </w:r>
      <w:r>
        <w:t>the</w:t>
      </w:r>
      <w:r w:rsidR="00A03629">
        <w:t xml:space="preserve"> </w:t>
      </w:r>
      <w:r>
        <w:t>specialised</w:t>
      </w:r>
      <w:r w:rsidR="00A03629">
        <w:t xml:space="preserve"> </w:t>
      </w:r>
      <w:r>
        <w:t>nature</w:t>
      </w:r>
      <w:r w:rsidR="00A03629">
        <w:t xml:space="preserve"> </w:t>
      </w:r>
      <w:r>
        <w:t>of</w:t>
      </w:r>
      <w:r w:rsidR="00A03629">
        <w:t xml:space="preserve"> </w:t>
      </w:r>
      <w:r>
        <w:t>the</w:t>
      </w:r>
      <w:r w:rsidR="00A03629">
        <w:t xml:space="preserve"> </w:t>
      </w:r>
      <w:r>
        <w:t>land</w:t>
      </w:r>
      <w:r w:rsidR="00A03629">
        <w:t xml:space="preserve"> </w:t>
      </w:r>
      <w:r>
        <w:t>being</w:t>
      </w:r>
      <w:r w:rsidR="00A03629">
        <w:t xml:space="preserve"> </w:t>
      </w:r>
      <w:r>
        <w:t>valued.</w:t>
      </w:r>
    </w:p>
    <w:p w14:paraId="75A8A683" w14:textId="155EA39C" w:rsidR="000756EB" w:rsidRDefault="004A4D88" w:rsidP="007F7F10">
      <w:pPr>
        <w:rPr>
          <w:rFonts w:ascii="VIC Light" w:hAnsi="VIC Light" w:cs="VIC Light"/>
        </w:rPr>
      </w:pPr>
      <w:r>
        <w:t>The</w:t>
      </w:r>
      <w:r w:rsidR="00A03629">
        <w:t xml:space="preserve"> </w:t>
      </w:r>
      <w:r>
        <w:t>CSO</w:t>
      </w:r>
      <w:r w:rsidR="00A03629">
        <w:t xml:space="preserve"> </w:t>
      </w:r>
      <w:r>
        <w:t>adjustment</w:t>
      </w:r>
      <w:r w:rsidR="00A03629">
        <w:t xml:space="preserve"> </w:t>
      </w:r>
      <w:proofErr w:type="gramStart"/>
      <w:r>
        <w:t>is</w:t>
      </w:r>
      <w:r w:rsidR="00A03629">
        <w:t xml:space="preserve"> </w:t>
      </w:r>
      <w:r>
        <w:t>a</w:t>
      </w:r>
      <w:r w:rsidR="00A03629">
        <w:t xml:space="preserve"> </w:t>
      </w:r>
      <w:r>
        <w:t>reflection</w:t>
      </w:r>
      <w:r w:rsidR="00A03629">
        <w:t xml:space="preserve"> </w:t>
      </w:r>
      <w:r>
        <w:t>of</w:t>
      </w:r>
      <w:proofErr w:type="gramEnd"/>
      <w:r w:rsidR="00A03629">
        <w:t xml:space="preserve"> </w:t>
      </w:r>
      <w:r>
        <w:t>the</w:t>
      </w:r>
      <w:r w:rsidR="00A03629">
        <w:t xml:space="preserve"> </w:t>
      </w:r>
      <w:r>
        <w:t>valuer’s</w:t>
      </w:r>
      <w:r w:rsidR="00A03629">
        <w:t xml:space="preserve"> </w:t>
      </w:r>
      <w:r>
        <w:t>assessment</w:t>
      </w:r>
      <w:r w:rsidR="00A03629">
        <w:t xml:space="preserve"> </w:t>
      </w:r>
      <w:r>
        <w:t>of</w:t>
      </w:r>
      <w:r w:rsidR="00A03629">
        <w:t xml:space="preserve"> </w:t>
      </w:r>
      <w:r>
        <w:t>the</w:t>
      </w:r>
      <w:r w:rsidR="00A03629">
        <w:t xml:space="preserve"> </w:t>
      </w:r>
      <w:r>
        <w:t>impact</w:t>
      </w:r>
      <w:r w:rsidR="00A03629">
        <w:t xml:space="preserve"> </w:t>
      </w:r>
      <w:r>
        <w:t>of</w:t>
      </w:r>
      <w:r w:rsidR="00A03629">
        <w:t xml:space="preserve"> </w:t>
      </w:r>
      <w:r>
        <w:t>restrictions</w:t>
      </w:r>
      <w:r w:rsidR="00A03629">
        <w:t xml:space="preserve"> </w:t>
      </w:r>
      <w:r>
        <w:t>associated</w:t>
      </w:r>
      <w:r w:rsidR="00A03629">
        <w:t xml:space="preserve"> </w:t>
      </w:r>
      <w:r>
        <w:t>with</w:t>
      </w:r>
      <w:r w:rsidR="00A03629">
        <w:t xml:space="preserve"> </w:t>
      </w:r>
      <w:r>
        <w:t>an</w:t>
      </w:r>
      <w:r w:rsidR="00A03629">
        <w:t xml:space="preserve"> </w:t>
      </w:r>
      <w:r>
        <w:t>asset</w:t>
      </w:r>
      <w:r w:rsidR="00A03629">
        <w:t xml:space="preserve"> </w:t>
      </w:r>
      <w:r>
        <w:t>to</w:t>
      </w:r>
      <w:r w:rsidR="00A03629">
        <w:t xml:space="preserve"> </w:t>
      </w:r>
      <w:r>
        <w:t>the</w:t>
      </w:r>
      <w:r w:rsidR="00A03629">
        <w:t xml:space="preserve"> </w:t>
      </w:r>
      <w:r>
        <w:t>extent</w:t>
      </w:r>
      <w:r w:rsidR="00A03629">
        <w:t xml:space="preserve"> </w:t>
      </w:r>
      <w:r>
        <w:t>that</w:t>
      </w:r>
      <w:r w:rsidR="00A03629">
        <w:t xml:space="preserve"> </w:t>
      </w:r>
      <w:r>
        <w:t>is</w:t>
      </w:r>
      <w:r w:rsidR="00A03629">
        <w:t xml:space="preserve"> </w:t>
      </w:r>
      <w:r>
        <w:t>also</w:t>
      </w:r>
      <w:r w:rsidR="00A03629">
        <w:t xml:space="preserve"> </w:t>
      </w:r>
      <w:r>
        <w:t>equally</w:t>
      </w:r>
      <w:r w:rsidR="00A03629">
        <w:t xml:space="preserve"> </w:t>
      </w:r>
      <w:r>
        <w:t>applicable</w:t>
      </w:r>
      <w:r w:rsidR="00A03629">
        <w:t xml:space="preserve"> </w:t>
      </w:r>
      <w:r>
        <w:t>to</w:t>
      </w:r>
      <w:r w:rsidR="00A03629">
        <w:t xml:space="preserve"> </w:t>
      </w:r>
      <w:r>
        <w:t>market</w:t>
      </w:r>
      <w:r w:rsidR="00A03629">
        <w:t xml:space="preserve"> </w:t>
      </w:r>
      <w:r>
        <w:t>participants.</w:t>
      </w:r>
      <w:r w:rsidR="00A03629">
        <w:t xml:space="preserve"> </w:t>
      </w:r>
      <w:r>
        <w:t>This</w:t>
      </w:r>
      <w:r w:rsidR="00A03629">
        <w:t xml:space="preserve"> </w:t>
      </w:r>
      <w:r>
        <w:t>approach</w:t>
      </w:r>
      <w:r w:rsidR="00A03629">
        <w:t xml:space="preserve"> </w:t>
      </w:r>
      <w:r>
        <w:t>is</w:t>
      </w:r>
      <w:r w:rsidR="00A03629">
        <w:t xml:space="preserve"> </w:t>
      </w:r>
      <w:r>
        <w:t>in</w:t>
      </w:r>
      <w:r w:rsidR="00A03629">
        <w:t xml:space="preserve"> </w:t>
      </w:r>
      <w:r>
        <w:t>light</w:t>
      </w:r>
      <w:r w:rsidR="00A03629">
        <w:t xml:space="preserve"> </w:t>
      </w:r>
      <w:r>
        <w:t>of</w:t>
      </w:r>
      <w:r w:rsidR="00A03629">
        <w:t xml:space="preserve"> </w:t>
      </w:r>
      <w:r>
        <w:t>the</w:t>
      </w:r>
      <w:r w:rsidR="00A03629">
        <w:t xml:space="preserve"> </w:t>
      </w:r>
      <w:r>
        <w:t>highest</w:t>
      </w:r>
      <w:r w:rsidR="00A03629">
        <w:t xml:space="preserve"> </w:t>
      </w:r>
      <w:r>
        <w:t>and</w:t>
      </w:r>
      <w:r w:rsidR="00A03629">
        <w:t xml:space="preserve"> </w:t>
      </w:r>
      <w:r>
        <w:t>best</w:t>
      </w:r>
      <w:r w:rsidR="00A03629">
        <w:t xml:space="preserve"> </w:t>
      </w:r>
      <w:r>
        <w:t>use</w:t>
      </w:r>
      <w:r w:rsidR="00A03629">
        <w:t xml:space="preserve"> </w:t>
      </w:r>
      <w:r>
        <w:t>consideration</w:t>
      </w:r>
      <w:r w:rsidR="00A03629">
        <w:t xml:space="preserve"> </w:t>
      </w:r>
      <w:r>
        <w:t>required</w:t>
      </w:r>
      <w:r w:rsidR="00A03629">
        <w:t xml:space="preserve"> </w:t>
      </w:r>
      <w:r>
        <w:t>for</w:t>
      </w:r>
      <w:r w:rsidR="00A03629">
        <w:t xml:space="preserve"> </w:t>
      </w:r>
      <w:r>
        <w:t>fair</w:t>
      </w:r>
      <w:r w:rsidR="00A03629">
        <w:t xml:space="preserve"> </w:t>
      </w:r>
      <w:r>
        <w:t>value</w:t>
      </w:r>
      <w:r w:rsidR="00A03629">
        <w:t xml:space="preserve"> </w:t>
      </w:r>
      <w:proofErr w:type="gramStart"/>
      <w:r>
        <w:t>measurement,</w:t>
      </w:r>
      <w:r w:rsidR="00A03629">
        <w:t xml:space="preserve"> </w:t>
      </w:r>
      <w:r>
        <w:t>and</w:t>
      </w:r>
      <w:proofErr w:type="gramEnd"/>
      <w:r w:rsidR="00A03629">
        <w:t xml:space="preserve"> </w:t>
      </w:r>
      <w:r>
        <w:t>takes</w:t>
      </w:r>
      <w:r w:rsidR="00A03629">
        <w:t xml:space="preserve"> </w:t>
      </w:r>
      <w:r>
        <w:t>into</w:t>
      </w:r>
      <w:r w:rsidR="00A03629">
        <w:t xml:space="preserve"> </w:t>
      </w:r>
      <w:r>
        <w:t>account</w:t>
      </w:r>
      <w:r w:rsidR="00A03629">
        <w:t xml:space="preserve"> </w:t>
      </w:r>
      <w:r>
        <w:t>the</w:t>
      </w:r>
      <w:r w:rsidR="00A03629">
        <w:t xml:space="preserve"> </w:t>
      </w:r>
      <w:r>
        <w:t>use</w:t>
      </w:r>
      <w:r w:rsidR="00A03629">
        <w:t xml:space="preserve"> </w:t>
      </w:r>
      <w:r>
        <w:t>of</w:t>
      </w:r>
      <w:r w:rsidR="00A03629">
        <w:t xml:space="preserve"> </w:t>
      </w:r>
      <w:r>
        <w:t>the</w:t>
      </w:r>
      <w:r w:rsidR="00A03629">
        <w:t xml:space="preserve"> </w:t>
      </w:r>
      <w:r>
        <w:t>asset</w:t>
      </w:r>
      <w:r w:rsidR="00A03629">
        <w:t xml:space="preserve"> </w:t>
      </w:r>
      <w:r>
        <w:t>that</w:t>
      </w:r>
      <w:r w:rsidR="00A03629">
        <w:t xml:space="preserve"> </w:t>
      </w:r>
      <w:r>
        <w:t>is</w:t>
      </w:r>
      <w:r w:rsidR="00A03629">
        <w:t xml:space="preserve"> </w:t>
      </w:r>
      <w:r>
        <w:t>physically</w:t>
      </w:r>
      <w:r w:rsidR="00A03629">
        <w:t xml:space="preserve"> </w:t>
      </w:r>
      <w:r>
        <w:t>possible,</w:t>
      </w:r>
      <w:r w:rsidR="00A03629">
        <w:t xml:space="preserve"> </w:t>
      </w:r>
      <w:r>
        <w:t>legally</w:t>
      </w:r>
      <w:r w:rsidR="00A03629">
        <w:t xml:space="preserve"> </w:t>
      </w:r>
      <w:r>
        <w:t>permissible,</w:t>
      </w:r>
      <w:r w:rsidR="00A03629">
        <w:t xml:space="preserve"> </w:t>
      </w:r>
      <w:r>
        <w:t>and</w:t>
      </w:r>
      <w:r w:rsidR="00A03629">
        <w:t xml:space="preserve"> </w:t>
      </w:r>
      <w:r>
        <w:t>financially</w:t>
      </w:r>
      <w:r w:rsidR="00A03629">
        <w:t xml:space="preserve"> </w:t>
      </w:r>
      <w:r>
        <w:t>feasible.</w:t>
      </w:r>
      <w:r w:rsidR="00A03629">
        <w:t xml:space="preserve"> </w:t>
      </w:r>
      <w:r>
        <w:t>As</w:t>
      </w:r>
      <w:r w:rsidR="00A03629">
        <w:t xml:space="preserve"> </w:t>
      </w:r>
      <w:r>
        <w:t>adjustments</w:t>
      </w:r>
      <w:r w:rsidR="00A03629">
        <w:t xml:space="preserve"> </w:t>
      </w:r>
      <w:r>
        <w:t>of</w:t>
      </w:r>
      <w:r w:rsidR="00A03629">
        <w:t xml:space="preserve"> </w:t>
      </w:r>
      <w:r>
        <w:t>CSO</w:t>
      </w:r>
      <w:r w:rsidR="00A03629">
        <w:t xml:space="preserve"> </w:t>
      </w:r>
      <w:r>
        <w:t>are</w:t>
      </w:r>
      <w:r w:rsidR="00A03629">
        <w:t xml:space="preserve"> </w:t>
      </w:r>
      <w:r>
        <w:t>considered</w:t>
      </w:r>
      <w:r w:rsidR="00A03629">
        <w:t xml:space="preserve"> </w:t>
      </w:r>
      <w:r>
        <w:t>as</w:t>
      </w:r>
      <w:r w:rsidR="00A03629">
        <w:t xml:space="preserve"> </w:t>
      </w:r>
      <w:r>
        <w:t>significant</w:t>
      </w:r>
      <w:r w:rsidR="00A03629">
        <w:t xml:space="preserve"> </w:t>
      </w:r>
      <w:r>
        <w:t>unobservable</w:t>
      </w:r>
      <w:r w:rsidR="00A03629">
        <w:t xml:space="preserve"> </w:t>
      </w:r>
      <w:r>
        <w:t>inputs,</w:t>
      </w:r>
      <w:r w:rsidR="00A03629">
        <w:t xml:space="preserve"> </w:t>
      </w:r>
      <w:r>
        <w:t>specialised</w:t>
      </w:r>
      <w:r w:rsidR="00A03629">
        <w:t xml:space="preserve"> </w:t>
      </w:r>
      <w:r>
        <w:t>land</w:t>
      </w:r>
      <w:r w:rsidR="00A03629">
        <w:t xml:space="preserve"> </w:t>
      </w:r>
      <w:r>
        <w:t>would</w:t>
      </w:r>
      <w:r w:rsidR="00A03629">
        <w:t xml:space="preserve"> </w:t>
      </w:r>
      <w:r>
        <w:t>be</w:t>
      </w:r>
      <w:r w:rsidR="00A03629">
        <w:t xml:space="preserve"> </w:t>
      </w:r>
      <w:r>
        <w:t>classified</w:t>
      </w:r>
      <w:r w:rsidR="00A03629">
        <w:t xml:space="preserve"> </w:t>
      </w:r>
      <w:r>
        <w:t>as</w:t>
      </w:r>
      <w:r w:rsidR="00A03629">
        <w:t xml:space="preserve"> </w:t>
      </w:r>
      <w:r>
        <w:t>level</w:t>
      </w:r>
      <w:r w:rsidR="00A03629">
        <w:t xml:space="preserve"> </w:t>
      </w:r>
      <w:r>
        <w:t>3</w:t>
      </w:r>
      <w:r w:rsidR="00A03629">
        <w:t xml:space="preserve"> </w:t>
      </w:r>
      <w:r>
        <w:t>assets.</w:t>
      </w:r>
    </w:p>
    <w:p w14:paraId="6208DF88" w14:textId="167B6100" w:rsidR="000756EB" w:rsidRPr="007F7F10" w:rsidRDefault="004A4D88" w:rsidP="007F7F10">
      <w:r w:rsidRPr="007F7F10">
        <w:t>The</w:t>
      </w:r>
      <w:r w:rsidR="00A03629" w:rsidRPr="007F7F10">
        <w:t xml:space="preserve"> </w:t>
      </w:r>
      <w:r w:rsidRPr="007F7F10">
        <w:t>specialised</w:t>
      </w:r>
      <w:r w:rsidR="00A03629" w:rsidRPr="007F7F10">
        <w:t xml:space="preserve"> </w:t>
      </w:r>
      <w:r w:rsidRPr="007F7F10">
        <w:t>buildings</w:t>
      </w:r>
      <w:r w:rsidR="00A03629" w:rsidRPr="007F7F10">
        <w:t xml:space="preserve"> </w:t>
      </w:r>
      <w:r w:rsidRPr="007F7F10">
        <w:t>are</w:t>
      </w:r>
      <w:r w:rsidR="00A03629" w:rsidRPr="007F7F10">
        <w:t xml:space="preserve"> </w:t>
      </w:r>
      <w:r w:rsidRPr="007F7F10">
        <w:t>valued</w:t>
      </w:r>
      <w:r w:rsidR="00A03629" w:rsidRPr="007F7F10">
        <w:t xml:space="preserve"> </w:t>
      </w:r>
      <w:r w:rsidRPr="007F7F10">
        <w:t>using</w:t>
      </w:r>
      <w:r w:rsidR="00A03629" w:rsidRPr="007F7F10">
        <w:t xml:space="preserve"> </w:t>
      </w:r>
      <w:r w:rsidRPr="007F7F10">
        <w:t>the</w:t>
      </w:r>
      <w:r w:rsidR="00A03629" w:rsidRPr="007F7F10">
        <w:t xml:space="preserve"> </w:t>
      </w:r>
      <w:r w:rsidRPr="007F7F10">
        <w:t>current</w:t>
      </w:r>
      <w:r w:rsidR="00A03629" w:rsidRPr="007F7F10">
        <w:t xml:space="preserve"> </w:t>
      </w:r>
      <w:r w:rsidRPr="007F7F10">
        <w:t>replacement</w:t>
      </w:r>
      <w:r w:rsidR="00A03629" w:rsidRPr="007F7F10">
        <w:t xml:space="preserve"> </w:t>
      </w:r>
      <w:r w:rsidRPr="007F7F10">
        <w:t>cost</w:t>
      </w:r>
      <w:r w:rsidR="00A03629" w:rsidRPr="007F7F10">
        <w:t xml:space="preserve"> </w:t>
      </w:r>
      <w:r w:rsidRPr="007F7F10">
        <w:t>method.</w:t>
      </w:r>
      <w:r w:rsidR="00A03629" w:rsidRPr="007F7F10">
        <w:t xml:space="preserve"> </w:t>
      </w:r>
      <w:r w:rsidRPr="007F7F10">
        <w:t>As</w:t>
      </w:r>
      <w:r w:rsidR="00A03629" w:rsidRPr="007F7F10">
        <w:t xml:space="preserve"> </w:t>
      </w:r>
      <w:r w:rsidRPr="007F7F10">
        <w:t>the</w:t>
      </w:r>
      <w:r w:rsidR="00A03629" w:rsidRPr="007F7F10">
        <w:t xml:space="preserve"> </w:t>
      </w:r>
      <w:r w:rsidRPr="007F7F10">
        <w:t>depreciation</w:t>
      </w:r>
      <w:r w:rsidR="00A03629" w:rsidRPr="007F7F10">
        <w:t xml:space="preserve"> </w:t>
      </w:r>
      <w:r w:rsidRPr="007F7F10">
        <w:t>adjustments</w:t>
      </w:r>
      <w:r w:rsidR="00A03629" w:rsidRPr="007F7F10">
        <w:t xml:space="preserve"> </w:t>
      </w:r>
      <w:r w:rsidRPr="007F7F10">
        <w:t>are</w:t>
      </w:r>
      <w:r w:rsidR="00A03629" w:rsidRPr="007F7F10">
        <w:t xml:space="preserve"> </w:t>
      </w:r>
      <w:r w:rsidRPr="007F7F10">
        <w:t>considered</w:t>
      </w:r>
      <w:r w:rsidR="00A03629" w:rsidRPr="007F7F10">
        <w:t xml:space="preserve"> </w:t>
      </w:r>
      <w:r w:rsidRPr="007F7F10">
        <w:t>as</w:t>
      </w:r>
      <w:r w:rsidR="00A03629" w:rsidRPr="007F7F10">
        <w:t xml:space="preserve"> </w:t>
      </w:r>
      <w:r w:rsidRPr="007F7F10">
        <w:t>significant,</w:t>
      </w:r>
      <w:r w:rsidR="00A03629" w:rsidRPr="007F7F10">
        <w:t xml:space="preserve"> </w:t>
      </w:r>
      <w:r w:rsidRPr="007F7F10">
        <w:t>unobservable</w:t>
      </w:r>
      <w:r w:rsidR="00A03629" w:rsidRPr="007F7F10">
        <w:t xml:space="preserve"> </w:t>
      </w:r>
      <w:r w:rsidRPr="007F7F10">
        <w:t>inputs</w:t>
      </w:r>
      <w:r w:rsidR="00A03629" w:rsidRPr="007F7F10">
        <w:t xml:space="preserve"> </w:t>
      </w:r>
      <w:r w:rsidRPr="007F7F10">
        <w:t>in</w:t>
      </w:r>
      <w:r w:rsidR="00A03629" w:rsidRPr="007F7F10">
        <w:t xml:space="preserve"> </w:t>
      </w:r>
      <w:r w:rsidRPr="007F7F10">
        <w:t>nature,</w:t>
      </w:r>
      <w:r w:rsidR="00A03629" w:rsidRPr="007F7F10">
        <w:t xml:space="preserve"> </w:t>
      </w:r>
      <w:r w:rsidRPr="007F7F10">
        <w:t>specialised</w:t>
      </w:r>
      <w:r w:rsidR="00A03629" w:rsidRPr="007F7F10">
        <w:t xml:space="preserve"> </w:t>
      </w:r>
      <w:r w:rsidRPr="007F7F10">
        <w:t>buildings</w:t>
      </w:r>
      <w:r w:rsidR="00A03629" w:rsidRPr="007F7F10">
        <w:t xml:space="preserve"> </w:t>
      </w:r>
      <w:r w:rsidRPr="007F7F10">
        <w:t>are</w:t>
      </w:r>
      <w:r w:rsidR="00A03629" w:rsidRPr="007F7F10">
        <w:t xml:space="preserve"> </w:t>
      </w:r>
      <w:r w:rsidRPr="007F7F10">
        <w:t>classified</w:t>
      </w:r>
      <w:r w:rsidR="00A03629" w:rsidRPr="007F7F10">
        <w:t xml:space="preserve"> </w:t>
      </w:r>
      <w:r w:rsidRPr="007F7F10">
        <w:t>as</w:t>
      </w:r>
      <w:r w:rsidR="00A03629" w:rsidRPr="007F7F10">
        <w:t xml:space="preserve"> </w:t>
      </w:r>
      <w:r w:rsidRPr="007F7F10">
        <w:t>level</w:t>
      </w:r>
      <w:r w:rsidR="00A03629" w:rsidRPr="007F7F10">
        <w:t xml:space="preserve"> </w:t>
      </w:r>
      <w:r w:rsidRPr="007F7F10">
        <w:t>3</w:t>
      </w:r>
      <w:r w:rsidR="00A03629" w:rsidRPr="007F7F10">
        <w:t xml:space="preserve"> </w:t>
      </w:r>
      <w:r w:rsidRPr="007F7F10">
        <w:t>fair</w:t>
      </w:r>
      <w:r w:rsidR="00A03629" w:rsidRPr="007F7F10">
        <w:t xml:space="preserve"> </w:t>
      </w:r>
      <w:r w:rsidRPr="007F7F10">
        <w:t>value</w:t>
      </w:r>
      <w:r w:rsidR="00A03629" w:rsidRPr="007F7F10">
        <w:t xml:space="preserve"> </w:t>
      </w:r>
      <w:r w:rsidRPr="007F7F10">
        <w:t>measurements.</w:t>
      </w:r>
    </w:p>
    <w:p w14:paraId="09744CA3" w14:textId="2D577EF2" w:rsidR="000756EB" w:rsidRPr="007F7F10" w:rsidRDefault="004A4D88" w:rsidP="007F7F10">
      <w:pPr>
        <w:pStyle w:val="Normalbeforebullets"/>
        <w:rPr>
          <w:b/>
          <w:bCs/>
        </w:rPr>
      </w:pPr>
      <w:r w:rsidRPr="007F7F10">
        <w:rPr>
          <w:b/>
          <w:bCs/>
        </w:rPr>
        <w:t>Plant</w:t>
      </w:r>
      <w:r w:rsidR="00A03629" w:rsidRPr="007F7F10">
        <w:rPr>
          <w:b/>
          <w:bCs/>
        </w:rPr>
        <w:t xml:space="preserve"> </w:t>
      </w:r>
      <w:r w:rsidRPr="007F7F10">
        <w:rPr>
          <w:b/>
          <w:bCs/>
        </w:rPr>
        <w:t>and</w:t>
      </w:r>
      <w:r w:rsidR="00A03629" w:rsidRPr="007F7F10">
        <w:rPr>
          <w:b/>
          <w:bCs/>
        </w:rPr>
        <w:t xml:space="preserve"> </w:t>
      </w:r>
      <w:r w:rsidRPr="007F7F10">
        <w:rPr>
          <w:b/>
          <w:bCs/>
        </w:rPr>
        <w:t>equipment</w:t>
      </w:r>
    </w:p>
    <w:p w14:paraId="4DACAFBA" w14:textId="6A5291C4" w:rsidR="000756EB" w:rsidRDefault="004A4D88" w:rsidP="007F7F10">
      <w:r>
        <w:t>Plant</w:t>
      </w:r>
      <w:r w:rsidR="00A03629">
        <w:t xml:space="preserve"> </w:t>
      </w:r>
      <w:r>
        <w:t>and</w:t>
      </w:r>
      <w:r w:rsidR="00A03629">
        <w:t xml:space="preserve"> </w:t>
      </w:r>
      <w:r>
        <w:t>equipment</w:t>
      </w:r>
      <w:r w:rsidR="00A03629">
        <w:t xml:space="preserve"> </w:t>
      </w:r>
      <w:proofErr w:type="gramStart"/>
      <w:r>
        <w:t>is</w:t>
      </w:r>
      <w:proofErr w:type="gramEnd"/>
      <w:r w:rsidR="00A03629">
        <w:t xml:space="preserve"> </w:t>
      </w:r>
      <w:r>
        <w:t>held</w:t>
      </w:r>
      <w:r w:rsidR="00A03629">
        <w:t xml:space="preserve"> </w:t>
      </w:r>
      <w:r>
        <w:t>at</w:t>
      </w:r>
      <w:r w:rsidR="00A03629">
        <w:t xml:space="preserve"> </w:t>
      </w:r>
      <w:r>
        <w:t>fair</w:t>
      </w:r>
      <w:r w:rsidR="00A03629">
        <w:t xml:space="preserve"> </w:t>
      </w:r>
      <w:r>
        <w:t>value.</w:t>
      </w:r>
      <w:r w:rsidR="00A03629">
        <w:t xml:space="preserve"> </w:t>
      </w:r>
      <w:r>
        <w:t>When</w:t>
      </w:r>
      <w:r w:rsidR="00A03629">
        <w:t xml:space="preserve"> </w:t>
      </w:r>
      <w:r>
        <w:t>plant</w:t>
      </w:r>
      <w:r w:rsidR="00A03629">
        <w:t xml:space="preserve"> </w:t>
      </w:r>
      <w:r>
        <w:t>and</w:t>
      </w:r>
      <w:r w:rsidR="00A03629">
        <w:t xml:space="preserve"> </w:t>
      </w:r>
      <w:r>
        <w:t>equipment</w:t>
      </w:r>
      <w:r w:rsidR="00A03629">
        <w:t xml:space="preserve"> </w:t>
      </w:r>
      <w:r>
        <w:t>is</w:t>
      </w:r>
      <w:r w:rsidR="00A03629">
        <w:t xml:space="preserve"> </w:t>
      </w:r>
      <w:r>
        <w:t>specialised</w:t>
      </w:r>
      <w:r w:rsidR="00A03629">
        <w:t xml:space="preserve"> </w:t>
      </w:r>
      <w:r>
        <w:t>in</w:t>
      </w:r>
      <w:r w:rsidR="00A03629">
        <w:t xml:space="preserve"> </w:t>
      </w:r>
      <w:r>
        <w:t>use,</w:t>
      </w:r>
      <w:r w:rsidR="00A03629">
        <w:t xml:space="preserve"> </w:t>
      </w:r>
      <w:r>
        <w:t>such</w:t>
      </w:r>
      <w:r w:rsidR="00A03629">
        <w:t xml:space="preserve"> </w:t>
      </w:r>
      <w:r>
        <w:t>that</w:t>
      </w:r>
      <w:r w:rsidR="00A03629">
        <w:t xml:space="preserve"> </w:t>
      </w:r>
      <w:r>
        <w:t>it</w:t>
      </w:r>
      <w:r w:rsidR="00A03629">
        <w:t xml:space="preserve"> </w:t>
      </w:r>
      <w:r>
        <w:t>is</w:t>
      </w:r>
      <w:r w:rsidR="00A03629">
        <w:t xml:space="preserve"> </w:t>
      </w:r>
      <w:r>
        <w:t>rarely</w:t>
      </w:r>
      <w:r w:rsidR="00A03629">
        <w:t xml:space="preserve"> </w:t>
      </w:r>
      <w:r>
        <w:t>sold</w:t>
      </w:r>
      <w:r w:rsidR="00A03629">
        <w:t xml:space="preserve"> </w:t>
      </w:r>
      <w:r>
        <w:t>other</w:t>
      </w:r>
      <w:r w:rsidR="00A03629">
        <w:t xml:space="preserve"> </w:t>
      </w:r>
      <w:r>
        <w:t>than</w:t>
      </w:r>
      <w:r w:rsidR="00A03629">
        <w:t xml:space="preserve"> </w:t>
      </w:r>
      <w:r>
        <w:t>as</w:t>
      </w:r>
      <w:r w:rsidR="00A03629">
        <w:t xml:space="preserve"> </w:t>
      </w:r>
      <w:r>
        <w:t>part</w:t>
      </w:r>
      <w:r w:rsidR="00A03629">
        <w:t xml:space="preserve"> </w:t>
      </w:r>
      <w:r>
        <w:t>of</w:t>
      </w:r>
      <w:r w:rsidR="00A03629">
        <w:t xml:space="preserve"> </w:t>
      </w:r>
      <w:r>
        <w:t>a</w:t>
      </w:r>
      <w:r w:rsidR="00A03629">
        <w:t xml:space="preserve"> </w:t>
      </w:r>
      <w:r>
        <w:t>going</w:t>
      </w:r>
      <w:r w:rsidR="00A03629">
        <w:t xml:space="preserve"> </w:t>
      </w:r>
      <w:r>
        <w:t>concern,</w:t>
      </w:r>
      <w:r w:rsidR="00A03629">
        <w:t xml:space="preserve"> </w:t>
      </w:r>
      <w:r>
        <w:t>fair</w:t>
      </w:r>
      <w:r w:rsidR="00A03629">
        <w:rPr>
          <w:rFonts w:ascii="Cambria" w:hAnsi="Cambria" w:cs="Cambria"/>
        </w:rPr>
        <w:t xml:space="preserve"> </w:t>
      </w:r>
      <w:r>
        <w:t>value</w:t>
      </w:r>
      <w:r w:rsidR="00A03629">
        <w:t xml:space="preserve"> </w:t>
      </w:r>
      <w:r>
        <w:t>is</w:t>
      </w:r>
      <w:r w:rsidR="00A03629">
        <w:t xml:space="preserve"> </w:t>
      </w:r>
      <w:r>
        <w:t>determined</w:t>
      </w:r>
      <w:r w:rsidR="00A03629">
        <w:t xml:space="preserve"> </w:t>
      </w:r>
      <w:r>
        <w:t>using</w:t>
      </w:r>
      <w:r w:rsidR="00A03629">
        <w:t xml:space="preserve"> </w:t>
      </w:r>
      <w:r>
        <w:t>the</w:t>
      </w:r>
      <w:r w:rsidR="00A03629">
        <w:t xml:space="preserve"> </w:t>
      </w:r>
      <w:r>
        <w:t>current</w:t>
      </w:r>
      <w:r w:rsidR="00A03629">
        <w:t xml:space="preserve"> </w:t>
      </w:r>
      <w:r>
        <w:t>replacement</w:t>
      </w:r>
      <w:r w:rsidR="00A03629">
        <w:t xml:space="preserve"> </w:t>
      </w:r>
      <w:r>
        <w:t>cost</w:t>
      </w:r>
      <w:r w:rsidR="00A03629">
        <w:t xml:space="preserve"> </w:t>
      </w:r>
      <w:r>
        <w:t>method.</w:t>
      </w:r>
      <w:r w:rsidR="00A03629">
        <w:t xml:space="preserve"> </w:t>
      </w:r>
      <w:r>
        <w:t>For</w:t>
      </w:r>
      <w:r w:rsidR="00A03629">
        <w:t xml:space="preserve"> </w:t>
      </w:r>
      <w:r>
        <w:t>all</w:t>
      </w:r>
      <w:r w:rsidR="00A03629">
        <w:t xml:space="preserve"> </w:t>
      </w:r>
      <w:r>
        <w:t>assets</w:t>
      </w:r>
      <w:r w:rsidR="00A03629">
        <w:t xml:space="preserve"> </w:t>
      </w:r>
      <w:r>
        <w:t>measured</w:t>
      </w:r>
      <w:r w:rsidR="00A03629">
        <w:t xml:space="preserve"> </w:t>
      </w:r>
      <w:r>
        <w:t>at</w:t>
      </w:r>
      <w:r w:rsidR="00A03629">
        <w:t xml:space="preserve"> </w:t>
      </w:r>
      <w:r>
        <w:t>fair</w:t>
      </w:r>
      <w:r w:rsidR="00A03629">
        <w:t xml:space="preserve"> </w:t>
      </w:r>
      <w:r>
        <w:t>value,</w:t>
      </w:r>
      <w:r w:rsidR="00A03629">
        <w:t xml:space="preserve"> </w:t>
      </w:r>
      <w:r>
        <w:t>the</w:t>
      </w:r>
      <w:r w:rsidR="00A03629">
        <w:t xml:space="preserve"> </w:t>
      </w:r>
      <w:r>
        <w:t>current</w:t>
      </w:r>
      <w:r w:rsidR="00A03629">
        <w:t xml:space="preserve"> </w:t>
      </w:r>
      <w:r>
        <w:t>use</w:t>
      </w:r>
      <w:r w:rsidR="00A03629">
        <w:t xml:space="preserve"> </w:t>
      </w:r>
      <w:r>
        <w:t>is</w:t>
      </w:r>
      <w:r w:rsidR="00A03629">
        <w:t xml:space="preserve"> </w:t>
      </w:r>
      <w:r>
        <w:t>considered</w:t>
      </w:r>
      <w:r w:rsidR="00A03629">
        <w:t xml:space="preserve"> </w:t>
      </w:r>
      <w:r>
        <w:t>the</w:t>
      </w:r>
      <w:r w:rsidR="00A03629">
        <w:t xml:space="preserve"> </w:t>
      </w:r>
      <w:r>
        <w:t>highest</w:t>
      </w:r>
      <w:r w:rsidR="00A03629">
        <w:t xml:space="preserve"> </w:t>
      </w:r>
      <w:r>
        <w:t>and</w:t>
      </w:r>
      <w:r w:rsidR="00A03629">
        <w:t xml:space="preserve"> </w:t>
      </w:r>
      <w:r>
        <w:t>best</w:t>
      </w:r>
      <w:r w:rsidR="00A03629">
        <w:t xml:space="preserve"> </w:t>
      </w:r>
      <w:r>
        <w:t>use.</w:t>
      </w:r>
    </w:p>
    <w:p w14:paraId="74DE5A58" w14:textId="554C3009" w:rsidR="000756EB" w:rsidRPr="007F7F10" w:rsidRDefault="004A4D88" w:rsidP="007F7F10">
      <w:pPr>
        <w:pStyle w:val="Normalbeforebullets"/>
        <w:rPr>
          <w:b/>
          <w:bCs/>
        </w:rPr>
      </w:pPr>
      <w:r w:rsidRPr="007F7F10">
        <w:rPr>
          <w:b/>
          <w:bCs/>
        </w:rPr>
        <w:t>Motor</w:t>
      </w:r>
      <w:r w:rsidR="00A03629" w:rsidRPr="007F7F10">
        <w:rPr>
          <w:b/>
          <w:bCs/>
        </w:rPr>
        <w:t xml:space="preserve"> </w:t>
      </w:r>
      <w:r w:rsidRPr="007F7F10">
        <w:rPr>
          <w:b/>
          <w:bCs/>
        </w:rPr>
        <w:t>vehicles</w:t>
      </w:r>
      <w:r w:rsidR="00A03629" w:rsidRPr="007F7F10">
        <w:rPr>
          <w:b/>
          <w:bCs/>
        </w:rPr>
        <w:t xml:space="preserve"> </w:t>
      </w:r>
      <w:r w:rsidRPr="007F7F10">
        <w:rPr>
          <w:b/>
          <w:bCs/>
        </w:rPr>
        <w:t>under</w:t>
      </w:r>
      <w:r w:rsidR="00A03629" w:rsidRPr="007F7F10">
        <w:rPr>
          <w:b/>
          <w:bCs/>
        </w:rPr>
        <w:t xml:space="preserve"> </w:t>
      </w:r>
      <w:r w:rsidRPr="007F7F10">
        <w:rPr>
          <w:b/>
          <w:bCs/>
        </w:rPr>
        <w:t>lease</w:t>
      </w:r>
    </w:p>
    <w:p w14:paraId="113CD1C4" w14:textId="11D95C60" w:rsidR="000756EB" w:rsidRDefault="004A4D88" w:rsidP="007F7F10">
      <w:r>
        <w:t>Vehicles</w:t>
      </w:r>
      <w:r w:rsidR="00A03629">
        <w:t xml:space="preserve"> </w:t>
      </w:r>
      <w:r>
        <w:t>are</w:t>
      </w:r>
      <w:r w:rsidR="00A03629">
        <w:t xml:space="preserve"> </w:t>
      </w:r>
      <w:r>
        <w:t>valued</w:t>
      </w:r>
      <w:r w:rsidR="00A03629">
        <w:t xml:space="preserve"> </w:t>
      </w:r>
      <w:r>
        <w:t>using</w:t>
      </w:r>
      <w:r w:rsidR="00A03629">
        <w:t xml:space="preserve"> </w:t>
      </w:r>
      <w:r>
        <w:t>the</w:t>
      </w:r>
      <w:r w:rsidR="00A03629">
        <w:t xml:space="preserve"> </w:t>
      </w:r>
      <w:r>
        <w:t>current</w:t>
      </w:r>
      <w:r w:rsidR="00A03629">
        <w:t xml:space="preserve"> </w:t>
      </w:r>
      <w:r>
        <w:t>replacement</w:t>
      </w:r>
      <w:r w:rsidR="00A03629">
        <w:t xml:space="preserve"> </w:t>
      </w:r>
      <w:r>
        <w:t>cost</w:t>
      </w:r>
      <w:r w:rsidR="00A03629">
        <w:t xml:space="preserve"> </w:t>
      </w:r>
      <w:r>
        <w:t>method.</w:t>
      </w:r>
      <w:r w:rsidR="00A03629">
        <w:t xml:space="preserve"> </w:t>
      </w:r>
      <w:r>
        <w:t>DJSIR</w:t>
      </w:r>
      <w:r w:rsidR="00A03629">
        <w:t xml:space="preserve"> </w:t>
      </w:r>
      <w:r>
        <w:t>acquires</w:t>
      </w:r>
      <w:r w:rsidR="00A03629">
        <w:t xml:space="preserve"> </w:t>
      </w:r>
      <w:r>
        <w:t>new</w:t>
      </w:r>
      <w:r w:rsidR="00A03629">
        <w:t xml:space="preserve"> </w:t>
      </w:r>
      <w:r>
        <w:t>vehicles</w:t>
      </w:r>
      <w:r w:rsidR="00A03629">
        <w:t xml:space="preserve"> </w:t>
      </w:r>
      <w:r>
        <w:t>and</w:t>
      </w:r>
      <w:r w:rsidR="00A03629">
        <w:t xml:space="preserve"> </w:t>
      </w:r>
      <w:r>
        <w:t>at</w:t>
      </w:r>
      <w:r w:rsidR="00A03629">
        <w:t xml:space="preserve"> </w:t>
      </w:r>
      <w:r>
        <w:t>times</w:t>
      </w:r>
      <w:r w:rsidR="00A03629">
        <w:t xml:space="preserve"> </w:t>
      </w:r>
      <w:r>
        <w:t>disposes</w:t>
      </w:r>
      <w:r w:rsidR="00A03629">
        <w:t xml:space="preserve"> </w:t>
      </w:r>
      <w:r>
        <w:t>of</w:t>
      </w:r>
      <w:r w:rsidR="00A03629">
        <w:t xml:space="preserve"> </w:t>
      </w:r>
      <w:r>
        <w:t>them</w:t>
      </w:r>
      <w:r w:rsidR="00A03629">
        <w:t xml:space="preserve"> </w:t>
      </w:r>
      <w:r>
        <w:t>before</w:t>
      </w:r>
      <w:r w:rsidR="00A03629">
        <w:t xml:space="preserve"> </w:t>
      </w:r>
      <w:r>
        <w:t>the</w:t>
      </w:r>
      <w:r w:rsidR="00A03629">
        <w:t xml:space="preserve"> </w:t>
      </w:r>
      <w:r>
        <w:t>end</w:t>
      </w:r>
      <w:r w:rsidR="00A03629">
        <w:t xml:space="preserve"> </w:t>
      </w:r>
      <w:r>
        <w:t>of</w:t>
      </w:r>
      <w:r w:rsidR="00A03629">
        <w:t xml:space="preserve"> </w:t>
      </w:r>
      <w:r>
        <w:t>their</w:t>
      </w:r>
      <w:r w:rsidR="00A03629">
        <w:t xml:space="preserve"> </w:t>
      </w:r>
      <w:r>
        <w:t>economic</w:t>
      </w:r>
      <w:r w:rsidR="00A03629">
        <w:t xml:space="preserve"> </w:t>
      </w:r>
      <w:r>
        <w:t>life.</w:t>
      </w:r>
      <w:r w:rsidR="00A03629">
        <w:t xml:space="preserve"> </w:t>
      </w:r>
      <w:r>
        <w:t>The</w:t>
      </w:r>
      <w:r w:rsidR="00A03629">
        <w:t xml:space="preserve"> </w:t>
      </w:r>
      <w:r>
        <w:t>process</w:t>
      </w:r>
      <w:r w:rsidR="00A03629">
        <w:t xml:space="preserve"> </w:t>
      </w:r>
      <w:r>
        <w:t>of</w:t>
      </w:r>
      <w:r w:rsidR="00A03629">
        <w:t xml:space="preserve"> </w:t>
      </w:r>
      <w:r>
        <w:t>acquisition,</w:t>
      </w:r>
      <w:r w:rsidR="00A03629">
        <w:t xml:space="preserve"> </w:t>
      </w:r>
      <w:r>
        <w:t>use</w:t>
      </w:r>
      <w:r w:rsidR="00A03629">
        <w:t xml:space="preserve"> </w:t>
      </w:r>
      <w:r>
        <w:t>and</w:t>
      </w:r>
      <w:r w:rsidR="00A03629">
        <w:t xml:space="preserve"> </w:t>
      </w:r>
      <w:r>
        <w:t>disposal</w:t>
      </w:r>
      <w:r w:rsidR="00A03629">
        <w:t xml:space="preserve"> </w:t>
      </w:r>
      <w:r>
        <w:t>in</w:t>
      </w:r>
      <w:r w:rsidR="00A03629">
        <w:t xml:space="preserve"> </w:t>
      </w:r>
      <w:r>
        <w:t>the</w:t>
      </w:r>
      <w:r w:rsidR="00A03629">
        <w:t xml:space="preserve"> </w:t>
      </w:r>
      <w:r>
        <w:t>market</w:t>
      </w:r>
      <w:r w:rsidR="00A03629">
        <w:t xml:space="preserve"> </w:t>
      </w:r>
      <w:r>
        <w:t>is</w:t>
      </w:r>
      <w:r w:rsidR="00A03629">
        <w:t xml:space="preserve"> </w:t>
      </w:r>
      <w:r>
        <w:t>managed</w:t>
      </w:r>
      <w:r w:rsidR="00A03629">
        <w:t xml:space="preserve"> </w:t>
      </w:r>
      <w:r>
        <w:t>by</w:t>
      </w:r>
      <w:r w:rsidR="00A03629">
        <w:t xml:space="preserve"> </w:t>
      </w:r>
      <w:r>
        <w:t>experienced</w:t>
      </w:r>
      <w:r w:rsidR="00A03629">
        <w:t xml:space="preserve"> </w:t>
      </w:r>
      <w:r>
        <w:t>fleet</w:t>
      </w:r>
      <w:r w:rsidR="00A03629">
        <w:t xml:space="preserve"> </w:t>
      </w:r>
      <w:r>
        <w:t>managers</w:t>
      </w:r>
      <w:r w:rsidR="00A03629">
        <w:t xml:space="preserve"> </w:t>
      </w:r>
      <w:r>
        <w:t>who</w:t>
      </w:r>
      <w:r w:rsidR="00A03629">
        <w:t xml:space="preserve"> </w:t>
      </w:r>
      <w:r>
        <w:t>set</w:t>
      </w:r>
      <w:r w:rsidR="00A03629">
        <w:t xml:space="preserve"> </w:t>
      </w:r>
      <w:r>
        <w:t>relevant</w:t>
      </w:r>
      <w:r w:rsidR="00A03629">
        <w:t xml:space="preserve"> </w:t>
      </w:r>
      <w:r>
        <w:t>depreciation</w:t>
      </w:r>
      <w:r w:rsidR="00A03629">
        <w:t xml:space="preserve"> </w:t>
      </w:r>
      <w:r>
        <w:t>rates</w:t>
      </w:r>
      <w:r w:rsidR="00A03629">
        <w:t xml:space="preserve"> </w:t>
      </w:r>
      <w:r>
        <w:t>during</w:t>
      </w:r>
      <w:r w:rsidR="00A03629">
        <w:t xml:space="preserve"> </w:t>
      </w:r>
      <w:r>
        <w:t>use</w:t>
      </w:r>
      <w:r w:rsidR="00A03629">
        <w:t xml:space="preserve"> </w:t>
      </w:r>
      <w:r>
        <w:t>to</w:t>
      </w:r>
      <w:r w:rsidR="00A03629">
        <w:t xml:space="preserve"> </w:t>
      </w:r>
      <w:r>
        <w:t>reflect</w:t>
      </w:r>
      <w:r w:rsidR="00A03629">
        <w:t xml:space="preserve"> </w:t>
      </w:r>
      <w:r>
        <w:t>the</w:t>
      </w:r>
      <w:r w:rsidR="00A03629">
        <w:t xml:space="preserve"> </w:t>
      </w:r>
      <w:r>
        <w:t>utilisation</w:t>
      </w:r>
      <w:r w:rsidR="00A03629">
        <w:t xml:space="preserve"> </w:t>
      </w:r>
      <w:r>
        <w:t>of</w:t>
      </w:r>
      <w:r w:rsidR="00A03629">
        <w:t xml:space="preserve"> </w:t>
      </w:r>
      <w:r>
        <w:t>the</w:t>
      </w:r>
      <w:r w:rsidR="00A03629">
        <w:t xml:space="preserve"> </w:t>
      </w:r>
      <w:r>
        <w:t>vehicles.</w:t>
      </w:r>
    </w:p>
    <w:p w14:paraId="6547FFFA" w14:textId="1C5FAAA0" w:rsidR="000756EB" w:rsidRPr="007F7F10" w:rsidRDefault="004A4D88" w:rsidP="007F7F10">
      <w:pPr>
        <w:pStyle w:val="Normalbeforebullets"/>
        <w:rPr>
          <w:b/>
          <w:bCs/>
        </w:rPr>
      </w:pPr>
      <w:r w:rsidRPr="007F7F10">
        <w:rPr>
          <w:b/>
          <w:bCs/>
        </w:rPr>
        <w:t>Cultural</w:t>
      </w:r>
      <w:r w:rsidR="00A03629" w:rsidRPr="007F7F10">
        <w:rPr>
          <w:b/>
          <w:bCs/>
        </w:rPr>
        <w:t xml:space="preserve"> </w:t>
      </w:r>
      <w:r w:rsidRPr="007F7F10">
        <w:rPr>
          <w:b/>
          <w:bCs/>
        </w:rPr>
        <w:t>assets</w:t>
      </w:r>
    </w:p>
    <w:p w14:paraId="1634075E" w14:textId="05BC7E12" w:rsidR="000756EB" w:rsidRDefault="004A4D88" w:rsidP="007F7F10">
      <w:r>
        <w:t>Cultural</w:t>
      </w:r>
      <w:r w:rsidR="00A03629">
        <w:t xml:space="preserve"> </w:t>
      </w:r>
      <w:r>
        <w:t>assets</w:t>
      </w:r>
      <w:r w:rsidR="00A03629">
        <w:t xml:space="preserve"> </w:t>
      </w:r>
      <w:r>
        <w:t>are</w:t>
      </w:r>
      <w:r w:rsidR="00A03629">
        <w:t xml:space="preserve"> </w:t>
      </w:r>
      <w:r>
        <w:t>valued</w:t>
      </w:r>
      <w:r w:rsidR="00A03629">
        <w:t xml:space="preserve"> </w:t>
      </w:r>
      <w:r>
        <w:t>using</w:t>
      </w:r>
      <w:r w:rsidR="00A03629">
        <w:t xml:space="preserve"> </w:t>
      </w:r>
      <w:r>
        <w:t>the</w:t>
      </w:r>
      <w:r w:rsidR="00A03629">
        <w:t xml:space="preserve"> </w:t>
      </w:r>
      <w:r>
        <w:t>current</w:t>
      </w:r>
      <w:r w:rsidR="00A03629">
        <w:t xml:space="preserve"> </w:t>
      </w:r>
      <w:r>
        <w:t>replacement</w:t>
      </w:r>
      <w:r w:rsidR="00A03629">
        <w:t xml:space="preserve"> </w:t>
      </w:r>
      <w:r>
        <w:t>cost</w:t>
      </w:r>
      <w:r w:rsidR="00A03629">
        <w:t xml:space="preserve"> </w:t>
      </w:r>
      <w:r>
        <w:t>method</w:t>
      </w:r>
      <w:r w:rsidR="00A03629">
        <w:t xml:space="preserve"> </w:t>
      </w:r>
      <w:r>
        <w:t>where</w:t>
      </w:r>
      <w:r w:rsidR="00A03629">
        <w:t xml:space="preserve"> </w:t>
      </w:r>
      <w:r>
        <w:t>research</w:t>
      </w:r>
      <w:r w:rsidR="00A03629">
        <w:t xml:space="preserve"> </w:t>
      </w:r>
      <w:r>
        <w:t>of</w:t>
      </w:r>
      <w:r w:rsidR="00A03629">
        <w:t xml:space="preserve"> </w:t>
      </w:r>
      <w:r>
        <w:t>similar</w:t>
      </w:r>
      <w:r w:rsidR="00A03629">
        <w:t xml:space="preserve"> </w:t>
      </w:r>
      <w:r>
        <w:t>examples</w:t>
      </w:r>
      <w:r w:rsidR="00A03629">
        <w:t xml:space="preserve"> </w:t>
      </w:r>
      <w:r>
        <w:t>in</w:t>
      </w:r>
      <w:r w:rsidR="00A03629">
        <w:t xml:space="preserve"> </w:t>
      </w:r>
      <w:r>
        <w:t>existence</w:t>
      </w:r>
      <w:r w:rsidR="00A03629">
        <w:t xml:space="preserve"> </w:t>
      </w:r>
      <w:r>
        <w:t>in</w:t>
      </w:r>
      <w:r w:rsidR="00A03629">
        <w:t xml:space="preserve"> </w:t>
      </w:r>
      <w:r>
        <w:t>Australia</w:t>
      </w:r>
      <w:r w:rsidR="00A03629">
        <w:t xml:space="preserve"> </w:t>
      </w:r>
      <w:r>
        <w:t>was</w:t>
      </w:r>
      <w:r w:rsidR="00A03629">
        <w:t xml:space="preserve"> </w:t>
      </w:r>
      <w:r>
        <w:t>conducted</w:t>
      </w:r>
      <w:r w:rsidR="00A03629">
        <w:t xml:space="preserve"> </w:t>
      </w:r>
      <w:r>
        <w:t>and</w:t>
      </w:r>
      <w:r w:rsidR="00A03629">
        <w:t xml:space="preserve"> </w:t>
      </w:r>
      <w:r>
        <w:t>an</w:t>
      </w:r>
      <w:r w:rsidR="00A03629">
        <w:t xml:space="preserve"> </w:t>
      </w:r>
      <w:r>
        <w:t>estimated</w:t>
      </w:r>
      <w:r w:rsidR="00A03629">
        <w:t xml:space="preserve"> </w:t>
      </w:r>
      <w:r>
        <w:t>cost</w:t>
      </w:r>
      <w:r w:rsidR="00A03629">
        <w:t xml:space="preserve"> </w:t>
      </w:r>
      <w:r>
        <w:t>for</w:t>
      </w:r>
      <w:r w:rsidR="00A03629">
        <w:t xml:space="preserve"> </w:t>
      </w:r>
      <w:r>
        <w:t>replacement</w:t>
      </w:r>
      <w:r w:rsidR="00A03629">
        <w:t xml:space="preserve"> </w:t>
      </w:r>
      <w:r>
        <w:t>was</w:t>
      </w:r>
      <w:r w:rsidR="00A03629">
        <w:t xml:space="preserve"> </w:t>
      </w:r>
      <w:r>
        <w:t>established.</w:t>
      </w:r>
    </w:p>
    <w:p w14:paraId="6E061256" w14:textId="77777777" w:rsidR="007F7F10" w:rsidRDefault="007F7F10" w:rsidP="007F7F10">
      <w:pPr>
        <w:pStyle w:val="Normalbeforebullets"/>
        <w:rPr>
          <w:b/>
          <w:bCs/>
        </w:rPr>
        <w:sectPr w:rsidR="007F7F10" w:rsidSect="00D76126">
          <w:pgSz w:w="11906" w:h="16838" w:code="9"/>
          <w:pgMar w:top="1134" w:right="851" w:bottom="1134" w:left="851" w:header="397" w:footer="397" w:gutter="0"/>
          <w:cols w:space="720"/>
          <w:noEndnote/>
        </w:sectPr>
      </w:pPr>
    </w:p>
    <w:p w14:paraId="650B6A0D" w14:textId="6528EC82" w:rsidR="000756EB" w:rsidRPr="007F7F10" w:rsidRDefault="004A4D88" w:rsidP="007F7F10">
      <w:pPr>
        <w:pStyle w:val="Normalbeforebullets"/>
        <w:rPr>
          <w:b/>
          <w:bCs/>
        </w:rPr>
      </w:pPr>
      <w:r w:rsidRPr="007F7F10">
        <w:rPr>
          <w:b/>
          <w:bCs/>
        </w:rPr>
        <w:lastRenderedPageBreak/>
        <w:t>Reconciliation</w:t>
      </w:r>
      <w:r w:rsidR="00A03629" w:rsidRPr="007F7F10">
        <w:rPr>
          <w:b/>
          <w:bCs/>
        </w:rPr>
        <w:t xml:space="preserve"> </w:t>
      </w:r>
      <w:r w:rsidRPr="007F7F10">
        <w:rPr>
          <w:b/>
          <w:bCs/>
        </w:rPr>
        <w:t>of</w:t>
      </w:r>
      <w:r w:rsidR="00A03629" w:rsidRPr="007F7F10">
        <w:rPr>
          <w:b/>
          <w:bCs/>
        </w:rPr>
        <w:t xml:space="preserve"> </w:t>
      </w:r>
      <w:r w:rsidRPr="007F7F10">
        <w:rPr>
          <w:b/>
          <w:bCs/>
        </w:rPr>
        <w:t>Level</w:t>
      </w:r>
      <w:r w:rsidR="00A03629" w:rsidRPr="007F7F10">
        <w:rPr>
          <w:b/>
          <w:bCs/>
        </w:rPr>
        <w:t xml:space="preserve"> </w:t>
      </w:r>
      <w:r w:rsidRPr="007F7F10">
        <w:rPr>
          <w:b/>
          <w:bCs/>
        </w:rPr>
        <w:t>3</w:t>
      </w:r>
      <w:r w:rsidR="00A03629" w:rsidRPr="007F7F10">
        <w:rPr>
          <w:b/>
          <w:bCs/>
        </w:rPr>
        <w:t xml:space="preserve"> </w:t>
      </w:r>
      <w:r w:rsidRPr="007F7F10">
        <w:rPr>
          <w:b/>
          <w:bCs/>
        </w:rPr>
        <w:t>fair</w:t>
      </w:r>
      <w:r w:rsidR="00A03629" w:rsidRPr="007F7F10">
        <w:rPr>
          <w:b/>
          <w:bCs/>
        </w:rPr>
        <w:t xml:space="preserve"> </w:t>
      </w:r>
      <w:r w:rsidRPr="007F7F10">
        <w:rPr>
          <w:b/>
          <w:bCs/>
        </w:rPr>
        <w:t>value</w:t>
      </w:r>
      <w:r w:rsidR="00A03629" w:rsidRPr="007F7F10">
        <w:rPr>
          <w:b/>
          <w:bCs/>
        </w:rPr>
        <w:t xml:space="preserve"> </w:t>
      </w:r>
      <w:r w:rsidRPr="007F7F10">
        <w:rPr>
          <w:b/>
          <w:bCs/>
        </w:rPr>
        <w:t>movements</w:t>
      </w:r>
    </w:p>
    <w:tbl>
      <w:tblPr>
        <w:tblStyle w:val="TableGrid"/>
        <w:tblW w:w="14877" w:type="dxa"/>
        <w:tblLayout w:type="fixed"/>
        <w:tblLook w:val="0020" w:firstRow="1" w:lastRow="0" w:firstColumn="0" w:lastColumn="0" w:noHBand="0" w:noVBand="0"/>
      </w:tblPr>
      <w:tblGrid>
        <w:gridCol w:w="5240"/>
        <w:gridCol w:w="1376"/>
        <w:gridCol w:w="1377"/>
        <w:gridCol w:w="1377"/>
        <w:gridCol w:w="1377"/>
        <w:gridCol w:w="1377"/>
        <w:gridCol w:w="1376"/>
        <w:gridCol w:w="1377"/>
      </w:tblGrid>
      <w:tr w:rsidR="00F70D58" w:rsidRPr="00655639" w14:paraId="2D826D8E" w14:textId="77777777" w:rsidTr="00655639">
        <w:trPr>
          <w:trHeight w:val="60"/>
          <w:tblHeader/>
        </w:trPr>
        <w:tc>
          <w:tcPr>
            <w:tcW w:w="5240" w:type="dxa"/>
          </w:tcPr>
          <w:p w14:paraId="4572E48A" w14:textId="77777777" w:rsidR="00F70D58" w:rsidRPr="00655639" w:rsidRDefault="00F70D58" w:rsidP="00655639">
            <w:pPr>
              <w:pStyle w:val="TableColumnHeading"/>
              <w:rPr>
                <w:sz w:val="20"/>
                <w:szCs w:val="28"/>
              </w:rPr>
            </w:pPr>
            <w:bookmarkStart w:id="131" w:name="ColumnTitles_79"/>
            <w:bookmarkStart w:id="132" w:name="_Hlk149898360"/>
            <w:bookmarkEnd w:id="131"/>
            <w:r w:rsidRPr="00655639">
              <w:rPr>
                <w:sz w:val="20"/>
                <w:szCs w:val="28"/>
              </w:rPr>
              <w:t>2023</w:t>
            </w:r>
          </w:p>
        </w:tc>
        <w:tc>
          <w:tcPr>
            <w:tcW w:w="1376" w:type="dxa"/>
          </w:tcPr>
          <w:p w14:paraId="664F2CFD" w14:textId="58897708" w:rsidR="00F70D58" w:rsidRPr="00655639" w:rsidRDefault="00F70D58" w:rsidP="00655639">
            <w:pPr>
              <w:pStyle w:val="TableColumnHeading"/>
              <w:jc w:val="right"/>
              <w:rPr>
                <w:sz w:val="20"/>
                <w:szCs w:val="28"/>
              </w:rPr>
            </w:pPr>
            <w:r w:rsidRPr="00655639">
              <w:rPr>
                <w:sz w:val="20"/>
                <w:szCs w:val="28"/>
              </w:rPr>
              <w:t>Specialised</w:t>
            </w:r>
            <w:r w:rsidR="00655639">
              <w:rPr>
                <w:sz w:val="20"/>
                <w:szCs w:val="28"/>
              </w:rPr>
              <w:t xml:space="preserve"> </w:t>
            </w:r>
            <w:r w:rsidRPr="00655639">
              <w:rPr>
                <w:sz w:val="20"/>
                <w:szCs w:val="28"/>
              </w:rPr>
              <w:t>land</w:t>
            </w:r>
            <w:r w:rsidR="00655639">
              <w:rPr>
                <w:sz w:val="20"/>
                <w:szCs w:val="28"/>
              </w:rPr>
              <w:t xml:space="preserve"> </w:t>
            </w:r>
            <w:r w:rsidR="00655639" w:rsidRPr="00655639">
              <w:rPr>
                <w:sz w:val="20"/>
                <w:szCs w:val="28"/>
              </w:rPr>
              <w:t>($</w:t>
            </w:r>
            <w:r w:rsidR="00655639">
              <w:rPr>
                <w:sz w:val="20"/>
                <w:szCs w:val="28"/>
              </w:rPr>
              <w:t> </w:t>
            </w:r>
            <w:r w:rsidR="00655639" w:rsidRPr="00655639">
              <w:rPr>
                <w:sz w:val="20"/>
                <w:szCs w:val="28"/>
              </w:rPr>
              <w:t>thousand)</w:t>
            </w:r>
          </w:p>
        </w:tc>
        <w:tc>
          <w:tcPr>
            <w:tcW w:w="1377" w:type="dxa"/>
          </w:tcPr>
          <w:p w14:paraId="067DD4E2" w14:textId="506A89D3" w:rsidR="00F70D58" w:rsidRPr="00655639" w:rsidRDefault="00F70D58" w:rsidP="00655639">
            <w:pPr>
              <w:pStyle w:val="TableColumnHeading"/>
              <w:jc w:val="right"/>
              <w:rPr>
                <w:sz w:val="20"/>
                <w:szCs w:val="28"/>
              </w:rPr>
            </w:pPr>
            <w:r w:rsidRPr="00655639">
              <w:rPr>
                <w:sz w:val="20"/>
                <w:szCs w:val="28"/>
              </w:rPr>
              <w:t>Specialised buildings &amp; non-specialised buildings</w:t>
            </w:r>
            <w:r w:rsidR="00655639">
              <w:rPr>
                <w:sz w:val="20"/>
                <w:szCs w:val="28"/>
              </w:rPr>
              <w:t xml:space="preserve"> </w:t>
            </w:r>
            <w:r w:rsidR="00655639" w:rsidRPr="00655639">
              <w:rPr>
                <w:sz w:val="20"/>
                <w:szCs w:val="28"/>
              </w:rPr>
              <w:t>($</w:t>
            </w:r>
            <w:r w:rsidR="00655639">
              <w:rPr>
                <w:sz w:val="20"/>
                <w:szCs w:val="28"/>
              </w:rPr>
              <w:t> </w:t>
            </w:r>
            <w:r w:rsidR="00655639" w:rsidRPr="00655639">
              <w:rPr>
                <w:sz w:val="20"/>
                <w:szCs w:val="28"/>
              </w:rPr>
              <w:t>thousand)</w:t>
            </w:r>
          </w:p>
        </w:tc>
        <w:tc>
          <w:tcPr>
            <w:tcW w:w="1377" w:type="dxa"/>
          </w:tcPr>
          <w:p w14:paraId="245C95F4" w14:textId="3E42FC0D" w:rsidR="00F70D58" w:rsidRPr="00655639" w:rsidRDefault="00F70D58" w:rsidP="00655639">
            <w:pPr>
              <w:pStyle w:val="TableColumnHeading"/>
              <w:jc w:val="right"/>
              <w:rPr>
                <w:sz w:val="20"/>
                <w:szCs w:val="28"/>
              </w:rPr>
            </w:pPr>
            <w:r w:rsidRPr="00655639">
              <w:rPr>
                <w:sz w:val="20"/>
                <w:szCs w:val="28"/>
              </w:rPr>
              <w:t>Plant and equipment and vehicles</w:t>
            </w:r>
            <w:r w:rsidR="00655639">
              <w:rPr>
                <w:sz w:val="20"/>
                <w:szCs w:val="28"/>
              </w:rPr>
              <w:t xml:space="preserve"> </w:t>
            </w:r>
            <w:r w:rsidR="00655639" w:rsidRPr="00655639">
              <w:rPr>
                <w:sz w:val="20"/>
                <w:szCs w:val="28"/>
              </w:rPr>
              <w:t>($ thousand)</w:t>
            </w:r>
          </w:p>
        </w:tc>
        <w:tc>
          <w:tcPr>
            <w:tcW w:w="1377" w:type="dxa"/>
          </w:tcPr>
          <w:p w14:paraId="0EF17FCB" w14:textId="14F906EC" w:rsidR="00F70D58" w:rsidRPr="00655639" w:rsidRDefault="00F70D58" w:rsidP="00655639">
            <w:pPr>
              <w:pStyle w:val="TableColumnHeading"/>
              <w:jc w:val="right"/>
              <w:rPr>
                <w:sz w:val="20"/>
                <w:szCs w:val="28"/>
              </w:rPr>
            </w:pPr>
            <w:r w:rsidRPr="00655639">
              <w:rPr>
                <w:sz w:val="20"/>
                <w:szCs w:val="28"/>
              </w:rPr>
              <w:t xml:space="preserve">Motor vehicles </w:t>
            </w:r>
            <w:r w:rsidR="00655639" w:rsidRPr="00655639">
              <w:rPr>
                <w:sz w:val="20"/>
                <w:szCs w:val="28"/>
              </w:rPr>
              <w:t>($</w:t>
            </w:r>
            <w:r w:rsidR="00655639">
              <w:rPr>
                <w:sz w:val="20"/>
                <w:szCs w:val="28"/>
              </w:rPr>
              <w:t> </w:t>
            </w:r>
            <w:r w:rsidR="00655639" w:rsidRPr="00655639">
              <w:rPr>
                <w:sz w:val="20"/>
                <w:szCs w:val="28"/>
              </w:rPr>
              <w:t>thousand)</w:t>
            </w:r>
          </w:p>
        </w:tc>
        <w:tc>
          <w:tcPr>
            <w:tcW w:w="1377" w:type="dxa"/>
          </w:tcPr>
          <w:p w14:paraId="61C05387" w14:textId="6CFB7EA2" w:rsidR="00F70D58" w:rsidRPr="00655639" w:rsidRDefault="00F70D58" w:rsidP="00655639">
            <w:pPr>
              <w:pStyle w:val="TableColumnHeading"/>
              <w:jc w:val="right"/>
              <w:rPr>
                <w:sz w:val="20"/>
                <w:szCs w:val="28"/>
              </w:rPr>
            </w:pPr>
            <w:r w:rsidRPr="00655639">
              <w:rPr>
                <w:sz w:val="20"/>
                <w:szCs w:val="28"/>
              </w:rPr>
              <w:t>Cultural assets</w:t>
            </w:r>
            <w:r w:rsidR="00655639">
              <w:rPr>
                <w:sz w:val="20"/>
                <w:szCs w:val="28"/>
              </w:rPr>
              <w:t xml:space="preserve"> </w:t>
            </w:r>
            <w:r w:rsidR="00655639" w:rsidRPr="00655639">
              <w:rPr>
                <w:sz w:val="20"/>
                <w:szCs w:val="28"/>
              </w:rPr>
              <w:t>($</w:t>
            </w:r>
            <w:r w:rsidR="00655639">
              <w:rPr>
                <w:sz w:val="20"/>
                <w:szCs w:val="28"/>
              </w:rPr>
              <w:t> </w:t>
            </w:r>
            <w:r w:rsidR="00655639" w:rsidRPr="00655639">
              <w:rPr>
                <w:sz w:val="20"/>
                <w:szCs w:val="28"/>
              </w:rPr>
              <w:t>thousand)</w:t>
            </w:r>
          </w:p>
        </w:tc>
        <w:tc>
          <w:tcPr>
            <w:tcW w:w="1376" w:type="dxa"/>
          </w:tcPr>
          <w:p w14:paraId="2A515882" w14:textId="7F612CAE" w:rsidR="00F70D58" w:rsidRPr="00655639" w:rsidRDefault="00F70D58" w:rsidP="00655639">
            <w:pPr>
              <w:pStyle w:val="TableColumnHeading"/>
              <w:jc w:val="right"/>
              <w:rPr>
                <w:sz w:val="20"/>
                <w:szCs w:val="28"/>
              </w:rPr>
            </w:pPr>
            <w:r w:rsidRPr="00655639">
              <w:rPr>
                <w:sz w:val="20"/>
                <w:szCs w:val="28"/>
              </w:rPr>
              <w:t xml:space="preserve">Leasehold </w:t>
            </w:r>
            <w:r w:rsidR="00655639">
              <w:rPr>
                <w:sz w:val="20"/>
                <w:szCs w:val="28"/>
              </w:rPr>
              <w:t xml:space="preserve">improvement </w:t>
            </w:r>
            <w:r w:rsidR="00655639" w:rsidRPr="00655639">
              <w:rPr>
                <w:sz w:val="20"/>
                <w:szCs w:val="28"/>
              </w:rPr>
              <w:t>($ thousand)</w:t>
            </w:r>
          </w:p>
        </w:tc>
        <w:tc>
          <w:tcPr>
            <w:tcW w:w="1377" w:type="dxa"/>
          </w:tcPr>
          <w:p w14:paraId="0DBD2D60" w14:textId="40043F62" w:rsidR="00F70D58" w:rsidRPr="00655639" w:rsidRDefault="00F70D58" w:rsidP="00655639">
            <w:pPr>
              <w:pStyle w:val="TableColumnHeading"/>
              <w:jc w:val="right"/>
              <w:rPr>
                <w:sz w:val="20"/>
                <w:szCs w:val="28"/>
              </w:rPr>
            </w:pPr>
            <w:r w:rsidRPr="00655639">
              <w:rPr>
                <w:sz w:val="20"/>
                <w:szCs w:val="28"/>
              </w:rPr>
              <w:t>Total</w:t>
            </w:r>
            <w:r w:rsidR="00655639">
              <w:rPr>
                <w:sz w:val="20"/>
                <w:szCs w:val="28"/>
              </w:rPr>
              <w:t xml:space="preserve"> </w:t>
            </w:r>
            <w:r w:rsidR="00655639" w:rsidRPr="00655639">
              <w:rPr>
                <w:sz w:val="20"/>
                <w:szCs w:val="28"/>
              </w:rPr>
              <w:t>($</w:t>
            </w:r>
            <w:r w:rsidR="00655639">
              <w:rPr>
                <w:sz w:val="20"/>
                <w:szCs w:val="28"/>
              </w:rPr>
              <w:t> </w:t>
            </w:r>
            <w:r w:rsidR="00655639" w:rsidRPr="00655639">
              <w:rPr>
                <w:sz w:val="20"/>
                <w:szCs w:val="28"/>
              </w:rPr>
              <w:t>thousand)</w:t>
            </w:r>
          </w:p>
        </w:tc>
      </w:tr>
      <w:bookmarkEnd w:id="132"/>
      <w:tr w:rsidR="00F70D58" w:rsidRPr="00655639" w14:paraId="6F1D59EE" w14:textId="77777777" w:rsidTr="00F70D58">
        <w:trPr>
          <w:trHeight w:val="60"/>
        </w:trPr>
        <w:tc>
          <w:tcPr>
            <w:tcW w:w="5240" w:type="dxa"/>
          </w:tcPr>
          <w:p w14:paraId="7FB1A478" w14:textId="4EFAD7F1" w:rsidR="00F70D58" w:rsidRPr="00655639" w:rsidRDefault="00F70D58" w:rsidP="00655639">
            <w:pPr>
              <w:pStyle w:val="TableCopy"/>
              <w:rPr>
                <w:b/>
                <w:bCs/>
              </w:rPr>
            </w:pPr>
            <w:r w:rsidRPr="00655639">
              <w:rPr>
                <w:b/>
                <w:bCs/>
              </w:rPr>
              <w:t>Opening Balance</w:t>
            </w:r>
          </w:p>
        </w:tc>
        <w:tc>
          <w:tcPr>
            <w:tcW w:w="1376" w:type="dxa"/>
          </w:tcPr>
          <w:p w14:paraId="50BE3391" w14:textId="3648D523" w:rsidR="00F70D58" w:rsidRPr="00655639" w:rsidRDefault="00F70D58" w:rsidP="00655639">
            <w:pPr>
              <w:pStyle w:val="TableCopy"/>
              <w:jc w:val="right"/>
              <w:rPr>
                <w:b/>
                <w:bCs/>
              </w:rPr>
            </w:pPr>
            <w:r w:rsidRPr="00655639">
              <w:rPr>
                <w:b/>
                <w:bCs/>
              </w:rPr>
              <w:t>492,597</w:t>
            </w:r>
          </w:p>
        </w:tc>
        <w:tc>
          <w:tcPr>
            <w:tcW w:w="1377" w:type="dxa"/>
          </w:tcPr>
          <w:p w14:paraId="2BCD1C31" w14:textId="23255FDB" w:rsidR="00F70D58" w:rsidRPr="00655639" w:rsidRDefault="00F70D58" w:rsidP="00655639">
            <w:pPr>
              <w:pStyle w:val="TableCopy"/>
              <w:jc w:val="right"/>
              <w:rPr>
                <w:b/>
                <w:bCs/>
              </w:rPr>
            </w:pPr>
            <w:r w:rsidRPr="00655639">
              <w:rPr>
                <w:b/>
                <w:bCs/>
              </w:rPr>
              <w:t>488,350</w:t>
            </w:r>
          </w:p>
        </w:tc>
        <w:tc>
          <w:tcPr>
            <w:tcW w:w="1377" w:type="dxa"/>
          </w:tcPr>
          <w:p w14:paraId="76BF4775" w14:textId="6BDB1A9D" w:rsidR="00F70D58" w:rsidRPr="00655639" w:rsidRDefault="00F70D58" w:rsidP="00655639">
            <w:pPr>
              <w:pStyle w:val="TableCopy"/>
              <w:jc w:val="right"/>
              <w:rPr>
                <w:b/>
                <w:bCs/>
              </w:rPr>
            </w:pPr>
            <w:r w:rsidRPr="00655639">
              <w:rPr>
                <w:b/>
                <w:bCs/>
              </w:rPr>
              <w:t>23,881</w:t>
            </w:r>
          </w:p>
        </w:tc>
        <w:tc>
          <w:tcPr>
            <w:tcW w:w="1377" w:type="dxa"/>
          </w:tcPr>
          <w:p w14:paraId="23255488" w14:textId="4F98F2DE" w:rsidR="00F70D58" w:rsidRPr="00655639" w:rsidRDefault="00F70D58" w:rsidP="00655639">
            <w:pPr>
              <w:pStyle w:val="TableCopy"/>
              <w:jc w:val="right"/>
              <w:rPr>
                <w:b/>
                <w:bCs/>
              </w:rPr>
            </w:pPr>
            <w:r w:rsidRPr="00655639">
              <w:rPr>
                <w:b/>
                <w:bCs/>
              </w:rPr>
              <w:t>11,059</w:t>
            </w:r>
          </w:p>
        </w:tc>
        <w:tc>
          <w:tcPr>
            <w:tcW w:w="1377" w:type="dxa"/>
          </w:tcPr>
          <w:p w14:paraId="6A28B727" w14:textId="39AA15FA" w:rsidR="00F70D58" w:rsidRPr="00655639" w:rsidRDefault="00F70D58" w:rsidP="00655639">
            <w:pPr>
              <w:pStyle w:val="TableCopy"/>
              <w:jc w:val="right"/>
              <w:rPr>
                <w:b/>
                <w:bCs/>
              </w:rPr>
            </w:pPr>
            <w:r w:rsidRPr="00655639">
              <w:rPr>
                <w:b/>
                <w:bCs/>
              </w:rPr>
              <w:t>2,772</w:t>
            </w:r>
          </w:p>
        </w:tc>
        <w:tc>
          <w:tcPr>
            <w:tcW w:w="1376" w:type="dxa"/>
          </w:tcPr>
          <w:p w14:paraId="37073387" w14:textId="4D19DDCE" w:rsidR="00F70D58" w:rsidRPr="00655639" w:rsidRDefault="00F70D58" w:rsidP="00655639">
            <w:pPr>
              <w:pStyle w:val="TableCopy"/>
              <w:jc w:val="right"/>
              <w:rPr>
                <w:b/>
                <w:bCs/>
              </w:rPr>
            </w:pPr>
            <w:r w:rsidRPr="00655639">
              <w:rPr>
                <w:b/>
                <w:bCs/>
              </w:rPr>
              <w:t>20,093</w:t>
            </w:r>
          </w:p>
        </w:tc>
        <w:tc>
          <w:tcPr>
            <w:tcW w:w="1377" w:type="dxa"/>
          </w:tcPr>
          <w:p w14:paraId="2A508C26" w14:textId="745EF456" w:rsidR="00F70D58" w:rsidRPr="00655639" w:rsidRDefault="00F70D58" w:rsidP="00655639">
            <w:pPr>
              <w:pStyle w:val="TableCopy"/>
              <w:jc w:val="right"/>
              <w:rPr>
                <w:b/>
                <w:bCs/>
              </w:rPr>
            </w:pPr>
            <w:r w:rsidRPr="00655639">
              <w:rPr>
                <w:b/>
                <w:bCs/>
              </w:rPr>
              <w:t>1,038,754</w:t>
            </w:r>
          </w:p>
        </w:tc>
      </w:tr>
      <w:tr w:rsidR="00F70D58" w:rsidRPr="00655639" w14:paraId="41EF8EDF" w14:textId="77777777" w:rsidTr="00F70D58">
        <w:trPr>
          <w:trHeight w:val="60"/>
        </w:trPr>
        <w:tc>
          <w:tcPr>
            <w:tcW w:w="5240" w:type="dxa"/>
          </w:tcPr>
          <w:p w14:paraId="540FEE47" w14:textId="77777777" w:rsidR="00F70D58" w:rsidRPr="00655639" w:rsidRDefault="00F70D58" w:rsidP="00655639">
            <w:pPr>
              <w:pStyle w:val="TableCopy"/>
            </w:pPr>
            <w:r w:rsidRPr="00655639">
              <w:t>Additions</w:t>
            </w:r>
          </w:p>
        </w:tc>
        <w:tc>
          <w:tcPr>
            <w:tcW w:w="1376" w:type="dxa"/>
          </w:tcPr>
          <w:p w14:paraId="482DB496" w14:textId="79D07289" w:rsidR="00F70D58" w:rsidRPr="00655639" w:rsidRDefault="00F70D58" w:rsidP="00655639">
            <w:pPr>
              <w:pStyle w:val="TableCopy"/>
              <w:jc w:val="right"/>
            </w:pPr>
            <w:r w:rsidRPr="00655639">
              <w:t>4</w:t>
            </w:r>
          </w:p>
        </w:tc>
        <w:tc>
          <w:tcPr>
            <w:tcW w:w="1377" w:type="dxa"/>
          </w:tcPr>
          <w:p w14:paraId="1C75C4C6" w14:textId="4CC6F62B" w:rsidR="00F70D58" w:rsidRPr="00655639" w:rsidRDefault="00F70D58" w:rsidP="00655639">
            <w:pPr>
              <w:pStyle w:val="TableCopy"/>
              <w:jc w:val="right"/>
            </w:pPr>
            <w:r w:rsidRPr="00655639">
              <w:t>774</w:t>
            </w:r>
          </w:p>
        </w:tc>
        <w:tc>
          <w:tcPr>
            <w:tcW w:w="1377" w:type="dxa"/>
          </w:tcPr>
          <w:p w14:paraId="6D0AA815" w14:textId="77777777" w:rsidR="00F70D58" w:rsidRPr="00655639" w:rsidRDefault="00F70D58" w:rsidP="00655639">
            <w:pPr>
              <w:pStyle w:val="TableCopy"/>
              <w:jc w:val="right"/>
            </w:pPr>
            <w:r w:rsidRPr="00655639">
              <w:t>1,255</w:t>
            </w:r>
          </w:p>
        </w:tc>
        <w:tc>
          <w:tcPr>
            <w:tcW w:w="1377" w:type="dxa"/>
          </w:tcPr>
          <w:p w14:paraId="4CDF2AC2" w14:textId="77777777" w:rsidR="00F70D58" w:rsidRPr="00655639" w:rsidRDefault="00F70D58" w:rsidP="00655639">
            <w:pPr>
              <w:pStyle w:val="TableCopy"/>
              <w:jc w:val="right"/>
            </w:pPr>
            <w:r w:rsidRPr="00655639">
              <w:t>6,767</w:t>
            </w:r>
          </w:p>
        </w:tc>
        <w:tc>
          <w:tcPr>
            <w:tcW w:w="1377" w:type="dxa"/>
          </w:tcPr>
          <w:p w14:paraId="28783B81" w14:textId="03DE6821" w:rsidR="00F70D58" w:rsidRPr="00655639" w:rsidRDefault="00F70D58" w:rsidP="00655639">
            <w:pPr>
              <w:pStyle w:val="TableCopy"/>
              <w:jc w:val="right"/>
            </w:pPr>
            <w:r w:rsidRPr="00655639">
              <w:t>–</w:t>
            </w:r>
          </w:p>
        </w:tc>
        <w:tc>
          <w:tcPr>
            <w:tcW w:w="1376" w:type="dxa"/>
          </w:tcPr>
          <w:p w14:paraId="278F9457" w14:textId="643676D9" w:rsidR="00F70D58" w:rsidRPr="00655639" w:rsidRDefault="00F70D58" w:rsidP="00655639">
            <w:pPr>
              <w:pStyle w:val="TableCopy"/>
              <w:jc w:val="right"/>
            </w:pPr>
            <w:r w:rsidRPr="00655639">
              <w:t>–</w:t>
            </w:r>
          </w:p>
        </w:tc>
        <w:tc>
          <w:tcPr>
            <w:tcW w:w="1377" w:type="dxa"/>
          </w:tcPr>
          <w:p w14:paraId="4A3A843A" w14:textId="77777777" w:rsidR="00F70D58" w:rsidRPr="00655639" w:rsidRDefault="00F70D58" w:rsidP="00655639">
            <w:pPr>
              <w:pStyle w:val="TableCopy"/>
              <w:jc w:val="right"/>
            </w:pPr>
            <w:r w:rsidRPr="00655639">
              <w:t>8,800</w:t>
            </w:r>
          </w:p>
        </w:tc>
      </w:tr>
      <w:tr w:rsidR="00F70D58" w:rsidRPr="00655639" w14:paraId="4E53B949" w14:textId="77777777" w:rsidTr="00F70D58">
        <w:trPr>
          <w:trHeight w:val="60"/>
        </w:trPr>
        <w:tc>
          <w:tcPr>
            <w:tcW w:w="5240" w:type="dxa"/>
          </w:tcPr>
          <w:p w14:paraId="1E48C6C6" w14:textId="77777777" w:rsidR="00F70D58" w:rsidRPr="00655639" w:rsidRDefault="00F70D58" w:rsidP="00655639">
            <w:pPr>
              <w:pStyle w:val="TableCopy"/>
            </w:pPr>
            <w:r w:rsidRPr="00655639">
              <w:t>Disposals</w:t>
            </w:r>
          </w:p>
        </w:tc>
        <w:tc>
          <w:tcPr>
            <w:tcW w:w="1376" w:type="dxa"/>
          </w:tcPr>
          <w:p w14:paraId="7F8A7956" w14:textId="2728451F" w:rsidR="00F70D58" w:rsidRPr="00655639" w:rsidRDefault="00F70D58" w:rsidP="00655639">
            <w:pPr>
              <w:pStyle w:val="TableCopy"/>
              <w:jc w:val="right"/>
            </w:pPr>
            <w:r w:rsidRPr="00655639">
              <w:t>–</w:t>
            </w:r>
          </w:p>
        </w:tc>
        <w:tc>
          <w:tcPr>
            <w:tcW w:w="1377" w:type="dxa"/>
          </w:tcPr>
          <w:p w14:paraId="7E5DDB83" w14:textId="7945FB9F" w:rsidR="00F70D58" w:rsidRPr="00655639" w:rsidRDefault="00F70D58" w:rsidP="00655639">
            <w:pPr>
              <w:pStyle w:val="TableCopy"/>
              <w:jc w:val="right"/>
            </w:pPr>
            <w:r w:rsidRPr="00655639">
              <w:t>–</w:t>
            </w:r>
          </w:p>
        </w:tc>
        <w:tc>
          <w:tcPr>
            <w:tcW w:w="1377" w:type="dxa"/>
          </w:tcPr>
          <w:p w14:paraId="71BB39C8" w14:textId="77777777" w:rsidR="00F70D58" w:rsidRPr="00655639" w:rsidRDefault="00F70D58" w:rsidP="00655639">
            <w:pPr>
              <w:pStyle w:val="TableCopy"/>
              <w:jc w:val="right"/>
            </w:pPr>
            <w:r w:rsidRPr="00655639">
              <w:t>(11)</w:t>
            </w:r>
          </w:p>
        </w:tc>
        <w:tc>
          <w:tcPr>
            <w:tcW w:w="1377" w:type="dxa"/>
          </w:tcPr>
          <w:p w14:paraId="36A49DFA" w14:textId="77777777" w:rsidR="00F70D58" w:rsidRPr="00655639" w:rsidRDefault="00F70D58" w:rsidP="00655639">
            <w:pPr>
              <w:pStyle w:val="TableCopy"/>
              <w:jc w:val="right"/>
            </w:pPr>
            <w:r w:rsidRPr="00655639">
              <w:t>(3,695)</w:t>
            </w:r>
          </w:p>
        </w:tc>
        <w:tc>
          <w:tcPr>
            <w:tcW w:w="1377" w:type="dxa"/>
          </w:tcPr>
          <w:p w14:paraId="644D3E15" w14:textId="13DB29DD" w:rsidR="00F70D58" w:rsidRPr="00655639" w:rsidRDefault="00F70D58" w:rsidP="00655639">
            <w:pPr>
              <w:pStyle w:val="TableCopy"/>
              <w:jc w:val="right"/>
            </w:pPr>
            <w:r w:rsidRPr="00655639">
              <w:t>–</w:t>
            </w:r>
          </w:p>
        </w:tc>
        <w:tc>
          <w:tcPr>
            <w:tcW w:w="1376" w:type="dxa"/>
          </w:tcPr>
          <w:p w14:paraId="0253A9AA" w14:textId="77777777" w:rsidR="00F70D58" w:rsidRPr="00655639" w:rsidRDefault="00F70D58" w:rsidP="00655639">
            <w:pPr>
              <w:pStyle w:val="TableCopy"/>
              <w:jc w:val="right"/>
            </w:pPr>
            <w:r w:rsidRPr="00655639">
              <w:t>(33)</w:t>
            </w:r>
          </w:p>
        </w:tc>
        <w:tc>
          <w:tcPr>
            <w:tcW w:w="1377" w:type="dxa"/>
          </w:tcPr>
          <w:p w14:paraId="5EA07FCD" w14:textId="77777777" w:rsidR="00F70D58" w:rsidRPr="00655639" w:rsidRDefault="00F70D58" w:rsidP="00655639">
            <w:pPr>
              <w:pStyle w:val="TableCopy"/>
              <w:jc w:val="right"/>
            </w:pPr>
            <w:r w:rsidRPr="00655639">
              <w:t>(3,740)</w:t>
            </w:r>
          </w:p>
        </w:tc>
      </w:tr>
      <w:tr w:rsidR="00F70D58" w:rsidRPr="00655639" w14:paraId="32DAE8DA" w14:textId="77777777" w:rsidTr="00F70D58">
        <w:trPr>
          <w:trHeight w:val="60"/>
        </w:trPr>
        <w:tc>
          <w:tcPr>
            <w:tcW w:w="5240" w:type="dxa"/>
          </w:tcPr>
          <w:p w14:paraId="7CF7FFE1" w14:textId="22BAFF0C" w:rsidR="00F70D58" w:rsidRPr="00655639" w:rsidRDefault="00F70D58" w:rsidP="00655639">
            <w:pPr>
              <w:pStyle w:val="TableCopy"/>
            </w:pPr>
            <w:r w:rsidRPr="00655639">
              <w:t>Return of capital</w:t>
            </w:r>
          </w:p>
        </w:tc>
        <w:tc>
          <w:tcPr>
            <w:tcW w:w="1376" w:type="dxa"/>
          </w:tcPr>
          <w:p w14:paraId="61A3DD6B" w14:textId="43A8C2F3" w:rsidR="00F70D58" w:rsidRPr="00655639" w:rsidRDefault="00F70D58" w:rsidP="00655639">
            <w:pPr>
              <w:pStyle w:val="TableCopy"/>
              <w:jc w:val="right"/>
            </w:pPr>
            <w:r w:rsidRPr="00655639">
              <w:t>–</w:t>
            </w:r>
          </w:p>
        </w:tc>
        <w:tc>
          <w:tcPr>
            <w:tcW w:w="1377" w:type="dxa"/>
          </w:tcPr>
          <w:p w14:paraId="667229AF" w14:textId="42E89E21" w:rsidR="00F70D58" w:rsidRPr="00655639" w:rsidRDefault="00F70D58" w:rsidP="00655639">
            <w:pPr>
              <w:pStyle w:val="TableCopy"/>
              <w:jc w:val="right"/>
            </w:pPr>
            <w:r w:rsidRPr="00655639">
              <w:t>–</w:t>
            </w:r>
          </w:p>
        </w:tc>
        <w:tc>
          <w:tcPr>
            <w:tcW w:w="1377" w:type="dxa"/>
          </w:tcPr>
          <w:p w14:paraId="44B61A48" w14:textId="77777777" w:rsidR="00F70D58" w:rsidRPr="00655639" w:rsidRDefault="00F70D58" w:rsidP="00655639">
            <w:pPr>
              <w:pStyle w:val="TableCopy"/>
              <w:jc w:val="right"/>
            </w:pPr>
            <w:r w:rsidRPr="00655639">
              <w:t>–</w:t>
            </w:r>
          </w:p>
        </w:tc>
        <w:tc>
          <w:tcPr>
            <w:tcW w:w="1377" w:type="dxa"/>
          </w:tcPr>
          <w:p w14:paraId="191B11BA" w14:textId="3A409882" w:rsidR="00F70D58" w:rsidRPr="00655639" w:rsidRDefault="00F70D58" w:rsidP="00655639">
            <w:pPr>
              <w:pStyle w:val="TableCopy"/>
              <w:jc w:val="right"/>
            </w:pPr>
            <w:r w:rsidRPr="00655639">
              <w:t>–</w:t>
            </w:r>
          </w:p>
        </w:tc>
        <w:tc>
          <w:tcPr>
            <w:tcW w:w="1377" w:type="dxa"/>
          </w:tcPr>
          <w:p w14:paraId="3E83D0AE" w14:textId="18FF43F8" w:rsidR="00F70D58" w:rsidRPr="00655639" w:rsidRDefault="00F70D58" w:rsidP="00655639">
            <w:pPr>
              <w:pStyle w:val="TableCopy"/>
              <w:jc w:val="right"/>
            </w:pPr>
            <w:r w:rsidRPr="00655639">
              <w:t>–</w:t>
            </w:r>
          </w:p>
        </w:tc>
        <w:tc>
          <w:tcPr>
            <w:tcW w:w="1376" w:type="dxa"/>
          </w:tcPr>
          <w:p w14:paraId="61E98152" w14:textId="13DF4043" w:rsidR="00F70D58" w:rsidRPr="00655639" w:rsidRDefault="00F70D58" w:rsidP="00655639">
            <w:pPr>
              <w:pStyle w:val="TableCopy"/>
              <w:jc w:val="right"/>
            </w:pPr>
            <w:r w:rsidRPr="00655639">
              <w:t>–</w:t>
            </w:r>
          </w:p>
        </w:tc>
        <w:tc>
          <w:tcPr>
            <w:tcW w:w="1377" w:type="dxa"/>
          </w:tcPr>
          <w:p w14:paraId="56130606" w14:textId="76B10288" w:rsidR="00F70D58" w:rsidRPr="00655639" w:rsidRDefault="00F70D58" w:rsidP="00655639">
            <w:pPr>
              <w:pStyle w:val="TableCopy"/>
              <w:jc w:val="right"/>
            </w:pPr>
            <w:r w:rsidRPr="00655639">
              <w:t>–</w:t>
            </w:r>
          </w:p>
        </w:tc>
      </w:tr>
      <w:tr w:rsidR="00F70D58" w:rsidRPr="00655639" w14:paraId="4BC51681" w14:textId="77777777" w:rsidTr="00F70D58">
        <w:trPr>
          <w:trHeight w:val="60"/>
        </w:trPr>
        <w:tc>
          <w:tcPr>
            <w:tcW w:w="5240" w:type="dxa"/>
          </w:tcPr>
          <w:p w14:paraId="1323B06A" w14:textId="4A873893" w:rsidR="00F70D58" w:rsidRPr="00655639" w:rsidRDefault="00F70D58" w:rsidP="00655639">
            <w:pPr>
              <w:pStyle w:val="TableCopy"/>
            </w:pPr>
            <w:r w:rsidRPr="00655639">
              <w:t>Transfers via contributed capital</w:t>
            </w:r>
          </w:p>
        </w:tc>
        <w:tc>
          <w:tcPr>
            <w:tcW w:w="1376" w:type="dxa"/>
          </w:tcPr>
          <w:p w14:paraId="64F52BB4" w14:textId="49723228" w:rsidR="00F70D58" w:rsidRPr="00655639" w:rsidRDefault="00F70D58" w:rsidP="00655639">
            <w:pPr>
              <w:pStyle w:val="TableCopy"/>
              <w:jc w:val="right"/>
            </w:pPr>
            <w:r w:rsidRPr="00655639">
              <w:t>–</w:t>
            </w:r>
          </w:p>
        </w:tc>
        <w:tc>
          <w:tcPr>
            <w:tcW w:w="1377" w:type="dxa"/>
          </w:tcPr>
          <w:p w14:paraId="2C9A9752" w14:textId="77777777" w:rsidR="00F70D58" w:rsidRPr="00655639" w:rsidRDefault="00F70D58" w:rsidP="00655639">
            <w:pPr>
              <w:pStyle w:val="TableCopy"/>
              <w:jc w:val="right"/>
            </w:pPr>
            <w:r w:rsidRPr="00655639">
              <w:t>(1,604)</w:t>
            </w:r>
          </w:p>
        </w:tc>
        <w:tc>
          <w:tcPr>
            <w:tcW w:w="1377" w:type="dxa"/>
          </w:tcPr>
          <w:p w14:paraId="41ABF317" w14:textId="0770E757" w:rsidR="00F70D58" w:rsidRPr="00655639" w:rsidRDefault="00F70D58" w:rsidP="00655639">
            <w:pPr>
              <w:pStyle w:val="TableCopy"/>
              <w:jc w:val="right"/>
            </w:pPr>
            <w:r w:rsidRPr="00655639">
              <w:t>–</w:t>
            </w:r>
          </w:p>
        </w:tc>
        <w:tc>
          <w:tcPr>
            <w:tcW w:w="1377" w:type="dxa"/>
          </w:tcPr>
          <w:p w14:paraId="7C998C13" w14:textId="4EF312F5" w:rsidR="00F70D58" w:rsidRPr="00655639" w:rsidRDefault="00F70D58" w:rsidP="00655639">
            <w:pPr>
              <w:pStyle w:val="TableCopy"/>
              <w:jc w:val="right"/>
            </w:pPr>
            <w:r w:rsidRPr="00655639">
              <w:t>–</w:t>
            </w:r>
          </w:p>
        </w:tc>
        <w:tc>
          <w:tcPr>
            <w:tcW w:w="1377" w:type="dxa"/>
          </w:tcPr>
          <w:p w14:paraId="299FA320" w14:textId="38834D31" w:rsidR="00F70D58" w:rsidRPr="00655639" w:rsidRDefault="00F70D58" w:rsidP="00655639">
            <w:pPr>
              <w:pStyle w:val="TableCopy"/>
              <w:jc w:val="right"/>
            </w:pPr>
            <w:r w:rsidRPr="00655639">
              <w:t>–</w:t>
            </w:r>
          </w:p>
        </w:tc>
        <w:tc>
          <w:tcPr>
            <w:tcW w:w="1376" w:type="dxa"/>
          </w:tcPr>
          <w:p w14:paraId="6C41BD97" w14:textId="305042AB" w:rsidR="00F70D58" w:rsidRPr="00655639" w:rsidRDefault="00F70D58" w:rsidP="00655639">
            <w:pPr>
              <w:pStyle w:val="TableCopy"/>
              <w:jc w:val="right"/>
            </w:pPr>
            <w:r w:rsidRPr="00655639">
              <w:t>–</w:t>
            </w:r>
          </w:p>
        </w:tc>
        <w:tc>
          <w:tcPr>
            <w:tcW w:w="1377" w:type="dxa"/>
          </w:tcPr>
          <w:p w14:paraId="31134830" w14:textId="77777777" w:rsidR="00F70D58" w:rsidRPr="00655639" w:rsidRDefault="00F70D58" w:rsidP="00655639">
            <w:pPr>
              <w:pStyle w:val="TableCopy"/>
              <w:jc w:val="right"/>
            </w:pPr>
            <w:r w:rsidRPr="00655639">
              <w:t>(1,604)</w:t>
            </w:r>
          </w:p>
        </w:tc>
      </w:tr>
      <w:tr w:rsidR="00F70D58" w:rsidRPr="00655639" w14:paraId="0654359A" w14:textId="77777777" w:rsidTr="00F70D58">
        <w:trPr>
          <w:trHeight w:val="60"/>
        </w:trPr>
        <w:tc>
          <w:tcPr>
            <w:tcW w:w="5240" w:type="dxa"/>
          </w:tcPr>
          <w:p w14:paraId="62FD2E20" w14:textId="3C792195" w:rsidR="00F70D58" w:rsidRPr="00655639" w:rsidRDefault="00F70D58" w:rsidP="00655639">
            <w:pPr>
              <w:pStyle w:val="TableCopy"/>
            </w:pPr>
            <w:r w:rsidRPr="00655639">
              <w:t>Transfers to classified as held for sale</w:t>
            </w:r>
          </w:p>
        </w:tc>
        <w:tc>
          <w:tcPr>
            <w:tcW w:w="1376" w:type="dxa"/>
          </w:tcPr>
          <w:p w14:paraId="06236621" w14:textId="1A80C5D2" w:rsidR="00F70D58" w:rsidRPr="00655639" w:rsidRDefault="00F70D58" w:rsidP="00655639">
            <w:pPr>
              <w:pStyle w:val="TableCopy"/>
              <w:jc w:val="right"/>
            </w:pPr>
            <w:r w:rsidRPr="00655639">
              <w:t>–</w:t>
            </w:r>
          </w:p>
        </w:tc>
        <w:tc>
          <w:tcPr>
            <w:tcW w:w="1377" w:type="dxa"/>
          </w:tcPr>
          <w:p w14:paraId="1711AEF9" w14:textId="64AD76AA" w:rsidR="00F70D58" w:rsidRPr="00655639" w:rsidRDefault="00F70D58" w:rsidP="00655639">
            <w:pPr>
              <w:pStyle w:val="TableCopy"/>
              <w:jc w:val="right"/>
            </w:pPr>
            <w:r w:rsidRPr="00655639">
              <w:t>–</w:t>
            </w:r>
          </w:p>
        </w:tc>
        <w:tc>
          <w:tcPr>
            <w:tcW w:w="1377" w:type="dxa"/>
          </w:tcPr>
          <w:p w14:paraId="1C7235AA" w14:textId="537A1529" w:rsidR="00F70D58" w:rsidRPr="00655639" w:rsidRDefault="00F70D58" w:rsidP="00655639">
            <w:pPr>
              <w:pStyle w:val="TableCopy"/>
              <w:jc w:val="right"/>
            </w:pPr>
            <w:r w:rsidRPr="00655639">
              <w:t>–</w:t>
            </w:r>
          </w:p>
        </w:tc>
        <w:tc>
          <w:tcPr>
            <w:tcW w:w="1377" w:type="dxa"/>
          </w:tcPr>
          <w:p w14:paraId="64817EDE" w14:textId="77777777" w:rsidR="00F70D58" w:rsidRPr="00655639" w:rsidRDefault="00F70D58" w:rsidP="00655639">
            <w:pPr>
              <w:pStyle w:val="TableCopy"/>
              <w:jc w:val="right"/>
            </w:pPr>
            <w:r w:rsidRPr="00655639">
              <w:t>(231)</w:t>
            </w:r>
          </w:p>
        </w:tc>
        <w:tc>
          <w:tcPr>
            <w:tcW w:w="1377" w:type="dxa"/>
          </w:tcPr>
          <w:p w14:paraId="56ECE8C2" w14:textId="1B6C31F8" w:rsidR="00F70D58" w:rsidRPr="00655639" w:rsidRDefault="00F70D58" w:rsidP="00655639">
            <w:pPr>
              <w:pStyle w:val="TableCopy"/>
              <w:jc w:val="right"/>
            </w:pPr>
            <w:r w:rsidRPr="00655639">
              <w:t>–</w:t>
            </w:r>
          </w:p>
        </w:tc>
        <w:tc>
          <w:tcPr>
            <w:tcW w:w="1376" w:type="dxa"/>
          </w:tcPr>
          <w:p w14:paraId="59AA39B6" w14:textId="5D3591CB" w:rsidR="00F70D58" w:rsidRPr="00655639" w:rsidRDefault="00F70D58" w:rsidP="00655639">
            <w:pPr>
              <w:pStyle w:val="TableCopy"/>
              <w:jc w:val="right"/>
            </w:pPr>
            <w:r w:rsidRPr="00655639">
              <w:t>–</w:t>
            </w:r>
          </w:p>
        </w:tc>
        <w:tc>
          <w:tcPr>
            <w:tcW w:w="1377" w:type="dxa"/>
          </w:tcPr>
          <w:p w14:paraId="7274CFC9" w14:textId="77777777" w:rsidR="00F70D58" w:rsidRPr="00655639" w:rsidRDefault="00F70D58" w:rsidP="00655639">
            <w:pPr>
              <w:pStyle w:val="TableCopy"/>
              <w:jc w:val="right"/>
            </w:pPr>
            <w:r w:rsidRPr="00655639">
              <w:t>(231)</w:t>
            </w:r>
          </w:p>
        </w:tc>
      </w:tr>
      <w:tr w:rsidR="00F70D58" w:rsidRPr="00655639" w14:paraId="22019599" w14:textId="77777777" w:rsidTr="00F70D58">
        <w:trPr>
          <w:trHeight w:val="60"/>
        </w:trPr>
        <w:tc>
          <w:tcPr>
            <w:tcW w:w="5240" w:type="dxa"/>
          </w:tcPr>
          <w:p w14:paraId="679917DB" w14:textId="78961957" w:rsidR="00F70D58" w:rsidRPr="00655639" w:rsidRDefault="00F70D58" w:rsidP="00655639">
            <w:pPr>
              <w:pStyle w:val="TableCopy"/>
            </w:pPr>
            <w:r w:rsidRPr="00655639">
              <w:t xml:space="preserve">Transfers in/(out) – machinery of government transfers </w:t>
            </w:r>
            <w:r w:rsidRPr="00614829">
              <w:rPr>
                <w:rStyle w:val="FootnotereferencessuperscriptMisc"/>
              </w:rPr>
              <w:t>(</w:t>
            </w:r>
            <w:proofErr w:type="spellStart"/>
            <w:r w:rsidRPr="00614829">
              <w:rPr>
                <w:rStyle w:val="FootnotereferencessuperscriptMisc"/>
              </w:rPr>
              <w:t>i</w:t>
            </w:r>
            <w:proofErr w:type="spellEnd"/>
            <w:r w:rsidRPr="00614829">
              <w:rPr>
                <w:rStyle w:val="FootnotereferencessuperscriptMisc"/>
              </w:rPr>
              <w:t>)</w:t>
            </w:r>
          </w:p>
        </w:tc>
        <w:tc>
          <w:tcPr>
            <w:tcW w:w="1376" w:type="dxa"/>
          </w:tcPr>
          <w:p w14:paraId="49711B26" w14:textId="77777777" w:rsidR="00F70D58" w:rsidRPr="00655639" w:rsidRDefault="00F70D58" w:rsidP="00655639">
            <w:pPr>
              <w:pStyle w:val="TableCopy"/>
              <w:jc w:val="right"/>
            </w:pPr>
            <w:r w:rsidRPr="00655639">
              <w:t>(17,276)</w:t>
            </w:r>
          </w:p>
        </w:tc>
        <w:tc>
          <w:tcPr>
            <w:tcW w:w="1377" w:type="dxa"/>
          </w:tcPr>
          <w:p w14:paraId="132B4F8F" w14:textId="77777777" w:rsidR="00F70D58" w:rsidRPr="00655639" w:rsidRDefault="00F70D58" w:rsidP="00655639">
            <w:pPr>
              <w:pStyle w:val="TableCopy"/>
              <w:jc w:val="right"/>
            </w:pPr>
            <w:r w:rsidRPr="00655639">
              <w:t>(188,592)</w:t>
            </w:r>
          </w:p>
        </w:tc>
        <w:tc>
          <w:tcPr>
            <w:tcW w:w="1377" w:type="dxa"/>
          </w:tcPr>
          <w:p w14:paraId="7F97D0C0" w14:textId="77777777" w:rsidR="00F70D58" w:rsidRPr="00655639" w:rsidRDefault="00F70D58" w:rsidP="00655639">
            <w:pPr>
              <w:pStyle w:val="TableCopy"/>
              <w:jc w:val="right"/>
            </w:pPr>
            <w:r w:rsidRPr="00655639">
              <w:t>(21,459)</w:t>
            </w:r>
          </w:p>
        </w:tc>
        <w:tc>
          <w:tcPr>
            <w:tcW w:w="1377" w:type="dxa"/>
          </w:tcPr>
          <w:p w14:paraId="7E30519A" w14:textId="77777777" w:rsidR="00F70D58" w:rsidRPr="00655639" w:rsidRDefault="00F70D58" w:rsidP="00655639">
            <w:pPr>
              <w:pStyle w:val="TableCopy"/>
              <w:jc w:val="right"/>
            </w:pPr>
            <w:r w:rsidRPr="00655639">
              <w:t>(8,492)</w:t>
            </w:r>
          </w:p>
        </w:tc>
        <w:tc>
          <w:tcPr>
            <w:tcW w:w="1377" w:type="dxa"/>
          </w:tcPr>
          <w:p w14:paraId="1EB78AE4" w14:textId="501E3733" w:rsidR="00F70D58" w:rsidRPr="00655639" w:rsidRDefault="00F70D58" w:rsidP="00655639">
            <w:pPr>
              <w:pStyle w:val="TableCopy"/>
              <w:jc w:val="right"/>
            </w:pPr>
            <w:r w:rsidRPr="00655639">
              <w:t>–</w:t>
            </w:r>
          </w:p>
        </w:tc>
        <w:tc>
          <w:tcPr>
            <w:tcW w:w="1376" w:type="dxa"/>
          </w:tcPr>
          <w:p w14:paraId="02580FBE" w14:textId="77777777" w:rsidR="00F70D58" w:rsidRPr="00655639" w:rsidRDefault="00F70D58" w:rsidP="00655639">
            <w:pPr>
              <w:pStyle w:val="TableCopy"/>
              <w:jc w:val="right"/>
            </w:pPr>
            <w:r w:rsidRPr="00655639">
              <w:t>(9,657)</w:t>
            </w:r>
          </w:p>
        </w:tc>
        <w:tc>
          <w:tcPr>
            <w:tcW w:w="1377" w:type="dxa"/>
          </w:tcPr>
          <w:p w14:paraId="0760A75F" w14:textId="77777777" w:rsidR="00F70D58" w:rsidRPr="00655639" w:rsidRDefault="00F70D58" w:rsidP="00655639">
            <w:pPr>
              <w:pStyle w:val="TableCopy"/>
              <w:jc w:val="right"/>
            </w:pPr>
            <w:r w:rsidRPr="00655639">
              <w:t>(245,476)</w:t>
            </w:r>
          </w:p>
        </w:tc>
      </w:tr>
      <w:tr w:rsidR="00F70D58" w:rsidRPr="00655639" w14:paraId="286DCB93" w14:textId="77777777" w:rsidTr="00F70D58">
        <w:trPr>
          <w:trHeight w:val="337"/>
        </w:trPr>
        <w:tc>
          <w:tcPr>
            <w:tcW w:w="5240" w:type="dxa"/>
          </w:tcPr>
          <w:p w14:paraId="31D4CDE3" w14:textId="7656C53F" w:rsidR="00F70D58" w:rsidRPr="00655639" w:rsidRDefault="00F70D58" w:rsidP="00655639">
            <w:pPr>
              <w:pStyle w:val="TableCopy"/>
            </w:pPr>
            <w:r w:rsidRPr="00655639">
              <w:t>Transfer between classes</w:t>
            </w:r>
          </w:p>
        </w:tc>
        <w:tc>
          <w:tcPr>
            <w:tcW w:w="1376" w:type="dxa"/>
          </w:tcPr>
          <w:p w14:paraId="1F03E720" w14:textId="3ABA66A6" w:rsidR="00F70D58" w:rsidRPr="00655639" w:rsidRDefault="00F70D58" w:rsidP="00655639">
            <w:pPr>
              <w:pStyle w:val="TableCopy"/>
              <w:jc w:val="right"/>
            </w:pPr>
            <w:r w:rsidRPr="00655639">
              <w:t>–</w:t>
            </w:r>
          </w:p>
        </w:tc>
        <w:tc>
          <w:tcPr>
            <w:tcW w:w="1377" w:type="dxa"/>
          </w:tcPr>
          <w:p w14:paraId="73C6811A" w14:textId="1C00CDFE" w:rsidR="00F70D58" w:rsidRPr="00655639" w:rsidRDefault="00F70D58" w:rsidP="00655639">
            <w:pPr>
              <w:pStyle w:val="TableCopy"/>
              <w:jc w:val="right"/>
            </w:pPr>
            <w:r w:rsidRPr="00655639">
              <w:t>4,382</w:t>
            </w:r>
          </w:p>
        </w:tc>
        <w:tc>
          <w:tcPr>
            <w:tcW w:w="1377" w:type="dxa"/>
          </w:tcPr>
          <w:p w14:paraId="2153B16B" w14:textId="65EB3B06" w:rsidR="00F70D58" w:rsidRPr="00655639" w:rsidRDefault="00F70D58" w:rsidP="00655639">
            <w:pPr>
              <w:pStyle w:val="TableCopy"/>
              <w:jc w:val="right"/>
            </w:pPr>
            <w:r w:rsidRPr="00655639">
              <w:t>140</w:t>
            </w:r>
          </w:p>
        </w:tc>
        <w:tc>
          <w:tcPr>
            <w:tcW w:w="1377" w:type="dxa"/>
          </w:tcPr>
          <w:p w14:paraId="22CA09CC" w14:textId="324D7C24" w:rsidR="00F70D58" w:rsidRPr="00655639" w:rsidRDefault="00F70D58" w:rsidP="00655639">
            <w:pPr>
              <w:pStyle w:val="TableCopy"/>
              <w:jc w:val="right"/>
            </w:pPr>
            <w:r w:rsidRPr="00655639">
              <w:t>–</w:t>
            </w:r>
          </w:p>
        </w:tc>
        <w:tc>
          <w:tcPr>
            <w:tcW w:w="1377" w:type="dxa"/>
          </w:tcPr>
          <w:p w14:paraId="3BE6AC3A" w14:textId="5A5ECDF6" w:rsidR="00F70D58" w:rsidRPr="00655639" w:rsidRDefault="00F70D58" w:rsidP="00655639">
            <w:pPr>
              <w:pStyle w:val="TableCopy"/>
              <w:jc w:val="right"/>
            </w:pPr>
            <w:r w:rsidRPr="00655639">
              <w:t>–</w:t>
            </w:r>
          </w:p>
        </w:tc>
        <w:tc>
          <w:tcPr>
            <w:tcW w:w="1376" w:type="dxa"/>
          </w:tcPr>
          <w:p w14:paraId="1B6A1419" w14:textId="02102FE9" w:rsidR="00F70D58" w:rsidRPr="00655639" w:rsidRDefault="00F70D58" w:rsidP="00655639">
            <w:pPr>
              <w:pStyle w:val="TableCopy"/>
              <w:jc w:val="right"/>
            </w:pPr>
            <w:r w:rsidRPr="00655639">
              <w:t>152</w:t>
            </w:r>
          </w:p>
        </w:tc>
        <w:tc>
          <w:tcPr>
            <w:tcW w:w="1377" w:type="dxa"/>
          </w:tcPr>
          <w:p w14:paraId="4F91D38E" w14:textId="420AB371" w:rsidR="00F70D58" w:rsidRPr="00655639" w:rsidRDefault="00F70D58" w:rsidP="00655639">
            <w:pPr>
              <w:pStyle w:val="TableCopy"/>
              <w:jc w:val="right"/>
            </w:pPr>
            <w:r w:rsidRPr="00655639">
              <w:t>4,674</w:t>
            </w:r>
          </w:p>
        </w:tc>
      </w:tr>
      <w:tr w:rsidR="00F70D58" w:rsidRPr="00655639" w14:paraId="5D9B6495" w14:textId="77777777" w:rsidTr="00F70D58">
        <w:trPr>
          <w:trHeight w:val="60"/>
        </w:trPr>
        <w:tc>
          <w:tcPr>
            <w:tcW w:w="5240" w:type="dxa"/>
          </w:tcPr>
          <w:p w14:paraId="172789D7" w14:textId="77777777" w:rsidR="00F70D58" w:rsidRPr="00655639" w:rsidRDefault="00F70D58" w:rsidP="00655639">
            <w:pPr>
              <w:pStyle w:val="TableCopy"/>
            </w:pPr>
            <w:r w:rsidRPr="00655639">
              <w:t>Reclassification</w:t>
            </w:r>
          </w:p>
        </w:tc>
        <w:tc>
          <w:tcPr>
            <w:tcW w:w="1376" w:type="dxa"/>
          </w:tcPr>
          <w:p w14:paraId="3D43763F" w14:textId="30A56AD4" w:rsidR="00F70D58" w:rsidRPr="00655639" w:rsidRDefault="00F70D58" w:rsidP="00655639">
            <w:pPr>
              <w:pStyle w:val="TableCopy"/>
              <w:jc w:val="right"/>
            </w:pPr>
            <w:r w:rsidRPr="00655639">
              <w:t>–</w:t>
            </w:r>
          </w:p>
        </w:tc>
        <w:tc>
          <w:tcPr>
            <w:tcW w:w="1377" w:type="dxa"/>
          </w:tcPr>
          <w:p w14:paraId="601C202F" w14:textId="77777777" w:rsidR="00F70D58" w:rsidRPr="00655639" w:rsidRDefault="00F70D58" w:rsidP="00655639">
            <w:pPr>
              <w:pStyle w:val="TableCopy"/>
              <w:jc w:val="right"/>
            </w:pPr>
            <w:r w:rsidRPr="00655639">
              <w:t>(2,452)</w:t>
            </w:r>
          </w:p>
        </w:tc>
        <w:tc>
          <w:tcPr>
            <w:tcW w:w="1377" w:type="dxa"/>
          </w:tcPr>
          <w:p w14:paraId="320B87FD" w14:textId="77777777" w:rsidR="00F70D58" w:rsidRPr="00655639" w:rsidRDefault="00F70D58" w:rsidP="00655639">
            <w:pPr>
              <w:pStyle w:val="TableCopy"/>
              <w:jc w:val="right"/>
            </w:pPr>
            <w:r w:rsidRPr="00655639">
              <w:t>(93)</w:t>
            </w:r>
          </w:p>
        </w:tc>
        <w:tc>
          <w:tcPr>
            <w:tcW w:w="1377" w:type="dxa"/>
          </w:tcPr>
          <w:p w14:paraId="7F6CB160" w14:textId="7F9D72E0" w:rsidR="00F70D58" w:rsidRPr="00655639" w:rsidRDefault="00F70D58" w:rsidP="00655639">
            <w:pPr>
              <w:pStyle w:val="TableCopy"/>
              <w:jc w:val="right"/>
            </w:pPr>
            <w:r w:rsidRPr="00655639">
              <w:t>–</w:t>
            </w:r>
          </w:p>
        </w:tc>
        <w:tc>
          <w:tcPr>
            <w:tcW w:w="1377" w:type="dxa"/>
          </w:tcPr>
          <w:p w14:paraId="07DDA01F" w14:textId="62480F57" w:rsidR="00F70D58" w:rsidRPr="00655639" w:rsidRDefault="00F70D58" w:rsidP="00655639">
            <w:pPr>
              <w:pStyle w:val="TableCopy"/>
              <w:jc w:val="right"/>
            </w:pPr>
            <w:r w:rsidRPr="00655639">
              <w:t>–</w:t>
            </w:r>
          </w:p>
        </w:tc>
        <w:tc>
          <w:tcPr>
            <w:tcW w:w="1376" w:type="dxa"/>
          </w:tcPr>
          <w:p w14:paraId="5C547CA2" w14:textId="77777777" w:rsidR="00F70D58" w:rsidRPr="00655639" w:rsidRDefault="00F70D58" w:rsidP="00655639">
            <w:pPr>
              <w:pStyle w:val="TableCopy"/>
              <w:jc w:val="right"/>
            </w:pPr>
            <w:r w:rsidRPr="00655639">
              <w:t>398</w:t>
            </w:r>
          </w:p>
        </w:tc>
        <w:tc>
          <w:tcPr>
            <w:tcW w:w="1377" w:type="dxa"/>
          </w:tcPr>
          <w:p w14:paraId="303E359C" w14:textId="77777777" w:rsidR="00F70D58" w:rsidRPr="00655639" w:rsidRDefault="00F70D58" w:rsidP="00655639">
            <w:pPr>
              <w:pStyle w:val="TableCopy"/>
              <w:jc w:val="right"/>
            </w:pPr>
            <w:r w:rsidRPr="00655639">
              <w:t>(2,147)</w:t>
            </w:r>
          </w:p>
        </w:tc>
      </w:tr>
      <w:tr w:rsidR="00F70D58" w:rsidRPr="00655639" w14:paraId="770DE8AF" w14:textId="77777777" w:rsidTr="00F70D58">
        <w:trPr>
          <w:trHeight w:val="60"/>
        </w:trPr>
        <w:tc>
          <w:tcPr>
            <w:tcW w:w="5240" w:type="dxa"/>
          </w:tcPr>
          <w:p w14:paraId="2D6E89D6" w14:textId="77777777" w:rsidR="00F70D58" w:rsidRPr="00655639" w:rsidRDefault="00F70D58" w:rsidP="00655639">
            <w:pPr>
              <w:pStyle w:val="TableCopy"/>
            </w:pPr>
            <w:r w:rsidRPr="00655639">
              <w:t>Depreciation</w:t>
            </w:r>
          </w:p>
        </w:tc>
        <w:tc>
          <w:tcPr>
            <w:tcW w:w="1376" w:type="dxa"/>
          </w:tcPr>
          <w:p w14:paraId="22761F1D" w14:textId="5E1F9412" w:rsidR="00F70D58" w:rsidRPr="00655639" w:rsidRDefault="00F70D58" w:rsidP="00655639">
            <w:pPr>
              <w:pStyle w:val="TableCopy"/>
              <w:jc w:val="right"/>
            </w:pPr>
            <w:r w:rsidRPr="00655639">
              <w:t>–</w:t>
            </w:r>
          </w:p>
        </w:tc>
        <w:tc>
          <w:tcPr>
            <w:tcW w:w="1377" w:type="dxa"/>
          </w:tcPr>
          <w:p w14:paraId="28946ABC" w14:textId="77777777" w:rsidR="00F70D58" w:rsidRPr="00655639" w:rsidRDefault="00F70D58" w:rsidP="00655639">
            <w:pPr>
              <w:pStyle w:val="TableCopy"/>
              <w:jc w:val="right"/>
            </w:pPr>
            <w:r w:rsidRPr="00655639">
              <w:t>(23,861)</w:t>
            </w:r>
          </w:p>
        </w:tc>
        <w:tc>
          <w:tcPr>
            <w:tcW w:w="1377" w:type="dxa"/>
          </w:tcPr>
          <w:p w14:paraId="60CF87E9" w14:textId="77777777" w:rsidR="00F70D58" w:rsidRPr="00655639" w:rsidRDefault="00F70D58" w:rsidP="00655639">
            <w:pPr>
              <w:pStyle w:val="TableCopy"/>
              <w:jc w:val="right"/>
            </w:pPr>
            <w:r w:rsidRPr="00655639">
              <w:t>(2,721)</w:t>
            </w:r>
          </w:p>
        </w:tc>
        <w:tc>
          <w:tcPr>
            <w:tcW w:w="1377" w:type="dxa"/>
          </w:tcPr>
          <w:p w14:paraId="149DD8C7" w14:textId="77777777" w:rsidR="00F70D58" w:rsidRPr="00655639" w:rsidRDefault="00F70D58" w:rsidP="00655639">
            <w:pPr>
              <w:pStyle w:val="TableCopy"/>
              <w:jc w:val="right"/>
            </w:pPr>
            <w:r w:rsidRPr="00655639">
              <w:t>(1,819)</w:t>
            </w:r>
          </w:p>
        </w:tc>
        <w:tc>
          <w:tcPr>
            <w:tcW w:w="1377" w:type="dxa"/>
          </w:tcPr>
          <w:p w14:paraId="069209B0" w14:textId="77777777" w:rsidR="00F70D58" w:rsidRPr="00655639" w:rsidRDefault="00F70D58" w:rsidP="00655639">
            <w:pPr>
              <w:pStyle w:val="TableCopy"/>
              <w:jc w:val="right"/>
            </w:pPr>
            <w:r w:rsidRPr="00655639">
              <w:t>(46)</w:t>
            </w:r>
          </w:p>
        </w:tc>
        <w:tc>
          <w:tcPr>
            <w:tcW w:w="1376" w:type="dxa"/>
          </w:tcPr>
          <w:p w14:paraId="2B8A4BAD" w14:textId="77777777" w:rsidR="00F70D58" w:rsidRPr="00655639" w:rsidRDefault="00F70D58" w:rsidP="00655639">
            <w:pPr>
              <w:pStyle w:val="TableCopy"/>
              <w:jc w:val="right"/>
            </w:pPr>
            <w:r w:rsidRPr="00655639">
              <w:t>(3,407)</w:t>
            </w:r>
          </w:p>
        </w:tc>
        <w:tc>
          <w:tcPr>
            <w:tcW w:w="1377" w:type="dxa"/>
          </w:tcPr>
          <w:p w14:paraId="7386022A" w14:textId="77777777" w:rsidR="00F70D58" w:rsidRPr="00655639" w:rsidRDefault="00F70D58" w:rsidP="00655639">
            <w:pPr>
              <w:pStyle w:val="TableCopy"/>
              <w:jc w:val="right"/>
            </w:pPr>
            <w:r w:rsidRPr="00655639">
              <w:t>(31,853)</w:t>
            </w:r>
          </w:p>
        </w:tc>
      </w:tr>
      <w:tr w:rsidR="00F70D58" w:rsidRPr="00655639" w14:paraId="5CD28EA5" w14:textId="77777777" w:rsidTr="00F70D58">
        <w:trPr>
          <w:trHeight w:val="60"/>
        </w:trPr>
        <w:tc>
          <w:tcPr>
            <w:tcW w:w="5240" w:type="dxa"/>
          </w:tcPr>
          <w:p w14:paraId="6BA48346" w14:textId="77777777" w:rsidR="00F70D58" w:rsidRPr="00655639" w:rsidRDefault="00F70D58" w:rsidP="00655639">
            <w:pPr>
              <w:pStyle w:val="TableCopy"/>
              <w:rPr>
                <w:b/>
                <w:bCs/>
              </w:rPr>
            </w:pPr>
            <w:r w:rsidRPr="00655639">
              <w:rPr>
                <w:b/>
                <w:bCs/>
              </w:rPr>
              <w:t>Subtotal</w:t>
            </w:r>
          </w:p>
        </w:tc>
        <w:tc>
          <w:tcPr>
            <w:tcW w:w="1376" w:type="dxa"/>
          </w:tcPr>
          <w:p w14:paraId="21CA82E2" w14:textId="77777777" w:rsidR="00F70D58" w:rsidRPr="00655639" w:rsidRDefault="00F70D58" w:rsidP="00655639">
            <w:pPr>
              <w:pStyle w:val="TableCopy"/>
              <w:jc w:val="right"/>
              <w:rPr>
                <w:b/>
                <w:bCs/>
              </w:rPr>
            </w:pPr>
            <w:r w:rsidRPr="00655639">
              <w:rPr>
                <w:b/>
                <w:bCs/>
              </w:rPr>
              <w:t>(17,272)</w:t>
            </w:r>
          </w:p>
        </w:tc>
        <w:tc>
          <w:tcPr>
            <w:tcW w:w="1377" w:type="dxa"/>
          </w:tcPr>
          <w:p w14:paraId="710BCA4D" w14:textId="77777777" w:rsidR="00F70D58" w:rsidRPr="00655639" w:rsidRDefault="00F70D58" w:rsidP="00655639">
            <w:pPr>
              <w:pStyle w:val="TableCopy"/>
              <w:jc w:val="right"/>
              <w:rPr>
                <w:b/>
                <w:bCs/>
              </w:rPr>
            </w:pPr>
            <w:r w:rsidRPr="00655639">
              <w:rPr>
                <w:b/>
                <w:bCs/>
              </w:rPr>
              <w:t>(211,353)</w:t>
            </w:r>
          </w:p>
        </w:tc>
        <w:tc>
          <w:tcPr>
            <w:tcW w:w="1377" w:type="dxa"/>
          </w:tcPr>
          <w:p w14:paraId="6C5CE0A2" w14:textId="77777777" w:rsidR="00F70D58" w:rsidRPr="00655639" w:rsidRDefault="00F70D58" w:rsidP="00655639">
            <w:pPr>
              <w:pStyle w:val="TableCopy"/>
              <w:jc w:val="right"/>
              <w:rPr>
                <w:b/>
                <w:bCs/>
              </w:rPr>
            </w:pPr>
            <w:r w:rsidRPr="00655639">
              <w:rPr>
                <w:b/>
                <w:bCs/>
              </w:rPr>
              <w:t>(22,889)</w:t>
            </w:r>
          </w:p>
        </w:tc>
        <w:tc>
          <w:tcPr>
            <w:tcW w:w="1377" w:type="dxa"/>
          </w:tcPr>
          <w:p w14:paraId="4222A003" w14:textId="77777777" w:rsidR="00F70D58" w:rsidRPr="00655639" w:rsidRDefault="00F70D58" w:rsidP="00655639">
            <w:pPr>
              <w:pStyle w:val="TableCopy"/>
              <w:jc w:val="right"/>
              <w:rPr>
                <w:b/>
                <w:bCs/>
              </w:rPr>
            </w:pPr>
            <w:r w:rsidRPr="00655639">
              <w:rPr>
                <w:b/>
                <w:bCs/>
              </w:rPr>
              <w:t>(7,471)</w:t>
            </w:r>
          </w:p>
        </w:tc>
        <w:tc>
          <w:tcPr>
            <w:tcW w:w="1377" w:type="dxa"/>
          </w:tcPr>
          <w:p w14:paraId="456161FD" w14:textId="77777777" w:rsidR="00F70D58" w:rsidRPr="00655639" w:rsidRDefault="00F70D58" w:rsidP="00655639">
            <w:pPr>
              <w:pStyle w:val="TableCopy"/>
              <w:jc w:val="right"/>
              <w:rPr>
                <w:b/>
                <w:bCs/>
              </w:rPr>
            </w:pPr>
            <w:r w:rsidRPr="00655639">
              <w:rPr>
                <w:b/>
                <w:bCs/>
              </w:rPr>
              <w:t>(46)</w:t>
            </w:r>
          </w:p>
        </w:tc>
        <w:tc>
          <w:tcPr>
            <w:tcW w:w="1376" w:type="dxa"/>
          </w:tcPr>
          <w:p w14:paraId="43F90B04" w14:textId="77777777" w:rsidR="00F70D58" w:rsidRPr="00655639" w:rsidRDefault="00F70D58" w:rsidP="00655639">
            <w:pPr>
              <w:pStyle w:val="TableCopy"/>
              <w:jc w:val="right"/>
              <w:rPr>
                <w:b/>
                <w:bCs/>
              </w:rPr>
            </w:pPr>
            <w:r w:rsidRPr="00655639">
              <w:rPr>
                <w:b/>
                <w:bCs/>
              </w:rPr>
              <w:t>(12,547)</w:t>
            </w:r>
          </w:p>
        </w:tc>
        <w:tc>
          <w:tcPr>
            <w:tcW w:w="1377" w:type="dxa"/>
          </w:tcPr>
          <w:p w14:paraId="442865B4" w14:textId="77777777" w:rsidR="00F70D58" w:rsidRPr="00655639" w:rsidRDefault="00F70D58" w:rsidP="00655639">
            <w:pPr>
              <w:pStyle w:val="TableCopy"/>
              <w:jc w:val="right"/>
              <w:rPr>
                <w:b/>
                <w:bCs/>
              </w:rPr>
            </w:pPr>
            <w:r w:rsidRPr="00655639">
              <w:rPr>
                <w:b/>
                <w:bCs/>
              </w:rPr>
              <w:t>(271,577)</w:t>
            </w:r>
          </w:p>
        </w:tc>
      </w:tr>
      <w:tr w:rsidR="00F70D58" w14:paraId="3B68DBE4" w14:textId="77777777" w:rsidTr="00F70D58">
        <w:trPr>
          <w:trHeight w:val="60"/>
        </w:trPr>
        <w:tc>
          <w:tcPr>
            <w:tcW w:w="5240" w:type="dxa"/>
          </w:tcPr>
          <w:p w14:paraId="14B72B22" w14:textId="77777777" w:rsidR="00F70D58" w:rsidRDefault="00F70D58" w:rsidP="00655639">
            <w:pPr>
              <w:pStyle w:val="TableCopy"/>
            </w:pPr>
            <w:r>
              <w:t>Revaluation</w:t>
            </w:r>
          </w:p>
        </w:tc>
        <w:tc>
          <w:tcPr>
            <w:tcW w:w="1376" w:type="dxa"/>
          </w:tcPr>
          <w:p w14:paraId="28A874F0" w14:textId="632DC423" w:rsidR="00F70D58" w:rsidRDefault="00F70D58" w:rsidP="00655639">
            <w:pPr>
              <w:pStyle w:val="TableCopy"/>
              <w:jc w:val="right"/>
            </w:pPr>
            <w:r>
              <w:t>–</w:t>
            </w:r>
          </w:p>
        </w:tc>
        <w:tc>
          <w:tcPr>
            <w:tcW w:w="1377" w:type="dxa"/>
          </w:tcPr>
          <w:p w14:paraId="619AF028" w14:textId="77777777" w:rsidR="00F70D58" w:rsidRDefault="00F70D58" w:rsidP="00655639">
            <w:pPr>
              <w:pStyle w:val="TableCopy"/>
              <w:jc w:val="right"/>
            </w:pPr>
            <w:r>
              <w:t>(1,999)</w:t>
            </w:r>
          </w:p>
        </w:tc>
        <w:tc>
          <w:tcPr>
            <w:tcW w:w="1377" w:type="dxa"/>
          </w:tcPr>
          <w:p w14:paraId="0FFC07A0" w14:textId="088B0B5C" w:rsidR="00F70D58" w:rsidRDefault="00F70D58" w:rsidP="00655639">
            <w:pPr>
              <w:pStyle w:val="TableCopy"/>
              <w:jc w:val="right"/>
            </w:pPr>
            <w:r>
              <w:t>–</w:t>
            </w:r>
          </w:p>
        </w:tc>
        <w:tc>
          <w:tcPr>
            <w:tcW w:w="1377" w:type="dxa"/>
          </w:tcPr>
          <w:p w14:paraId="52BD377A" w14:textId="7494EBCF" w:rsidR="00F70D58" w:rsidRDefault="00F70D58" w:rsidP="00655639">
            <w:pPr>
              <w:pStyle w:val="TableCopy"/>
              <w:jc w:val="right"/>
            </w:pPr>
            <w:r>
              <w:t>–</w:t>
            </w:r>
          </w:p>
        </w:tc>
        <w:tc>
          <w:tcPr>
            <w:tcW w:w="1377" w:type="dxa"/>
          </w:tcPr>
          <w:p w14:paraId="40061F8F" w14:textId="50666AA2" w:rsidR="00F70D58" w:rsidRDefault="00F70D58" w:rsidP="00655639">
            <w:pPr>
              <w:pStyle w:val="TableCopy"/>
              <w:jc w:val="right"/>
            </w:pPr>
            <w:r>
              <w:t>–</w:t>
            </w:r>
          </w:p>
        </w:tc>
        <w:tc>
          <w:tcPr>
            <w:tcW w:w="1376" w:type="dxa"/>
          </w:tcPr>
          <w:p w14:paraId="45F57B6E" w14:textId="4D1211D8" w:rsidR="00F70D58" w:rsidRDefault="00F70D58" w:rsidP="00655639">
            <w:pPr>
              <w:pStyle w:val="TableCopy"/>
              <w:jc w:val="right"/>
            </w:pPr>
            <w:r>
              <w:t>–</w:t>
            </w:r>
          </w:p>
        </w:tc>
        <w:tc>
          <w:tcPr>
            <w:tcW w:w="1377" w:type="dxa"/>
          </w:tcPr>
          <w:p w14:paraId="758CF390" w14:textId="77777777" w:rsidR="00F70D58" w:rsidRDefault="00F70D58" w:rsidP="00655639">
            <w:pPr>
              <w:pStyle w:val="TableCopy"/>
              <w:jc w:val="right"/>
            </w:pPr>
            <w:r>
              <w:rPr>
                <w:rFonts w:ascii="VIC Medium" w:hAnsi="VIC Medium" w:cs="VIC Medium"/>
              </w:rPr>
              <w:t>(1,999)</w:t>
            </w:r>
          </w:p>
        </w:tc>
      </w:tr>
      <w:tr w:rsidR="00F70D58" w:rsidRPr="00655639" w14:paraId="6E33C803" w14:textId="77777777" w:rsidTr="00F70D58">
        <w:trPr>
          <w:trHeight w:val="60"/>
        </w:trPr>
        <w:tc>
          <w:tcPr>
            <w:tcW w:w="5240" w:type="dxa"/>
          </w:tcPr>
          <w:p w14:paraId="40C887FB" w14:textId="77777777" w:rsidR="00F70D58" w:rsidRPr="00655639" w:rsidRDefault="00F70D58" w:rsidP="00655639">
            <w:pPr>
              <w:pStyle w:val="TableCopy"/>
              <w:rPr>
                <w:b/>
                <w:bCs/>
              </w:rPr>
            </w:pPr>
            <w:r w:rsidRPr="00655639">
              <w:rPr>
                <w:b/>
                <w:bCs/>
              </w:rPr>
              <w:lastRenderedPageBreak/>
              <w:t>Sub-total</w:t>
            </w:r>
          </w:p>
        </w:tc>
        <w:tc>
          <w:tcPr>
            <w:tcW w:w="1376" w:type="dxa"/>
          </w:tcPr>
          <w:p w14:paraId="19023632" w14:textId="38E30143" w:rsidR="00F70D58" w:rsidRPr="00655639" w:rsidRDefault="00F70D58" w:rsidP="00655639">
            <w:pPr>
              <w:pStyle w:val="TableCopy"/>
              <w:jc w:val="right"/>
              <w:rPr>
                <w:b/>
                <w:bCs/>
              </w:rPr>
            </w:pPr>
            <w:r w:rsidRPr="00655639">
              <w:rPr>
                <w:b/>
                <w:bCs/>
              </w:rPr>
              <w:t>–</w:t>
            </w:r>
          </w:p>
        </w:tc>
        <w:tc>
          <w:tcPr>
            <w:tcW w:w="1377" w:type="dxa"/>
          </w:tcPr>
          <w:p w14:paraId="04E5D650" w14:textId="77777777" w:rsidR="00F70D58" w:rsidRPr="00655639" w:rsidRDefault="00F70D58" w:rsidP="00655639">
            <w:pPr>
              <w:pStyle w:val="TableCopy"/>
              <w:jc w:val="right"/>
              <w:rPr>
                <w:b/>
                <w:bCs/>
              </w:rPr>
            </w:pPr>
            <w:r w:rsidRPr="00655639">
              <w:rPr>
                <w:b/>
                <w:bCs/>
              </w:rPr>
              <w:t>(1,999)</w:t>
            </w:r>
          </w:p>
        </w:tc>
        <w:tc>
          <w:tcPr>
            <w:tcW w:w="1377" w:type="dxa"/>
          </w:tcPr>
          <w:p w14:paraId="005B6CBF" w14:textId="5691D1C6" w:rsidR="00F70D58" w:rsidRPr="00655639" w:rsidRDefault="00F70D58" w:rsidP="00655639">
            <w:pPr>
              <w:pStyle w:val="TableCopy"/>
              <w:jc w:val="right"/>
              <w:rPr>
                <w:b/>
                <w:bCs/>
              </w:rPr>
            </w:pPr>
            <w:r w:rsidRPr="00655639">
              <w:rPr>
                <w:b/>
                <w:bCs/>
              </w:rPr>
              <w:t>–</w:t>
            </w:r>
          </w:p>
        </w:tc>
        <w:tc>
          <w:tcPr>
            <w:tcW w:w="1377" w:type="dxa"/>
          </w:tcPr>
          <w:p w14:paraId="4E6778E8" w14:textId="597DB1B8" w:rsidR="00F70D58" w:rsidRPr="00655639" w:rsidRDefault="00F70D58" w:rsidP="00655639">
            <w:pPr>
              <w:pStyle w:val="TableCopy"/>
              <w:jc w:val="right"/>
              <w:rPr>
                <w:b/>
                <w:bCs/>
              </w:rPr>
            </w:pPr>
            <w:r w:rsidRPr="00655639">
              <w:rPr>
                <w:b/>
                <w:bCs/>
              </w:rPr>
              <w:t>–</w:t>
            </w:r>
          </w:p>
        </w:tc>
        <w:tc>
          <w:tcPr>
            <w:tcW w:w="1377" w:type="dxa"/>
          </w:tcPr>
          <w:p w14:paraId="72964BD9" w14:textId="17CAF9C8" w:rsidR="00F70D58" w:rsidRPr="00655639" w:rsidRDefault="00F70D58" w:rsidP="00655639">
            <w:pPr>
              <w:pStyle w:val="TableCopy"/>
              <w:jc w:val="right"/>
              <w:rPr>
                <w:b/>
                <w:bCs/>
              </w:rPr>
            </w:pPr>
            <w:r w:rsidRPr="00655639">
              <w:rPr>
                <w:b/>
                <w:bCs/>
              </w:rPr>
              <w:t>–</w:t>
            </w:r>
          </w:p>
        </w:tc>
        <w:tc>
          <w:tcPr>
            <w:tcW w:w="1376" w:type="dxa"/>
          </w:tcPr>
          <w:p w14:paraId="0AE8BDD2" w14:textId="21D93E29" w:rsidR="00F70D58" w:rsidRPr="00655639" w:rsidRDefault="00F70D58" w:rsidP="00655639">
            <w:pPr>
              <w:pStyle w:val="TableCopy"/>
              <w:jc w:val="right"/>
              <w:rPr>
                <w:b/>
                <w:bCs/>
              </w:rPr>
            </w:pPr>
            <w:r w:rsidRPr="00655639">
              <w:rPr>
                <w:b/>
                <w:bCs/>
              </w:rPr>
              <w:t>–</w:t>
            </w:r>
          </w:p>
        </w:tc>
        <w:tc>
          <w:tcPr>
            <w:tcW w:w="1377" w:type="dxa"/>
          </w:tcPr>
          <w:p w14:paraId="1DC6C9AE" w14:textId="77777777" w:rsidR="00F70D58" w:rsidRPr="00655639" w:rsidRDefault="00F70D58" w:rsidP="00655639">
            <w:pPr>
              <w:pStyle w:val="TableCopy"/>
              <w:jc w:val="right"/>
              <w:rPr>
                <w:b/>
                <w:bCs/>
              </w:rPr>
            </w:pPr>
            <w:r w:rsidRPr="00655639">
              <w:rPr>
                <w:b/>
                <w:bCs/>
              </w:rPr>
              <w:t>(1,999)</w:t>
            </w:r>
          </w:p>
        </w:tc>
      </w:tr>
      <w:tr w:rsidR="00F70D58" w:rsidRPr="00655639" w14:paraId="5AA9056D" w14:textId="77777777" w:rsidTr="00F70D58">
        <w:trPr>
          <w:trHeight w:val="60"/>
        </w:trPr>
        <w:tc>
          <w:tcPr>
            <w:tcW w:w="5240" w:type="dxa"/>
          </w:tcPr>
          <w:p w14:paraId="538D16F2" w14:textId="3C1B5DB1" w:rsidR="00F70D58" w:rsidRPr="00655639" w:rsidRDefault="00F70D58" w:rsidP="00655639">
            <w:pPr>
              <w:pStyle w:val="TableCopy"/>
              <w:rPr>
                <w:b/>
                <w:bCs/>
              </w:rPr>
            </w:pPr>
            <w:r w:rsidRPr="00655639">
              <w:rPr>
                <w:b/>
                <w:bCs/>
              </w:rPr>
              <w:t xml:space="preserve">Closing balance </w:t>
            </w:r>
          </w:p>
        </w:tc>
        <w:tc>
          <w:tcPr>
            <w:tcW w:w="1376" w:type="dxa"/>
          </w:tcPr>
          <w:p w14:paraId="74C93BF8" w14:textId="26326005" w:rsidR="00F70D58" w:rsidRPr="00655639" w:rsidRDefault="00F70D58" w:rsidP="00655639">
            <w:pPr>
              <w:pStyle w:val="TableCopy"/>
              <w:jc w:val="right"/>
              <w:rPr>
                <w:b/>
                <w:bCs/>
              </w:rPr>
            </w:pPr>
            <w:r w:rsidRPr="00655639">
              <w:rPr>
                <w:b/>
                <w:bCs/>
              </w:rPr>
              <w:t>475,326</w:t>
            </w:r>
          </w:p>
        </w:tc>
        <w:tc>
          <w:tcPr>
            <w:tcW w:w="1377" w:type="dxa"/>
          </w:tcPr>
          <w:p w14:paraId="670E9A31" w14:textId="759A7156" w:rsidR="00F70D58" w:rsidRPr="00655639" w:rsidRDefault="00F70D58" w:rsidP="00655639">
            <w:pPr>
              <w:pStyle w:val="TableCopy"/>
              <w:jc w:val="right"/>
              <w:rPr>
                <w:b/>
                <w:bCs/>
              </w:rPr>
            </w:pPr>
            <w:r w:rsidRPr="00655639">
              <w:rPr>
                <w:b/>
                <w:bCs/>
              </w:rPr>
              <w:t>274,999</w:t>
            </w:r>
          </w:p>
        </w:tc>
        <w:tc>
          <w:tcPr>
            <w:tcW w:w="1377" w:type="dxa"/>
          </w:tcPr>
          <w:p w14:paraId="363E48CE" w14:textId="40FAE20F" w:rsidR="00F70D58" w:rsidRPr="00655639" w:rsidRDefault="00F70D58" w:rsidP="00655639">
            <w:pPr>
              <w:pStyle w:val="TableCopy"/>
              <w:jc w:val="right"/>
              <w:rPr>
                <w:b/>
                <w:bCs/>
              </w:rPr>
            </w:pPr>
            <w:r w:rsidRPr="00655639">
              <w:rPr>
                <w:b/>
                <w:bCs/>
              </w:rPr>
              <w:t>993</w:t>
            </w:r>
          </w:p>
        </w:tc>
        <w:tc>
          <w:tcPr>
            <w:tcW w:w="1377" w:type="dxa"/>
          </w:tcPr>
          <w:p w14:paraId="0E7BDC1C" w14:textId="77777777" w:rsidR="00F70D58" w:rsidRPr="00655639" w:rsidRDefault="00F70D58" w:rsidP="00655639">
            <w:pPr>
              <w:pStyle w:val="TableCopy"/>
              <w:jc w:val="right"/>
              <w:rPr>
                <w:b/>
                <w:bCs/>
              </w:rPr>
            </w:pPr>
            <w:r w:rsidRPr="00655639">
              <w:rPr>
                <w:b/>
                <w:bCs/>
              </w:rPr>
              <w:t>3,588</w:t>
            </w:r>
          </w:p>
        </w:tc>
        <w:tc>
          <w:tcPr>
            <w:tcW w:w="1377" w:type="dxa"/>
          </w:tcPr>
          <w:p w14:paraId="40B7C669" w14:textId="73BF2FFD" w:rsidR="00F70D58" w:rsidRPr="00655639" w:rsidRDefault="00F70D58" w:rsidP="00655639">
            <w:pPr>
              <w:pStyle w:val="TableCopy"/>
              <w:jc w:val="right"/>
              <w:rPr>
                <w:b/>
                <w:bCs/>
              </w:rPr>
            </w:pPr>
            <w:r w:rsidRPr="00655639">
              <w:rPr>
                <w:b/>
                <w:bCs/>
              </w:rPr>
              <w:t>2,726</w:t>
            </w:r>
          </w:p>
        </w:tc>
        <w:tc>
          <w:tcPr>
            <w:tcW w:w="1376" w:type="dxa"/>
          </w:tcPr>
          <w:p w14:paraId="65437260" w14:textId="08A0F540" w:rsidR="00F70D58" w:rsidRPr="00655639" w:rsidRDefault="00F70D58" w:rsidP="00655639">
            <w:pPr>
              <w:pStyle w:val="TableCopy"/>
              <w:jc w:val="right"/>
              <w:rPr>
                <w:b/>
                <w:bCs/>
              </w:rPr>
            </w:pPr>
            <w:r w:rsidRPr="00655639">
              <w:rPr>
                <w:b/>
                <w:bCs/>
              </w:rPr>
              <w:t>7,546</w:t>
            </w:r>
          </w:p>
        </w:tc>
        <w:tc>
          <w:tcPr>
            <w:tcW w:w="1377" w:type="dxa"/>
          </w:tcPr>
          <w:p w14:paraId="6787AA9C" w14:textId="77777777" w:rsidR="00F70D58" w:rsidRPr="00655639" w:rsidRDefault="00F70D58" w:rsidP="00655639">
            <w:pPr>
              <w:pStyle w:val="TableCopy"/>
              <w:jc w:val="right"/>
              <w:rPr>
                <w:b/>
                <w:bCs/>
              </w:rPr>
            </w:pPr>
            <w:r w:rsidRPr="00655639">
              <w:rPr>
                <w:b/>
                <w:bCs/>
              </w:rPr>
              <w:t>765,178</w:t>
            </w:r>
          </w:p>
        </w:tc>
      </w:tr>
    </w:tbl>
    <w:p w14:paraId="5BC9A02B" w14:textId="77777777" w:rsidR="000756EB" w:rsidRDefault="000756EB" w:rsidP="00F63FC0"/>
    <w:p w14:paraId="1A9164F4" w14:textId="0B4C194B" w:rsidR="000756EB" w:rsidRPr="00F63FC0" w:rsidRDefault="004A4D88" w:rsidP="00F63FC0">
      <w:pPr>
        <w:pStyle w:val="Normalbeforebullets"/>
        <w:rPr>
          <w:b/>
          <w:bCs/>
        </w:rPr>
      </w:pPr>
      <w:r w:rsidRPr="00F63FC0">
        <w:rPr>
          <w:b/>
          <w:bCs/>
        </w:rPr>
        <w:t>Reconciliation</w:t>
      </w:r>
      <w:r w:rsidR="00A03629" w:rsidRPr="00F63FC0">
        <w:rPr>
          <w:b/>
          <w:bCs/>
        </w:rPr>
        <w:t xml:space="preserve"> </w:t>
      </w:r>
      <w:r w:rsidRPr="00F63FC0">
        <w:rPr>
          <w:b/>
          <w:bCs/>
        </w:rPr>
        <w:t>of</w:t>
      </w:r>
      <w:r w:rsidR="00A03629" w:rsidRPr="00F63FC0">
        <w:rPr>
          <w:b/>
          <w:bCs/>
        </w:rPr>
        <w:t xml:space="preserve"> </w:t>
      </w:r>
      <w:r w:rsidRPr="00F63FC0">
        <w:rPr>
          <w:b/>
          <w:bCs/>
        </w:rPr>
        <w:t>Level</w:t>
      </w:r>
      <w:r w:rsidR="00A03629" w:rsidRPr="00F63FC0">
        <w:rPr>
          <w:b/>
          <w:bCs/>
        </w:rPr>
        <w:t xml:space="preserve"> </w:t>
      </w:r>
      <w:r w:rsidRPr="00F63FC0">
        <w:rPr>
          <w:b/>
          <w:bCs/>
        </w:rPr>
        <w:t>3</w:t>
      </w:r>
      <w:r w:rsidR="00A03629" w:rsidRPr="00F63FC0">
        <w:rPr>
          <w:b/>
          <w:bCs/>
        </w:rPr>
        <w:t xml:space="preserve"> </w:t>
      </w:r>
      <w:r w:rsidRPr="00F63FC0">
        <w:rPr>
          <w:b/>
          <w:bCs/>
        </w:rPr>
        <w:t>fair</w:t>
      </w:r>
      <w:r w:rsidR="00A03629" w:rsidRPr="00F63FC0">
        <w:rPr>
          <w:b/>
          <w:bCs/>
        </w:rPr>
        <w:t xml:space="preserve"> </w:t>
      </w:r>
      <w:r w:rsidRPr="00F63FC0">
        <w:rPr>
          <w:b/>
          <w:bCs/>
        </w:rPr>
        <w:t>value</w:t>
      </w:r>
      <w:r w:rsidR="00A03629" w:rsidRPr="00F63FC0">
        <w:rPr>
          <w:b/>
          <w:bCs/>
        </w:rPr>
        <w:t xml:space="preserve"> </w:t>
      </w:r>
      <w:r w:rsidRPr="00F63FC0">
        <w:rPr>
          <w:b/>
          <w:bCs/>
        </w:rPr>
        <w:t>movements</w:t>
      </w:r>
      <w:r w:rsidR="00A03629" w:rsidRPr="00F63FC0">
        <w:rPr>
          <w:b/>
          <w:bCs/>
        </w:rPr>
        <w:t xml:space="preserve"> </w:t>
      </w:r>
      <w:r w:rsidRPr="00F63FC0">
        <w:rPr>
          <w:b/>
          <w:bCs/>
        </w:rPr>
        <w:t>(continued)</w:t>
      </w:r>
    </w:p>
    <w:tbl>
      <w:tblPr>
        <w:tblStyle w:val="TableGrid"/>
        <w:tblW w:w="14879" w:type="dxa"/>
        <w:tblLayout w:type="fixed"/>
        <w:tblLook w:val="0020" w:firstRow="1" w:lastRow="0" w:firstColumn="0" w:lastColumn="0" w:noHBand="0" w:noVBand="0"/>
      </w:tblPr>
      <w:tblGrid>
        <w:gridCol w:w="5209"/>
        <w:gridCol w:w="1376"/>
        <w:gridCol w:w="1382"/>
        <w:gridCol w:w="1382"/>
        <w:gridCol w:w="1383"/>
        <w:gridCol w:w="1382"/>
        <w:gridCol w:w="1382"/>
        <w:gridCol w:w="1383"/>
      </w:tblGrid>
      <w:tr w:rsidR="00F63FC0" w:rsidRPr="00A35B04" w14:paraId="33D49618" w14:textId="77777777" w:rsidTr="00DE38B5">
        <w:trPr>
          <w:trHeight w:val="60"/>
          <w:tblHeader/>
        </w:trPr>
        <w:tc>
          <w:tcPr>
            <w:tcW w:w="5209" w:type="dxa"/>
          </w:tcPr>
          <w:p w14:paraId="1F41B98D" w14:textId="194D6F31" w:rsidR="00F63FC0" w:rsidRPr="00A35B04" w:rsidRDefault="00F63FC0" w:rsidP="00A35B04">
            <w:pPr>
              <w:pStyle w:val="TableColumnHeading"/>
              <w:rPr>
                <w:sz w:val="20"/>
                <w:szCs w:val="28"/>
              </w:rPr>
            </w:pPr>
            <w:bookmarkStart w:id="133" w:name="ColumnTitles_80"/>
            <w:bookmarkEnd w:id="133"/>
            <w:r w:rsidRPr="00A35B04">
              <w:rPr>
                <w:sz w:val="20"/>
                <w:szCs w:val="28"/>
              </w:rPr>
              <w:t>2022</w:t>
            </w:r>
          </w:p>
        </w:tc>
        <w:tc>
          <w:tcPr>
            <w:tcW w:w="1376" w:type="dxa"/>
          </w:tcPr>
          <w:p w14:paraId="37781563" w14:textId="77777777" w:rsidR="00F63FC0" w:rsidRPr="00A35B04" w:rsidRDefault="00F63FC0" w:rsidP="00A35B04">
            <w:pPr>
              <w:pStyle w:val="TableColumnHeading"/>
              <w:jc w:val="right"/>
              <w:rPr>
                <w:sz w:val="20"/>
                <w:szCs w:val="28"/>
              </w:rPr>
            </w:pPr>
            <w:r w:rsidRPr="00A35B04">
              <w:rPr>
                <w:sz w:val="20"/>
                <w:szCs w:val="28"/>
              </w:rPr>
              <w:t>Specialised land ($</w:t>
            </w:r>
            <w:r w:rsidRPr="00A35B04">
              <w:rPr>
                <w:rFonts w:ascii="Cambria" w:hAnsi="Cambria" w:cs="Cambria"/>
                <w:sz w:val="20"/>
                <w:szCs w:val="28"/>
              </w:rPr>
              <w:t> </w:t>
            </w:r>
            <w:r w:rsidRPr="00A35B04">
              <w:rPr>
                <w:sz w:val="20"/>
                <w:szCs w:val="28"/>
              </w:rPr>
              <w:t>thousand)</w:t>
            </w:r>
          </w:p>
        </w:tc>
        <w:tc>
          <w:tcPr>
            <w:tcW w:w="1382" w:type="dxa"/>
          </w:tcPr>
          <w:p w14:paraId="14D95587" w14:textId="77777777" w:rsidR="00F63FC0" w:rsidRPr="00A35B04" w:rsidRDefault="00F63FC0" w:rsidP="00A35B04">
            <w:pPr>
              <w:pStyle w:val="TableColumnHeading"/>
              <w:jc w:val="right"/>
              <w:rPr>
                <w:sz w:val="20"/>
                <w:szCs w:val="28"/>
              </w:rPr>
            </w:pPr>
            <w:r w:rsidRPr="00A35B04">
              <w:rPr>
                <w:sz w:val="20"/>
                <w:szCs w:val="28"/>
              </w:rPr>
              <w:t>Specialised buildings &amp; non-specialised buildings ($</w:t>
            </w:r>
            <w:r w:rsidRPr="00A35B04">
              <w:rPr>
                <w:rFonts w:ascii="Cambria" w:hAnsi="Cambria" w:cs="Cambria"/>
                <w:sz w:val="20"/>
                <w:szCs w:val="28"/>
              </w:rPr>
              <w:t> </w:t>
            </w:r>
            <w:r w:rsidRPr="00A35B04">
              <w:rPr>
                <w:sz w:val="20"/>
                <w:szCs w:val="28"/>
              </w:rPr>
              <w:t>thousand)</w:t>
            </w:r>
          </w:p>
        </w:tc>
        <w:tc>
          <w:tcPr>
            <w:tcW w:w="1382" w:type="dxa"/>
          </w:tcPr>
          <w:p w14:paraId="70B2D85C" w14:textId="77777777" w:rsidR="00F63FC0" w:rsidRPr="00A35B04" w:rsidRDefault="00F63FC0" w:rsidP="00A35B04">
            <w:pPr>
              <w:pStyle w:val="TableColumnHeading"/>
              <w:jc w:val="right"/>
              <w:rPr>
                <w:sz w:val="20"/>
                <w:szCs w:val="28"/>
              </w:rPr>
            </w:pPr>
            <w:r w:rsidRPr="00A35B04">
              <w:rPr>
                <w:sz w:val="20"/>
                <w:szCs w:val="28"/>
              </w:rPr>
              <w:t>Plant and equipment and vehicles ($ thousand)</w:t>
            </w:r>
          </w:p>
        </w:tc>
        <w:tc>
          <w:tcPr>
            <w:tcW w:w="1383" w:type="dxa"/>
          </w:tcPr>
          <w:p w14:paraId="182323BB" w14:textId="77777777" w:rsidR="00F63FC0" w:rsidRPr="00A35B04" w:rsidRDefault="00F63FC0" w:rsidP="00A35B04">
            <w:pPr>
              <w:pStyle w:val="TableColumnHeading"/>
              <w:jc w:val="right"/>
              <w:rPr>
                <w:sz w:val="20"/>
                <w:szCs w:val="28"/>
              </w:rPr>
            </w:pPr>
            <w:r w:rsidRPr="00A35B04">
              <w:rPr>
                <w:sz w:val="20"/>
                <w:szCs w:val="28"/>
              </w:rPr>
              <w:t>Motor vehicles ($</w:t>
            </w:r>
            <w:r w:rsidRPr="00A35B04">
              <w:rPr>
                <w:rFonts w:ascii="Cambria" w:hAnsi="Cambria" w:cs="Cambria"/>
                <w:sz w:val="20"/>
                <w:szCs w:val="28"/>
              </w:rPr>
              <w:t> </w:t>
            </w:r>
            <w:r w:rsidRPr="00A35B04">
              <w:rPr>
                <w:sz w:val="20"/>
                <w:szCs w:val="28"/>
              </w:rPr>
              <w:t>thousand)</w:t>
            </w:r>
          </w:p>
        </w:tc>
        <w:tc>
          <w:tcPr>
            <w:tcW w:w="1382" w:type="dxa"/>
          </w:tcPr>
          <w:p w14:paraId="171E7C67" w14:textId="77777777" w:rsidR="00F63FC0" w:rsidRPr="00A35B04" w:rsidRDefault="00F63FC0" w:rsidP="00A35B04">
            <w:pPr>
              <w:pStyle w:val="TableColumnHeading"/>
              <w:jc w:val="right"/>
              <w:rPr>
                <w:sz w:val="20"/>
                <w:szCs w:val="28"/>
              </w:rPr>
            </w:pPr>
            <w:r w:rsidRPr="00A35B04">
              <w:rPr>
                <w:sz w:val="20"/>
                <w:szCs w:val="28"/>
              </w:rPr>
              <w:t>Cultural assets ($</w:t>
            </w:r>
            <w:r w:rsidRPr="00A35B04">
              <w:rPr>
                <w:rFonts w:ascii="Cambria" w:hAnsi="Cambria" w:cs="Cambria"/>
                <w:sz w:val="20"/>
                <w:szCs w:val="28"/>
              </w:rPr>
              <w:t> </w:t>
            </w:r>
            <w:r w:rsidRPr="00A35B04">
              <w:rPr>
                <w:sz w:val="20"/>
                <w:szCs w:val="28"/>
              </w:rPr>
              <w:t>thousand)</w:t>
            </w:r>
          </w:p>
        </w:tc>
        <w:tc>
          <w:tcPr>
            <w:tcW w:w="1382" w:type="dxa"/>
          </w:tcPr>
          <w:p w14:paraId="07972921" w14:textId="77777777" w:rsidR="00F63FC0" w:rsidRPr="00A35B04" w:rsidRDefault="00F63FC0" w:rsidP="00A35B04">
            <w:pPr>
              <w:pStyle w:val="TableColumnHeading"/>
              <w:jc w:val="right"/>
              <w:rPr>
                <w:sz w:val="20"/>
                <w:szCs w:val="28"/>
              </w:rPr>
            </w:pPr>
            <w:r w:rsidRPr="00A35B04">
              <w:rPr>
                <w:sz w:val="20"/>
                <w:szCs w:val="28"/>
              </w:rPr>
              <w:t>Leasehold improvement ($ thousand)</w:t>
            </w:r>
          </w:p>
        </w:tc>
        <w:tc>
          <w:tcPr>
            <w:tcW w:w="1383" w:type="dxa"/>
          </w:tcPr>
          <w:p w14:paraId="4D1182D2" w14:textId="77777777" w:rsidR="00F63FC0" w:rsidRPr="00A35B04" w:rsidRDefault="00F63FC0" w:rsidP="00A35B04">
            <w:pPr>
              <w:pStyle w:val="TableColumnHeading"/>
              <w:jc w:val="right"/>
              <w:rPr>
                <w:sz w:val="20"/>
                <w:szCs w:val="28"/>
              </w:rPr>
            </w:pPr>
            <w:r w:rsidRPr="00A35B04">
              <w:rPr>
                <w:sz w:val="20"/>
                <w:szCs w:val="28"/>
              </w:rPr>
              <w:t>Total ($</w:t>
            </w:r>
            <w:r w:rsidRPr="00A35B04">
              <w:rPr>
                <w:rFonts w:ascii="Cambria" w:hAnsi="Cambria" w:cs="Cambria"/>
                <w:sz w:val="20"/>
                <w:szCs w:val="28"/>
              </w:rPr>
              <w:t> </w:t>
            </w:r>
            <w:r w:rsidRPr="00A35B04">
              <w:rPr>
                <w:sz w:val="20"/>
                <w:szCs w:val="28"/>
              </w:rPr>
              <w:t>thousand)</w:t>
            </w:r>
          </w:p>
        </w:tc>
      </w:tr>
      <w:tr w:rsidR="00F63FC0" w:rsidRPr="00A35B04" w14:paraId="007B122C" w14:textId="77777777" w:rsidTr="00DE38B5">
        <w:trPr>
          <w:trHeight w:val="60"/>
        </w:trPr>
        <w:tc>
          <w:tcPr>
            <w:tcW w:w="5209" w:type="dxa"/>
          </w:tcPr>
          <w:p w14:paraId="14AE6832" w14:textId="486384C0" w:rsidR="00F63FC0" w:rsidRPr="00A35B04" w:rsidRDefault="00F63FC0" w:rsidP="00A35B04">
            <w:pPr>
              <w:pStyle w:val="TableCopy"/>
              <w:rPr>
                <w:b/>
                <w:bCs/>
              </w:rPr>
            </w:pPr>
            <w:r w:rsidRPr="00A35B04">
              <w:rPr>
                <w:b/>
                <w:bCs/>
              </w:rPr>
              <w:t>Opening balance</w:t>
            </w:r>
          </w:p>
        </w:tc>
        <w:tc>
          <w:tcPr>
            <w:tcW w:w="1376" w:type="dxa"/>
          </w:tcPr>
          <w:p w14:paraId="0C55ADC4" w14:textId="1E649934" w:rsidR="00F63FC0" w:rsidRPr="00A35B04" w:rsidRDefault="00F63FC0" w:rsidP="00A35B04">
            <w:pPr>
              <w:pStyle w:val="TableCopy"/>
              <w:jc w:val="right"/>
              <w:rPr>
                <w:b/>
                <w:bCs/>
              </w:rPr>
            </w:pPr>
            <w:r w:rsidRPr="00A35B04">
              <w:rPr>
                <w:b/>
                <w:bCs/>
              </w:rPr>
              <w:t>492,088</w:t>
            </w:r>
          </w:p>
        </w:tc>
        <w:tc>
          <w:tcPr>
            <w:tcW w:w="1382" w:type="dxa"/>
          </w:tcPr>
          <w:p w14:paraId="4DF7ED08" w14:textId="14561B89" w:rsidR="00F63FC0" w:rsidRPr="00A35B04" w:rsidRDefault="00F63FC0" w:rsidP="00A35B04">
            <w:pPr>
              <w:pStyle w:val="TableCopy"/>
              <w:jc w:val="right"/>
              <w:rPr>
                <w:b/>
                <w:bCs/>
              </w:rPr>
            </w:pPr>
            <w:r w:rsidRPr="00A35B04">
              <w:rPr>
                <w:b/>
                <w:bCs/>
              </w:rPr>
              <w:t>513,857</w:t>
            </w:r>
          </w:p>
        </w:tc>
        <w:tc>
          <w:tcPr>
            <w:tcW w:w="1382" w:type="dxa"/>
          </w:tcPr>
          <w:p w14:paraId="3B4D188D" w14:textId="466B20B9" w:rsidR="00F63FC0" w:rsidRPr="00A35B04" w:rsidRDefault="00F63FC0" w:rsidP="00A35B04">
            <w:pPr>
              <w:pStyle w:val="TableCopy"/>
              <w:jc w:val="right"/>
              <w:rPr>
                <w:b/>
                <w:bCs/>
              </w:rPr>
            </w:pPr>
            <w:r w:rsidRPr="00A35B04">
              <w:rPr>
                <w:b/>
                <w:bCs/>
              </w:rPr>
              <w:t>26,889</w:t>
            </w:r>
          </w:p>
        </w:tc>
        <w:tc>
          <w:tcPr>
            <w:tcW w:w="1383" w:type="dxa"/>
          </w:tcPr>
          <w:p w14:paraId="17B39CD0" w14:textId="16D33DC3" w:rsidR="00F63FC0" w:rsidRPr="00A35B04" w:rsidRDefault="00F63FC0" w:rsidP="00A35B04">
            <w:pPr>
              <w:pStyle w:val="TableCopy"/>
              <w:jc w:val="right"/>
              <w:rPr>
                <w:b/>
                <w:bCs/>
              </w:rPr>
            </w:pPr>
            <w:r w:rsidRPr="00A35B04">
              <w:rPr>
                <w:b/>
                <w:bCs/>
              </w:rPr>
              <w:t>12,013</w:t>
            </w:r>
          </w:p>
        </w:tc>
        <w:tc>
          <w:tcPr>
            <w:tcW w:w="1382" w:type="dxa"/>
          </w:tcPr>
          <w:p w14:paraId="609384E4" w14:textId="40F5328A" w:rsidR="00F63FC0" w:rsidRPr="00A35B04" w:rsidRDefault="00F63FC0" w:rsidP="00A35B04">
            <w:pPr>
              <w:pStyle w:val="TableCopy"/>
              <w:jc w:val="right"/>
              <w:rPr>
                <w:b/>
                <w:bCs/>
              </w:rPr>
            </w:pPr>
            <w:r w:rsidRPr="00A35B04">
              <w:rPr>
                <w:b/>
                <w:bCs/>
              </w:rPr>
              <w:t>2,818</w:t>
            </w:r>
          </w:p>
        </w:tc>
        <w:tc>
          <w:tcPr>
            <w:tcW w:w="1382" w:type="dxa"/>
          </w:tcPr>
          <w:p w14:paraId="165E1AEA" w14:textId="19A0A3AA" w:rsidR="00F63FC0" w:rsidRPr="00A35B04" w:rsidRDefault="00F63FC0" w:rsidP="00A35B04">
            <w:pPr>
              <w:pStyle w:val="TableCopy"/>
              <w:jc w:val="right"/>
              <w:rPr>
                <w:b/>
                <w:bCs/>
              </w:rPr>
            </w:pPr>
            <w:r w:rsidRPr="00A35B04">
              <w:rPr>
                <w:b/>
                <w:bCs/>
              </w:rPr>
              <w:t>14,157</w:t>
            </w:r>
          </w:p>
        </w:tc>
        <w:tc>
          <w:tcPr>
            <w:tcW w:w="1383" w:type="dxa"/>
          </w:tcPr>
          <w:p w14:paraId="333B2EB1" w14:textId="42B367D5" w:rsidR="00F63FC0" w:rsidRPr="00A35B04" w:rsidRDefault="00F63FC0" w:rsidP="00A35B04">
            <w:pPr>
              <w:pStyle w:val="TableCopy"/>
              <w:jc w:val="right"/>
              <w:rPr>
                <w:b/>
                <w:bCs/>
              </w:rPr>
            </w:pPr>
            <w:r w:rsidRPr="00A35B04">
              <w:rPr>
                <w:b/>
                <w:bCs/>
              </w:rPr>
              <w:t>1,061,823</w:t>
            </w:r>
          </w:p>
        </w:tc>
      </w:tr>
      <w:tr w:rsidR="00F63FC0" w:rsidRPr="00A35B04" w14:paraId="23676E35" w14:textId="77777777" w:rsidTr="00DE38B5">
        <w:trPr>
          <w:trHeight w:val="60"/>
        </w:trPr>
        <w:tc>
          <w:tcPr>
            <w:tcW w:w="5209" w:type="dxa"/>
          </w:tcPr>
          <w:p w14:paraId="0C74DB9C" w14:textId="77777777" w:rsidR="00F63FC0" w:rsidRPr="00A35B04" w:rsidRDefault="00F63FC0" w:rsidP="00A35B04">
            <w:pPr>
              <w:pStyle w:val="TableCopy"/>
            </w:pPr>
            <w:r w:rsidRPr="00A35B04">
              <w:t>Additions</w:t>
            </w:r>
          </w:p>
        </w:tc>
        <w:tc>
          <w:tcPr>
            <w:tcW w:w="1376" w:type="dxa"/>
          </w:tcPr>
          <w:p w14:paraId="42C03B0F" w14:textId="77A31D42" w:rsidR="00F63FC0" w:rsidRPr="00A35B04" w:rsidRDefault="00F63FC0" w:rsidP="00A35B04">
            <w:pPr>
              <w:pStyle w:val="TableCopy"/>
              <w:jc w:val="right"/>
            </w:pPr>
            <w:r w:rsidRPr="00A35B04">
              <w:t>777</w:t>
            </w:r>
          </w:p>
        </w:tc>
        <w:tc>
          <w:tcPr>
            <w:tcW w:w="1382" w:type="dxa"/>
          </w:tcPr>
          <w:p w14:paraId="63A683CA" w14:textId="47A666BC" w:rsidR="00F63FC0" w:rsidRPr="00A35B04" w:rsidRDefault="00F63FC0" w:rsidP="00A35B04">
            <w:pPr>
              <w:pStyle w:val="TableCopy"/>
              <w:jc w:val="right"/>
            </w:pPr>
            <w:r w:rsidRPr="00A35B04">
              <w:t>3,161</w:t>
            </w:r>
          </w:p>
        </w:tc>
        <w:tc>
          <w:tcPr>
            <w:tcW w:w="1382" w:type="dxa"/>
          </w:tcPr>
          <w:p w14:paraId="061AD851" w14:textId="55C01A94" w:rsidR="00F63FC0" w:rsidRPr="00A35B04" w:rsidRDefault="00F63FC0" w:rsidP="00A35B04">
            <w:pPr>
              <w:pStyle w:val="TableCopy"/>
              <w:jc w:val="right"/>
            </w:pPr>
            <w:r w:rsidRPr="00A35B04">
              <w:t>1,638</w:t>
            </w:r>
          </w:p>
        </w:tc>
        <w:tc>
          <w:tcPr>
            <w:tcW w:w="1383" w:type="dxa"/>
          </w:tcPr>
          <w:p w14:paraId="4EE95F89" w14:textId="45C88944" w:rsidR="00F63FC0" w:rsidRPr="00A35B04" w:rsidRDefault="00F63FC0" w:rsidP="00A35B04">
            <w:pPr>
              <w:pStyle w:val="TableCopy"/>
              <w:jc w:val="right"/>
            </w:pPr>
            <w:r w:rsidRPr="00A35B04">
              <w:t>3,770</w:t>
            </w:r>
          </w:p>
        </w:tc>
        <w:tc>
          <w:tcPr>
            <w:tcW w:w="1382" w:type="dxa"/>
          </w:tcPr>
          <w:p w14:paraId="6A02E8E1" w14:textId="6B24E9B8" w:rsidR="00F63FC0" w:rsidRPr="00A35B04" w:rsidRDefault="00F63FC0" w:rsidP="00A35B04">
            <w:pPr>
              <w:pStyle w:val="TableCopy"/>
              <w:jc w:val="right"/>
            </w:pPr>
            <w:r w:rsidRPr="00A35B04">
              <w:t>–</w:t>
            </w:r>
          </w:p>
        </w:tc>
        <w:tc>
          <w:tcPr>
            <w:tcW w:w="1382" w:type="dxa"/>
          </w:tcPr>
          <w:p w14:paraId="0CACDEFA" w14:textId="02272E03" w:rsidR="00F63FC0" w:rsidRPr="00A35B04" w:rsidRDefault="00F63FC0" w:rsidP="00A35B04">
            <w:pPr>
              <w:pStyle w:val="TableCopy"/>
              <w:jc w:val="right"/>
            </w:pPr>
            <w:r w:rsidRPr="00A35B04">
              <w:t>5,181</w:t>
            </w:r>
          </w:p>
        </w:tc>
        <w:tc>
          <w:tcPr>
            <w:tcW w:w="1383" w:type="dxa"/>
          </w:tcPr>
          <w:p w14:paraId="5EF2CB20" w14:textId="341CC770" w:rsidR="00F63FC0" w:rsidRPr="00A35B04" w:rsidRDefault="00F63FC0" w:rsidP="00A35B04">
            <w:pPr>
              <w:pStyle w:val="TableCopy"/>
              <w:jc w:val="right"/>
            </w:pPr>
            <w:r w:rsidRPr="00A35B04">
              <w:t>14,527</w:t>
            </w:r>
          </w:p>
        </w:tc>
      </w:tr>
      <w:tr w:rsidR="00F63FC0" w:rsidRPr="00A35B04" w14:paraId="2623A772" w14:textId="77777777" w:rsidTr="00DE38B5">
        <w:trPr>
          <w:trHeight w:val="60"/>
        </w:trPr>
        <w:tc>
          <w:tcPr>
            <w:tcW w:w="5209" w:type="dxa"/>
          </w:tcPr>
          <w:p w14:paraId="51FBAA17" w14:textId="77777777" w:rsidR="00F63FC0" w:rsidRPr="00A35B04" w:rsidRDefault="00F63FC0" w:rsidP="00A35B04">
            <w:pPr>
              <w:pStyle w:val="TableCopy"/>
            </w:pPr>
            <w:r w:rsidRPr="00A35B04">
              <w:t>Disposals</w:t>
            </w:r>
          </w:p>
        </w:tc>
        <w:tc>
          <w:tcPr>
            <w:tcW w:w="1376" w:type="dxa"/>
          </w:tcPr>
          <w:p w14:paraId="5C84E448" w14:textId="7AF3398E" w:rsidR="00F63FC0" w:rsidRPr="00A35B04" w:rsidRDefault="00F63FC0" w:rsidP="00A35B04">
            <w:pPr>
              <w:pStyle w:val="TableCopy"/>
              <w:jc w:val="right"/>
            </w:pPr>
            <w:r w:rsidRPr="00A35B04">
              <w:t>–</w:t>
            </w:r>
          </w:p>
        </w:tc>
        <w:tc>
          <w:tcPr>
            <w:tcW w:w="1382" w:type="dxa"/>
          </w:tcPr>
          <w:p w14:paraId="713692D1" w14:textId="2C867688" w:rsidR="00F63FC0" w:rsidRPr="00A35B04" w:rsidRDefault="00F63FC0" w:rsidP="00A35B04">
            <w:pPr>
              <w:pStyle w:val="TableCopy"/>
              <w:jc w:val="right"/>
            </w:pPr>
            <w:r w:rsidRPr="00A35B04">
              <w:t>–</w:t>
            </w:r>
          </w:p>
        </w:tc>
        <w:tc>
          <w:tcPr>
            <w:tcW w:w="1382" w:type="dxa"/>
          </w:tcPr>
          <w:p w14:paraId="55AB5502" w14:textId="77777777" w:rsidR="00F63FC0" w:rsidRPr="00A35B04" w:rsidRDefault="00F63FC0" w:rsidP="00A35B04">
            <w:pPr>
              <w:pStyle w:val="TableCopy"/>
              <w:jc w:val="right"/>
            </w:pPr>
            <w:r w:rsidRPr="00A35B04">
              <w:t>(468)</w:t>
            </w:r>
          </w:p>
        </w:tc>
        <w:tc>
          <w:tcPr>
            <w:tcW w:w="1383" w:type="dxa"/>
          </w:tcPr>
          <w:p w14:paraId="28E91BF3" w14:textId="77777777" w:rsidR="00F63FC0" w:rsidRPr="00A35B04" w:rsidRDefault="00F63FC0" w:rsidP="00A35B04">
            <w:pPr>
              <w:pStyle w:val="TableCopy"/>
              <w:jc w:val="right"/>
            </w:pPr>
            <w:r w:rsidRPr="00A35B04">
              <w:t>(1,073)</w:t>
            </w:r>
          </w:p>
        </w:tc>
        <w:tc>
          <w:tcPr>
            <w:tcW w:w="1382" w:type="dxa"/>
          </w:tcPr>
          <w:p w14:paraId="11E1F42D" w14:textId="257C6706" w:rsidR="00F63FC0" w:rsidRPr="00A35B04" w:rsidRDefault="00F63FC0" w:rsidP="00A35B04">
            <w:pPr>
              <w:pStyle w:val="TableCopy"/>
              <w:jc w:val="right"/>
            </w:pPr>
            <w:r w:rsidRPr="00A35B04">
              <w:t>–</w:t>
            </w:r>
          </w:p>
        </w:tc>
        <w:tc>
          <w:tcPr>
            <w:tcW w:w="1382" w:type="dxa"/>
          </w:tcPr>
          <w:p w14:paraId="24610CFC" w14:textId="77777777" w:rsidR="00F63FC0" w:rsidRPr="00A35B04" w:rsidRDefault="00F63FC0" w:rsidP="00A35B04">
            <w:pPr>
              <w:pStyle w:val="TableCopy"/>
              <w:jc w:val="right"/>
            </w:pPr>
            <w:r w:rsidRPr="00A35B04">
              <w:t>(129)</w:t>
            </w:r>
          </w:p>
        </w:tc>
        <w:tc>
          <w:tcPr>
            <w:tcW w:w="1383" w:type="dxa"/>
          </w:tcPr>
          <w:p w14:paraId="3A3BE096" w14:textId="77777777" w:rsidR="00F63FC0" w:rsidRPr="00A35B04" w:rsidRDefault="00F63FC0" w:rsidP="00A35B04">
            <w:pPr>
              <w:pStyle w:val="TableCopy"/>
              <w:jc w:val="right"/>
            </w:pPr>
            <w:r w:rsidRPr="00A35B04">
              <w:t>(1,670)</w:t>
            </w:r>
          </w:p>
        </w:tc>
      </w:tr>
      <w:tr w:rsidR="00F63FC0" w:rsidRPr="00A35B04" w14:paraId="646D23A4" w14:textId="77777777" w:rsidTr="00DE38B5">
        <w:trPr>
          <w:trHeight w:val="60"/>
        </w:trPr>
        <w:tc>
          <w:tcPr>
            <w:tcW w:w="5209" w:type="dxa"/>
          </w:tcPr>
          <w:p w14:paraId="40DB88CC" w14:textId="5F5F354C" w:rsidR="00F63FC0" w:rsidRPr="00A35B04" w:rsidRDefault="00F63FC0" w:rsidP="00A35B04">
            <w:pPr>
              <w:pStyle w:val="TableCopy"/>
            </w:pPr>
            <w:r w:rsidRPr="00A35B04">
              <w:t>Return of capital</w:t>
            </w:r>
          </w:p>
        </w:tc>
        <w:tc>
          <w:tcPr>
            <w:tcW w:w="1376" w:type="dxa"/>
          </w:tcPr>
          <w:p w14:paraId="608B4662" w14:textId="77777777" w:rsidR="00F63FC0" w:rsidRPr="00A35B04" w:rsidRDefault="00F63FC0" w:rsidP="00A35B04">
            <w:pPr>
              <w:pStyle w:val="TableCopy"/>
              <w:jc w:val="right"/>
            </w:pPr>
            <w:r w:rsidRPr="00A35B04">
              <w:t>(267)</w:t>
            </w:r>
          </w:p>
        </w:tc>
        <w:tc>
          <w:tcPr>
            <w:tcW w:w="1382" w:type="dxa"/>
          </w:tcPr>
          <w:p w14:paraId="5A1807A0" w14:textId="77777777" w:rsidR="00F63FC0" w:rsidRPr="00A35B04" w:rsidRDefault="00F63FC0" w:rsidP="00A35B04">
            <w:pPr>
              <w:pStyle w:val="TableCopy"/>
              <w:jc w:val="right"/>
            </w:pPr>
            <w:r w:rsidRPr="00A35B04">
              <w:t>(10,449)</w:t>
            </w:r>
          </w:p>
        </w:tc>
        <w:tc>
          <w:tcPr>
            <w:tcW w:w="1382" w:type="dxa"/>
          </w:tcPr>
          <w:p w14:paraId="66E95FC9" w14:textId="77777777" w:rsidR="00F63FC0" w:rsidRPr="00A35B04" w:rsidRDefault="00F63FC0" w:rsidP="00A35B04">
            <w:pPr>
              <w:pStyle w:val="TableCopy"/>
              <w:jc w:val="right"/>
            </w:pPr>
            <w:r w:rsidRPr="00A35B04">
              <w:t>(4)</w:t>
            </w:r>
          </w:p>
        </w:tc>
        <w:tc>
          <w:tcPr>
            <w:tcW w:w="1383" w:type="dxa"/>
          </w:tcPr>
          <w:p w14:paraId="220C99FB" w14:textId="15E2F76B" w:rsidR="00F63FC0" w:rsidRPr="00A35B04" w:rsidRDefault="00F63FC0" w:rsidP="00A35B04">
            <w:pPr>
              <w:pStyle w:val="TableCopy"/>
              <w:jc w:val="right"/>
            </w:pPr>
            <w:r w:rsidRPr="00A35B04">
              <w:t>–</w:t>
            </w:r>
          </w:p>
        </w:tc>
        <w:tc>
          <w:tcPr>
            <w:tcW w:w="1382" w:type="dxa"/>
          </w:tcPr>
          <w:p w14:paraId="587C049B" w14:textId="42DBADAA" w:rsidR="00F63FC0" w:rsidRPr="00A35B04" w:rsidRDefault="00F63FC0" w:rsidP="00A35B04">
            <w:pPr>
              <w:pStyle w:val="TableCopy"/>
              <w:jc w:val="right"/>
            </w:pPr>
            <w:r w:rsidRPr="00A35B04">
              <w:t>–</w:t>
            </w:r>
          </w:p>
        </w:tc>
        <w:tc>
          <w:tcPr>
            <w:tcW w:w="1382" w:type="dxa"/>
          </w:tcPr>
          <w:p w14:paraId="28C980A8" w14:textId="6A19C9CB" w:rsidR="00F63FC0" w:rsidRPr="00A35B04" w:rsidRDefault="00F63FC0" w:rsidP="00A35B04">
            <w:pPr>
              <w:pStyle w:val="TableCopy"/>
              <w:jc w:val="right"/>
            </w:pPr>
            <w:r w:rsidRPr="00A35B04">
              <w:t>–</w:t>
            </w:r>
          </w:p>
        </w:tc>
        <w:tc>
          <w:tcPr>
            <w:tcW w:w="1383" w:type="dxa"/>
          </w:tcPr>
          <w:p w14:paraId="55597868" w14:textId="77777777" w:rsidR="00F63FC0" w:rsidRPr="00A35B04" w:rsidRDefault="00F63FC0" w:rsidP="00A35B04">
            <w:pPr>
              <w:pStyle w:val="TableCopy"/>
              <w:jc w:val="right"/>
            </w:pPr>
            <w:r w:rsidRPr="00A35B04">
              <w:t>(10,720)</w:t>
            </w:r>
          </w:p>
        </w:tc>
      </w:tr>
      <w:tr w:rsidR="00F63FC0" w:rsidRPr="00A35B04" w14:paraId="0003605A" w14:textId="77777777" w:rsidTr="00DE38B5">
        <w:trPr>
          <w:trHeight w:val="60"/>
        </w:trPr>
        <w:tc>
          <w:tcPr>
            <w:tcW w:w="5209" w:type="dxa"/>
          </w:tcPr>
          <w:p w14:paraId="49FD4011" w14:textId="49D5BE29" w:rsidR="00F63FC0" w:rsidRPr="00A35B04" w:rsidRDefault="00F63FC0" w:rsidP="00A35B04">
            <w:pPr>
              <w:pStyle w:val="TableCopy"/>
            </w:pPr>
            <w:r w:rsidRPr="00A35B04">
              <w:t>Transfers to classified as held for sale</w:t>
            </w:r>
          </w:p>
        </w:tc>
        <w:tc>
          <w:tcPr>
            <w:tcW w:w="1376" w:type="dxa"/>
          </w:tcPr>
          <w:p w14:paraId="07CCC58B" w14:textId="3788F96D" w:rsidR="00F63FC0" w:rsidRPr="00A35B04" w:rsidRDefault="00F63FC0" w:rsidP="00A35B04">
            <w:pPr>
              <w:pStyle w:val="TableCopy"/>
              <w:jc w:val="right"/>
            </w:pPr>
            <w:r w:rsidRPr="00A35B04">
              <w:t>–</w:t>
            </w:r>
          </w:p>
        </w:tc>
        <w:tc>
          <w:tcPr>
            <w:tcW w:w="1382" w:type="dxa"/>
          </w:tcPr>
          <w:p w14:paraId="55C32483" w14:textId="4B402C4A" w:rsidR="00F63FC0" w:rsidRPr="00A35B04" w:rsidRDefault="00F63FC0" w:rsidP="00A35B04">
            <w:pPr>
              <w:pStyle w:val="TableCopy"/>
              <w:jc w:val="right"/>
            </w:pPr>
            <w:r w:rsidRPr="00A35B04">
              <w:t>–</w:t>
            </w:r>
          </w:p>
        </w:tc>
        <w:tc>
          <w:tcPr>
            <w:tcW w:w="1382" w:type="dxa"/>
          </w:tcPr>
          <w:p w14:paraId="3A5C8637" w14:textId="4BE5F508" w:rsidR="00F63FC0" w:rsidRPr="00A35B04" w:rsidRDefault="00F63FC0" w:rsidP="00A35B04">
            <w:pPr>
              <w:pStyle w:val="TableCopy"/>
              <w:jc w:val="right"/>
            </w:pPr>
            <w:r w:rsidRPr="00A35B04">
              <w:t>–</w:t>
            </w:r>
          </w:p>
        </w:tc>
        <w:tc>
          <w:tcPr>
            <w:tcW w:w="1383" w:type="dxa"/>
          </w:tcPr>
          <w:p w14:paraId="0A95B08B" w14:textId="77777777" w:rsidR="00F63FC0" w:rsidRPr="00A35B04" w:rsidRDefault="00F63FC0" w:rsidP="00A35B04">
            <w:pPr>
              <w:pStyle w:val="TableCopy"/>
              <w:jc w:val="right"/>
            </w:pPr>
            <w:r w:rsidRPr="00A35B04">
              <w:t>(434)</w:t>
            </w:r>
          </w:p>
        </w:tc>
        <w:tc>
          <w:tcPr>
            <w:tcW w:w="1382" w:type="dxa"/>
          </w:tcPr>
          <w:p w14:paraId="2BA27FB1" w14:textId="2E6B9F32" w:rsidR="00F63FC0" w:rsidRPr="00A35B04" w:rsidRDefault="00F63FC0" w:rsidP="00A35B04">
            <w:pPr>
              <w:pStyle w:val="TableCopy"/>
              <w:jc w:val="right"/>
            </w:pPr>
            <w:r w:rsidRPr="00A35B04">
              <w:t>–</w:t>
            </w:r>
          </w:p>
        </w:tc>
        <w:tc>
          <w:tcPr>
            <w:tcW w:w="1382" w:type="dxa"/>
          </w:tcPr>
          <w:p w14:paraId="14096FD0" w14:textId="7E30095C" w:rsidR="00F63FC0" w:rsidRPr="00A35B04" w:rsidRDefault="00F63FC0" w:rsidP="00A35B04">
            <w:pPr>
              <w:pStyle w:val="TableCopy"/>
              <w:jc w:val="right"/>
            </w:pPr>
            <w:r w:rsidRPr="00A35B04">
              <w:t>–</w:t>
            </w:r>
          </w:p>
        </w:tc>
        <w:tc>
          <w:tcPr>
            <w:tcW w:w="1383" w:type="dxa"/>
          </w:tcPr>
          <w:p w14:paraId="49132F1E" w14:textId="77777777" w:rsidR="00F63FC0" w:rsidRPr="00A35B04" w:rsidRDefault="00F63FC0" w:rsidP="00A35B04">
            <w:pPr>
              <w:pStyle w:val="TableCopy"/>
              <w:jc w:val="right"/>
            </w:pPr>
            <w:r w:rsidRPr="00A35B04">
              <w:t>(434)</w:t>
            </w:r>
          </w:p>
        </w:tc>
      </w:tr>
      <w:tr w:rsidR="00F63FC0" w:rsidRPr="00A35B04" w14:paraId="7B754A1D" w14:textId="77777777" w:rsidTr="00DE38B5">
        <w:trPr>
          <w:trHeight w:val="337"/>
        </w:trPr>
        <w:tc>
          <w:tcPr>
            <w:tcW w:w="5209" w:type="dxa"/>
          </w:tcPr>
          <w:p w14:paraId="1C9416FE" w14:textId="1F3B286C" w:rsidR="00F63FC0" w:rsidRPr="00A35B04" w:rsidRDefault="00F63FC0" w:rsidP="00A35B04">
            <w:pPr>
              <w:pStyle w:val="TableCopy"/>
            </w:pPr>
            <w:r w:rsidRPr="00A35B04">
              <w:t>Given free of charge</w:t>
            </w:r>
          </w:p>
        </w:tc>
        <w:tc>
          <w:tcPr>
            <w:tcW w:w="1376" w:type="dxa"/>
          </w:tcPr>
          <w:p w14:paraId="35E16D4C" w14:textId="2E9EE70C" w:rsidR="00F63FC0" w:rsidRPr="00A35B04" w:rsidRDefault="00F63FC0" w:rsidP="00A35B04">
            <w:pPr>
              <w:pStyle w:val="TableCopy"/>
              <w:jc w:val="right"/>
            </w:pPr>
            <w:r w:rsidRPr="00A35B04">
              <w:t>–</w:t>
            </w:r>
          </w:p>
        </w:tc>
        <w:tc>
          <w:tcPr>
            <w:tcW w:w="1382" w:type="dxa"/>
          </w:tcPr>
          <w:p w14:paraId="242AC72A" w14:textId="5D486681" w:rsidR="00F63FC0" w:rsidRPr="00A35B04" w:rsidRDefault="00F63FC0" w:rsidP="00A35B04">
            <w:pPr>
              <w:pStyle w:val="TableCopy"/>
              <w:jc w:val="right"/>
            </w:pPr>
            <w:r w:rsidRPr="00A35B04">
              <w:t>–</w:t>
            </w:r>
          </w:p>
        </w:tc>
        <w:tc>
          <w:tcPr>
            <w:tcW w:w="1382" w:type="dxa"/>
          </w:tcPr>
          <w:p w14:paraId="182765D6" w14:textId="09A1623F" w:rsidR="00F63FC0" w:rsidRPr="00A35B04" w:rsidRDefault="00F63FC0" w:rsidP="00A35B04">
            <w:pPr>
              <w:pStyle w:val="TableCopy"/>
              <w:jc w:val="right"/>
            </w:pPr>
            <w:r w:rsidRPr="00A35B04">
              <w:t>–</w:t>
            </w:r>
          </w:p>
        </w:tc>
        <w:tc>
          <w:tcPr>
            <w:tcW w:w="1383" w:type="dxa"/>
          </w:tcPr>
          <w:p w14:paraId="3A7A7279" w14:textId="77777777" w:rsidR="00F63FC0" w:rsidRPr="00A35B04" w:rsidRDefault="00F63FC0" w:rsidP="00A35B04">
            <w:pPr>
              <w:pStyle w:val="TableCopy"/>
              <w:jc w:val="right"/>
            </w:pPr>
            <w:r w:rsidRPr="00A35B04">
              <w:t>(68)</w:t>
            </w:r>
          </w:p>
        </w:tc>
        <w:tc>
          <w:tcPr>
            <w:tcW w:w="1382" w:type="dxa"/>
          </w:tcPr>
          <w:p w14:paraId="06865A7C" w14:textId="0CCA7BC4" w:rsidR="00F63FC0" w:rsidRPr="00A35B04" w:rsidRDefault="00F63FC0" w:rsidP="00A35B04">
            <w:pPr>
              <w:pStyle w:val="TableCopy"/>
              <w:jc w:val="right"/>
            </w:pPr>
            <w:r w:rsidRPr="00A35B04">
              <w:t>–</w:t>
            </w:r>
          </w:p>
        </w:tc>
        <w:tc>
          <w:tcPr>
            <w:tcW w:w="1382" w:type="dxa"/>
          </w:tcPr>
          <w:p w14:paraId="6B4A084F" w14:textId="040D6B96" w:rsidR="00F63FC0" w:rsidRPr="00A35B04" w:rsidRDefault="00F63FC0" w:rsidP="00A35B04">
            <w:pPr>
              <w:pStyle w:val="TableCopy"/>
              <w:jc w:val="right"/>
            </w:pPr>
            <w:r w:rsidRPr="00A35B04">
              <w:t>–</w:t>
            </w:r>
          </w:p>
        </w:tc>
        <w:tc>
          <w:tcPr>
            <w:tcW w:w="1383" w:type="dxa"/>
          </w:tcPr>
          <w:p w14:paraId="122DA08F" w14:textId="77777777" w:rsidR="00F63FC0" w:rsidRPr="00A35B04" w:rsidRDefault="00F63FC0" w:rsidP="00A35B04">
            <w:pPr>
              <w:pStyle w:val="TableCopy"/>
              <w:jc w:val="right"/>
            </w:pPr>
            <w:r w:rsidRPr="00A35B04">
              <w:t>(68)</w:t>
            </w:r>
          </w:p>
        </w:tc>
      </w:tr>
      <w:tr w:rsidR="00F63FC0" w:rsidRPr="00A35B04" w14:paraId="048BB7DB" w14:textId="77777777" w:rsidTr="00DE38B5">
        <w:trPr>
          <w:trHeight w:val="60"/>
        </w:trPr>
        <w:tc>
          <w:tcPr>
            <w:tcW w:w="5209" w:type="dxa"/>
          </w:tcPr>
          <w:p w14:paraId="5DA93544" w14:textId="2ABBE3B0" w:rsidR="00F63FC0" w:rsidRPr="00A35B04" w:rsidRDefault="00F63FC0" w:rsidP="00A35B04">
            <w:pPr>
              <w:pStyle w:val="TableCopy"/>
            </w:pPr>
            <w:r w:rsidRPr="00A35B04">
              <w:t>Transfer between classes</w:t>
            </w:r>
          </w:p>
        </w:tc>
        <w:tc>
          <w:tcPr>
            <w:tcW w:w="1376" w:type="dxa"/>
          </w:tcPr>
          <w:p w14:paraId="6205C1FD" w14:textId="1B7174CB" w:rsidR="00F63FC0" w:rsidRPr="00A35B04" w:rsidRDefault="00F63FC0" w:rsidP="00A35B04">
            <w:pPr>
              <w:pStyle w:val="TableCopy"/>
              <w:jc w:val="right"/>
            </w:pPr>
            <w:r w:rsidRPr="00A35B04">
              <w:t>–</w:t>
            </w:r>
          </w:p>
        </w:tc>
        <w:tc>
          <w:tcPr>
            <w:tcW w:w="1382" w:type="dxa"/>
          </w:tcPr>
          <w:p w14:paraId="11EFFE46" w14:textId="6A9A5713" w:rsidR="00F63FC0" w:rsidRPr="00A35B04" w:rsidRDefault="00F63FC0" w:rsidP="00A35B04">
            <w:pPr>
              <w:pStyle w:val="TableCopy"/>
              <w:jc w:val="right"/>
            </w:pPr>
            <w:r w:rsidRPr="00A35B04">
              <w:t>13,206</w:t>
            </w:r>
          </w:p>
        </w:tc>
        <w:tc>
          <w:tcPr>
            <w:tcW w:w="1382" w:type="dxa"/>
          </w:tcPr>
          <w:p w14:paraId="3EFA8478" w14:textId="3E0B711C" w:rsidR="00F63FC0" w:rsidRPr="00A35B04" w:rsidRDefault="00F63FC0" w:rsidP="00A35B04">
            <w:pPr>
              <w:pStyle w:val="TableCopy"/>
              <w:jc w:val="right"/>
            </w:pPr>
            <w:r w:rsidRPr="00A35B04">
              <w:t>1,231</w:t>
            </w:r>
          </w:p>
        </w:tc>
        <w:tc>
          <w:tcPr>
            <w:tcW w:w="1383" w:type="dxa"/>
          </w:tcPr>
          <w:p w14:paraId="2BB8BC8C" w14:textId="6DAF1972" w:rsidR="00F63FC0" w:rsidRPr="00A35B04" w:rsidRDefault="00F63FC0" w:rsidP="00A35B04">
            <w:pPr>
              <w:pStyle w:val="TableCopy"/>
              <w:jc w:val="right"/>
            </w:pPr>
            <w:r w:rsidRPr="00A35B04">
              <w:t>–</w:t>
            </w:r>
          </w:p>
        </w:tc>
        <w:tc>
          <w:tcPr>
            <w:tcW w:w="1382" w:type="dxa"/>
          </w:tcPr>
          <w:p w14:paraId="69260F3D" w14:textId="73234EFA" w:rsidR="00F63FC0" w:rsidRPr="00A35B04" w:rsidRDefault="00F63FC0" w:rsidP="00A35B04">
            <w:pPr>
              <w:pStyle w:val="TableCopy"/>
              <w:jc w:val="right"/>
            </w:pPr>
            <w:r w:rsidRPr="00A35B04">
              <w:t>–</w:t>
            </w:r>
          </w:p>
        </w:tc>
        <w:tc>
          <w:tcPr>
            <w:tcW w:w="1382" w:type="dxa"/>
          </w:tcPr>
          <w:p w14:paraId="742382D4" w14:textId="2C99D1D2" w:rsidR="00F63FC0" w:rsidRPr="00A35B04" w:rsidRDefault="00F63FC0" w:rsidP="00A35B04">
            <w:pPr>
              <w:pStyle w:val="TableCopy"/>
              <w:jc w:val="right"/>
            </w:pPr>
            <w:r w:rsidRPr="00A35B04">
              <w:t>8,822</w:t>
            </w:r>
          </w:p>
        </w:tc>
        <w:tc>
          <w:tcPr>
            <w:tcW w:w="1383" w:type="dxa"/>
          </w:tcPr>
          <w:p w14:paraId="115EFFE5" w14:textId="241328A7" w:rsidR="00F63FC0" w:rsidRPr="00A35B04" w:rsidRDefault="00F63FC0" w:rsidP="00A35B04">
            <w:pPr>
              <w:pStyle w:val="TableCopy"/>
              <w:jc w:val="right"/>
            </w:pPr>
            <w:r w:rsidRPr="00A35B04">
              <w:t>23,259</w:t>
            </w:r>
          </w:p>
        </w:tc>
      </w:tr>
      <w:tr w:rsidR="00F63FC0" w:rsidRPr="00A35B04" w14:paraId="6E11E760" w14:textId="77777777" w:rsidTr="00DE38B5">
        <w:trPr>
          <w:trHeight w:val="60"/>
        </w:trPr>
        <w:tc>
          <w:tcPr>
            <w:tcW w:w="5209" w:type="dxa"/>
          </w:tcPr>
          <w:p w14:paraId="7F1900DB" w14:textId="77777777" w:rsidR="00F63FC0" w:rsidRPr="00A35B04" w:rsidRDefault="00F63FC0" w:rsidP="00A35B04">
            <w:pPr>
              <w:pStyle w:val="TableCopy"/>
            </w:pPr>
            <w:r w:rsidRPr="00A35B04">
              <w:lastRenderedPageBreak/>
              <w:t>Depreciation</w:t>
            </w:r>
          </w:p>
        </w:tc>
        <w:tc>
          <w:tcPr>
            <w:tcW w:w="1376" w:type="dxa"/>
          </w:tcPr>
          <w:p w14:paraId="0639C5D1" w14:textId="62A76395" w:rsidR="00F63FC0" w:rsidRPr="00A35B04" w:rsidRDefault="00F63FC0" w:rsidP="00A35B04">
            <w:pPr>
              <w:pStyle w:val="TableCopy"/>
              <w:jc w:val="right"/>
            </w:pPr>
            <w:r w:rsidRPr="00A35B04">
              <w:t>–</w:t>
            </w:r>
          </w:p>
        </w:tc>
        <w:tc>
          <w:tcPr>
            <w:tcW w:w="1382" w:type="dxa"/>
          </w:tcPr>
          <w:p w14:paraId="716695F3" w14:textId="77777777" w:rsidR="00F63FC0" w:rsidRPr="00A35B04" w:rsidRDefault="00F63FC0" w:rsidP="00A35B04">
            <w:pPr>
              <w:pStyle w:val="TableCopy"/>
              <w:jc w:val="right"/>
            </w:pPr>
            <w:r w:rsidRPr="00A35B04">
              <w:t>(31,425)</w:t>
            </w:r>
          </w:p>
        </w:tc>
        <w:tc>
          <w:tcPr>
            <w:tcW w:w="1382" w:type="dxa"/>
          </w:tcPr>
          <w:p w14:paraId="07937FDF" w14:textId="77777777" w:rsidR="00F63FC0" w:rsidRPr="00A35B04" w:rsidRDefault="00F63FC0" w:rsidP="00A35B04">
            <w:pPr>
              <w:pStyle w:val="TableCopy"/>
              <w:jc w:val="right"/>
            </w:pPr>
            <w:r w:rsidRPr="00A35B04">
              <w:t>(5,405)</w:t>
            </w:r>
          </w:p>
        </w:tc>
        <w:tc>
          <w:tcPr>
            <w:tcW w:w="1383" w:type="dxa"/>
          </w:tcPr>
          <w:p w14:paraId="409D3367" w14:textId="77777777" w:rsidR="00F63FC0" w:rsidRPr="00A35B04" w:rsidRDefault="00F63FC0" w:rsidP="00A35B04">
            <w:pPr>
              <w:pStyle w:val="TableCopy"/>
              <w:jc w:val="right"/>
            </w:pPr>
            <w:r w:rsidRPr="00A35B04">
              <w:t>(3,150)</w:t>
            </w:r>
          </w:p>
        </w:tc>
        <w:tc>
          <w:tcPr>
            <w:tcW w:w="1382" w:type="dxa"/>
          </w:tcPr>
          <w:p w14:paraId="69C9C265" w14:textId="77777777" w:rsidR="00F63FC0" w:rsidRPr="00A35B04" w:rsidRDefault="00F63FC0" w:rsidP="00A35B04">
            <w:pPr>
              <w:pStyle w:val="TableCopy"/>
              <w:jc w:val="right"/>
            </w:pPr>
            <w:r w:rsidRPr="00A35B04">
              <w:t>(47)</w:t>
            </w:r>
          </w:p>
        </w:tc>
        <w:tc>
          <w:tcPr>
            <w:tcW w:w="1382" w:type="dxa"/>
          </w:tcPr>
          <w:p w14:paraId="7C337D92" w14:textId="77777777" w:rsidR="00F63FC0" w:rsidRPr="00A35B04" w:rsidRDefault="00F63FC0" w:rsidP="00A35B04">
            <w:pPr>
              <w:pStyle w:val="TableCopy"/>
              <w:jc w:val="right"/>
            </w:pPr>
            <w:r w:rsidRPr="00A35B04">
              <w:t>(7,940)</w:t>
            </w:r>
          </w:p>
        </w:tc>
        <w:tc>
          <w:tcPr>
            <w:tcW w:w="1383" w:type="dxa"/>
          </w:tcPr>
          <w:p w14:paraId="5E6544EC" w14:textId="77777777" w:rsidR="00F63FC0" w:rsidRPr="00A35B04" w:rsidRDefault="00F63FC0" w:rsidP="00A35B04">
            <w:pPr>
              <w:pStyle w:val="TableCopy"/>
              <w:jc w:val="right"/>
            </w:pPr>
            <w:r w:rsidRPr="00A35B04">
              <w:t>(47,967)</w:t>
            </w:r>
          </w:p>
        </w:tc>
      </w:tr>
      <w:tr w:rsidR="00F63FC0" w:rsidRPr="00A35B04" w14:paraId="0C8946B2" w14:textId="77777777" w:rsidTr="00DE38B5">
        <w:trPr>
          <w:trHeight w:val="60"/>
        </w:trPr>
        <w:tc>
          <w:tcPr>
            <w:tcW w:w="5209" w:type="dxa"/>
          </w:tcPr>
          <w:p w14:paraId="3FE63F51" w14:textId="77777777" w:rsidR="00F63FC0" w:rsidRPr="00A35B04" w:rsidRDefault="00F63FC0" w:rsidP="00A35B04">
            <w:pPr>
              <w:pStyle w:val="TableCopy"/>
              <w:rPr>
                <w:b/>
                <w:bCs/>
              </w:rPr>
            </w:pPr>
            <w:r w:rsidRPr="00A35B04">
              <w:rPr>
                <w:b/>
                <w:bCs/>
              </w:rPr>
              <w:t>Subtotal</w:t>
            </w:r>
          </w:p>
        </w:tc>
        <w:tc>
          <w:tcPr>
            <w:tcW w:w="1376" w:type="dxa"/>
          </w:tcPr>
          <w:p w14:paraId="520EE1DB" w14:textId="4AA4426A" w:rsidR="00F63FC0" w:rsidRPr="00A35B04" w:rsidRDefault="00F63FC0" w:rsidP="00A35B04">
            <w:pPr>
              <w:pStyle w:val="TableCopy"/>
              <w:jc w:val="right"/>
              <w:rPr>
                <w:b/>
                <w:bCs/>
              </w:rPr>
            </w:pPr>
            <w:r w:rsidRPr="00A35B04">
              <w:rPr>
                <w:b/>
                <w:bCs/>
              </w:rPr>
              <w:t>510</w:t>
            </w:r>
          </w:p>
        </w:tc>
        <w:tc>
          <w:tcPr>
            <w:tcW w:w="1382" w:type="dxa"/>
          </w:tcPr>
          <w:p w14:paraId="1FFB7DFB" w14:textId="77777777" w:rsidR="00F63FC0" w:rsidRPr="00A35B04" w:rsidRDefault="00F63FC0" w:rsidP="00A35B04">
            <w:pPr>
              <w:pStyle w:val="TableCopy"/>
              <w:jc w:val="right"/>
              <w:rPr>
                <w:b/>
                <w:bCs/>
              </w:rPr>
            </w:pPr>
            <w:r w:rsidRPr="00A35B04">
              <w:rPr>
                <w:b/>
                <w:bCs/>
              </w:rPr>
              <w:t>(25,507)</w:t>
            </w:r>
          </w:p>
        </w:tc>
        <w:tc>
          <w:tcPr>
            <w:tcW w:w="1382" w:type="dxa"/>
          </w:tcPr>
          <w:p w14:paraId="0E1CBD7C" w14:textId="77777777" w:rsidR="00F63FC0" w:rsidRPr="00A35B04" w:rsidRDefault="00F63FC0" w:rsidP="00A35B04">
            <w:pPr>
              <w:pStyle w:val="TableCopy"/>
              <w:jc w:val="right"/>
              <w:rPr>
                <w:b/>
                <w:bCs/>
              </w:rPr>
            </w:pPr>
            <w:r w:rsidRPr="00A35B04">
              <w:rPr>
                <w:b/>
                <w:bCs/>
              </w:rPr>
              <w:t>(3,008)</w:t>
            </w:r>
          </w:p>
        </w:tc>
        <w:tc>
          <w:tcPr>
            <w:tcW w:w="1383" w:type="dxa"/>
          </w:tcPr>
          <w:p w14:paraId="7F9DF378" w14:textId="77777777" w:rsidR="00F63FC0" w:rsidRPr="00A35B04" w:rsidRDefault="00F63FC0" w:rsidP="00A35B04">
            <w:pPr>
              <w:pStyle w:val="TableCopy"/>
              <w:jc w:val="right"/>
              <w:rPr>
                <w:b/>
                <w:bCs/>
              </w:rPr>
            </w:pPr>
            <w:r w:rsidRPr="00A35B04">
              <w:rPr>
                <w:b/>
                <w:bCs/>
              </w:rPr>
              <w:t>(955)</w:t>
            </w:r>
          </w:p>
        </w:tc>
        <w:tc>
          <w:tcPr>
            <w:tcW w:w="1382" w:type="dxa"/>
          </w:tcPr>
          <w:p w14:paraId="69922FFD" w14:textId="77777777" w:rsidR="00F63FC0" w:rsidRPr="00A35B04" w:rsidRDefault="00F63FC0" w:rsidP="00A35B04">
            <w:pPr>
              <w:pStyle w:val="TableCopy"/>
              <w:jc w:val="right"/>
              <w:rPr>
                <w:b/>
                <w:bCs/>
              </w:rPr>
            </w:pPr>
            <w:r w:rsidRPr="00A35B04">
              <w:rPr>
                <w:b/>
                <w:bCs/>
              </w:rPr>
              <w:t>(47)</w:t>
            </w:r>
          </w:p>
        </w:tc>
        <w:tc>
          <w:tcPr>
            <w:tcW w:w="1382" w:type="dxa"/>
          </w:tcPr>
          <w:p w14:paraId="2847DE3E" w14:textId="1A94BCF1" w:rsidR="00F63FC0" w:rsidRPr="00A35B04" w:rsidRDefault="00F63FC0" w:rsidP="00A35B04">
            <w:pPr>
              <w:pStyle w:val="TableCopy"/>
              <w:jc w:val="right"/>
              <w:rPr>
                <w:b/>
                <w:bCs/>
              </w:rPr>
            </w:pPr>
            <w:r w:rsidRPr="00A35B04">
              <w:rPr>
                <w:b/>
                <w:bCs/>
              </w:rPr>
              <w:t>5,934</w:t>
            </w:r>
          </w:p>
        </w:tc>
        <w:tc>
          <w:tcPr>
            <w:tcW w:w="1383" w:type="dxa"/>
          </w:tcPr>
          <w:p w14:paraId="6825C87D" w14:textId="77777777" w:rsidR="00F63FC0" w:rsidRPr="00A35B04" w:rsidRDefault="00F63FC0" w:rsidP="00A35B04">
            <w:pPr>
              <w:pStyle w:val="TableCopy"/>
              <w:jc w:val="right"/>
              <w:rPr>
                <w:b/>
                <w:bCs/>
              </w:rPr>
            </w:pPr>
            <w:r w:rsidRPr="00A35B04">
              <w:rPr>
                <w:b/>
                <w:bCs/>
              </w:rPr>
              <w:t>(23,073)</w:t>
            </w:r>
          </w:p>
        </w:tc>
      </w:tr>
      <w:tr w:rsidR="00F63FC0" w14:paraId="2F56F8DD" w14:textId="77777777" w:rsidTr="00DE38B5">
        <w:trPr>
          <w:trHeight w:val="60"/>
        </w:trPr>
        <w:tc>
          <w:tcPr>
            <w:tcW w:w="5209" w:type="dxa"/>
          </w:tcPr>
          <w:p w14:paraId="0969C1A1" w14:textId="77777777" w:rsidR="00F63FC0" w:rsidRDefault="00F63FC0" w:rsidP="00A35B04">
            <w:pPr>
              <w:pStyle w:val="TableCopy"/>
            </w:pPr>
            <w:r>
              <w:t>Revaluation</w:t>
            </w:r>
          </w:p>
        </w:tc>
        <w:tc>
          <w:tcPr>
            <w:tcW w:w="1376" w:type="dxa"/>
          </w:tcPr>
          <w:p w14:paraId="6804E766" w14:textId="30D2D422" w:rsidR="00F63FC0" w:rsidRDefault="00F63FC0" w:rsidP="00A35B04">
            <w:pPr>
              <w:pStyle w:val="TableCopy"/>
              <w:jc w:val="right"/>
            </w:pPr>
            <w:r>
              <w:t>–</w:t>
            </w:r>
          </w:p>
        </w:tc>
        <w:tc>
          <w:tcPr>
            <w:tcW w:w="1382" w:type="dxa"/>
          </w:tcPr>
          <w:p w14:paraId="1F2E1072" w14:textId="400504D4" w:rsidR="00F63FC0" w:rsidRDefault="00F63FC0" w:rsidP="00A35B04">
            <w:pPr>
              <w:pStyle w:val="TableCopy"/>
              <w:jc w:val="right"/>
            </w:pPr>
            <w:r>
              <w:t>–</w:t>
            </w:r>
          </w:p>
        </w:tc>
        <w:tc>
          <w:tcPr>
            <w:tcW w:w="1382" w:type="dxa"/>
          </w:tcPr>
          <w:p w14:paraId="45399777" w14:textId="0FE03488" w:rsidR="00F63FC0" w:rsidRDefault="00F63FC0" w:rsidP="00A35B04">
            <w:pPr>
              <w:pStyle w:val="TableCopy"/>
              <w:jc w:val="right"/>
            </w:pPr>
            <w:r>
              <w:t>–</w:t>
            </w:r>
          </w:p>
        </w:tc>
        <w:tc>
          <w:tcPr>
            <w:tcW w:w="1383" w:type="dxa"/>
          </w:tcPr>
          <w:p w14:paraId="4D7496F5" w14:textId="2B4C889C" w:rsidR="00F63FC0" w:rsidRDefault="00F63FC0" w:rsidP="00A35B04">
            <w:pPr>
              <w:pStyle w:val="TableCopy"/>
              <w:jc w:val="right"/>
            </w:pPr>
            <w:r>
              <w:t>–</w:t>
            </w:r>
          </w:p>
        </w:tc>
        <w:tc>
          <w:tcPr>
            <w:tcW w:w="1382" w:type="dxa"/>
          </w:tcPr>
          <w:p w14:paraId="0CD00FF8" w14:textId="4A3728E1" w:rsidR="00F63FC0" w:rsidRDefault="00F63FC0" w:rsidP="00A35B04">
            <w:pPr>
              <w:pStyle w:val="TableCopy"/>
              <w:jc w:val="right"/>
            </w:pPr>
            <w:r>
              <w:t>–</w:t>
            </w:r>
          </w:p>
        </w:tc>
        <w:tc>
          <w:tcPr>
            <w:tcW w:w="1382" w:type="dxa"/>
          </w:tcPr>
          <w:p w14:paraId="25016434" w14:textId="3D5852AF" w:rsidR="00F63FC0" w:rsidRDefault="00F63FC0" w:rsidP="00A35B04">
            <w:pPr>
              <w:pStyle w:val="TableCopy"/>
              <w:jc w:val="right"/>
            </w:pPr>
            <w:r>
              <w:t>–</w:t>
            </w:r>
          </w:p>
        </w:tc>
        <w:tc>
          <w:tcPr>
            <w:tcW w:w="1383" w:type="dxa"/>
          </w:tcPr>
          <w:p w14:paraId="416DE0D4" w14:textId="51BB2069" w:rsidR="00F63FC0" w:rsidRDefault="00F63FC0" w:rsidP="00A35B04">
            <w:pPr>
              <w:pStyle w:val="TableCopy"/>
              <w:jc w:val="right"/>
            </w:pPr>
            <w:r>
              <w:rPr>
                <w:rFonts w:ascii="VIC Medium" w:hAnsi="VIC Medium" w:cs="VIC Medium"/>
              </w:rPr>
              <w:t>–</w:t>
            </w:r>
          </w:p>
        </w:tc>
      </w:tr>
      <w:tr w:rsidR="00F63FC0" w:rsidRPr="00A35B04" w14:paraId="7A37E32B" w14:textId="77777777" w:rsidTr="00DE38B5">
        <w:trPr>
          <w:trHeight w:val="60"/>
        </w:trPr>
        <w:tc>
          <w:tcPr>
            <w:tcW w:w="5209" w:type="dxa"/>
          </w:tcPr>
          <w:p w14:paraId="3695F394" w14:textId="77777777" w:rsidR="00F63FC0" w:rsidRPr="00A35B04" w:rsidRDefault="00F63FC0" w:rsidP="00A35B04">
            <w:pPr>
              <w:pStyle w:val="TableCopy"/>
              <w:rPr>
                <w:b/>
                <w:bCs/>
              </w:rPr>
            </w:pPr>
            <w:r w:rsidRPr="00A35B04">
              <w:rPr>
                <w:b/>
                <w:bCs/>
              </w:rPr>
              <w:t>Subtotal</w:t>
            </w:r>
          </w:p>
        </w:tc>
        <w:tc>
          <w:tcPr>
            <w:tcW w:w="1376" w:type="dxa"/>
          </w:tcPr>
          <w:p w14:paraId="04A33DA9" w14:textId="691E97FC" w:rsidR="00F63FC0" w:rsidRPr="00A35B04" w:rsidRDefault="00F63FC0" w:rsidP="00A35B04">
            <w:pPr>
              <w:pStyle w:val="TableCopy"/>
              <w:jc w:val="right"/>
              <w:rPr>
                <w:b/>
                <w:bCs/>
              </w:rPr>
            </w:pPr>
            <w:r w:rsidRPr="00A35B04">
              <w:rPr>
                <w:b/>
                <w:bCs/>
              </w:rPr>
              <w:t>–</w:t>
            </w:r>
          </w:p>
        </w:tc>
        <w:tc>
          <w:tcPr>
            <w:tcW w:w="1382" w:type="dxa"/>
          </w:tcPr>
          <w:p w14:paraId="05812EFA" w14:textId="4BE9AA7C" w:rsidR="00F63FC0" w:rsidRPr="00A35B04" w:rsidRDefault="00F63FC0" w:rsidP="00A35B04">
            <w:pPr>
              <w:pStyle w:val="TableCopy"/>
              <w:jc w:val="right"/>
              <w:rPr>
                <w:b/>
                <w:bCs/>
              </w:rPr>
            </w:pPr>
            <w:r w:rsidRPr="00A35B04">
              <w:rPr>
                <w:b/>
                <w:bCs/>
              </w:rPr>
              <w:t>–</w:t>
            </w:r>
          </w:p>
        </w:tc>
        <w:tc>
          <w:tcPr>
            <w:tcW w:w="1382" w:type="dxa"/>
          </w:tcPr>
          <w:p w14:paraId="47F3D13C" w14:textId="11F7B0E0" w:rsidR="00F63FC0" w:rsidRPr="00A35B04" w:rsidRDefault="00F63FC0" w:rsidP="00A35B04">
            <w:pPr>
              <w:pStyle w:val="TableCopy"/>
              <w:jc w:val="right"/>
              <w:rPr>
                <w:b/>
                <w:bCs/>
              </w:rPr>
            </w:pPr>
            <w:r w:rsidRPr="00A35B04">
              <w:rPr>
                <w:b/>
                <w:bCs/>
              </w:rPr>
              <w:t>–</w:t>
            </w:r>
          </w:p>
        </w:tc>
        <w:tc>
          <w:tcPr>
            <w:tcW w:w="1383" w:type="dxa"/>
          </w:tcPr>
          <w:p w14:paraId="6FAECF46" w14:textId="20F08735" w:rsidR="00F63FC0" w:rsidRPr="00A35B04" w:rsidRDefault="00F63FC0" w:rsidP="00A35B04">
            <w:pPr>
              <w:pStyle w:val="TableCopy"/>
              <w:jc w:val="right"/>
              <w:rPr>
                <w:b/>
                <w:bCs/>
              </w:rPr>
            </w:pPr>
            <w:r w:rsidRPr="00A35B04">
              <w:rPr>
                <w:b/>
                <w:bCs/>
              </w:rPr>
              <w:t>–</w:t>
            </w:r>
          </w:p>
        </w:tc>
        <w:tc>
          <w:tcPr>
            <w:tcW w:w="1382" w:type="dxa"/>
          </w:tcPr>
          <w:p w14:paraId="2052A086" w14:textId="2CF839ED" w:rsidR="00F63FC0" w:rsidRPr="00A35B04" w:rsidRDefault="00F63FC0" w:rsidP="00A35B04">
            <w:pPr>
              <w:pStyle w:val="TableCopy"/>
              <w:jc w:val="right"/>
              <w:rPr>
                <w:b/>
                <w:bCs/>
              </w:rPr>
            </w:pPr>
            <w:r w:rsidRPr="00A35B04">
              <w:rPr>
                <w:b/>
                <w:bCs/>
              </w:rPr>
              <w:t>–</w:t>
            </w:r>
          </w:p>
        </w:tc>
        <w:tc>
          <w:tcPr>
            <w:tcW w:w="1382" w:type="dxa"/>
          </w:tcPr>
          <w:p w14:paraId="1CE50455" w14:textId="3C8B2C69" w:rsidR="00F63FC0" w:rsidRPr="00A35B04" w:rsidRDefault="00F63FC0" w:rsidP="00A35B04">
            <w:pPr>
              <w:pStyle w:val="TableCopy"/>
              <w:jc w:val="right"/>
              <w:rPr>
                <w:b/>
                <w:bCs/>
              </w:rPr>
            </w:pPr>
            <w:r w:rsidRPr="00A35B04">
              <w:rPr>
                <w:b/>
                <w:bCs/>
              </w:rPr>
              <w:t>–</w:t>
            </w:r>
          </w:p>
        </w:tc>
        <w:tc>
          <w:tcPr>
            <w:tcW w:w="1383" w:type="dxa"/>
          </w:tcPr>
          <w:p w14:paraId="18E3E794" w14:textId="4E40B00E" w:rsidR="00F63FC0" w:rsidRPr="00A35B04" w:rsidRDefault="00F63FC0" w:rsidP="00A35B04">
            <w:pPr>
              <w:pStyle w:val="TableCopy"/>
              <w:jc w:val="right"/>
              <w:rPr>
                <w:b/>
                <w:bCs/>
              </w:rPr>
            </w:pPr>
            <w:r w:rsidRPr="00A35B04">
              <w:rPr>
                <w:b/>
                <w:bCs/>
              </w:rPr>
              <w:t>–</w:t>
            </w:r>
          </w:p>
        </w:tc>
      </w:tr>
      <w:tr w:rsidR="00F63FC0" w:rsidRPr="00A35B04" w14:paraId="5CB6059A" w14:textId="77777777" w:rsidTr="00DE38B5">
        <w:trPr>
          <w:trHeight w:val="60"/>
        </w:trPr>
        <w:tc>
          <w:tcPr>
            <w:tcW w:w="5209" w:type="dxa"/>
          </w:tcPr>
          <w:p w14:paraId="4D12D09F" w14:textId="2806F4EF" w:rsidR="00F63FC0" w:rsidRPr="00A35B04" w:rsidRDefault="00F63FC0" w:rsidP="00A35B04">
            <w:pPr>
              <w:pStyle w:val="TableCopy"/>
              <w:rPr>
                <w:b/>
                <w:bCs/>
              </w:rPr>
            </w:pPr>
            <w:r w:rsidRPr="00A35B04">
              <w:rPr>
                <w:b/>
                <w:bCs/>
              </w:rPr>
              <w:t xml:space="preserve">Closing balance </w:t>
            </w:r>
          </w:p>
        </w:tc>
        <w:tc>
          <w:tcPr>
            <w:tcW w:w="1376" w:type="dxa"/>
          </w:tcPr>
          <w:p w14:paraId="012686DD" w14:textId="22AEF56F" w:rsidR="00F63FC0" w:rsidRPr="00A35B04" w:rsidRDefault="00F63FC0" w:rsidP="00A35B04">
            <w:pPr>
              <w:pStyle w:val="TableCopy"/>
              <w:jc w:val="right"/>
              <w:rPr>
                <w:b/>
                <w:bCs/>
              </w:rPr>
            </w:pPr>
            <w:r w:rsidRPr="00A35B04">
              <w:rPr>
                <w:b/>
                <w:bCs/>
              </w:rPr>
              <w:t>492,597</w:t>
            </w:r>
          </w:p>
        </w:tc>
        <w:tc>
          <w:tcPr>
            <w:tcW w:w="1382" w:type="dxa"/>
          </w:tcPr>
          <w:p w14:paraId="3E106E3A" w14:textId="2D0A6FD4" w:rsidR="00F63FC0" w:rsidRPr="00A35B04" w:rsidRDefault="00F63FC0" w:rsidP="00A35B04">
            <w:pPr>
              <w:pStyle w:val="TableCopy"/>
              <w:jc w:val="right"/>
              <w:rPr>
                <w:b/>
                <w:bCs/>
              </w:rPr>
            </w:pPr>
            <w:r w:rsidRPr="00A35B04">
              <w:rPr>
                <w:b/>
                <w:bCs/>
              </w:rPr>
              <w:t>488,350</w:t>
            </w:r>
          </w:p>
        </w:tc>
        <w:tc>
          <w:tcPr>
            <w:tcW w:w="1382" w:type="dxa"/>
          </w:tcPr>
          <w:p w14:paraId="17618BC7" w14:textId="0470DCF4" w:rsidR="00F63FC0" w:rsidRPr="00A35B04" w:rsidRDefault="00F63FC0" w:rsidP="00A35B04">
            <w:pPr>
              <w:pStyle w:val="TableCopy"/>
              <w:jc w:val="right"/>
              <w:rPr>
                <w:b/>
                <w:bCs/>
              </w:rPr>
            </w:pPr>
            <w:r w:rsidRPr="00A35B04">
              <w:rPr>
                <w:b/>
                <w:bCs/>
              </w:rPr>
              <w:t>23,881</w:t>
            </w:r>
          </w:p>
        </w:tc>
        <w:tc>
          <w:tcPr>
            <w:tcW w:w="1383" w:type="dxa"/>
          </w:tcPr>
          <w:p w14:paraId="143C1508" w14:textId="78D9344F" w:rsidR="00F63FC0" w:rsidRPr="00A35B04" w:rsidRDefault="00F63FC0" w:rsidP="00A35B04">
            <w:pPr>
              <w:pStyle w:val="TableCopy"/>
              <w:jc w:val="right"/>
              <w:rPr>
                <w:b/>
                <w:bCs/>
              </w:rPr>
            </w:pPr>
            <w:r w:rsidRPr="00A35B04">
              <w:rPr>
                <w:b/>
                <w:bCs/>
              </w:rPr>
              <w:t>11,059</w:t>
            </w:r>
          </w:p>
        </w:tc>
        <w:tc>
          <w:tcPr>
            <w:tcW w:w="1382" w:type="dxa"/>
          </w:tcPr>
          <w:p w14:paraId="5FFF8F2C" w14:textId="3FB8B954" w:rsidR="00F63FC0" w:rsidRPr="00A35B04" w:rsidRDefault="00F63FC0" w:rsidP="00A35B04">
            <w:pPr>
              <w:pStyle w:val="TableCopy"/>
              <w:jc w:val="right"/>
              <w:rPr>
                <w:b/>
                <w:bCs/>
              </w:rPr>
            </w:pPr>
            <w:r w:rsidRPr="00A35B04">
              <w:rPr>
                <w:b/>
                <w:bCs/>
              </w:rPr>
              <w:t>2,772</w:t>
            </w:r>
          </w:p>
        </w:tc>
        <w:tc>
          <w:tcPr>
            <w:tcW w:w="1382" w:type="dxa"/>
          </w:tcPr>
          <w:p w14:paraId="6A247ED2" w14:textId="2CAAA475" w:rsidR="00F63FC0" w:rsidRPr="00A35B04" w:rsidRDefault="00F63FC0" w:rsidP="00A35B04">
            <w:pPr>
              <w:pStyle w:val="TableCopy"/>
              <w:jc w:val="right"/>
              <w:rPr>
                <w:b/>
                <w:bCs/>
              </w:rPr>
            </w:pPr>
            <w:r w:rsidRPr="00A35B04">
              <w:rPr>
                <w:b/>
                <w:bCs/>
              </w:rPr>
              <w:t>20,093</w:t>
            </w:r>
          </w:p>
        </w:tc>
        <w:tc>
          <w:tcPr>
            <w:tcW w:w="1383" w:type="dxa"/>
          </w:tcPr>
          <w:p w14:paraId="15223773" w14:textId="2973E749" w:rsidR="00F63FC0" w:rsidRPr="00A35B04" w:rsidRDefault="00F63FC0" w:rsidP="00A35B04">
            <w:pPr>
              <w:pStyle w:val="TableCopy"/>
              <w:jc w:val="right"/>
              <w:rPr>
                <w:b/>
                <w:bCs/>
              </w:rPr>
            </w:pPr>
            <w:r w:rsidRPr="00A35B04">
              <w:rPr>
                <w:b/>
                <w:bCs/>
              </w:rPr>
              <w:t>1,038,754</w:t>
            </w:r>
          </w:p>
        </w:tc>
      </w:tr>
    </w:tbl>
    <w:p w14:paraId="7F04E573" w14:textId="327AE929" w:rsidR="000756EB" w:rsidRDefault="00A35B04" w:rsidP="00A35B04">
      <w:pPr>
        <w:pStyle w:val="FootnoteText"/>
        <w:spacing w:before="120" w:after="280"/>
      </w:pPr>
      <w:r>
        <w:t>(</w:t>
      </w:r>
      <w:proofErr w:type="spellStart"/>
      <w:r>
        <w:t>i</w:t>
      </w:r>
      <w:proofErr w:type="spellEnd"/>
      <w:r>
        <w:t>) Transfer of net assets in and out of DJSIR were due to the machinery of government change. This transfer made pursuant to FRD 119 Transfer through Contributed Capital under the Financial Management Act 1994.</w:t>
      </w:r>
    </w:p>
    <w:p w14:paraId="21D76B77" w14:textId="77777777" w:rsidR="000756EB" w:rsidRPr="00560218" w:rsidRDefault="000756EB" w:rsidP="00560218"/>
    <w:p w14:paraId="168D8871" w14:textId="77777777" w:rsidR="007F7F10" w:rsidRPr="00560218" w:rsidRDefault="007F7F10" w:rsidP="00560218">
      <w:pPr>
        <w:sectPr w:rsidR="007F7F10" w:rsidRPr="00560218" w:rsidSect="007F7F10">
          <w:pgSz w:w="16838" w:h="11906" w:orient="landscape" w:code="9"/>
          <w:pgMar w:top="851" w:right="1134" w:bottom="851" w:left="1134" w:header="397" w:footer="397" w:gutter="0"/>
          <w:cols w:space="720"/>
          <w:noEndnote/>
          <w:docGrid w:linePitch="326"/>
        </w:sectPr>
      </w:pPr>
    </w:p>
    <w:p w14:paraId="707FD676" w14:textId="22AF672B" w:rsidR="001B1598" w:rsidRDefault="001B1598" w:rsidP="001B1598">
      <w:pPr>
        <w:pStyle w:val="Heading3"/>
      </w:pPr>
      <w:r>
        <w:lastRenderedPageBreak/>
        <w:t>8.3.2</w:t>
      </w:r>
      <w:r w:rsidR="00DE38B5">
        <w:t xml:space="preserve"> </w:t>
      </w:r>
      <w:r>
        <w:t>Fair value determination: Non-financial physical assets (continued)</w:t>
      </w:r>
    </w:p>
    <w:p w14:paraId="73535E15" w14:textId="77777777" w:rsidR="001B1598" w:rsidRPr="001B1598" w:rsidRDefault="001B1598" w:rsidP="001B1598">
      <w:pPr>
        <w:pStyle w:val="Normalbeforebullets"/>
        <w:rPr>
          <w:b/>
          <w:bCs/>
        </w:rPr>
      </w:pPr>
      <w:r w:rsidRPr="001B1598">
        <w:rPr>
          <w:b/>
          <w:bCs/>
        </w:rPr>
        <w:t>Description of significant unobservable inputs to Level 3 valuations for 2023</w:t>
      </w:r>
    </w:p>
    <w:tbl>
      <w:tblPr>
        <w:tblStyle w:val="TableGrid"/>
        <w:tblW w:w="10170" w:type="dxa"/>
        <w:tblLayout w:type="fixed"/>
        <w:tblLook w:val="0020" w:firstRow="1" w:lastRow="0" w:firstColumn="0" w:lastColumn="0" w:noHBand="0" w:noVBand="0"/>
      </w:tblPr>
      <w:tblGrid>
        <w:gridCol w:w="3390"/>
        <w:gridCol w:w="3390"/>
        <w:gridCol w:w="3390"/>
      </w:tblGrid>
      <w:tr w:rsidR="001B1598" w14:paraId="777D10AF" w14:textId="77777777" w:rsidTr="001B1598">
        <w:trPr>
          <w:trHeight w:val="60"/>
        </w:trPr>
        <w:tc>
          <w:tcPr>
            <w:tcW w:w="3390" w:type="dxa"/>
          </w:tcPr>
          <w:p w14:paraId="604D3726" w14:textId="77777777" w:rsidR="001B1598" w:rsidRDefault="001B1598" w:rsidP="001B1598">
            <w:pPr>
              <w:pStyle w:val="TableColumnHeading"/>
            </w:pPr>
            <w:bookmarkStart w:id="134" w:name="ColumnTitles_81"/>
            <w:bookmarkEnd w:id="134"/>
            <w:r>
              <w:t>2023 Asset class</w:t>
            </w:r>
          </w:p>
        </w:tc>
        <w:tc>
          <w:tcPr>
            <w:tcW w:w="3390" w:type="dxa"/>
          </w:tcPr>
          <w:p w14:paraId="0D499FD3" w14:textId="77777777" w:rsidR="001B1598" w:rsidRDefault="001B1598" w:rsidP="001B1598">
            <w:pPr>
              <w:pStyle w:val="TableColumnHeading"/>
            </w:pPr>
            <w:r>
              <w:t>Valuation technique</w:t>
            </w:r>
          </w:p>
        </w:tc>
        <w:tc>
          <w:tcPr>
            <w:tcW w:w="3390" w:type="dxa"/>
          </w:tcPr>
          <w:p w14:paraId="5C850E29" w14:textId="77777777" w:rsidR="001B1598" w:rsidRDefault="001B1598" w:rsidP="001B1598">
            <w:pPr>
              <w:pStyle w:val="TableColumnHeading"/>
            </w:pPr>
            <w:r>
              <w:t>Significant unobservable inputs</w:t>
            </w:r>
          </w:p>
        </w:tc>
      </w:tr>
      <w:tr w:rsidR="001B1598" w14:paraId="305C7242" w14:textId="77777777" w:rsidTr="001B1598">
        <w:trPr>
          <w:trHeight w:val="60"/>
        </w:trPr>
        <w:tc>
          <w:tcPr>
            <w:tcW w:w="3390" w:type="dxa"/>
          </w:tcPr>
          <w:p w14:paraId="13F608F5" w14:textId="77777777" w:rsidR="001B1598" w:rsidRDefault="001B1598" w:rsidP="001B1598">
            <w:pPr>
              <w:pStyle w:val="TableCopy"/>
            </w:pPr>
            <w:r>
              <w:t>Specialised land</w:t>
            </w:r>
          </w:p>
        </w:tc>
        <w:tc>
          <w:tcPr>
            <w:tcW w:w="3390" w:type="dxa"/>
          </w:tcPr>
          <w:p w14:paraId="60C24A63" w14:textId="77777777" w:rsidR="001B1598" w:rsidRDefault="001B1598" w:rsidP="001B1598">
            <w:pPr>
              <w:pStyle w:val="TableCopy"/>
            </w:pPr>
            <w:r>
              <w:t>Market approach</w:t>
            </w:r>
          </w:p>
        </w:tc>
        <w:tc>
          <w:tcPr>
            <w:tcW w:w="3390" w:type="dxa"/>
          </w:tcPr>
          <w:p w14:paraId="18AC9853" w14:textId="77777777" w:rsidR="001B1598" w:rsidRDefault="001B1598" w:rsidP="001B1598">
            <w:pPr>
              <w:pStyle w:val="TableCopy"/>
            </w:pPr>
            <w:r>
              <w:t>Community Service Obligation (CSO) adjustment</w:t>
            </w:r>
          </w:p>
        </w:tc>
      </w:tr>
      <w:tr w:rsidR="001B1598" w14:paraId="72F6F593" w14:textId="77777777" w:rsidTr="001B1598">
        <w:trPr>
          <w:trHeight w:val="60"/>
        </w:trPr>
        <w:tc>
          <w:tcPr>
            <w:tcW w:w="3390" w:type="dxa"/>
          </w:tcPr>
          <w:p w14:paraId="65981A1A" w14:textId="77777777" w:rsidR="001B1598" w:rsidRDefault="001B1598" w:rsidP="001B1598">
            <w:pPr>
              <w:pStyle w:val="TableCopy"/>
            </w:pPr>
            <w:r>
              <w:t>Specialised and non-specialised buildings</w:t>
            </w:r>
          </w:p>
        </w:tc>
        <w:tc>
          <w:tcPr>
            <w:tcW w:w="3390" w:type="dxa"/>
          </w:tcPr>
          <w:p w14:paraId="172E4644" w14:textId="77777777" w:rsidR="001B1598" w:rsidRDefault="001B1598" w:rsidP="001B1598">
            <w:pPr>
              <w:pStyle w:val="TableCopy"/>
            </w:pPr>
            <w:r>
              <w:t>Current replacement cost method</w:t>
            </w:r>
          </w:p>
        </w:tc>
        <w:tc>
          <w:tcPr>
            <w:tcW w:w="3390" w:type="dxa"/>
          </w:tcPr>
          <w:p w14:paraId="61D80AE5" w14:textId="77777777" w:rsidR="001B1598" w:rsidRDefault="001B1598" w:rsidP="001B1598">
            <w:pPr>
              <w:pStyle w:val="TableCopy"/>
            </w:pPr>
            <w:r>
              <w:t>Direct cost per square metre</w:t>
            </w:r>
          </w:p>
          <w:p w14:paraId="654A6AFA" w14:textId="5EB0BD4A" w:rsidR="001B1598" w:rsidRPr="001B1598" w:rsidRDefault="001B1598" w:rsidP="001B1598">
            <w:pPr>
              <w:pStyle w:val="TableCopy"/>
            </w:pPr>
            <w:r w:rsidRPr="001B1598">
              <w:t>Useful life of specialised buildings</w:t>
            </w:r>
          </w:p>
        </w:tc>
      </w:tr>
      <w:tr w:rsidR="001B1598" w14:paraId="0D2B76B4" w14:textId="77777777" w:rsidTr="001B1598">
        <w:trPr>
          <w:trHeight w:val="60"/>
        </w:trPr>
        <w:tc>
          <w:tcPr>
            <w:tcW w:w="3390" w:type="dxa"/>
          </w:tcPr>
          <w:p w14:paraId="7094E1EF" w14:textId="77777777" w:rsidR="001B1598" w:rsidRDefault="001B1598" w:rsidP="001B1598">
            <w:pPr>
              <w:pStyle w:val="TableCopy"/>
            </w:pPr>
            <w:r>
              <w:t>Vehicles</w:t>
            </w:r>
          </w:p>
        </w:tc>
        <w:tc>
          <w:tcPr>
            <w:tcW w:w="3390" w:type="dxa"/>
          </w:tcPr>
          <w:p w14:paraId="1AAC929A" w14:textId="77777777" w:rsidR="001B1598" w:rsidRDefault="001B1598" w:rsidP="001B1598">
            <w:pPr>
              <w:pStyle w:val="TableCopy"/>
            </w:pPr>
            <w:r>
              <w:t>Current replacement cost method</w:t>
            </w:r>
          </w:p>
        </w:tc>
        <w:tc>
          <w:tcPr>
            <w:tcW w:w="3390" w:type="dxa"/>
          </w:tcPr>
          <w:p w14:paraId="77E027B6" w14:textId="77777777" w:rsidR="001B1598" w:rsidRDefault="001B1598" w:rsidP="001B1598">
            <w:pPr>
              <w:pStyle w:val="TableCopy"/>
            </w:pPr>
            <w:r>
              <w:t>Cost per unit</w:t>
            </w:r>
          </w:p>
          <w:p w14:paraId="6980CC53" w14:textId="44C3281E" w:rsidR="001B1598" w:rsidRDefault="001B1598" w:rsidP="001B1598">
            <w:pPr>
              <w:pStyle w:val="TableCopy"/>
            </w:pPr>
            <w:r>
              <w:t>Useful life of vehicle</w:t>
            </w:r>
          </w:p>
        </w:tc>
      </w:tr>
      <w:tr w:rsidR="001B1598" w14:paraId="449E6615" w14:textId="77777777" w:rsidTr="001B1598">
        <w:trPr>
          <w:trHeight w:val="60"/>
        </w:trPr>
        <w:tc>
          <w:tcPr>
            <w:tcW w:w="3390" w:type="dxa"/>
          </w:tcPr>
          <w:p w14:paraId="4F28314A" w14:textId="77777777" w:rsidR="001B1598" w:rsidRDefault="001B1598" w:rsidP="001B1598">
            <w:pPr>
              <w:pStyle w:val="TableCopy"/>
            </w:pPr>
            <w:r>
              <w:t>Plant and equipment</w:t>
            </w:r>
          </w:p>
        </w:tc>
        <w:tc>
          <w:tcPr>
            <w:tcW w:w="3390" w:type="dxa"/>
          </w:tcPr>
          <w:p w14:paraId="53F7C07E" w14:textId="77777777" w:rsidR="001B1598" w:rsidRDefault="001B1598" w:rsidP="001B1598">
            <w:pPr>
              <w:pStyle w:val="TableCopy"/>
            </w:pPr>
            <w:r>
              <w:t>Current replacement cost method</w:t>
            </w:r>
          </w:p>
        </w:tc>
        <w:tc>
          <w:tcPr>
            <w:tcW w:w="3390" w:type="dxa"/>
          </w:tcPr>
          <w:p w14:paraId="6C4B9B2D" w14:textId="77777777" w:rsidR="001B1598" w:rsidRDefault="001B1598" w:rsidP="001B1598">
            <w:pPr>
              <w:pStyle w:val="TableCopy"/>
            </w:pPr>
            <w:r>
              <w:t>Cost per unit</w:t>
            </w:r>
          </w:p>
          <w:p w14:paraId="62A08F18" w14:textId="12B94F0A" w:rsidR="001B1598" w:rsidRDefault="001B1598" w:rsidP="001B1598">
            <w:pPr>
              <w:pStyle w:val="TableCopy"/>
            </w:pPr>
            <w:r>
              <w:t>Useful life of plant and equipment</w:t>
            </w:r>
          </w:p>
        </w:tc>
      </w:tr>
      <w:tr w:rsidR="001B1598" w14:paraId="7A799E3C" w14:textId="77777777" w:rsidTr="001B1598">
        <w:trPr>
          <w:trHeight w:val="60"/>
        </w:trPr>
        <w:tc>
          <w:tcPr>
            <w:tcW w:w="3390" w:type="dxa"/>
          </w:tcPr>
          <w:p w14:paraId="0792D2E4" w14:textId="77777777" w:rsidR="001B1598" w:rsidRDefault="001B1598" w:rsidP="001B1598">
            <w:pPr>
              <w:pStyle w:val="TableCopy"/>
            </w:pPr>
            <w:r>
              <w:t>Cultural assets</w:t>
            </w:r>
          </w:p>
        </w:tc>
        <w:tc>
          <w:tcPr>
            <w:tcW w:w="3390" w:type="dxa"/>
          </w:tcPr>
          <w:p w14:paraId="26B1241C" w14:textId="77777777" w:rsidR="001B1598" w:rsidRDefault="001B1598" w:rsidP="001B1598">
            <w:pPr>
              <w:pStyle w:val="TableCopy"/>
            </w:pPr>
            <w:r>
              <w:t>Current replacement cost method</w:t>
            </w:r>
          </w:p>
        </w:tc>
        <w:tc>
          <w:tcPr>
            <w:tcW w:w="3390" w:type="dxa"/>
          </w:tcPr>
          <w:p w14:paraId="00FC168F" w14:textId="77777777" w:rsidR="001B1598" w:rsidRDefault="001B1598" w:rsidP="001B1598">
            <w:pPr>
              <w:pStyle w:val="TableCopy"/>
            </w:pPr>
            <w:r>
              <w:t>Cost per unit</w:t>
            </w:r>
          </w:p>
          <w:p w14:paraId="74C3113F" w14:textId="31E86A82" w:rsidR="001B1598" w:rsidRDefault="001B1598" w:rsidP="001B1598">
            <w:pPr>
              <w:pStyle w:val="TableCopy"/>
            </w:pPr>
            <w:r>
              <w:t>Useful life of cultural assets</w:t>
            </w:r>
          </w:p>
        </w:tc>
      </w:tr>
      <w:tr w:rsidR="001B1598" w14:paraId="49855D84" w14:textId="77777777" w:rsidTr="001B1598">
        <w:trPr>
          <w:trHeight w:val="333"/>
        </w:trPr>
        <w:tc>
          <w:tcPr>
            <w:tcW w:w="3390" w:type="dxa"/>
          </w:tcPr>
          <w:p w14:paraId="7567E1AE" w14:textId="77777777" w:rsidR="001B1598" w:rsidRDefault="001B1598" w:rsidP="001B1598">
            <w:pPr>
              <w:pStyle w:val="TableCopy"/>
            </w:pPr>
            <w:r>
              <w:t>Leasehold Improvements</w:t>
            </w:r>
          </w:p>
        </w:tc>
        <w:tc>
          <w:tcPr>
            <w:tcW w:w="3390" w:type="dxa"/>
          </w:tcPr>
          <w:p w14:paraId="2D49C314" w14:textId="77777777" w:rsidR="001B1598" w:rsidRDefault="001B1598" w:rsidP="001B1598">
            <w:pPr>
              <w:pStyle w:val="TableCopy"/>
            </w:pPr>
            <w:r>
              <w:t>Current replacement cost method</w:t>
            </w:r>
          </w:p>
        </w:tc>
        <w:tc>
          <w:tcPr>
            <w:tcW w:w="3390" w:type="dxa"/>
          </w:tcPr>
          <w:p w14:paraId="19B16C52" w14:textId="77777777" w:rsidR="001B1598" w:rsidRDefault="001B1598" w:rsidP="001B1598">
            <w:pPr>
              <w:pStyle w:val="TableCopy"/>
            </w:pPr>
            <w:r>
              <w:t>Cost per unit</w:t>
            </w:r>
          </w:p>
          <w:p w14:paraId="01CDA6D1" w14:textId="3ED0C263" w:rsidR="001B1598" w:rsidRDefault="001B1598" w:rsidP="001B1598">
            <w:pPr>
              <w:pStyle w:val="TableCopy"/>
            </w:pPr>
            <w:r>
              <w:t>Useful life of leasehold improvements</w:t>
            </w:r>
          </w:p>
        </w:tc>
      </w:tr>
    </w:tbl>
    <w:p w14:paraId="507D45FA" w14:textId="77777777" w:rsidR="001B1598" w:rsidRDefault="001B1598" w:rsidP="001B1598"/>
    <w:p w14:paraId="70F2786F" w14:textId="77777777" w:rsidR="001B1598" w:rsidRDefault="001B1598" w:rsidP="00642BD0">
      <w:r>
        <w:t>Significant unobservable inputs have remained unchanged since June 2022.</w:t>
      </w:r>
    </w:p>
    <w:p w14:paraId="13F1BE7B" w14:textId="77777777" w:rsidR="001B1598" w:rsidRPr="00642BD0" w:rsidRDefault="001B1598" w:rsidP="00642BD0">
      <w:pPr>
        <w:pStyle w:val="Normalbeforebullets"/>
        <w:rPr>
          <w:b/>
          <w:bCs/>
        </w:rPr>
      </w:pPr>
      <w:r w:rsidRPr="00642BD0">
        <w:rPr>
          <w:b/>
          <w:bCs/>
        </w:rPr>
        <w:t>Biological assets measured at fair value and their categorisation</w:t>
      </w:r>
      <w:r w:rsidRPr="00642BD0">
        <w:rPr>
          <w:rFonts w:ascii="Cambria" w:hAnsi="Cambria" w:cs="Cambria"/>
          <w:b/>
          <w:bCs/>
        </w:rPr>
        <w:t xml:space="preserve"> </w:t>
      </w:r>
      <w:r w:rsidRPr="00642BD0">
        <w:rPr>
          <w:b/>
          <w:bCs/>
        </w:rPr>
        <w:t>in</w:t>
      </w:r>
      <w:r w:rsidRPr="00642BD0">
        <w:rPr>
          <w:rFonts w:ascii="Cambria" w:hAnsi="Cambria" w:cs="Cambria"/>
          <w:b/>
          <w:bCs/>
        </w:rPr>
        <w:t xml:space="preserve"> </w:t>
      </w:r>
      <w:r w:rsidRPr="00642BD0">
        <w:rPr>
          <w:b/>
          <w:bCs/>
        </w:rPr>
        <w:t>the</w:t>
      </w:r>
      <w:r w:rsidRPr="00642BD0">
        <w:rPr>
          <w:rFonts w:ascii="Cambria" w:hAnsi="Cambria" w:cs="Cambria"/>
          <w:b/>
          <w:bCs/>
        </w:rPr>
        <w:t xml:space="preserve"> </w:t>
      </w:r>
      <w:r w:rsidRPr="00642BD0">
        <w:rPr>
          <w:b/>
          <w:bCs/>
        </w:rPr>
        <w:t>fair</w:t>
      </w:r>
      <w:r w:rsidRPr="00642BD0">
        <w:rPr>
          <w:rFonts w:ascii="Cambria" w:hAnsi="Cambria" w:cs="Cambria"/>
          <w:b/>
          <w:bCs/>
        </w:rPr>
        <w:t xml:space="preserve"> </w:t>
      </w:r>
      <w:r w:rsidRPr="00642BD0">
        <w:rPr>
          <w:b/>
          <w:bCs/>
        </w:rPr>
        <w:t>value hierarchy</w:t>
      </w:r>
    </w:p>
    <w:tbl>
      <w:tblPr>
        <w:tblStyle w:val="TableGrid"/>
        <w:tblW w:w="10343" w:type="dxa"/>
        <w:tblLayout w:type="fixed"/>
        <w:tblLook w:val="0020" w:firstRow="1" w:lastRow="0" w:firstColumn="0" w:lastColumn="0" w:noHBand="0" w:noVBand="0"/>
      </w:tblPr>
      <w:tblGrid>
        <w:gridCol w:w="3823"/>
        <w:gridCol w:w="1559"/>
        <w:gridCol w:w="1701"/>
        <w:gridCol w:w="1559"/>
        <w:gridCol w:w="1701"/>
      </w:tblGrid>
      <w:tr w:rsidR="001B1598" w:rsidRPr="00642BD0" w14:paraId="1BAEF500" w14:textId="77777777" w:rsidTr="00965778">
        <w:trPr>
          <w:trHeight w:val="60"/>
        </w:trPr>
        <w:tc>
          <w:tcPr>
            <w:tcW w:w="3823" w:type="dxa"/>
          </w:tcPr>
          <w:p w14:paraId="4BCC589E" w14:textId="77777777" w:rsidR="001B1598" w:rsidRPr="00642BD0" w:rsidRDefault="001B1598" w:rsidP="00642BD0">
            <w:pPr>
              <w:pStyle w:val="TableColumnHeading"/>
            </w:pPr>
            <w:bookmarkStart w:id="135" w:name="ColumnTitles_82"/>
            <w:bookmarkEnd w:id="135"/>
          </w:p>
        </w:tc>
        <w:tc>
          <w:tcPr>
            <w:tcW w:w="1559" w:type="dxa"/>
          </w:tcPr>
          <w:p w14:paraId="79708D9F" w14:textId="333BE85E" w:rsidR="001B1598" w:rsidRPr="00642BD0" w:rsidRDefault="00642BD0" w:rsidP="00965778">
            <w:pPr>
              <w:pStyle w:val="TableColumnHeading"/>
              <w:jc w:val="right"/>
            </w:pPr>
            <w:r w:rsidRPr="00642BD0">
              <w:t>2023</w:t>
            </w:r>
            <w:r>
              <w:t xml:space="preserve"> </w:t>
            </w:r>
            <w:r w:rsidR="001B1598" w:rsidRPr="00642BD0">
              <w:t>Carrying amount</w:t>
            </w:r>
            <w:r>
              <w:t xml:space="preserve"> </w:t>
            </w:r>
            <w:r w:rsidRPr="00642BD0">
              <w:t>($</w:t>
            </w:r>
            <w:r w:rsidR="00965778">
              <w:t> </w:t>
            </w:r>
            <w:r w:rsidRPr="00642BD0">
              <w:t>thousand)</w:t>
            </w:r>
            <w:r>
              <w:t xml:space="preserve"> </w:t>
            </w:r>
          </w:p>
        </w:tc>
        <w:tc>
          <w:tcPr>
            <w:tcW w:w="1701" w:type="dxa"/>
          </w:tcPr>
          <w:p w14:paraId="6DF60000" w14:textId="7D00B686" w:rsidR="001B1598" w:rsidRPr="00642BD0" w:rsidRDefault="00642BD0" w:rsidP="00965778">
            <w:pPr>
              <w:pStyle w:val="TableColumnHeading"/>
              <w:jc w:val="right"/>
            </w:pPr>
            <w:r w:rsidRPr="00642BD0">
              <w:t>2023</w:t>
            </w:r>
            <w:r>
              <w:t xml:space="preserve"> </w:t>
            </w:r>
            <w:r w:rsidR="001B1598" w:rsidRPr="00642BD0">
              <w:t>Level 2</w:t>
            </w:r>
            <w:r>
              <w:t xml:space="preserve"> </w:t>
            </w:r>
            <w:r w:rsidR="001B1598" w:rsidRPr="00642BD0">
              <w:t>Fair value</w:t>
            </w:r>
            <w:r>
              <w:t xml:space="preserve"> </w:t>
            </w:r>
            <w:r w:rsidR="001B1598" w:rsidRPr="00642BD0">
              <w:t>measurement</w:t>
            </w:r>
            <w:r>
              <w:t xml:space="preserve"> </w:t>
            </w:r>
            <w:r w:rsidRPr="00642BD0">
              <w:t>($</w:t>
            </w:r>
            <w:r w:rsidR="00965778">
              <w:t> </w:t>
            </w:r>
            <w:r w:rsidRPr="00642BD0">
              <w:t>thousand)</w:t>
            </w:r>
            <w:r>
              <w:t xml:space="preserve"> </w:t>
            </w:r>
          </w:p>
        </w:tc>
        <w:tc>
          <w:tcPr>
            <w:tcW w:w="1559" w:type="dxa"/>
          </w:tcPr>
          <w:p w14:paraId="116AE7EE" w14:textId="5257999B" w:rsidR="001B1598" w:rsidRPr="00642BD0" w:rsidRDefault="00642BD0" w:rsidP="00965778">
            <w:pPr>
              <w:pStyle w:val="TableColumnHeading"/>
              <w:jc w:val="right"/>
            </w:pPr>
            <w:r w:rsidRPr="00642BD0">
              <w:t>2022</w:t>
            </w:r>
            <w:r>
              <w:t xml:space="preserve"> </w:t>
            </w:r>
            <w:r w:rsidR="001B1598" w:rsidRPr="00642BD0">
              <w:t>Carrying amount</w:t>
            </w:r>
            <w:r>
              <w:t xml:space="preserve"> </w:t>
            </w:r>
            <w:r w:rsidRPr="00642BD0">
              <w:t>($</w:t>
            </w:r>
            <w:r w:rsidR="00965778">
              <w:t> </w:t>
            </w:r>
            <w:r w:rsidRPr="00642BD0">
              <w:t>thousand)</w:t>
            </w:r>
            <w:r>
              <w:t xml:space="preserve"> </w:t>
            </w:r>
          </w:p>
        </w:tc>
        <w:tc>
          <w:tcPr>
            <w:tcW w:w="1701" w:type="dxa"/>
          </w:tcPr>
          <w:p w14:paraId="4D50468A" w14:textId="4FBBDC1E" w:rsidR="001B1598" w:rsidRPr="00642BD0" w:rsidRDefault="00642BD0" w:rsidP="00965778">
            <w:pPr>
              <w:pStyle w:val="TableColumnHeading"/>
              <w:jc w:val="right"/>
            </w:pPr>
            <w:r w:rsidRPr="00642BD0">
              <w:t>2022</w:t>
            </w:r>
            <w:r>
              <w:t xml:space="preserve"> </w:t>
            </w:r>
            <w:r w:rsidR="001B1598" w:rsidRPr="00642BD0">
              <w:t>Level 2</w:t>
            </w:r>
            <w:r>
              <w:t xml:space="preserve"> </w:t>
            </w:r>
            <w:r w:rsidR="001B1598" w:rsidRPr="00642BD0">
              <w:t>Fair value</w:t>
            </w:r>
            <w:r>
              <w:t xml:space="preserve"> </w:t>
            </w:r>
            <w:r w:rsidR="001B1598" w:rsidRPr="00642BD0">
              <w:t>measurement</w:t>
            </w:r>
            <w:r>
              <w:t xml:space="preserve"> </w:t>
            </w:r>
            <w:r w:rsidRPr="00642BD0">
              <w:t>($</w:t>
            </w:r>
            <w:r w:rsidR="00965778">
              <w:t> </w:t>
            </w:r>
            <w:r w:rsidRPr="00642BD0">
              <w:t>thousand)</w:t>
            </w:r>
            <w:r>
              <w:t xml:space="preserve"> </w:t>
            </w:r>
          </w:p>
        </w:tc>
      </w:tr>
      <w:tr w:rsidR="001B1598" w14:paraId="7E129B8D" w14:textId="77777777" w:rsidTr="00965778">
        <w:trPr>
          <w:trHeight w:val="60"/>
        </w:trPr>
        <w:tc>
          <w:tcPr>
            <w:tcW w:w="3823" w:type="dxa"/>
          </w:tcPr>
          <w:p w14:paraId="21F9C4D0" w14:textId="77777777" w:rsidR="001B1598" w:rsidRDefault="001B1598" w:rsidP="00642BD0">
            <w:pPr>
              <w:pStyle w:val="TableCopy"/>
            </w:pPr>
            <w:r>
              <w:t xml:space="preserve">Breeding livestock – pigs, </w:t>
            </w:r>
            <w:proofErr w:type="gramStart"/>
            <w:r>
              <w:t>sheep</w:t>
            </w:r>
            <w:proofErr w:type="gramEnd"/>
            <w:r>
              <w:t xml:space="preserve"> and cattle</w:t>
            </w:r>
          </w:p>
        </w:tc>
        <w:tc>
          <w:tcPr>
            <w:tcW w:w="1559" w:type="dxa"/>
          </w:tcPr>
          <w:p w14:paraId="060021CE" w14:textId="7443AEE3" w:rsidR="001B1598" w:rsidRDefault="001B1598" w:rsidP="00965778">
            <w:pPr>
              <w:pStyle w:val="TableCopy"/>
              <w:jc w:val="right"/>
            </w:pPr>
            <w:r>
              <w:t>–</w:t>
            </w:r>
          </w:p>
        </w:tc>
        <w:tc>
          <w:tcPr>
            <w:tcW w:w="1701" w:type="dxa"/>
          </w:tcPr>
          <w:p w14:paraId="4E1D7ED4" w14:textId="0946FA0B" w:rsidR="001B1598" w:rsidRDefault="001B1598" w:rsidP="00965778">
            <w:pPr>
              <w:pStyle w:val="TableCopy"/>
              <w:jc w:val="right"/>
            </w:pPr>
            <w:r>
              <w:t>–</w:t>
            </w:r>
          </w:p>
        </w:tc>
        <w:tc>
          <w:tcPr>
            <w:tcW w:w="1559" w:type="dxa"/>
          </w:tcPr>
          <w:p w14:paraId="5C975E2F" w14:textId="02F32BB3" w:rsidR="001B1598" w:rsidRDefault="001B1598" w:rsidP="00965778">
            <w:pPr>
              <w:pStyle w:val="TableCopy"/>
              <w:jc w:val="right"/>
            </w:pPr>
            <w:r>
              <w:t>5,110</w:t>
            </w:r>
          </w:p>
        </w:tc>
        <w:tc>
          <w:tcPr>
            <w:tcW w:w="1701" w:type="dxa"/>
          </w:tcPr>
          <w:p w14:paraId="360522BE" w14:textId="45E0323E" w:rsidR="001B1598" w:rsidRDefault="001B1598" w:rsidP="00965778">
            <w:pPr>
              <w:pStyle w:val="TableCopy"/>
              <w:jc w:val="right"/>
            </w:pPr>
            <w:r>
              <w:t>5,110</w:t>
            </w:r>
          </w:p>
        </w:tc>
      </w:tr>
      <w:tr w:rsidR="001B1598" w:rsidRPr="00642BD0" w14:paraId="09D1ED85" w14:textId="77777777" w:rsidTr="00965778">
        <w:trPr>
          <w:trHeight w:val="60"/>
        </w:trPr>
        <w:tc>
          <w:tcPr>
            <w:tcW w:w="3823" w:type="dxa"/>
          </w:tcPr>
          <w:p w14:paraId="2AE669D5" w14:textId="77777777" w:rsidR="001B1598" w:rsidRPr="00642BD0" w:rsidRDefault="001B1598" w:rsidP="00642BD0">
            <w:pPr>
              <w:pStyle w:val="TableCopy"/>
              <w:rPr>
                <w:b/>
                <w:bCs/>
              </w:rPr>
            </w:pPr>
            <w:r w:rsidRPr="00642BD0">
              <w:rPr>
                <w:b/>
                <w:bCs/>
              </w:rPr>
              <w:t>Total biological assets</w:t>
            </w:r>
          </w:p>
        </w:tc>
        <w:tc>
          <w:tcPr>
            <w:tcW w:w="1559" w:type="dxa"/>
          </w:tcPr>
          <w:p w14:paraId="6476E2B9" w14:textId="6983A493" w:rsidR="001B1598" w:rsidRPr="00642BD0" w:rsidRDefault="001B1598" w:rsidP="00965778">
            <w:pPr>
              <w:pStyle w:val="TableCopy"/>
              <w:jc w:val="right"/>
              <w:rPr>
                <w:b/>
                <w:bCs/>
              </w:rPr>
            </w:pPr>
            <w:r w:rsidRPr="00642BD0">
              <w:rPr>
                <w:b/>
                <w:bCs/>
              </w:rPr>
              <w:t>–</w:t>
            </w:r>
          </w:p>
        </w:tc>
        <w:tc>
          <w:tcPr>
            <w:tcW w:w="1701" w:type="dxa"/>
          </w:tcPr>
          <w:p w14:paraId="3FE4C4F3" w14:textId="0949D52E" w:rsidR="001B1598" w:rsidRPr="00642BD0" w:rsidRDefault="001B1598" w:rsidP="00965778">
            <w:pPr>
              <w:pStyle w:val="TableCopy"/>
              <w:jc w:val="right"/>
              <w:rPr>
                <w:b/>
                <w:bCs/>
              </w:rPr>
            </w:pPr>
            <w:r w:rsidRPr="00642BD0">
              <w:rPr>
                <w:b/>
                <w:bCs/>
              </w:rPr>
              <w:t>–</w:t>
            </w:r>
          </w:p>
        </w:tc>
        <w:tc>
          <w:tcPr>
            <w:tcW w:w="1559" w:type="dxa"/>
          </w:tcPr>
          <w:p w14:paraId="46646DC7" w14:textId="708405C6" w:rsidR="001B1598" w:rsidRPr="00642BD0" w:rsidRDefault="001B1598" w:rsidP="00965778">
            <w:pPr>
              <w:pStyle w:val="TableCopy"/>
              <w:jc w:val="right"/>
              <w:rPr>
                <w:b/>
                <w:bCs/>
              </w:rPr>
            </w:pPr>
            <w:r w:rsidRPr="00642BD0">
              <w:rPr>
                <w:b/>
                <w:bCs/>
              </w:rPr>
              <w:t>5,110</w:t>
            </w:r>
          </w:p>
        </w:tc>
        <w:tc>
          <w:tcPr>
            <w:tcW w:w="1701" w:type="dxa"/>
          </w:tcPr>
          <w:p w14:paraId="15D43A6C" w14:textId="13DE6263" w:rsidR="001B1598" w:rsidRPr="00642BD0" w:rsidRDefault="001B1598" w:rsidP="00965778">
            <w:pPr>
              <w:pStyle w:val="TableCopy"/>
              <w:jc w:val="right"/>
              <w:rPr>
                <w:b/>
                <w:bCs/>
              </w:rPr>
            </w:pPr>
            <w:r w:rsidRPr="00642BD0">
              <w:rPr>
                <w:b/>
                <w:bCs/>
              </w:rPr>
              <w:t>5,110</w:t>
            </w:r>
          </w:p>
        </w:tc>
      </w:tr>
    </w:tbl>
    <w:p w14:paraId="60427AD0" w14:textId="79FA68A5" w:rsidR="000756EB" w:rsidRDefault="004A4D88" w:rsidP="00965778">
      <w:r>
        <w:lastRenderedPageBreak/>
        <w:t>There</w:t>
      </w:r>
      <w:r w:rsidR="00A03629">
        <w:t xml:space="preserve"> </w:t>
      </w:r>
      <w:r>
        <w:t>have</w:t>
      </w:r>
      <w:r w:rsidR="00A03629">
        <w:t xml:space="preserve"> </w:t>
      </w:r>
      <w:r>
        <w:t>been</w:t>
      </w:r>
      <w:r w:rsidR="00A03629">
        <w:t xml:space="preserve"> </w:t>
      </w:r>
      <w:r>
        <w:t>no</w:t>
      </w:r>
      <w:r w:rsidR="00A03629">
        <w:t xml:space="preserve"> </w:t>
      </w:r>
      <w:r>
        <w:t>transfers</w:t>
      </w:r>
      <w:r w:rsidR="00A03629">
        <w:t xml:space="preserve"> </w:t>
      </w:r>
      <w:r>
        <w:t>between</w:t>
      </w:r>
      <w:r w:rsidR="00A03629">
        <w:t xml:space="preserve"> </w:t>
      </w:r>
      <w:r>
        <w:t>levels</w:t>
      </w:r>
      <w:r w:rsidR="00A03629">
        <w:t xml:space="preserve"> </w:t>
      </w:r>
      <w:r>
        <w:t>during</w:t>
      </w:r>
      <w:r w:rsidR="00A03629">
        <w:t xml:space="preserve"> </w:t>
      </w:r>
      <w:r>
        <w:t>the</w:t>
      </w:r>
      <w:r w:rsidR="00A03629">
        <w:t xml:space="preserve"> </w:t>
      </w:r>
      <w:r>
        <w:t>period.</w:t>
      </w:r>
      <w:r w:rsidR="00A03629">
        <w:t xml:space="preserve"> </w:t>
      </w:r>
      <w:r>
        <w:t>There</w:t>
      </w:r>
      <w:r w:rsidR="00A03629">
        <w:t xml:space="preserve"> </w:t>
      </w:r>
      <w:r>
        <w:t>were</w:t>
      </w:r>
      <w:r w:rsidR="00A03629">
        <w:t xml:space="preserve"> </w:t>
      </w:r>
      <w:r>
        <w:t>no</w:t>
      </w:r>
      <w:r w:rsidR="00A03629">
        <w:t xml:space="preserve"> </w:t>
      </w:r>
      <w:r>
        <w:t>changes</w:t>
      </w:r>
      <w:r w:rsidR="00A03629">
        <w:t xml:space="preserve"> </w:t>
      </w:r>
      <w:r>
        <w:t>in</w:t>
      </w:r>
      <w:r w:rsidR="00A03629">
        <w:t xml:space="preserve"> </w:t>
      </w:r>
      <w:r>
        <w:t>valuation</w:t>
      </w:r>
      <w:r w:rsidR="00A03629">
        <w:t xml:space="preserve"> </w:t>
      </w:r>
      <w:r>
        <w:t>techniques</w:t>
      </w:r>
      <w:r w:rsidR="00A03629">
        <w:t xml:space="preserve"> </w:t>
      </w:r>
      <w:r>
        <w:t>throughout</w:t>
      </w:r>
      <w:r w:rsidR="00A03629">
        <w:t xml:space="preserve"> </w:t>
      </w:r>
      <w:r>
        <w:t>the</w:t>
      </w:r>
      <w:r w:rsidR="00A03629">
        <w:t xml:space="preserve"> </w:t>
      </w:r>
      <w:r>
        <w:t>period</w:t>
      </w:r>
      <w:r w:rsidR="00A03629">
        <w:t xml:space="preserve"> </w:t>
      </w:r>
      <w:r>
        <w:t>to</w:t>
      </w:r>
      <w:r w:rsidR="00A03629">
        <w:t xml:space="preserve"> </w:t>
      </w:r>
      <w:r>
        <w:t>30</w:t>
      </w:r>
      <w:r w:rsidR="00A03629">
        <w:t xml:space="preserve"> </w:t>
      </w:r>
      <w:r>
        <w:t>June</w:t>
      </w:r>
      <w:r w:rsidR="00A03629">
        <w:t xml:space="preserve"> </w:t>
      </w:r>
      <w:r>
        <w:t>2023.</w:t>
      </w:r>
    </w:p>
    <w:p w14:paraId="716E5B72" w14:textId="7DA50BD8" w:rsidR="000756EB" w:rsidRDefault="004A4D88" w:rsidP="00965778">
      <w:r>
        <w:t>As</w:t>
      </w:r>
      <w:r w:rsidR="00A03629">
        <w:t xml:space="preserve"> </w:t>
      </w:r>
      <w:proofErr w:type="gramStart"/>
      <w:r>
        <w:t>at</w:t>
      </w:r>
      <w:proofErr w:type="gramEnd"/>
      <w:r w:rsidR="00A03629">
        <w:t xml:space="preserve"> </w:t>
      </w:r>
      <w:r>
        <w:t>1</w:t>
      </w:r>
      <w:r w:rsidR="00A03629">
        <w:t xml:space="preserve"> </w:t>
      </w:r>
      <w:r>
        <w:t>January</w:t>
      </w:r>
      <w:r w:rsidR="00A03629">
        <w:t xml:space="preserve"> </w:t>
      </w:r>
      <w:r>
        <w:t>2023,</w:t>
      </w:r>
      <w:r w:rsidR="00A03629">
        <w:t xml:space="preserve"> </w:t>
      </w:r>
      <w:r>
        <w:t>all</w:t>
      </w:r>
      <w:r w:rsidR="00A03629">
        <w:t xml:space="preserve"> </w:t>
      </w:r>
      <w:r>
        <w:t>the</w:t>
      </w:r>
      <w:r w:rsidR="00A03629">
        <w:t xml:space="preserve"> </w:t>
      </w:r>
      <w:r>
        <w:t>biological</w:t>
      </w:r>
      <w:r w:rsidR="00A03629">
        <w:t xml:space="preserve"> </w:t>
      </w:r>
      <w:r>
        <w:t>assets</w:t>
      </w:r>
      <w:r w:rsidR="00A03629">
        <w:t xml:space="preserve"> </w:t>
      </w:r>
      <w:r>
        <w:t>of</w:t>
      </w:r>
      <w:r w:rsidR="00A03629">
        <w:t xml:space="preserve"> </w:t>
      </w:r>
      <w:r>
        <w:t>DJSIR</w:t>
      </w:r>
      <w:r w:rsidR="00A03629">
        <w:t xml:space="preserve"> </w:t>
      </w:r>
      <w:r>
        <w:t>has</w:t>
      </w:r>
      <w:r w:rsidR="00A03629">
        <w:t xml:space="preserve"> </w:t>
      </w:r>
      <w:r>
        <w:t>been</w:t>
      </w:r>
      <w:r w:rsidR="00A03629">
        <w:t xml:space="preserve"> </w:t>
      </w:r>
      <w:r>
        <w:t>transferred</w:t>
      </w:r>
      <w:r w:rsidR="00A03629">
        <w:t xml:space="preserve"> </w:t>
      </w:r>
      <w:r>
        <w:t>to</w:t>
      </w:r>
      <w:r w:rsidR="00A03629">
        <w:t xml:space="preserve"> </w:t>
      </w:r>
      <w:r>
        <w:t>DEECA</w:t>
      </w:r>
      <w:r w:rsidR="00A03629">
        <w:t xml:space="preserve"> </w:t>
      </w:r>
      <w:r>
        <w:t>as</w:t>
      </w:r>
      <w:r w:rsidR="00A03629">
        <w:t xml:space="preserve"> </w:t>
      </w:r>
      <w:r>
        <w:t>part</w:t>
      </w:r>
      <w:r w:rsidR="00A03629">
        <w:t xml:space="preserve"> </w:t>
      </w:r>
      <w:r>
        <w:t>of</w:t>
      </w:r>
      <w:r w:rsidR="00A03629">
        <w:t xml:space="preserve"> </w:t>
      </w:r>
      <w:r>
        <w:t>the</w:t>
      </w:r>
      <w:r w:rsidR="00A03629">
        <w:t xml:space="preserve"> </w:t>
      </w:r>
      <w:r>
        <w:t>machinery</w:t>
      </w:r>
      <w:r w:rsidR="00A03629">
        <w:t xml:space="preserve"> </w:t>
      </w:r>
      <w:r>
        <w:t>of</w:t>
      </w:r>
      <w:r w:rsidR="00A03629">
        <w:t xml:space="preserve"> </w:t>
      </w:r>
      <w:r>
        <w:t>government</w:t>
      </w:r>
      <w:r w:rsidR="00A03629">
        <w:t xml:space="preserve"> </w:t>
      </w:r>
      <w:r>
        <w:t>changes.</w:t>
      </w:r>
      <w:r w:rsidR="00A03629">
        <w:t xml:space="preserve"> </w:t>
      </w:r>
      <w:r>
        <w:t>As</w:t>
      </w:r>
      <w:r w:rsidR="00A03629">
        <w:t xml:space="preserve"> </w:t>
      </w:r>
      <w:r>
        <w:t>a</w:t>
      </w:r>
      <w:r w:rsidR="00A03629">
        <w:t xml:space="preserve"> </w:t>
      </w:r>
      <w:r>
        <w:t>result,</w:t>
      </w:r>
      <w:r w:rsidR="00A03629">
        <w:t xml:space="preserve"> </w:t>
      </w:r>
      <w:r>
        <w:t>DJSIR</w:t>
      </w:r>
      <w:r w:rsidR="00A03629">
        <w:t xml:space="preserve"> </w:t>
      </w:r>
      <w:r>
        <w:t>has</w:t>
      </w:r>
      <w:r w:rsidR="00A03629">
        <w:t xml:space="preserve"> </w:t>
      </w:r>
      <w:r>
        <w:t>no</w:t>
      </w:r>
      <w:r w:rsidR="00A03629">
        <w:t xml:space="preserve"> </w:t>
      </w:r>
      <w:r>
        <w:t>biological</w:t>
      </w:r>
      <w:r w:rsidR="00A03629">
        <w:t xml:space="preserve"> </w:t>
      </w:r>
      <w:r>
        <w:t>assets</w:t>
      </w:r>
      <w:r w:rsidR="00A03629">
        <w:t xml:space="preserve"> </w:t>
      </w:r>
      <w:r>
        <w:t>as</w:t>
      </w:r>
      <w:r w:rsidR="00A03629">
        <w:t xml:space="preserve"> </w:t>
      </w:r>
      <w:proofErr w:type="gramStart"/>
      <w:r>
        <w:t>at</w:t>
      </w:r>
      <w:proofErr w:type="gramEnd"/>
      <w:r w:rsidR="00A03629">
        <w:t xml:space="preserve"> </w:t>
      </w:r>
      <w:r>
        <w:t>30</w:t>
      </w:r>
      <w:r w:rsidR="00A03629">
        <w:t xml:space="preserve"> </w:t>
      </w:r>
      <w:r>
        <w:t>June</w:t>
      </w:r>
      <w:r w:rsidR="00A03629">
        <w:t xml:space="preserve"> </w:t>
      </w:r>
      <w:r>
        <w:t>2023.</w:t>
      </w:r>
    </w:p>
    <w:p w14:paraId="31B7151B" w14:textId="0552CCD6" w:rsidR="000756EB" w:rsidRDefault="004A4D88" w:rsidP="00965778">
      <w:r>
        <w:t>Biological</w:t>
      </w:r>
      <w:r w:rsidR="00A03629">
        <w:t xml:space="preserve"> </w:t>
      </w:r>
      <w:r>
        <w:t>assets</w:t>
      </w:r>
      <w:r w:rsidR="00A03629">
        <w:t xml:space="preserve"> </w:t>
      </w:r>
      <w:proofErr w:type="gramStart"/>
      <w:r>
        <w:t>comprises</w:t>
      </w:r>
      <w:proofErr w:type="gramEnd"/>
      <w:r w:rsidR="00A03629">
        <w:t xml:space="preserve"> </w:t>
      </w:r>
      <w:r>
        <w:t>of</w:t>
      </w:r>
      <w:r w:rsidR="00A03629">
        <w:t xml:space="preserve"> </w:t>
      </w:r>
      <w:r>
        <w:t>livestock.</w:t>
      </w:r>
      <w:r w:rsidR="00A03629">
        <w:t xml:space="preserve"> </w:t>
      </w:r>
      <w:r>
        <w:t>Biological</w:t>
      </w:r>
      <w:r w:rsidR="00A03629">
        <w:t xml:space="preserve"> </w:t>
      </w:r>
      <w:r>
        <w:t>assets</w:t>
      </w:r>
      <w:r w:rsidR="00A03629">
        <w:t xml:space="preserve"> </w:t>
      </w:r>
      <w:r>
        <w:t>are</w:t>
      </w:r>
      <w:r w:rsidR="00A03629">
        <w:t xml:space="preserve"> </w:t>
      </w:r>
      <w:r>
        <w:t>measured</w:t>
      </w:r>
      <w:r w:rsidR="00A03629">
        <w:t xml:space="preserve"> </w:t>
      </w:r>
      <w:r>
        <w:t>at</w:t>
      </w:r>
      <w:r w:rsidR="00A03629">
        <w:t xml:space="preserve"> </w:t>
      </w:r>
      <w:r>
        <w:t>fair</w:t>
      </w:r>
      <w:r w:rsidR="00A03629">
        <w:t xml:space="preserve"> </w:t>
      </w:r>
      <w:r>
        <w:t>value</w:t>
      </w:r>
      <w:r w:rsidR="00A03629">
        <w:t xml:space="preserve"> </w:t>
      </w:r>
      <w:r>
        <w:t>less</w:t>
      </w:r>
      <w:r w:rsidR="00A03629">
        <w:t xml:space="preserve"> </w:t>
      </w:r>
      <w:r>
        <w:t>costs</w:t>
      </w:r>
      <w:r w:rsidR="00A03629">
        <w:t xml:space="preserve"> </w:t>
      </w:r>
      <w:r>
        <w:t>to</w:t>
      </w:r>
      <w:r w:rsidR="00A03629">
        <w:t xml:space="preserve"> </w:t>
      </w:r>
      <w:r>
        <w:t>sell,</w:t>
      </w:r>
      <w:r w:rsidR="00A03629">
        <w:t xml:space="preserve"> </w:t>
      </w:r>
      <w:r>
        <w:t>with</w:t>
      </w:r>
      <w:r w:rsidR="00A03629">
        <w:t xml:space="preserve"> </w:t>
      </w:r>
      <w:r>
        <w:t>any</w:t>
      </w:r>
      <w:r w:rsidR="00A03629">
        <w:t xml:space="preserve"> </w:t>
      </w:r>
      <w:r>
        <w:t>changes</w:t>
      </w:r>
      <w:r w:rsidR="00A03629">
        <w:t xml:space="preserve"> </w:t>
      </w:r>
      <w:r>
        <w:t>recognised</w:t>
      </w:r>
      <w:r w:rsidR="00A03629">
        <w:t xml:space="preserve"> </w:t>
      </w:r>
      <w:r>
        <w:t>in</w:t>
      </w:r>
      <w:r w:rsidR="00A03629">
        <w:t xml:space="preserve"> </w:t>
      </w:r>
      <w:r>
        <w:t>the</w:t>
      </w:r>
      <w:r w:rsidR="00A03629">
        <w:t xml:space="preserve"> </w:t>
      </w:r>
      <w:r>
        <w:t>comprehensive</w:t>
      </w:r>
      <w:r w:rsidR="00A03629">
        <w:t xml:space="preserve"> </w:t>
      </w:r>
      <w:r>
        <w:t>operating</w:t>
      </w:r>
      <w:r w:rsidR="00A03629">
        <w:t xml:space="preserve"> </w:t>
      </w:r>
      <w:r>
        <w:t>statement</w:t>
      </w:r>
      <w:r w:rsidR="00A03629">
        <w:t xml:space="preserve"> </w:t>
      </w:r>
      <w:r>
        <w:t>–</w:t>
      </w:r>
      <w:r w:rsidR="00A03629">
        <w:t xml:space="preserve"> </w:t>
      </w:r>
      <w:r>
        <w:t>other</w:t>
      </w:r>
      <w:r w:rsidR="00A03629">
        <w:t xml:space="preserve"> </w:t>
      </w:r>
      <w:r>
        <w:t>economic</w:t>
      </w:r>
      <w:r w:rsidR="00A03629">
        <w:t xml:space="preserve"> </w:t>
      </w:r>
      <w:r>
        <w:t>flows.</w:t>
      </w:r>
      <w:r w:rsidR="00A03629">
        <w:t xml:space="preserve"> </w:t>
      </w:r>
      <w:r>
        <w:t>Costs</w:t>
      </w:r>
      <w:r w:rsidR="00A03629">
        <w:t xml:space="preserve"> </w:t>
      </w:r>
      <w:r>
        <w:t>to</w:t>
      </w:r>
      <w:r w:rsidR="00A03629">
        <w:rPr>
          <w:rFonts w:ascii="Cambria" w:hAnsi="Cambria" w:cs="Cambria"/>
        </w:rPr>
        <w:t xml:space="preserve"> </w:t>
      </w:r>
      <w:r>
        <w:t>sell</w:t>
      </w:r>
      <w:r w:rsidR="00A03629">
        <w:t xml:space="preserve"> </w:t>
      </w:r>
      <w:r>
        <w:t>include</w:t>
      </w:r>
      <w:r w:rsidR="00A03629">
        <w:t xml:space="preserve"> </w:t>
      </w:r>
      <w:r>
        <w:t>all</w:t>
      </w:r>
      <w:r w:rsidR="00A03629">
        <w:t xml:space="preserve"> </w:t>
      </w:r>
      <w:r>
        <w:t>costs</w:t>
      </w:r>
      <w:r w:rsidR="00A03629">
        <w:t xml:space="preserve"> </w:t>
      </w:r>
      <w:r>
        <w:t>that</w:t>
      </w:r>
      <w:r w:rsidR="00A03629">
        <w:t xml:space="preserve"> </w:t>
      </w:r>
      <w:r>
        <w:t>would</w:t>
      </w:r>
      <w:r w:rsidR="00A03629">
        <w:t xml:space="preserve"> </w:t>
      </w:r>
      <w:r>
        <w:t>be</w:t>
      </w:r>
      <w:r w:rsidR="00A03629">
        <w:t xml:space="preserve"> </w:t>
      </w:r>
      <w:r>
        <w:t>necessary</w:t>
      </w:r>
      <w:r w:rsidR="00A03629">
        <w:t xml:space="preserve"> </w:t>
      </w:r>
      <w:r>
        <w:t>to</w:t>
      </w:r>
      <w:r w:rsidR="00A03629">
        <w:t xml:space="preserve"> </w:t>
      </w:r>
      <w:r>
        <w:t>sell</w:t>
      </w:r>
      <w:r w:rsidR="00A03629">
        <w:t xml:space="preserve"> </w:t>
      </w:r>
      <w:r>
        <w:t>the</w:t>
      </w:r>
      <w:r w:rsidR="00A03629">
        <w:t xml:space="preserve"> </w:t>
      </w:r>
      <w:r>
        <w:t>assets,</w:t>
      </w:r>
      <w:r w:rsidR="00A03629">
        <w:t xml:space="preserve"> </w:t>
      </w:r>
      <w:r>
        <w:t>including</w:t>
      </w:r>
      <w:r w:rsidR="00A03629">
        <w:t xml:space="preserve"> </w:t>
      </w:r>
      <w:r>
        <w:t>freight</w:t>
      </w:r>
      <w:r w:rsidR="00A03629">
        <w:t xml:space="preserve"> </w:t>
      </w:r>
      <w:r>
        <w:t>and</w:t>
      </w:r>
      <w:r w:rsidR="00A03629">
        <w:t xml:space="preserve"> </w:t>
      </w:r>
      <w:r>
        <w:t>direct</w:t>
      </w:r>
      <w:r w:rsidR="00A03629">
        <w:t xml:space="preserve"> </w:t>
      </w:r>
      <w:r>
        <w:t>selling</w:t>
      </w:r>
      <w:r w:rsidR="00A03629">
        <w:t xml:space="preserve"> </w:t>
      </w:r>
      <w:r>
        <w:t>costs.</w:t>
      </w:r>
    </w:p>
    <w:p w14:paraId="57B18DD7" w14:textId="1B306EA8" w:rsidR="000756EB" w:rsidRDefault="004A4D88" w:rsidP="00965778">
      <w:r>
        <w:t>The</w:t>
      </w:r>
      <w:r w:rsidR="00A03629">
        <w:t xml:space="preserve"> </w:t>
      </w:r>
      <w:r>
        <w:t>fair</w:t>
      </w:r>
      <w:r w:rsidR="00A03629">
        <w:t xml:space="preserve"> </w:t>
      </w:r>
      <w:r>
        <w:t>value</w:t>
      </w:r>
      <w:r w:rsidR="00A03629">
        <w:t xml:space="preserve"> </w:t>
      </w:r>
      <w:r>
        <w:t>of</w:t>
      </w:r>
      <w:r w:rsidR="00A03629">
        <w:t xml:space="preserve"> </w:t>
      </w:r>
      <w:r>
        <w:t>a</w:t>
      </w:r>
      <w:r w:rsidR="00A03629">
        <w:t xml:space="preserve"> </w:t>
      </w:r>
      <w:r>
        <w:t>biological</w:t>
      </w:r>
      <w:r w:rsidR="00A03629">
        <w:t xml:space="preserve"> </w:t>
      </w:r>
      <w:r>
        <w:t>asset</w:t>
      </w:r>
      <w:r w:rsidR="00A03629">
        <w:t xml:space="preserve"> </w:t>
      </w:r>
      <w:r>
        <w:t>is</w:t>
      </w:r>
      <w:r w:rsidR="00A03629">
        <w:t xml:space="preserve"> </w:t>
      </w:r>
      <w:r>
        <w:t>based</w:t>
      </w:r>
      <w:r w:rsidR="00A03629">
        <w:t xml:space="preserve"> </w:t>
      </w:r>
      <w:r>
        <w:t>on</w:t>
      </w:r>
      <w:r w:rsidR="00A03629">
        <w:t xml:space="preserve"> </w:t>
      </w:r>
      <w:r>
        <w:t>its</w:t>
      </w:r>
      <w:r w:rsidR="00A03629">
        <w:t xml:space="preserve"> </w:t>
      </w:r>
      <w:r>
        <w:t>present</w:t>
      </w:r>
      <w:r w:rsidR="00A03629">
        <w:t xml:space="preserve"> </w:t>
      </w:r>
      <w:r>
        <w:t>location</w:t>
      </w:r>
      <w:r w:rsidR="00A03629">
        <w:t xml:space="preserve"> </w:t>
      </w:r>
      <w:r>
        <w:t>and</w:t>
      </w:r>
      <w:r w:rsidR="00A03629">
        <w:t xml:space="preserve"> </w:t>
      </w:r>
      <w:r>
        <w:t>condition.</w:t>
      </w:r>
      <w:r w:rsidR="00A03629">
        <w:t xml:space="preserve"> </w:t>
      </w:r>
      <w:r>
        <w:t>If</w:t>
      </w:r>
      <w:r w:rsidR="00A03629">
        <w:t xml:space="preserve"> </w:t>
      </w:r>
      <w:r>
        <w:t>an</w:t>
      </w:r>
      <w:r w:rsidR="00A03629">
        <w:t xml:space="preserve"> </w:t>
      </w:r>
      <w:r>
        <w:t>active</w:t>
      </w:r>
      <w:r w:rsidR="00A03629">
        <w:t xml:space="preserve"> </w:t>
      </w:r>
      <w:r>
        <w:t>market</w:t>
      </w:r>
      <w:r w:rsidR="00A03629">
        <w:t xml:space="preserve"> </w:t>
      </w:r>
      <w:r>
        <w:t>exists</w:t>
      </w:r>
      <w:r w:rsidR="00A03629">
        <w:t xml:space="preserve"> </w:t>
      </w:r>
      <w:r>
        <w:t>for</w:t>
      </w:r>
      <w:r w:rsidR="00A03629">
        <w:t xml:space="preserve"> </w:t>
      </w:r>
      <w:r>
        <w:t>a</w:t>
      </w:r>
      <w:r w:rsidR="00A03629">
        <w:t xml:space="preserve"> </w:t>
      </w:r>
      <w:r>
        <w:t>biological</w:t>
      </w:r>
      <w:r w:rsidR="00A03629">
        <w:t xml:space="preserve"> </w:t>
      </w:r>
      <w:r>
        <w:t>asset</w:t>
      </w:r>
      <w:r w:rsidR="00A03629">
        <w:t xml:space="preserve"> </w:t>
      </w:r>
      <w:r>
        <w:t>in</w:t>
      </w:r>
      <w:r w:rsidR="00A03629">
        <w:t xml:space="preserve"> </w:t>
      </w:r>
      <w:r>
        <w:t>its</w:t>
      </w:r>
      <w:r w:rsidR="00A03629">
        <w:t xml:space="preserve"> </w:t>
      </w:r>
      <w:r>
        <w:t>present</w:t>
      </w:r>
      <w:r w:rsidR="00A03629">
        <w:t xml:space="preserve"> </w:t>
      </w:r>
      <w:r>
        <w:t>location</w:t>
      </w:r>
      <w:r w:rsidR="00A03629">
        <w:t xml:space="preserve"> </w:t>
      </w:r>
      <w:r>
        <w:t>and</w:t>
      </w:r>
      <w:r w:rsidR="00A03629">
        <w:t xml:space="preserve"> </w:t>
      </w:r>
      <w:r>
        <w:t>condition,</w:t>
      </w:r>
      <w:r w:rsidR="00A03629">
        <w:t xml:space="preserve"> </w:t>
      </w:r>
      <w:r>
        <w:t>the</w:t>
      </w:r>
      <w:r w:rsidR="00A03629">
        <w:t xml:space="preserve"> </w:t>
      </w:r>
      <w:r>
        <w:t>quoted</w:t>
      </w:r>
      <w:r w:rsidR="00A03629">
        <w:t xml:space="preserve"> </w:t>
      </w:r>
      <w:r>
        <w:t>price</w:t>
      </w:r>
      <w:r w:rsidR="00A03629">
        <w:t xml:space="preserve"> </w:t>
      </w:r>
      <w:r>
        <w:t>in</w:t>
      </w:r>
      <w:r w:rsidR="00A03629">
        <w:t xml:space="preserve"> </w:t>
      </w:r>
      <w:r>
        <w:t>that</w:t>
      </w:r>
      <w:r w:rsidR="00A03629">
        <w:t xml:space="preserve"> </w:t>
      </w:r>
      <w:r>
        <w:t>market</w:t>
      </w:r>
      <w:r w:rsidR="00A03629">
        <w:t xml:space="preserve"> </w:t>
      </w:r>
      <w:r>
        <w:t>is</w:t>
      </w:r>
      <w:r w:rsidR="00A03629">
        <w:t xml:space="preserve"> </w:t>
      </w:r>
      <w:r>
        <w:t>the</w:t>
      </w:r>
      <w:r w:rsidR="00A03629">
        <w:t xml:space="preserve"> </w:t>
      </w:r>
      <w:r>
        <w:t>appropriate</w:t>
      </w:r>
      <w:r w:rsidR="00A03629">
        <w:t xml:space="preserve"> </w:t>
      </w:r>
      <w:r>
        <w:t>basis</w:t>
      </w:r>
      <w:r w:rsidR="00A03629">
        <w:t xml:space="preserve"> </w:t>
      </w:r>
      <w:r>
        <w:t>for</w:t>
      </w:r>
      <w:r w:rsidR="00A03629">
        <w:t xml:space="preserve"> </w:t>
      </w:r>
      <w:r>
        <w:t>determining</w:t>
      </w:r>
      <w:r w:rsidR="00A03629">
        <w:t xml:space="preserve"> </w:t>
      </w:r>
      <w:r>
        <w:t>the</w:t>
      </w:r>
      <w:r w:rsidR="00A03629">
        <w:t xml:space="preserve"> </w:t>
      </w:r>
      <w:r>
        <w:t>fair</w:t>
      </w:r>
      <w:r w:rsidR="00A03629">
        <w:t xml:space="preserve"> </w:t>
      </w:r>
      <w:r>
        <w:t>value</w:t>
      </w:r>
      <w:r w:rsidR="00A03629">
        <w:t xml:space="preserve"> </w:t>
      </w:r>
      <w:r>
        <w:t>of</w:t>
      </w:r>
      <w:r w:rsidR="00A03629">
        <w:t xml:space="preserve"> </w:t>
      </w:r>
      <w:r>
        <w:t>that</w:t>
      </w:r>
      <w:r w:rsidR="00A03629">
        <w:t xml:space="preserve"> </w:t>
      </w:r>
      <w:r>
        <w:t>asset.</w:t>
      </w:r>
      <w:r w:rsidR="00A03629">
        <w:t xml:space="preserve"> </w:t>
      </w:r>
      <w:r>
        <w:t>Where</w:t>
      </w:r>
      <w:r w:rsidR="00A03629">
        <w:t xml:space="preserve"> </w:t>
      </w:r>
      <w:r>
        <w:t>access</w:t>
      </w:r>
      <w:r w:rsidR="00A03629">
        <w:t xml:space="preserve"> </w:t>
      </w:r>
      <w:r>
        <w:t>exists</w:t>
      </w:r>
      <w:r w:rsidR="00A03629">
        <w:t xml:space="preserve"> </w:t>
      </w:r>
      <w:r>
        <w:t>to</w:t>
      </w:r>
      <w:r w:rsidR="00A03629">
        <w:t xml:space="preserve"> </w:t>
      </w:r>
      <w:r>
        <w:t>different</w:t>
      </w:r>
      <w:r w:rsidR="00A03629">
        <w:t xml:space="preserve"> </w:t>
      </w:r>
      <w:r>
        <w:t>markets</w:t>
      </w:r>
      <w:r w:rsidR="00A03629">
        <w:t xml:space="preserve"> </w:t>
      </w:r>
      <w:r>
        <w:t>then</w:t>
      </w:r>
      <w:r w:rsidR="00A03629">
        <w:t xml:space="preserve"> </w:t>
      </w:r>
      <w:r>
        <w:t>the</w:t>
      </w:r>
      <w:r w:rsidR="00A03629">
        <w:t xml:space="preserve"> </w:t>
      </w:r>
      <w:r>
        <w:t>most</w:t>
      </w:r>
      <w:r w:rsidR="00A03629">
        <w:t xml:space="preserve"> </w:t>
      </w:r>
      <w:r>
        <w:t>relevant</w:t>
      </w:r>
      <w:r w:rsidR="00A03629">
        <w:t xml:space="preserve"> </w:t>
      </w:r>
      <w:r>
        <w:t>market</w:t>
      </w:r>
      <w:r w:rsidR="00A03629">
        <w:t xml:space="preserve"> </w:t>
      </w:r>
      <w:r>
        <w:t>is</w:t>
      </w:r>
      <w:r w:rsidR="00A03629">
        <w:t xml:space="preserve"> </w:t>
      </w:r>
      <w:r>
        <w:t>referenced.</w:t>
      </w:r>
      <w:r w:rsidR="00A03629">
        <w:t xml:space="preserve"> </w:t>
      </w:r>
    </w:p>
    <w:p w14:paraId="519B538F" w14:textId="44E14648" w:rsidR="000756EB" w:rsidRDefault="004A4D88" w:rsidP="00965778">
      <w:proofErr w:type="gramStart"/>
      <w:r>
        <w:t>In</w:t>
      </w:r>
      <w:r w:rsidR="00A03629">
        <w:t xml:space="preserve"> </w:t>
      </w:r>
      <w:r>
        <w:t>the</w:t>
      </w:r>
      <w:r w:rsidR="00A03629">
        <w:t xml:space="preserve"> </w:t>
      </w:r>
      <w:r>
        <w:t>event</w:t>
      </w:r>
      <w:r w:rsidR="00A03629">
        <w:t xml:space="preserve"> </w:t>
      </w:r>
      <w:r>
        <w:t>that</w:t>
      </w:r>
      <w:proofErr w:type="gramEnd"/>
      <w:r w:rsidR="00A03629">
        <w:t xml:space="preserve"> </w:t>
      </w:r>
      <w:r>
        <w:t>market</w:t>
      </w:r>
      <w:r w:rsidR="00A03629">
        <w:t xml:space="preserve"> </w:t>
      </w:r>
      <w:r>
        <w:t>determined</w:t>
      </w:r>
      <w:r w:rsidR="00A03629">
        <w:t xml:space="preserve"> </w:t>
      </w:r>
      <w:r>
        <w:t>prices</w:t>
      </w:r>
      <w:r w:rsidR="00A03629">
        <w:t xml:space="preserve"> </w:t>
      </w:r>
      <w:r>
        <w:t>or</w:t>
      </w:r>
      <w:r w:rsidR="00A03629">
        <w:t xml:space="preserve"> </w:t>
      </w:r>
      <w:r>
        <w:t>values</w:t>
      </w:r>
      <w:r w:rsidR="00A03629">
        <w:t xml:space="preserve"> </w:t>
      </w:r>
      <w:r>
        <w:t>are</w:t>
      </w:r>
      <w:r w:rsidR="00A03629">
        <w:t xml:space="preserve"> </w:t>
      </w:r>
      <w:r>
        <w:t>not</w:t>
      </w:r>
      <w:r w:rsidR="00A03629">
        <w:t xml:space="preserve"> </w:t>
      </w:r>
      <w:r>
        <w:t>available</w:t>
      </w:r>
      <w:r w:rsidR="00A03629">
        <w:t xml:space="preserve"> </w:t>
      </w:r>
      <w:r>
        <w:t>for</w:t>
      </w:r>
      <w:r w:rsidR="00A03629">
        <w:t xml:space="preserve"> </w:t>
      </w:r>
      <w:r>
        <w:t>a</w:t>
      </w:r>
      <w:r w:rsidR="00A03629">
        <w:t xml:space="preserve"> </w:t>
      </w:r>
      <w:r>
        <w:t>biological</w:t>
      </w:r>
      <w:r w:rsidR="00A03629">
        <w:t xml:space="preserve"> </w:t>
      </w:r>
      <w:r>
        <w:t>asset</w:t>
      </w:r>
      <w:r w:rsidR="00A03629">
        <w:t xml:space="preserve"> </w:t>
      </w:r>
      <w:r>
        <w:t>in</w:t>
      </w:r>
      <w:r w:rsidR="00A03629">
        <w:t xml:space="preserve"> </w:t>
      </w:r>
      <w:r>
        <w:t>its</w:t>
      </w:r>
      <w:r w:rsidR="00A03629">
        <w:t xml:space="preserve"> </w:t>
      </w:r>
      <w:r>
        <w:t>present</w:t>
      </w:r>
      <w:r w:rsidR="00A03629">
        <w:t xml:space="preserve"> </w:t>
      </w:r>
      <w:r>
        <w:t>condition,</w:t>
      </w:r>
      <w:r w:rsidR="00A03629">
        <w:t xml:space="preserve"> </w:t>
      </w:r>
      <w:r>
        <w:t>the</w:t>
      </w:r>
      <w:r w:rsidR="00A03629">
        <w:t xml:space="preserve"> </w:t>
      </w:r>
      <w:r>
        <w:t>present</w:t>
      </w:r>
      <w:r w:rsidR="00A03629">
        <w:t xml:space="preserve"> </w:t>
      </w:r>
      <w:r>
        <w:t>value</w:t>
      </w:r>
      <w:r w:rsidR="00A03629">
        <w:t xml:space="preserve"> </w:t>
      </w:r>
      <w:r>
        <w:t>of</w:t>
      </w:r>
      <w:r w:rsidR="00A03629">
        <w:t xml:space="preserve"> </w:t>
      </w:r>
      <w:r>
        <w:t>the</w:t>
      </w:r>
      <w:r w:rsidR="00A03629">
        <w:t xml:space="preserve"> </w:t>
      </w:r>
      <w:r>
        <w:t>expected</w:t>
      </w:r>
      <w:r w:rsidR="00A03629">
        <w:t xml:space="preserve"> </w:t>
      </w:r>
      <w:r>
        <w:t>net</w:t>
      </w:r>
      <w:r w:rsidR="00A03629">
        <w:t xml:space="preserve"> </w:t>
      </w:r>
      <w:r>
        <w:t>cash</w:t>
      </w:r>
      <w:r w:rsidR="00A03629">
        <w:t xml:space="preserve"> </w:t>
      </w:r>
      <w:r>
        <w:t>flows</w:t>
      </w:r>
      <w:r w:rsidR="00A03629">
        <w:t xml:space="preserve"> </w:t>
      </w:r>
      <w:r>
        <w:t>from</w:t>
      </w:r>
      <w:r w:rsidR="00A03629">
        <w:t xml:space="preserve"> </w:t>
      </w:r>
      <w:r>
        <w:t>the</w:t>
      </w:r>
      <w:r w:rsidR="00A03629">
        <w:t xml:space="preserve"> </w:t>
      </w:r>
      <w:r>
        <w:t>asset,</w:t>
      </w:r>
      <w:r w:rsidR="00A03629">
        <w:t xml:space="preserve"> </w:t>
      </w:r>
      <w:r>
        <w:t>discounted</w:t>
      </w:r>
      <w:r w:rsidR="00A03629">
        <w:t xml:space="preserve"> </w:t>
      </w:r>
      <w:r>
        <w:t>at</w:t>
      </w:r>
      <w:r w:rsidR="00A03629">
        <w:t xml:space="preserve"> </w:t>
      </w:r>
      <w:r>
        <w:t>a</w:t>
      </w:r>
      <w:r w:rsidR="00A03629">
        <w:t xml:space="preserve"> </w:t>
      </w:r>
      <w:r>
        <w:t>current</w:t>
      </w:r>
      <w:r w:rsidR="00A03629">
        <w:t xml:space="preserve"> </w:t>
      </w:r>
      <w:r>
        <w:t>market</w:t>
      </w:r>
      <w:r w:rsidR="00A03629">
        <w:t xml:space="preserve"> </w:t>
      </w:r>
      <w:r>
        <w:t>determined</w:t>
      </w:r>
      <w:r w:rsidR="00A03629">
        <w:t xml:space="preserve"> </w:t>
      </w:r>
      <w:r>
        <w:t>rate</w:t>
      </w:r>
      <w:r w:rsidR="00A03629">
        <w:t xml:space="preserve"> </w:t>
      </w:r>
      <w:r>
        <w:t>is</w:t>
      </w:r>
      <w:r w:rsidR="00A03629">
        <w:t xml:space="preserve"> </w:t>
      </w:r>
      <w:r>
        <w:t>utilised</w:t>
      </w:r>
      <w:r w:rsidR="00A03629">
        <w:t xml:space="preserve"> </w:t>
      </w:r>
      <w:r>
        <w:t>to</w:t>
      </w:r>
      <w:r w:rsidR="00A03629">
        <w:t xml:space="preserve"> </w:t>
      </w:r>
      <w:r>
        <w:t>determine</w:t>
      </w:r>
      <w:r w:rsidR="00A03629">
        <w:t xml:space="preserve"> </w:t>
      </w:r>
      <w:r>
        <w:t>fair</w:t>
      </w:r>
      <w:r w:rsidR="00A03629">
        <w:t xml:space="preserve"> </w:t>
      </w:r>
      <w:r>
        <w:t>value.</w:t>
      </w:r>
    </w:p>
    <w:p w14:paraId="4EE188B6" w14:textId="0EFE0763" w:rsidR="000756EB" w:rsidRDefault="004A4D88" w:rsidP="00965778">
      <w:r>
        <w:t>For</w:t>
      </w:r>
      <w:r w:rsidR="00A03629">
        <w:t xml:space="preserve"> </w:t>
      </w:r>
      <w:r>
        <w:t>livestock,</w:t>
      </w:r>
      <w:r w:rsidR="00A03629">
        <w:t xml:space="preserve"> </w:t>
      </w:r>
      <w:r>
        <w:t>fair</w:t>
      </w:r>
      <w:r w:rsidR="00A03629">
        <w:t xml:space="preserve"> </w:t>
      </w:r>
      <w:r>
        <w:t>value</w:t>
      </w:r>
      <w:r w:rsidR="00A03629">
        <w:t xml:space="preserve"> </w:t>
      </w:r>
      <w:r>
        <w:t>is</w:t>
      </w:r>
      <w:r w:rsidR="00A03629">
        <w:t xml:space="preserve"> </w:t>
      </w:r>
      <w:r>
        <w:t>based</w:t>
      </w:r>
      <w:r w:rsidR="00A03629">
        <w:t xml:space="preserve"> </w:t>
      </w:r>
      <w:r>
        <w:t>on</w:t>
      </w:r>
      <w:r w:rsidR="00A03629">
        <w:t xml:space="preserve"> </w:t>
      </w:r>
      <w:r>
        <w:t>relevant</w:t>
      </w:r>
      <w:r w:rsidR="00A03629">
        <w:t xml:space="preserve"> </w:t>
      </w:r>
      <w:r>
        <w:t>market</w:t>
      </w:r>
      <w:r w:rsidR="00A03629">
        <w:t xml:space="preserve"> </w:t>
      </w:r>
      <w:r>
        <w:t>indicators</w:t>
      </w:r>
      <w:r w:rsidR="00A03629">
        <w:t xml:space="preserve"> </w:t>
      </w:r>
      <w:r>
        <w:t>which</w:t>
      </w:r>
      <w:r w:rsidR="00A03629">
        <w:t xml:space="preserve"> </w:t>
      </w:r>
      <w:r>
        <w:t>include</w:t>
      </w:r>
      <w:r w:rsidR="00A03629">
        <w:t xml:space="preserve"> </w:t>
      </w:r>
      <w:r>
        <w:t>store</w:t>
      </w:r>
      <w:r w:rsidR="00A03629">
        <w:t xml:space="preserve"> </w:t>
      </w:r>
      <w:r>
        <w:t>cattle</w:t>
      </w:r>
      <w:r w:rsidR="00A03629">
        <w:t xml:space="preserve"> </w:t>
      </w:r>
      <w:r>
        <w:t>prices,</w:t>
      </w:r>
      <w:r w:rsidR="00A03629">
        <w:t xml:space="preserve"> </w:t>
      </w:r>
      <w:r>
        <w:t>abattoir</w:t>
      </w:r>
      <w:r w:rsidR="00A03629">
        <w:t xml:space="preserve"> </w:t>
      </w:r>
      <w:r>
        <w:t>market</w:t>
      </w:r>
      <w:r w:rsidR="00A03629">
        <w:t xml:space="preserve"> </w:t>
      </w:r>
      <w:r>
        <w:t>prices,</w:t>
      </w:r>
      <w:r w:rsidR="00A03629">
        <w:t xml:space="preserve"> </w:t>
      </w:r>
      <w:r>
        <w:t>and</w:t>
      </w:r>
      <w:r w:rsidR="00A03629">
        <w:t xml:space="preserve"> </w:t>
      </w:r>
      <w:r>
        <w:t>cattle</w:t>
      </w:r>
      <w:r w:rsidR="00A03629">
        <w:t xml:space="preserve"> </w:t>
      </w:r>
      <w:r>
        <w:t>prices</w:t>
      </w:r>
      <w:r w:rsidR="00A03629">
        <w:t xml:space="preserve"> </w:t>
      </w:r>
      <w:r>
        <w:t>received/quoted</w:t>
      </w:r>
      <w:r w:rsidR="00A03629">
        <w:t xml:space="preserve"> </w:t>
      </w:r>
      <w:r>
        <w:t>for</w:t>
      </w:r>
      <w:r w:rsidR="00A03629">
        <w:t xml:space="preserve"> </w:t>
      </w:r>
      <w:r>
        <w:t>DJSIR’s</w:t>
      </w:r>
      <w:r w:rsidR="00A03629">
        <w:t xml:space="preserve"> </w:t>
      </w:r>
      <w:r>
        <w:t>cattle</w:t>
      </w:r>
      <w:r w:rsidR="00A03629">
        <w:t xml:space="preserve"> </w:t>
      </w:r>
      <w:r>
        <w:t>at</w:t>
      </w:r>
      <w:r w:rsidR="00A03629">
        <w:t xml:space="preserve"> </w:t>
      </w:r>
      <w:r>
        <w:t>the</w:t>
      </w:r>
      <w:r w:rsidR="00A03629">
        <w:t xml:space="preserve"> </w:t>
      </w:r>
      <w:r>
        <w:t>reporting</w:t>
      </w:r>
      <w:r w:rsidR="00A03629">
        <w:t xml:space="preserve"> </w:t>
      </w:r>
      <w:r>
        <w:t>date.</w:t>
      </w:r>
      <w:r w:rsidR="00A03629">
        <w:t xml:space="preserve"> </w:t>
      </w:r>
      <w:r>
        <w:t>Prices</w:t>
      </w:r>
      <w:r w:rsidR="00A03629">
        <w:t xml:space="preserve"> </w:t>
      </w:r>
      <w:r>
        <w:t>for</w:t>
      </w:r>
      <w:r w:rsidR="00A03629">
        <w:t xml:space="preserve"> </w:t>
      </w:r>
      <w:r>
        <w:t>cattle</w:t>
      </w:r>
      <w:r w:rsidR="00A03629">
        <w:t xml:space="preserve"> </w:t>
      </w:r>
      <w:r>
        <w:t>generally</w:t>
      </w:r>
      <w:r w:rsidR="00A03629">
        <w:t xml:space="preserve"> </w:t>
      </w:r>
      <w:r>
        <w:t>reflect</w:t>
      </w:r>
      <w:r w:rsidR="00A03629">
        <w:t xml:space="preserve"> </w:t>
      </w:r>
      <w:r>
        <w:t>the</w:t>
      </w:r>
      <w:r w:rsidR="00A03629">
        <w:t xml:space="preserve"> </w:t>
      </w:r>
      <w:proofErr w:type="gramStart"/>
      <w:r>
        <w:t>shorter</w:t>
      </w:r>
      <w:r w:rsidR="00A03629">
        <w:t xml:space="preserve"> </w:t>
      </w:r>
      <w:r>
        <w:t>term</w:t>
      </w:r>
      <w:proofErr w:type="gramEnd"/>
      <w:r w:rsidR="00A03629">
        <w:t xml:space="preserve"> </w:t>
      </w:r>
      <w:r>
        <w:t>spot</w:t>
      </w:r>
      <w:r w:rsidR="00A03629">
        <w:t xml:space="preserve"> </w:t>
      </w:r>
      <w:r>
        <w:t>prices</w:t>
      </w:r>
      <w:r w:rsidR="00A03629">
        <w:t xml:space="preserve"> </w:t>
      </w:r>
      <w:r>
        <w:t>available</w:t>
      </w:r>
      <w:r w:rsidR="00A03629">
        <w:t xml:space="preserve"> </w:t>
      </w:r>
      <w:r>
        <w:t>in</w:t>
      </w:r>
      <w:r w:rsidR="00A03629">
        <w:t xml:space="preserve"> </w:t>
      </w:r>
      <w:r>
        <w:t>the</w:t>
      </w:r>
      <w:r w:rsidR="00A03629">
        <w:t xml:space="preserve"> </w:t>
      </w:r>
      <w:r>
        <w:t>market</w:t>
      </w:r>
      <w:r w:rsidR="00A03629">
        <w:t xml:space="preserve"> </w:t>
      </w:r>
      <w:r>
        <w:t>place</w:t>
      </w:r>
      <w:r w:rsidR="00A03629">
        <w:t xml:space="preserve"> </w:t>
      </w:r>
      <w:r>
        <w:t>and</w:t>
      </w:r>
      <w:r w:rsidR="00A03629">
        <w:t xml:space="preserve"> </w:t>
      </w:r>
      <w:r>
        <w:t>vary</w:t>
      </w:r>
      <w:r w:rsidR="00A03629">
        <w:t xml:space="preserve"> </w:t>
      </w:r>
      <w:r>
        <w:t>depending</w:t>
      </w:r>
      <w:r w:rsidR="00A03629">
        <w:t xml:space="preserve"> </w:t>
      </w:r>
      <w:r>
        <w:t>on</w:t>
      </w:r>
      <w:r w:rsidR="00A03629">
        <w:t xml:space="preserve"> </w:t>
      </w:r>
      <w:r>
        <w:t>the</w:t>
      </w:r>
      <w:r w:rsidR="00A03629">
        <w:t xml:space="preserve"> </w:t>
      </w:r>
      <w:r>
        <w:t>weight</w:t>
      </w:r>
      <w:r w:rsidR="00A03629">
        <w:t xml:space="preserve"> </w:t>
      </w:r>
      <w:r>
        <w:t>and</w:t>
      </w:r>
      <w:r w:rsidR="00A03629">
        <w:t xml:space="preserve"> </w:t>
      </w:r>
      <w:r>
        <w:t>condition</w:t>
      </w:r>
      <w:r w:rsidR="00A03629">
        <w:t xml:space="preserve"> </w:t>
      </w:r>
      <w:r>
        <w:t>of</w:t>
      </w:r>
      <w:r w:rsidR="00A03629">
        <w:t xml:space="preserve"> </w:t>
      </w:r>
      <w:r>
        <w:t>the</w:t>
      </w:r>
      <w:r w:rsidR="00A03629">
        <w:t xml:space="preserve"> </w:t>
      </w:r>
      <w:r>
        <w:t>animal.</w:t>
      </w:r>
    </w:p>
    <w:p w14:paraId="5980C9A5" w14:textId="425D1295" w:rsidR="000756EB" w:rsidRDefault="004A4D88" w:rsidP="00965778">
      <w:pPr>
        <w:pStyle w:val="Heading1"/>
      </w:pPr>
      <w:bookmarkStart w:id="136" w:name="_Toc149911836"/>
      <w:r>
        <w:lastRenderedPageBreak/>
        <w:t>9.</w:t>
      </w:r>
      <w:r w:rsidR="00A03629">
        <w:t xml:space="preserve"> </w:t>
      </w:r>
      <w:r w:rsidR="00965778">
        <w:t>Other</w:t>
      </w:r>
      <w:r w:rsidR="00A03629">
        <w:t xml:space="preserve"> </w:t>
      </w:r>
      <w:r w:rsidR="00965778">
        <w:t>disclosures</w:t>
      </w:r>
      <w:bookmarkEnd w:id="136"/>
    </w:p>
    <w:p w14:paraId="3CC49BB4" w14:textId="77777777" w:rsidR="000756EB" w:rsidRDefault="004A4D88" w:rsidP="00965778">
      <w:pPr>
        <w:pStyle w:val="Heading2"/>
      </w:pPr>
      <w:bookmarkStart w:id="137" w:name="_Toc149911837"/>
      <w:r>
        <w:t>Introduction</w:t>
      </w:r>
      <w:bookmarkEnd w:id="137"/>
    </w:p>
    <w:p w14:paraId="5D961D48" w14:textId="60140EC0" w:rsidR="000756EB" w:rsidRDefault="004A4D88" w:rsidP="00965778">
      <w:r>
        <w:t>This</w:t>
      </w:r>
      <w:r w:rsidR="00A03629">
        <w:t xml:space="preserve"> </w:t>
      </w:r>
      <w:r>
        <w:t>section</w:t>
      </w:r>
      <w:r w:rsidR="00A03629">
        <w:t xml:space="preserve"> </w:t>
      </w:r>
      <w:r>
        <w:t>includes</w:t>
      </w:r>
      <w:r w:rsidR="00A03629">
        <w:t xml:space="preserve"> </w:t>
      </w:r>
      <w:r>
        <w:t>additional</w:t>
      </w:r>
      <w:r w:rsidR="00A03629">
        <w:t xml:space="preserve"> </w:t>
      </w:r>
      <w:r>
        <w:t>material</w:t>
      </w:r>
      <w:r w:rsidR="00A03629">
        <w:t xml:space="preserve"> </w:t>
      </w:r>
      <w:r>
        <w:t>disclosures</w:t>
      </w:r>
      <w:r w:rsidR="00A03629">
        <w:t xml:space="preserve"> </w:t>
      </w:r>
      <w:r>
        <w:t>required</w:t>
      </w:r>
      <w:r w:rsidR="00A03629">
        <w:t xml:space="preserve"> </w:t>
      </w:r>
      <w:r>
        <w:t>by</w:t>
      </w:r>
      <w:r w:rsidR="00A03629">
        <w:t xml:space="preserve"> </w:t>
      </w:r>
      <w:r>
        <w:t>accounting</w:t>
      </w:r>
      <w:r w:rsidR="00A03629">
        <w:t xml:space="preserve"> </w:t>
      </w:r>
      <w:r>
        <w:t>standards</w:t>
      </w:r>
      <w:r w:rsidR="00A03629">
        <w:t xml:space="preserve"> </w:t>
      </w:r>
      <w:r>
        <w:t>or</w:t>
      </w:r>
      <w:r w:rsidR="00A03629">
        <w:t xml:space="preserve"> </w:t>
      </w:r>
      <w:r>
        <w:t>otherwise,</w:t>
      </w:r>
      <w:r w:rsidR="00A03629">
        <w:t xml:space="preserve"> </w:t>
      </w:r>
      <w:r>
        <w:t>for</w:t>
      </w:r>
      <w:r w:rsidR="00A03629">
        <w:rPr>
          <w:rFonts w:ascii="Cambria" w:hAnsi="Cambria" w:cs="Cambria"/>
        </w:rPr>
        <w:t xml:space="preserve"> </w:t>
      </w:r>
      <w:r>
        <w:t>the</w:t>
      </w:r>
      <w:r w:rsidR="00A03629">
        <w:t xml:space="preserve"> </w:t>
      </w:r>
      <w:r>
        <w:t>understanding</w:t>
      </w:r>
      <w:r w:rsidR="00A03629">
        <w:t xml:space="preserve"> </w:t>
      </w:r>
      <w:r>
        <w:t>of</w:t>
      </w:r>
      <w:r w:rsidR="00A03629">
        <w:t xml:space="preserve"> </w:t>
      </w:r>
      <w:r>
        <w:t>this</w:t>
      </w:r>
      <w:r w:rsidR="00A03629">
        <w:t xml:space="preserve"> </w:t>
      </w:r>
      <w:r>
        <w:t>financial</w:t>
      </w:r>
      <w:r w:rsidR="00A03629">
        <w:t xml:space="preserve"> </w:t>
      </w:r>
      <w:r>
        <w:t>report.</w:t>
      </w:r>
    </w:p>
    <w:p w14:paraId="6AD8AF69" w14:textId="77777777" w:rsidR="000756EB" w:rsidRDefault="004A4D88" w:rsidP="00965778">
      <w:pPr>
        <w:pStyle w:val="Heading3"/>
      </w:pPr>
      <w:r>
        <w:t>Structure</w:t>
      </w:r>
    </w:p>
    <w:p w14:paraId="15CE515F" w14:textId="5B803F05" w:rsidR="000756EB" w:rsidRDefault="004A4D88" w:rsidP="00965778">
      <w:r>
        <w:t>9.1</w:t>
      </w:r>
      <w:r>
        <w:tab/>
        <w:t>Ex-gratia</w:t>
      </w:r>
      <w:r w:rsidR="00A03629">
        <w:t xml:space="preserve"> </w:t>
      </w:r>
      <w:r>
        <w:t>expenses</w:t>
      </w:r>
    </w:p>
    <w:p w14:paraId="271477AA" w14:textId="4C57BE4D" w:rsidR="000756EB" w:rsidRDefault="004A4D88" w:rsidP="00965778">
      <w:r>
        <w:t>9.2</w:t>
      </w:r>
      <w:r>
        <w:tab/>
        <w:t>Other</w:t>
      </w:r>
      <w:r w:rsidR="00A03629">
        <w:t xml:space="preserve"> </w:t>
      </w:r>
      <w:r>
        <w:t>economic</w:t>
      </w:r>
      <w:r w:rsidR="00A03629">
        <w:t xml:space="preserve"> </w:t>
      </w:r>
      <w:r>
        <w:t>flows</w:t>
      </w:r>
      <w:r w:rsidR="00A03629">
        <w:t xml:space="preserve"> </w:t>
      </w:r>
      <w:r>
        <w:t>included</w:t>
      </w:r>
      <w:r w:rsidR="00A03629">
        <w:t xml:space="preserve"> </w:t>
      </w:r>
      <w:r>
        <w:t>in</w:t>
      </w:r>
      <w:r w:rsidR="00A03629">
        <w:t xml:space="preserve"> </w:t>
      </w:r>
      <w:r>
        <w:t>net</w:t>
      </w:r>
      <w:r w:rsidR="00A03629">
        <w:t xml:space="preserve"> </w:t>
      </w:r>
      <w:r>
        <w:t>result</w:t>
      </w:r>
      <w:r w:rsidR="00A03629">
        <w:t xml:space="preserve"> </w:t>
      </w:r>
    </w:p>
    <w:p w14:paraId="573F798A" w14:textId="77CE9CB3" w:rsidR="000756EB" w:rsidRDefault="004A4D88" w:rsidP="00965778">
      <w:r>
        <w:t>9.3</w:t>
      </w:r>
      <w:r>
        <w:tab/>
      </w:r>
      <w:proofErr w:type="gramStart"/>
      <w:r>
        <w:t>Non-financial</w:t>
      </w:r>
      <w:proofErr w:type="gramEnd"/>
      <w:r w:rsidR="00A03629">
        <w:t xml:space="preserve"> </w:t>
      </w:r>
      <w:r>
        <w:t>assets</w:t>
      </w:r>
      <w:r w:rsidR="00A03629">
        <w:t xml:space="preserve"> </w:t>
      </w:r>
      <w:r>
        <w:t>held</w:t>
      </w:r>
      <w:r w:rsidR="00A03629">
        <w:t xml:space="preserve"> </w:t>
      </w:r>
      <w:r>
        <w:t>for</w:t>
      </w:r>
      <w:r w:rsidR="00A03629">
        <w:t xml:space="preserve"> </w:t>
      </w:r>
      <w:r>
        <w:t>sale</w:t>
      </w:r>
    </w:p>
    <w:p w14:paraId="39269998" w14:textId="5FC551DE" w:rsidR="000756EB" w:rsidRDefault="004A4D88" w:rsidP="00965778">
      <w:r>
        <w:t>9.4</w:t>
      </w:r>
      <w:r>
        <w:tab/>
        <w:t>Equity</w:t>
      </w:r>
      <w:r w:rsidR="00A03629">
        <w:t xml:space="preserve"> </w:t>
      </w:r>
      <w:r>
        <w:t>disclosure</w:t>
      </w:r>
    </w:p>
    <w:p w14:paraId="18DF3CBB" w14:textId="0B230E67" w:rsidR="000756EB" w:rsidRDefault="004A4D88" w:rsidP="00965778">
      <w:r>
        <w:t>9.5</w:t>
      </w:r>
      <w:r>
        <w:tab/>
        <w:t>Entities</w:t>
      </w:r>
      <w:r w:rsidR="00A03629">
        <w:t xml:space="preserve"> </w:t>
      </w:r>
      <w:r>
        <w:t>consolidated</w:t>
      </w:r>
      <w:r w:rsidR="00A03629">
        <w:t xml:space="preserve"> </w:t>
      </w:r>
      <w:r>
        <w:t>pursuant</w:t>
      </w:r>
      <w:r w:rsidR="00A03629">
        <w:t xml:space="preserve"> </w:t>
      </w:r>
      <w:r>
        <w:t>to</w:t>
      </w:r>
      <w:r w:rsidR="00A03629">
        <w:t xml:space="preserve"> </w:t>
      </w:r>
      <w:r>
        <w:t>section</w:t>
      </w:r>
      <w:r w:rsidR="00A03629">
        <w:t xml:space="preserve"> </w:t>
      </w:r>
      <w:r>
        <w:t>53(1)(b)</w:t>
      </w:r>
      <w:r w:rsidR="00A03629">
        <w:t xml:space="preserve"> </w:t>
      </w:r>
      <w:r>
        <w:t>of</w:t>
      </w:r>
      <w:r w:rsidR="00A03629">
        <w:t xml:space="preserve"> </w:t>
      </w:r>
      <w:r>
        <w:t>the</w:t>
      </w:r>
      <w:r w:rsidR="00A03629">
        <w:t xml:space="preserve"> </w:t>
      </w:r>
      <w:r>
        <w:t>FMA</w:t>
      </w:r>
    </w:p>
    <w:p w14:paraId="4729839C" w14:textId="085791FB" w:rsidR="000756EB" w:rsidRDefault="004A4D88" w:rsidP="00965778">
      <w:r>
        <w:t>9.6</w:t>
      </w:r>
      <w:r>
        <w:tab/>
        <w:t>Responsible</w:t>
      </w:r>
      <w:r w:rsidR="00A03629">
        <w:t xml:space="preserve"> </w:t>
      </w:r>
      <w:r>
        <w:t>persons</w:t>
      </w:r>
    </w:p>
    <w:p w14:paraId="1EAAE1EC" w14:textId="3D405784" w:rsidR="000756EB" w:rsidRDefault="004A4D88" w:rsidP="00965778">
      <w:r>
        <w:t>9.7</w:t>
      </w:r>
      <w:r>
        <w:tab/>
        <w:t>Remuneration</w:t>
      </w:r>
      <w:r w:rsidR="00A03629">
        <w:t xml:space="preserve"> </w:t>
      </w:r>
      <w:r>
        <w:t>of</w:t>
      </w:r>
      <w:r w:rsidR="00A03629">
        <w:t xml:space="preserve"> </w:t>
      </w:r>
      <w:r>
        <w:t>executives</w:t>
      </w:r>
    </w:p>
    <w:p w14:paraId="1CA9E3F1" w14:textId="4C2A0642" w:rsidR="000756EB" w:rsidRDefault="004A4D88" w:rsidP="00965778">
      <w:r>
        <w:t>9.8</w:t>
      </w:r>
      <w:r>
        <w:tab/>
        <w:t>Related</w:t>
      </w:r>
      <w:r w:rsidR="00A03629">
        <w:t xml:space="preserve"> </w:t>
      </w:r>
      <w:r>
        <w:t>parties</w:t>
      </w:r>
    </w:p>
    <w:p w14:paraId="3C9A59C9" w14:textId="58411FCE" w:rsidR="000756EB" w:rsidRDefault="004A4D88" w:rsidP="00965778">
      <w:r>
        <w:t>9.9</w:t>
      </w:r>
      <w:r>
        <w:tab/>
        <w:t>Remuneration</w:t>
      </w:r>
      <w:r w:rsidR="00A03629">
        <w:t xml:space="preserve"> </w:t>
      </w:r>
      <w:r>
        <w:t>of</w:t>
      </w:r>
      <w:r w:rsidR="00A03629">
        <w:t xml:space="preserve"> </w:t>
      </w:r>
      <w:r>
        <w:t>auditors</w:t>
      </w:r>
    </w:p>
    <w:p w14:paraId="08734791" w14:textId="77B329A3" w:rsidR="000756EB" w:rsidRDefault="004A4D88" w:rsidP="00965778">
      <w:r>
        <w:t>9.10</w:t>
      </w:r>
      <w:r>
        <w:tab/>
        <w:t>Subsequent</w:t>
      </w:r>
      <w:r w:rsidR="00A03629">
        <w:t xml:space="preserve"> </w:t>
      </w:r>
      <w:r>
        <w:t>events</w:t>
      </w:r>
    </w:p>
    <w:p w14:paraId="498D4D75" w14:textId="1FD94140" w:rsidR="000756EB" w:rsidRDefault="004A4D88" w:rsidP="00965778">
      <w:r>
        <w:t>9.11</w:t>
      </w:r>
      <w:r>
        <w:tab/>
        <w:t>Other</w:t>
      </w:r>
      <w:r w:rsidR="00A03629">
        <w:t xml:space="preserve"> </w:t>
      </w:r>
      <w:r>
        <w:t>accounting</w:t>
      </w:r>
      <w:r w:rsidR="00A03629">
        <w:t xml:space="preserve"> </w:t>
      </w:r>
      <w:r>
        <w:t>policies</w:t>
      </w:r>
    </w:p>
    <w:p w14:paraId="4CE15BCB" w14:textId="3CA17326" w:rsidR="000756EB" w:rsidRDefault="004A4D88" w:rsidP="00965778">
      <w:r>
        <w:t>9.12</w:t>
      </w:r>
      <w:r>
        <w:tab/>
        <w:t>Australian</w:t>
      </w:r>
      <w:r w:rsidR="00A03629">
        <w:t xml:space="preserve"> </w:t>
      </w:r>
      <w:r>
        <w:t>Accounting</w:t>
      </w:r>
      <w:r w:rsidR="00A03629">
        <w:t xml:space="preserve"> </w:t>
      </w:r>
      <w:r>
        <w:t>Standards</w:t>
      </w:r>
      <w:r w:rsidR="00A03629">
        <w:t xml:space="preserve"> </w:t>
      </w:r>
      <w:r>
        <w:t>issued</w:t>
      </w:r>
      <w:r w:rsidR="00A03629">
        <w:t xml:space="preserve"> </w:t>
      </w:r>
      <w:r>
        <w:t>that</w:t>
      </w:r>
      <w:r w:rsidR="00A03629">
        <w:t xml:space="preserve"> </w:t>
      </w:r>
      <w:r>
        <w:t>are</w:t>
      </w:r>
      <w:r w:rsidR="00A03629">
        <w:t xml:space="preserve"> </w:t>
      </w:r>
      <w:r>
        <w:t>not</w:t>
      </w:r>
      <w:r w:rsidR="00A03629">
        <w:t xml:space="preserve"> </w:t>
      </w:r>
      <w:r>
        <w:t>yet</w:t>
      </w:r>
      <w:r w:rsidR="00A03629">
        <w:t xml:space="preserve"> </w:t>
      </w:r>
      <w:r>
        <w:t>effective</w:t>
      </w:r>
    </w:p>
    <w:p w14:paraId="7C8B4FDC" w14:textId="6A1CD5E9" w:rsidR="000756EB" w:rsidRDefault="004A4D88" w:rsidP="00965778">
      <w:r>
        <w:t>9.13</w:t>
      </w:r>
      <w:r>
        <w:tab/>
        <w:t>Departmental</w:t>
      </w:r>
      <w:r w:rsidR="00A03629">
        <w:t xml:space="preserve"> </w:t>
      </w:r>
      <w:r>
        <w:t>output</w:t>
      </w:r>
      <w:r w:rsidR="00A03629">
        <w:t xml:space="preserve"> </w:t>
      </w:r>
      <w:r>
        <w:t>objectives</w:t>
      </w:r>
      <w:r w:rsidR="00A03629">
        <w:t xml:space="preserve"> </w:t>
      </w:r>
      <w:r>
        <w:t>and</w:t>
      </w:r>
      <w:r w:rsidR="00A03629">
        <w:t xml:space="preserve"> </w:t>
      </w:r>
      <w:r>
        <w:t>descriptions</w:t>
      </w:r>
    </w:p>
    <w:p w14:paraId="0783B851" w14:textId="260522B7" w:rsidR="000756EB" w:rsidRDefault="004A4D88" w:rsidP="00965778">
      <w:r>
        <w:t>9.14</w:t>
      </w:r>
      <w:r>
        <w:tab/>
        <w:t>Glossary</w:t>
      </w:r>
      <w:r w:rsidR="00A03629">
        <w:t xml:space="preserve"> </w:t>
      </w:r>
      <w:r>
        <w:t>of</w:t>
      </w:r>
      <w:r w:rsidR="00A03629">
        <w:t xml:space="preserve"> </w:t>
      </w:r>
      <w:r>
        <w:t>technical</w:t>
      </w:r>
      <w:r w:rsidR="00A03629">
        <w:t xml:space="preserve"> </w:t>
      </w:r>
      <w:r>
        <w:t>terms</w:t>
      </w:r>
    </w:p>
    <w:p w14:paraId="6342A59C" w14:textId="71B3E453" w:rsidR="000756EB" w:rsidRDefault="004A4D88" w:rsidP="00965778">
      <w:pPr>
        <w:rPr>
          <w:rFonts w:ascii="VIC Medium" w:hAnsi="VIC Medium" w:cs="VIC Medium"/>
        </w:rPr>
      </w:pPr>
      <w:r>
        <w:t>9.15</w:t>
      </w:r>
      <w:r>
        <w:tab/>
        <w:t>Style</w:t>
      </w:r>
      <w:r w:rsidR="00A03629">
        <w:t xml:space="preserve"> </w:t>
      </w:r>
      <w:r>
        <w:t>conventions</w:t>
      </w:r>
    </w:p>
    <w:p w14:paraId="0ED835A1" w14:textId="612288C1" w:rsidR="000756EB" w:rsidRDefault="004A4D88" w:rsidP="00965778">
      <w:pPr>
        <w:pStyle w:val="Heading2"/>
      </w:pPr>
      <w:bookmarkStart w:id="138" w:name="_Toc149911838"/>
      <w:r>
        <w:lastRenderedPageBreak/>
        <w:t>9.1</w:t>
      </w:r>
      <w:r w:rsidR="00DE38B5">
        <w:t xml:space="preserve"> </w:t>
      </w:r>
      <w:r>
        <w:t>Ex-gratia</w:t>
      </w:r>
      <w:r w:rsidR="00A03629">
        <w:t xml:space="preserve"> </w:t>
      </w:r>
      <w:r>
        <w:t>expenses</w:t>
      </w:r>
      <w:bookmarkEnd w:id="138"/>
    </w:p>
    <w:p w14:paraId="178E20CE" w14:textId="03945E33" w:rsidR="000756EB" w:rsidRDefault="004A4D88" w:rsidP="00965778">
      <w:pPr>
        <w:keepLines/>
      </w:pPr>
      <w:r>
        <w:t>Ex-gratia</w:t>
      </w:r>
      <w:r w:rsidR="00A03629">
        <w:t xml:space="preserve"> </w:t>
      </w:r>
      <w:r>
        <w:t>expenses</w:t>
      </w:r>
      <w:r w:rsidR="00A03629">
        <w:t xml:space="preserve"> </w:t>
      </w:r>
      <w:r>
        <w:t>mean</w:t>
      </w:r>
      <w:r w:rsidR="00A03629">
        <w:t xml:space="preserve"> </w:t>
      </w:r>
      <w:r>
        <w:t>the</w:t>
      </w:r>
      <w:r w:rsidR="00A03629">
        <w:t xml:space="preserve"> </w:t>
      </w:r>
      <w:r>
        <w:t>voluntary</w:t>
      </w:r>
      <w:r w:rsidR="00A03629">
        <w:t xml:space="preserve"> </w:t>
      </w:r>
      <w:r>
        <w:t>payment</w:t>
      </w:r>
      <w:r w:rsidR="00A03629">
        <w:rPr>
          <w:rFonts w:ascii="Cambria" w:hAnsi="Cambria" w:cs="Cambria"/>
        </w:rPr>
        <w:t xml:space="preserve"> </w:t>
      </w:r>
      <w:r>
        <w:t>of</w:t>
      </w:r>
      <w:r w:rsidR="00A03629">
        <w:rPr>
          <w:rFonts w:ascii="Cambria" w:hAnsi="Cambria" w:cs="Cambria"/>
        </w:rPr>
        <w:t xml:space="preserve"> </w:t>
      </w:r>
      <w:r>
        <w:t>money</w:t>
      </w:r>
      <w:r w:rsidR="00A03629">
        <w:t xml:space="preserve"> </w:t>
      </w:r>
      <w:r>
        <w:t>or</w:t>
      </w:r>
      <w:r w:rsidR="00A03629">
        <w:t xml:space="preserve"> </w:t>
      </w:r>
      <w:r>
        <w:t>other</w:t>
      </w:r>
      <w:r w:rsidR="00A03629">
        <w:t xml:space="preserve"> </w:t>
      </w:r>
      <w:r>
        <w:t>non-monetary</w:t>
      </w:r>
      <w:r w:rsidR="00A03629">
        <w:t xml:space="preserve"> </w:t>
      </w:r>
      <w:r>
        <w:t>benefit</w:t>
      </w:r>
      <w:r w:rsidR="00A03629">
        <w:rPr>
          <w:rFonts w:ascii="Cambria" w:hAnsi="Cambria" w:cs="Cambria"/>
        </w:rPr>
        <w:t xml:space="preserve"> </w:t>
      </w:r>
      <w:r>
        <w:t>(</w:t>
      </w:r>
      <w:proofErr w:type="gramStart"/>
      <w:r>
        <w:t>e.g.</w:t>
      </w:r>
      <w:proofErr w:type="gramEnd"/>
      <w:r w:rsidR="00A03629">
        <w:t xml:space="preserve"> </w:t>
      </w:r>
      <w:r>
        <w:t>a</w:t>
      </w:r>
      <w:r w:rsidR="00A03629">
        <w:t xml:space="preserve"> </w:t>
      </w:r>
      <w:r>
        <w:t>write</w:t>
      </w:r>
      <w:r w:rsidR="00A03629">
        <w:t xml:space="preserve"> </w:t>
      </w:r>
      <w:r>
        <w:t>off)</w:t>
      </w:r>
      <w:r w:rsidR="00A03629">
        <w:t xml:space="preserve"> </w:t>
      </w:r>
      <w:r>
        <w:t>that</w:t>
      </w:r>
      <w:r w:rsidR="00A03629">
        <w:t xml:space="preserve"> </w:t>
      </w:r>
      <w:r>
        <w:t>is</w:t>
      </w:r>
      <w:r w:rsidR="00A03629">
        <w:t xml:space="preserve"> </w:t>
      </w:r>
      <w:r>
        <w:t>not</w:t>
      </w:r>
      <w:r w:rsidR="00A03629">
        <w:t xml:space="preserve"> </w:t>
      </w:r>
      <w:r>
        <w:t>made</w:t>
      </w:r>
      <w:r w:rsidR="00A03629">
        <w:t xml:space="preserve"> </w:t>
      </w:r>
      <w:r>
        <w:t>either</w:t>
      </w:r>
      <w:r w:rsidR="00A03629">
        <w:t xml:space="preserve"> </w:t>
      </w:r>
      <w:r>
        <w:t>to</w:t>
      </w:r>
      <w:r w:rsidR="00A03629">
        <w:rPr>
          <w:rFonts w:ascii="Cambria" w:hAnsi="Cambria" w:cs="Cambria"/>
        </w:rPr>
        <w:t xml:space="preserve"> </w:t>
      </w:r>
      <w:r>
        <w:t>acquire</w:t>
      </w:r>
      <w:r w:rsidR="00A03629">
        <w:t xml:space="preserve"> </w:t>
      </w:r>
      <w:r>
        <w:t>goods,</w:t>
      </w:r>
      <w:r w:rsidR="00A03629">
        <w:t xml:space="preserve"> </w:t>
      </w:r>
      <w:r>
        <w:t>services</w:t>
      </w:r>
      <w:r w:rsidR="00A03629">
        <w:t xml:space="preserve"> </w:t>
      </w:r>
      <w:r>
        <w:t>or</w:t>
      </w:r>
      <w:r w:rsidR="00A03629">
        <w:t xml:space="preserve"> </w:t>
      </w:r>
      <w:r>
        <w:t>other</w:t>
      </w:r>
      <w:r w:rsidR="00A03629">
        <w:t xml:space="preserve"> </w:t>
      </w:r>
      <w:r>
        <w:t>benefits</w:t>
      </w:r>
      <w:r w:rsidR="00A03629">
        <w:t xml:space="preserve"> </w:t>
      </w:r>
      <w:r>
        <w:t>for</w:t>
      </w:r>
      <w:r w:rsidR="00A03629">
        <w:t xml:space="preserve"> </w:t>
      </w:r>
      <w:r>
        <w:t>the</w:t>
      </w:r>
      <w:r w:rsidR="00A03629">
        <w:t xml:space="preserve"> </w:t>
      </w:r>
      <w:r>
        <w:t>entity</w:t>
      </w:r>
      <w:r w:rsidR="00A03629">
        <w:t xml:space="preserve"> </w:t>
      </w:r>
      <w:r>
        <w:t>or</w:t>
      </w:r>
      <w:r w:rsidR="00A03629">
        <w:t xml:space="preserve"> </w:t>
      </w:r>
      <w:r>
        <w:t>to</w:t>
      </w:r>
      <w:r w:rsidR="00A03629">
        <w:t xml:space="preserve"> </w:t>
      </w:r>
      <w:r>
        <w:t>meet</w:t>
      </w:r>
      <w:r w:rsidR="00A03629">
        <w:t xml:space="preserve"> </w:t>
      </w:r>
      <w:r>
        <w:t>a</w:t>
      </w:r>
      <w:r w:rsidR="00A03629">
        <w:t xml:space="preserve"> </w:t>
      </w:r>
      <w:r>
        <w:t>legal</w:t>
      </w:r>
      <w:r w:rsidR="00A03629">
        <w:t xml:space="preserve"> </w:t>
      </w:r>
      <w:r>
        <w:t>liability,</w:t>
      </w:r>
      <w:r w:rsidR="00A03629">
        <w:t xml:space="preserve"> </w:t>
      </w:r>
      <w:r>
        <w:t>or</w:t>
      </w:r>
      <w:r w:rsidR="00A03629">
        <w:t xml:space="preserve"> </w:t>
      </w:r>
      <w:r>
        <w:t>to</w:t>
      </w:r>
      <w:r w:rsidR="00A03629">
        <w:t xml:space="preserve"> </w:t>
      </w:r>
      <w:r>
        <w:t>settle</w:t>
      </w:r>
      <w:r w:rsidR="00A03629">
        <w:t xml:space="preserve"> </w:t>
      </w:r>
      <w:r>
        <w:t>or</w:t>
      </w:r>
      <w:r w:rsidR="00A03629">
        <w:rPr>
          <w:rFonts w:ascii="Cambria" w:hAnsi="Cambria" w:cs="Cambria"/>
        </w:rPr>
        <w:t xml:space="preserve"> </w:t>
      </w:r>
      <w:r>
        <w:t>resolve</w:t>
      </w:r>
      <w:r w:rsidR="00A03629">
        <w:t xml:space="preserve"> </w:t>
      </w:r>
      <w:r>
        <w:t>a</w:t>
      </w:r>
      <w:r w:rsidR="00A03629">
        <w:t xml:space="preserve"> </w:t>
      </w:r>
      <w:r>
        <w:t>possible</w:t>
      </w:r>
      <w:r w:rsidR="00A03629">
        <w:t xml:space="preserve"> </w:t>
      </w:r>
      <w:r>
        <w:t>legal</w:t>
      </w:r>
      <w:r w:rsidR="00A03629">
        <w:t xml:space="preserve"> </w:t>
      </w:r>
      <w:r>
        <w:t>liability</w:t>
      </w:r>
      <w:r w:rsidR="00A03629">
        <w:t xml:space="preserve"> </w:t>
      </w:r>
      <w:r>
        <w:t>or</w:t>
      </w:r>
      <w:r w:rsidR="00A03629">
        <w:t xml:space="preserve"> </w:t>
      </w:r>
      <w:r>
        <w:t>claim</w:t>
      </w:r>
      <w:r w:rsidR="00A03629">
        <w:t xml:space="preserve"> </w:t>
      </w:r>
      <w:r>
        <w:t>against</w:t>
      </w:r>
      <w:r w:rsidR="00A03629">
        <w:t xml:space="preserve"> </w:t>
      </w:r>
      <w:r>
        <w:t>the</w:t>
      </w:r>
      <w:r w:rsidR="00A03629">
        <w:t xml:space="preserve"> </w:t>
      </w:r>
      <w:r>
        <w:t>entity.</w:t>
      </w:r>
      <w:r w:rsidR="00A03629">
        <w:t xml:space="preserve"> </w:t>
      </w:r>
      <w:r>
        <w:t>Ex-gratia</w:t>
      </w:r>
      <w:r w:rsidR="00A03629">
        <w:t xml:space="preserve"> </w:t>
      </w:r>
      <w:r>
        <w:t>expenses</w:t>
      </w:r>
      <w:r w:rsidR="00A03629">
        <w:t xml:space="preserve"> </w:t>
      </w:r>
      <w:r>
        <w:t>are</w:t>
      </w:r>
      <w:r w:rsidR="00A03629">
        <w:t xml:space="preserve"> </w:t>
      </w:r>
      <w:r>
        <w:t>included</w:t>
      </w:r>
      <w:r w:rsidR="00A03629">
        <w:t xml:space="preserve"> </w:t>
      </w:r>
      <w:r>
        <w:t>in</w:t>
      </w:r>
      <w:r w:rsidR="00A03629">
        <w:t xml:space="preserve"> </w:t>
      </w:r>
      <w:r>
        <w:t>administrative</w:t>
      </w:r>
      <w:r w:rsidR="00A03629">
        <w:t xml:space="preserve"> </w:t>
      </w:r>
      <w:r>
        <w:t>expenses</w:t>
      </w:r>
      <w:r w:rsidR="00A03629">
        <w:t xml:space="preserve"> </w:t>
      </w:r>
      <w:r>
        <w:t>(Note</w:t>
      </w:r>
      <w:r w:rsidR="00A03629">
        <w:t xml:space="preserve"> </w:t>
      </w:r>
      <w:r>
        <w:t>3.4).</w:t>
      </w:r>
    </w:p>
    <w:tbl>
      <w:tblPr>
        <w:tblStyle w:val="TableGrid"/>
        <w:tblW w:w="0" w:type="auto"/>
        <w:tblLayout w:type="fixed"/>
        <w:tblLook w:val="0020" w:firstRow="1" w:lastRow="0" w:firstColumn="0" w:lastColumn="0" w:noHBand="0" w:noVBand="0"/>
      </w:tblPr>
      <w:tblGrid>
        <w:gridCol w:w="3964"/>
        <w:gridCol w:w="1701"/>
        <w:gridCol w:w="1701"/>
      </w:tblGrid>
      <w:tr w:rsidR="000756EB" w:rsidRPr="003D1E3F" w14:paraId="7F3CD884" w14:textId="77777777" w:rsidTr="003D1E3F">
        <w:trPr>
          <w:trHeight w:val="60"/>
        </w:trPr>
        <w:tc>
          <w:tcPr>
            <w:tcW w:w="3964" w:type="dxa"/>
          </w:tcPr>
          <w:p w14:paraId="5F67B9A6" w14:textId="77777777" w:rsidR="000756EB" w:rsidRPr="003D1E3F" w:rsidRDefault="000756EB" w:rsidP="003D1E3F">
            <w:pPr>
              <w:pStyle w:val="TableColumnHeading"/>
            </w:pPr>
            <w:bookmarkStart w:id="139" w:name="ColumnTitles_83"/>
            <w:bookmarkEnd w:id="139"/>
          </w:p>
        </w:tc>
        <w:tc>
          <w:tcPr>
            <w:tcW w:w="1701" w:type="dxa"/>
          </w:tcPr>
          <w:p w14:paraId="294A0CE4" w14:textId="6F0BA210" w:rsidR="000756EB" w:rsidRPr="003D1E3F" w:rsidRDefault="004A4D88" w:rsidP="003D1E3F">
            <w:pPr>
              <w:pStyle w:val="TableColumnHeading"/>
              <w:jc w:val="right"/>
            </w:pPr>
            <w:r w:rsidRPr="003D1E3F">
              <w:t>2023</w:t>
            </w:r>
            <w:r w:rsidR="00A03629" w:rsidRPr="003D1E3F">
              <w:t xml:space="preserve"> </w:t>
            </w:r>
            <w:r w:rsidR="003D1E3F" w:rsidRPr="003D1E3F">
              <w:t>($</w:t>
            </w:r>
            <w:r w:rsidR="003D1E3F">
              <w:t> </w:t>
            </w:r>
            <w:r w:rsidR="003D1E3F" w:rsidRPr="003D1E3F">
              <w:t>thousand)</w:t>
            </w:r>
          </w:p>
        </w:tc>
        <w:tc>
          <w:tcPr>
            <w:tcW w:w="1701" w:type="dxa"/>
          </w:tcPr>
          <w:p w14:paraId="18DD5CC6" w14:textId="5994B884" w:rsidR="000756EB" w:rsidRPr="003D1E3F" w:rsidRDefault="004A4D88" w:rsidP="003D1E3F">
            <w:pPr>
              <w:pStyle w:val="TableColumnHeading"/>
              <w:jc w:val="right"/>
            </w:pPr>
            <w:r w:rsidRPr="003D1E3F">
              <w:t>2022</w:t>
            </w:r>
            <w:r w:rsidR="00A03629" w:rsidRPr="003D1E3F">
              <w:t xml:space="preserve"> </w:t>
            </w:r>
            <w:r w:rsidRPr="00614829">
              <w:rPr>
                <w:rStyle w:val="FootnotereferencessuperscriptMisc"/>
              </w:rPr>
              <w:t>(</w:t>
            </w:r>
            <w:proofErr w:type="spellStart"/>
            <w:r w:rsidRPr="00614829">
              <w:rPr>
                <w:rStyle w:val="FootnotereferencessuperscriptMisc"/>
              </w:rPr>
              <w:t>i</w:t>
            </w:r>
            <w:proofErr w:type="spellEnd"/>
            <w:r w:rsidRPr="00614829">
              <w:rPr>
                <w:rStyle w:val="FootnotereferencessuperscriptMisc"/>
              </w:rPr>
              <w:t>)</w:t>
            </w:r>
            <w:r w:rsidR="003D1E3F" w:rsidRPr="00614829">
              <w:rPr>
                <w:rStyle w:val="FootnotereferencessuperscriptMisc"/>
              </w:rPr>
              <w:t xml:space="preserve"> </w:t>
            </w:r>
            <w:r w:rsidR="003D1E3F" w:rsidRPr="003D1E3F">
              <w:t>($</w:t>
            </w:r>
            <w:r w:rsidR="003D1E3F">
              <w:t> </w:t>
            </w:r>
            <w:r w:rsidR="003D1E3F" w:rsidRPr="003D1E3F">
              <w:t>thousand)</w:t>
            </w:r>
          </w:p>
        </w:tc>
      </w:tr>
      <w:tr w:rsidR="000756EB" w14:paraId="4E06DA12" w14:textId="77777777" w:rsidTr="003D1E3F">
        <w:trPr>
          <w:trHeight w:val="60"/>
        </w:trPr>
        <w:tc>
          <w:tcPr>
            <w:tcW w:w="3964" w:type="dxa"/>
          </w:tcPr>
          <w:p w14:paraId="5C4B2FD2" w14:textId="6B938E20" w:rsidR="000756EB" w:rsidRDefault="004A4D88" w:rsidP="003D1E3F">
            <w:pPr>
              <w:pStyle w:val="TableCopy"/>
            </w:pPr>
            <w:r>
              <w:t>Forgiveness</w:t>
            </w:r>
            <w:r w:rsidR="00A03629">
              <w:t xml:space="preserve"> </w:t>
            </w:r>
            <w:r>
              <w:t>or</w:t>
            </w:r>
            <w:r w:rsidR="00A03629">
              <w:t xml:space="preserve"> </w:t>
            </w:r>
            <w:r>
              <w:t>waiver</w:t>
            </w:r>
            <w:r w:rsidR="00A03629">
              <w:t xml:space="preserve"> </w:t>
            </w:r>
            <w:r>
              <w:t>of</w:t>
            </w:r>
            <w:r w:rsidR="00A03629">
              <w:t xml:space="preserve"> </w:t>
            </w:r>
            <w:r>
              <w:t>liability</w:t>
            </w:r>
          </w:p>
        </w:tc>
        <w:tc>
          <w:tcPr>
            <w:tcW w:w="1701" w:type="dxa"/>
          </w:tcPr>
          <w:p w14:paraId="4B766C78" w14:textId="3D1847EE" w:rsidR="000756EB" w:rsidRDefault="004A4D88" w:rsidP="003D1E3F">
            <w:pPr>
              <w:pStyle w:val="TableCopy"/>
              <w:jc w:val="right"/>
            </w:pPr>
            <w:r>
              <w:t>1</w:t>
            </w:r>
          </w:p>
        </w:tc>
        <w:tc>
          <w:tcPr>
            <w:tcW w:w="1701" w:type="dxa"/>
          </w:tcPr>
          <w:p w14:paraId="192C27FD" w14:textId="092D784B" w:rsidR="000756EB" w:rsidRDefault="004A4D88" w:rsidP="003D1E3F">
            <w:pPr>
              <w:pStyle w:val="TableCopy"/>
              <w:jc w:val="right"/>
            </w:pPr>
            <w:r>
              <w:t>212</w:t>
            </w:r>
          </w:p>
        </w:tc>
      </w:tr>
      <w:tr w:rsidR="000756EB" w:rsidRPr="003D1E3F" w14:paraId="30A7277A" w14:textId="77777777" w:rsidTr="003D1E3F">
        <w:trPr>
          <w:trHeight w:val="333"/>
        </w:trPr>
        <w:tc>
          <w:tcPr>
            <w:tcW w:w="3964" w:type="dxa"/>
          </w:tcPr>
          <w:p w14:paraId="77E8B11D" w14:textId="1953B59D" w:rsidR="000756EB" w:rsidRPr="003D1E3F" w:rsidRDefault="004A4D88" w:rsidP="003D1E3F">
            <w:pPr>
              <w:pStyle w:val="TableCopy"/>
              <w:rPr>
                <w:b/>
                <w:bCs/>
              </w:rPr>
            </w:pPr>
            <w:r w:rsidRPr="003D1E3F">
              <w:rPr>
                <w:b/>
                <w:bCs/>
              </w:rPr>
              <w:t>Total</w:t>
            </w:r>
            <w:r w:rsidR="00A03629" w:rsidRPr="003D1E3F">
              <w:rPr>
                <w:b/>
                <w:bCs/>
              </w:rPr>
              <w:t xml:space="preserve"> </w:t>
            </w:r>
            <w:r w:rsidRPr="003D1E3F">
              <w:rPr>
                <w:b/>
                <w:bCs/>
              </w:rPr>
              <w:t>ex-gratia</w:t>
            </w:r>
            <w:r w:rsidR="00A03629" w:rsidRPr="003D1E3F">
              <w:rPr>
                <w:b/>
                <w:bCs/>
              </w:rPr>
              <w:t xml:space="preserve"> </w:t>
            </w:r>
            <w:r w:rsidRPr="003D1E3F">
              <w:rPr>
                <w:b/>
                <w:bCs/>
              </w:rPr>
              <w:t>expenses</w:t>
            </w:r>
          </w:p>
        </w:tc>
        <w:tc>
          <w:tcPr>
            <w:tcW w:w="1701" w:type="dxa"/>
          </w:tcPr>
          <w:p w14:paraId="34DF97CD" w14:textId="678C372C" w:rsidR="000756EB" w:rsidRPr="003D1E3F" w:rsidRDefault="004A4D88" w:rsidP="003D1E3F">
            <w:pPr>
              <w:pStyle w:val="TableCopy"/>
              <w:jc w:val="right"/>
              <w:rPr>
                <w:b/>
                <w:bCs/>
              </w:rPr>
            </w:pPr>
            <w:r w:rsidRPr="003D1E3F">
              <w:rPr>
                <w:b/>
                <w:bCs/>
              </w:rPr>
              <w:t>1</w:t>
            </w:r>
          </w:p>
        </w:tc>
        <w:tc>
          <w:tcPr>
            <w:tcW w:w="1701" w:type="dxa"/>
          </w:tcPr>
          <w:p w14:paraId="00CF6D77" w14:textId="306C788A" w:rsidR="000756EB" w:rsidRPr="003D1E3F" w:rsidRDefault="004A4D88" w:rsidP="003D1E3F">
            <w:pPr>
              <w:pStyle w:val="TableCopy"/>
              <w:jc w:val="right"/>
              <w:rPr>
                <w:b/>
                <w:bCs/>
              </w:rPr>
            </w:pPr>
            <w:r w:rsidRPr="003D1E3F">
              <w:rPr>
                <w:b/>
                <w:bCs/>
              </w:rPr>
              <w:t>212</w:t>
            </w:r>
          </w:p>
        </w:tc>
      </w:tr>
    </w:tbl>
    <w:p w14:paraId="1FA2A7E6" w14:textId="0F9A22BF" w:rsidR="000756EB" w:rsidRDefault="00965778" w:rsidP="003D1E3F">
      <w:pPr>
        <w:pStyle w:val="FootnoteText"/>
        <w:spacing w:before="120" w:after="280"/>
        <w:rPr>
          <w:rFonts w:ascii="VIC" w:hAnsi="VIC" w:cs="VIC"/>
        </w:rPr>
      </w:pPr>
      <w:r>
        <w:t>(</w:t>
      </w:r>
      <w:proofErr w:type="spellStart"/>
      <w:r>
        <w:t>i</w:t>
      </w:r>
      <w:proofErr w:type="spellEnd"/>
      <w:r>
        <w:t>)</w:t>
      </w:r>
      <w:r w:rsidR="003D1E3F">
        <w:t xml:space="preserve"> </w:t>
      </w:r>
      <w:r>
        <w:t xml:space="preserve">Ex-gratia payments in the prior year relate to grant applications that were incorrectly assessed or paid in error and that have been written off as there is little likelihood of recovery and a return of funds would result in financial hardship for applicants and their businesses </w:t>
      </w:r>
      <w:proofErr w:type="gramStart"/>
      <w:r>
        <w:t>in light of</w:t>
      </w:r>
      <w:proofErr w:type="gramEnd"/>
      <w:r>
        <w:t xml:space="preserve"> the impact of coronavirus (COVID-19) restrictions. Grants paid in error not written off were recognised as receivables (Note 6.1).</w:t>
      </w:r>
    </w:p>
    <w:p w14:paraId="3E0FEC22" w14:textId="24593685" w:rsidR="000756EB" w:rsidRDefault="004A4D88" w:rsidP="000877E3">
      <w:pPr>
        <w:pStyle w:val="Heading2"/>
      </w:pPr>
      <w:bookmarkStart w:id="140" w:name="_Toc149911839"/>
      <w:r>
        <w:t>9.2</w:t>
      </w:r>
      <w:r w:rsidR="00DE38B5">
        <w:t xml:space="preserve"> </w:t>
      </w:r>
      <w:r>
        <w:t>Other</w:t>
      </w:r>
      <w:r w:rsidR="00A03629">
        <w:t xml:space="preserve"> </w:t>
      </w:r>
      <w:r>
        <w:t>economic</w:t>
      </w:r>
      <w:r w:rsidR="00A03629">
        <w:t xml:space="preserve"> </w:t>
      </w:r>
      <w:r>
        <w:t>flows</w:t>
      </w:r>
      <w:r w:rsidR="00A03629">
        <w:t xml:space="preserve"> </w:t>
      </w:r>
      <w:r>
        <w:t>included</w:t>
      </w:r>
      <w:r w:rsidR="00A03629">
        <w:t xml:space="preserve"> </w:t>
      </w:r>
      <w:r>
        <w:t>in</w:t>
      </w:r>
      <w:r w:rsidR="00A03629">
        <w:t xml:space="preserve"> </w:t>
      </w:r>
      <w:r>
        <w:t>net</w:t>
      </w:r>
      <w:r w:rsidR="00A03629">
        <w:t xml:space="preserve"> </w:t>
      </w:r>
      <w:r>
        <w:t>result</w:t>
      </w:r>
      <w:bookmarkEnd w:id="140"/>
    </w:p>
    <w:p w14:paraId="03E2BC6E" w14:textId="04E131E5" w:rsidR="000756EB" w:rsidRDefault="004A4D88" w:rsidP="000877E3">
      <w:r>
        <w:t>Other</w:t>
      </w:r>
      <w:r w:rsidR="00A03629">
        <w:t xml:space="preserve"> </w:t>
      </w:r>
      <w:r>
        <w:t>economic</w:t>
      </w:r>
      <w:r w:rsidR="00A03629">
        <w:t xml:space="preserve"> </w:t>
      </w:r>
      <w:r>
        <w:t>flows</w:t>
      </w:r>
      <w:r w:rsidR="00A03629">
        <w:t xml:space="preserve"> </w:t>
      </w:r>
      <w:r>
        <w:t>are</w:t>
      </w:r>
      <w:r w:rsidR="00A03629">
        <w:t xml:space="preserve"> </w:t>
      </w:r>
      <w:r>
        <w:t>changes</w:t>
      </w:r>
      <w:r w:rsidR="00A03629">
        <w:t xml:space="preserve"> </w:t>
      </w:r>
      <w:r>
        <w:t>in</w:t>
      </w:r>
      <w:r w:rsidR="00A03629">
        <w:t xml:space="preserve"> </w:t>
      </w:r>
      <w:r>
        <w:t>the</w:t>
      </w:r>
      <w:r w:rsidR="00A03629">
        <w:t xml:space="preserve"> </w:t>
      </w:r>
      <w:r>
        <w:t>volume</w:t>
      </w:r>
      <w:r w:rsidR="00A03629">
        <w:t xml:space="preserve"> </w:t>
      </w:r>
      <w:r>
        <w:t>or</w:t>
      </w:r>
      <w:r w:rsidR="00A03629">
        <w:t xml:space="preserve"> </w:t>
      </w:r>
      <w:r>
        <w:t>value</w:t>
      </w:r>
      <w:r w:rsidR="00A03629">
        <w:t xml:space="preserve"> </w:t>
      </w:r>
      <w:r>
        <w:t>of</w:t>
      </w:r>
      <w:r w:rsidR="00A03629">
        <w:t xml:space="preserve"> </w:t>
      </w:r>
      <w:r>
        <w:t>an</w:t>
      </w:r>
      <w:r w:rsidR="00A03629">
        <w:t xml:space="preserve"> </w:t>
      </w:r>
      <w:r>
        <w:t>asset</w:t>
      </w:r>
      <w:r w:rsidR="00A03629">
        <w:t xml:space="preserve"> </w:t>
      </w:r>
      <w:r>
        <w:t>or</w:t>
      </w:r>
      <w:r w:rsidR="00A03629">
        <w:t xml:space="preserve"> </w:t>
      </w:r>
      <w:r>
        <w:t>liability</w:t>
      </w:r>
      <w:r w:rsidR="00A03629">
        <w:t xml:space="preserve"> </w:t>
      </w:r>
      <w:r>
        <w:t>that</w:t>
      </w:r>
      <w:r w:rsidR="00A03629">
        <w:t xml:space="preserve"> </w:t>
      </w:r>
      <w:r>
        <w:t>do</w:t>
      </w:r>
      <w:r w:rsidR="00A03629">
        <w:t xml:space="preserve"> </w:t>
      </w:r>
      <w:r>
        <w:t>not</w:t>
      </w:r>
      <w:r w:rsidR="00A03629">
        <w:t xml:space="preserve"> </w:t>
      </w:r>
      <w:r>
        <w:t>result</w:t>
      </w:r>
      <w:r w:rsidR="00A03629">
        <w:rPr>
          <w:rFonts w:ascii="Cambria" w:hAnsi="Cambria" w:cs="Cambria"/>
        </w:rPr>
        <w:t xml:space="preserve"> </w:t>
      </w:r>
      <w:r>
        <w:t>from</w:t>
      </w:r>
      <w:r w:rsidR="00A03629">
        <w:rPr>
          <w:rFonts w:ascii="Cambria" w:hAnsi="Cambria" w:cs="Cambria"/>
        </w:rPr>
        <w:t xml:space="preserve"> </w:t>
      </w:r>
      <w:r>
        <w:t>transactions.</w:t>
      </w:r>
    </w:p>
    <w:tbl>
      <w:tblPr>
        <w:tblStyle w:val="TableGrid"/>
        <w:tblW w:w="10170" w:type="dxa"/>
        <w:tblLayout w:type="fixed"/>
        <w:tblLook w:val="0020" w:firstRow="1" w:lastRow="0" w:firstColumn="0" w:lastColumn="0" w:noHBand="0" w:noVBand="0"/>
      </w:tblPr>
      <w:tblGrid>
        <w:gridCol w:w="6236"/>
        <w:gridCol w:w="1967"/>
        <w:gridCol w:w="1967"/>
      </w:tblGrid>
      <w:tr w:rsidR="000756EB" w:rsidRPr="000877E3" w14:paraId="2E813717" w14:textId="77777777" w:rsidTr="000877E3">
        <w:trPr>
          <w:trHeight w:val="60"/>
          <w:tblHeader/>
        </w:trPr>
        <w:tc>
          <w:tcPr>
            <w:tcW w:w="6236" w:type="dxa"/>
          </w:tcPr>
          <w:p w14:paraId="627A13CF" w14:textId="77777777" w:rsidR="000756EB" w:rsidRPr="000877E3" w:rsidRDefault="000756EB" w:rsidP="000877E3">
            <w:pPr>
              <w:pStyle w:val="TableColumnHeading"/>
            </w:pPr>
            <w:bookmarkStart w:id="141" w:name="ColumnTitles_84"/>
            <w:bookmarkEnd w:id="141"/>
          </w:p>
        </w:tc>
        <w:tc>
          <w:tcPr>
            <w:tcW w:w="1967" w:type="dxa"/>
          </w:tcPr>
          <w:p w14:paraId="0056E80F" w14:textId="3921619C" w:rsidR="000756EB" w:rsidRPr="000877E3" w:rsidRDefault="004A4D88" w:rsidP="000877E3">
            <w:pPr>
              <w:pStyle w:val="TableColumnHeading"/>
              <w:jc w:val="right"/>
            </w:pPr>
            <w:r w:rsidRPr="000877E3">
              <w:t>2023</w:t>
            </w:r>
            <w:r w:rsidR="000877E3">
              <w:t xml:space="preserve"> </w:t>
            </w:r>
            <w:r w:rsidR="000877E3" w:rsidRPr="000877E3">
              <w:t>($</w:t>
            </w:r>
            <w:r w:rsidR="000877E3">
              <w:t> </w:t>
            </w:r>
            <w:r w:rsidR="000877E3" w:rsidRPr="000877E3">
              <w:t>thousand)</w:t>
            </w:r>
          </w:p>
        </w:tc>
        <w:tc>
          <w:tcPr>
            <w:tcW w:w="1967" w:type="dxa"/>
          </w:tcPr>
          <w:p w14:paraId="21114498" w14:textId="33D20FA1" w:rsidR="000756EB" w:rsidRPr="000877E3" w:rsidRDefault="004A4D88" w:rsidP="000877E3">
            <w:pPr>
              <w:pStyle w:val="TableColumnHeading"/>
              <w:jc w:val="right"/>
            </w:pPr>
            <w:r w:rsidRPr="000877E3">
              <w:t>2022</w:t>
            </w:r>
            <w:r w:rsidR="000877E3">
              <w:t xml:space="preserve"> </w:t>
            </w:r>
            <w:r w:rsidR="000877E3" w:rsidRPr="000877E3">
              <w:t>($</w:t>
            </w:r>
            <w:r w:rsidR="000877E3">
              <w:t> </w:t>
            </w:r>
            <w:r w:rsidR="000877E3" w:rsidRPr="000877E3">
              <w:t>thousand)</w:t>
            </w:r>
          </w:p>
        </w:tc>
      </w:tr>
      <w:tr w:rsidR="000756EB" w14:paraId="506F6C47" w14:textId="77777777" w:rsidTr="000877E3">
        <w:trPr>
          <w:trHeight w:val="60"/>
        </w:trPr>
        <w:tc>
          <w:tcPr>
            <w:tcW w:w="6236" w:type="dxa"/>
          </w:tcPr>
          <w:p w14:paraId="2E2B343D" w14:textId="0FAF5ED9" w:rsidR="000756EB" w:rsidRDefault="004A4D88" w:rsidP="000877E3">
            <w:pPr>
              <w:pStyle w:val="TableCopy"/>
            </w:pPr>
            <w:r>
              <w:t>Net</w:t>
            </w:r>
            <w:r w:rsidR="00A03629">
              <w:t xml:space="preserve"> </w:t>
            </w:r>
            <w:r>
              <w:t>gains</w:t>
            </w:r>
            <w:r w:rsidR="00A03629">
              <w:t xml:space="preserve"> </w:t>
            </w:r>
            <w:r>
              <w:t>on</w:t>
            </w:r>
            <w:r w:rsidR="00A03629">
              <w:t xml:space="preserve"> </w:t>
            </w:r>
            <w:r>
              <w:t>non-financial</w:t>
            </w:r>
            <w:r w:rsidR="00A03629">
              <w:t xml:space="preserve"> </w:t>
            </w:r>
            <w:r>
              <w:t>assets</w:t>
            </w:r>
          </w:p>
        </w:tc>
        <w:tc>
          <w:tcPr>
            <w:tcW w:w="1967" w:type="dxa"/>
          </w:tcPr>
          <w:p w14:paraId="4A7FDB8E" w14:textId="5A01DE1F" w:rsidR="000756EB" w:rsidRDefault="004A4D88" w:rsidP="000877E3">
            <w:pPr>
              <w:pStyle w:val="TableCopy"/>
              <w:jc w:val="right"/>
            </w:pPr>
            <w:r>
              <w:t>1,853</w:t>
            </w:r>
          </w:p>
        </w:tc>
        <w:tc>
          <w:tcPr>
            <w:tcW w:w="1967" w:type="dxa"/>
          </w:tcPr>
          <w:p w14:paraId="2616B6CC" w14:textId="14B324BB" w:rsidR="000756EB" w:rsidRDefault="004A4D88" w:rsidP="000877E3">
            <w:pPr>
              <w:pStyle w:val="TableCopy"/>
              <w:jc w:val="right"/>
            </w:pPr>
            <w:r>
              <w:t>1,382</w:t>
            </w:r>
          </w:p>
        </w:tc>
      </w:tr>
      <w:tr w:rsidR="000756EB" w14:paraId="6AF78CF6" w14:textId="77777777" w:rsidTr="000877E3">
        <w:trPr>
          <w:trHeight w:val="60"/>
        </w:trPr>
        <w:tc>
          <w:tcPr>
            <w:tcW w:w="6236" w:type="dxa"/>
          </w:tcPr>
          <w:p w14:paraId="5D99B429" w14:textId="78A54EE8" w:rsidR="000756EB" w:rsidRDefault="004A4D88" w:rsidP="000877E3">
            <w:pPr>
              <w:pStyle w:val="TableCopy"/>
            </w:pPr>
            <w:r>
              <w:t>Revaluation</w:t>
            </w:r>
            <w:r w:rsidR="00A03629">
              <w:t xml:space="preserve"> </w:t>
            </w:r>
            <w:r>
              <w:t>losses</w:t>
            </w:r>
            <w:r w:rsidR="00A03629">
              <w:t xml:space="preserve"> </w:t>
            </w:r>
            <w:r>
              <w:t>realised</w:t>
            </w:r>
            <w:r w:rsidR="00A03629">
              <w:t xml:space="preserve"> </w:t>
            </w:r>
            <w:r>
              <w:t>on</w:t>
            </w:r>
            <w:r w:rsidR="00A03629">
              <w:t xml:space="preserve"> </w:t>
            </w:r>
            <w:r>
              <w:t>Buildings</w:t>
            </w:r>
          </w:p>
        </w:tc>
        <w:tc>
          <w:tcPr>
            <w:tcW w:w="1967" w:type="dxa"/>
          </w:tcPr>
          <w:p w14:paraId="6CA176F6" w14:textId="77777777" w:rsidR="000756EB" w:rsidRDefault="004A4D88" w:rsidP="000877E3">
            <w:pPr>
              <w:pStyle w:val="TableCopy"/>
              <w:jc w:val="right"/>
            </w:pPr>
            <w:r>
              <w:t>(1,999)</w:t>
            </w:r>
          </w:p>
        </w:tc>
        <w:tc>
          <w:tcPr>
            <w:tcW w:w="1967" w:type="dxa"/>
          </w:tcPr>
          <w:p w14:paraId="095DB50E" w14:textId="61E6CED5" w:rsidR="000756EB" w:rsidRDefault="004A4D88" w:rsidP="000877E3">
            <w:pPr>
              <w:pStyle w:val="TableCopy"/>
              <w:jc w:val="right"/>
            </w:pPr>
            <w:r>
              <w:t>–</w:t>
            </w:r>
          </w:p>
        </w:tc>
      </w:tr>
      <w:tr w:rsidR="000756EB" w:rsidRPr="000877E3" w14:paraId="2FE9EA17" w14:textId="77777777" w:rsidTr="000877E3">
        <w:trPr>
          <w:trHeight w:val="333"/>
        </w:trPr>
        <w:tc>
          <w:tcPr>
            <w:tcW w:w="6236" w:type="dxa"/>
          </w:tcPr>
          <w:p w14:paraId="35E7A005" w14:textId="7222938A" w:rsidR="000756EB" w:rsidRPr="000877E3" w:rsidRDefault="004A4D88" w:rsidP="000877E3">
            <w:pPr>
              <w:pStyle w:val="TableCopy"/>
              <w:rPr>
                <w:b/>
                <w:bCs/>
              </w:rPr>
            </w:pPr>
            <w:r w:rsidRPr="000877E3">
              <w:rPr>
                <w:b/>
                <w:bCs/>
              </w:rPr>
              <w:t>Total</w:t>
            </w:r>
            <w:r w:rsidR="00A03629" w:rsidRPr="000877E3">
              <w:rPr>
                <w:b/>
                <w:bCs/>
              </w:rPr>
              <w:t xml:space="preserve"> </w:t>
            </w:r>
            <w:r w:rsidRPr="000877E3">
              <w:rPr>
                <w:b/>
                <w:bCs/>
              </w:rPr>
              <w:t>net</w:t>
            </w:r>
            <w:r w:rsidR="00A03629" w:rsidRPr="000877E3">
              <w:rPr>
                <w:b/>
                <w:bCs/>
              </w:rPr>
              <w:t xml:space="preserve"> </w:t>
            </w:r>
            <w:r w:rsidRPr="000877E3">
              <w:rPr>
                <w:b/>
                <w:bCs/>
              </w:rPr>
              <w:t>gains/(losses)</w:t>
            </w:r>
            <w:r w:rsidR="00A03629" w:rsidRPr="000877E3">
              <w:rPr>
                <w:b/>
                <w:bCs/>
              </w:rPr>
              <w:t xml:space="preserve"> </w:t>
            </w:r>
            <w:r w:rsidRPr="000877E3">
              <w:rPr>
                <w:b/>
                <w:bCs/>
              </w:rPr>
              <w:t>on</w:t>
            </w:r>
            <w:r w:rsidR="00A03629" w:rsidRPr="000877E3">
              <w:rPr>
                <w:b/>
                <w:bCs/>
              </w:rPr>
              <w:t xml:space="preserve"> </w:t>
            </w:r>
            <w:r w:rsidRPr="000877E3">
              <w:rPr>
                <w:b/>
                <w:bCs/>
              </w:rPr>
              <w:t>non-financial</w:t>
            </w:r>
            <w:r w:rsidR="00A03629" w:rsidRPr="000877E3">
              <w:rPr>
                <w:b/>
                <w:bCs/>
              </w:rPr>
              <w:t xml:space="preserve"> </w:t>
            </w:r>
            <w:r w:rsidRPr="000877E3">
              <w:rPr>
                <w:b/>
                <w:bCs/>
              </w:rPr>
              <w:t>assets</w:t>
            </w:r>
          </w:p>
        </w:tc>
        <w:tc>
          <w:tcPr>
            <w:tcW w:w="1967" w:type="dxa"/>
          </w:tcPr>
          <w:p w14:paraId="11F2B3F7" w14:textId="77777777" w:rsidR="000756EB" w:rsidRPr="000877E3" w:rsidRDefault="004A4D88" w:rsidP="000877E3">
            <w:pPr>
              <w:pStyle w:val="TableCopy"/>
              <w:jc w:val="right"/>
              <w:rPr>
                <w:b/>
                <w:bCs/>
              </w:rPr>
            </w:pPr>
            <w:r w:rsidRPr="000877E3">
              <w:rPr>
                <w:b/>
                <w:bCs/>
              </w:rPr>
              <w:t>(146)</w:t>
            </w:r>
          </w:p>
        </w:tc>
        <w:tc>
          <w:tcPr>
            <w:tcW w:w="1967" w:type="dxa"/>
          </w:tcPr>
          <w:p w14:paraId="26EEBD89" w14:textId="6E99B417" w:rsidR="000756EB" w:rsidRPr="000877E3" w:rsidRDefault="004A4D88" w:rsidP="000877E3">
            <w:pPr>
              <w:pStyle w:val="TableCopy"/>
              <w:jc w:val="right"/>
              <w:rPr>
                <w:b/>
                <w:bCs/>
              </w:rPr>
            </w:pPr>
            <w:r w:rsidRPr="000877E3">
              <w:rPr>
                <w:b/>
                <w:bCs/>
              </w:rPr>
              <w:t>1,382</w:t>
            </w:r>
          </w:p>
        </w:tc>
      </w:tr>
      <w:tr w:rsidR="000756EB" w:rsidRPr="000877E3" w14:paraId="6D7E9DE9" w14:textId="77777777" w:rsidTr="000877E3">
        <w:trPr>
          <w:trHeight w:val="60"/>
        </w:trPr>
        <w:tc>
          <w:tcPr>
            <w:tcW w:w="6236" w:type="dxa"/>
          </w:tcPr>
          <w:p w14:paraId="3BC64C79" w14:textId="3E762302" w:rsidR="000756EB" w:rsidRPr="000877E3" w:rsidRDefault="004A4D88" w:rsidP="000877E3">
            <w:pPr>
              <w:pStyle w:val="TableHeading"/>
            </w:pPr>
            <w:r w:rsidRPr="000877E3">
              <w:t>Net</w:t>
            </w:r>
            <w:r w:rsidR="00A03629" w:rsidRPr="000877E3">
              <w:t xml:space="preserve"> </w:t>
            </w:r>
            <w:r w:rsidRPr="000877E3">
              <w:t>losses</w:t>
            </w:r>
            <w:r w:rsidR="00A03629" w:rsidRPr="000877E3">
              <w:t xml:space="preserve"> </w:t>
            </w:r>
            <w:r w:rsidRPr="000877E3">
              <w:t>on</w:t>
            </w:r>
            <w:r w:rsidR="00A03629" w:rsidRPr="000877E3">
              <w:t xml:space="preserve"> </w:t>
            </w:r>
            <w:r w:rsidRPr="000877E3">
              <w:t>financial</w:t>
            </w:r>
            <w:r w:rsidR="00A03629" w:rsidRPr="000877E3">
              <w:t xml:space="preserve"> </w:t>
            </w:r>
            <w:r w:rsidRPr="000877E3">
              <w:t>instruments</w:t>
            </w:r>
          </w:p>
        </w:tc>
        <w:tc>
          <w:tcPr>
            <w:tcW w:w="1967" w:type="dxa"/>
          </w:tcPr>
          <w:p w14:paraId="417088D0" w14:textId="77777777" w:rsidR="000756EB" w:rsidRPr="000877E3" w:rsidRDefault="000756EB" w:rsidP="000877E3">
            <w:pPr>
              <w:pStyle w:val="TableHeading"/>
              <w:jc w:val="right"/>
              <w:rPr>
                <w:lang w:val="en-AU"/>
              </w:rPr>
            </w:pPr>
          </w:p>
        </w:tc>
        <w:tc>
          <w:tcPr>
            <w:tcW w:w="1967" w:type="dxa"/>
          </w:tcPr>
          <w:p w14:paraId="153D58A6" w14:textId="77777777" w:rsidR="000756EB" w:rsidRPr="000877E3" w:rsidRDefault="000756EB" w:rsidP="000877E3">
            <w:pPr>
              <w:pStyle w:val="TableHeading"/>
              <w:jc w:val="right"/>
              <w:rPr>
                <w:lang w:val="en-AU"/>
              </w:rPr>
            </w:pPr>
          </w:p>
        </w:tc>
      </w:tr>
      <w:tr w:rsidR="000756EB" w14:paraId="4FED7C46" w14:textId="77777777" w:rsidTr="000877E3">
        <w:trPr>
          <w:trHeight w:val="60"/>
        </w:trPr>
        <w:tc>
          <w:tcPr>
            <w:tcW w:w="6236" w:type="dxa"/>
          </w:tcPr>
          <w:p w14:paraId="2D7CEA08" w14:textId="6C4EDF74" w:rsidR="000756EB" w:rsidRDefault="004A4D88" w:rsidP="000877E3">
            <w:pPr>
              <w:pStyle w:val="TableCopy"/>
            </w:pPr>
            <w:r>
              <w:t>Impairment</w:t>
            </w:r>
            <w:r w:rsidR="00A03629">
              <w:t xml:space="preserve"> </w:t>
            </w:r>
            <w:r>
              <w:t>of</w:t>
            </w:r>
            <w:r w:rsidR="00A03629">
              <w:t xml:space="preserve"> </w:t>
            </w:r>
            <w:r>
              <w:t>loans</w:t>
            </w:r>
            <w:r w:rsidR="00A03629">
              <w:t xml:space="preserve"> </w:t>
            </w:r>
            <w:r>
              <w:t>and</w:t>
            </w:r>
            <w:r w:rsidR="00A03629">
              <w:t xml:space="preserve"> </w:t>
            </w:r>
            <w:r>
              <w:t>receivable</w:t>
            </w:r>
          </w:p>
        </w:tc>
        <w:tc>
          <w:tcPr>
            <w:tcW w:w="1967" w:type="dxa"/>
          </w:tcPr>
          <w:p w14:paraId="2C2B0E72" w14:textId="7E2117B0" w:rsidR="000756EB" w:rsidRDefault="004A4D88" w:rsidP="000877E3">
            <w:pPr>
              <w:pStyle w:val="TableCopy"/>
              <w:jc w:val="right"/>
            </w:pPr>
            <w:r>
              <w:t>–</w:t>
            </w:r>
          </w:p>
        </w:tc>
        <w:tc>
          <w:tcPr>
            <w:tcW w:w="1967" w:type="dxa"/>
          </w:tcPr>
          <w:p w14:paraId="0AD60794" w14:textId="77777777" w:rsidR="000756EB" w:rsidRDefault="004A4D88" w:rsidP="000877E3">
            <w:pPr>
              <w:pStyle w:val="TableCopy"/>
              <w:jc w:val="right"/>
            </w:pPr>
            <w:r>
              <w:t>(22,090)</w:t>
            </w:r>
          </w:p>
        </w:tc>
      </w:tr>
      <w:tr w:rsidR="000756EB" w14:paraId="68EAA847" w14:textId="77777777" w:rsidTr="000877E3">
        <w:trPr>
          <w:trHeight w:val="60"/>
        </w:trPr>
        <w:tc>
          <w:tcPr>
            <w:tcW w:w="6236" w:type="dxa"/>
          </w:tcPr>
          <w:p w14:paraId="64C57C85" w14:textId="65003E0E" w:rsidR="000756EB" w:rsidRDefault="004A4D88" w:rsidP="000877E3">
            <w:pPr>
              <w:pStyle w:val="TableCopy"/>
            </w:pPr>
            <w:r>
              <w:t>Unrealised</w:t>
            </w:r>
            <w:r w:rsidR="00A03629">
              <w:t xml:space="preserve"> </w:t>
            </w:r>
            <w:r>
              <w:t>loss</w:t>
            </w:r>
            <w:r w:rsidR="00A03629">
              <w:t xml:space="preserve"> </w:t>
            </w:r>
            <w:r>
              <w:t>on</w:t>
            </w:r>
            <w:r w:rsidR="00A03629">
              <w:t xml:space="preserve"> </w:t>
            </w:r>
            <w:r>
              <w:t>investment</w:t>
            </w:r>
          </w:p>
        </w:tc>
        <w:tc>
          <w:tcPr>
            <w:tcW w:w="1967" w:type="dxa"/>
          </w:tcPr>
          <w:p w14:paraId="0746D429" w14:textId="77777777" w:rsidR="000756EB" w:rsidRDefault="004A4D88" w:rsidP="000877E3">
            <w:pPr>
              <w:pStyle w:val="TableCopy"/>
              <w:jc w:val="right"/>
            </w:pPr>
            <w:r>
              <w:t>(949)</w:t>
            </w:r>
          </w:p>
        </w:tc>
        <w:tc>
          <w:tcPr>
            <w:tcW w:w="1967" w:type="dxa"/>
          </w:tcPr>
          <w:p w14:paraId="4345D434" w14:textId="77777777" w:rsidR="000756EB" w:rsidRDefault="004A4D88" w:rsidP="000877E3">
            <w:pPr>
              <w:pStyle w:val="TableCopy"/>
              <w:jc w:val="right"/>
            </w:pPr>
            <w:r>
              <w:t>–</w:t>
            </w:r>
          </w:p>
        </w:tc>
      </w:tr>
      <w:tr w:rsidR="000756EB" w14:paraId="06E64028" w14:textId="77777777" w:rsidTr="000877E3">
        <w:trPr>
          <w:trHeight w:val="60"/>
        </w:trPr>
        <w:tc>
          <w:tcPr>
            <w:tcW w:w="6236" w:type="dxa"/>
          </w:tcPr>
          <w:p w14:paraId="0D46A063" w14:textId="06575479" w:rsidR="000756EB" w:rsidRDefault="004A4D88" w:rsidP="000877E3">
            <w:pPr>
              <w:pStyle w:val="TableCopy"/>
            </w:pPr>
            <w:r>
              <w:t>Unrealised</w:t>
            </w:r>
            <w:r w:rsidR="00A03629">
              <w:t xml:space="preserve"> </w:t>
            </w:r>
            <w:r>
              <w:t>gain</w:t>
            </w:r>
            <w:r w:rsidR="00A03629">
              <w:t xml:space="preserve"> </w:t>
            </w:r>
            <w:r>
              <w:t>on</w:t>
            </w:r>
            <w:r w:rsidR="00A03629">
              <w:t xml:space="preserve"> </w:t>
            </w:r>
            <w:r>
              <w:t>financial</w:t>
            </w:r>
            <w:r w:rsidR="00A03629">
              <w:t xml:space="preserve"> </w:t>
            </w:r>
            <w:r>
              <w:t>assets</w:t>
            </w:r>
          </w:p>
        </w:tc>
        <w:tc>
          <w:tcPr>
            <w:tcW w:w="1967" w:type="dxa"/>
          </w:tcPr>
          <w:p w14:paraId="69839B5A" w14:textId="77777777" w:rsidR="000756EB" w:rsidRDefault="004A4D88" w:rsidP="000877E3">
            <w:pPr>
              <w:pStyle w:val="TableCopy"/>
              <w:jc w:val="right"/>
            </w:pPr>
            <w:r>
              <w:t>2,180</w:t>
            </w:r>
          </w:p>
        </w:tc>
        <w:tc>
          <w:tcPr>
            <w:tcW w:w="1967" w:type="dxa"/>
          </w:tcPr>
          <w:p w14:paraId="78EBBE08" w14:textId="77777777" w:rsidR="000756EB" w:rsidRDefault="004A4D88" w:rsidP="000877E3">
            <w:pPr>
              <w:pStyle w:val="TableCopy"/>
              <w:jc w:val="right"/>
            </w:pPr>
            <w:r>
              <w:t>–</w:t>
            </w:r>
          </w:p>
        </w:tc>
      </w:tr>
      <w:tr w:rsidR="000756EB" w14:paraId="271E9773" w14:textId="77777777" w:rsidTr="000877E3">
        <w:trPr>
          <w:trHeight w:val="60"/>
        </w:trPr>
        <w:tc>
          <w:tcPr>
            <w:tcW w:w="6236" w:type="dxa"/>
          </w:tcPr>
          <w:p w14:paraId="4A37ECC3" w14:textId="6820FF51" w:rsidR="000756EB" w:rsidRDefault="004A4D88" w:rsidP="000877E3">
            <w:pPr>
              <w:pStyle w:val="TableCopy"/>
            </w:pPr>
            <w:r>
              <w:t>Revaluation</w:t>
            </w:r>
            <w:r w:rsidR="00A03629">
              <w:t xml:space="preserve"> </w:t>
            </w:r>
            <w:r>
              <w:t>losses</w:t>
            </w:r>
            <w:r w:rsidR="00A03629">
              <w:t xml:space="preserve"> </w:t>
            </w:r>
            <w:r>
              <w:t>on</w:t>
            </w:r>
            <w:r w:rsidR="00A03629">
              <w:t xml:space="preserve"> </w:t>
            </w:r>
            <w:r>
              <w:t>investment</w:t>
            </w:r>
          </w:p>
        </w:tc>
        <w:tc>
          <w:tcPr>
            <w:tcW w:w="1967" w:type="dxa"/>
          </w:tcPr>
          <w:p w14:paraId="5E82D173" w14:textId="7153B1DA" w:rsidR="000756EB" w:rsidRDefault="004A4D88" w:rsidP="000877E3">
            <w:pPr>
              <w:pStyle w:val="TableCopy"/>
              <w:jc w:val="right"/>
            </w:pPr>
            <w:r>
              <w:t>–</w:t>
            </w:r>
          </w:p>
        </w:tc>
        <w:tc>
          <w:tcPr>
            <w:tcW w:w="1967" w:type="dxa"/>
          </w:tcPr>
          <w:p w14:paraId="5BAA1619" w14:textId="77777777" w:rsidR="000756EB" w:rsidRDefault="004A4D88" w:rsidP="000877E3">
            <w:pPr>
              <w:pStyle w:val="TableCopy"/>
              <w:jc w:val="right"/>
            </w:pPr>
            <w:r>
              <w:t>(4,419)</w:t>
            </w:r>
          </w:p>
        </w:tc>
      </w:tr>
      <w:tr w:rsidR="000756EB" w14:paraId="00EC5CF5" w14:textId="77777777" w:rsidTr="000877E3">
        <w:trPr>
          <w:trHeight w:val="60"/>
        </w:trPr>
        <w:tc>
          <w:tcPr>
            <w:tcW w:w="6236" w:type="dxa"/>
          </w:tcPr>
          <w:p w14:paraId="5BA4CC80" w14:textId="775D6E79" w:rsidR="000756EB" w:rsidRDefault="004A4D88" w:rsidP="000877E3">
            <w:pPr>
              <w:pStyle w:val="TableCopy"/>
            </w:pPr>
            <w:r>
              <w:t>Realised</w:t>
            </w:r>
            <w:r w:rsidR="00A03629">
              <w:t xml:space="preserve"> </w:t>
            </w:r>
            <w:r>
              <w:t>losses</w:t>
            </w:r>
            <w:r w:rsidR="00A03629">
              <w:t xml:space="preserve"> </w:t>
            </w:r>
            <w:r>
              <w:t>on</w:t>
            </w:r>
            <w:r w:rsidR="00A03629">
              <w:t xml:space="preserve"> </w:t>
            </w:r>
            <w:r>
              <w:t>foreign</w:t>
            </w:r>
            <w:r w:rsidR="00A03629">
              <w:t xml:space="preserve"> </w:t>
            </w:r>
            <w:r>
              <w:t>exchange</w:t>
            </w:r>
            <w:r w:rsidR="00A03629">
              <w:t xml:space="preserve"> </w:t>
            </w:r>
          </w:p>
        </w:tc>
        <w:tc>
          <w:tcPr>
            <w:tcW w:w="1967" w:type="dxa"/>
          </w:tcPr>
          <w:p w14:paraId="5C462D67" w14:textId="77777777" w:rsidR="000756EB" w:rsidRDefault="004A4D88" w:rsidP="000877E3">
            <w:pPr>
              <w:pStyle w:val="TableCopy"/>
              <w:jc w:val="right"/>
            </w:pPr>
            <w:r>
              <w:t>(2,047)</w:t>
            </w:r>
          </w:p>
        </w:tc>
        <w:tc>
          <w:tcPr>
            <w:tcW w:w="1967" w:type="dxa"/>
          </w:tcPr>
          <w:p w14:paraId="0B48BFA2" w14:textId="77777777" w:rsidR="000756EB" w:rsidRDefault="004A4D88" w:rsidP="000877E3">
            <w:pPr>
              <w:pStyle w:val="TableCopy"/>
              <w:jc w:val="right"/>
            </w:pPr>
            <w:r>
              <w:t>(1,029)</w:t>
            </w:r>
          </w:p>
        </w:tc>
      </w:tr>
      <w:tr w:rsidR="000756EB" w:rsidRPr="000877E3" w14:paraId="0FEE5395" w14:textId="77777777" w:rsidTr="000877E3">
        <w:trPr>
          <w:trHeight w:val="60"/>
        </w:trPr>
        <w:tc>
          <w:tcPr>
            <w:tcW w:w="6236" w:type="dxa"/>
          </w:tcPr>
          <w:p w14:paraId="06B6D1D7" w14:textId="276A33BB" w:rsidR="000756EB" w:rsidRPr="000877E3" w:rsidRDefault="004A4D88" w:rsidP="000877E3">
            <w:pPr>
              <w:pStyle w:val="TableCopy"/>
              <w:rPr>
                <w:b/>
                <w:bCs/>
              </w:rPr>
            </w:pPr>
            <w:r w:rsidRPr="000877E3">
              <w:rPr>
                <w:b/>
                <w:bCs/>
              </w:rPr>
              <w:t>Total</w:t>
            </w:r>
            <w:r w:rsidR="00A03629" w:rsidRPr="000877E3">
              <w:rPr>
                <w:b/>
                <w:bCs/>
              </w:rPr>
              <w:t xml:space="preserve"> </w:t>
            </w:r>
            <w:r w:rsidRPr="000877E3">
              <w:rPr>
                <w:b/>
                <w:bCs/>
              </w:rPr>
              <w:t>net</w:t>
            </w:r>
            <w:r w:rsidR="00A03629" w:rsidRPr="000877E3">
              <w:rPr>
                <w:b/>
                <w:bCs/>
              </w:rPr>
              <w:t xml:space="preserve"> </w:t>
            </w:r>
            <w:r w:rsidRPr="000877E3">
              <w:rPr>
                <w:b/>
                <w:bCs/>
              </w:rPr>
              <w:t>losses</w:t>
            </w:r>
            <w:r w:rsidR="00A03629" w:rsidRPr="000877E3">
              <w:rPr>
                <w:b/>
                <w:bCs/>
              </w:rPr>
              <w:t xml:space="preserve"> </w:t>
            </w:r>
            <w:r w:rsidRPr="000877E3">
              <w:rPr>
                <w:b/>
                <w:bCs/>
              </w:rPr>
              <w:t>on</w:t>
            </w:r>
            <w:r w:rsidR="00A03629" w:rsidRPr="000877E3">
              <w:rPr>
                <w:b/>
                <w:bCs/>
              </w:rPr>
              <w:t xml:space="preserve"> </w:t>
            </w:r>
            <w:r w:rsidRPr="000877E3">
              <w:rPr>
                <w:b/>
                <w:bCs/>
              </w:rPr>
              <w:t>financial</w:t>
            </w:r>
            <w:r w:rsidR="00A03629" w:rsidRPr="000877E3">
              <w:rPr>
                <w:b/>
                <w:bCs/>
              </w:rPr>
              <w:t xml:space="preserve"> </w:t>
            </w:r>
            <w:r w:rsidRPr="000877E3">
              <w:rPr>
                <w:b/>
                <w:bCs/>
              </w:rPr>
              <w:t>instruments</w:t>
            </w:r>
          </w:p>
        </w:tc>
        <w:tc>
          <w:tcPr>
            <w:tcW w:w="1967" w:type="dxa"/>
          </w:tcPr>
          <w:p w14:paraId="2E9CC660" w14:textId="77777777" w:rsidR="000756EB" w:rsidRPr="000877E3" w:rsidRDefault="004A4D88" w:rsidP="000877E3">
            <w:pPr>
              <w:pStyle w:val="TableCopy"/>
              <w:jc w:val="right"/>
              <w:rPr>
                <w:b/>
                <w:bCs/>
              </w:rPr>
            </w:pPr>
            <w:r w:rsidRPr="000877E3">
              <w:rPr>
                <w:b/>
                <w:bCs/>
              </w:rPr>
              <w:t>(815)</w:t>
            </w:r>
          </w:p>
        </w:tc>
        <w:tc>
          <w:tcPr>
            <w:tcW w:w="1967" w:type="dxa"/>
          </w:tcPr>
          <w:p w14:paraId="4F7328BA" w14:textId="77777777" w:rsidR="000756EB" w:rsidRPr="000877E3" w:rsidRDefault="004A4D88" w:rsidP="000877E3">
            <w:pPr>
              <w:pStyle w:val="TableCopy"/>
              <w:jc w:val="right"/>
              <w:rPr>
                <w:b/>
                <w:bCs/>
              </w:rPr>
            </w:pPr>
            <w:r w:rsidRPr="000877E3">
              <w:rPr>
                <w:b/>
                <w:bCs/>
              </w:rPr>
              <w:t>(27,537)</w:t>
            </w:r>
          </w:p>
        </w:tc>
      </w:tr>
      <w:tr w:rsidR="000756EB" w:rsidRPr="000877E3" w14:paraId="3D7ECF4D" w14:textId="77777777" w:rsidTr="000877E3">
        <w:trPr>
          <w:trHeight w:val="60"/>
        </w:trPr>
        <w:tc>
          <w:tcPr>
            <w:tcW w:w="6236" w:type="dxa"/>
          </w:tcPr>
          <w:p w14:paraId="45093B6B" w14:textId="17BEE0CE" w:rsidR="000756EB" w:rsidRPr="000877E3" w:rsidRDefault="004A4D88" w:rsidP="000877E3">
            <w:pPr>
              <w:pStyle w:val="TableHeading"/>
            </w:pPr>
            <w:r w:rsidRPr="000877E3">
              <w:lastRenderedPageBreak/>
              <w:t>Other</w:t>
            </w:r>
            <w:r w:rsidR="00A03629" w:rsidRPr="000877E3">
              <w:t xml:space="preserve"> </w:t>
            </w:r>
            <w:r w:rsidRPr="000877E3">
              <w:t>gains</w:t>
            </w:r>
            <w:r w:rsidR="00A03629" w:rsidRPr="000877E3">
              <w:t xml:space="preserve"> </w:t>
            </w:r>
            <w:r w:rsidRPr="000877E3">
              <w:t>from</w:t>
            </w:r>
            <w:r w:rsidR="00A03629" w:rsidRPr="000877E3">
              <w:t xml:space="preserve"> </w:t>
            </w:r>
            <w:r w:rsidRPr="000877E3">
              <w:t>other</w:t>
            </w:r>
            <w:r w:rsidR="00A03629" w:rsidRPr="000877E3">
              <w:t xml:space="preserve"> </w:t>
            </w:r>
            <w:r w:rsidRPr="000877E3">
              <w:t>economic</w:t>
            </w:r>
            <w:r w:rsidR="00A03629" w:rsidRPr="000877E3">
              <w:t xml:space="preserve"> </w:t>
            </w:r>
            <w:r w:rsidRPr="000877E3">
              <w:t>flows</w:t>
            </w:r>
          </w:p>
        </w:tc>
        <w:tc>
          <w:tcPr>
            <w:tcW w:w="1967" w:type="dxa"/>
          </w:tcPr>
          <w:p w14:paraId="0E394BDE" w14:textId="77777777" w:rsidR="000756EB" w:rsidRPr="000877E3" w:rsidRDefault="000756EB" w:rsidP="000877E3">
            <w:pPr>
              <w:pStyle w:val="TableHeading"/>
              <w:jc w:val="right"/>
              <w:rPr>
                <w:lang w:val="en-AU"/>
              </w:rPr>
            </w:pPr>
          </w:p>
        </w:tc>
        <w:tc>
          <w:tcPr>
            <w:tcW w:w="1967" w:type="dxa"/>
          </w:tcPr>
          <w:p w14:paraId="47204EE0" w14:textId="77777777" w:rsidR="000756EB" w:rsidRPr="000877E3" w:rsidRDefault="000756EB" w:rsidP="000877E3">
            <w:pPr>
              <w:pStyle w:val="TableHeading"/>
              <w:jc w:val="right"/>
              <w:rPr>
                <w:lang w:val="en-AU"/>
              </w:rPr>
            </w:pPr>
          </w:p>
        </w:tc>
      </w:tr>
      <w:tr w:rsidR="000756EB" w:rsidRPr="000877E3" w14:paraId="1D0B56F9" w14:textId="77777777" w:rsidTr="000877E3">
        <w:trPr>
          <w:trHeight w:val="60"/>
        </w:trPr>
        <w:tc>
          <w:tcPr>
            <w:tcW w:w="6236" w:type="dxa"/>
          </w:tcPr>
          <w:p w14:paraId="44E39457" w14:textId="0B1CB8F0" w:rsidR="000756EB" w:rsidRPr="000877E3" w:rsidRDefault="004A4D88" w:rsidP="000877E3">
            <w:pPr>
              <w:pStyle w:val="TableCopy"/>
            </w:pPr>
            <w:r w:rsidRPr="000877E3">
              <w:t>Revaluation</w:t>
            </w:r>
            <w:r w:rsidR="00A03629" w:rsidRPr="000877E3">
              <w:t xml:space="preserve"> </w:t>
            </w:r>
            <w:r w:rsidRPr="000877E3">
              <w:t>of</w:t>
            </w:r>
            <w:r w:rsidR="00A03629" w:rsidRPr="000877E3">
              <w:t xml:space="preserve"> </w:t>
            </w:r>
            <w:r w:rsidRPr="000877E3">
              <w:t>long</w:t>
            </w:r>
            <w:r w:rsidR="00A03629" w:rsidRPr="000877E3">
              <w:t xml:space="preserve"> </w:t>
            </w:r>
            <w:r w:rsidRPr="000877E3">
              <w:t>service</w:t>
            </w:r>
            <w:r w:rsidR="00A03629" w:rsidRPr="000877E3">
              <w:t xml:space="preserve"> </w:t>
            </w:r>
            <w:r w:rsidRPr="000877E3">
              <w:t>leave</w:t>
            </w:r>
            <w:r w:rsidR="00A03629" w:rsidRPr="000877E3">
              <w:t xml:space="preserve"> </w:t>
            </w:r>
            <w:r w:rsidRPr="000877E3">
              <w:t>liability</w:t>
            </w:r>
            <w:r w:rsidR="00A03629" w:rsidRPr="000877E3">
              <w:t xml:space="preserve"> </w:t>
            </w:r>
            <w:r w:rsidRPr="00614829">
              <w:rPr>
                <w:rStyle w:val="FootnotereferencessuperscriptMisc"/>
              </w:rPr>
              <w:t>(</w:t>
            </w:r>
            <w:proofErr w:type="spellStart"/>
            <w:r w:rsidRPr="00614829">
              <w:rPr>
                <w:rStyle w:val="FootnotereferencessuperscriptMisc"/>
              </w:rPr>
              <w:t>i</w:t>
            </w:r>
            <w:proofErr w:type="spellEnd"/>
            <w:r w:rsidRPr="00614829">
              <w:rPr>
                <w:rStyle w:val="FootnotereferencessuperscriptMisc"/>
              </w:rPr>
              <w:t>)</w:t>
            </w:r>
          </w:p>
        </w:tc>
        <w:tc>
          <w:tcPr>
            <w:tcW w:w="1967" w:type="dxa"/>
          </w:tcPr>
          <w:p w14:paraId="69BE9F80" w14:textId="32DAECEF" w:rsidR="000756EB" w:rsidRPr="000877E3" w:rsidRDefault="004A4D88" w:rsidP="000877E3">
            <w:pPr>
              <w:pStyle w:val="TableCopy"/>
              <w:jc w:val="right"/>
            </w:pPr>
            <w:r w:rsidRPr="000877E3">
              <w:t>441</w:t>
            </w:r>
          </w:p>
        </w:tc>
        <w:tc>
          <w:tcPr>
            <w:tcW w:w="1967" w:type="dxa"/>
          </w:tcPr>
          <w:p w14:paraId="50F9DFCB" w14:textId="13C066AB" w:rsidR="000756EB" w:rsidRPr="000877E3" w:rsidRDefault="004A4D88" w:rsidP="000877E3">
            <w:pPr>
              <w:pStyle w:val="TableCopy"/>
              <w:jc w:val="right"/>
            </w:pPr>
            <w:r w:rsidRPr="000877E3">
              <w:t>3,956</w:t>
            </w:r>
          </w:p>
        </w:tc>
      </w:tr>
      <w:tr w:rsidR="000756EB" w:rsidRPr="000877E3" w14:paraId="47207201" w14:textId="77777777" w:rsidTr="000877E3">
        <w:trPr>
          <w:trHeight w:val="60"/>
        </w:trPr>
        <w:tc>
          <w:tcPr>
            <w:tcW w:w="6236" w:type="dxa"/>
          </w:tcPr>
          <w:p w14:paraId="57145B55" w14:textId="0CFCC4A9" w:rsidR="000756EB" w:rsidRPr="000877E3" w:rsidRDefault="004A4D88" w:rsidP="000877E3">
            <w:pPr>
              <w:pStyle w:val="TableCopy"/>
            </w:pPr>
            <w:r w:rsidRPr="000877E3">
              <w:t>Revaluation</w:t>
            </w:r>
            <w:r w:rsidR="00A03629" w:rsidRPr="000877E3">
              <w:t xml:space="preserve"> </w:t>
            </w:r>
            <w:r w:rsidRPr="000877E3">
              <w:t>of</w:t>
            </w:r>
            <w:r w:rsidR="00A03629" w:rsidRPr="000877E3">
              <w:t xml:space="preserve"> </w:t>
            </w:r>
            <w:r w:rsidRPr="000877E3">
              <w:t>natural</w:t>
            </w:r>
            <w:r w:rsidR="00A03629" w:rsidRPr="000877E3">
              <w:t xml:space="preserve"> </w:t>
            </w:r>
            <w:r w:rsidRPr="000877E3">
              <w:t>resource</w:t>
            </w:r>
            <w:r w:rsidR="00A03629" w:rsidRPr="000877E3">
              <w:t xml:space="preserve"> </w:t>
            </w:r>
            <w:r w:rsidRPr="000877E3">
              <w:t>reserves</w:t>
            </w:r>
            <w:r w:rsidR="00A03629" w:rsidRPr="000877E3">
              <w:t xml:space="preserve"> </w:t>
            </w:r>
            <w:r w:rsidRPr="000877E3">
              <w:t>&amp;</w:t>
            </w:r>
            <w:r w:rsidR="00A03629" w:rsidRPr="000877E3">
              <w:t xml:space="preserve"> </w:t>
            </w:r>
            <w:r w:rsidRPr="000877E3">
              <w:t>biological</w:t>
            </w:r>
            <w:r w:rsidR="00A03629" w:rsidRPr="000877E3">
              <w:t xml:space="preserve"> </w:t>
            </w:r>
            <w:r w:rsidRPr="000877E3">
              <w:t>assets</w:t>
            </w:r>
            <w:r w:rsidR="00A03629" w:rsidRPr="000877E3">
              <w:t xml:space="preserve"> </w:t>
            </w:r>
          </w:p>
        </w:tc>
        <w:tc>
          <w:tcPr>
            <w:tcW w:w="1967" w:type="dxa"/>
          </w:tcPr>
          <w:p w14:paraId="4300B3A8" w14:textId="4E86AA5A" w:rsidR="000756EB" w:rsidRPr="000877E3" w:rsidRDefault="004A4D88" w:rsidP="000877E3">
            <w:pPr>
              <w:pStyle w:val="TableCopy"/>
              <w:jc w:val="right"/>
            </w:pPr>
            <w:r w:rsidRPr="000877E3">
              <w:t>–</w:t>
            </w:r>
          </w:p>
        </w:tc>
        <w:tc>
          <w:tcPr>
            <w:tcW w:w="1967" w:type="dxa"/>
          </w:tcPr>
          <w:p w14:paraId="0CF8FD77" w14:textId="1F420CEC" w:rsidR="000756EB" w:rsidRPr="000877E3" w:rsidRDefault="004A4D88" w:rsidP="000877E3">
            <w:pPr>
              <w:pStyle w:val="TableCopy"/>
              <w:jc w:val="right"/>
            </w:pPr>
            <w:r w:rsidRPr="000877E3">
              <w:t>5,010</w:t>
            </w:r>
          </w:p>
        </w:tc>
      </w:tr>
      <w:tr w:rsidR="000756EB" w:rsidRPr="000877E3" w14:paraId="633453F1" w14:textId="77777777" w:rsidTr="000877E3">
        <w:trPr>
          <w:trHeight w:val="60"/>
        </w:trPr>
        <w:tc>
          <w:tcPr>
            <w:tcW w:w="6236" w:type="dxa"/>
          </w:tcPr>
          <w:p w14:paraId="42C27DE9" w14:textId="6EE8BC05" w:rsidR="000756EB" w:rsidRPr="000877E3" w:rsidRDefault="004A4D88" w:rsidP="000877E3">
            <w:pPr>
              <w:pStyle w:val="TableCopy"/>
              <w:rPr>
                <w:b/>
                <w:bCs/>
              </w:rPr>
            </w:pPr>
            <w:r w:rsidRPr="000877E3">
              <w:rPr>
                <w:b/>
                <w:bCs/>
              </w:rPr>
              <w:t>Total</w:t>
            </w:r>
            <w:r w:rsidR="00A03629" w:rsidRPr="000877E3">
              <w:rPr>
                <w:b/>
                <w:bCs/>
              </w:rPr>
              <w:t xml:space="preserve"> </w:t>
            </w:r>
            <w:r w:rsidRPr="000877E3">
              <w:rPr>
                <w:b/>
                <w:bCs/>
              </w:rPr>
              <w:t>other</w:t>
            </w:r>
            <w:r w:rsidR="00A03629" w:rsidRPr="000877E3">
              <w:rPr>
                <w:b/>
                <w:bCs/>
              </w:rPr>
              <w:t xml:space="preserve"> </w:t>
            </w:r>
            <w:r w:rsidRPr="000877E3">
              <w:rPr>
                <w:b/>
                <w:bCs/>
              </w:rPr>
              <w:t>gains</w:t>
            </w:r>
            <w:r w:rsidR="00A03629" w:rsidRPr="000877E3">
              <w:rPr>
                <w:b/>
                <w:bCs/>
              </w:rPr>
              <w:t xml:space="preserve"> </w:t>
            </w:r>
            <w:r w:rsidRPr="000877E3">
              <w:rPr>
                <w:b/>
                <w:bCs/>
              </w:rPr>
              <w:t>from</w:t>
            </w:r>
            <w:r w:rsidR="00A03629" w:rsidRPr="000877E3">
              <w:rPr>
                <w:b/>
                <w:bCs/>
              </w:rPr>
              <w:t xml:space="preserve"> </w:t>
            </w:r>
            <w:r w:rsidRPr="000877E3">
              <w:rPr>
                <w:b/>
                <w:bCs/>
              </w:rPr>
              <w:t>other</w:t>
            </w:r>
            <w:r w:rsidR="00A03629" w:rsidRPr="000877E3">
              <w:rPr>
                <w:b/>
                <w:bCs/>
              </w:rPr>
              <w:t xml:space="preserve"> </w:t>
            </w:r>
            <w:r w:rsidRPr="000877E3">
              <w:rPr>
                <w:b/>
                <w:bCs/>
              </w:rPr>
              <w:t>economic</w:t>
            </w:r>
            <w:r w:rsidR="00A03629" w:rsidRPr="000877E3">
              <w:rPr>
                <w:b/>
                <w:bCs/>
              </w:rPr>
              <w:t xml:space="preserve"> </w:t>
            </w:r>
            <w:r w:rsidRPr="000877E3">
              <w:rPr>
                <w:b/>
                <w:bCs/>
              </w:rPr>
              <w:t>flows</w:t>
            </w:r>
          </w:p>
        </w:tc>
        <w:tc>
          <w:tcPr>
            <w:tcW w:w="1967" w:type="dxa"/>
          </w:tcPr>
          <w:p w14:paraId="3A651C8D" w14:textId="43F6857D" w:rsidR="000756EB" w:rsidRPr="000877E3" w:rsidRDefault="004A4D88" w:rsidP="000877E3">
            <w:pPr>
              <w:pStyle w:val="TableCopy"/>
              <w:jc w:val="right"/>
              <w:rPr>
                <w:b/>
                <w:bCs/>
              </w:rPr>
            </w:pPr>
            <w:r w:rsidRPr="000877E3">
              <w:rPr>
                <w:b/>
                <w:bCs/>
              </w:rPr>
              <w:t>441</w:t>
            </w:r>
          </w:p>
        </w:tc>
        <w:tc>
          <w:tcPr>
            <w:tcW w:w="1967" w:type="dxa"/>
          </w:tcPr>
          <w:p w14:paraId="54051CF2" w14:textId="636BD863" w:rsidR="000756EB" w:rsidRPr="000877E3" w:rsidRDefault="004A4D88" w:rsidP="000877E3">
            <w:pPr>
              <w:pStyle w:val="TableCopy"/>
              <w:jc w:val="right"/>
              <w:rPr>
                <w:b/>
                <w:bCs/>
              </w:rPr>
            </w:pPr>
            <w:r w:rsidRPr="000877E3">
              <w:rPr>
                <w:b/>
                <w:bCs/>
              </w:rPr>
              <w:t>8,966</w:t>
            </w:r>
          </w:p>
        </w:tc>
      </w:tr>
      <w:tr w:rsidR="000756EB" w:rsidRPr="000877E3" w14:paraId="649B134E" w14:textId="77777777" w:rsidTr="000877E3">
        <w:trPr>
          <w:trHeight w:val="60"/>
        </w:trPr>
        <w:tc>
          <w:tcPr>
            <w:tcW w:w="6236" w:type="dxa"/>
          </w:tcPr>
          <w:p w14:paraId="336F83F5" w14:textId="4F205006" w:rsidR="000756EB" w:rsidRPr="000877E3" w:rsidRDefault="004A4D88" w:rsidP="000877E3">
            <w:pPr>
              <w:pStyle w:val="TableCopy"/>
              <w:rPr>
                <w:b/>
                <w:bCs/>
              </w:rPr>
            </w:pPr>
            <w:r w:rsidRPr="000877E3">
              <w:rPr>
                <w:b/>
                <w:bCs/>
              </w:rPr>
              <w:t>Total</w:t>
            </w:r>
            <w:r w:rsidR="00A03629" w:rsidRPr="000877E3">
              <w:rPr>
                <w:b/>
                <w:bCs/>
              </w:rPr>
              <w:t xml:space="preserve"> </w:t>
            </w:r>
            <w:r w:rsidRPr="000877E3">
              <w:rPr>
                <w:b/>
                <w:bCs/>
              </w:rPr>
              <w:t>other</w:t>
            </w:r>
            <w:r w:rsidR="00A03629" w:rsidRPr="000877E3">
              <w:rPr>
                <w:b/>
                <w:bCs/>
              </w:rPr>
              <w:t xml:space="preserve"> </w:t>
            </w:r>
            <w:r w:rsidRPr="000877E3">
              <w:rPr>
                <w:b/>
                <w:bCs/>
              </w:rPr>
              <w:t>economic</w:t>
            </w:r>
            <w:r w:rsidR="00A03629" w:rsidRPr="000877E3">
              <w:rPr>
                <w:b/>
                <w:bCs/>
              </w:rPr>
              <w:t xml:space="preserve"> </w:t>
            </w:r>
            <w:r w:rsidRPr="000877E3">
              <w:rPr>
                <w:b/>
                <w:bCs/>
              </w:rPr>
              <w:t>flows</w:t>
            </w:r>
            <w:r w:rsidR="00A03629" w:rsidRPr="000877E3">
              <w:rPr>
                <w:b/>
                <w:bCs/>
              </w:rPr>
              <w:t xml:space="preserve"> </w:t>
            </w:r>
            <w:r w:rsidRPr="000877E3">
              <w:rPr>
                <w:b/>
                <w:bCs/>
              </w:rPr>
              <w:t>included</w:t>
            </w:r>
            <w:r w:rsidR="00A03629" w:rsidRPr="000877E3">
              <w:rPr>
                <w:b/>
                <w:bCs/>
              </w:rPr>
              <w:t xml:space="preserve"> </w:t>
            </w:r>
            <w:r w:rsidRPr="000877E3">
              <w:rPr>
                <w:b/>
                <w:bCs/>
              </w:rPr>
              <w:t>in</w:t>
            </w:r>
            <w:r w:rsidR="00A03629" w:rsidRPr="000877E3">
              <w:rPr>
                <w:b/>
                <w:bCs/>
              </w:rPr>
              <w:t xml:space="preserve"> </w:t>
            </w:r>
            <w:r w:rsidRPr="000877E3">
              <w:rPr>
                <w:b/>
                <w:bCs/>
              </w:rPr>
              <w:t>net</w:t>
            </w:r>
            <w:r w:rsidR="00A03629" w:rsidRPr="000877E3">
              <w:rPr>
                <w:b/>
                <w:bCs/>
              </w:rPr>
              <w:t xml:space="preserve"> </w:t>
            </w:r>
            <w:r w:rsidRPr="000877E3">
              <w:rPr>
                <w:b/>
                <w:bCs/>
              </w:rPr>
              <w:t>result</w:t>
            </w:r>
          </w:p>
        </w:tc>
        <w:tc>
          <w:tcPr>
            <w:tcW w:w="1967" w:type="dxa"/>
          </w:tcPr>
          <w:p w14:paraId="58262119" w14:textId="77777777" w:rsidR="000756EB" w:rsidRPr="000877E3" w:rsidRDefault="004A4D88" w:rsidP="000877E3">
            <w:pPr>
              <w:pStyle w:val="TableCopy"/>
              <w:jc w:val="right"/>
              <w:rPr>
                <w:b/>
                <w:bCs/>
              </w:rPr>
            </w:pPr>
            <w:r w:rsidRPr="000877E3">
              <w:rPr>
                <w:b/>
                <w:bCs/>
              </w:rPr>
              <w:t>(520)</w:t>
            </w:r>
          </w:p>
        </w:tc>
        <w:tc>
          <w:tcPr>
            <w:tcW w:w="1967" w:type="dxa"/>
          </w:tcPr>
          <w:p w14:paraId="49D0A6C8" w14:textId="77777777" w:rsidR="000756EB" w:rsidRPr="000877E3" w:rsidRDefault="004A4D88" w:rsidP="000877E3">
            <w:pPr>
              <w:pStyle w:val="TableCopy"/>
              <w:jc w:val="right"/>
              <w:rPr>
                <w:b/>
                <w:bCs/>
              </w:rPr>
            </w:pPr>
            <w:r w:rsidRPr="000877E3">
              <w:rPr>
                <w:b/>
                <w:bCs/>
              </w:rPr>
              <w:t>(17,189)</w:t>
            </w:r>
          </w:p>
        </w:tc>
      </w:tr>
    </w:tbl>
    <w:p w14:paraId="76CDF264" w14:textId="21A7A696" w:rsidR="000756EB" w:rsidRDefault="000877E3" w:rsidP="000877E3">
      <w:pPr>
        <w:pStyle w:val="FootnoteText"/>
        <w:spacing w:before="120" w:after="280"/>
        <w:rPr>
          <w:rFonts w:ascii="VIC" w:hAnsi="VIC" w:cs="VIC"/>
        </w:rPr>
      </w:pPr>
      <w:r>
        <w:t>(</w:t>
      </w:r>
      <w:proofErr w:type="spellStart"/>
      <w:r>
        <w:t>i</w:t>
      </w:r>
      <w:proofErr w:type="spellEnd"/>
      <w:r>
        <w:t>) Revaluation gains due to changes in bond rates.</w:t>
      </w:r>
    </w:p>
    <w:p w14:paraId="7BDA4F1E" w14:textId="502D0D94" w:rsidR="000756EB" w:rsidRDefault="004A4D88" w:rsidP="000877E3">
      <w:pPr>
        <w:pStyle w:val="Heading2"/>
      </w:pPr>
      <w:bookmarkStart w:id="142" w:name="_Toc149911840"/>
      <w:r>
        <w:t>9.3</w:t>
      </w:r>
      <w:r w:rsidR="00DE38B5">
        <w:t xml:space="preserve"> </w:t>
      </w:r>
      <w:proofErr w:type="gramStart"/>
      <w:r>
        <w:t>Non-financial</w:t>
      </w:r>
      <w:proofErr w:type="gramEnd"/>
      <w:r w:rsidR="00A03629">
        <w:t xml:space="preserve"> </w:t>
      </w:r>
      <w:r>
        <w:t>assets</w:t>
      </w:r>
      <w:r w:rsidR="00A03629">
        <w:t xml:space="preserve"> </w:t>
      </w:r>
      <w:r>
        <w:t>held</w:t>
      </w:r>
      <w:r w:rsidR="00A03629">
        <w:t xml:space="preserve"> </w:t>
      </w:r>
      <w:r>
        <w:t>for</w:t>
      </w:r>
      <w:r w:rsidR="00A03629">
        <w:t xml:space="preserve"> </w:t>
      </w:r>
      <w:r>
        <w:t>sale</w:t>
      </w:r>
      <w:bookmarkEnd w:id="142"/>
    </w:p>
    <w:p w14:paraId="011A2957" w14:textId="7ED30417" w:rsidR="000756EB" w:rsidRPr="000877E3" w:rsidRDefault="004A4D88" w:rsidP="000877E3">
      <w:pPr>
        <w:pStyle w:val="Normalbeforebullets"/>
        <w:rPr>
          <w:b/>
          <w:bCs/>
        </w:rPr>
      </w:pPr>
      <w:r w:rsidRPr="000877E3">
        <w:rPr>
          <w:b/>
          <w:bCs/>
        </w:rPr>
        <w:t>Total</w:t>
      </w:r>
      <w:r w:rsidR="00A03629" w:rsidRPr="000877E3">
        <w:rPr>
          <w:b/>
          <w:bCs/>
        </w:rPr>
        <w:t xml:space="preserve"> </w:t>
      </w:r>
      <w:r w:rsidRPr="000877E3">
        <w:rPr>
          <w:b/>
          <w:bCs/>
        </w:rPr>
        <w:t>non-financial</w:t>
      </w:r>
      <w:r w:rsidR="00A03629" w:rsidRPr="000877E3">
        <w:rPr>
          <w:b/>
          <w:bCs/>
        </w:rPr>
        <w:t xml:space="preserve"> </w:t>
      </w:r>
      <w:r w:rsidRPr="000877E3">
        <w:rPr>
          <w:b/>
          <w:bCs/>
        </w:rPr>
        <w:t>assets</w:t>
      </w:r>
      <w:r w:rsidR="00A03629" w:rsidRPr="000877E3">
        <w:rPr>
          <w:b/>
          <w:bCs/>
        </w:rPr>
        <w:t xml:space="preserve"> </w:t>
      </w:r>
      <w:r w:rsidRPr="000877E3">
        <w:rPr>
          <w:b/>
          <w:bCs/>
        </w:rPr>
        <w:t>held</w:t>
      </w:r>
      <w:r w:rsidR="00A03629" w:rsidRPr="000877E3">
        <w:rPr>
          <w:b/>
          <w:bCs/>
        </w:rPr>
        <w:t xml:space="preserve"> </w:t>
      </w:r>
      <w:r w:rsidRPr="000877E3">
        <w:rPr>
          <w:b/>
          <w:bCs/>
        </w:rPr>
        <w:t>for</w:t>
      </w:r>
      <w:r w:rsidR="00A03629" w:rsidRPr="000877E3">
        <w:rPr>
          <w:b/>
          <w:bCs/>
        </w:rPr>
        <w:t xml:space="preserve"> </w:t>
      </w:r>
      <w:r w:rsidRPr="000877E3">
        <w:rPr>
          <w:b/>
          <w:bCs/>
        </w:rPr>
        <w:t>sale</w:t>
      </w:r>
    </w:p>
    <w:tbl>
      <w:tblPr>
        <w:tblStyle w:val="TableGrid"/>
        <w:tblW w:w="10201" w:type="dxa"/>
        <w:tblLayout w:type="fixed"/>
        <w:tblLook w:val="0020" w:firstRow="1" w:lastRow="0" w:firstColumn="0" w:lastColumn="0" w:noHBand="0" w:noVBand="0"/>
      </w:tblPr>
      <w:tblGrid>
        <w:gridCol w:w="6242"/>
        <w:gridCol w:w="1979"/>
        <w:gridCol w:w="1980"/>
      </w:tblGrid>
      <w:tr w:rsidR="000756EB" w:rsidRPr="000877E3" w14:paraId="5BAC7F4D" w14:textId="77777777" w:rsidTr="000877E3">
        <w:trPr>
          <w:trHeight w:val="60"/>
        </w:trPr>
        <w:tc>
          <w:tcPr>
            <w:tcW w:w="6242" w:type="dxa"/>
          </w:tcPr>
          <w:p w14:paraId="51EDAA5F" w14:textId="77777777" w:rsidR="000756EB" w:rsidRPr="000877E3" w:rsidRDefault="000756EB" w:rsidP="000877E3">
            <w:pPr>
              <w:pStyle w:val="TableColumnHeading"/>
            </w:pPr>
            <w:bookmarkStart w:id="143" w:name="ColumnTitles_85"/>
            <w:bookmarkEnd w:id="143"/>
          </w:p>
        </w:tc>
        <w:tc>
          <w:tcPr>
            <w:tcW w:w="1979" w:type="dxa"/>
          </w:tcPr>
          <w:p w14:paraId="25ADD308" w14:textId="502D94CE" w:rsidR="000756EB" w:rsidRPr="000877E3" w:rsidRDefault="004A4D88" w:rsidP="00074E4C">
            <w:pPr>
              <w:pStyle w:val="TableColumnHeading"/>
              <w:jc w:val="right"/>
            </w:pPr>
            <w:r w:rsidRPr="000877E3">
              <w:t>2023</w:t>
            </w:r>
            <w:r w:rsidR="00A03629" w:rsidRPr="000877E3">
              <w:t xml:space="preserve"> </w:t>
            </w:r>
            <w:r w:rsidR="000877E3" w:rsidRPr="000877E3">
              <w:t>($</w:t>
            </w:r>
            <w:r w:rsidR="000877E3">
              <w:t> </w:t>
            </w:r>
            <w:r w:rsidR="000877E3" w:rsidRPr="000877E3">
              <w:t>thousand)</w:t>
            </w:r>
          </w:p>
        </w:tc>
        <w:tc>
          <w:tcPr>
            <w:tcW w:w="1980" w:type="dxa"/>
          </w:tcPr>
          <w:p w14:paraId="1885AF8D" w14:textId="7F00D806" w:rsidR="000756EB" w:rsidRPr="000877E3" w:rsidRDefault="004A4D88" w:rsidP="00074E4C">
            <w:pPr>
              <w:pStyle w:val="TableColumnHeading"/>
              <w:jc w:val="right"/>
            </w:pPr>
            <w:r w:rsidRPr="000877E3">
              <w:t>2022</w:t>
            </w:r>
            <w:r w:rsidR="000877E3">
              <w:t xml:space="preserve"> </w:t>
            </w:r>
            <w:r w:rsidR="000877E3" w:rsidRPr="000877E3">
              <w:t>($</w:t>
            </w:r>
            <w:r w:rsidR="000877E3">
              <w:t> </w:t>
            </w:r>
            <w:r w:rsidR="000877E3" w:rsidRPr="000877E3">
              <w:t>thousand)</w:t>
            </w:r>
          </w:p>
        </w:tc>
      </w:tr>
      <w:tr w:rsidR="000756EB" w:rsidRPr="000877E3" w14:paraId="1596FE12" w14:textId="77777777" w:rsidTr="000877E3">
        <w:trPr>
          <w:trHeight w:val="60"/>
        </w:trPr>
        <w:tc>
          <w:tcPr>
            <w:tcW w:w="6242" w:type="dxa"/>
          </w:tcPr>
          <w:p w14:paraId="039C86F7" w14:textId="6C6C6AC2" w:rsidR="000756EB" w:rsidRPr="000877E3" w:rsidRDefault="004A4D88" w:rsidP="000877E3">
            <w:pPr>
              <w:pStyle w:val="TableHeading"/>
            </w:pPr>
            <w:r w:rsidRPr="000877E3">
              <w:t>Current</w:t>
            </w:r>
            <w:r w:rsidR="00A03629" w:rsidRPr="000877E3">
              <w:t xml:space="preserve"> </w:t>
            </w:r>
            <w:r w:rsidRPr="000877E3">
              <w:t>assets</w:t>
            </w:r>
          </w:p>
        </w:tc>
        <w:tc>
          <w:tcPr>
            <w:tcW w:w="1979" w:type="dxa"/>
          </w:tcPr>
          <w:p w14:paraId="26F26AFA" w14:textId="77777777" w:rsidR="000756EB" w:rsidRPr="000877E3" w:rsidRDefault="000756EB" w:rsidP="00074E4C">
            <w:pPr>
              <w:pStyle w:val="TableHeading"/>
              <w:jc w:val="right"/>
              <w:rPr>
                <w:lang w:val="en-AU"/>
              </w:rPr>
            </w:pPr>
          </w:p>
        </w:tc>
        <w:tc>
          <w:tcPr>
            <w:tcW w:w="1980" w:type="dxa"/>
          </w:tcPr>
          <w:p w14:paraId="3CFEC9F8" w14:textId="77777777" w:rsidR="000756EB" w:rsidRPr="000877E3" w:rsidRDefault="000756EB" w:rsidP="00074E4C">
            <w:pPr>
              <w:pStyle w:val="TableHeading"/>
              <w:jc w:val="right"/>
              <w:rPr>
                <w:lang w:val="en-AU"/>
              </w:rPr>
            </w:pPr>
          </w:p>
        </w:tc>
      </w:tr>
      <w:tr w:rsidR="000756EB" w14:paraId="4180C651" w14:textId="77777777" w:rsidTr="000877E3">
        <w:trPr>
          <w:trHeight w:val="60"/>
        </w:trPr>
        <w:tc>
          <w:tcPr>
            <w:tcW w:w="6242" w:type="dxa"/>
          </w:tcPr>
          <w:p w14:paraId="5C9DBD3F" w14:textId="175658DA" w:rsidR="000756EB" w:rsidRDefault="004A4D88" w:rsidP="000877E3">
            <w:pPr>
              <w:pStyle w:val="TableCopy"/>
            </w:pPr>
            <w:r>
              <w:t>Leased</w:t>
            </w:r>
            <w:r w:rsidR="00A03629">
              <w:t xml:space="preserve"> </w:t>
            </w:r>
            <w:r>
              <w:t>motor</w:t>
            </w:r>
            <w:r w:rsidR="00A03629">
              <w:t xml:space="preserve"> </w:t>
            </w:r>
            <w:r>
              <w:t>vehicles</w:t>
            </w:r>
            <w:r w:rsidR="00A03629">
              <w:t xml:space="preserve"> </w:t>
            </w:r>
            <w:r>
              <w:t>held</w:t>
            </w:r>
            <w:r w:rsidR="00A03629">
              <w:t xml:space="preserve"> </w:t>
            </w:r>
            <w:r>
              <w:t>for</w:t>
            </w:r>
            <w:r w:rsidR="00A03629">
              <w:t xml:space="preserve"> </w:t>
            </w:r>
            <w:r>
              <w:t>sale</w:t>
            </w:r>
          </w:p>
        </w:tc>
        <w:tc>
          <w:tcPr>
            <w:tcW w:w="1979" w:type="dxa"/>
          </w:tcPr>
          <w:p w14:paraId="2A720962" w14:textId="71054E65" w:rsidR="000756EB" w:rsidRDefault="004A4D88" w:rsidP="00074E4C">
            <w:pPr>
              <w:pStyle w:val="TableCopy"/>
              <w:jc w:val="right"/>
            </w:pPr>
            <w:r>
              <w:t>231</w:t>
            </w:r>
            <w:r w:rsidR="00A03629">
              <w:t xml:space="preserve"> </w:t>
            </w:r>
          </w:p>
        </w:tc>
        <w:tc>
          <w:tcPr>
            <w:tcW w:w="1980" w:type="dxa"/>
          </w:tcPr>
          <w:p w14:paraId="73DEB2DD" w14:textId="78931933" w:rsidR="000756EB" w:rsidRDefault="004A4D88" w:rsidP="00074E4C">
            <w:pPr>
              <w:pStyle w:val="TableCopy"/>
              <w:jc w:val="right"/>
            </w:pPr>
            <w:r>
              <w:t>434</w:t>
            </w:r>
            <w:r w:rsidR="00A03629">
              <w:t xml:space="preserve"> </w:t>
            </w:r>
          </w:p>
        </w:tc>
      </w:tr>
      <w:tr w:rsidR="000756EB" w:rsidRPr="000877E3" w14:paraId="37A28274" w14:textId="77777777" w:rsidTr="000877E3">
        <w:trPr>
          <w:trHeight w:val="60"/>
        </w:trPr>
        <w:tc>
          <w:tcPr>
            <w:tcW w:w="6242" w:type="dxa"/>
          </w:tcPr>
          <w:p w14:paraId="0444D8FC" w14:textId="5BC7327C" w:rsidR="000756EB" w:rsidRPr="000877E3" w:rsidRDefault="004A4D88" w:rsidP="000877E3">
            <w:pPr>
              <w:pStyle w:val="TableCopy"/>
              <w:rPr>
                <w:b/>
                <w:bCs/>
              </w:rPr>
            </w:pPr>
            <w:r w:rsidRPr="000877E3">
              <w:rPr>
                <w:b/>
                <w:bCs/>
              </w:rPr>
              <w:t>Total</w:t>
            </w:r>
            <w:r w:rsidR="00A03629" w:rsidRPr="000877E3">
              <w:rPr>
                <w:b/>
                <w:bCs/>
              </w:rPr>
              <w:t xml:space="preserve"> </w:t>
            </w:r>
            <w:r w:rsidRPr="000877E3">
              <w:rPr>
                <w:b/>
                <w:bCs/>
              </w:rPr>
              <w:t>non-financial</w:t>
            </w:r>
            <w:r w:rsidR="00A03629" w:rsidRPr="000877E3">
              <w:rPr>
                <w:b/>
                <w:bCs/>
              </w:rPr>
              <w:t xml:space="preserve"> </w:t>
            </w:r>
            <w:r w:rsidRPr="000877E3">
              <w:rPr>
                <w:b/>
                <w:bCs/>
              </w:rPr>
              <w:t>assets</w:t>
            </w:r>
            <w:r w:rsidR="00A03629" w:rsidRPr="000877E3">
              <w:rPr>
                <w:b/>
                <w:bCs/>
              </w:rPr>
              <w:t xml:space="preserve"> </w:t>
            </w:r>
            <w:r w:rsidRPr="000877E3">
              <w:rPr>
                <w:b/>
                <w:bCs/>
              </w:rPr>
              <w:t>held</w:t>
            </w:r>
            <w:r w:rsidR="00A03629" w:rsidRPr="000877E3">
              <w:rPr>
                <w:b/>
                <w:bCs/>
              </w:rPr>
              <w:t xml:space="preserve"> </w:t>
            </w:r>
            <w:r w:rsidRPr="000877E3">
              <w:rPr>
                <w:b/>
                <w:bCs/>
              </w:rPr>
              <w:t>for</w:t>
            </w:r>
            <w:r w:rsidR="00A03629" w:rsidRPr="000877E3">
              <w:rPr>
                <w:b/>
                <w:bCs/>
              </w:rPr>
              <w:t xml:space="preserve"> </w:t>
            </w:r>
            <w:r w:rsidRPr="000877E3">
              <w:rPr>
                <w:b/>
                <w:bCs/>
              </w:rPr>
              <w:t>sale</w:t>
            </w:r>
          </w:p>
        </w:tc>
        <w:tc>
          <w:tcPr>
            <w:tcW w:w="1979" w:type="dxa"/>
          </w:tcPr>
          <w:p w14:paraId="604500EE" w14:textId="10FE22F2" w:rsidR="000756EB" w:rsidRPr="000877E3" w:rsidRDefault="004A4D88" w:rsidP="00074E4C">
            <w:pPr>
              <w:pStyle w:val="TableCopy"/>
              <w:jc w:val="right"/>
              <w:rPr>
                <w:b/>
                <w:bCs/>
              </w:rPr>
            </w:pPr>
            <w:r w:rsidRPr="000877E3">
              <w:rPr>
                <w:b/>
                <w:bCs/>
              </w:rPr>
              <w:t>231</w:t>
            </w:r>
            <w:r w:rsidR="00A03629" w:rsidRPr="000877E3">
              <w:rPr>
                <w:b/>
                <w:bCs/>
              </w:rPr>
              <w:t xml:space="preserve"> </w:t>
            </w:r>
          </w:p>
        </w:tc>
        <w:tc>
          <w:tcPr>
            <w:tcW w:w="1980" w:type="dxa"/>
          </w:tcPr>
          <w:p w14:paraId="52418BF1" w14:textId="15D333C3" w:rsidR="000756EB" w:rsidRPr="000877E3" w:rsidRDefault="004A4D88" w:rsidP="00074E4C">
            <w:pPr>
              <w:pStyle w:val="TableCopy"/>
              <w:jc w:val="right"/>
              <w:rPr>
                <w:b/>
                <w:bCs/>
              </w:rPr>
            </w:pPr>
            <w:r w:rsidRPr="000877E3">
              <w:rPr>
                <w:b/>
                <w:bCs/>
              </w:rPr>
              <w:t>434</w:t>
            </w:r>
            <w:r w:rsidR="00A03629" w:rsidRPr="000877E3">
              <w:rPr>
                <w:b/>
                <w:bCs/>
              </w:rPr>
              <w:t xml:space="preserve"> </w:t>
            </w:r>
          </w:p>
        </w:tc>
      </w:tr>
    </w:tbl>
    <w:p w14:paraId="7073772D" w14:textId="77777777" w:rsidR="000756EB" w:rsidRDefault="000756EB" w:rsidP="00074E4C"/>
    <w:p w14:paraId="18AFEDCA" w14:textId="77777777" w:rsidR="000756EB" w:rsidRPr="00074E4C" w:rsidRDefault="004A4D88" w:rsidP="00074E4C">
      <w:pPr>
        <w:pStyle w:val="Normalbeforebullets"/>
        <w:rPr>
          <w:b/>
          <w:bCs/>
        </w:rPr>
      </w:pPr>
      <w:r w:rsidRPr="00074E4C">
        <w:rPr>
          <w:b/>
          <w:bCs/>
        </w:rPr>
        <w:t>Measurement</w:t>
      </w:r>
    </w:p>
    <w:p w14:paraId="30421C5A" w14:textId="50F93DC6" w:rsidR="000756EB" w:rsidRDefault="004A4D88" w:rsidP="00074E4C">
      <w:r>
        <w:t>Non-financial</w:t>
      </w:r>
      <w:r w:rsidR="00A03629">
        <w:t xml:space="preserve"> </w:t>
      </w:r>
      <w:r>
        <w:t>physical</w:t>
      </w:r>
      <w:r w:rsidR="00A03629">
        <w:t xml:space="preserve"> </w:t>
      </w:r>
      <w:r>
        <w:t>assets</w:t>
      </w:r>
      <w:r w:rsidR="00A03629">
        <w:t xml:space="preserve"> </w:t>
      </w:r>
      <w:r>
        <w:t>(including</w:t>
      </w:r>
      <w:r w:rsidR="00A03629">
        <w:t xml:space="preserve"> </w:t>
      </w:r>
      <w:r>
        <w:t>disposal</w:t>
      </w:r>
      <w:r w:rsidR="00A03629">
        <w:t xml:space="preserve"> </w:t>
      </w:r>
      <w:r>
        <w:t>group</w:t>
      </w:r>
      <w:r w:rsidR="00A03629">
        <w:t xml:space="preserve"> </w:t>
      </w:r>
      <w:r>
        <w:t>assets)</w:t>
      </w:r>
      <w:r w:rsidR="00A03629">
        <w:t xml:space="preserve"> </w:t>
      </w:r>
      <w:r>
        <w:t>are</w:t>
      </w:r>
      <w:r w:rsidR="00A03629">
        <w:t xml:space="preserve"> </w:t>
      </w:r>
      <w:r>
        <w:t>treated</w:t>
      </w:r>
      <w:r w:rsidR="00A03629">
        <w:t xml:space="preserve"> </w:t>
      </w:r>
      <w:r>
        <w:t>as</w:t>
      </w:r>
      <w:r w:rsidR="00A03629">
        <w:t xml:space="preserve"> </w:t>
      </w:r>
      <w:r>
        <w:t>current</w:t>
      </w:r>
      <w:r w:rsidR="00A03629">
        <w:t xml:space="preserve"> </w:t>
      </w:r>
      <w:r>
        <w:t>and</w:t>
      </w:r>
      <w:r w:rsidR="00A03629">
        <w:t xml:space="preserve"> </w:t>
      </w:r>
      <w:r>
        <w:t>classified</w:t>
      </w:r>
      <w:r w:rsidR="00A03629">
        <w:t xml:space="preserve"> </w:t>
      </w:r>
      <w:r>
        <w:t>as</w:t>
      </w:r>
      <w:r w:rsidR="00A03629">
        <w:t xml:space="preserve"> </w:t>
      </w:r>
      <w:r>
        <w:t>held</w:t>
      </w:r>
      <w:r w:rsidR="00A03629">
        <w:rPr>
          <w:rFonts w:ascii="Cambria" w:hAnsi="Cambria" w:cs="Cambria"/>
        </w:rPr>
        <w:t xml:space="preserve"> </w:t>
      </w:r>
      <w:r>
        <w:t>for</w:t>
      </w:r>
      <w:r w:rsidR="00A03629">
        <w:t xml:space="preserve"> </w:t>
      </w:r>
      <w:r>
        <w:t>sale</w:t>
      </w:r>
      <w:r w:rsidR="00A03629">
        <w:t xml:space="preserve"> </w:t>
      </w:r>
      <w:r>
        <w:t>if</w:t>
      </w:r>
      <w:r w:rsidR="00A03629">
        <w:t xml:space="preserve"> </w:t>
      </w:r>
      <w:r>
        <w:t>their</w:t>
      </w:r>
      <w:r w:rsidR="00A03629">
        <w:t xml:space="preserve"> </w:t>
      </w:r>
      <w:r>
        <w:t>carrying</w:t>
      </w:r>
      <w:r w:rsidR="00A03629">
        <w:t xml:space="preserve"> </w:t>
      </w:r>
      <w:r>
        <w:t>amount</w:t>
      </w:r>
      <w:r w:rsidR="00A03629">
        <w:t xml:space="preserve"> </w:t>
      </w:r>
      <w:r>
        <w:t>will</w:t>
      </w:r>
      <w:r w:rsidR="00A03629">
        <w:t xml:space="preserve"> </w:t>
      </w:r>
      <w:r>
        <w:t>be</w:t>
      </w:r>
      <w:r w:rsidR="00A03629">
        <w:t xml:space="preserve"> </w:t>
      </w:r>
      <w:r>
        <w:t>recovered</w:t>
      </w:r>
      <w:r w:rsidR="00A03629">
        <w:t xml:space="preserve"> </w:t>
      </w:r>
      <w:r>
        <w:t>through</w:t>
      </w:r>
      <w:r w:rsidR="00A03629">
        <w:t xml:space="preserve"> </w:t>
      </w:r>
      <w:r>
        <w:t>a</w:t>
      </w:r>
      <w:r w:rsidR="00A03629">
        <w:t xml:space="preserve"> </w:t>
      </w:r>
      <w:r>
        <w:t>sale</w:t>
      </w:r>
      <w:r w:rsidR="00A03629">
        <w:t xml:space="preserve"> </w:t>
      </w:r>
      <w:r>
        <w:t>transaction</w:t>
      </w:r>
      <w:r w:rsidR="00A03629">
        <w:t xml:space="preserve"> </w:t>
      </w:r>
      <w:r>
        <w:t>rather</w:t>
      </w:r>
      <w:r w:rsidR="00A03629">
        <w:t xml:space="preserve"> </w:t>
      </w:r>
      <w:r>
        <w:t>than</w:t>
      </w:r>
      <w:r w:rsidR="00A03629">
        <w:t xml:space="preserve"> </w:t>
      </w:r>
      <w:r>
        <w:t>through</w:t>
      </w:r>
      <w:r w:rsidR="00A03629">
        <w:t xml:space="preserve"> </w:t>
      </w:r>
      <w:r>
        <w:t>continuing</w:t>
      </w:r>
      <w:r w:rsidR="00A03629">
        <w:t xml:space="preserve"> </w:t>
      </w:r>
      <w:r>
        <w:t>use.</w:t>
      </w:r>
    </w:p>
    <w:p w14:paraId="7346647C" w14:textId="6D9117C4" w:rsidR="000756EB" w:rsidRDefault="004A4D88" w:rsidP="00074E4C">
      <w:pPr>
        <w:pStyle w:val="Normalbeforebullets"/>
      </w:pPr>
      <w:r>
        <w:t>This</w:t>
      </w:r>
      <w:r w:rsidR="00A03629">
        <w:t xml:space="preserve"> </w:t>
      </w:r>
      <w:r>
        <w:t>condition</w:t>
      </w:r>
      <w:r w:rsidR="00A03629">
        <w:t xml:space="preserve"> </w:t>
      </w:r>
      <w:r>
        <w:t>is</w:t>
      </w:r>
      <w:r w:rsidR="00A03629">
        <w:t xml:space="preserve"> </w:t>
      </w:r>
      <w:r>
        <w:t>regarded</w:t>
      </w:r>
      <w:r w:rsidR="00A03629">
        <w:t xml:space="preserve"> </w:t>
      </w:r>
      <w:r>
        <w:t>as</w:t>
      </w:r>
      <w:r w:rsidR="00A03629">
        <w:t xml:space="preserve"> </w:t>
      </w:r>
      <w:r>
        <w:t>met</w:t>
      </w:r>
      <w:r w:rsidR="00A03629">
        <w:t xml:space="preserve"> </w:t>
      </w:r>
      <w:r>
        <w:t>only</w:t>
      </w:r>
      <w:r w:rsidR="00A03629">
        <w:t xml:space="preserve"> </w:t>
      </w:r>
      <w:r>
        <w:t>when:</w:t>
      </w:r>
    </w:p>
    <w:p w14:paraId="6E89E74C" w14:textId="1890A1CF" w:rsidR="000756EB" w:rsidRDefault="004A4D88" w:rsidP="00074E4C">
      <w:pPr>
        <w:pStyle w:val="Bullet"/>
      </w:pPr>
      <w:r>
        <w:t>the</w:t>
      </w:r>
      <w:r w:rsidR="00A03629">
        <w:t xml:space="preserve"> </w:t>
      </w:r>
      <w:r>
        <w:t>asset</w:t>
      </w:r>
      <w:r w:rsidR="00A03629">
        <w:t xml:space="preserve"> </w:t>
      </w:r>
      <w:r>
        <w:t>is</w:t>
      </w:r>
      <w:r w:rsidR="00A03629">
        <w:t xml:space="preserve"> </w:t>
      </w:r>
      <w:r>
        <w:t>available</w:t>
      </w:r>
      <w:r w:rsidR="00A03629">
        <w:t xml:space="preserve"> </w:t>
      </w:r>
      <w:r>
        <w:t>for</w:t>
      </w:r>
      <w:r w:rsidR="00A03629">
        <w:t xml:space="preserve"> </w:t>
      </w:r>
      <w:r>
        <w:t>immediate</w:t>
      </w:r>
      <w:r w:rsidR="00A03629">
        <w:t xml:space="preserve"> </w:t>
      </w:r>
      <w:r>
        <w:t>sale</w:t>
      </w:r>
      <w:r w:rsidR="00A03629">
        <w:t xml:space="preserve"> </w:t>
      </w:r>
      <w:r>
        <w:t>in</w:t>
      </w:r>
      <w:r w:rsidR="00A03629">
        <w:t xml:space="preserve"> </w:t>
      </w:r>
      <w:r>
        <w:t>the</w:t>
      </w:r>
      <w:r w:rsidR="00A03629">
        <w:t xml:space="preserve"> </w:t>
      </w:r>
      <w:r>
        <w:t>current</w:t>
      </w:r>
      <w:r w:rsidR="00A03629">
        <w:t xml:space="preserve"> </w:t>
      </w:r>
      <w:r>
        <w:t>condition,</w:t>
      </w:r>
      <w:r w:rsidR="00A03629">
        <w:t xml:space="preserve"> </w:t>
      </w:r>
      <w:r>
        <w:t>and</w:t>
      </w:r>
    </w:p>
    <w:p w14:paraId="3B7B515C" w14:textId="248D4C6F" w:rsidR="000756EB" w:rsidRDefault="004A4D88" w:rsidP="00074E4C">
      <w:pPr>
        <w:pStyle w:val="Bulletlast"/>
      </w:pPr>
      <w:r>
        <w:t>the</w:t>
      </w:r>
      <w:r w:rsidR="00A03629">
        <w:t xml:space="preserve"> </w:t>
      </w:r>
      <w:r>
        <w:t>sale</w:t>
      </w:r>
      <w:r w:rsidR="00A03629">
        <w:t xml:space="preserve"> </w:t>
      </w:r>
      <w:r>
        <w:t>is</w:t>
      </w:r>
      <w:r w:rsidR="00A03629">
        <w:t xml:space="preserve"> </w:t>
      </w:r>
      <w:r>
        <w:t>highly</w:t>
      </w:r>
      <w:r w:rsidR="00A03629">
        <w:t xml:space="preserve"> </w:t>
      </w:r>
      <w:proofErr w:type="gramStart"/>
      <w:r>
        <w:t>probable</w:t>
      </w:r>
      <w:proofErr w:type="gramEnd"/>
      <w:r w:rsidR="00A03629">
        <w:t xml:space="preserve"> </w:t>
      </w:r>
      <w:r>
        <w:t>and</w:t>
      </w:r>
      <w:r w:rsidR="00A03629">
        <w:t xml:space="preserve"> </w:t>
      </w:r>
      <w:r>
        <w:t>the</w:t>
      </w:r>
      <w:r w:rsidR="00A03629">
        <w:t xml:space="preserve"> </w:t>
      </w:r>
      <w:r>
        <w:t>asset’s</w:t>
      </w:r>
      <w:r w:rsidR="00A03629">
        <w:t xml:space="preserve"> </w:t>
      </w:r>
      <w:r>
        <w:t>sale</w:t>
      </w:r>
      <w:r w:rsidR="00A03629">
        <w:t xml:space="preserve"> </w:t>
      </w:r>
      <w:r>
        <w:t>is</w:t>
      </w:r>
      <w:r w:rsidR="00A03629">
        <w:t xml:space="preserve"> </w:t>
      </w:r>
      <w:r>
        <w:t>expected</w:t>
      </w:r>
      <w:r w:rsidR="00A03629">
        <w:t xml:space="preserve"> </w:t>
      </w:r>
      <w:r>
        <w:t>to</w:t>
      </w:r>
      <w:r w:rsidR="00A03629">
        <w:t xml:space="preserve"> </w:t>
      </w:r>
      <w:r>
        <w:t>be</w:t>
      </w:r>
      <w:r w:rsidR="00A03629">
        <w:t xml:space="preserve"> </w:t>
      </w:r>
      <w:r>
        <w:t>completed</w:t>
      </w:r>
      <w:r w:rsidR="00A03629">
        <w:t xml:space="preserve"> </w:t>
      </w:r>
      <w:r>
        <w:t>within</w:t>
      </w:r>
      <w:r w:rsidR="00A03629">
        <w:t xml:space="preserve"> </w:t>
      </w:r>
      <w:r>
        <w:t>12</w:t>
      </w:r>
      <w:r w:rsidR="00A03629">
        <w:t xml:space="preserve"> </w:t>
      </w:r>
      <w:r>
        <w:t>months</w:t>
      </w:r>
      <w:r w:rsidR="00A03629">
        <w:t xml:space="preserve"> </w:t>
      </w:r>
      <w:r>
        <w:t>from</w:t>
      </w:r>
      <w:r w:rsidR="00A03629">
        <w:t xml:space="preserve"> </w:t>
      </w:r>
      <w:r>
        <w:t>the</w:t>
      </w:r>
      <w:r w:rsidR="00A03629">
        <w:rPr>
          <w:rFonts w:ascii="Cambria" w:hAnsi="Cambria" w:cs="Cambria"/>
        </w:rPr>
        <w:t xml:space="preserve"> </w:t>
      </w:r>
      <w:r>
        <w:t>date</w:t>
      </w:r>
      <w:r w:rsidR="00A03629">
        <w:rPr>
          <w:rFonts w:ascii="Cambria" w:hAnsi="Cambria" w:cs="Cambria"/>
        </w:rPr>
        <w:t xml:space="preserve"> </w:t>
      </w:r>
      <w:r>
        <w:t>of</w:t>
      </w:r>
      <w:r w:rsidR="00A03629">
        <w:t xml:space="preserve"> </w:t>
      </w:r>
      <w:r>
        <w:t>classification.</w:t>
      </w:r>
    </w:p>
    <w:p w14:paraId="04ED0EEB" w14:textId="09775746" w:rsidR="000756EB" w:rsidRDefault="004A4D88" w:rsidP="00074E4C">
      <w:r>
        <w:t>These</w:t>
      </w:r>
      <w:r w:rsidR="00A03629">
        <w:t xml:space="preserve"> </w:t>
      </w:r>
      <w:r>
        <w:t>non-financial</w:t>
      </w:r>
      <w:r w:rsidR="00A03629">
        <w:t xml:space="preserve"> </w:t>
      </w:r>
      <w:r>
        <w:t>physical</w:t>
      </w:r>
      <w:r w:rsidR="00A03629">
        <w:t xml:space="preserve"> </w:t>
      </w:r>
      <w:r>
        <w:t>assets,</w:t>
      </w:r>
      <w:r w:rsidR="00A03629">
        <w:t xml:space="preserve"> </w:t>
      </w:r>
      <w:r>
        <w:t>related</w:t>
      </w:r>
      <w:r w:rsidR="00A03629">
        <w:t xml:space="preserve"> </w:t>
      </w:r>
      <w:r>
        <w:t>liabilities</w:t>
      </w:r>
      <w:r w:rsidR="00A03629">
        <w:t xml:space="preserve"> </w:t>
      </w:r>
      <w:r>
        <w:t>and</w:t>
      </w:r>
      <w:r w:rsidR="00A03629">
        <w:t xml:space="preserve"> </w:t>
      </w:r>
      <w:r>
        <w:t>financial</w:t>
      </w:r>
      <w:r w:rsidR="00A03629">
        <w:t xml:space="preserve"> </w:t>
      </w:r>
      <w:r>
        <w:t>assets</w:t>
      </w:r>
      <w:r w:rsidR="00A03629">
        <w:t xml:space="preserve"> </w:t>
      </w:r>
      <w:r>
        <w:t>are</w:t>
      </w:r>
      <w:r w:rsidR="00A03629">
        <w:t xml:space="preserve"> </w:t>
      </w:r>
      <w:r>
        <w:t>measured</w:t>
      </w:r>
      <w:r w:rsidR="00A03629">
        <w:t xml:space="preserve"> </w:t>
      </w:r>
      <w:r>
        <w:t>at</w:t>
      </w:r>
      <w:r w:rsidR="00A03629">
        <w:t xml:space="preserve"> </w:t>
      </w:r>
      <w:r>
        <w:t>the</w:t>
      </w:r>
      <w:r w:rsidR="00A03629">
        <w:t xml:space="preserve"> </w:t>
      </w:r>
      <w:r>
        <w:t>lower</w:t>
      </w:r>
      <w:r w:rsidR="00A03629">
        <w:t xml:space="preserve"> </w:t>
      </w:r>
      <w:r>
        <w:t>of</w:t>
      </w:r>
      <w:r w:rsidR="00A03629">
        <w:rPr>
          <w:rFonts w:ascii="Cambria" w:hAnsi="Cambria" w:cs="Cambria"/>
        </w:rPr>
        <w:t xml:space="preserve"> </w:t>
      </w:r>
      <w:r>
        <w:t>carrying</w:t>
      </w:r>
      <w:r w:rsidR="00A03629">
        <w:t xml:space="preserve"> </w:t>
      </w:r>
      <w:r>
        <w:t>amount</w:t>
      </w:r>
      <w:r w:rsidR="00A03629">
        <w:t xml:space="preserve"> </w:t>
      </w:r>
      <w:r>
        <w:t>and</w:t>
      </w:r>
      <w:r w:rsidR="00A03629">
        <w:t xml:space="preserve"> </w:t>
      </w:r>
      <w:r>
        <w:t>fair</w:t>
      </w:r>
      <w:r w:rsidR="00A03629">
        <w:t xml:space="preserve"> </w:t>
      </w:r>
      <w:r>
        <w:t>value</w:t>
      </w:r>
      <w:r w:rsidR="00A03629">
        <w:t xml:space="preserve"> </w:t>
      </w:r>
      <w:r>
        <w:t>less</w:t>
      </w:r>
      <w:r w:rsidR="00A03629">
        <w:t xml:space="preserve"> </w:t>
      </w:r>
      <w:r>
        <w:t>costs</w:t>
      </w:r>
      <w:r w:rsidR="00A03629">
        <w:t xml:space="preserve"> </w:t>
      </w:r>
      <w:r>
        <w:t>to</w:t>
      </w:r>
      <w:r w:rsidR="00A03629">
        <w:t xml:space="preserve"> </w:t>
      </w:r>
      <w:proofErr w:type="gramStart"/>
      <w:r>
        <w:t>sell,</w:t>
      </w:r>
      <w:r w:rsidR="00A03629">
        <w:t xml:space="preserve"> </w:t>
      </w:r>
      <w:r>
        <w:t>and</w:t>
      </w:r>
      <w:proofErr w:type="gramEnd"/>
      <w:r w:rsidR="00A03629">
        <w:t xml:space="preserve"> </w:t>
      </w:r>
      <w:r>
        <w:t>are</w:t>
      </w:r>
      <w:r w:rsidR="00A03629">
        <w:t xml:space="preserve"> </w:t>
      </w:r>
      <w:r>
        <w:t>not</w:t>
      </w:r>
      <w:r w:rsidR="00A03629">
        <w:t xml:space="preserve"> </w:t>
      </w:r>
      <w:r>
        <w:t>subject</w:t>
      </w:r>
      <w:r w:rsidR="00A03629">
        <w:t xml:space="preserve"> </w:t>
      </w:r>
      <w:r>
        <w:t>to</w:t>
      </w:r>
      <w:r w:rsidR="00A03629">
        <w:t xml:space="preserve"> </w:t>
      </w:r>
      <w:r>
        <w:t>depreciation</w:t>
      </w:r>
      <w:r w:rsidR="00A03629">
        <w:t xml:space="preserve"> </w:t>
      </w:r>
      <w:r>
        <w:t>or</w:t>
      </w:r>
      <w:r w:rsidR="00A03629">
        <w:t xml:space="preserve"> </w:t>
      </w:r>
      <w:r>
        <w:t>amortisation.</w:t>
      </w:r>
    </w:p>
    <w:p w14:paraId="69015672" w14:textId="4573DA14" w:rsidR="000756EB" w:rsidRDefault="004A4D88" w:rsidP="00074E4C">
      <w:pPr>
        <w:pStyle w:val="Heading2"/>
      </w:pPr>
      <w:bookmarkStart w:id="144" w:name="_Toc149911841"/>
      <w:r>
        <w:lastRenderedPageBreak/>
        <w:t>9.4</w:t>
      </w:r>
      <w:r w:rsidR="00DE38B5">
        <w:t xml:space="preserve"> </w:t>
      </w:r>
      <w:r>
        <w:t>Equity</w:t>
      </w:r>
      <w:r w:rsidR="00A03629">
        <w:t xml:space="preserve"> </w:t>
      </w:r>
      <w:r>
        <w:t>disclosure</w:t>
      </w:r>
      <w:bookmarkEnd w:id="144"/>
    </w:p>
    <w:p w14:paraId="735E4142" w14:textId="0DF49AD2" w:rsidR="000756EB" w:rsidRPr="00074E4C" w:rsidRDefault="004A4D88" w:rsidP="00074E4C">
      <w:pPr>
        <w:pStyle w:val="Normalbeforebullets"/>
        <w:rPr>
          <w:b/>
          <w:bCs/>
        </w:rPr>
      </w:pPr>
      <w:r w:rsidRPr="00074E4C">
        <w:rPr>
          <w:b/>
          <w:bCs/>
        </w:rPr>
        <w:t>Contributed</w:t>
      </w:r>
      <w:r w:rsidR="00A03629" w:rsidRPr="00074E4C">
        <w:rPr>
          <w:b/>
          <w:bCs/>
        </w:rPr>
        <w:t xml:space="preserve"> </w:t>
      </w:r>
      <w:r w:rsidRPr="00074E4C">
        <w:rPr>
          <w:b/>
          <w:bCs/>
        </w:rPr>
        <w:t>capital</w:t>
      </w:r>
    </w:p>
    <w:tbl>
      <w:tblPr>
        <w:tblStyle w:val="TableGrid"/>
        <w:tblW w:w="10201" w:type="dxa"/>
        <w:tblLayout w:type="fixed"/>
        <w:tblLook w:val="0020" w:firstRow="1" w:lastRow="0" w:firstColumn="0" w:lastColumn="0" w:noHBand="0" w:noVBand="0"/>
      </w:tblPr>
      <w:tblGrid>
        <w:gridCol w:w="6236"/>
        <w:gridCol w:w="1982"/>
        <w:gridCol w:w="1983"/>
      </w:tblGrid>
      <w:tr w:rsidR="000756EB" w:rsidRPr="00074E4C" w14:paraId="61FA5853" w14:textId="77777777" w:rsidTr="00074E4C">
        <w:trPr>
          <w:cantSplit/>
        </w:trPr>
        <w:tc>
          <w:tcPr>
            <w:tcW w:w="6236" w:type="dxa"/>
          </w:tcPr>
          <w:p w14:paraId="6D138841" w14:textId="77777777" w:rsidR="000756EB" w:rsidRPr="00074E4C" w:rsidRDefault="000756EB" w:rsidP="00074E4C">
            <w:pPr>
              <w:pStyle w:val="TableColumnHeading"/>
            </w:pPr>
            <w:bookmarkStart w:id="145" w:name="ColumnTitles_86"/>
            <w:bookmarkEnd w:id="145"/>
          </w:p>
        </w:tc>
        <w:tc>
          <w:tcPr>
            <w:tcW w:w="1982" w:type="dxa"/>
          </w:tcPr>
          <w:p w14:paraId="215F06A6" w14:textId="06A8C92F" w:rsidR="000756EB" w:rsidRPr="00074E4C" w:rsidRDefault="004A4D88" w:rsidP="00074E4C">
            <w:pPr>
              <w:pStyle w:val="TableColumnHeading"/>
              <w:jc w:val="right"/>
            </w:pPr>
            <w:r w:rsidRPr="00074E4C">
              <w:t>2023</w:t>
            </w:r>
            <w:r w:rsidR="00A03629" w:rsidRPr="00074E4C">
              <w:t xml:space="preserve"> </w:t>
            </w:r>
            <w:r w:rsidR="00074E4C" w:rsidRPr="00074E4C">
              <w:t>($</w:t>
            </w:r>
            <w:r w:rsidR="00074E4C">
              <w:t> </w:t>
            </w:r>
            <w:r w:rsidR="00074E4C" w:rsidRPr="00074E4C">
              <w:t>thousand)</w:t>
            </w:r>
          </w:p>
        </w:tc>
        <w:tc>
          <w:tcPr>
            <w:tcW w:w="1983" w:type="dxa"/>
          </w:tcPr>
          <w:p w14:paraId="558ECA79" w14:textId="11FE5F55" w:rsidR="000756EB" w:rsidRPr="00074E4C" w:rsidRDefault="004A4D88" w:rsidP="00074E4C">
            <w:pPr>
              <w:pStyle w:val="TableColumnHeading"/>
              <w:jc w:val="right"/>
            </w:pPr>
            <w:r w:rsidRPr="00074E4C">
              <w:t>2022</w:t>
            </w:r>
            <w:r w:rsidR="00074E4C">
              <w:t xml:space="preserve"> </w:t>
            </w:r>
            <w:r w:rsidR="00074E4C" w:rsidRPr="00074E4C">
              <w:t>($</w:t>
            </w:r>
            <w:r w:rsidR="00074E4C">
              <w:t> </w:t>
            </w:r>
            <w:r w:rsidR="00074E4C" w:rsidRPr="00074E4C">
              <w:t>thousand)</w:t>
            </w:r>
          </w:p>
        </w:tc>
      </w:tr>
      <w:tr w:rsidR="000756EB" w:rsidRPr="00074E4C" w14:paraId="351A8C4F" w14:textId="77777777" w:rsidTr="00074E4C">
        <w:trPr>
          <w:cantSplit/>
        </w:trPr>
        <w:tc>
          <w:tcPr>
            <w:tcW w:w="6236" w:type="dxa"/>
          </w:tcPr>
          <w:p w14:paraId="5C1B5638" w14:textId="41576CD7" w:rsidR="000756EB" w:rsidRPr="00074E4C" w:rsidRDefault="004A4D88" w:rsidP="00074E4C">
            <w:pPr>
              <w:pStyle w:val="TableCopy"/>
              <w:rPr>
                <w:b/>
                <w:bCs/>
              </w:rPr>
            </w:pPr>
            <w:r w:rsidRPr="00074E4C">
              <w:rPr>
                <w:b/>
                <w:bCs/>
              </w:rPr>
              <w:t>Balance</w:t>
            </w:r>
            <w:r w:rsidR="00A03629" w:rsidRPr="00074E4C">
              <w:rPr>
                <w:b/>
                <w:bCs/>
              </w:rPr>
              <w:t xml:space="preserve"> </w:t>
            </w:r>
            <w:r w:rsidRPr="00074E4C">
              <w:rPr>
                <w:b/>
                <w:bCs/>
              </w:rPr>
              <w:t>at</w:t>
            </w:r>
            <w:r w:rsidR="00A03629" w:rsidRPr="00074E4C">
              <w:rPr>
                <w:b/>
                <w:bCs/>
              </w:rPr>
              <w:t xml:space="preserve"> </w:t>
            </w:r>
            <w:r w:rsidRPr="00074E4C">
              <w:rPr>
                <w:b/>
                <w:bCs/>
              </w:rPr>
              <w:t>beginning</w:t>
            </w:r>
            <w:r w:rsidR="00A03629" w:rsidRPr="00074E4C">
              <w:rPr>
                <w:b/>
                <w:bCs/>
              </w:rPr>
              <w:t xml:space="preserve"> </w:t>
            </w:r>
            <w:r w:rsidRPr="00074E4C">
              <w:rPr>
                <w:b/>
                <w:bCs/>
              </w:rPr>
              <w:t>of</w:t>
            </w:r>
            <w:r w:rsidR="00A03629" w:rsidRPr="00074E4C">
              <w:rPr>
                <w:b/>
                <w:bCs/>
              </w:rPr>
              <w:t xml:space="preserve"> </w:t>
            </w:r>
            <w:r w:rsidRPr="00074E4C">
              <w:rPr>
                <w:b/>
                <w:bCs/>
              </w:rPr>
              <w:t>year</w:t>
            </w:r>
          </w:p>
        </w:tc>
        <w:tc>
          <w:tcPr>
            <w:tcW w:w="1982" w:type="dxa"/>
          </w:tcPr>
          <w:p w14:paraId="1FC79C08" w14:textId="455C1D8D" w:rsidR="000756EB" w:rsidRPr="00074E4C" w:rsidRDefault="004A4D88" w:rsidP="00074E4C">
            <w:pPr>
              <w:pStyle w:val="TableCopy"/>
              <w:jc w:val="right"/>
              <w:rPr>
                <w:b/>
                <w:bCs/>
              </w:rPr>
            </w:pPr>
            <w:r w:rsidRPr="00074E4C">
              <w:rPr>
                <w:b/>
                <w:bCs/>
              </w:rPr>
              <w:t>1,479,014</w:t>
            </w:r>
          </w:p>
        </w:tc>
        <w:tc>
          <w:tcPr>
            <w:tcW w:w="1983" w:type="dxa"/>
          </w:tcPr>
          <w:p w14:paraId="47B991C8" w14:textId="79E6888E" w:rsidR="000756EB" w:rsidRPr="00074E4C" w:rsidRDefault="004A4D88" w:rsidP="00074E4C">
            <w:pPr>
              <w:pStyle w:val="TableCopy"/>
              <w:jc w:val="right"/>
              <w:rPr>
                <w:b/>
                <w:bCs/>
              </w:rPr>
            </w:pPr>
            <w:r w:rsidRPr="00074E4C">
              <w:rPr>
                <w:b/>
                <w:bCs/>
              </w:rPr>
              <w:t>1,556,259</w:t>
            </w:r>
          </w:p>
        </w:tc>
      </w:tr>
      <w:tr w:rsidR="000756EB" w14:paraId="29125A7B" w14:textId="77777777" w:rsidTr="00074E4C">
        <w:trPr>
          <w:cantSplit/>
        </w:trPr>
        <w:tc>
          <w:tcPr>
            <w:tcW w:w="6236" w:type="dxa"/>
          </w:tcPr>
          <w:p w14:paraId="568586B1" w14:textId="3A2835AA" w:rsidR="000756EB" w:rsidRDefault="004A4D88" w:rsidP="00074E4C">
            <w:pPr>
              <w:pStyle w:val="TableCopy"/>
            </w:pPr>
            <w:r>
              <w:t>Capital</w:t>
            </w:r>
            <w:r w:rsidR="00A03629">
              <w:t xml:space="preserve"> </w:t>
            </w:r>
            <w:r>
              <w:t>appropriations</w:t>
            </w:r>
          </w:p>
        </w:tc>
        <w:tc>
          <w:tcPr>
            <w:tcW w:w="1982" w:type="dxa"/>
          </w:tcPr>
          <w:p w14:paraId="5B8D25E4" w14:textId="1C11A3BA" w:rsidR="000756EB" w:rsidRDefault="004A4D88" w:rsidP="00074E4C">
            <w:pPr>
              <w:pStyle w:val="TableCopy"/>
              <w:jc w:val="right"/>
            </w:pPr>
            <w:r>
              <w:t>325,626</w:t>
            </w:r>
          </w:p>
        </w:tc>
        <w:tc>
          <w:tcPr>
            <w:tcW w:w="1983" w:type="dxa"/>
          </w:tcPr>
          <w:p w14:paraId="50F383C1" w14:textId="6BC2DF06" w:rsidR="000756EB" w:rsidRDefault="004A4D88" w:rsidP="00074E4C">
            <w:pPr>
              <w:pStyle w:val="TableCopy"/>
              <w:jc w:val="right"/>
            </w:pPr>
            <w:r>
              <w:t>209,667</w:t>
            </w:r>
          </w:p>
        </w:tc>
      </w:tr>
      <w:tr w:rsidR="000756EB" w14:paraId="297C9ABA" w14:textId="77777777" w:rsidTr="00074E4C">
        <w:trPr>
          <w:cantSplit/>
        </w:trPr>
        <w:tc>
          <w:tcPr>
            <w:tcW w:w="6236" w:type="dxa"/>
          </w:tcPr>
          <w:p w14:paraId="4025F295" w14:textId="156813C6" w:rsidR="000756EB" w:rsidRDefault="004A4D88" w:rsidP="00074E4C">
            <w:pPr>
              <w:pStyle w:val="TableCopy"/>
            </w:pPr>
            <w:r>
              <w:t>Capital</w:t>
            </w:r>
            <w:r w:rsidR="00A03629">
              <w:t xml:space="preserve"> </w:t>
            </w:r>
            <w:r>
              <w:t>funding</w:t>
            </w:r>
            <w:r w:rsidR="00A03629">
              <w:t xml:space="preserve"> </w:t>
            </w:r>
            <w:r>
              <w:t>to</w:t>
            </w:r>
            <w:r w:rsidR="00A03629">
              <w:t xml:space="preserve"> </w:t>
            </w:r>
            <w:r>
              <w:t>agencies</w:t>
            </w:r>
            <w:r w:rsidR="00A03629">
              <w:t xml:space="preserve"> </w:t>
            </w:r>
            <w:r>
              <w:t>within</w:t>
            </w:r>
            <w:r w:rsidR="00A03629">
              <w:t xml:space="preserve"> </w:t>
            </w:r>
            <w:r>
              <w:t>portfolio</w:t>
            </w:r>
          </w:p>
        </w:tc>
        <w:tc>
          <w:tcPr>
            <w:tcW w:w="1982" w:type="dxa"/>
          </w:tcPr>
          <w:p w14:paraId="0AD80610" w14:textId="77777777" w:rsidR="000756EB" w:rsidRDefault="004A4D88" w:rsidP="00074E4C">
            <w:pPr>
              <w:pStyle w:val="TableCopy"/>
              <w:jc w:val="right"/>
            </w:pPr>
            <w:r>
              <w:t>(247,964)</w:t>
            </w:r>
          </w:p>
        </w:tc>
        <w:tc>
          <w:tcPr>
            <w:tcW w:w="1983" w:type="dxa"/>
          </w:tcPr>
          <w:p w14:paraId="1C6D55AD" w14:textId="77777777" w:rsidR="000756EB" w:rsidRDefault="004A4D88" w:rsidP="00074E4C">
            <w:pPr>
              <w:pStyle w:val="TableCopy"/>
              <w:jc w:val="right"/>
            </w:pPr>
            <w:r>
              <w:t>(274,540)</w:t>
            </w:r>
          </w:p>
        </w:tc>
      </w:tr>
      <w:tr w:rsidR="000756EB" w14:paraId="79DF7A9F" w14:textId="77777777" w:rsidTr="00074E4C">
        <w:trPr>
          <w:cantSplit/>
        </w:trPr>
        <w:tc>
          <w:tcPr>
            <w:tcW w:w="6236" w:type="dxa"/>
          </w:tcPr>
          <w:p w14:paraId="2C4892FC" w14:textId="40B35686" w:rsidR="000756EB" w:rsidRDefault="004A4D88" w:rsidP="00074E4C">
            <w:pPr>
              <w:pStyle w:val="TableCopy"/>
            </w:pPr>
            <w:r>
              <w:t>Sec</w:t>
            </w:r>
            <w:r w:rsidR="00A03629">
              <w:t xml:space="preserve"> </w:t>
            </w:r>
            <w:r>
              <w:t>53(b)</w:t>
            </w:r>
            <w:r w:rsidR="00A03629">
              <w:t xml:space="preserve"> </w:t>
            </w:r>
            <w:r>
              <w:t>entity</w:t>
            </w:r>
            <w:r w:rsidR="00A03629">
              <w:t xml:space="preserve"> </w:t>
            </w:r>
            <w:r>
              <w:t>no</w:t>
            </w:r>
            <w:r w:rsidR="00A03629">
              <w:t xml:space="preserve"> </w:t>
            </w:r>
            <w:r>
              <w:t>longer</w:t>
            </w:r>
            <w:r w:rsidR="00A03629">
              <w:t xml:space="preserve"> </w:t>
            </w:r>
            <w:r>
              <w:t>consolidated</w:t>
            </w:r>
          </w:p>
        </w:tc>
        <w:tc>
          <w:tcPr>
            <w:tcW w:w="1982" w:type="dxa"/>
          </w:tcPr>
          <w:p w14:paraId="773B96F9" w14:textId="77777777" w:rsidR="000756EB" w:rsidRDefault="004A4D88" w:rsidP="00074E4C">
            <w:pPr>
              <w:pStyle w:val="TableCopy"/>
              <w:jc w:val="right"/>
            </w:pPr>
            <w:r>
              <w:t>(4,629)</w:t>
            </w:r>
          </w:p>
        </w:tc>
        <w:tc>
          <w:tcPr>
            <w:tcW w:w="1983" w:type="dxa"/>
          </w:tcPr>
          <w:p w14:paraId="441BCEF6" w14:textId="58E7DDD4" w:rsidR="000756EB" w:rsidRDefault="004A4D88" w:rsidP="00074E4C">
            <w:pPr>
              <w:pStyle w:val="TableCopy"/>
              <w:jc w:val="right"/>
            </w:pPr>
            <w:r>
              <w:t>–</w:t>
            </w:r>
          </w:p>
        </w:tc>
      </w:tr>
      <w:tr w:rsidR="000756EB" w14:paraId="3B831A3D" w14:textId="77777777" w:rsidTr="00074E4C">
        <w:trPr>
          <w:cantSplit/>
        </w:trPr>
        <w:tc>
          <w:tcPr>
            <w:tcW w:w="6236" w:type="dxa"/>
          </w:tcPr>
          <w:p w14:paraId="0D701C01" w14:textId="2DABDC41" w:rsidR="000756EB" w:rsidRDefault="004A4D88" w:rsidP="00074E4C">
            <w:pPr>
              <w:pStyle w:val="TableCopy"/>
            </w:pPr>
            <w:r>
              <w:t>Administrative</w:t>
            </w:r>
            <w:r w:rsidR="00A03629">
              <w:t xml:space="preserve"> </w:t>
            </w:r>
            <w:r>
              <w:t>restructure</w:t>
            </w:r>
            <w:r w:rsidR="00A03629">
              <w:t xml:space="preserve"> </w:t>
            </w:r>
            <w:r>
              <w:t>–</w:t>
            </w:r>
            <w:r w:rsidR="00A03629">
              <w:t xml:space="preserve"> </w:t>
            </w:r>
            <w:r>
              <w:t>net</w:t>
            </w:r>
            <w:r w:rsidR="00A03629">
              <w:t xml:space="preserve"> </w:t>
            </w:r>
            <w:r>
              <w:t>assets</w:t>
            </w:r>
            <w:r w:rsidR="00A03629">
              <w:t xml:space="preserve"> </w:t>
            </w:r>
            <w:r>
              <w:t>transferred</w:t>
            </w:r>
          </w:p>
        </w:tc>
        <w:tc>
          <w:tcPr>
            <w:tcW w:w="1982" w:type="dxa"/>
          </w:tcPr>
          <w:p w14:paraId="20EEF7C1" w14:textId="77777777" w:rsidR="000756EB" w:rsidRDefault="004A4D88" w:rsidP="00074E4C">
            <w:pPr>
              <w:pStyle w:val="TableCopy"/>
              <w:jc w:val="right"/>
            </w:pPr>
            <w:r>
              <w:t>(806,708)</w:t>
            </w:r>
          </w:p>
        </w:tc>
        <w:tc>
          <w:tcPr>
            <w:tcW w:w="1983" w:type="dxa"/>
          </w:tcPr>
          <w:p w14:paraId="0AA37318" w14:textId="7D9E7997" w:rsidR="000756EB" w:rsidRDefault="004A4D88" w:rsidP="00074E4C">
            <w:pPr>
              <w:pStyle w:val="TableCopy"/>
              <w:jc w:val="right"/>
            </w:pPr>
            <w:r>
              <w:t>–</w:t>
            </w:r>
          </w:p>
        </w:tc>
      </w:tr>
      <w:tr w:rsidR="000756EB" w14:paraId="115F2D35" w14:textId="77777777" w:rsidTr="00074E4C">
        <w:trPr>
          <w:cantSplit/>
        </w:trPr>
        <w:tc>
          <w:tcPr>
            <w:tcW w:w="6236" w:type="dxa"/>
          </w:tcPr>
          <w:p w14:paraId="2F926AAE" w14:textId="76E5BEF8" w:rsidR="000756EB" w:rsidRDefault="004A4D88" w:rsidP="00074E4C">
            <w:pPr>
              <w:pStyle w:val="TableCopy"/>
            </w:pPr>
            <w:r>
              <w:t>Administrative</w:t>
            </w:r>
            <w:r w:rsidR="00A03629">
              <w:t xml:space="preserve"> </w:t>
            </w:r>
            <w:r>
              <w:t>restructure</w:t>
            </w:r>
            <w:r w:rsidR="00A03629">
              <w:t xml:space="preserve"> </w:t>
            </w:r>
            <w:r>
              <w:t>–</w:t>
            </w:r>
            <w:r w:rsidR="00A03629">
              <w:t xml:space="preserve"> </w:t>
            </w:r>
            <w:r>
              <w:t>net</w:t>
            </w:r>
            <w:r w:rsidR="00A03629">
              <w:t xml:space="preserve"> </w:t>
            </w:r>
            <w:r>
              <w:t>assets</w:t>
            </w:r>
            <w:r w:rsidR="00A03629">
              <w:t xml:space="preserve"> </w:t>
            </w:r>
            <w:r>
              <w:t>received</w:t>
            </w:r>
          </w:p>
        </w:tc>
        <w:tc>
          <w:tcPr>
            <w:tcW w:w="1982" w:type="dxa"/>
          </w:tcPr>
          <w:p w14:paraId="1F136ADB" w14:textId="43ABA053" w:rsidR="000756EB" w:rsidRDefault="004A4D88" w:rsidP="00074E4C">
            <w:pPr>
              <w:pStyle w:val="TableCopy"/>
              <w:jc w:val="right"/>
            </w:pPr>
            <w:r>
              <w:t>267,346</w:t>
            </w:r>
          </w:p>
        </w:tc>
        <w:tc>
          <w:tcPr>
            <w:tcW w:w="1983" w:type="dxa"/>
          </w:tcPr>
          <w:p w14:paraId="46F71EA3" w14:textId="69361CAB" w:rsidR="000756EB" w:rsidRDefault="004A4D88" w:rsidP="00074E4C">
            <w:pPr>
              <w:pStyle w:val="TableCopy"/>
              <w:jc w:val="right"/>
            </w:pPr>
            <w:r>
              <w:t>–</w:t>
            </w:r>
          </w:p>
        </w:tc>
      </w:tr>
      <w:tr w:rsidR="000756EB" w14:paraId="202A6805" w14:textId="77777777" w:rsidTr="00074E4C">
        <w:trPr>
          <w:cantSplit/>
        </w:trPr>
        <w:tc>
          <w:tcPr>
            <w:tcW w:w="6236" w:type="dxa"/>
          </w:tcPr>
          <w:p w14:paraId="0B560381" w14:textId="7EC029AD" w:rsidR="000756EB" w:rsidRDefault="004A4D88" w:rsidP="00074E4C">
            <w:pPr>
              <w:pStyle w:val="TableCopy"/>
            </w:pPr>
            <w:r>
              <w:t>Return</w:t>
            </w:r>
            <w:r w:rsidR="00A03629">
              <w:t xml:space="preserve"> </w:t>
            </w:r>
            <w:r>
              <w:t>of</w:t>
            </w:r>
            <w:r w:rsidR="00A03629">
              <w:t xml:space="preserve"> </w:t>
            </w:r>
            <w:r>
              <w:t>capital</w:t>
            </w:r>
          </w:p>
        </w:tc>
        <w:tc>
          <w:tcPr>
            <w:tcW w:w="1982" w:type="dxa"/>
          </w:tcPr>
          <w:p w14:paraId="7DD116A5" w14:textId="263D1B80" w:rsidR="000756EB" w:rsidRDefault="004A4D88" w:rsidP="00074E4C">
            <w:pPr>
              <w:pStyle w:val="TableCopy"/>
              <w:jc w:val="right"/>
            </w:pPr>
            <w:r>
              <w:t>–</w:t>
            </w:r>
          </w:p>
        </w:tc>
        <w:tc>
          <w:tcPr>
            <w:tcW w:w="1983" w:type="dxa"/>
          </w:tcPr>
          <w:p w14:paraId="595EAD47" w14:textId="77777777" w:rsidR="000756EB" w:rsidRDefault="004A4D88" w:rsidP="00074E4C">
            <w:pPr>
              <w:pStyle w:val="TableCopy"/>
              <w:jc w:val="right"/>
            </w:pPr>
            <w:r>
              <w:t>(12,372)</w:t>
            </w:r>
          </w:p>
        </w:tc>
      </w:tr>
      <w:tr w:rsidR="000756EB" w:rsidRPr="00074E4C" w14:paraId="42C36490" w14:textId="77777777" w:rsidTr="00074E4C">
        <w:trPr>
          <w:cantSplit/>
        </w:trPr>
        <w:tc>
          <w:tcPr>
            <w:tcW w:w="6236" w:type="dxa"/>
          </w:tcPr>
          <w:p w14:paraId="15E53886" w14:textId="263666A6" w:rsidR="000756EB" w:rsidRPr="00074E4C" w:rsidRDefault="004A4D88" w:rsidP="00074E4C">
            <w:pPr>
              <w:pStyle w:val="TableCopy"/>
              <w:rPr>
                <w:b/>
                <w:bCs/>
              </w:rPr>
            </w:pPr>
            <w:r w:rsidRPr="00074E4C">
              <w:rPr>
                <w:b/>
                <w:bCs/>
              </w:rPr>
              <w:t>Balance</w:t>
            </w:r>
            <w:r w:rsidR="00A03629" w:rsidRPr="00074E4C">
              <w:rPr>
                <w:b/>
                <w:bCs/>
              </w:rPr>
              <w:t xml:space="preserve"> </w:t>
            </w:r>
            <w:r w:rsidRPr="00074E4C">
              <w:rPr>
                <w:b/>
                <w:bCs/>
              </w:rPr>
              <w:t>at</w:t>
            </w:r>
            <w:r w:rsidR="00A03629" w:rsidRPr="00074E4C">
              <w:rPr>
                <w:b/>
                <w:bCs/>
              </w:rPr>
              <w:t xml:space="preserve"> </w:t>
            </w:r>
            <w:r w:rsidRPr="00074E4C">
              <w:rPr>
                <w:b/>
                <w:bCs/>
              </w:rPr>
              <w:t>end</w:t>
            </w:r>
            <w:r w:rsidR="00A03629" w:rsidRPr="00074E4C">
              <w:rPr>
                <w:b/>
                <w:bCs/>
              </w:rPr>
              <w:t xml:space="preserve"> </w:t>
            </w:r>
            <w:r w:rsidRPr="00074E4C">
              <w:rPr>
                <w:b/>
                <w:bCs/>
              </w:rPr>
              <w:t>of</w:t>
            </w:r>
            <w:r w:rsidR="00A03629" w:rsidRPr="00074E4C">
              <w:rPr>
                <w:b/>
                <w:bCs/>
              </w:rPr>
              <w:t xml:space="preserve"> </w:t>
            </w:r>
            <w:r w:rsidRPr="00074E4C">
              <w:rPr>
                <w:b/>
                <w:bCs/>
              </w:rPr>
              <w:t>the</w:t>
            </w:r>
            <w:r w:rsidR="00A03629" w:rsidRPr="00074E4C">
              <w:rPr>
                <w:b/>
                <w:bCs/>
              </w:rPr>
              <w:t xml:space="preserve"> </w:t>
            </w:r>
            <w:r w:rsidRPr="00074E4C">
              <w:rPr>
                <w:b/>
                <w:bCs/>
              </w:rPr>
              <w:t>year</w:t>
            </w:r>
          </w:p>
        </w:tc>
        <w:tc>
          <w:tcPr>
            <w:tcW w:w="1982" w:type="dxa"/>
          </w:tcPr>
          <w:p w14:paraId="15B622B5" w14:textId="1154B314" w:rsidR="000756EB" w:rsidRPr="00074E4C" w:rsidRDefault="004A4D88" w:rsidP="00074E4C">
            <w:pPr>
              <w:pStyle w:val="TableCopy"/>
              <w:jc w:val="right"/>
              <w:rPr>
                <w:b/>
                <w:bCs/>
              </w:rPr>
            </w:pPr>
            <w:r w:rsidRPr="00074E4C">
              <w:rPr>
                <w:b/>
                <w:bCs/>
              </w:rPr>
              <w:t>1,012,685</w:t>
            </w:r>
          </w:p>
        </w:tc>
        <w:tc>
          <w:tcPr>
            <w:tcW w:w="1983" w:type="dxa"/>
          </w:tcPr>
          <w:p w14:paraId="075E2BCF" w14:textId="7966B4DE" w:rsidR="000756EB" w:rsidRPr="00074E4C" w:rsidRDefault="004A4D88" w:rsidP="00074E4C">
            <w:pPr>
              <w:pStyle w:val="TableCopy"/>
              <w:jc w:val="right"/>
              <w:rPr>
                <w:b/>
                <w:bCs/>
              </w:rPr>
            </w:pPr>
            <w:r w:rsidRPr="00074E4C">
              <w:rPr>
                <w:b/>
                <w:bCs/>
              </w:rPr>
              <w:t>1,479,014</w:t>
            </w:r>
          </w:p>
        </w:tc>
      </w:tr>
    </w:tbl>
    <w:p w14:paraId="5CF5C346" w14:textId="77777777" w:rsidR="000756EB" w:rsidRDefault="000756EB" w:rsidP="00074E4C"/>
    <w:p w14:paraId="5759FCDB" w14:textId="4C1380F0" w:rsidR="000756EB" w:rsidRPr="00074E4C" w:rsidRDefault="004A4D88" w:rsidP="00074E4C">
      <w:pPr>
        <w:pStyle w:val="Normalbeforebullets"/>
        <w:rPr>
          <w:b/>
          <w:bCs/>
        </w:rPr>
      </w:pPr>
      <w:r w:rsidRPr="00074E4C">
        <w:rPr>
          <w:b/>
          <w:bCs/>
        </w:rPr>
        <w:t>Capital</w:t>
      </w:r>
      <w:r w:rsidR="00A03629" w:rsidRPr="00074E4C">
        <w:rPr>
          <w:b/>
          <w:bCs/>
        </w:rPr>
        <w:t xml:space="preserve"> </w:t>
      </w:r>
      <w:r w:rsidRPr="00074E4C">
        <w:rPr>
          <w:b/>
          <w:bCs/>
        </w:rPr>
        <w:t>funding</w:t>
      </w:r>
      <w:r w:rsidR="00A03629" w:rsidRPr="00074E4C">
        <w:rPr>
          <w:b/>
          <w:bCs/>
        </w:rPr>
        <w:t xml:space="preserve"> </w:t>
      </w:r>
      <w:r w:rsidRPr="00074E4C">
        <w:rPr>
          <w:b/>
          <w:bCs/>
        </w:rPr>
        <w:t>to</w:t>
      </w:r>
      <w:r w:rsidR="00A03629" w:rsidRPr="00074E4C">
        <w:rPr>
          <w:b/>
          <w:bCs/>
        </w:rPr>
        <w:t xml:space="preserve"> </w:t>
      </w:r>
      <w:r w:rsidRPr="00074E4C">
        <w:rPr>
          <w:b/>
          <w:bCs/>
        </w:rPr>
        <w:t>agencies</w:t>
      </w:r>
      <w:r w:rsidR="00A03629" w:rsidRPr="00074E4C">
        <w:rPr>
          <w:b/>
          <w:bCs/>
        </w:rPr>
        <w:t xml:space="preserve"> </w:t>
      </w:r>
      <w:r w:rsidRPr="00074E4C">
        <w:rPr>
          <w:b/>
          <w:bCs/>
        </w:rPr>
        <w:t>within</w:t>
      </w:r>
      <w:r w:rsidR="00A03629" w:rsidRPr="00074E4C">
        <w:rPr>
          <w:b/>
          <w:bCs/>
        </w:rPr>
        <w:t xml:space="preserve"> </w:t>
      </w:r>
      <w:r w:rsidRPr="00074E4C">
        <w:rPr>
          <w:b/>
          <w:bCs/>
        </w:rPr>
        <w:t>portfolio</w:t>
      </w:r>
    </w:p>
    <w:tbl>
      <w:tblPr>
        <w:tblStyle w:val="TableGrid"/>
        <w:tblW w:w="10201" w:type="dxa"/>
        <w:tblLayout w:type="fixed"/>
        <w:tblLook w:val="0020" w:firstRow="1" w:lastRow="0" w:firstColumn="0" w:lastColumn="0" w:noHBand="0" w:noVBand="0"/>
      </w:tblPr>
      <w:tblGrid>
        <w:gridCol w:w="6236"/>
        <w:gridCol w:w="1982"/>
        <w:gridCol w:w="1983"/>
      </w:tblGrid>
      <w:tr w:rsidR="00074E4C" w:rsidRPr="00074E4C" w14:paraId="33FE9E35" w14:textId="77777777" w:rsidTr="00D40F1B">
        <w:trPr>
          <w:cantSplit/>
          <w:tblHeader/>
        </w:trPr>
        <w:tc>
          <w:tcPr>
            <w:tcW w:w="6236" w:type="dxa"/>
          </w:tcPr>
          <w:p w14:paraId="26A7F270" w14:textId="77777777" w:rsidR="00074E4C" w:rsidRPr="00074E4C" w:rsidRDefault="00074E4C" w:rsidP="00E96CAF">
            <w:pPr>
              <w:pStyle w:val="TableColumnHeading"/>
            </w:pPr>
            <w:bookmarkStart w:id="146" w:name="ColumnTitles_87"/>
            <w:bookmarkEnd w:id="146"/>
          </w:p>
        </w:tc>
        <w:tc>
          <w:tcPr>
            <w:tcW w:w="1982" w:type="dxa"/>
          </w:tcPr>
          <w:p w14:paraId="140C7E98" w14:textId="77777777" w:rsidR="00074E4C" w:rsidRPr="00074E4C" w:rsidRDefault="00074E4C" w:rsidP="00D40F1B">
            <w:pPr>
              <w:pStyle w:val="TableColumnHeading"/>
              <w:jc w:val="right"/>
            </w:pPr>
            <w:r w:rsidRPr="00074E4C">
              <w:t>2023 ($</w:t>
            </w:r>
            <w:r>
              <w:t> </w:t>
            </w:r>
            <w:r w:rsidRPr="00074E4C">
              <w:t>thousand)</w:t>
            </w:r>
          </w:p>
        </w:tc>
        <w:tc>
          <w:tcPr>
            <w:tcW w:w="1983" w:type="dxa"/>
          </w:tcPr>
          <w:p w14:paraId="3E6140C5" w14:textId="77777777" w:rsidR="00074E4C" w:rsidRPr="00074E4C" w:rsidRDefault="00074E4C" w:rsidP="00D40F1B">
            <w:pPr>
              <w:pStyle w:val="TableColumnHeading"/>
              <w:jc w:val="right"/>
            </w:pPr>
            <w:r w:rsidRPr="00074E4C">
              <w:t>2022</w:t>
            </w:r>
            <w:r>
              <w:t xml:space="preserve"> </w:t>
            </w:r>
            <w:r w:rsidRPr="00074E4C">
              <w:t>($</w:t>
            </w:r>
            <w:r>
              <w:t> </w:t>
            </w:r>
            <w:r w:rsidRPr="00074E4C">
              <w:t>thousand)</w:t>
            </w:r>
          </w:p>
        </w:tc>
      </w:tr>
      <w:tr w:rsidR="000756EB" w14:paraId="03320134" w14:textId="77777777" w:rsidTr="00D40F1B">
        <w:trPr>
          <w:cantSplit/>
        </w:trPr>
        <w:tc>
          <w:tcPr>
            <w:tcW w:w="6236" w:type="dxa"/>
          </w:tcPr>
          <w:p w14:paraId="7756255B" w14:textId="782F8679" w:rsidR="000756EB" w:rsidRDefault="004A4D88" w:rsidP="00D40F1B">
            <w:pPr>
              <w:pStyle w:val="TableCopy"/>
            </w:pPr>
            <w:r>
              <w:t>Melbourne</w:t>
            </w:r>
            <w:r w:rsidR="00A03629">
              <w:t xml:space="preserve"> </w:t>
            </w:r>
            <w:r>
              <w:t>and</w:t>
            </w:r>
            <w:r w:rsidR="00A03629">
              <w:t xml:space="preserve"> </w:t>
            </w:r>
            <w:r>
              <w:t>Olympic</w:t>
            </w:r>
            <w:r w:rsidR="00A03629">
              <w:t xml:space="preserve"> </w:t>
            </w:r>
            <w:r>
              <w:t>Parks</w:t>
            </w:r>
            <w:r w:rsidR="00A03629">
              <w:t xml:space="preserve"> </w:t>
            </w:r>
            <w:r>
              <w:t>Trust</w:t>
            </w:r>
          </w:p>
        </w:tc>
        <w:tc>
          <w:tcPr>
            <w:tcW w:w="1982" w:type="dxa"/>
          </w:tcPr>
          <w:p w14:paraId="3EE409FF" w14:textId="249BD961" w:rsidR="000756EB" w:rsidRDefault="004A4D88" w:rsidP="00D40F1B">
            <w:pPr>
              <w:pStyle w:val="TableCopy"/>
              <w:jc w:val="right"/>
            </w:pPr>
            <w:r>
              <w:t>–</w:t>
            </w:r>
          </w:p>
        </w:tc>
        <w:tc>
          <w:tcPr>
            <w:tcW w:w="1983" w:type="dxa"/>
          </w:tcPr>
          <w:p w14:paraId="4D6051E1" w14:textId="77777777" w:rsidR="000756EB" w:rsidRDefault="004A4D88" w:rsidP="00D40F1B">
            <w:pPr>
              <w:pStyle w:val="TableCopy"/>
              <w:jc w:val="right"/>
            </w:pPr>
            <w:r>
              <w:t>(35,661)</w:t>
            </w:r>
          </w:p>
        </w:tc>
      </w:tr>
      <w:tr w:rsidR="000756EB" w14:paraId="41829BBD" w14:textId="77777777" w:rsidTr="00D40F1B">
        <w:trPr>
          <w:cantSplit/>
        </w:trPr>
        <w:tc>
          <w:tcPr>
            <w:tcW w:w="6236" w:type="dxa"/>
          </w:tcPr>
          <w:p w14:paraId="3064E0EA" w14:textId="76620C0F" w:rsidR="000756EB" w:rsidRDefault="004A4D88" w:rsidP="00D40F1B">
            <w:pPr>
              <w:pStyle w:val="TableCopy"/>
            </w:pPr>
            <w:r>
              <w:t>State</w:t>
            </w:r>
            <w:r w:rsidR="00A03629">
              <w:t xml:space="preserve"> </w:t>
            </w:r>
            <w:r>
              <w:t>Sports</w:t>
            </w:r>
            <w:r w:rsidR="00A03629">
              <w:t xml:space="preserve"> </w:t>
            </w:r>
            <w:r>
              <w:t>Centre</w:t>
            </w:r>
            <w:r w:rsidR="00A03629">
              <w:t xml:space="preserve"> </w:t>
            </w:r>
            <w:r>
              <w:t>Trust</w:t>
            </w:r>
          </w:p>
        </w:tc>
        <w:tc>
          <w:tcPr>
            <w:tcW w:w="1982" w:type="dxa"/>
          </w:tcPr>
          <w:p w14:paraId="29152D41" w14:textId="77777777" w:rsidR="000756EB" w:rsidRDefault="004A4D88" w:rsidP="00D40F1B">
            <w:pPr>
              <w:pStyle w:val="TableCopy"/>
              <w:jc w:val="right"/>
            </w:pPr>
            <w:r>
              <w:t>(76,690)</w:t>
            </w:r>
          </w:p>
        </w:tc>
        <w:tc>
          <w:tcPr>
            <w:tcW w:w="1983" w:type="dxa"/>
          </w:tcPr>
          <w:p w14:paraId="2C75E298" w14:textId="77777777" w:rsidR="000756EB" w:rsidRDefault="004A4D88" w:rsidP="00D40F1B">
            <w:pPr>
              <w:pStyle w:val="TableCopy"/>
              <w:jc w:val="right"/>
            </w:pPr>
            <w:r>
              <w:t>(51,950)</w:t>
            </w:r>
          </w:p>
        </w:tc>
      </w:tr>
      <w:tr w:rsidR="000756EB" w14:paraId="341266B4" w14:textId="77777777" w:rsidTr="00D40F1B">
        <w:trPr>
          <w:cantSplit/>
        </w:trPr>
        <w:tc>
          <w:tcPr>
            <w:tcW w:w="6236" w:type="dxa"/>
          </w:tcPr>
          <w:p w14:paraId="4A9D762E" w14:textId="31FB3D8F" w:rsidR="000756EB" w:rsidRDefault="004A4D88" w:rsidP="00D40F1B">
            <w:pPr>
              <w:pStyle w:val="TableCopy"/>
            </w:pPr>
            <w:r>
              <w:t>Museum</w:t>
            </w:r>
            <w:r w:rsidR="00A03629">
              <w:t xml:space="preserve"> </w:t>
            </w:r>
            <w:r>
              <w:t>Board</w:t>
            </w:r>
            <w:r w:rsidR="00A03629">
              <w:t xml:space="preserve"> </w:t>
            </w:r>
            <w:r>
              <w:t>of</w:t>
            </w:r>
            <w:r w:rsidR="00A03629">
              <w:t xml:space="preserve"> </w:t>
            </w:r>
            <w:r>
              <w:t>Victoria</w:t>
            </w:r>
          </w:p>
        </w:tc>
        <w:tc>
          <w:tcPr>
            <w:tcW w:w="1982" w:type="dxa"/>
          </w:tcPr>
          <w:p w14:paraId="15CB985B" w14:textId="77777777" w:rsidR="000756EB" w:rsidRDefault="004A4D88" w:rsidP="00D40F1B">
            <w:pPr>
              <w:pStyle w:val="TableCopy"/>
              <w:jc w:val="right"/>
            </w:pPr>
            <w:r>
              <w:t>(554)</w:t>
            </w:r>
          </w:p>
        </w:tc>
        <w:tc>
          <w:tcPr>
            <w:tcW w:w="1983" w:type="dxa"/>
          </w:tcPr>
          <w:p w14:paraId="3EA0A623" w14:textId="77777777" w:rsidR="000756EB" w:rsidRDefault="004A4D88" w:rsidP="00D40F1B">
            <w:pPr>
              <w:pStyle w:val="TableCopy"/>
              <w:jc w:val="right"/>
            </w:pPr>
            <w:r>
              <w:t>(19,943)</w:t>
            </w:r>
          </w:p>
        </w:tc>
      </w:tr>
      <w:tr w:rsidR="000756EB" w14:paraId="009ED985" w14:textId="77777777" w:rsidTr="00D40F1B">
        <w:trPr>
          <w:cantSplit/>
        </w:trPr>
        <w:tc>
          <w:tcPr>
            <w:tcW w:w="6236" w:type="dxa"/>
          </w:tcPr>
          <w:p w14:paraId="40FAE700" w14:textId="57A15917" w:rsidR="000756EB" w:rsidRDefault="004A4D88" w:rsidP="00D40F1B">
            <w:pPr>
              <w:pStyle w:val="TableCopy"/>
            </w:pPr>
            <w:r>
              <w:t>Victorian</w:t>
            </w:r>
            <w:r w:rsidR="00A03629">
              <w:t xml:space="preserve"> </w:t>
            </w:r>
            <w:r>
              <w:t>Arts</w:t>
            </w:r>
            <w:r w:rsidR="00A03629">
              <w:t xml:space="preserve"> </w:t>
            </w:r>
            <w:r>
              <w:t>Centre</w:t>
            </w:r>
            <w:r w:rsidR="00A03629">
              <w:t xml:space="preserve"> </w:t>
            </w:r>
            <w:r>
              <w:t>Trust</w:t>
            </w:r>
          </w:p>
        </w:tc>
        <w:tc>
          <w:tcPr>
            <w:tcW w:w="1982" w:type="dxa"/>
          </w:tcPr>
          <w:p w14:paraId="747CBC25" w14:textId="77777777" w:rsidR="000756EB" w:rsidRDefault="004A4D88" w:rsidP="00D40F1B">
            <w:pPr>
              <w:pStyle w:val="TableCopy"/>
              <w:jc w:val="right"/>
            </w:pPr>
            <w:r>
              <w:t>(30,210)</w:t>
            </w:r>
          </w:p>
        </w:tc>
        <w:tc>
          <w:tcPr>
            <w:tcW w:w="1983" w:type="dxa"/>
          </w:tcPr>
          <w:p w14:paraId="704ACCC7" w14:textId="77777777" w:rsidR="000756EB" w:rsidRDefault="004A4D88" w:rsidP="00D40F1B">
            <w:pPr>
              <w:pStyle w:val="TableCopy"/>
              <w:jc w:val="right"/>
            </w:pPr>
            <w:r>
              <w:t>(11,955)</w:t>
            </w:r>
          </w:p>
        </w:tc>
      </w:tr>
      <w:tr w:rsidR="000756EB" w14:paraId="5082AAA1" w14:textId="77777777" w:rsidTr="00D40F1B">
        <w:trPr>
          <w:cantSplit/>
        </w:trPr>
        <w:tc>
          <w:tcPr>
            <w:tcW w:w="6236" w:type="dxa"/>
          </w:tcPr>
          <w:p w14:paraId="690B7418" w14:textId="3AF8766B" w:rsidR="000756EB" w:rsidRDefault="004A4D88" w:rsidP="00D40F1B">
            <w:pPr>
              <w:pStyle w:val="TableCopy"/>
            </w:pPr>
            <w:r>
              <w:t>Emerald</w:t>
            </w:r>
            <w:r w:rsidR="00A03629">
              <w:t xml:space="preserve"> </w:t>
            </w:r>
            <w:r>
              <w:t>Tourist</w:t>
            </w:r>
            <w:r w:rsidR="00A03629">
              <w:t xml:space="preserve"> </w:t>
            </w:r>
            <w:r>
              <w:t>Railway</w:t>
            </w:r>
            <w:r w:rsidR="00A03629">
              <w:t xml:space="preserve"> </w:t>
            </w:r>
            <w:r>
              <w:t>Board</w:t>
            </w:r>
          </w:p>
        </w:tc>
        <w:tc>
          <w:tcPr>
            <w:tcW w:w="1982" w:type="dxa"/>
          </w:tcPr>
          <w:p w14:paraId="7771A012" w14:textId="37A93B90" w:rsidR="000756EB" w:rsidRDefault="004A4D88" w:rsidP="00D40F1B">
            <w:pPr>
              <w:pStyle w:val="TableCopy"/>
              <w:jc w:val="right"/>
            </w:pPr>
            <w:r>
              <w:t>–</w:t>
            </w:r>
          </w:p>
        </w:tc>
        <w:tc>
          <w:tcPr>
            <w:tcW w:w="1983" w:type="dxa"/>
          </w:tcPr>
          <w:p w14:paraId="5D16D8A9" w14:textId="77777777" w:rsidR="000756EB" w:rsidRDefault="004A4D88" w:rsidP="00D40F1B">
            <w:pPr>
              <w:pStyle w:val="TableCopy"/>
              <w:jc w:val="right"/>
            </w:pPr>
            <w:r>
              <w:t>(1,236)</w:t>
            </w:r>
          </w:p>
        </w:tc>
      </w:tr>
      <w:tr w:rsidR="000756EB" w14:paraId="2E34EB40" w14:textId="77777777" w:rsidTr="00D40F1B">
        <w:trPr>
          <w:cantSplit/>
        </w:trPr>
        <w:tc>
          <w:tcPr>
            <w:tcW w:w="6236" w:type="dxa"/>
          </w:tcPr>
          <w:p w14:paraId="3FD8B728" w14:textId="536FE969" w:rsidR="000756EB" w:rsidRDefault="004A4D88" w:rsidP="00D40F1B">
            <w:pPr>
              <w:pStyle w:val="TableCopy"/>
            </w:pPr>
            <w:r>
              <w:t>Library</w:t>
            </w:r>
            <w:r w:rsidR="00A03629">
              <w:t xml:space="preserve"> </w:t>
            </w:r>
            <w:r>
              <w:t>Board</w:t>
            </w:r>
            <w:r w:rsidR="00A03629">
              <w:t xml:space="preserve"> </w:t>
            </w:r>
            <w:r>
              <w:t>Victoria</w:t>
            </w:r>
          </w:p>
        </w:tc>
        <w:tc>
          <w:tcPr>
            <w:tcW w:w="1982" w:type="dxa"/>
          </w:tcPr>
          <w:p w14:paraId="77F75D1C" w14:textId="3937D6CB" w:rsidR="000756EB" w:rsidRDefault="004A4D88" w:rsidP="00D40F1B">
            <w:pPr>
              <w:pStyle w:val="TableCopy"/>
              <w:jc w:val="right"/>
            </w:pPr>
            <w:r>
              <w:t>–</w:t>
            </w:r>
          </w:p>
        </w:tc>
        <w:tc>
          <w:tcPr>
            <w:tcW w:w="1983" w:type="dxa"/>
          </w:tcPr>
          <w:p w14:paraId="67BBE45E" w14:textId="77777777" w:rsidR="000756EB" w:rsidRDefault="004A4D88" w:rsidP="00D40F1B">
            <w:pPr>
              <w:pStyle w:val="TableCopy"/>
              <w:jc w:val="right"/>
            </w:pPr>
            <w:r>
              <w:t>(745)</w:t>
            </w:r>
          </w:p>
        </w:tc>
      </w:tr>
      <w:tr w:rsidR="000756EB" w14:paraId="5B9BF09A" w14:textId="77777777" w:rsidTr="00D40F1B">
        <w:trPr>
          <w:cantSplit/>
        </w:trPr>
        <w:tc>
          <w:tcPr>
            <w:tcW w:w="6236" w:type="dxa"/>
          </w:tcPr>
          <w:p w14:paraId="3F31CED1" w14:textId="45649197" w:rsidR="000756EB" w:rsidRDefault="004A4D88" w:rsidP="00D40F1B">
            <w:pPr>
              <w:pStyle w:val="TableCopy"/>
            </w:pPr>
            <w:r>
              <w:t>Docklands</w:t>
            </w:r>
            <w:r w:rsidR="00A03629">
              <w:t xml:space="preserve"> </w:t>
            </w:r>
            <w:r>
              <w:t>Studio</w:t>
            </w:r>
            <w:r w:rsidR="00A03629">
              <w:t xml:space="preserve"> </w:t>
            </w:r>
            <w:r>
              <w:t>Melbourne</w:t>
            </w:r>
          </w:p>
        </w:tc>
        <w:tc>
          <w:tcPr>
            <w:tcW w:w="1982" w:type="dxa"/>
          </w:tcPr>
          <w:p w14:paraId="74D7F639" w14:textId="3513ECFE" w:rsidR="000756EB" w:rsidRDefault="004A4D88" w:rsidP="00D40F1B">
            <w:pPr>
              <w:pStyle w:val="TableCopy"/>
              <w:jc w:val="right"/>
            </w:pPr>
            <w:r>
              <w:t>–</w:t>
            </w:r>
          </w:p>
        </w:tc>
        <w:tc>
          <w:tcPr>
            <w:tcW w:w="1983" w:type="dxa"/>
          </w:tcPr>
          <w:p w14:paraId="1C0DE1CB" w14:textId="77777777" w:rsidR="000756EB" w:rsidRDefault="004A4D88" w:rsidP="00D40F1B">
            <w:pPr>
              <w:pStyle w:val="TableCopy"/>
              <w:jc w:val="right"/>
            </w:pPr>
            <w:r>
              <w:t>(610)</w:t>
            </w:r>
          </w:p>
        </w:tc>
      </w:tr>
      <w:tr w:rsidR="000756EB" w14:paraId="26B2DC9A" w14:textId="77777777" w:rsidTr="00D40F1B">
        <w:trPr>
          <w:cantSplit/>
        </w:trPr>
        <w:tc>
          <w:tcPr>
            <w:tcW w:w="6236" w:type="dxa"/>
          </w:tcPr>
          <w:p w14:paraId="086A2535" w14:textId="3F8606B6" w:rsidR="000756EB" w:rsidRDefault="004A4D88" w:rsidP="00D40F1B">
            <w:pPr>
              <w:pStyle w:val="TableCopy"/>
            </w:pPr>
            <w:r>
              <w:t>Geelong</w:t>
            </w:r>
            <w:r w:rsidR="00A03629">
              <w:t xml:space="preserve"> </w:t>
            </w:r>
            <w:r>
              <w:t>Performing</w:t>
            </w:r>
            <w:r w:rsidR="00A03629">
              <w:t xml:space="preserve"> </w:t>
            </w:r>
            <w:r>
              <w:t>Arts</w:t>
            </w:r>
            <w:r w:rsidR="00A03629">
              <w:t xml:space="preserve"> </w:t>
            </w:r>
            <w:r>
              <w:t>Centre</w:t>
            </w:r>
          </w:p>
        </w:tc>
        <w:tc>
          <w:tcPr>
            <w:tcW w:w="1982" w:type="dxa"/>
          </w:tcPr>
          <w:p w14:paraId="6B220CE3" w14:textId="77777777" w:rsidR="000756EB" w:rsidRDefault="004A4D88" w:rsidP="00D40F1B">
            <w:pPr>
              <w:pStyle w:val="TableCopy"/>
              <w:jc w:val="right"/>
            </w:pPr>
            <w:r>
              <w:t>(37,144)</w:t>
            </w:r>
          </w:p>
        </w:tc>
        <w:tc>
          <w:tcPr>
            <w:tcW w:w="1983" w:type="dxa"/>
          </w:tcPr>
          <w:p w14:paraId="145547DE" w14:textId="77777777" w:rsidR="000756EB" w:rsidRDefault="004A4D88" w:rsidP="00D40F1B">
            <w:pPr>
              <w:pStyle w:val="TableCopy"/>
              <w:jc w:val="right"/>
            </w:pPr>
            <w:r>
              <w:t>(73,949)</w:t>
            </w:r>
          </w:p>
        </w:tc>
      </w:tr>
      <w:tr w:rsidR="000756EB" w14:paraId="66658548" w14:textId="77777777" w:rsidTr="00D40F1B">
        <w:trPr>
          <w:cantSplit/>
        </w:trPr>
        <w:tc>
          <w:tcPr>
            <w:tcW w:w="6236" w:type="dxa"/>
          </w:tcPr>
          <w:p w14:paraId="36C5C854" w14:textId="06455882" w:rsidR="000756EB" w:rsidRDefault="004A4D88" w:rsidP="00D40F1B">
            <w:pPr>
              <w:pStyle w:val="TableCopy"/>
            </w:pPr>
            <w:r>
              <w:t>Kardinia</w:t>
            </w:r>
            <w:r w:rsidR="00A03629">
              <w:t xml:space="preserve"> </w:t>
            </w:r>
            <w:r>
              <w:t>Park</w:t>
            </w:r>
            <w:r w:rsidR="00A03629">
              <w:t xml:space="preserve"> </w:t>
            </w:r>
            <w:r>
              <w:t>Stadium</w:t>
            </w:r>
            <w:r w:rsidR="00A03629">
              <w:t xml:space="preserve"> </w:t>
            </w:r>
            <w:r>
              <w:t>Trust</w:t>
            </w:r>
          </w:p>
        </w:tc>
        <w:tc>
          <w:tcPr>
            <w:tcW w:w="1982" w:type="dxa"/>
          </w:tcPr>
          <w:p w14:paraId="5CA303D3" w14:textId="77777777" w:rsidR="000756EB" w:rsidRDefault="004A4D88" w:rsidP="00D40F1B">
            <w:pPr>
              <w:pStyle w:val="TableCopy"/>
              <w:jc w:val="right"/>
            </w:pPr>
            <w:r>
              <w:t>(78,331)</w:t>
            </w:r>
          </w:p>
        </w:tc>
        <w:tc>
          <w:tcPr>
            <w:tcW w:w="1983" w:type="dxa"/>
          </w:tcPr>
          <w:p w14:paraId="74D6902A" w14:textId="77777777" w:rsidR="000756EB" w:rsidRDefault="004A4D88" w:rsidP="00D40F1B">
            <w:pPr>
              <w:pStyle w:val="TableCopy"/>
              <w:jc w:val="right"/>
            </w:pPr>
            <w:r>
              <w:t>(59,604)</w:t>
            </w:r>
          </w:p>
        </w:tc>
      </w:tr>
      <w:tr w:rsidR="000756EB" w14:paraId="2DE7FF04" w14:textId="77777777" w:rsidTr="00D40F1B">
        <w:trPr>
          <w:cantSplit/>
        </w:trPr>
        <w:tc>
          <w:tcPr>
            <w:tcW w:w="6236" w:type="dxa"/>
          </w:tcPr>
          <w:p w14:paraId="5FB6F5E5" w14:textId="782C7CBF" w:rsidR="000756EB" w:rsidRDefault="004A4D88" w:rsidP="00D40F1B">
            <w:pPr>
              <w:pStyle w:val="TableCopy"/>
            </w:pPr>
            <w:r>
              <w:t>National</w:t>
            </w:r>
            <w:r w:rsidR="00A03629">
              <w:t xml:space="preserve"> </w:t>
            </w:r>
            <w:r>
              <w:t>Gallery</w:t>
            </w:r>
            <w:r w:rsidR="00A03629">
              <w:t xml:space="preserve"> </w:t>
            </w:r>
            <w:r>
              <w:t>Victoria</w:t>
            </w:r>
          </w:p>
        </w:tc>
        <w:tc>
          <w:tcPr>
            <w:tcW w:w="1982" w:type="dxa"/>
          </w:tcPr>
          <w:p w14:paraId="09042AC3" w14:textId="77777777" w:rsidR="000756EB" w:rsidRDefault="004A4D88" w:rsidP="00D40F1B">
            <w:pPr>
              <w:pStyle w:val="TableCopy"/>
              <w:jc w:val="right"/>
            </w:pPr>
            <w:r>
              <w:t>(17,935)</w:t>
            </w:r>
          </w:p>
        </w:tc>
        <w:tc>
          <w:tcPr>
            <w:tcW w:w="1983" w:type="dxa"/>
          </w:tcPr>
          <w:p w14:paraId="7FE922C6" w14:textId="77777777" w:rsidR="000756EB" w:rsidRDefault="004A4D88" w:rsidP="00D40F1B">
            <w:pPr>
              <w:pStyle w:val="TableCopy"/>
              <w:jc w:val="right"/>
            </w:pPr>
            <w:r>
              <w:t>(13,309)</w:t>
            </w:r>
          </w:p>
        </w:tc>
      </w:tr>
      <w:tr w:rsidR="000756EB" w14:paraId="04C9127B" w14:textId="77777777" w:rsidTr="00D40F1B">
        <w:trPr>
          <w:cantSplit/>
        </w:trPr>
        <w:tc>
          <w:tcPr>
            <w:tcW w:w="6236" w:type="dxa"/>
          </w:tcPr>
          <w:p w14:paraId="382F044F" w14:textId="2AD68C1A" w:rsidR="000756EB" w:rsidRDefault="004A4D88" w:rsidP="00D40F1B">
            <w:pPr>
              <w:pStyle w:val="TableCopy"/>
            </w:pPr>
            <w:r>
              <w:lastRenderedPageBreak/>
              <w:t>Melbourne</w:t>
            </w:r>
            <w:r w:rsidR="00A03629">
              <w:t xml:space="preserve"> </w:t>
            </w:r>
            <w:r>
              <w:t>Arts</w:t>
            </w:r>
            <w:r w:rsidR="00A03629">
              <w:t xml:space="preserve"> </w:t>
            </w:r>
            <w:r>
              <w:t>Precinct</w:t>
            </w:r>
            <w:r w:rsidR="00A03629">
              <w:t xml:space="preserve"> </w:t>
            </w:r>
            <w:r>
              <w:t>Corporation</w:t>
            </w:r>
          </w:p>
        </w:tc>
        <w:tc>
          <w:tcPr>
            <w:tcW w:w="1982" w:type="dxa"/>
          </w:tcPr>
          <w:p w14:paraId="7EC52BF4" w14:textId="77777777" w:rsidR="000756EB" w:rsidRDefault="004A4D88" w:rsidP="00D40F1B">
            <w:pPr>
              <w:pStyle w:val="TableCopy"/>
              <w:jc w:val="right"/>
            </w:pPr>
            <w:r>
              <w:t>(6,793)</w:t>
            </w:r>
          </w:p>
        </w:tc>
        <w:tc>
          <w:tcPr>
            <w:tcW w:w="1983" w:type="dxa"/>
          </w:tcPr>
          <w:p w14:paraId="6D342700" w14:textId="77777777" w:rsidR="000756EB" w:rsidRDefault="004A4D88" w:rsidP="00D40F1B">
            <w:pPr>
              <w:pStyle w:val="TableCopy"/>
              <w:jc w:val="right"/>
            </w:pPr>
            <w:r>
              <w:t>(5,000)</w:t>
            </w:r>
          </w:p>
        </w:tc>
      </w:tr>
      <w:tr w:rsidR="000756EB" w14:paraId="51693096" w14:textId="77777777" w:rsidTr="00D40F1B">
        <w:trPr>
          <w:cantSplit/>
        </w:trPr>
        <w:tc>
          <w:tcPr>
            <w:tcW w:w="6236" w:type="dxa"/>
          </w:tcPr>
          <w:p w14:paraId="30D6A651" w14:textId="52D13FC8" w:rsidR="000756EB" w:rsidRDefault="004A4D88" w:rsidP="00D40F1B">
            <w:pPr>
              <w:pStyle w:val="TableCopy"/>
            </w:pPr>
            <w:r>
              <w:t>Australian</w:t>
            </w:r>
            <w:r w:rsidR="00A03629">
              <w:t xml:space="preserve"> </w:t>
            </w:r>
            <w:r>
              <w:t>Centre</w:t>
            </w:r>
            <w:r w:rsidR="00A03629">
              <w:t xml:space="preserve"> </w:t>
            </w:r>
            <w:r>
              <w:t>for</w:t>
            </w:r>
            <w:r w:rsidR="00A03629">
              <w:t xml:space="preserve"> </w:t>
            </w:r>
            <w:r>
              <w:t>the</w:t>
            </w:r>
            <w:r w:rsidR="00A03629">
              <w:t xml:space="preserve"> </w:t>
            </w:r>
            <w:r>
              <w:t>Moving</w:t>
            </w:r>
            <w:r w:rsidR="00A03629">
              <w:t xml:space="preserve"> </w:t>
            </w:r>
            <w:r>
              <w:t>Image</w:t>
            </w:r>
          </w:p>
        </w:tc>
        <w:tc>
          <w:tcPr>
            <w:tcW w:w="1982" w:type="dxa"/>
          </w:tcPr>
          <w:p w14:paraId="35B73CA8" w14:textId="77777777" w:rsidR="000756EB" w:rsidRDefault="004A4D88" w:rsidP="00D40F1B">
            <w:pPr>
              <w:pStyle w:val="TableCopy"/>
              <w:jc w:val="right"/>
            </w:pPr>
            <w:r>
              <w:t>(91)</w:t>
            </w:r>
          </w:p>
        </w:tc>
        <w:tc>
          <w:tcPr>
            <w:tcW w:w="1983" w:type="dxa"/>
          </w:tcPr>
          <w:p w14:paraId="519EBA98" w14:textId="77777777" w:rsidR="000756EB" w:rsidRDefault="004A4D88" w:rsidP="00D40F1B">
            <w:pPr>
              <w:pStyle w:val="TableCopy"/>
              <w:jc w:val="right"/>
            </w:pPr>
            <w:r>
              <w:t>(577)</w:t>
            </w:r>
          </w:p>
        </w:tc>
      </w:tr>
      <w:tr w:rsidR="000756EB" w14:paraId="616643C4" w14:textId="77777777" w:rsidTr="00D40F1B">
        <w:trPr>
          <w:cantSplit/>
        </w:trPr>
        <w:tc>
          <w:tcPr>
            <w:tcW w:w="6236" w:type="dxa"/>
          </w:tcPr>
          <w:p w14:paraId="4B79BC63" w14:textId="588EB55D" w:rsidR="000756EB" w:rsidRDefault="004A4D88" w:rsidP="00D40F1B">
            <w:pPr>
              <w:pStyle w:val="TableCopy"/>
            </w:pPr>
            <w:r>
              <w:t>Victorian</w:t>
            </w:r>
            <w:r w:rsidR="00A03629">
              <w:t xml:space="preserve"> </w:t>
            </w:r>
            <w:r>
              <w:t>Fisheries</w:t>
            </w:r>
            <w:r w:rsidR="00A03629">
              <w:t xml:space="preserve"> </w:t>
            </w:r>
            <w:r>
              <w:t>Authority</w:t>
            </w:r>
          </w:p>
        </w:tc>
        <w:tc>
          <w:tcPr>
            <w:tcW w:w="1982" w:type="dxa"/>
          </w:tcPr>
          <w:p w14:paraId="183D1043" w14:textId="77777777" w:rsidR="000756EB" w:rsidRDefault="004A4D88" w:rsidP="00D40F1B">
            <w:pPr>
              <w:pStyle w:val="TableCopy"/>
              <w:jc w:val="right"/>
            </w:pPr>
            <w:r>
              <w:t>(216)</w:t>
            </w:r>
          </w:p>
        </w:tc>
        <w:tc>
          <w:tcPr>
            <w:tcW w:w="1983" w:type="dxa"/>
          </w:tcPr>
          <w:p w14:paraId="79A59C33" w14:textId="020CAE20" w:rsidR="000756EB" w:rsidRDefault="004A4D88" w:rsidP="00D40F1B">
            <w:pPr>
              <w:pStyle w:val="TableCopy"/>
              <w:jc w:val="right"/>
            </w:pPr>
            <w:r>
              <w:t>–</w:t>
            </w:r>
          </w:p>
        </w:tc>
      </w:tr>
      <w:tr w:rsidR="000756EB" w:rsidRPr="00D40F1B" w14:paraId="581E89EF" w14:textId="77777777" w:rsidTr="00D40F1B">
        <w:trPr>
          <w:cantSplit/>
        </w:trPr>
        <w:tc>
          <w:tcPr>
            <w:tcW w:w="6236" w:type="dxa"/>
          </w:tcPr>
          <w:p w14:paraId="2B429E21" w14:textId="451579BD" w:rsidR="000756EB" w:rsidRPr="00D40F1B" w:rsidRDefault="004A4D88" w:rsidP="00D40F1B">
            <w:pPr>
              <w:pStyle w:val="TableCopy"/>
              <w:rPr>
                <w:b/>
                <w:bCs/>
              </w:rPr>
            </w:pPr>
            <w:r w:rsidRPr="00D40F1B">
              <w:rPr>
                <w:b/>
                <w:bCs/>
              </w:rPr>
              <w:t>Total</w:t>
            </w:r>
            <w:r w:rsidR="00A03629" w:rsidRPr="00D40F1B">
              <w:rPr>
                <w:b/>
                <w:bCs/>
              </w:rPr>
              <w:t xml:space="preserve"> </w:t>
            </w:r>
            <w:r w:rsidRPr="00D40F1B">
              <w:rPr>
                <w:b/>
                <w:bCs/>
              </w:rPr>
              <w:t>capital</w:t>
            </w:r>
            <w:r w:rsidR="00A03629" w:rsidRPr="00D40F1B">
              <w:rPr>
                <w:b/>
                <w:bCs/>
              </w:rPr>
              <w:t xml:space="preserve"> </w:t>
            </w:r>
            <w:r w:rsidRPr="00D40F1B">
              <w:rPr>
                <w:b/>
                <w:bCs/>
              </w:rPr>
              <w:t>contributions</w:t>
            </w:r>
            <w:r w:rsidR="00A03629" w:rsidRPr="00D40F1B">
              <w:rPr>
                <w:b/>
                <w:bCs/>
              </w:rPr>
              <w:t xml:space="preserve"> </w:t>
            </w:r>
            <w:r w:rsidRPr="00D40F1B">
              <w:rPr>
                <w:b/>
                <w:bCs/>
              </w:rPr>
              <w:t>to</w:t>
            </w:r>
            <w:r w:rsidR="00A03629" w:rsidRPr="00D40F1B">
              <w:rPr>
                <w:b/>
                <w:bCs/>
              </w:rPr>
              <w:t xml:space="preserve"> </w:t>
            </w:r>
            <w:r w:rsidRPr="00D40F1B">
              <w:rPr>
                <w:b/>
                <w:bCs/>
              </w:rPr>
              <w:t>agencies</w:t>
            </w:r>
            <w:r w:rsidR="00A03629" w:rsidRPr="00D40F1B">
              <w:rPr>
                <w:b/>
                <w:bCs/>
              </w:rPr>
              <w:t xml:space="preserve"> </w:t>
            </w:r>
            <w:r w:rsidRPr="00D40F1B">
              <w:rPr>
                <w:b/>
                <w:bCs/>
              </w:rPr>
              <w:t>within</w:t>
            </w:r>
            <w:r w:rsidR="00A03629" w:rsidRPr="00D40F1B">
              <w:rPr>
                <w:b/>
                <w:bCs/>
              </w:rPr>
              <w:t xml:space="preserve"> </w:t>
            </w:r>
            <w:r w:rsidRPr="00D40F1B">
              <w:rPr>
                <w:b/>
                <w:bCs/>
              </w:rPr>
              <w:t>portfolio</w:t>
            </w:r>
          </w:p>
        </w:tc>
        <w:tc>
          <w:tcPr>
            <w:tcW w:w="1982" w:type="dxa"/>
          </w:tcPr>
          <w:p w14:paraId="35B92F5B" w14:textId="77777777" w:rsidR="000756EB" w:rsidRPr="00D40F1B" w:rsidRDefault="004A4D88" w:rsidP="00D40F1B">
            <w:pPr>
              <w:pStyle w:val="TableCopy"/>
              <w:jc w:val="right"/>
              <w:rPr>
                <w:b/>
                <w:bCs/>
              </w:rPr>
            </w:pPr>
            <w:r w:rsidRPr="00D40F1B">
              <w:rPr>
                <w:b/>
                <w:bCs/>
              </w:rPr>
              <w:t>(247,964)</w:t>
            </w:r>
          </w:p>
        </w:tc>
        <w:tc>
          <w:tcPr>
            <w:tcW w:w="1983" w:type="dxa"/>
          </w:tcPr>
          <w:p w14:paraId="1C5A87F5" w14:textId="77777777" w:rsidR="000756EB" w:rsidRPr="00D40F1B" w:rsidRDefault="004A4D88" w:rsidP="00D40F1B">
            <w:pPr>
              <w:pStyle w:val="TableCopy"/>
              <w:jc w:val="right"/>
              <w:rPr>
                <w:b/>
                <w:bCs/>
              </w:rPr>
            </w:pPr>
            <w:r w:rsidRPr="00D40F1B">
              <w:rPr>
                <w:b/>
                <w:bCs/>
              </w:rPr>
              <w:t>(274,540)</w:t>
            </w:r>
          </w:p>
        </w:tc>
      </w:tr>
    </w:tbl>
    <w:p w14:paraId="269E7E0D" w14:textId="77777777" w:rsidR="000756EB" w:rsidRDefault="000756EB" w:rsidP="00D40F1B"/>
    <w:p w14:paraId="7750265B" w14:textId="503474D9" w:rsidR="000756EB" w:rsidRDefault="004A4D88" w:rsidP="00D40F1B">
      <w:pPr>
        <w:pStyle w:val="Heading2"/>
      </w:pPr>
      <w:bookmarkStart w:id="147" w:name="_Toc149911842"/>
      <w:r>
        <w:t>9.5</w:t>
      </w:r>
      <w:r w:rsidR="00DE38B5">
        <w:t xml:space="preserve"> </w:t>
      </w:r>
      <w:r>
        <w:t>Entities</w:t>
      </w:r>
      <w:r w:rsidR="00A03629">
        <w:t xml:space="preserve"> </w:t>
      </w:r>
      <w:r>
        <w:t>consolidated</w:t>
      </w:r>
      <w:r w:rsidR="00A03629">
        <w:t xml:space="preserve"> </w:t>
      </w:r>
      <w:r>
        <w:t>pursuant</w:t>
      </w:r>
      <w:r w:rsidR="00A03629">
        <w:t xml:space="preserve"> </w:t>
      </w:r>
      <w:r>
        <w:t>to</w:t>
      </w:r>
      <w:r w:rsidR="00A03629">
        <w:t xml:space="preserve"> </w:t>
      </w:r>
      <w:r>
        <w:t>section</w:t>
      </w:r>
      <w:r w:rsidR="00A03629">
        <w:t xml:space="preserve"> </w:t>
      </w:r>
      <w:r>
        <w:t>53(1)(b)</w:t>
      </w:r>
      <w:r w:rsidR="00A03629">
        <w:t xml:space="preserve"> </w:t>
      </w:r>
      <w:r>
        <w:t>of</w:t>
      </w:r>
      <w:r w:rsidR="00A03629">
        <w:t xml:space="preserve"> </w:t>
      </w:r>
      <w:r>
        <w:t>the</w:t>
      </w:r>
      <w:r w:rsidR="00A03629">
        <w:t xml:space="preserve"> </w:t>
      </w:r>
      <w:r>
        <w:t>FMA</w:t>
      </w:r>
      <w:bookmarkEnd w:id="147"/>
    </w:p>
    <w:p w14:paraId="58DC60DA" w14:textId="440F6361" w:rsidR="000756EB" w:rsidRDefault="004A4D88" w:rsidP="00D40F1B">
      <w:pPr>
        <w:pStyle w:val="Normalbeforebullets"/>
        <w:rPr>
          <w:rFonts w:ascii="VIC Light" w:hAnsi="VIC Light" w:cs="VIC Light"/>
        </w:rPr>
      </w:pPr>
      <w:r>
        <w:t>The</w:t>
      </w:r>
      <w:r w:rsidR="00A03629">
        <w:t xml:space="preserve"> </w:t>
      </w:r>
      <w:r>
        <w:t>following</w:t>
      </w:r>
      <w:r w:rsidR="00A03629">
        <w:t xml:space="preserve"> </w:t>
      </w:r>
      <w:r>
        <w:t>section</w:t>
      </w:r>
      <w:r w:rsidR="00A03629">
        <w:t xml:space="preserve"> </w:t>
      </w:r>
      <w:r>
        <w:t>53(1)(b)</w:t>
      </w:r>
      <w:r w:rsidR="00A03629">
        <w:t xml:space="preserve"> </w:t>
      </w:r>
      <w:r>
        <w:t>entities</w:t>
      </w:r>
      <w:r w:rsidR="00A03629">
        <w:t xml:space="preserve"> </w:t>
      </w:r>
      <w:r>
        <w:t>have</w:t>
      </w:r>
      <w:r w:rsidR="00A03629">
        <w:t xml:space="preserve"> </w:t>
      </w:r>
      <w:r>
        <w:t>been</w:t>
      </w:r>
      <w:r w:rsidR="00A03629">
        <w:t xml:space="preserve"> </w:t>
      </w:r>
      <w:r>
        <w:t>transferred</w:t>
      </w:r>
      <w:r w:rsidR="00A03629">
        <w:t xml:space="preserve"> </w:t>
      </w:r>
      <w:r>
        <w:t>out</w:t>
      </w:r>
      <w:r w:rsidR="00A03629">
        <w:t xml:space="preserve"> </w:t>
      </w:r>
      <w:proofErr w:type="gramStart"/>
      <w:r>
        <w:t>as</w:t>
      </w:r>
      <w:r w:rsidR="00A03629">
        <w:t xml:space="preserve"> </w:t>
      </w:r>
      <w:r>
        <w:t>a</w:t>
      </w:r>
      <w:r w:rsidR="00A03629">
        <w:t xml:space="preserve"> </w:t>
      </w:r>
      <w:r>
        <w:t>result</w:t>
      </w:r>
      <w:r w:rsidR="00A03629">
        <w:t xml:space="preserve"> </w:t>
      </w:r>
      <w:r>
        <w:t>of</w:t>
      </w:r>
      <w:proofErr w:type="gramEnd"/>
      <w:r w:rsidR="00A03629">
        <w:t xml:space="preserve"> </w:t>
      </w:r>
      <w:r>
        <w:t>the</w:t>
      </w:r>
      <w:r w:rsidR="00A03629">
        <w:t xml:space="preserve"> </w:t>
      </w:r>
      <w:r>
        <w:t>machinery</w:t>
      </w:r>
      <w:r w:rsidR="00A03629">
        <w:t xml:space="preserve"> </w:t>
      </w:r>
      <w:r>
        <w:t>of</w:t>
      </w:r>
      <w:r w:rsidR="00A03629">
        <w:t xml:space="preserve"> </w:t>
      </w:r>
      <w:r>
        <w:t>government</w:t>
      </w:r>
      <w:r w:rsidR="00A03629">
        <w:t xml:space="preserve"> </w:t>
      </w:r>
      <w:r>
        <w:t>change</w:t>
      </w:r>
      <w:r w:rsidR="00A03629">
        <w:t xml:space="preserve"> </w:t>
      </w:r>
      <w:r>
        <w:t>effective</w:t>
      </w:r>
      <w:r w:rsidR="00A03629">
        <w:t xml:space="preserve"> </w:t>
      </w:r>
      <w:r>
        <w:t>on</w:t>
      </w:r>
      <w:r w:rsidR="00A03629">
        <w:t xml:space="preserve"> </w:t>
      </w:r>
      <w:r>
        <w:t>1</w:t>
      </w:r>
      <w:r w:rsidR="00A03629">
        <w:t xml:space="preserve"> </w:t>
      </w:r>
      <w:r>
        <w:t>January</w:t>
      </w:r>
      <w:r w:rsidR="00A03629">
        <w:t xml:space="preserve"> </w:t>
      </w:r>
      <w:r>
        <w:t>2023</w:t>
      </w:r>
      <w:r w:rsidR="00A03629">
        <w:t xml:space="preserve"> </w:t>
      </w:r>
      <w:r>
        <w:t>with</w:t>
      </w:r>
      <w:r w:rsidR="00A03629">
        <w:t xml:space="preserve"> </w:t>
      </w:r>
      <w:r>
        <w:t>the</w:t>
      </w:r>
      <w:r w:rsidR="00A03629">
        <w:t xml:space="preserve"> </w:t>
      </w:r>
      <w:r>
        <w:t>exception</w:t>
      </w:r>
      <w:r w:rsidR="00A03629">
        <w:t xml:space="preserve"> </w:t>
      </w:r>
      <w:r>
        <w:t>of</w:t>
      </w:r>
      <w:r w:rsidR="00A03629">
        <w:t xml:space="preserve"> </w:t>
      </w:r>
      <w:r>
        <w:t>Secretary,</w:t>
      </w:r>
      <w:r w:rsidR="00A03629">
        <w:t xml:space="preserve"> </w:t>
      </w:r>
      <w:r>
        <w:t>Project</w:t>
      </w:r>
      <w:r w:rsidR="00A03629">
        <w:t xml:space="preserve"> </w:t>
      </w:r>
      <w:r>
        <w:t>Development.</w:t>
      </w:r>
      <w:r w:rsidR="00A03629">
        <w:t xml:space="preserve"> </w:t>
      </w:r>
      <w:r>
        <w:t>The</w:t>
      </w:r>
      <w:r w:rsidR="00A03629">
        <w:t xml:space="preserve"> </w:t>
      </w:r>
      <w:r>
        <w:t>results</w:t>
      </w:r>
      <w:r w:rsidR="00A03629">
        <w:t xml:space="preserve"> </w:t>
      </w:r>
      <w:r>
        <w:t>of</w:t>
      </w:r>
      <w:r w:rsidR="00A03629">
        <w:t xml:space="preserve"> </w:t>
      </w:r>
      <w:r>
        <w:t>these</w:t>
      </w:r>
      <w:r w:rsidR="00A03629">
        <w:t xml:space="preserve"> </w:t>
      </w:r>
      <w:r>
        <w:t>entities</w:t>
      </w:r>
      <w:r w:rsidR="00A03629">
        <w:t xml:space="preserve"> </w:t>
      </w:r>
      <w:r>
        <w:t>have</w:t>
      </w:r>
      <w:r w:rsidR="00A03629">
        <w:t xml:space="preserve"> </w:t>
      </w:r>
      <w:r>
        <w:t>been</w:t>
      </w:r>
      <w:r w:rsidR="00A03629">
        <w:t xml:space="preserve"> </w:t>
      </w:r>
      <w:r>
        <w:t>consolidated</w:t>
      </w:r>
      <w:r w:rsidR="00A03629">
        <w:t xml:space="preserve"> </w:t>
      </w:r>
      <w:r>
        <w:t>into</w:t>
      </w:r>
      <w:r w:rsidR="00A03629">
        <w:t xml:space="preserve"> </w:t>
      </w:r>
      <w:r>
        <w:t>DJSIR’s</w:t>
      </w:r>
      <w:r w:rsidR="00A03629">
        <w:t xml:space="preserve"> </w:t>
      </w:r>
      <w:r>
        <w:t>financial</w:t>
      </w:r>
      <w:r w:rsidR="00A03629">
        <w:t xml:space="preserve"> </w:t>
      </w:r>
      <w:r>
        <w:t>statements</w:t>
      </w:r>
      <w:r w:rsidR="00A03629">
        <w:t xml:space="preserve"> </w:t>
      </w:r>
      <w:r>
        <w:t>for</w:t>
      </w:r>
      <w:r w:rsidR="00A03629">
        <w:t xml:space="preserve"> </w:t>
      </w:r>
      <w:r>
        <w:t>the</w:t>
      </w:r>
      <w:r w:rsidR="00A03629">
        <w:t xml:space="preserve"> </w:t>
      </w:r>
      <w:r>
        <w:t>half</w:t>
      </w:r>
      <w:r w:rsidR="00A03629">
        <w:t xml:space="preserve"> </w:t>
      </w:r>
      <w:r>
        <w:t>year</w:t>
      </w:r>
      <w:r w:rsidR="00A03629">
        <w:t xml:space="preserve"> </w:t>
      </w:r>
      <w:r>
        <w:t>from</w:t>
      </w:r>
      <w:r w:rsidR="00A03629">
        <w:t xml:space="preserve"> </w:t>
      </w:r>
      <w:r>
        <w:t>1</w:t>
      </w:r>
      <w:r w:rsidR="00A03629">
        <w:t xml:space="preserve"> </w:t>
      </w:r>
      <w:r>
        <w:t>July</w:t>
      </w:r>
      <w:r w:rsidR="00A03629">
        <w:t xml:space="preserve"> </w:t>
      </w:r>
      <w:r>
        <w:t>2022</w:t>
      </w:r>
      <w:r w:rsidR="00A03629">
        <w:t xml:space="preserve"> </w:t>
      </w:r>
      <w:r>
        <w:t>to</w:t>
      </w:r>
      <w:r w:rsidR="00A03629">
        <w:rPr>
          <w:rFonts w:ascii="Cambria" w:hAnsi="Cambria" w:cs="Cambria"/>
        </w:rPr>
        <w:t xml:space="preserve"> </w:t>
      </w:r>
      <w:r>
        <w:t>31</w:t>
      </w:r>
      <w:r w:rsidR="00A03629">
        <w:rPr>
          <w:rFonts w:ascii="Cambria" w:hAnsi="Cambria" w:cs="Cambria"/>
        </w:rPr>
        <w:t xml:space="preserve"> </w:t>
      </w:r>
      <w:r>
        <w:t>December</w:t>
      </w:r>
      <w:r w:rsidR="00A03629">
        <w:t xml:space="preserve"> </w:t>
      </w:r>
      <w:r>
        <w:t>2022,</w:t>
      </w:r>
      <w:r w:rsidR="00A03629">
        <w:t xml:space="preserve"> </w:t>
      </w:r>
      <w:r>
        <w:t>pursuant</w:t>
      </w:r>
      <w:r w:rsidR="00A03629">
        <w:t xml:space="preserve"> </w:t>
      </w:r>
      <w:r>
        <w:t>to</w:t>
      </w:r>
      <w:r w:rsidR="00A03629">
        <w:t xml:space="preserve"> </w:t>
      </w:r>
      <w:r>
        <w:t>a</w:t>
      </w:r>
      <w:r w:rsidR="00A03629">
        <w:t xml:space="preserve"> </w:t>
      </w:r>
      <w:r>
        <w:t>determination</w:t>
      </w:r>
      <w:r w:rsidR="00A03629">
        <w:t xml:space="preserve"> </w:t>
      </w:r>
      <w:r>
        <w:t>made</w:t>
      </w:r>
      <w:r w:rsidR="00A03629">
        <w:t xml:space="preserve"> </w:t>
      </w:r>
      <w:r>
        <w:t>by</w:t>
      </w:r>
      <w:r w:rsidR="00A03629">
        <w:t xml:space="preserve"> </w:t>
      </w:r>
      <w:r>
        <w:t>the</w:t>
      </w:r>
      <w:r w:rsidR="00A03629">
        <w:t xml:space="preserve"> </w:t>
      </w:r>
      <w:r>
        <w:t>Assistant</w:t>
      </w:r>
      <w:r w:rsidR="00A03629">
        <w:t xml:space="preserve"> </w:t>
      </w:r>
      <w:r>
        <w:t>Treasurer</w:t>
      </w:r>
      <w:r w:rsidR="00A03629">
        <w:t xml:space="preserve"> </w:t>
      </w:r>
      <w:r>
        <w:t>under</w:t>
      </w:r>
      <w:r w:rsidR="00A03629">
        <w:t xml:space="preserve"> </w:t>
      </w:r>
      <w:r>
        <w:t>section</w:t>
      </w:r>
      <w:r w:rsidR="00A03629">
        <w:t xml:space="preserve"> </w:t>
      </w:r>
      <w:r>
        <w:t>53(1)(b)</w:t>
      </w:r>
      <w:r w:rsidR="00A03629">
        <w:t xml:space="preserve"> </w:t>
      </w:r>
      <w:r>
        <w:t>of</w:t>
      </w:r>
      <w:r w:rsidR="00A03629">
        <w:rPr>
          <w:rFonts w:ascii="Cambria" w:hAnsi="Cambria" w:cs="Cambria"/>
        </w:rPr>
        <w:t xml:space="preserve"> </w:t>
      </w:r>
      <w:r>
        <w:t>the</w:t>
      </w:r>
      <w:r w:rsidR="00A03629">
        <w:t xml:space="preserve"> </w:t>
      </w:r>
      <w:r w:rsidRPr="00D40F1B">
        <w:rPr>
          <w:i/>
          <w:iCs/>
        </w:rPr>
        <w:t>Financial</w:t>
      </w:r>
      <w:r w:rsidR="00A03629" w:rsidRPr="00D40F1B">
        <w:rPr>
          <w:i/>
          <w:iCs/>
        </w:rPr>
        <w:t xml:space="preserve"> </w:t>
      </w:r>
      <w:r w:rsidRPr="00D40F1B">
        <w:rPr>
          <w:i/>
          <w:iCs/>
        </w:rPr>
        <w:t>Management</w:t>
      </w:r>
      <w:r w:rsidR="00A03629" w:rsidRPr="00D40F1B">
        <w:rPr>
          <w:i/>
          <w:iCs/>
        </w:rPr>
        <w:t xml:space="preserve"> </w:t>
      </w:r>
      <w:r w:rsidRPr="00D40F1B">
        <w:rPr>
          <w:i/>
          <w:iCs/>
        </w:rPr>
        <w:t>Act</w:t>
      </w:r>
      <w:r w:rsidR="00A03629" w:rsidRPr="00D40F1B">
        <w:rPr>
          <w:i/>
          <w:iCs/>
        </w:rPr>
        <w:t xml:space="preserve"> </w:t>
      </w:r>
      <w:r w:rsidRPr="00D40F1B">
        <w:rPr>
          <w:i/>
          <w:iCs/>
        </w:rPr>
        <w:t>1994</w:t>
      </w:r>
      <w:r w:rsidR="00A03629">
        <w:rPr>
          <w:rFonts w:ascii="VIC Light" w:hAnsi="VIC Light" w:cs="VIC Light"/>
        </w:rPr>
        <w:t xml:space="preserve"> </w:t>
      </w:r>
      <w:r w:rsidRPr="00D40F1B">
        <w:t>(FMA):</w:t>
      </w:r>
    </w:p>
    <w:p w14:paraId="197C6556" w14:textId="0356CE96" w:rsidR="000756EB" w:rsidRDefault="004A4D88" w:rsidP="00D40F1B">
      <w:pPr>
        <w:pStyle w:val="Bullet"/>
      </w:pPr>
      <w:r>
        <w:t>Rural</w:t>
      </w:r>
      <w:r w:rsidR="00A03629">
        <w:t xml:space="preserve"> </w:t>
      </w:r>
      <w:r>
        <w:t>Assistance</w:t>
      </w:r>
      <w:r w:rsidR="00A03629">
        <w:t xml:space="preserve"> </w:t>
      </w:r>
      <w:r>
        <w:t>Commissioner</w:t>
      </w:r>
    </w:p>
    <w:p w14:paraId="54485B6C" w14:textId="305066E4" w:rsidR="000756EB" w:rsidRDefault="004A4D88" w:rsidP="00D40F1B">
      <w:pPr>
        <w:pStyle w:val="Bullet"/>
      </w:pPr>
      <w:r>
        <w:t>Victorian</w:t>
      </w:r>
      <w:r w:rsidR="00A03629">
        <w:t xml:space="preserve"> </w:t>
      </w:r>
      <w:r>
        <w:t>Racing</w:t>
      </w:r>
      <w:r w:rsidR="00A03629">
        <w:t xml:space="preserve"> </w:t>
      </w:r>
      <w:r>
        <w:t>Tribunal</w:t>
      </w:r>
    </w:p>
    <w:p w14:paraId="76E82D80" w14:textId="0DABC5C4" w:rsidR="000756EB" w:rsidRDefault="004A4D88" w:rsidP="00D40F1B">
      <w:pPr>
        <w:pStyle w:val="Bullet"/>
      </w:pPr>
      <w:r>
        <w:t>Victorian</w:t>
      </w:r>
      <w:r w:rsidR="00A03629">
        <w:t xml:space="preserve"> </w:t>
      </w:r>
      <w:r>
        <w:t>Racing</w:t>
      </w:r>
      <w:r w:rsidR="00A03629">
        <w:t xml:space="preserve"> </w:t>
      </w:r>
      <w:r>
        <w:t>Integrity</w:t>
      </w:r>
      <w:r w:rsidR="00A03629">
        <w:t xml:space="preserve"> </w:t>
      </w:r>
      <w:r>
        <w:t>Board</w:t>
      </w:r>
    </w:p>
    <w:p w14:paraId="44267D96" w14:textId="4E6F9FA4" w:rsidR="000756EB" w:rsidRDefault="004A4D88" w:rsidP="00D40F1B">
      <w:pPr>
        <w:pStyle w:val="Bullet"/>
      </w:pPr>
      <w:r>
        <w:t>Racing</w:t>
      </w:r>
      <w:r w:rsidR="00A03629">
        <w:t xml:space="preserve"> </w:t>
      </w:r>
      <w:r>
        <w:t>Integrity</w:t>
      </w:r>
      <w:r w:rsidR="00A03629">
        <w:t xml:space="preserve"> </w:t>
      </w:r>
      <w:r>
        <w:t>Commissioner</w:t>
      </w:r>
    </w:p>
    <w:p w14:paraId="13ACC786" w14:textId="49E00DFF" w:rsidR="000756EB" w:rsidRDefault="004A4D88" w:rsidP="00D40F1B">
      <w:pPr>
        <w:pStyle w:val="Bulletlast"/>
      </w:pPr>
      <w:r>
        <w:t>Mine</w:t>
      </w:r>
      <w:r w:rsidR="00A03629">
        <w:t xml:space="preserve"> </w:t>
      </w:r>
      <w:r>
        <w:t>Land</w:t>
      </w:r>
      <w:r w:rsidR="00A03629">
        <w:t xml:space="preserve"> </w:t>
      </w:r>
      <w:r>
        <w:t>Rehabilitation</w:t>
      </w:r>
      <w:r w:rsidR="00A03629">
        <w:t xml:space="preserve"> </w:t>
      </w:r>
      <w:r>
        <w:t>Authority</w:t>
      </w:r>
    </w:p>
    <w:p w14:paraId="666F25F6" w14:textId="12C34851" w:rsidR="000756EB" w:rsidRDefault="004A4D88" w:rsidP="00D40F1B">
      <w:r>
        <w:t>Section</w:t>
      </w:r>
      <w:r w:rsidR="00A03629">
        <w:t xml:space="preserve"> </w:t>
      </w:r>
      <w:r>
        <w:t>53(1)(b)</w:t>
      </w:r>
      <w:r w:rsidR="00A03629">
        <w:t xml:space="preserve"> </w:t>
      </w:r>
      <w:r>
        <w:t>entity</w:t>
      </w:r>
      <w:r w:rsidR="00A03629">
        <w:t xml:space="preserve"> </w:t>
      </w:r>
      <w:r>
        <w:t>Secretary,</w:t>
      </w:r>
      <w:r w:rsidR="00A03629">
        <w:t xml:space="preserve"> </w:t>
      </w:r>
      <w:r>
        <w:t>Project</w:t>
      </w:r>
      <w:r w:rsidR="00A03629">
        <w:t xml:space="preserve"> </w:t>
      </w:r>
      <w:r>
        <w:t>Development</w:t>
      </w:r>
      <w:r w:rsidR="00A03629">
        <w:t xml:space="preserve"> </w:t>
      </w:r>
      <w:r>
        <w:t>was</w:t>
      </w:r>
      <w:r w:rsidR="00A03629">
        <w:t xml:space="preserve"> </w:t>
      </w:r>
      <w:r>
        <w:t>included</w:t>
      </w:r>
      <w:r w:rsidR="00A03629">
        <w:t xml:space="preserve"> </w:t>
      </w:r>
      <w:r>
        <w:t>into</w:t>
      </w:r>
      <w:r w:rsidR="00A03629">
        <w:t xml:space="preserve"> </w:t>
      </w:r>
      <w:r>
        <w:t>DJSIR</w:t>
      </w:r>
      <w:r w:rsidR="00A03629">
        <w:t xml:space="preserve"> </w:t>
      </w:r>
      <w:r>
        <w:t>for</w:t>
      </w:r>
      <w:r w:rsidR="00A03629">
        <w:t xml:space="preserve"> </w:t>
      </w:r>
      <w:r>
        <w:t>the</w:t>
      </w:r>
      <w:r w:rsidR="00A03629">
        <w:t xml:space="preserve"> </w:t>
      </w:r>
      <w:r>
        <w:t>full</w:t>
      </w:r>
      <w:r w:rsidR="00A03629">
        <w:t xml:space="preserve"> </w:t>
      </w:r>
      <w:r>
        <w:t>financial</w:t>
      </w:r>
      <w:r w:rsidR="00A03629">
        <w:t xml:space="preserve"> </w:t>
      </w:r>
      <w:r>
        <w:t>year.</w:t>
      </w:r>
    </w:p>
    <w:p w14:paraId="511036BE" w14:textId="4956E71D" w:rsidR="000756EB" w:rsidRDefault="004A4D88" w:rsidP="00D40F1B">
      <w:r>
        <w:t>The</w:t>
      </w:r>
      <w:r w:rsidR="00A03629">
        <w:t xml:space="preserve"> </w:t>
      </w:r>
      <w:r>
        <w:t>financial</w:t>
      </w:r>
      <w:r w:rsidR="00A03629">
        <w:t xml:space="preserve"> </w:t>
      </w:r>
      <w:r>
        <w:t>effects</w:t>
      </w:r>
      <w:r w:rsidR="00A03629">
        <w:t xml:space="preserve"> </w:t>
      </w:r>
      <w:r>
        <w:t>of</w:t>
      </w:r>
      <w:r w:rsidR="00A03629">
        <w:t xml:space="preserve"> </w:t>
      </w:r>
      <w:r>
        <w:t>each</w:t>
      </w:r>
      <w:r w:rsidR="00A03629">
        <w:t xml:space="preserve"> </w:t>
      </w:r>
      <w:r>
        <w:t>of</w:t>
      </w:r>
      <w:r w:rsidR="00A03629">
        <w:t xml:space="preserve"> </w:t>
      </w:r>
      <w:r>
        <w:t>those</w:t>
      </w:r>
      <w:r w:rsidR="00A03629">
        <w:t xml:space="preserve"> </w:t>
      </w:r>
      <w:r>
        <w:t>entities</w:t>
      </w:r>
      <w:r w:rsidR="00A03629">
        <w:t xml:space="preserve"> </w:t>
      </w:r>
      <w:r>
        <w:t>were</w:t>
      </w:r>
      <w:r w:rsidR="00A03629">
        <w:t xml:space="preserve"> </w:t>
      </w:r>
      <w:r>
        <w:t>not</w:t>
      </w:r>
      <w:r w:rsidR="00A03629">
        <w:t xml:space="preserve"> </w:t>
      </w:r>
      <w:r>
        <w:t>material</w:t>
      </w:r>
      <w:r w:rsidR="00A03629">
        <w:t xml:space="preserve"> </w:t>
      </w:r>
      <w:r>
        <w:t>to</w:t>
      </w:r>
      <w:r w:rsidR="00A03629">
        <w:t xml:space="preserve"> </w:t>
      </w:r>
      <w:r>
        <w:t>DJSIR</w:t>
      </w:r>
      <w:r w:rsidR="00A03629">
        <w:t xml:space="preserve"> </w:t>
      </w:r>
      <w:r>
        <w:t>consolidated</w:t>
      </w:r>
      <w:r w:rsidR="00A03629">
        <w:t xml:space="preserve"> </w:t>
      </w:r>
      <w:r>
        <w:t>group.</w:t>
      </w:r>
      <w:r w:rsidR="00A03629">
        <w:t xml:space="preserve"> </w:t>
      </w:r>
      <w:r>
        <w:t>However,</w:t>
      </w:r>
      <w:r w:rsidR="00A03629">
        <w:t xml:space="preserve"> </w:t>
      </w:r>
      <w:r>
        <w:t>the</w:t>
      </w:r>
      <w:r w:rsidR="00A03629">
        <w:t xml:space="preserve"> </w:t>
      </w:r>
      <w:r>
        <w:t>financial</w:t>
      </w:r>
      <w:r w:rsidR="00A03629">
        <w:t xml:space="preserve"> </w:t>
      </w:r>
      <w:r>
        <w:t>effects</w:t>
      </w:r>
      <w:r w:rsidR="00A03629">
        <w:t xml:space="preserve"> </w:t>
      </w:r>
      <w:r>
        <w:t>of</w:t>
      </w:r>
      <w:r w:rsidR="00A03629">
        <w:t xml:space="preserve"> </w:t>
      </w:r>
      <w:r>
        <w:t>those</w:t>
      </w:r>
      <w:r w:rsidR="00A03629">
        <w:t xml:space="preserve"> </w:t>
      </w:r>
      <w:r>
        <w:t>entities</w:t>
      </w:r>
      <w:r w:rsidR="00A03629">
        <w:t xml:space="preserve"> </w:t>
      </w:r>
      <w:r>
        <w:t>in</w:t>
      </w:r>
      <w:r w:rsidR="00A03629">
        <w:t xml:space="preserve"> </w:t>
      </w:r>
      <w:r>
        <w:t>aggregate</w:t>
      </w:r>
      <w:r w:rsidR="00A03629">
        <w:t xml:space="preserve"> </w:t>
      </w:r>
      <w:r>
        <w:t>were</w:t>
      </w:r>
      <w:r w:rsidR="00A03629">
        <w:t xml:space="preserve"> </w:t>
      </w:r>
      <w:r>
        <w:t>material</w:t>
      </w:r>
      <w:r w:rsidR="00A03629">
        <w:t xml:space="preserve"> </w:t>
      </w:r>
      <w:r>
        <w:t>to</w:t>
      </w:r>
      <w:r w:rsidR="00A03629">
        <w:t xml:space="preserve"> </w:t>
      </w:r>
      <w:r>
        <w:t>the</w:t>
      </w:r>
      <w:r w:rsidR="00A03629">
        <w:t xml:space="preserve"> </w:t>
      </w:r>
      <w:r>
        <w:t>Departmental</w:t>
      </w:r>
      <w:r w:rsidR="00A03629">
        <w:t xml:space="preserve"> </w:t>
      </w:r>
      <w:r>
        <w:t>consolidated</w:t>
      </w:r>
      <w:r w:rsidR="00A03629">
        <w:t xml:space="preserve"> </w:t>
      </w:r>
      <w:r>
        <w:t>group.</w:t>
      </w:r>
      <w:r w:rsidR="00A03629">
        <w:t xml:space="preserve"> </w:t>
      </w:r>
      <w:r>
        <w:t>Therefore,</w:t>
      </w:r>
      <w:r w:rsidR="00A03629">
        <w:t xml:space="preserve"> </w:t>
      </w:r>
      <w:r>
        <w:t>those</w:t>
      </w:r>
      <w:r w:rsidR="00A03629">
        <w:t xml:space="preserve"> </w:t>
      </w:r>
      <w:r>
        <w:t>entities</w:t>
      </w:r>
      <w:r w:rsidR="00A03629">
        <w:t xml:space="preserve"> </w:t>
      </w:r>
      <w:r>
        <w:t>are</w:t>
      </w:r>
      <w:r w:rsidR="00A03629">
        <w:t xml:space="preserve"> </w:t>
      </w:r>
      <w:r>
        <w:t>reported</w:t>
      </w:r>
      <w:r w:rsidR="00A03629">
        <w:t xml:space="preserve"> </w:t>
      </w:r>
      <w:r>
        <w:t>in</w:t>
      </w:r>
      <w:r w:rsidR="00A03629">
        <w:t xml:space="preserve"> </w:t>
      </w:r>
      <w:r>
        <w:t>aggregate</w:t>
      </w:r>
      <w:r w:rsidR="00A03629">
        <w:t xml:space="preserve"> </w:t>
      </w:r>
      <w:r>
        <w:t>in</w:t>
      </w:r>
      <w:r w:rsidR="00A03629">
        <w:t xml:space="preserve"> </w:t>
      </w:r>
      <w:r>
        <w:t>the</w:t>
      </w:r>
      <w:r w:rsidR="00A03629">
        <w:t xml:space="preserve"> </w:t>
      </w:r>
      <w:r>
        <w:t>table</w:t>
      </w:r>
      <w:r w:rsidR="00A03629">
        <w:t xml:space="preserve"> </w:t>
      </w:r>
      <w:r>
        <w:t>below.</w:t>
      </w:r>
      <w:r w:rsidR="00A03629">
        <w:t xml:space="preserve"> </w:t>
      </w:r>
    </w:p>
    <w:p w14:paraId="6D4E037D" w14:textId="77777777" w:rsidR="00D40F1B" w:rsidRDefault="00D40F1B" w:rsidP="00D40F1B">
      <w:pPr>
        <w:pStyle w:val="Normalbeforebullets"/>
        <w:rPr>
          <w:b/>
          <w:bCs/>
        </w:rPr>
        <w:sectPr w:rsidR="00D40F1B" w:rsidSect="00D76126">
          <w:pgSz w:w="11906" w:h="16838" w:code="9"/>
          <w:pgMar w:top="1134" w:right="851" w:bottom="1134" w:left="851" w:header="397" w:footer="397" w:gutter="0"/>
          <w:cols w:space="720"/>
          <w:noEndnote/>
        </w:sectPr>
      </w:pPr>
    </w:p>
    <w:p w14:paraId="7610F1D5" w14:textId="5FF8F7F9" w:rsidR="000756EB" w:rsidRPr="00D40F1B" w:rsidRDefault="004A4D88" w:rsidP="00D40F1B">
      <w:pPr>
        <w:pStyle w:val="Normalbeforebullets"/>
        <w:rPr>
          <w:b/>
          <w:bCs/>
        </w:rPr>
      </w:pPr>
      <w:r w:rsidRPr="00D40F1B">
        <w:rPr>
          <w:b/>
          <w:bCs/>
        </w:rPr>
        <w:lastRenderedPageBreak/>
        <w:t>Departmental</w:t>
      </w:r>
      <w:r w:rsidR="00A03629" w:rsidRPr="00D40F1B">
        <w:rPr>
          <w:b/>
          <w:bCs/>
        </w:rPr>
        <w:t xml:space="preserve"> </w:t>
      </w:r>
      <w:r w:rsidRPr="00D40F1B">
        <w:rPr>
          <w:b/>
          <w:bCs/>
        </w:rPr>
        <w:t>consolidated</w:t>
      </w:r>
      <w:r w:rsidR="00A03629" w:rsidRPr="00D40F1B">
        <w:rPr>
          <w:b/>
          <w:bCs/>
        </w:rPr>
        <w:t xml:space="preserve"> </w:t>
      </w:r>
      <w:r w:rsidRPr="00D40F1B">
        <w:rPr>
          <w:b/>
          <w:bCs/>
        </w:rPr>
        <w:t>group</w:t>
      </w:r>
    </w:p>
    <w:tbl>
      <w:tblPr>
        <w:tblStyle w:val="TableGrid"/>
        <w:tblW w:w="15028" w:type="dxa"/>
        <w:tblLayout w:type="fixed"/>
        <w:tblLook w:val="0020" w:firstRow="1" w:lastRow="0" w:firstColumn="0" w:lastColumn="0" w:noHBand="0" w:noVBand="0"/>
      </w:tblPr>
      <w:tblGrid>
        <w:gridCol w:w="2122"/>
        <w:gridCol w:w="1261"/>
        <w:gridCol w:w="1343"/>
        <w:gridCol w:w="1180"/>
        <w:gridCol w:w="1262"/>
        <w:gridCol w:w="1262"/>
        <w:gridCol w:w="1261"/>
        <w:gridCol w:w="1306"/>
        <w:gridCol w:w="1315"/>
        <w:gridCol w:w="1358"/>
        <w:gridCol w:w="1358"/>
      </w:tblGrid>
      <w:tr w:rsidR="007A26B9" w:rsidRPr="004829DE" w14:paraId="2758A19B" w14:textId="77777777" w:rsidTr="007A26B9">
        <w:trPr>
          <w:trHeight w:val="60"/>
        </w:trPr>
        <w:tc>
          <w:tcPr>
            <w:tcW w:w="2122" w:type="dxa"/>
          </w:tcPr>
          <w:p w14:paraId="596EB05D" w14:textId="77777777" w:rsidR="00D40F1B" w:rsidRPr="004829DE" w:rsidRDefault="00D40F1B" w:rsidP="004829DE">
            <w:pPr>
              <w:pStyle w:val="TableColumnHeading"/>
              <w:rPr>
                <w:sz w:val="20"/>
                <w:szCs w:val="28"/>
              </w:rPr>
            </w:pPr>
          </w:p>
        </w:tc>
        <w:tc>
          <w:tcPr>
            <w:tcW w:w="1261" w:type="dxa"/>
          </w:tcPr>
          <w:p w14:paraId="0670B402" w14:textId="1DE5EA36" w:rsidR="00D40F1B" w:rsidRPr="004829DE" w:rsidRDefault="004829DE" w:rsidP="007A26B9">
            <w:pPr>
              <w:pStyle w:val="TableColumnHeading"/>
              <w:jc w:val="right"/>
              <w:rPr>
                <w:sz w:val="20"/>
                <w:szCs w:val="28"/>
              </w:rPr>
            </w:pPr>
            <w:r w:rsidRPr="004829DE">
              <w:rPr>
                <w:sz w:val="20"/>
                <w:szCs w:val="28"/>
              </w:rPr>
              <w:t>Department</w:t>
            </w:r>
            <w:r w:rsidRPr="004829DE">
              <w:rPr>
                <w:sz w:val="20"/>
                <w:szCs w:val="28"/>
              </w:rPr>
              <w:br/>
              <w:t>of Jobs, Precincts</w:t>
            </w:r>
            <w:r w:rsidRPr="004829DE">
              <w:rPr>
                <w:sz w:val="20"/>
                <w:szCs w:val="28"/>
              </w:rPr>
              <w:br/>
              <w:t xml:space="preserve">and Regions </w:t>
            </w:r>
            <w:r w:rsidR="00D40F1B" w:rsidRPr="004829DE">
              <w:rPr>
                <w:sz w:val="20"/>
                <w:szCs w:val="28"/>
              </w:rPr>
              <w:t>2023</w:t>
            </w:r>
            <w:r w:rsidRPr="004829DE">
              <w:rPr>
                <w:sz w:val="20"/>
                <w:szCs w:val="28"/>
              </w:rPr>
              <w:t xml:space="preserve"> ($ thousand)</w:t>
            </w:r>
            <w:r w:rsidR="00D40F1B" w:rsidRPr="004829DE">
              <w:rPr>
                <w:sz w:val="20"/>
                <w:szCs w:val="28"/>
              </w:rPr>
              <w:t xml:space="preserve"> </w:t>
            </w:r>
          </w:p>
        </w:tc>
        <w:tc>
          <w:tcPr>
            <w:tcW w:w="1343" w:type="dxa"/>
          </w:tcPr>
          <w:p w14:paraId="2CB66A7F" w14:textId="7066843E" w:rsidR="00D40F1B" w:rsidRPr="004829DE" w:rsidRDefault="004829DE" w:rsidP="007A26B9">
            <w:pPr>
              <w:pStyle w:val="TableColumnHeading"/>
              <w:jc w:val="right"/>
              <w:rPr>
                <w:sz w:val="20"/>
                <w:szCs w:val="28"/>
              </w:rPr>
            </w:pPr>
            <w:r w:rsidRPr="004829DE">
              <w:rPr>
                <w:sz w:val="20"/>
                <w:szCs w:val="28"/>
              </w:rPr>
              <w:t>Department</w:t>
            </w:r>
            <w:r w:rsidRPr="004829DE">
              <w:rPr>
                <w:sz w:val="20"/>
                <w:szCs w:val="28"/>
              </w:rPr>
              <w:br/>
              <w:t>of Jobs, Precincts</w:t>
            </w:r>
            <w:r w:rsidRPr="004829DE">
              <w:rPr>
                <w:sz w:val="20"/>
                <w:szCs w:val="28"/>
              </w:rPr>
              <w:br/>
              <w:t xml:space="preserve">and Regions </w:t>
            </w:r>
            <w:r w:rsidR="00D40F1B" w:rsidRPr="004829DE">
              <w:rPr>
                <w:sz w:val="20"/>
                <w:szCs w:val="28"/>
              </w:rPr>
              <w:t>2022</w:t>
            </w:r>
            <w:r>
              <w:rPr>
                <w:sz w:val="20"/>
                <w:szCs w:val="28"/>
              </w:rPr>
              <w:t xml:space="preserve"> </w:t>
            </w:r>
            <w:r w:rsidRPr="004829DE">
              <w:rPr>
                <w:sz w:val="20"/>
                <w:szCs w:val="28"/>
              </w:rPr>
              <w:t xml:space="preserve">($ thousand) </w:t>
            </w:r>
          </w:p>
        </w:tc>
        <w:tc>
          <w:tcPr>
            <w:tcW w:w="1180" w:type="dxa"/>
          </w:tcPr>
          <w:p w14:paraId="0EEA5C85" w14:textId="568BFE25" w:rsidR="00D40F1B" w:rsidRPr="004829DE" w:rsidRDefault="004829DE" w:rsidP="007A26B9">
            <w:pPr>
              <w:pStyle w:val="TableColumnHeading"/>
              <w:jc w:val="right"/>
              <w:rPr>
                <w:sz w:val="20"/>
                <w:szCs w:val="28"/>
              </w:rPr>
            </w:pPr>
            <w:r w:rsidRPr="004829DE">
              <w:rPr>
                <w:sz w:val="20"/>
                <w:szCs w:val="28"/>
              </w:rPr>
              <w:t xml:space="preserve">Rural Assistance Commissioner (RAC) </w:t>
            </w:r>
            <w:r w:rsidR="00D40F1B" w:rsidRPr="004829DE">
              <w:rPr>
                <w:sz w:val="20"/>
                <w:szCs w:val="28"/>
              </w:rPr>
              <w:t>2023</w:t>
            </w:r>
            <w:r>
              <w:rPr>
                <w:sz w:val="20"/>
                <w:szCs w:val="28"/>
              </w:rPr>
              <w:t xml:space="preserve"> </w:t>
            </w:r>
            <w:r w:rsidRPr="004829DE">
              <w:rPr>
                <w:sz w:val="20"/>
                <w:szCs w:val="28"/>
              </w:rPr>
              <w:t>($ thousand)</w:t>
            </w:r>
            <w:r w:rsidR="00D40F1B" w:rsidRPr="004829DE">
              <w:rPr>
                <w:sz w:val="20"/>
                <w:szCs w:val="28"/>
              </w:rPr>
              <w:t xml:space="preserve"> </w:t>
            </w:r>
          </w:p>
        </w:tc>
        <w:tc>
          <w:tcPr>
            <w:tcW w:w="1262" w:type="dxa"/>
          </w:tcPr>
          <w:p w14:paraId="4FEC21B9" w14:textId="53A1AF7A" w:rsidR="00D40F1B" w:rsidRPr="004829DE" w:rsidRDefault="004829DE" w:rsidP="007A26B9">
            <w:pPr>
              <w:pStyle w:val="TableColumnHeading"/>
              <w:jc w:val="right"/>
              <w:rPr>
                <w:sz w:val="20"/>
                <w:szCs w:val="28"/>
              </w:rPr>
            </w:pPr>
            <w:r w:rsidRPr="004829DE">
              <w:rPr>
                <w:sz w:val="20"/>
                <w:szCs w:val="28"/>
              </w:rPr>
              <w:t xml:space="preserve">Rural Assistance Commissioner (RAC) </w:t>
            </w:r>
            <w:r w:rsidR="00D40F1B" w:rsidRPr="004829DE">
              <w:rPr>
                <w:sz w:val="20"/>
                <w:szCs w:val="28"/>
              </w:rPr>
              <w:t>2022</w:t>
            </w:r>
            <w:r>
              <w:rPr>
                <w:sz w:val="20"/>
                <w:szCs w:val="28"/>
              </w:rPr>
              <w:t xml:space="preserve"> </w:t>
            </w:r>
            <w:r w:rsidRPr="004829DE">
              <w:rPr>
                <w:sz w:val="20"/>
                <w:szCs w:val="28"/>
              </w:rPr>
              <w:t xml:space="preserve">($ thousand) </w:t>
            </w:r>
          </w:p>
        </w:tc>
        <w:tc>
          <w:tcPr>
            <w:tcW w:w="1262" w:type="dxa"/>
          </w:tcPr>
          <w:p w14:paraId="30D69405" w14:textId="0F820378" w:rsidR="00D40F1B" w:rsidRPr="004829DE" w:rsidRDefault="004829DE" w:rsidP="007A26B9">
            <w:pPr>
              <w:pStyle w:val="TableColumnHeading"/>
              <w:jc w:val="right"/>
              <w:rPr>
                <w:sz w:val="20"/>
                <w:szCs w:val="28"/>
              </w:rPr>
            </w:pPr>
            <w:r w:rsidRPr="004829DE">
              <w:rPr>
                <w:sz w:val="20"/>
                <w:szCs w:val="28"/>
              </w:rPr>
              <w:t xml:space="preserve">Other section </w:t>
            </w:r>
            <w:r w:rsidRPr="004829DE">
              <w:rPr>
                <w:sz w:val="20"/>
                <w:szCs w:val="28"/>
              </w:rPr>
              <w:br/>
              <w:t xml:space="preserve">53(1)(b) entities </w:t>
            </w:r>
            <w:r w:rsidRPr="00614829">
              <w:rPr>
                <w:rStyle w:val="FootnotereferencessuperscriptMisc"/>
                <w:sz w:val="20"/>
                <w:szCs w:val="28"/>
              </w:rPr>
              <w:t>(</w:t>
            </w:r>
            <w:proofErr w:type="spellStart"/>
            <w:r w:rsidRPr="00614829">
              <w:rPr>
                <w:rStyle w:val="FootnotereferencessuperscriptMisc"/>
                <w:sz w:val="20"/>
                <w:szCs w:val="28"/>
              </w:rPr>
              <w:t>i</w:t>
            </w:r>
            <w:proofErr w:type="spellEnd"/>
            <w:r w:rsidRPr="00614829">
              <w:rPr>
                <w:rStyle w:val="FootnotereferencessuperscriptMisc"/>
                <w:sz w:val="20"/>
                <w:szCs w:val="28"/>
              </w:rPr>
              <w:t>)</w:t>
            </w:r>
            <w:r w:rsidRPr="004829DE">
              <w:rPr>
                <w:sz w:val="20"/>
                <w:szCs w:val="28"/>
              </w:rPr>
              <w:t xml:space="preserve"> </w:t>
            </w:r>
            <w:r w:rsidRPr="004829DE">
              <w:rPr>
                <w:sz w:val="20"/>
                <w:szCs w:val="28"/>
              </w:rPr>
              <w:br/>
              <w:t xml:space="preserve">(Excluding RAC) </w:t>
            </w:r>
            <w:r w:rsidR="00D40F1B" w:rsidRPr="004829DE">
              <w:rPr>
                <w:sz w:val="20"/>
                <w:szCs w:val="28"/>
              </w:rPr>
              <w:t>2023</w:t>
            </w:r>
            <w:r>
              <w:rPr>
                <w:sz w:val="20"/>
                <w:szCs w:val="28"/>
              </w:rPr>
              <w:t xml:space="preserve"> </w:t>
            </w:r>
            <w:r w:rsidRPr="004829DE">
              <w:rPr>
                <w:sz w:val="20"/>
                <w:szCs w:val="28"/>
              </w:rPr>
              <w:t>($ thousand)</w:t>
            </w:r>
            <w:r w:rsidR="00D40F1B" w:rsidRPr="004829DE">
              <w:rPr>
                <w:sz w:val="20"/>
                <w:szCs w:val="28"/>
              </w:rPr>
              <w:t xml:space="preserve"> </w:t>
            </w:r>
          </w:p>
        </w:tc>
        <w:tc>
          <w:tcPr>
            <w:tcW w:w="1261" w:type="dxa"/>
          </w:tcPr>
          <w:p w14:paraId="32F9472E" w14:textId="09CBD79B" w:rsidR="00D40F1B" w:rsidRPr="004829DE" w:rsidRDefault="004829DE" w:rsidP="007A26B9">
            <w:pPr>
              <w:pStyle w:val="TableColumnHeading"/>
              <w:jc w:val="right"/>
              <w:rPr>
                <w:sz w:val="20"/>
                <w:szCs w:val="28"/>
              </w:rPr>
            </w:pPr>
            <w:r w:rsidRPr="004829DE">
              <w:rPr>
                <w:sz w:val="20"/>
                <w:szCs w:val="28"/>
              </w:rPr>
              <w:t xml:space="preserve">Other section </w:t>
            </w:r>
            <w:r w:rsidRPr="004829DE">
              <w:rPr>
                <w:sz w:val="20"/>
                <w:szCs w:val="28"/>
              </w:rPr>
              <w:br/>
              <w:t xml:space="preserve">53(1)(b) entities </w:t>
            </w:r>
            <w:r w:rsidRPr="00614829">
              <w:rPr>
                <w:rStyle w:val="FootnotereferencessuperscriptMisc"/>
                <w:sz w:val="20"/>
                <w:szCs w:val="28"/>
              </w:rPr>
              <w:t>(</w:t>
            </w:r>
            <w:proofErr w:type="spellStart"/>
            <w:r w:rsidRPr="00614829">
              <w:rPr>
                <w:rStyle w:val="FootnotereferencessuperscriptMisc"/>
                <w:sz w:val="20"/>
                <w:szCs w:val="28"/>
              </w:rPr>
              <w:t>i</w:t>
            </w:r>
            <w:proofErr w:type="spellEnd"/>
            <w:r w:rsidRPr="00614829">
              <w:rPr>
                <w:rStyle w:val="FootnotereferencessuperscriptMisc"/>
                <w:sz w:val="20"/>
                <w:szCs w:val="28"/>
              </w:rPr>
              <w:t>)</w:t>
            </w:r>
            <w:r w:rsidRPr="004829DE">
              <w:rPr>
                <w:sz w:val="20"/>
                <w:szCs w:val="28"/>
              </w:rPr>
              <w:t xml:space="preserve"> </w:t>
            </w:r>
            <w:r w:rsidRPr="004829DE">
              <w:rPr>
                <w:sz w:val="20"/>
                <w:szCs w:val="28"/>
              </w:rPr>
              <w:br/>
              <w:t xml:space="preserve">(Excluding RAC) </w:t>
            </w:r>
            <w:r w:rsidR="00D40F1B" w:rsidRPr="004829DE">
              <w:rPr>
                <w:sz w:val="20"/>
                <w:szCs w:val="28"/>
              </w:rPr>
              <w:t>2022</w:t>
            </w:r>
            <w:r>
              <w:rPr>
                <w:sz w:val="20"/>
                <w:szCs w:val="28"/>
              </w:rPr>
              <w:t xml:space="preserve"> </w:t>
            </w:r>
            <w:r w:rsidRPr="004829DE">
              <w:rPr>
                <w:sz w:val="20"/>
                <w:szCs w:val="28"/>
              </w:rPr>
              <w:t xml:space="preserve">($ thousand) </w:t>
            </w:r>
          </w:p>
        </w:tc>
        <w:tc>
          <w:tcPr>
            <w:tcW w:w="1306" w:type="dxa"/>
          </w:tcPr>
          <w:p w14:paraId="202C6E81" w14:textId="0B92E544" w:rsidR="00D40F1B" w:rsidRPr="004829DE" w:rsidRDefault="004829DE" w:rsidP="007A26B9">
            <w:pPr>
              <w:pStyle w:val="TableColumnHeading"/>
              <w:jc w:val="right"/>
              <w:rPr>
                <w:sz w:val="20"/>
                <w:szCs w:val="28"/>
              </w:rPr>
            </w:pPr>
            <w:r w:rsidRPr="004829DE">
              <w:rPr>
                <w:sz w:val="20"/>
                <w:szCs w:val="28"/>
              </w:rPr>
              <w:t>Eliminations</w:t>
            </w:r>
            <w:r w:rsidRPr="004829DE">
              <w:rPr>
                <w:sz w:val="20"/>
                <w:szCs w:val="28"/>
              </w:rPr>
              <w:br/>
              <w:t xml:space="preserve">and adjustments </w:t>
            </w:r>
            <w:r w:rsidR="00D40F1B" w:rsidRPr="004829DE">
              <w:rPr>
                <w:sz w:val="20"/>
                <w:szCs w:val="28"/>
              </w:rPr>
              <w:t>2023</w:t>
            </w:r>
            <w:r>
              <w:rPr>
                <w:sz w:val="20"/>
                <w:szCs w:val="28"/>
              </w:rPr>
              <w:t xml:space="preserve"> </w:t>
            </w:r>
            <w:r w:rsidRPr="004829DE">
              <w:rPr>
                <w:sz w:val="20"/>
                <w:szCs w:val="28"/>
              </w:rPr>
              <w:t>($ thousand)</w:t>
            </w:r>
            <w:r w:rsidR="00D40F1B" w:rsidRPr="004829DE">
              <w:rPr>
                <w:sz w:val="20"/>
                <w:szCs w:val="28"/>
              </w:rPr>
              <w:t xml:space="preserve"> </w:t>
            </w:r>
          </w:p>
        </w:tc>
        <w:tc>
          <w:tcPr>
            <w:tcW w:w="1315" w:type="dxa"/>
          </w:tcPr>
          <w:p w14:paraId="63980694" w14:textId="65D9256B" w:rsidR="00D40F1B" w:rsidRPr="004829DE" w:rsidRDefault="004829DE" w:rsidP="007A26B9">
            <w:pPr>
              <w:pStyle w:val="TableColumnHeading"/>
              <w:jc w:val="right"/>
              <w:rPr>
                <w:sz w:val="20"/>
                <w:szCs w:val="28"/>
              </w:rPr>
            </w:pPr>
            <w:r w:rsidRPr="004829DE">
              <w:rPr>
                <w:sz w:val="20"/>
                <w:szCs w:val="28"/>
              </w:rPr>
              <w:t>Eliminations</w:t>
            </w:r>
            <w:r w:rsidRPr="004829DE">
              <w:rPr>
                <w:sz w:val="20"/>
                <w:szCs w:val="28"/>
              </w:rPr>
              <w:br/>
              <w:t xml:space="preserve">and adjustments </w:t>
            </w:r>
            <w:r w:rsidR="00D40F1B" w:rsidRPr="004829DE">
              <w:rPr>
                <w:sz w:val="20"/>
                <w:szCs w:val="28"/>
              </w:rPr>
              <w:t>2022</w:t>
            </w:r>
            <w:r>
              <w:rPr>
                <w:sz w:val="20"/>
                <w:szCs w:val="28"/>
              </w:rPr>
              <w:t xml:space="preserve"> </w:t>
            </w:r>
            <w:r w:rsidRPr="004829DE">
              <w:rPr>
                <w:sz w:val="20"/>
                <w:szCs w:val="28"/>
              </w:rPr>
              <w:t xml:space="preserve">($ thousand) </w:t>
            </w:r>
          </w:p>
        </w:tc>
        <w:tc>
          <w:tcPr>
            <w:tcW w:w="1358" w:type="dxa"/>
          </w:tcPr>
          <w:p w14:paraId="5A41530D" w14:textId="567D7979" w:rsidR="00D40F1B" w:rsidRPr="004829DE" w:rsidRDefault="004829DE" w:rsidP="007A26B9">
            <w:pPr>
              <w:pStyle w:val="TableColumnHeading"/>
              <w:jc w:val="right"/>
              <w:rPr>
                <w:sz w:val="20"/>
                <w:szCs w:val="28"/>
              </w:rPr>
            </w:pPr>
            <w:r w:rsidRPr="004829DE">
              <w:rPr>
                <w:sz w:val="20"/>
                <w:szCs w:val="28"/>
              </w:rPr>
              <w:t xml:space="preserve">DJSIR </w:t>
            </w:r>
            <w:r w:rsidRPr="004829DE">
              <w:rPr>
                <w:sz w:val="20"/>
                <w:szCs w:val="28"/>
              </w:rPr>
              <w:br/>
              <w:t xml:space="preserve">consolidated group </w:t>
            </w:r>
            <w:r w:rsidR="00D40F1B" w:rsidRPr="004829DE">
              <w:rPr>
                <w:sz w:val="20"/>
                <w:szCs w:val="28"/>
              </w:rPr>
              <w:t>2023</w:t>
            </w:r>
            <w:r>
              <w:rPr>
                <w:sz w:val="20"/>
                <w:szCs w:val="28"/>
              </w:rPr>
              <w:t xml:space="preserve"> </w:t>
            </w:r>
            <w:r w:rsidRPr="004829DE">
              <w:rPr>
                <w:sz w:val="20"/>
                <w:szCs w:val="28"/>
              </w:rPr>
              <w:t>($ thousand)</w:t>
            </w:r>
            <w:r w:rsidR="00D40F1B" w:rsidRPr="004829DE">
              <w:rPr>
                <w:sz w:val="20"/>
                <w:szCs w:val="28"/>
              </w:rPr>
              <w:t xml:space="preserve"> </w:t>
            </w:r>
          </w:p>
        </w:tc>
        <w:tc>
          <w:tcPr>
            <w:tcW w:w="1358" w:type="dxa"/>
          </w:tcPr>
          <w:p w14:paraId="171BFA28" w14:textId="26A9FD9C" w:rsidR="00D40F1B" w:rsidRPr="004829DE" w:rsidRDefault="004829DE" w:rsidP="007A26B9">
            <w:pPr>
              <w:pStyle w:val="TableColumnHeading"/>
              <w:jc w:val="right"/>
              <w:rPr>
                <w:sz w:val="20"/>
                <w:szCs w:val="28"/>
              </w:rPr>
            </w:pPr>
            <w:r w:rsidRPr="004829DE">
              <w:rPr>
                <w:sz w:val="20"/>
                <w:szCs w:val="28"/>
              </w:rPr>
              <w:t xml:space="preserve">DJSIR </w:t>
            </w:r>
            <w:r w:rsidRPr="004829DE">
              <w:rPr>
                <w:sz w:val="20"/>
                <w:szCs w:val="28"/>
              </w:rPr>
              <w:br/>
              <w:t xml:space="preserve">consolidated group </w:t>
            </w:r>
            <w:r w:rsidR="00D40F1B" w:rsidRPr="004829DE">
              <w:rPr>
                <w:sz w:val="20"/>
                <w:szCs w:val="28"/>
              </w:rPr>
              <w:t>2022</w:t>
            </w:r>
            <w:r>
              <w:rPr>
                <w:sz w:val="20"/>
                <w:szCs w:val="28"/>
              </w:rPr>
              <w:t xml:space="preserve"> </w:t>
            </w:r>
            <w:r w:rsidRPr="004829DE">
              <w:rPr>
                <w:sz w:val="20"/>
                <w:szCs w:val="28"/>
              </w:rPr>
              <w:t xml:space="preserve">($ thousand) </w:t>
            </w:r>
          </w:p>
        </w:tc>
      </w:tr>
      <w:tr w:rsidR="007A26B9" w14:paraId="7CF16E28" w14:textId="77777777" w:rsidTr="007A26B9">
        <w:trPr>
          <w:trHeight w:val="60"/>
        </w:trPr>
        <w:tc>
          <w:tcPr>
            <w:tcW w:w="2122" w:type="dxa"/>
          </w:tcPr>
          <w:p w14:paraId="0E3C7F51" w14:textId="6EFC6BAD" w:rsidR="00D40F1B" w:rsidRDefault="00D40F1B" w:rsidP="004829DE">
            <w:pPr>
              <w:pStyle w:val="TableCopy"/>
            </w:pPr>
            <w:r>
              <w:t>Total income from transactions</w:t>
            </w:r>
          </w:p>
        </w:tc>
        <w:tc>
          <w:tcPr>
            <w:tcW w:w="1261" w:type="dxa"/>
          </w:tcPr>
          <w:p w14:paraId="41ED0F42" w14:textId="62731DAA" w:rsidR="00D40F1B" w:rsidRDefault="00D40F1B" w:rsidP="007A26B9">
            <w:pPr>
              <w:pStyle w:val="TableCopy"/>
              <w:jc w:val="right"/>
            </w:pPr>
            <w:r>
              <w:t>4,117,980</w:t>
            </w:r>
          </w:p>
        </w:tc>
        <w:tc>
          <w:tcPr>
            <w:tcW w:w="1343" w:type="dxa"/>
          </w:tcPr>
          <w:p w14:paraId="3E6F1FBB" w14:textId="7545F459" w:rsidR="00D40F1B" w:rsidRDefault="00D40F1B" w:rsidP="007A26B9">
            <w:pPr>
              <w:pStyle w:val="TableCopy"/>
              <w:jc w:val="right"/>
            </w:pPr>
            <w:r>
              <w:t>11,021,876</w:t>
            </w:r>
          </w:p>
        </w:tc>
        <w:tc>
          <w:tcPr>
            <w:tcW w:w="1180" w:type="dxa"/>
          </w:tcPr>
          <w:p w14:paraId="3C64DEE7" w14:textId="17BBE243" w:rsidR="00D40F1B" w:rsidRDefault="00D40F1B" w:rsidP="007A26B9">
            <w:pPr>
              <w:pStyle w:val="TableCopy"/>
              <w:jc w:val="right"/>
            </w:pPr>
            <w:r>
              <w:t>42</w:t>
            </w:r>
          </w:p>
        </w:tc>
        <w:tc>
          <w:tcPr>
            <w:tcW w:w="1262" w:type="dxa"/>
          </w:tcPr>
          <w:p w14:paraId="04C80975" w14:textId="1DE3D56C" w:rsidR="00D40F1B" w:rsidRDefault="00D40F1B" w:rsidP="007A26B9">
            <w:pPr>
              <w:pStyle w:val="TableCopy"/>
              <w:jc w:val="right"/>
            </w:pPr>
            <w:r>
              <w:t>2</w:t>
            </w:r>
          </w:p>
        </w:tc>
        <w:tc>
          <w:tcPr>
            <w:tcW w:w="1262" w:type="dxa"/>
          </w:tcPr>
          <w:p w14:paraId="091F7033" w14:textId="77777777" w:rsidR="00D40F1B" w:rsidRDefault="00D40F1B" w:rsidP="007A26B9">
            <w:pPr>
              <w:pStyle w:val="TableCopy"/>
              <w:jc w:val="right"/>
            </w:pPr>
            <w:r>
              <w:t>18,039</w:t>
            </w:r>
          </w:p>
        </w:tc>
        <w:tc>
          <w:tcPr>
            <w:tcW w:w="1261" w:type="dxa"/>
          </w:tcPr>
          <w:p w14:paraId="16200BD4" w14:textId="487F42BC" w:rsidR="00D40F1B" w:rsidRDefault="00D40F1B" w:rsidP="007A26B9">
            <w:pPr>
              <w:pStyle w:val="TableCopy"/>
              <w:jc w:val="right"/>
            </w:pPr>
            <w:r>
              <w:t>72,937</w:t>
            </w:r>
          </w:p>
        </w:tc>
        <w:tc>
          <w:tcPr>
            <w:tcW w:w="1306" w:type="dxa"/>
          </w:tcPr>
          <w:p w14:paraId="66727970" w14:textId="2FF4B432" w:rsidR="00D40F1B" w:rsidRDefault="00D40F1B" w:rsidP="007A26B9">
            <w:pPr>
              <w:pStyle w:val="TableCopy"/>
              <w:jc w:val="right"/>
            </w:pPr>
            <w:r>
              <w:t>–</w:t>
            </w:r>
          </w:p>
        </w:tc>
        <w:tc>
          <w:tcPr>
            <w:tcW w:w="1315" w:type="dxa"/>
          </w:tcPr>
          <w:p w14:paraId="50A9AB15" w14:textId="100DE07D" w:rsidR="00D40F1B" w:rsidRDefault="00D40F1B" w:rsidP="007A26B9">
            <w:pPr>
              <w:pStyle w:val="TableCopy"/>
              <w:jc w:val="right"/>
            </w:pPr>
            <w:r>
              <w:t>–</w:t>
            </w:r>
          </w:p>
        </w:tc>
        <w:tc>
          <w:tcPr>
            <w:tcW w:w="1358" w:type="dxa"/>
          </w:tcPr>
          <w:p w14:paraId="181525F7" w14:textId="77777777" w:rsidR="00D40F1B" w:rsidRDefault="00D40F1B" w:rsidP="007A26B9">
            <w:pPr>
              <w:pStyle w:val="TableCopy"/>
              <w:jc w:val="right"/>
            </w:pPr>
            <w:r>
              <w:t>4,136,061</w:t>
            </w:r>
          </w:p>
        </w:tc>
        <w:tc>
          <w:tcPr>
            <w:tcW w:w="1358" w:type="dxa"/>
          </w:tcPr>
          <w:p w14:paraId="7E5E2654" w14:textId="7F69E6B6" w:rsidR="00D40F1B" w:rsidRDefault="00D40F1B" w:rsidP="007A26B9">
            <w:pPr>
              <w:pStyle w:val="TableCopy"/>
              <w:jc w:val="right"/>
            </w:pPr>
            <w:r>
              <w:t>11,094,815</w:t>
            </w:r>
          </w:p>
        </w:tc>
      </w:tr>
      <w:tr w:rsidR="007A26B9" w14:paraId="4FCFE0F6" w14:textId="77777777" w:rsidTr="007A26B9">
        <w:trPr>
          <w:trHeight w:val="60"/>
        </w:trPr>
        <w:tc>
          <w:tcPr>
            <w:tcW w:w="2122" w:type="dxa"/>
          </w:tcPr>
          <w:p w14:paraId="551BE84B" w14:textId="5406A190" w:rsidR="00D40F1B" w:rsidRDefault="00D40F1B" w:rsidP="004829DE">
            <w:pPr>
              <w:pStyle w:val="TableCopy"/>
            </w:pPr>
            <w:r>
              <w:t>Net result from transactions</w:t>
            </w:r>
          </w:p>
        </w:tc>
        <w:tc>
          <w:tcPr>
            <w:tcW w:w="1261" w:type="dxa"/>
          </w:tcPr>
          <w:p w14:paraId="2AAB7783" w14:textId="1CC4C303" w:rsidR="00D40F1B" w:rsidRDefault="00D40F1B" w:rsidP="007A26B9">
            <w:pPr>
              <w:pStyle w:val="TableCopy"/>
              <w:jc w:val="right"/>
            </w:pPr>
            <w:r>
              <w:t>131,543</w:t>
            </w:r>
          </w:p>
        </w:tc>
        <w:tc>
          <w:tcPr>
            <w:tcW w:w="1343" w:type="dxa"/>
          </w:tcPr>
          <w:p w14:paraId="0F14B682" w14:textId="437A1D56" w:rsidR="00D40F1B" w:rsidRDefault="00D40F1B" w:rsidP="007A26B9">
            <w:pPr>
              <w:pStyle w:val="TableCopy"/>
              <w:jc w:val="right"/>
            </w:pPr>
            <w:r>
              <w:t>143,934</w:t>
            </w:r>
          </w:p>
        </w:tc>
        <w:tc>
          <w:tcPr>
            <w:tcW w:w="1180" w:type="dxa"/>
          </w:tcPr>
          <w:p w14:paraId="281F6922" w14:textId="77777777" w:rsidR="00D40F1B" w:rsidRDefault="00D40F1B" w:rsidP="007A26B9">
            <w:pPr>
              <w:pStyle w:val="TableCopy"/>
              <w:jc w:val="right"/>
            </w:pPr>
            <w:r>
              <w:t>(135)</w:t>
            </w:r>
          </w:p>
        </w:tc>
        <w:tc>
          <w:tcPr>
            <w:tcW w:w="1262" w:type="dxa"/>
          </w:tcPr>
          <w:p w14:paraId="58110BF3" w14:textId="3EC43E84" w:rsidR="00D40F1B" w:rsidRDefault="00D40F1B" w:rsidP="007A26B9">
            <w:pPr>
              <w:pStyle w:val="TableCopy"/>
              <w:jc w:val="right"/>
            </w:pPr>
            <w:r>
              <w:t>348</w:t>
            </w:r>
          </w:p>
        </w:tc>
        <w:tc>
          <w:tcPr>
            <w:tcW w:w="1262" w:type="dxa"/>
          </w:tcPr>
          <w:p w14:paraId="210457E0" w14:textId="77777777" w:rsidR="00D40F1B" w:rsidRDefault="00D40F1B" w:rsidP="007A26B9">
            <w:pPr>
              <w:pStyle w:val="TableCopy"/>
              <w:jc w:val="right"/>
            </w:pPr>
            <w:r>
              <w:t>1,699</w:t>
            </w:r>
          </w:p>
        </w:tc>
        <w:tc>
          <w:tcPr>
            <w:tcW w:w="1261" w:type="dxa"/>
          </w:tcPr>
          <w:p w14:paraId="3EABE3BF" w14:textId="77777777" w:rsidR="00D40F1B" w:rsidRDefault="00D40F1B" w:rsidP="007A26B9">
            <w:pPr>
              <w:pStyle w:val="TableCopy"/>
              <w:jc w:val="right"/>
            </w:pPr>
            <w:r>
              <w:t>(22,068)</w:t>
            </w:r>
          </w:p>
        </w:tc>
        <w:tc>
          <w:tcPr>
            <w:tcW w:w="1306" w:type="dxa"/>
          </w:tcPr>
          <w:p w14:paraId="634CF924" w14:textId="36904D68" w:rsidR="00D40F1B" w:rsidRDefault="00D40F1B" w:rsidP="007A26B9">
            <w:pPr>
              <w:pStyle w:val="TableCopy"/>
              <w:jc w:val="right"/>
            </w:pPr>
            <w:r>
              <w:t>–</w:t>
            </w:r>
          </w:p>
        </w:tc>
        <w:tc>
          <w:tcPr>
            <w:tcW w:w="1315" w:type="dxa"/>
          </w:tcPr>
          <w:p w14:paraId="1AFEC35B" w14:textId="7E6F0092" w:rsidR="00D40F1B" w:rsidRDefault="00D40F1B" w:rsidP="007A26B9">
            <w:pPr>
              <w:pStyle w:val="TableCopy"/>
              <w:jc w:val="right"/>
            </w:pPr>
            <w:r>
              <w:t>–</w:t>
            </w:r>
          </w:p>
        </w:tc>
        <w:tc>
          <w:tcPr>
            <w:tcW w:w="1358" w:type="dxa"/>
          </w:tcPr>
          <w:p w14:paraId="3A993567" w14:textId="77777777" w:rsidR="00D40F1B" w:rsidRDefault="00D40F1B" w:rsidP="007A26B9">
            <w:pPr>
              <w:pStyle w:val="TableCopy"/>
              <w:jc w:val="right"/>
            </w:pPr>
            <w:r>
              <w:t>133,107</w:t>
            </w:r>
          </w:p>
        </w:tc>
        <w:tc>
          <w:tcPr>
            <w:tcW w:w="1358" w:type="dxa"/>
          </w:tcPr>
          <w:p w14:paraId="22A284DD" w14:textId="0375DCE6" w:rsidR="00D40F1B" w:rsidRDefault="00D40F1B" w:rsidP="007A26B9">
            <w:pPr>
              <w:pStyle w:val="TableCopy"/>
              <w:jc w:val="right"/>
            </w:pPr>
            <w:r>
              <w:t>122,214</w:t>
            </w:r>
          </w:p>
        </w:tc>
      </w:tr>
      <w:tr w:rsidR="007A26B9" w14:paraId="4D00B162" w14:textId="77777777" w:rsidTr="007A26B9">
        <w:trPr>
          <w:trHeight w:val="60"/>
        </w:trPr>
        <w:tc>
          <w:tcPr>
            <w:tcW w:w="2122" w:type="dxa"/>
          </w:tcPr>
          <w:p w14:paraId="74F60C90" w14:textId="5809CFA5" w:rsidR="00D40F1B" w:rsidRDefault="00D40F1B" w:rsidP="004829DE">
            <w:pPr>
              <w:pStyle w:val="TableCopy"/>
            </w:pPr>
            <w:r>
              <w:t>Total assets</w:t>
            </w:r>
          </w:p>
        </w:tc>
        <w:tc>
          <w:tcPr>
            <w:tcW w:w="1261" w:type="dxa"/>
          </w:tcPr>
          <w:p w14:paraId="1E4CF04B" w14:textId="5BA820C5" w:rsidR="00D40F1B" w:rsidRDefault="00D40F1B" w:rsidP="007A26B9">
            <w:pPr>
              <w:pStyle w:val="TableCopy"/>
              <w:jc w:val="right"/>
            </w:pPr>
            <w:r>
              <w:t>1,620,787</w:t>
            </w:r>
          </w:p>
        </w:tc>
        <w:tc>
          <w:tcPr>
            <w:tcW w:w="1343" w:type="dxa"/>
          </w:tcPr>
          <w:p w14:paraId="08AB2A04" w14:textId="5BFE0EC4" w:rsidR="00D40F1B" w:rsidRDefault="00D40F1B" w:rsidP="007A26B9">
            <w:pPr>
              <w:pStyle w:val="TableCopy"/>
              <w:jc w:val="right"/>
            </w:pPr>
            <w:r>
              <w:t>2,487,368</w:t>
            </w:r>
          </w:p>
        </w:tc>
        <w:tc>
          <w:tcPr>
            <w:tcW w:w="1180" w:type="dxa"/>
          </w:tcPr>
          <w:p w14:paraId="6C7C1D91" w14:textId="7ACCA91D" w:rsidR="00D40F1B" w:rsidRDefault="00D40F1B" w:rsidP="007A26B9">
            <w:pPr>
              <w:pStyle w:val="TableCopy"/>
              <w:jc w:val="right"/>
            </w:pPr>
            <w:r>
              <w:t>–</w:t>
            </w:r>
          </w:p>
        </w:tc>
        <w:tc>
          <w:tcPr>
            <w:tcW w:w="1262" w:type="dxa"/>
          </w:tcPr>
          <w:p w14:paraId="7087405B" w14:textId="1880B234" w:rsidR="00D40F1B" w:rsidRDefault="00D40F1B" w:rsidP="007A26B9">
            <w:pPr>
              <w:pStyle w:val="TableCopy"/>
              <w:jc w:val="right"/>
            </w:pPr>
            <w:r>
              <w:t>145,708</w:t>
            </w:r>
          </w:p>
        </w:tc>
        <w:tc>
          <w:tcPr>
            <w:tcW w:w="1262" w:type="dxa"/>
          </w:tcPr>
          <w:p w14:paraId="0FBCC67E" w14:textId="77777777" w:rsidR="00D40F1B" w:rsidRDefault="00D40F1B" w:rsidP="007A26B9">
            <w:pPr>
              <w:pStyle w:val="TableCopy"/>
              <w:jc w:val="right"/>
            </w:pPr>
            <w:r>
              <w:t>443,205</w:t>
            </w:r>
          </w:p>
        </w:tc>
        <w:tc>
          <w:tcPr>
            <w:tcW w:w="1261" w:type="dxa"/>
          </w:tcPr>
          <w:p w14:paraId="581784BF" w14:textId="1C412153" w:rsidR="00D40F1B" w:rsidRDefault="00D40F1B" w:rsidP="007A26B9">
            <w:pPr>
              <w:pStyle w:val="TableCopy"/>
              <w:jc w:val="right"/>
            </w:pPr>
            <w:r>
              <w:t>253,714</w:t>
            </w:r>
          </w:p>
        </w:tc>
        <w:tc>
          <w:tcPr>
            <w:tcW w:w="1306" w:type="dxa"/>
          </w:tcPr>
          <w:p w14:paraId="194C7D57" w14:textId="1611C2F6" w:rsidR="00D40F1B" w:rsidRDefault="00D40F1B" w:rsidP="007A26B9">
            <w:pPr>
              <w:pStyle w:val="TableCopy"/>
              <w:jc w:val="right"/>
            </w:pPr>
            <w:r>
              <w:t>–</w:t>
            </w:r>
          </w:p>
        </w:tc>
        <w:tc>
          <w:tcPr>
            <w:tcW w:w="1315" w:type="dxa"/>
          </w:tcPr>
          <w:p w14:paraId="26711FF0" w14:textId="047500C2" w:rsidR="00D40F1B" w:rsidRDefault="00D40F1B" w:rsidP="007A26B9">
            <w:pPr>
              <w:pStyle w:val="TableCopy"/>
              <w:jc w:val="right"/>
            </w:pPr>
            <w:r>
              <w:t>–</w:t>
            </w:r>
          </w:p>
        </w:tc>
        <w:tc>
          <w:tcPr>
            <w:tcW w:w="1358" w:type="dxa"/>
          </w:tcPr>
          <w:p w14:paraId="5CE30FE7" w14:textId="77777777" w:rsidR="00D40F1B" w:rsidRDefault="00D40F1B" w:rsidP="007A26B9">
            <w:pPr>
              <w:pStyle w:val="TableCopy"/>
              <w:jc w:val="right"/>
            </w:pPr>
            <w:r>
              <w:t>2,063,992</w:t>
            </w:r>
          </w:p>
        </w:tc>
        <w:tc>
          <w:tcPr>
            <w:tcW w:w="1358" w:type="dxa"/>
          </w:tcPr>
          <w:p w14:paraId="0DE60955" w14:textId="17AACAD3" w:rsidR="00D40F1B" w:rsidRDefault="00D40F1B" w:rsidP="007A26B9">
            <w:pPr>
              <w:pStyle w:val="TableCopy"/>
              <w:jc w:val="right"/>
            </w:pPr>
            <w:r>
              <w:t>2,886,790</w:t>
            </w:r>
          </w:p>
        </w:tc>
      </w:tr>
      <w:tr w:rsidR="007A26B9" w14:paraId="0912ACCB" w14:textId="77777777" w:rsidTr="007A26B9">
        <w:trPr>
          <w:trHeight w:val="60"/>
        </w:trPr>
        <w:tc>
          <w:tcPr>
            <w:tcW w:w="2122" w:type="dxa"/>
          </w:tcPr>
          <w:p w14:paraId="2EA1DC96" w14:textId="5262AF8C" w:rsidR="00D40F1B" w:rsidRDefault="00D40F1B" w:rsidP="004829DE">
            <w:pPr>
              <w:pStyle w:val="TableCopy"/>
            </w:pPr>
            <w:r>
              <w:t>Total liabilities</w:t>
            </w:r>
          </w:p>
        </w:tc>
        <w:tc>
          <w:tcPr>
            <w:tcW w:w="1261" w:type="dxa"/>
          </w:tcPr>
          <w:p w14:paraId="1298341F" w14:textId="0E33CAE9" w:rsidR="00D40F1B" w:rsidRDefault="00D40F1B" w:rsidP="007A26B9">
            <w:pPr>
              <w:pStyle w:val="TableCopy"/>
              <w:jc w:val="right"/>
            </w:pPr>
            <w:r>
              <w:t>561,531</w:t>
            </w:r>
          </w:p>
        </w:tc>
        <w:tc>
          <w:tcPr>
            <w:tcW w:w="1343" w:type="dxa"/>
          </w:tcPr>
          <w:p w14:paraId="741443A1" w14:textId="73FC0058" w:rsidR="00D40F1B" w:rsidRDefault="00D40F1B" w:rsidP="007A26B9">
            <w:pPr>
              <w:pStyle w:val="TableCopy"/>
              <w:jc w:val="right"/>
            </w:pPr>
            <w:r>
              <w:t>909,239</w:t>
            </w:r>
          </w:p>
        </w:tc>
        <w:tc>
          <w:tcPr>
            <w:tcW w:w="1180" w:type="dxa"/>
          </w:tcPr>
          <w:p w14:paraId="0DE0D45D" w14:textId="77777777" w:rsidR="00D40F1B" w:rsidRDefault="00D40F1B" w:rsidP="007A26B9">
            <w:pPr>
              <w:pStyle w:val="TableCopy"/>
              <w:jc w:val="right"/>
            </w:pPr>
            <w:r>
              <w:t>–</w:t>
            </w:r>
          </w:p>
        </w:tc>
        <w:tc>
          <w:tcPr>
            <w:tcW w:w="1262" w:type="dxa"/>
          </w:tcPr>
          <w:p w14:paraId="053FA5B1" w14:textId="25A6168C" w:rsidR="00D40F1B" w:rsidRDefault="00D40F1B" w:rsidP="007A26B9">
            <w:pPr>
              <w:pStyle w:val="TableCopy"/>
              <w:jc w:val="right"/>
            </w:pPr>
            <w:r>
              <w:t>142,601</w:t>
            </w:r>
          </w:p>
        </w:tc>
        <w:tc>
          <w:tcPr>
            <w:tcW w:w="1262" w:type="dxa"/>
          </w:tcPr>
          <w:p w14:paraId="75C429B9" w14:textId="77777777" w:rsidR="00D40F1B" w:rsidRDefault="00D40F1B" w:rsidP="007A26B9">
            <w:pPr>
              <w:pStyle w:val="TableCopy"/>
              <w:jc w:val="right"/>
            </w:pPr>
            <w:r>
              <w:t>605</w:t>
            </w:r>
          </w:p>
        </w:tc>
        <w:tc>
          <w:tcPr>
            <w:tcW w:w="1261" w:type="dxa"/>
          </w:tcPr>
          <w:p w14:paraId="0181A7C8" w14:textId="6FBBC5F5" w:rsidR="00D40F1B" w:rsidRDefault="00D40F1B" w:rsidP="007A26B9">
            <w:pPr>
              <w:pStyle w:val="TableCopy"/>
              <w:jc w:val="right"/>
            </w:pPr>
            <w:r>
              <w:t>2,196</w:t>
            </w:r>
          </w:p>
        </w:tc>
        <w:tc>
          <w:tcPr>
            <w:tcW w:w="1306" w:type="dxa"/>
          </w:tcPr>
          <w:p w14:paraId="660E43A6" w14:textId="32A5D101" w:rsidR="00D40F1B" w:rsidRDefault="00D40F1B" w:rsidP="007A26B9">
            <w:pPr>
              <w:pStyle w:val="TableCopy"/>
              <w:jc w:val="right"/>
            </w:pPr>
            <w:r>
              <w:t>–</w:t>
            </w:r>
          </w:p>
        </w:tc>
        <w:tc>
          <w:tcPr>
            <w:tcW w:w="1315" w:type="dxa"/>
          </w:tcPr>
          <w:p w14:paraId="4C4626A6" w14:textId="7B82531A" w:rsidR="00D40F1B" w:rsidRDefault="00D40F1B" w:rsidP="007A26B9">
            <w:pPr>
              <w:pStyle w:val="TableCopy"/>
              <w:jc w:val="right"/>
            </w:pPr>
            <w:r>
              <w:t>–</w:t>
            </w:r>
          </w:p>
        </w:tc>
        <w:tc>
          <w:tcPr>
            <w:tcW w:w="1358" w:type="dxa"/>
          </w:tcPr>
          <w:p w14:paraId="3A459076" w14:textId="51BB0AA0" w:rsidR="00D40F1B" w:rsidRDefault="00D40F1B" w:rsidP="007A26B9">
            <w:pPr>
              <w:pStyle w:val="TableCopy"/>
              <w:jc w:val="right"/>
            </w:pPr>
            <w:r>
              <w:t>562,136</w:t>
            </w:r>
          </w:p>
        </w:tc>
        <w:tc>
          <w:tcPr>
            <w:tcW w:w="1358" w:type="dxa"/>
          </w:tcPr>
          <w:p w14:paraId="19C3D6C3" w14:textId="0F937179" w:rsidR="00D40F1B" w:rsidRDefault="00D40F1B" w:rsidP="007A26B9">
            <w:pPr>
              <w:pStyle w:val="TableCopy"/>
              <w:jc w:val="right"/>
            </w:pPr>
            <w:r>
              <w:t>1,054,036</w:t>
            </w:r>
          </w:p>
        </w:tc>
      </w:tr>
    </w:tbl>
    <w:p w14:paraId="21F3BDE8" w14:textId="52539135" w:rsidR="000756EB" w:rsidRDefault="00D40F1B" w:rsidP="00D40F1B">
      <w:pPr>
        <w:pStyle w:val="FootnoteText"/>
        <w:spacing w:before="120" w:after="280"/>
        <w:rPr>
          <w:rFonts w:ascii="VIC Light" w:hAnsi="VIC Light" w:cs="VIC Light"/>
          <w:szCs w:val="20"/>
        </w:rPr>
      </w:pPr>
      <w:r>
        <w:t>(</w:t>
      </w:r>
      <w:proofErr w:type="spellStart"/>
      <w:r>
        <w:t>i</w:t>
      </w:r>
      <w:proofErr w:type="spellEnd"/>
      <w:r>
        <w:t>) Other non-material entities that are material in aggregate are reported in aggregate.</w:t>
      </w:r>
    </w:p>
    <w:p w14:paraId="1EC93F55" w14:textId="77777777" w:rsidR="000756EB" w:rsidRPr="00614829" w:rsidRDefault="000756EB" w:rsidP="00614829"/>
    <w:p w14:paraId="52D3638F" w14:textId="77777777" w:rsidR="00D40F1B" w:rsidRPr="00614829" w:rsidRDefault="00D40F1B" w:rsidP="00614829">
      <w:pPr>
        <w:sectPr w:rsidR="00D40F1B" w:rsidRPr="00614829" w:rsidSect="00D40F1B">
          <w:pgSz w:w="16838" w:h="11906" w:orient="landscape" w:code="9"/>
          <w:pgMar w:top="851" w:right="1134" w:bottom="851" w:left="1134" w:header="397" w:footer="397" w:gutter="0"/>
          <w:cols w:space="720"/>
          <w:noEndnote/>
          <w:docGrid w:linePitch="326"/>
        </w:sectPr>
      </w:pPr>
    </w:p>
    <w:p w14:paraId="298F4F63" w14:textId="0FE3B6D2" w:rsidR="000756EB" w:rsidRDefault="004A4D88" w:rsidP="007A26B9">
      <w:pPr>
        <w:pStyle w:val="Heading2"/>
      </w:pPr>
      <w:bookmarkStart w:id="148" w:name="_Toc149911843"/>
      <w:r>
        <w:lastRenderedPageBreak/>
        <w:t>9.6</w:t>
      </w:r>
      <w:r w:rsidR="00DE38B5">
        <w:t xml:space="preserve"> </w:t>
      </w:r>
      <w:r>
        <w:t>Responsible</w:t>
      </w:r>
      <w:r w:rsidR="00A03629">
        <w:t xml:space="preserve"> </w:t>
      </w:r>
      <w:r>
        <w:t>persons</w:t>
      </w:r>
      <w:bookmarkEnd w:id="148"/>
      <w:r w:rsidR="00A03629">
        <w:t xml:space="preserve"> </w:t>
      </w:r>
    </w:p>
    <w:p w14:paraId="79E54295" w14:textId="7A9A6A29" w:rsidR="000756EB" w:rsidRDefault="004A4D88" w:rsidP="007A26B9">
      <w:r>
        <w:t>In</w:t>
      </w:r>
      <w:r w:rsidR="00A03629">
        <w:t xml:space="preserve"> </w:t>
      </w:r>
      <w:r>
        <w:t>accordance</w:t>
      </w:r>
      <w:r w:rsidR="00A03629">
        <w:t xml:space="preserve"> </w:t>
      </w:r>
      <w:r>
        <w:t>with</w:t>
      </w:r>
      <w:r w:rsidR="00A03629">
        <w:t xml:space="preserve"> </w:t>
      </w:r>
      <w:r>
        <w:t>the</w:t>
      </w:r>
      <w:r w:rsidR="00A03629">
        <w:t xml:space="preserve"> </w:t>
      </w:r>
      <w:r>
        <w:t>Ministerial</w:t>
      </w:r>
      <w:r w:rsidR="00A03629">
        <w:t xml:space="preserve"> </w:t>
      </w:r>
      <w:r>
        <w:t>Directions</w:t>
      </w:r>
      <w:r w:rsidR="00A03629">
        <w:t xml:space="preserve"> </w:t>
      </w:r>
      <w:r>
        <w:t>issued</w:t>
      </w:r>
      <w:r w:rsidR="00A03629">
        <w:t xml:space="preserve"> </w:t>
      </w:r>
      <w:r>
        <w:t>by</w:t>
      </w:r>
      <w:r w:rsidR="00A03629">
        <w:t xml:space="preserve"> </w:t>
      </w:r>
      <w:r>
        <w:t>the</w:t>
      </w:r>
      <w:r w:rsidR="00A03629">
        <w:t xml:space="preserve"> </w:t>
      </w:r>
      <w:r>
        <w:t>Assistant</w:t>
      </w:r>
      <w:r w:rsidR="00A03629">
        <w:t xml:space="preserve"> </w:t>
      </w:r>
      <w:r>
        <w:t>Treasurer</w:t>
      </w:r>
      <w:r w:rsidR="00A03629">
        <w:t xml:space="preserve"> </w:t>
      </w:r>
      <w:r>
        <w:t>under</w:t>
      </w:r>
      <w:r w:rsidR="00A03629">
        <w:t xml:space="preserve"> </w:t>
      </w:r>
      <w:r>
        <w:t>the</w:t>
      </w:r>
      <w:r w:rsidR="00A03629">
        <w:t xml:space="preserve"> </w:t>
      </w:r>
      <w:r w:rsidRPr="007A26B9">
        <w:rPr>
          <w:i/>
          <w:iCs/>
        </w:rPr>
        <w:t>Financial</w:t>
      </w:r>
      <w:r w:rsidR="00A03629" w:rsidRPr="007A26B9">
        <w:rPr>
          <w:i/>
          <w:iCs/>
        </w:rPr>
        <w:t xml:space="preserve"> </w:t>
      </w:r>
      <w:r w:rsidRPr="007A26B9">
        <w:rPr>
          <w:i/>
          <w:iCs/>
        </w:rPr>
        <w:t>Management</w:t>
      </w:r>
      <w:r w:rsidR="00A03629" w:rsidRPr="007A26B9">
        <w:rPr>
          <w:i/>
          <w:iCs/>
        </w:rPr>
        <w:t xml:space="preserve"> </w:t>
      </w:r>
      <w:r w:rsidRPr="007A26B9">
        <w:rPr>
          <w:i/>
          <w:iCs/>
        </w:rPr>
        <w:t>Act</w:t>
      </w:r>
      <w:r w:rsidR="00A03629" w:rsidRPr="007A26B9">
        <w:rPr>
          <w:i/>
          <w:iCs/>
        </w:rPr>
        <w:t xml:space="preserve"> </w:t>
      </w:r>
      <w:r w:rsidRPr="007A26B9">
        <w:rPr>
          <w:i/>
          <w:iCs/>
        </w:rPr>
        <w:t>1994</w:t>
      </w:r>
      <w:r w:rsidR="00A03629">
        <w:t xml:space="preserve"> </w:t>
      </w:r>
      <w:r>
        <w:t>(FMA),</w:t>
      </w:r>
      <w:r w:rsidR="00A03629">
        <w:t xml:space="preserve"> </w:t>
      </w:r>
      <w:r>
        <w:t>the</w:t>
      </w:r>
      <w:r w:rsidR="00A03629">
        <w:t xml:space="preserve"> </w:t>
      </w:r>
      <w:r>
        <w:t>following</w:t>
      </w:r>
      <w:r w:rsidR="00A03629">
        <w:t xml:space="preserve"> </w:t>
      </w:r>
      <w:r>
        <w:t>disclosures</w:t>
      </w:r>
      <w:r w:rsidR="00A03629">
        <w:t xml:space="preserve"> </w:t>
      </w:r>
      <w:r>
        <w:t>are</w:t>
      </w:r>
      <w:r w:rsidR="00A03629">
        <w:t xml:space="preserve"> </w:t>
      </w:r>
      <w:r>
        <w:t>made</w:t>
      </w:r>
      <w:r w:rsidR="00A03629">
        <w:t xml:space="preserve"> </w:t>
      </w:r>
      <w:r>
        <w:t>regarding</w:t>
      </w:r>
      <w:r w:rsidR="00A03629">
        <w:t xml:space="preserve"> </w:t>
      </w:r>
      <w:r>
        <w:t>responsible</w:t>
      </w:r>
      <w:r w:rsidR="00A03629">
        <w:t xml:space="preserve"> </w:t>
      </w:r>
      <w:r>
        <w:t>persons</w:t>
      </w:r>
      <w:r w:rsidR="00A03629">
        <w:t xml:space="preserve"> </w:t>
      </w:r>
      <w:r>
        <w:t>for</w:t>
      </w:r>
      <w:r w:rsidR="00A03629">
        <w:t xml:space="preserve"> </w:t>
      </w:r>
      <w:r>
        <w:t>the</w:t>
      </w:r>
      <w:r w:rsidR="00A03629">
        <w:rPr>
          <w:rFonts w:ascii="Cambria" w:hAnsi="Cambria" w:cs="Cambria"/>
        </w:rPr>
        <w:t xml:space="preserve"> </w:t>
      </w:r>
      <w:r>
        <w:t>reporting</w:t>
      </w:r>
      <w:r w:rsidR="00A03629">
        <w:t xml:space="preserve"> </w:t>
      </w:r>
      <w:r>
        <w:t>period.</w:t>
      </w:r>
    </w:p>
    <w:p w14:paraId="6B38421E" w14:textId="0CF26F1B" w:rsidR="000756EB" w:rsidRDefault="004A4D88" w:rsidP="007A26B9">
      <w:pPr>
        <w:pStyle w:val="Normalbeforebullets"/>
      </w:pPr>
      <w:r>
        <w:t>The</w:t>
      </w:r>
      <w:r w:rsidR="00A03629">
        <w:t xml:space="preserve"> </w:t>
      </w:r>
      <w:r>
        <w:t>persons</w:t>
      </w:r>
      <w:r w:rsidR="00A03629">
        <w:t xml:space="preserve"> </w:t>
      </w:r>
      <w:r>
        <w:t>who</w:t>
      </w:r>
      <w:r w:rsidR="00A03629">
        <w:t xml:space="preserve"> </w:t>
      </w:r>
      <w:r>
        <w:t>held</w:t>
      </w:r>
      <w:r w:rsidR="00A03629">
        <w:t xml:space="preserve"> </w:t>
      </w:r>
      <w:r>
        <w:t>the</w:t>
      </w:r>
      <w:r w:rsidR="00A03629">
        <w:t xml:space="preserve"> </w:t>
      </w:r>
      <w:r>
        <w:t>positions</w:t>
      </w:r>
      <w:r w:rsidR="00A03629">
        <w:t xml:space="preserve"> </w:t>
      </w:r>
      <w:r>
        <w:t>of</w:t>
      </w:r>
      <w:r w:rsidR="00A03629">
        <w:t xml:space="preserve"> </w:t>
      </w:r>
      <w:r>
        <w:t>ministers</w:t>
      </w:r>
      <w:r w:rsidR="00A03629">
        <w:t xml:space="preserve"> </w:t>
      </w:r>
      <w:r>
        <w:t>and</w:t>
      </w:r>
      <w:r w:rsidR="00A03629">
        <w:t xml:space="preserve"> </w:t>
      </w:r>
      <w:r>
        <w:t>accountable</w:t>
      </w:r>
      <w:r w:rsidR="00A03629">
        <w:t xml:space="preserve"> </w:t>
      </w:r>
      <w:r>
        <w:t>officer</w:t>
      </w:r>
      <w:r w:rsidR="00A03629">
        <w:t xml:space="preserve"> </w:t>
      </w:r>
      <w:r>
        <w:t>in</w:t>
      </w:r>
      <w:r w:rsidR="00A03629">
        <w:t xml:space="preserve"> </w:t>
      </w:r>
      <w:r>
        <w:t>DJSIR</w:t>
      </w:r>
      <w:r w:rsidR="00A03629">
        <w:t xml:space="preserve"> </w:t>
      </w:r>
      <w:r>
        <w:t>were:</w:t>
      </w:r>
    </w:p>
    <w:p w14:paraId="684D59A1" w14:textId="6EA810EC" w:rsidR="000756EB" w:rsidRPr="007A26B9" w:rsidRDefault="004A4D88" w:rsidP="007A26B9">
      <w:r w:rsidRPr="00D05F44">
        <w:rPr>
          <w:b/>
          <w:bCs/>
        </w:rPr>
        <w:t>Secretary,</w:t>
      </w:r>
      <w:r w:rsidR="00A03629" w:rsidRPr="00D05F44">
        <w:rPr>
          <w:b/>
          <w:bCs/>
        </w:rPr>
        <w:t xml:space="preserve"> </w:t>
      </w:r>
      <w:r w:rsidRPr="00D05F44">
        <w:rPr>
          <w:b/>
          <w:bCs/>
        </w:rPr>
        <w:t>Department</w:t>
      </w:r>
      <w:r w:rsidR="00A03629" w:rsidRPr="00D05F44">
        <w:rPr>
          <w:b/>
          <w:bCs/>
        </w:rPr>
        <w:t xml:space="preserve"> </w:t>
      </w:r>
      <w:r w:rsidRPr="00D05F44">
        <w:rPr>
          <w:b/>
          <w:bCs/>
        </w:rPr>
        <w:t>of</w:t>
      </w:r>
      <w:r w:rsidR="00A03629" w:rsidRPr="00D05F44">
        <w:rPr>
          <w:b/>
          <w:bCs/>
        </w:rPr>
        <w:t xml:space="preserve"> </w:t>
      </w:r>
      <w:r w:rsidRPr="00D05F44">
        <w:rPr>
          <w:b/>
          <w:bCs/>
        </w:rPr>
        <w:t>Jobs,</w:t>
      </w:r>
      <w:r w:rsidR="00A03629" w:rsidRPr="00D05F44">
        <w:rPr>
          <w:b/>
          <w:bCs/>
        </w:rPr>
        <w:t xml:space="preserve"> </w:t>
      </w:r>
      <w:r w:rsidRPr="00D05F44">
        <w:rPr>
          <w:b/>
          <w:bCs/>
        </w:rPr>
        <w:br/>
        <w:t>Skills,</w:t>
      </w:r>
      <w:r w:rsidR="00A03629" w:rsidRPr="00D05F44">
        <w:rPr>
          <w:b/>
          <w:bCs/>
        </w:rPr>
        <w:t xml:space="preserve"> </w:t>
      </w:r>
      <w:r w:rsidRPr="00D05F44">
        <w:rPr>
          <w:b/>
          <w:bCs/>
        </w:rPr>
        <w:t>Industry</w:t>
      </w:r>
      <w:r w:rsidR="00A03629" w:rsidRPr="00D05F44">
        <w:rPr>
          <w:b/>
          <w:bCs/>
        </w:rPr>
        <w:t xml:space="preserve"> </w:t>
      </w:r>
      <w:r w:rsidRPr="00D05F44">
        <w:rPr>
          <w:b/>
          <w:bCs/>
        </w:rPr>
        <w:t>and</w:t>
      </w:r>
      <w:r w:rsidR="00A03629" w:rsidRPr="00D05F44">
        <w:rPr>
          <w:b/>
          <w:bCs/>
        </w:rPr>
        <w:t xml:space="preserve"> </w:t>
      </w:r>
      <w:r w:rsidRPr="00D05F44">
        <w:rPr>
          <w:b/>
          <w:bCs/>
        </w:rPr>
        <w:t>Regions</w:t>
      </w:r>
      <w:r>
        <w:rPr>
          <w:rFonts w:ascii="VIC Light" w:hAnsi="VIC Light" w:cs="VIC Light"/>
        </w:rPr>
        <w:br/>
      </w:r>
      <w:r w:rsidRPr="007A26B9">
        <w:rPr>
          <w:i/>
          <w:iCs/>
        </w:rPr>
        <w:t>Mr</w:t>
      </w:r>
      <w:r w:rsidR="00A03629" w:rsidRPr="007A26B9">
        <w:rPr>
          <w:i/>
          <w:iCs/>
        </w:rPr>
        <w:t xml:space="preserve"> </w:t>
      </w:r>
      <w:r w:rsidRPr="007A26B9">
        <w:rPr>
          <w:i/>
          <w:iCs/>
        </w:rPr>
        <w:t>Tim</w:t>
      </w:r>
      <w:r w:rsidR="00A03629" w:rsidRPr="007A26B9">
        <w:rPr>
          <w:i/>
          <w:iCs/>
        </w:rPr>
        <w:t xml:space="preserve"> </w:t>
      </w:r>
      <w:r w:rsidRPr="007A26B9">
        <w:rPr>
          <w:i/>
          <w:iCs/>
        </w:rPr>
        <w:t>Ada</w:t>
      </w:r>
      <w:r w:rsidRPr="007A26B9">
        <w:rPr>
          <w:i/>
          <w:iCs/>
        </w:rPr>
        <w:br/>
      </w:r>
      <w:r w:rsidRPr="007A26B9">
        <w:t>27</w:t>
      </w:r>
      <w:r w:rsidR="00A03629" w:rsidRPr="007A26B9">
        <w:t xml:space="preserve"> </w:t>
      </w:r>
      <w:r w:rsidRPr="007A26B9">
        <w:t>March</w:t>
      </w:r>
      <w:r w:rsidR="00A03629" w:rsidRPr="007A26B9">
        <w:t xml:space="preserve"> </w:t>
      </w:r>
      <w:r w:rsidRPr="007A26B9">
        <w:t>2023</w:t>
      </w:r>
      <w:r w:rsidR="00A03629" w:rsidRPr="007A26B9">
        <w:t xml:space="preserve"> </w:t>
      </w:r>
      <w:r w:rsidRPr="007A26B9">
        <w:t>to</w:t>
      </w:r>
      <w:r w:rsidR="00A03629" w:rsidRPr="007A26B9">
        <w:t xml:space="preserve"> </w:t>
      </w:r>
      <w:r w:rsidRPr="007A26B9">
        <w:t>30</w:t>
      </w:r>
      <w:r w:rsidR="00A03629" w:rsidRPr="007A26B9">
        <w:t xml:space="preserve"> </w:t>
      </w:r>
      <w:r w:rsidRPr="007A26B9">
        <w:t>June</w:t>
      </w:r>
      <w:r w:rsidR="00A03629" w:rsidRPr="007A26B9">
        <w:t xml:space="preserve"> </w:t>
      </w:r>
      <w:r w:rsidRPr="007A26B9">
        <w:t>2023</w:t>
      </w:r>
    </w:p>
    <w:p w14:paraId="7A746281" w14:textId="1CB0BC03" w:rsidR="000756EB" w:rsidRDefault="004A4D88" w:rsidP="007A26B9">
      <w:r w:rsidRPr="007A26B9">
        <w:rPr>
          <w:i/>
          <w:iCs/>
        </w:rPr>
        <w:t>Ms</w:t>
      </w:r>
      <w:r w:rsidR="00A03629" w:rsidRPr="007A26B9">
        <w:rPr>
          <w:i/>
          <w:iCs/>
        </w:rPr>
        <w:t xml:space="preserve"> </w:t>
      </w:r>
      <w:r w:rsidRPr="007A26B9">
        <w:rPr>
          <w:i/>
          <w:iCs/>
        </w:rPr>
        <w:t>Lill</w:t>
      </w:r>
      <w:r w:rsidR="00A03629" w:rsidRPr="007A26B9">
        <w:rPr>
          <w:i/>
          <w:iCs/>
        </w:rPr>
        <w:t xml:space="preserve"> </w:t>
      </w:r>
      <w:r w:rsidRPr="007A26B9">
        <w:rPr>
          <w:i/>
          <w:iCs/>
        </w:rPr>
        <w:t>Healy</w:t>
      </w:r>
      <w:r w:rsidRPr="007A26B9">
        <w:rPr>
          <w:i/>
          <w:iCs/>
        </w:rPr>
        <w:br/>
      </w:r>
      <w:r>
        <w:t>11</w:t>
      </w:r>
      <w:r w:rsidR="00A03629">
        <w:t xml:space="preserve"> </w:t>
      </w:r>
      <w:r>
        <w:t>March</w:t>
      </w:r>
      <w:r w:rsidR="00A03629">
        <w:t xml:space="preserve"> </w:t>
      </w:r>
      <w:r>
        <w:t>2023</w:t>
      </w:r>
      <w:r w:rsidR="00A03629">
        <w:t xml:space="preserve"> </w:t>
      </w:r>
      <w:r>
        <w:t>to</w:t>
      </w:r>
      <w:r w:rsidR="00A03629">
        <w:t xml:space="preserve"> </w:t>
      </w:r>
      <w:r>
        <w:t>26</w:t>
      </w:r>
      <w:r w:rsidR="00A03629">
        <w:t xml:space="preserve"> </w:t>
      </w:r>
      <w:r>
        <w:t>March</w:t>
      </w:r>
      <w:r w:rsidR="00A03629">
        <w:t xml:space="preserve"> </w:t>
      </w:r>
      <w:r>
        <w:t>2023</w:t>
      </w:r>
    </w:p>
    <w:p w14:paraId="5DF3FA14" w14:textId="469F1564" w:rsidR="000756EB" w:rsidRDefault="004A4D88" w:rsidP="007A26B9">
      <w:r w:rsidRPr="007A26B9">
        <w:rPr>
          <w:i/>
          <w:iCs/>
        </w:rPr>
        <w:t>Ms</w:t>
      </w:r>
      <w:r w:rsidR="00A03629" w:rsidRPr="007A26B9">
        <w:rPr>
          <w:i/>
          <w:iCs/>
        </w:rPr>
        <w:t xml:space="preserve"> </w:t>
      </w:r>
      <w:r w:rsidRPr="007A26B9">
        <w:rPr>
          <w:i/>
          <w:iCs/>
        </w:rPr>
        <w:t>Penelope</w:t>
      </w:r>
      <w:r w:rsidR="00A03629" w:rsidRPr="007A26B9">
        <w:rPr>
          <w:i/>
          <w:iCs/>
        </w:rPr>
        <w:t xml:space="preserve"> </w:t>
      </w:r>
      <w:r w:rsidRPr="007A26B9">
        <w:rPr>
          <w:i/>
          <w:iCs/>
        </w:rPr>
        <w:t>McKay</w:t>
      </w:r>
      <w:r w:rsidRPr="007A26B9">
        <w:rPr>
          <w:i/>
          <w:iCs/>
        </w:rPr>
        <w:br/>
      </w:r>
      <w:r>
        <w:t>6</w:t>
      </w:r>
      <w:r w:rsidR="00A03629">
        <w:t xml:space="preserve"> </w:t>
      </w:r>
      <w:r>
        <w:t>December</w:t>
      </w:r>
      <w:r w:rsidR="00A03629">
        <w:t xml:space="preserve"> </w:t>
      </w:r>
      <w:r>
        <w:t>2022</w:t>
      </w:r>
      <w:r w:rsidR="00A03629">
        <w:t xml:space="preserve"> </w:t>
      </w:r>
      <w:r>
        <w:t>to</w:t>
      </w:r>
      <w:r w:rsidR="00A03629">
        <w:t xml:space="preserve"> </w:t>
      </w:r>
      <w:r>
        <w:t>10</w:t>
      </w:r>
      <w:r w:rsidR="00A03629">
        <w:t xml:space="preserve"> </w:t>
      </w:r>
      <w:r>
        <w:t>March</w:t>
      </w:r>
      <w:r w:rsidR="00A03629">
        <w:t xml:space="preserve"> </w:t>
      </w:r>
      <w:r>
        <w:t>2023</w:t>
      </w:r>
    </w:p>
    <w:p w14:paraId="73CDBDFC" w14:textId="5B605BFA" w:rsidR="000756EB" w:rsidRDefault="004A4D88" w:rsidP="007A26B9">
      <w:r w:rsidRPr="007A26B9">
        <w:rPr>
          <w:i/>
          <w:iCs/>
        </w:rPr>
        <w:t>Mr</w:t>
      </w:r>
      <w:r w:rsidR="00A03629" w:rsidRPr="007A26B9">
        <w:rPr>
          <w:i/>
          <w:iCs/>
        </w:rPr>
        <w:t xml:space="preserve"> </w:t>
      </w:r>
      <w:r w:rsidRPr="007A26B9">
        <w:rPr>
          <w:i/>
          <w:iCs/>
        </w:rPr>
        <w:t>Simon</w:t>
      </w:r>
      <w:r w:rsidR="00A03629" w:rsidRPr="007A26B9">
        <w:rPr>
          <w:i/>
          <w:iCs/>
        </w:rPr>
        <w:t xml:space="preserve"> </w:t>
      </w:r>
      <w:r w:rsidRPr="007A26B9">
        <w:rPr>
          <w:i/>
          <w:iCs/>
        </w:rPr>
        <w:t>Phemister</w:t>
      </w:r>
      <w:r w:rsidRPr="007A26B9">
        <w:rPr>
          <w:i/>
          <w:iCs/>
        </w:rPr>
        <w:br/>
      </w:r>
      <w:r>
        <w:t>1</w:t>
      </w:r>
      <w:r w:rsidR="00A03629">
        <w:t xml:space="preserve"> </w:t>
      </w:r>
      <w:r>
        <w:t>July</w:t>
      </w:r>
      <w:r w:rsidR="00A03629">
        <w:t xml:space="preserve"> </w:t>
      </w:r>
      <w:r>
        <w:t>2022</w:t>
      </w:r>
      <w:r w:rsidR="00A03629">
        <w:t xml:space="preserve"> </w:t>
      </w:r>
      <w:r>
        <w:t>to</w:t>
      </w:r>
      <w:r w:rsidR="00A03629">
        <w:t xml:space="preserve"> </w:t>
      </w:r>
      <w:r>
        <w:t>5</w:t>
      </w:r>
      <w:r w:rsidR="00A03629">
        <w:t xml:space="preserve"> </w:t>
      </w:r>
      <w:r>
        <w:t>December</w:t>
      </w:r>
      <w:r w:rsidR="00A03629">
        <w:t xml:space="preserve"> </w:t>
      </w:r>
      <w:r>
        <w:t>2022</w:t>
      </w:r>
    </w:p>
    <w:p w14:paraId="36FE5BE4" w14:textId="6BD1A5B8" w:rsidR="000756EB" w:rsidRPr="007A26B9" w:rsidRDefault="004A4D88" w:rsidP="007A26B9">
      <w:pPr>
        <w:pStyle w:val="Normalbeforebullets"/>
        <w:rPr>
          <w:b/>
          <w:bCs/>
        </w:rPr>
      </w:pPr>
      <w:r w:rsidRPr="007A26B9">
        <w:rPr>
          <w:b/>
          <w:bCs/>
        </w:rPr>
        <w:t>1</w:t>
      </w:r>
      <w:r w:rsidR="00A03629" w:rsidRPr="007A26B9">
        <w:rPr>
          <w:b/>
          <w:bCs/>
        </w:rPr>
        <w:t xml:space="preserve"> </w:t>
      </w:r>
      <w:r w:rsidRPr="007A26B9">
        <w:rPr>
          <w:b/>
          <w:bCs/>
        </w:rPr>
        <w:t>July</w:t>
      </w:r>
      <w:r w:rsidR="00A03629" w:rsidRPr="007A26B9">
        <w:rPr>
          <w:b/>
          <w:bCs/>
        </w:rPr>
        <w:t xml:space="preserve"> </w:t>
      </w:r>
      <w:r w:rsidRPr="007A26B9">
        <w:rPr>
          <w:b/>
          <w:bCs/>
        </w:rPr>
        <w:t>2022</w:t>
      </w:r>
      <w:r w:rsidR="00A03629" w:rsidRPr="007A26B9">
        <w:rPr>
          <w:b/>
          <w:bCs/>
        </w:rPr>
        <w:t xml:space="preserve"> </w:t>
      </w:r>
      <w:r w:rsidRPr="007A26B9">
        <w:rPr>
          <w:b/>
          <w:bCs/>
        </w:rPr>
        <w:t>to</w:t>
      </w:r>
      <w:r w:rsidR="00A03629" w:rsidRPr="007A26B9">
        <w:rPr>
          <w:b/>
          <w:bCs/>
        </w:rPr>
        <w:t xml:space="preserve"> </w:t>
      </w:r>
      <w:r w:rsidRPr="007A26B9">
        <w:rPr>
          <w:b/>
          <w:bCs/>
        </w:rPr>
        <w:t>4</w:t>
      </w:r>
      <w:r w:rsidR="00A03629" w:rsidRPr="007A26B9">
        <w:rPr>
          <w:b/>
          <w:bCs/>
        </w:rPr>
        <w:t xml:space="preserve"> </w:t>
      </w:r>
      <w:r w:rsidRPr="007A26B9">
        <w:rPr>
          <w:b/>
          <w:bCs/>
        </w:rPr>
        <w:t>December</w:t>
      </w:r>
      <w:r w:rsidR="00A03629" w:rsidRPr="007A26B9">
        <w:rPr>
          <w:b/>
          <w:bCs/>
        </w:rPr>
        <w:t xml:space="preserve"> </w:t>
      </w:r>
      <w:r w:rsidRPr="007A26B9">
        <w:rPr>
          <w:b/>
          <w:bCs/>
        </w:rPr>
        <w:t>2022</w:t>
      </w:r>
    </w:p>
    <w:p w14:paraId="571810AB" w14:textId="40F51A77" w:rsidR="000756EB" w:rsidRPr="0088604A" w:rsidRDefault="004A4D88" w:rsidP="007A26B9">
      <w:r w:rsidRPr="007A26B9">
        <w:rPr>
          <w:b/>
          <w:bCs/>
        </w:rPr>
        <w:t>Minister</w:t>
      </w:r>
      <w:r w:rsidR="00A03629" w:rsidRPr="007A26B9">
        <w:rPr>
          <w:b/>
          <w:bCs/>
        </w:rPr>
        <w:t xml:space="preserve"> </w:t>
      </w:r>
      <w:r w:rsidRPr="007A26B9">
        <w:rPr>
          <w:b/>
          <w:bCs/>
        </w:rPr>
        <w:t>for</w:t>
      </w:r>
      <w:r w:rsidR="00A03629" w:rsidRPr="007A26B9">
        <w:rPr>
          <w:b/>
          <w:bCs/>
        </w:rPr>
        <w:t xml:space="preserve"> </w:t>
      </w:r>
      <w:r w:rsidRPr="007A26B9">
        <w:rPr>
          <w:b/>
          <w:bCs/>
        </w:rPr>
        <w:t>Industry</w:t>
      </w:r>
      <w:r w:rsidR="00A03629" w:rsidRPr="007A26B9">
        <w:rPr>
          <w:b/>
          <w:bCs/>
        </w:rPr>
        <w:t xml:space="preserve"> </w:t>
      </w:r>
      <w:r w:rsidRPr="007A26B9">
        <w:rPr>
          <w:b/>
          <w:bCs/>
        </w:rPr>
        <w:t>Support</w:t>
      </w:r>
      <w:r w:rsidR="00A03629" w:rsidRPr="007A26B9">
        <w:rPr>
          <w:b/>
          <w:bCs/>
        </w:rPr>
        <w:t xml:space="preserve"> </w:t>
      </w:r>
      <w:r w:rsidRPr="007A26B9">
        <w:rPr>
          <w:b/>
          <w:bCs/>
        </w:rPr>
        <w:t>and</w:t>
      </w:r>
      <w:r w:rsidR="00A03629" w:rsidRPr="007A26B9">
        <w:rPr>
          <w:b/>
          <w:bCs/>
        </w:rPr>
        <w:t xml:space="preserve"> </w:t>
      </w:r>
      <w:r w:rsidRPr="007A26B9">
        <w:rPr>
          <w:b/>
          <w:bCs/>
        </w:rPr>
        <w:t>Recovery</w:t>
      </w:r>
      <w:r w:rsidRPr="007A26B9">
        <w:rPr>
          <w:b/>
          <w:bCs/>
        </w:rPr>
        <w:br/>
        <w:t>Minister</w:t>
      </w:r>
      <w:r w:rsidR="00A03629" w:rsidRPr="007A26B9">
        <w:rPr>
          <w:b/>
          <w:bCs/>
        </w:rPr>
        <w:t xml:space="preserve"> </w:t>
      </w:r>
      <w:r w:rsidRPr="007A26B9">
        <w:rPr>
          <w:b/>
          <w:bCs/>
        </w:rPr>
        <w:t>for</w:t>
      </w:r>
      <w:r w:rsidR="00A03629" w:rsidRPr="007A26B9">
        <w:rPr>
          <w:b/>
          <w:bCs/>
        </w:rPr>
        <w:t xml:space="preserve"> </w:t>
      </w:r>
      <w:r w:rsidRPr="007A26B9">
        <w:rPr>
          <w:b/>
          <w:bCs/>
        </w:rPr>
        <w:t>Business</w:t>
      </w:r>
      <w:r w:rsidR="00A03629" w:rsidRPr="007A26B9">
        <w:rPr>
          <w:b/>
          <w:bCs/>
        </w:rPr>
        <w:t xml:space="preserve"> </w:t>
      </w:r>
      <w:r w:rsidRPr="007A26B9">
        <w:rPr>
          <w:b/>
          <w:bCs/>
        </w:rPr>
        <w:t>Precincts</w:t>
      </w:r>
      <w:r w:rsidRPr="007A26B9">
        <w:rPr>
          <w:b/>
          <w:bCs/>
        </w:rPr>
        <w:br/>
      </w:r>
      <w:r w:rsidRPr="0088604A">
        <w:rPr>
          <w:i/>
          <w:iCs/>
        </w:rPr>
        <w:t>The</w:t>
      </w:r>
      <w:r w:rsidR="00A03629" w:rsidRPr="0088604A">
        <w:rPr>
          <w:i/>
          <w:iCs/>
        </w:rPr>
        <w:t xml:space="preserve"> </w:t>
      </w:r>
      <w:r w:rsidRPr="0088604A">
        <w:rPr>
          <w:i/>
          <w:iCs/>
        </w:rPr>
        <w:t>Hon.</w:t>
      </w:r>
      <w:r w:rsidR="00A03629" w:rsidRPr="0088604A">
        <w:rPr>
          <w:i/>
          <w:iCs/>
        </w:rPr>
        <w:t xml:space="preserve"> </w:t>
      </w:r>
      <w:r w:rsidRPr="0088604A">
        <w:rPr>
          <w:i/>
          <w:iCs/>
        </w:rPr>
        <w:t>Ben</w:t>
      </w:r>
      <w:r w:rsidR="00A03629" w:rsidRPr="0088604A">
        <w:rPr>
          <w:i/>
          <w:iCs/>
        </w:rPr>
        <w:t xml:space="preserve"> </w:t>
      </w:r>
      <w:r w:rsidRPr="0088604A">
        <w:rPr>
          <w:i/>
          <w:iCs/>
        </w:rPr>
        <w:t>Carroll</w:t>
      </w:r>
      <w:r w:rsidRPr="0088604A">
        <w:rPr>
          <w:i/>
          <w:iCs/>
        </w:rPr>
        <w:br/>
      </w:r>
      <w:r w:rsidRPr="0088604A">
        <w:t>1</w:t>
      </w:r>
      <w:r w:rsidR="00A03629" w:rsidRPr="0088604A">
        <w:t xml:space="preserve"> </w:t>
      </w:r>
      <w:r w:rsidRPr="0088604A">
        <w:t>July</w:t>
      </w:r>
      <w:r w:rsidR="00A03629" w:rsidRPr="0088604A">
        <w:t xml:space="preserve"> </w:t>
      </w:r>
      <w:r w:rsidRPr="0088604A">
        <w:t>2022</w:t>
      </w:r>
      <w:r w:rsidR="00A03629" w:rsidRPr="0088604A">
        <w:t xml:space="preserve"> </w:t>
      </w:r>
      <w:r w:rsidRPr="0088604A">
        <w:t>to</w:t>
      </w:r>
      <w:r w:rsidR="00A03629" w:rsidRPr="0088604A">
        <w:t xml:space="preserve"> </w:t>
      </w:r>
      <w:r w:rsidRPr="0088604A">
        <w:t>4</w:t>
      </w:r>
      <w:r w:rsidR="00A03629" w:rsidRPr="0088604A">
        <w:t xml:space="preserve"> </w:t>
      </w:r>
      <w:r w:rsidRPr="0088604A">
        <w:t>December</w:t>
      </w:r>
      <w:r w:rsidR="00A03629" w:rsidRPr="0088604A">
        <w:t xml:space="preserve"> </w:t>
      </w:r>
      <w:r w:rsidRPr="0088604A">
        <w:t>2022</w:t>
      </w:r>
    </w:p>
    <w:p w14:paraId="51445DF7" w14:textId="65336873" w:rsidR="000756EB" w:rsidRPr="0088604A" w:rsidRDefault="004A4D88" w:rsidP="0088604A">
      <w:r w:rsidRPr="0088604A">
        <w:rPr>
          <w:b/>
          <w:bCs/>
        </w:rPr>
        <w:t>Minister</w:t>
      </w:r>
      <w:r w:rsidR="00A03629" w:rsidRPr="0088604A">
        <w:rPr>
          <w:b/>
          <w:bCs/>
        </w:rPr>
        <w:t xml:space="preserve"> </w:t>
      </w:r>
      <w:r w:rsidRPr="0088604A">
        <w:rPr>
          <w:b/>
          <w:bCs/>
        </w:rPr>
        <w:t>for</w:t>
      </w:r>
      <w:r w:rsidR="00A03629" w:rsidRPr="0088604A">
        <w:rPr>
          <w:b/>
          <w:bCs/>
        </w:rPr>
        <w:t xml:space="preserve"> </w:t>
      </w:r>
      <w:r w:rsidRPr="0088604A">
        <w:rPr>
          <w:b/>
          <w:bCs/>
        </w:rPr>
        <w:t>Employment</w:t>
      </w:r>
      <w:r w:rsidRPr="0088604A">
        <w:rPr>
          <w:b/>
          <w:bCs/>
        </w:rPr>
        <w:br/>
        <w:t>Minister</w:t>
      </w:r>
      <w:r w:rsidR="00A03629" w:rsidRPr="0088604A">
        <w:rPr>
          <w:b/>
          <w:bCs/>
        </w:rPr>
        <w:t xml:space="preserve"> </w:t>
      </w:r>
      <w:r w:rsidRPr="0088604A">
        <w:rPr>
          <w:b/>
          <w:bCs/>
        </w:rPr>
        <w:t>for</w:t>
      </w:r>
      <w:r w:rsidR="00A03629" w:rsidRPr="0088604A">
        <w:rPr>
          <w:b/>
          <w:bCs/>
        </w:rPr>
        <w:t xml:space="preserve"> </w:t>
      </w:r>
      <w:r w:rsidRPr="0088604A">
        <w:rPr>
          <w:b/>
          <w:bCs/>
        </w:rPr>
        <w:t>Innovation,</w:t>
      </w:r>
      <w:r w:rsidR="00A03629" w:rsidRPr="0088604A">
        <w:rPr>
          <w:b/>
          <w:bCs/>
        </w:rPr>
        <w:t xml:space="preserve"> </w:t>
      </w:r>
      <w:r w:rsidRPr="0088604A">
        <w:rPr>
          <w:b/>
          <w:bCs/>
        </w:rPr>
        <w:t>Medical</w:t>
      </w:r>
      <w:r w:rsidR="00A03629" w:rsidRPr="0088604A">
        <w:rPr>
          <w:b/>
          <w:bCs/>
        </w:rPr>
        <w:t xml:space="preserve"> </w:t>
      </w:r>
      <w:proofErr w:type="gramStart"/>
      <w:r w:rsidRPr="0088604A">
        <w:rPr>
          <w:b/>
          <w:bCs/>
        </w:rPr>
        <w:t>Research</w:t>
      </w:r>
      <w:proofErr w:type="gramEnd"/>
      <w:r w:rsidR="00A03629" w:rsidRPr="0088604A">
        <w:rPr>
          <w:b/>
          <w:bCs/>
        </w:rPr>
        <w:t xml:space="preserve"> </w:t>
      </w:r>
      <w:r w:rsidRPr="0088604A">
        <w:rPr>
          <w:b/>
          <w:bCs/>
        </w:rPr>
        <w:t>and</w:t>
      </w:r>
      <w:r w:rsidR="00A03629" w:rsidRPr="0088604A">
        <w:rPr>
          <w:b/>
          <w:bCs/>
        </w:rPr>
        <w:t xml:space="preserve"> </w:t>
      </w:r>
      <w:r w:rsidRPr="0088604A">
        <w:rPr>
          <w:b/>
          <w:bCs/>
        </w:rPr>
        <w:t>the</w:t>
      </w:r>
      <w:r w:rsidR="00A03629" w:rsidRPr="0088604A">
        <w:rPr>
          <w:b/>
          <w:bCs/>
        </w:rPr>
        <w:t xml:space="preserve"> </w:t>
      </w:r>
      <w:r w:rsidRPr="0088604A">
        <w:rPr>
          <w:b/>
          <w:bCs/>
        </w:rPr>
        <w:t>Digital</w:t>
      </w:r>
      <w:r w:rsidR="00A03629" w:rsidRPr="0088604A">
        <w:rPr>
          <w:b/>
          <w:bCs/>
        </w:rPr>
        <w:t xml:space="preserve"> </w:t>
      </w:r>
      <w:r w:rsidRPr="0088604A">
        <w:rPr>
          <w:b/>
          <w:bCs/>
        </w:rPr>
        <w:t>Economy</w:t>
      </w:r>
      <w:r w:rsidRPr="0088604A">
        <w:rPr>
          <w:b/>
          <w:bCs/>
        </w:rPr>
        <w:br/>
        <w:t>Minister</w:t>
      </w:r>
      <w:r w:rsidR="00A03629" w:rsidRPr="0088604A">
        <w:rPr>
          <w:b/>
          <w:bCs/>
        </w:rPr>
        <w:t xml:space="preserve"> </w:t>
      </w:r>
      <w:r w:rsidRPr="0088604A">
        <w:rPr>
          <w:b/>
          <w:bCs/>
        </w:rPr>
        <w:t>for</w:t>
      </w:r>
      <w:r w:rsidR="00A03629" w:rsidRPr="0088604A">
        <w:rPr>
          <w:b/>
          <w:bCs/>
        </w:rPr>
        <w:t xml:space="preserve"> </w:t>
      </w:r>
      <w:r w:rsidRPr="0088604A">
        <w:rPr>
          <w:b/>
          <w:bCs/>
        </w:rPr>
        <w:t>Small</w:t>
      </w:r>
      <w:r w:rsidR="00A03629" w:rsidRPr="0088604A">
        <w:rPr>
          <w:b/>
          <w:bCs/>
        </w:rPr>
        <w:t xml:space="preserve"> </w:t>
      </w:r>
      <w:r w:rsidRPr="0088604A">
        <w:rPr>
          <w:b/>
          <w:bCs/>
        </w:rPr>
        <w:t>Business</w:t>
      </w:r>
      <w:r w:rsidRPr="0088604A">
        <w:rPr>
          <w:b/>
          <w:bCs/>
        </w:rPr>
        <w:br/>
        <w:t>Minister</w:t>
      </w:r>
      <w:r w:rsidR="00A03629" w:rsidRPr="0088604A">
        <w:rPr>
          <w:b/>
          <w:bCs/>
        </w:rPr>
        <w:t xml:space="preserve"> </w:t>
      </w:r>
      <w:r w:rsidRPr="0088604A">
        <w:rPr>
          <w:b/>
          <w:bCs/>
        </w:rPr>
        <w:t>for</w:t>
      </w:r>
      <w:r w:rsidR="00A03629" w:rsidRPr="0088604A">
        <w:rPr>
          <w:b/>
          <w:bCs/>
        </w:rPr>
        <w:t xml:space="preserve"> </w:t>
      </w:r>
      <w:r w:rsidRPr="0088604A">
        <w:rPr>
          <w:b/>
          <w:bCs/>
        </w:rPr>
        <w:t>Resources</w:t>
      </w:r>
      <w:r w:rsidRPr="0088604A">
        <w:rPr>
          <w:b/>
          <w:bCs/>
        </w:rPr>
        <w:br/>
      </w:r>
      <w:r w:rsidRPr="0088604A">
        <w:rPr>
          <w:i/>
          <w:iCs/>
        </w:rPr>
        <w:t>The</w:t>
      </w:r>
      <w:r w:rsidR="00A03629" w:rsidRPr="0088604A">
        <w:rPr>
          <w:i/>
          <w:iCs/>
        </w:rPr>
        <w:t xml:space="preserve"> </w:t>
      </w:r>
      <w:r w:rsidRPr="0088604A">
        <w:rPr>
          <w:i/>
          <w:iCs/>
        </w:rPr>
        <w:t>Hon.</w:t>
      </w:r>
      <w:r w:rsidR="00A03629" w:rsidRPr="0088604A">
        <w:rPr>
          <w:i/>
          <w:iCs/>
        </w:rPr>
        <w:t xml:space="preserve"> </w:t>
      </w:r>
      <w:r w:rsidRPr="0088604A">
        <w:rPr>
          <w:i/>
          <w:iCs/>
        </w:rPr>
        <w:t>Jaala</w:t>
      </w:r>
      <w:r w:rsidR="00A03629" w:rsidRPr="0088604A">
        <w:rPr>
          <w:i/>
          <w:iCs/>
        </w:rPr>
        <w:t xml:space="preserve"> </w:t>
      </w:r>
      <w:r w:rsidRPr="0088604A">
        <w:rPr>
          <w:i/>
          <w:iCs/>
        </w:rPr>
        <w:t>Pulford</w:t>
      </w:r>
      <w:r w:rsidRPr="0088604A">
        <w:rPr>
          <w:i/>
          <w:iCs/>
        </w:rPr>
        <w:br/>
      </w:r>
      <w:r w:rsidRPr="0088604A">
        <w:t>1</w:t>
      </w:r>
      <w:r w:rsidR="00A03629" w:rsidRPr="0088604A">
        <w:t xml:space="preserve"> </w:t>
      </w:r>
      <w:r w:rsidRPr="0088604A">
        <w:t>July</w:t>
      </w:r>
      <w:r w:rsidR="00A03629" w:rsidRPr="0088604A">
        <w:t xml:space="preserve"> </w:t>
      </w:r>
      <w:r w:rsidRPr="0088604A">
        <w:t>2022</w:t>
      </w:r>
      <w:r w:rsidR="00A03629" w:rsidRPr="0088604A">
        <w:t xml:space="preserve"> </w:t>
      </w:r>
      <w:r w:rsidRPr="0088604A">
        <w:t>to</w:t>
      </w:r>
      <w:r w:rsidR="00A03629" w:rsidRPr="0088604A">
        <w:t xml:space="preserve"> </w:t>
      </w:r>
      <w:r w:rsidRPr="0088604A">
        <w:t>4</w:t>
      </w:r>
      <w:r w:rsidR="00A03629" w:rsidRPr="0088604A">
        <w:t xml:space="preserve"> </w:t>
      </w:r>
      <w:r w:rsidRPr="0088604A">
        <w:t>December</w:t>
      </w:r>
      <w:r w:rsidR="00A03629" w:rsidRPr="0088604A">
        <w:t xml:space="preserve"> </w:t>
      </w:r>
      <w:r w:rsidRPr="0088604A">
        <w:t>2022</w:t>
      </w:r>
    </w:p>
    <w:p w14:paraId="46D5B182" w14:textId="2AD1A57F" w:rsidR="000756EB" w:rsidRPr="0088604A" w:rsidRDefault="004A4D88" w:rsidP="0088604A">
      <w:r w:rsidRPr="0088604A">
        <w:rPr>
          <w:b/>
          <w:bCs/>
        </w:rPr>
        <w:t>Minister</w:t>
      </w:r>
      <w:r w:rsidR="00A03629" w:rsidRPr="0088604A">
        <w:rPr>
          <w:b/>
          <w:bCs/>
        </w:rPr>
        <w:t xml:space="preserve"> </w:t>
      </w:r>
      <w:r w:rsidRPr="0088604A">
        <w:rPr>
          <w:b/>
          <w:bCs/>
        </w:rPr>
        <w:t>for</w:t>
      </w:r>
      <w:r w:rsidR="00A03629" w:rsidRPr="0088604A">
        <w:rPr>
          <w:b/>
          <w:bCs/>
        </w:rPr>
        <w:t xml:space="preserve"> </w:t>
      </w:r>
      <w:r w:rsidRPr="0088604A">
        <w:rPr>
          <w:b/>
          <w:bCs/>
        </w:rPr>
        <w:t>Tourism,</w:t>
      </w:r>
      <w:r w:rsidR="00A03629" w:rsidRPr="0088604A">
        <w:rPr>
          <w:b/>
          <w:bCs/>
        </w:rPr>
        <w:t xml:space="preserve"> </w:t>
      </w:r>
      <w:r w:rsidRPr="0088604A">
        <w:rPr>
          <w:b/>
          <w:bCs/>
        </w:rPr>
        <w:t>Sport</w:t>
      </w:r>
      <w:r w:rsidR="00A03629" w:rsidRPr="0088604A">
        <w:rPr>
          <w:b/>
          <w:bCs/>
        </w:rPr>
        <w:t xml:space="preserve"> </w:t>
      </w:r>
      <w:r w:rsidRPr="0088604A">
        <w:rPr>
          <w:b/>
          <w:bCs/>
        </w:rPr>
        <w:t>and</w:t>
      </w:r>
      <w:r w:rsidR="00A03629" w:rsidRPr="0088604A">
        <w:rPr>
          <w:b/>
          <w:bCs/>
        </w:rPr>
        <w:t xml:space="preserve"> </w:t>
      </w:r>
      <w:r w:rsidRPr="0088604A">
        <w:rPr>
          <w:b/>
          <w:bCs/>
        </w:rPr>
        <w:t>Major</w:t>
      </w:r>
      <w:r w:rsidR="00A03629" w:rsidRPr="0088604A">
        <w:rPr>
          <w:b/>
          <w:bCs/>
        </w:rPr>
        <w:t xml:space="preserve"> </w:t>
      </w:r>
      <w:r w:rsidRPr="0088604A">
        <w:rPr>
          <w:b/>
          <w:bCs/>
        </w:rPr>
        <w:t>Events</w:t>
      </w:r>
      <w:r w:rsidRPr="0088604A">
        <w:rPr>
          <w:b/>
          <w:bCs/>
        </w:rPr>
        <w:br/>
        <w:t>Minister</w:t>
      </w:r>
      <w:r w:rsidR="00A03629" w:rsidRPr="0088604A">
        <w:rPr>
          <w:b/>
          <w:bCs/>
        </w:rPr>
        <w:t xml:space="preserve"> </w:t>
      </w:r>
      <w:r w:rsidRPr="0088604A">
        <w:rPr>
          <w:b/>
          <w:bCs/>
        </w:rPr>
        <w:t>for</w:t>
      </w:r>
      <w:r w:rsidR="00A03629" w:rsidRPr="0088604A">
        <w:rPr>
          <w:b/>
          <w:bCs/>
        </w:rPr>
        <w:t xml:space="preserve"> </w:t>
      </w:r>
      <w:r w:rsidRPr="0088604A">
        <w:rPr>
          <w:b/>
          <w:bCs/>
        </w:rPr>
        <w:t>Creative</w:t>
      </w:r>
      <w:r w:rsidR="00A03629" w:rsidRPr="0088604A">
        <w:rPr>
          <w:b/>
          <w:bCs/>
        </w:rPr>
        <w:t xml:space="preserve"> </w:t>
      </w:r>
      <w:r w:rsidRPr="0088604A">
        <w:rPr>
          <w:b/>
          <w:bCs/>
        </w:rPr>
        <w:t>Industries</w:t>
      </w:r>
      <w:r w:rsidRPr="0088604A">
        <w:rPr>
          <w:b/>
          <w:bCs/>
        </w:rPr>
        <w:br/>
      </w:r>
      <w:r w:rsidRPr="0088604A">
        <w:rPr>
          <w:i/>
          <w:iCs/>
        </w:rPr>
        <w:t>Mr</w:t>
      </w:r>
      <w:r w:rsidR="00A03629" w:rsidRPr="0088604A">
        <w:rPr>
          <w:i/>
          <w:iCs/>
        </w:rPr>
        <w:t xml:space="preserve"> </w:t>
      </w:r>
      <w:r w:rsidRPr="0088604A">
        <w:rPr>
          <w:i/>
          <w:iCs/>
        </w:rPr>
        <w:t>Steve</w:t>
      </w:r>
      <w:r w:rsidR="00A03629" w:rsidRPr="0088604A">
        <w:rPr>
          <w:i/>
          <w:iCs/>
        </w:rPr>
        <w:t xml:space="preserve"> </w:t>
      </w:r>
      <w:r w:rsidRPr="0088604A">
        <w:rPr>
          <w:i/>
          <w:iCs/>
        </w:rPr>
        <w:t>Dimopoulos</w:t>
      </w:r>
      <w:r w:rsidRPr="0088604A">
        <w:rPr>
          <w:i/>
          <w:iCs/>
        </w:rPr>
        <w:br/>
      </w:r>
      <w:r w:rsidRPr="0088604A">
        <w:t>1</w:t>
      </w:r>
      <w:r w:rsidR="00A03629" w:rsidRPr="0088604A">
        <w:t xml:space="preserve"> </w:t>
      </w:r>
      <w:r w:rsidRPr="0088604A">
        <w:t>July</w:t>
      </w:r>
      <w:r w:rsidR="00A03629" w:rsidRPr="0088604A">
        <w:t xml:space="preserve"> </w:t>
      </w:r>
      <w:r w:rsidRPr="0088604A">
        <w:t>2022</w:t>
      </w:r>
      <w:r w:rsidR="00A03629" w:rsidRPr="0088604A">
        <w:t xml:space="preserve"> </w:t>
      </w:r>
      <w:r w:rsidRPr="0088604A">
        <w:t>to</w:t>
      </w:r>
      <w:r w:rsidR="00A03629" w:rsidRPr="0088604A">
        <w:t xml:space="preserve"> </w:t>
      </w:r>
      <w:r w:rsidRPr="0088604A">
        <w:t>4</w:t>
      </w:r>
      <w:r w:rsidR="00A03629" w:rsidRPr="0088604A">
        <w:t xml:space="preserve"> </w:t>
      </w:r>
      <w:r w:rsidRPr="0088604A">
        <w:t>December</w:t>
      </w:r>
      <w:r w:rsidR="00A03629" w:rsidRPr="0088604A">
        <w:t xml:space="preserve"> </w:t>
      </w:r>
      <w:r w:rsidRPr="0088604A">
        <w:t>2022</w:t>
      </w:r>
    </w:p>
    <w:p w14:paraId="0F07ADD5" w14:textId="277D7103" w:rsidR="000756EB" w:rsidRDefault="004A4D88" w:rsidP="0088604A">
      <w:r w:rsidRPr="0088604A">
        <w:rPr>
          <w:b/>
          <w:bCs/>
        </w:rPr>
        <w:t>Minister</w:t>
      </w:r>
      <w:r w:rsidR="00A03629" w:rsidRPr="0088604A">
        <w:rPr>
          <w:b/>
          <w:bCs/>
        </w:rPr>
        <w:t xml:space="preserve"> </w:t>
      </w:r>
      <w:r w:rsidRPr="0088604A">
        <w:rPr>
          <w:b/>
          <w:bCs/>
        </w:rPr>
        <w:t>for</w:t>
      </w:r>
      <w:r w:rsidR="00A03629" w:rsidRPr="0088604A">
        <w:rPr>
          <w:b/>
          <w:bCs/>
        </w:rPr>
        <w:t xml:space="preserve"> </w:t>
      </w:r>
      <w:r w:rsidRPr="0088604A">
        <w:rPr>
          <w:b/>
          <w:bCs/>
        </w:rPr>
        <w:t>Trade</w:t>
      </w:r>
      <w:r w:rsidRPr="0088604A">
        <w:rPr>
          <w:b/>
          <w:bCs/>
        </w:rPr>
        <w:br/>
      </w:r>
      <w:r w:rsidRPr="0088604A">
        <w:rPr>
          <w:i/>
          <w:iCs/>
        </w:rPr>
        <w:t>Mr</w:t>
      </w:r>
      <w:r w:rsidR="00A03629" w:rsidRPr="0088604A">
        <w:rPr>
          <w:i/>
          <w:iCs/>
        </w:rPr>
        <w:t xml:space="preserve"> </w:t>
      </w:r>
      <w:r w:rsidRPr="0088604A">
        <w:rPr>
          <w:i/>
          <w:iCs/>
        </w:rPr>
        <w:t>Tim</w:t>
      </w:r>
      <w:r w:rsidR="00A03629" w:rsidRPr="0088604A">
        <w:rPr>
          <w:i/>
          <w:iCs/>
        </w:rPr>
        <w:t xml:space="preserve"> </w:t>
      </w:r>
      <w:r w:rsidRPr="0088604A">
        <w:rPr>
          <w:i/>
          <w:iCs/>
        </w:rPr>
        <w:t>Pallas</w:t>
      </w:r>
      <w:r w:rsidRPr="0088604A">
        <w:rPr>
          <w:i/>
          <w:iCs/>
        </w:rPr>
        <w:br/>
      </w:r>
      <w:r>
        <w:t>1</w:t>
      </w:r>
      <w:r w:rsidR="00A03629">
        <w:t xml:space="preserve"> </w:t>
      </w:r>
      <w:r>
        <w:t>July</w:t>
      </w:r>
      <w:r w:rsidR="00A03629">
        <w:t xml:space="preserve"> </w:t>
      </w:r>
      <w:r>
        <w:t>2022</w:t>
      </w:r>
      <w:r w:rsidR="00A03629">
        <w:t xml:space="preserve"> </w:t>
      </w:r>
      <w:r>
        <w:t>to</w:t>
      </w:r>
      <w:r w:rsidR="00A03629">
        <w:t xml:space="preserve"> </w:t>
      </w:r>
      <w:r>
        <w:t>4</w:t>
      </w:r>
      <w:r w:rsidR="00A03629">
        <w:t xml:space="preserve"> </w:t>
      </w:r>
      <w:r>
        <w:t>December</w:t>
      </w:r>
      <w:r w:rsidR="00A03629">
        <w:t xml:space="preserve"> </w:t>
      </w:r>
      <w:r>
        <w:t>2022</w:t>
      </w:r>
    </w:p>
    <w:p w14:paraId="34A4838B" w14:textId="5664A5C4" w:rsidR="000756EB" w:rsidRDefault="004A4D88" w:rsidP="0088604A">
      <w:r w:rsidRPr="0088604A">
        <w:rPr>
          <w:b/>
          <w:bCs/>
        </w:rPr>
        <w:lastRenderedPageBreak/>
        <w:t>Minister</w:t>
      </w:r>
      <w:r w:rsidR="00A03629" w:rsidRPr="0088604A">
        <w:rPr>
          <w:b/>
          <w:bCs/>
        </w:rPr>
        <w:t xml:space="preserve"> </w:t>
      </w:r>
      <w:r w:rsidRPr="0088604A">
        <w:rPr>
          <w:b/>
          <w:bCs/>
        </w:rPr>
        <w:t>for</w:t>
      </w:r>
      <w:r w:rsidR="00A03629" w:rsidRPr="0088604A">
        <w:rPr>
          <w:b/>
          <w:bCs/>
        </w:rPr>
        <w:t xml:space="preserve"> </w:t>
      </w:r>
      <w:r w:rsidRPr="0088604A">
        <w:rPr>
          <w:b/>
          <w:bCs/>
        </w:rPr>
        <w:t>Agriculture</w:t>
      </w:r>
      <w:r w:rsidRPr="0088604A">
        <w:rPr>
          <w:b/>
          <w:bCs/>
        </w:rPr>
        <w:br/>
      </w:r>
      <w:r w:rsidRPr="0088604A">
        <w:rPr>
          <w:i/>
          <w:iCs/>
        </w:rPr>
        <w:t>The</w:t>
      </w:r>
      <w:r w:rsidR="00A03629" w:rsidRPr="0088604A">
        <w:rPr>
          <w:i/>
          <w:iCs/>
        </w:rPr>
        <w:t xml:space="preserve"> </w:t>
      </w:r>
      <w:r w:rsidRPr="0088604A">
        <w:rPr>
          <w:i/>
          <w:iCs/>
        </w:rPr>
        <w:t>Hon.</w:t>
      </w:r>
      <w:r w:rsidR="00A03629" w:rsidRPr="0088604A">
        <w:rPr>
          <w:i/>
          <w:iCs/>
        </w:rPr>
        <w:t xml:space="preserve"> </w:t>
      </w:r>
      <w:r w:rsidRPr="0088604A">
        <w:rPr>
          <w:i/>
          <w:iCs/>
        </w:rPr>
        <w:t>Gayle</w:t>
      </w:r>
      <w:r w:rsidR="00A03629" w:rsidRPr="0088604A">
        <w:rPr>
          <w:i/>
          <w:iCs/>
        </w:rPr>
        <w:t xml:space="preserve"> </w:t>
      </w:r>
      <w:r w:rsidRPr="0088604A">
        <w:rPr>
          <w:i/>
          <w:iCs/>
        </w:rPr>
        <w:t>Tierney</w:t>
      </w:r>
      <w:r w:rsidRPr="0088604A">
        <w:rPr>
          <w:i/>
          <w:iCs/>
        </w:rPr>
        <w:br/>
      </w:r>
      <w:r>
        <w:t>1</w:t>
      </w:r>
      <w:r w:rsidR="00A03629">
        <w:t xml:space="preserve"> </w:t>
      </w:r>
      <w:r>
        <w:t>July</w:t>
      </w:r>
      <w:r w:rsidR="00A03629">
        <w:t xml:space="preserve"> </w:t>
      </w:r>
      <w:r>
        <w:t>2022</w:t>
      </w:r>
      <w:r w:rsidR="00A03629">
        <w:t xml:space="preserve"> </w:t>
      </w:r>
      <w:r>
        <w:t>to</w:t>
      </w:r>
      <w:r w:rsidR="00A03629">
        <w:t xml:space="preserve"> </w:t>
      </w:r>
      <w:r>
        <w:t>4</w:t>
      </w:r>
      <w:r w:rsidR="00A03629">
        <w:t xml:space="preserve"> </w:t>
      </w:r>
      <w:r>
        <w:t>December</w:t>
      </w:r>
      <w:r w:rsidR="00A03629">
        <w:t xml:space="preserve"> </w:t>
      </w:r>
      <w:r>
        <w:t>2022</w:t>
      </w:r>
    </w:p>
    <w:p w14:paraId="26574A0F" w14:textId="0841828C" w:rsidR="000756EB" w:rsidRPr="0088604A" w:rsidRDefault="004A4D88" w:rsidP="0088604A">
      <w:r w:rsidRPr="0088604A">
        <w:rPr>
          <w:b/>
          <w:bCs/>
        </w:rPr>
        <w:t>Minister</w:t>
      </w:r>
      <w:r w:rsidR="00A03629" w:rsidRPr="0088604A">
        <w:rPr>
          <w:b/>
          <w:bCs/>
        </w:rPr>
        <w:t xml:space="preserve"> </w:t>
      </w:r>
      <w:r w:rsidRPr="0088604A">
        <w:rPr>
          <w:b/>
          <w:bCs/>
        </w:rPr>
        <w:t>for</w:t>
      </w:r>
      <w:r w:rsidR="00A03629" w:rsidRPr="0088604A">
        <w:rPr>
          <w:b/>
          <w:bCs/>
        </w:rPr>
        <w:t xml:space="preserve"> </w:t>
      </w:r>
      <w:r w:rsidRPr="0088604A">
        <w:rPr>
          <w:b/>
          <w:bCs/>
        </w:rPr>
        <w:t>Regional</w:t>
      </w:r>
      <w:r w:rsidR="00A03629" w:rsidRPr="0088604A">
        <w:rPr>
          <w:b/>
          <w:bCs/>
        </w:rPr>
        <w:t xml:space="preserve"> </w:t>
      </w:r>
      <w:r w:rsidRPr="0088604A">
        <w:rPr>
          <w:b/>
          <w:bCs/>
        </w:rPr>
        <w:t>Development</w:t>
      </w:r>
      <w:r w:rsidRPr="0088604A">
        <w:rPr>
          <w:b/>
          <w:bCs/>
        </w:rPr>
        <w:br/>
      </w:r>
      <w:r w:rsidRPr="0088604A">
        <w:rPr>
          <w:i/>
          <w:iCs/>
        </w:rPr>
        <w:t>The</w:t>
      </w:r>
      <w:r w:rsidR="00A03629" w:rsidRPr="0088604A">
        <w:rPr>
          <w:i/>
          <w:iCs/>
        </w:rPr>
        <w:t xml:space="preserve"> </w:t>
      </w:r>
      <w:r w:rsidRPr="0088604A">
        <w:rPr>
          <w:i/>
          <w:iCs/>
        </w:rPr>
        <w:t>Hon.</w:t>
      </w:r>
      <w:r w:rsidR="00A03629" w:rsidRPr="0088604A">
        <w:rPr>
          <w:i/>
          <w:iCs/>
        </w:rPr>
        <w:t xml:space="preserve"> </w:t>
      </w:r>
      <w:r w:rsidRPr="0088604A">
        <w:rPr>
          <w:i/>
          <w:iCs/>
        </w:rPr>
        <w:t>Harriet</w:t>
      </w:r>
      <w:r w:rsidR="00A03629" w:rsidRPr="0088604A">
        <w:rPr>
          <w:i/>
          <w:iCs/>
        </w:rPr>
        <w:t xml:space="preserve"> </w:t>
      </w:r>
      <w:r w:rsidRPr="0088604A">
        <w:rPr>
          <w:i/>
          <w:iCs/>
        </w:rPr>
        <w:t>Shing</w:t>
      </w:r>
      <w:r w:rsidRPr="0088604A">
        <w:rPr>
          <w:i/>
          <w:iCs/>
        </w:rPr>
        <w:br/>
      </w:r>
      <w:r w:rsidRPr="0088604A">
        <w:t>1</w:t>
      </w:r>
      <w:r w:rsidR="00A03629" w:rsidRPr="0088604A">
        <w:t xml:space="preserve"> </w:t>
      </w:r>
      <w:r w:rsidRPr="0088604A">
        <w:t>July</w:t>
      </w:r>
      <w:r w:rsidR="00A03629" w:rsidRPr="0088604A">
        <w:t xml:space="preserve"> </w:t>
      </w:r>
      <w:r w:rsidRPr="0088604A">
        <w:t>2022</w:t>
      </w:r>
      <w:r w:rsidR="00A03629" w:rsidRPr="0088604A">
        <w:t xml:space="preserve"> </w:t>
      </w:r>
      <w:r w:rsidRPr="0088604A">
        <w:t>to</w:t>
      </w:r>
      <w:r w:rsidR="00A03629" w:rsidRPr="0088604A">
        <w:t xml:space="preserve"> </w:t>
      </w:r>
      <w:r w:rsidRPr="0088604A">
        <w:t>4</w:t>
      </w:r>
      <w:r w:rsidR="00A03629" w:rsidRPr="0088604A">
        <w:t xml:space="preserve"> </w:t>
      </w:r>
      <w:r w:rsidRPr="0088604A">
        <w:t>December</w:t>
      </w:r>
      <w:r w:rsidR="00A03629" w:rsidRPr="0088604A">
        <w:t xml:space="preserve"> </w:t>
      </w:r>
      <w:r w:rsidRPr="0088604A">
        <w:t>2022</w:t>
      </w:r>
    </w:p>
    <w:p w14:paraId="7DC0DDC3" w14:textId="4C71FD56" w:rsidR="000756EB" w:rsidRPr="0088604A" w:rsidRDefault="004A4D88" w:rsidP="0088604A">
      <w:r w:rsidRPr="0088604A">
        <w:rPr>
          <w:b/>
          <w:bCs/>
        </w:rPr>
        <w:t>Minister</w:t>
      </w:r>
      <w:r w:rsidR="00A03629" w:rsidRPr="0088604A">
        <w:rPr>
          <w:b/>
          <w:bCs/>
        </w:rPr>
        <w:t xml:space="preserve"> </w:t>
      </w:r>
      <w:r w:rsidRPr="0088604A">
        <w:rPr>
          <w:b/>
          <w:bCs/>
        </w:rPr>
        <w:t>for</w:t>
      </w:r>
      <w:r w:rsidR="00A03629" w:rsidRPr="0088604A">
        <w:rPr>
          <w:b/>
          <w:bCs/>
        </w:rPr>
        <w:t xml:space="preserve"> </w:t>
      </w:r>
      <w:r w:rsidRPr="0088604A">
        <w:rPr>
          <w:b/>
          <w:bCs/>
        </w:rPr>
        <w:t>Local</w:t>
      </w:r>
      <w:r w:rsidR="00A03629" w:rsidRPr="0088604A">
        <w:rPr>
          <w:b/>
          <w:bCs/>
        </w:rPr>
        <w:t xml:space="preserve"> </w:t>
      </w:r>
      <w:r w:rsidRPr="0088604A">
        <w:rPr>
          <w:b/>
          <w:bCs/>
        </w:rPr>
        <w:t>Government</w:t>
      </w:r>
      <w:r w:rsidRPr="0088604A">
        <w:rPr>
          <w:b/>
          <w:bCs/>
        </w:rPr>
        <w:br/>
        <w:t>Minister</w:t>
      </w:r>
      <w:r w:rsidR="00A03629" w:rsidRPr="0088604A">
        <w:rPr>
          <w:b/>
          <w:bCs/>
        </w:rPr>
        <w:t xml:space="preserve"> </w:t>
      </w:r>
      <w:r w:rsidRPr="0088604A">
        <w:rPr>
          <w:b/>
          <w:bCs/>
        </w:rPr>
        <w:t>for</w:t>
      </w:r>
      <w:r w:rsidR="00A03629" w:rsidRPr="0088604A">
        <w:rPr>
          <w:b/>
          <w:bCs/>
        </w:rPr>
        <w:t xml:space="preserve"> </w:t>
      </w:r>
      <w:r w:rsidRPr="0088604A">
        <w:rPr>
          <w:b/>
          <w:bCs/>
        </w:rPr>
        <w:t>Suburban</w:t>
      </w:r>
      <w:r w:rsidR="00A03629" w:rsidRPr="0088604A">
        <w:rPr>
          <w:b/>
          <w:bCs/>
        </w:rPr>
        <w:t xml:space="preserve"> </w:t>
      </w:r>
      <w:r w:rsidRPr="0088604A">
        <w:rPr>
          <w:b/>
          <w:bCs/>
        </w:rPr>
        <w:t>Development</w:t>
      </w:r>
      <w:r w:rsidRPr="0088604A">
        <w:rPr>
          <w:b/>
          <w:bCs/>
        </w:rPr>
        <w:br/>
      </w:r>
      <w:r w:rsidRPr="0088604A">
        <w:rPr>
          <w:i/>
          <w:iCs/>
        </w:rPr>
        <w:t>The</w:t>
      </w:r>
      <w:r w:rsidR="00A03629" w:rsidRPr="0088604A">
        <w:rPr>
          <w:i/>
          <w:iCs/>
        </w:rPr>
        <w:t xml:space="preserve"> </w:t>
      </w:r>
      <w:r w:rsidRPr="0088604A">
        <w:rPr>
          <w:i/>
          <w:iCs/>
        </w:rPr>
        <w:t>Hon.</w:t>
      </w:r>
      <w:r w:rsidR="00A03629" w:rsidRPr="0088604A">
        <w:rPr>
          <w:i/>
          <w:iCs/>
        </w:rPr>
        <w:t xml:space="preserve"> </w:t>
      </w:r>
      <w:r w:rsidRPr="0088604A">
        <w:rPr>
          <w:i/>
          <w:iCs/>
        </w:rPr>
        <w:t>Melissa</w:t>
      </w:r>
      <w:r w:rsidR="00A03629" w:rsidRPr="0088604A">
        <w:rPr>
          <w:i/>
          <w:iCs/>
        </w:rPr>
        <w:t xml:space="preserve"> </w:t>
      </w:r>
      <w:r w:rsidRPr="0088604A">
        <w:rPr>
          <w:i/>
          <w:iCs/>
        </w:rPr>
        <w:t>Horne</w:t>
      </w:r>
      <w:r w:rsidRPr="0088604A">
        <w:rPr>
          <w:i/>
          <w:iCs/>
        </w:rPr>
        <w:br/>
      </w:r>
      <w:r w:rsidRPr="0088604A">
        <w:t>1</w:t>
      </w:r>
      <w:r w:rsidR="00A03629" w:rsidRPr="0088604A">
        <w:t xml:space="preserve"> </w:t>
      </w:r>
      <w:r w:rsidRPr="0088604A">
        <w:t>July</w:t>
      </w:r>
      <w:r w:rsidR="00A03629" w:rsidRPr="0088604A">
        <w:t xml:space="preserve"> </w:t>
      </w:r>
      <w:r w:rsidRPr="0088604A">
        <w:t>2022</w:t>
      </w:r>
      <w:r w:rsidR="00A03629" w:rsidRPr="0088604A">
        <w:t xml:space="preserve"> </w:t>
      </w:r>
      <w:r w:rsidRPr="0088604A">
        <w:t>to</w:t>
      </w:r>
      <w:r w:rsidR="00A03629" w:rsidRPr="0088604A">
        <w:t xml:space="preserve"> </w:t>
      </w:r>
      <w:r w:rsidRPr="0088604A">
        <w:t>4</w:t>
      </w:r>
      <w:r w:rsidR="00A03629" w:rsidRPr="0088604A">
        <w:t xml:space="preserve"> </w:t>
      </w:r>
      <w:r w:rsidRPr="0088604A">
        <w:t>December</w:t>
      </w:r>
      <w:r w:rsidR="00A03629" w:rsidRPr="0088604A">
        <w:t xml:space="preserve"> </w:t>
      </w:r>
      <w:r w:rsidRPr="0088604A">
        <w:t>2022</w:t>
      </w:r>
    </w:p>
    <w:p w14:paraId="6B088A82" w14:textId="62F76785" w:rsidR="000756EB" w:rsidRDefault="004A4D88" w:rsidP="0088604A">
      <w:r w:rsidRPr="0088604A">
        <w:rPr>
          <w:b/>
          <w:bCs/>
        </w:rPr>
        <w:t>Minister</w:t>
      </w:r>
      <w:r w:rsidR="00A03629" w:rsidRPr="0088604A">
        <w:rPr>
          <w:b/>
          <w:bCs/>
        </w:rPr>
        <w:t xml:space="preserve"> </w:t>
      </w:r>
      <w:r w:rsidRPr="0088604A">
        <w:rPr>
          <w:b/>
          <w:bCs/>
        </w:rPr>
        <w:t>for</w:t>
      </w:r>
      <w:r w:rsidR="00A03629" w:rsidRPr="0088604A">
        <w:rPr>
          <w:b/>
          <w:bCs/>
        </w:rPr>
        <w:t xml:space="preserve"> </w:t>
      </w:r>
      <w:r w:rsidRPr="0088604A">
        <w:rPr>
          <w:b/>
          <w:bCs/>
        </w:rPr>
        <w:t>Community</w:t>
      </w:r>
      <w:r w:rsidR="00A03629" w:rsidRPr="0088604A">
        <w:rPr>
          <w:b/>
          <w:bCs/>
        </w:rPr>
        <w:t xml:space="preserve"> </w:t>
      </w:r>
      <w:r w:rsidRPr="0088604A">
        <w:rPr>
          <w:b/>
          <w:bCs/>
        </w:rPr>
        <w:t>Sport</w:t>
      </w:r>
      <w:r w:rsidRPr="0088604A">
        <w:rPr>
          <w:b/>
          <w:bCs/>
        </w:rPr>
        <w:br/>
      </w:r>
      <w:r w:rsidRPr="0088604A">
        <w:rPr>
          <w:i/>
          <w:iCs/>
        </w:rPr>
        <w:t>The</w:t>
      </w:r>
      <w:r w:rsidR="00A03629" w:rsidRPr="0088604A">
        <w:rPr>
          <w:i/>
          <w:iCs/>
        </w:rPr>
        <w:t xml:space="preserve"> </w:t>
      </w:r>
      <w:r w:rsidRPr="0088604A">
        <w:rPr>
          <w:i/>
          <w:iCs/>
        </w:rPr>
        <w:t>Hon.</w:t>
      </w:r>
      <w:r w:rsidR="00A03629" w:rsidRPr="0088604A">
        <w:rPr>
          <w:i/>
          <w:iCs/>
        </w:rPr>
        <w:t xml:space="preserve"> </w:t>
      </w:r>
      <w:r w:rsidRPr="0088604A">
        <w:rPr>
          <w:i/>
          <w:iCs/>
        </w:rPr>
        <w:t>Ros</w:t>
      </w:r>
      <w:r w:rsidR="00A03629" w:rsidRPr="0088604A">
        <w:rPr>
          <w:i/>
          <w:iCs/>
        </w:rPr>
        <w:t xml:space="preserve"> </w:t>
      </w:r>
      <w:r w:rsidRPr="0088604A">
        <w:rPr>
          <w:i/>
          <w:iCs/>
        </w:rPr>
        <w:t>Spence</w:t>
      </w:r>
      <w:r w:rsidRPr="0088604A">
        <w:rPr>
          <w:i/>
          <w:iCs/>
        </w:rPr>
        <w:br/>
      </w:r>
      <w:r>
        <w:t>1</w:t>
      </w:r>
      <w:r w:rsidR="00A03629">
        <w:t xml:space="preserve"> </w:t>
      </w:r>
      <w:r>
        <w:t>July</w:t>
      </w:r>
      <w:r w:rsidR="00A03629">
        <w:t xml:space="preserve"> </w:t>
      </w:r>
      <w:r>
        <w:t>2022</w:t>
      </w:r>
      <w:r w:rsidR="00A03629">
        <w:t xml:space="preserve"> </w:t>
      </w:r>
      <w:r>
        <w:t>to</w:t>
      </w:r>
      <w:r w:rsidR="00A03629">
        <w:t xml:space="preserve"> </w:t>
      </w:r>
      <w:r>
        <w:t>4</w:t>
      </w:r>
      <w:r w:rsidR="00A03629">
        <w:t xml:space="preserve"> </w:t>
      </w:r>
      <w:r>
        <w:t>December</w:t>
      </w:r>
      <w:r w:rsidR="00A03629">
        <w:t xml:space="preserve"> </w:t>
      </w:r>
      <w:r>
        <w:t>2022</w:t>
      </w:r>
    </w:p>
    <w:p w14:paraId="41B6830E" w14:textId="276DF54C" w:rsidR="000756EB" w:rsidRDefault="004A4D88" w:rsidP="0088604A">
      <w:r w:rsidRPr="0088604A">
        <w:rPr>
          <w:b/>
          <w:bCs/>
        </w:rPr>
        <w:t>Minister</w:t>
      </w:r>
      <w:r w:rsidR="00A03629" w:rsidRPr="0088604A">
        <w:rPr>
          <w:b/>
          <w:bCs/>
        </w:rPr>
        <w:t xml:space="preserve"> </w:t>
      </w:r>
      <w:r w:rsidRPr="0088604A">
        <w:rPr>
          <w:b/>
          <w:bCs/>
        </w:rPr>
        <w:t>for</w:t>
      </w:r>
      <w:r w:rsidR="00A03629" w:rsidRPr="0088604A">
        <w:rPr>
          <w:b/>
          <w:bCs/>
        </w:rPr>
        <w:t xml:space="preserve"> </w:t>
      </w:r>
      <w:r w:rsidRPr="0088604A">
        <w:rPr>
          <w:b/>
          <w:bCs/>
        </w:rPr>
        <w:t>Racing</w:t>
      </w:r>
      <w:r w:rsidRPr="0088604A">
        <w:rPr>
          <w:b/>
          <w:bCs/>
        </w:rPr>
        <w:br/>
      </w:r>
      <w:r w:rsidRPr="0088604A">
        <w:rPr>
          <w:i/>
          <w:iCs/>
        </w:rPr>
        <w:t>Mr</w:t>
      </w:r>
      <w:r w:rsidR="00A03629" w:rsidRPr="0088604A">
        <w:rPr>
          <w:i/>
          <w:iCs/>
        </w:rPr>
        <w:t xml:space="preserve"> </w:t>
      </w:r>
      <w:r w:rsidRPr="0088604A">
        <w:rPr>
          <w:i/>
          <w:iCs/>
        </w:rPr>
        <w:t>Anthony</w:t>
      </w:r>
      <w:r w:rsidR="00A03629" w:rsidRPr="0088604A">
        <w:rPr>
          <w:i/>
          <w:iCs/>
        </w:rPr>
        <w:t xml:space="preserve"> </w:t>
      </w:r>
      <w:r w:rsidRPr="0088604A">
        <w:rPr>
          <w:i/>
          <w:iCs/>
        </w:rPr>
        <w:t>Carbines</w:t>
      </w:r>
      <w:r w:rsidRPr="0088604A">
        <w:rPr>
          <w:i/>
          <w:iCs/>
        </w:rPr>
        <w:br/>
      </w:r>
      <w:r>
        <w:t>1</w:t>
      </w:r>
      <w:r w:rsidR="00A03629">
        <w:t xml:space="preserve"> </w:t>
      </w:r>
      <w:r>
        <w:t>July</w:t>
      </w:r>
      <w:r w:rsidR="00A03629">
        <w:t xml:space="preserve"> </w:t>
      </w:r>
      <w:r>
        <w:t>2022</w:t>
      </w:r>
      <w:r w:rsidR="00A03629">
        <w:t xml:space="preserve"> </w:t>
      </w:r>
      <w:r>
        <w:t>to</w:t>
      </w:r>
      <w:r w:rsidR="00A03629">
        <w:t xml:space="preserve"> </w:t>
      </w:r>
      <w:r>
        <w:t>4</w:t>
      </w:r>
      <w:r w:rsidR="00A03629">
        <w:t xml:space="preserve"> </w:t>
      </w:r>
      <w:r>
        <w:t>December</w:t>
      </w:r>
      <w:r w:rsidR="00A03629">
        <w:t xml:space="preserve"> </w:t>
      </w:r>
      <w:r>
        <w:t>2022</w:t>
      </w:r>
    </w:p>
    <w:p w14:paraId="11CE843C" w14:textId="74FA95C2" w:rsidR="000756EB" w:rsidRPr="0088604A" w:rsidRDefault="004A4D88" w:rsidP="0088604A">
      <w:r w:rsidRPr="0088604A">
        <w:rPr>
          <w:b/>
          <w:bCs/>
        </w:rPr>
        <w:t>Minister</w:t>
      </w:r>
      <w:r w:rsidR="00A03629" w:rsidRPr="0088604A">
        <w:rPr>
          <w:b/>
          <w:bCs/>
        </w:rPr>
        <w:t xml:space="preserve"> </w:t>
      </w:r>
      <w:r w:rsidRPr="0088604A">
        <w:rPr>
          <w:b/>
          <w:bCs/>
        </w:rPr>
        <w:t>for</w:t>
      </w:r>
      <w:r w:rsidR="00A03629" w:rsidRPr="0088604A">
        <w:rPr>
          <w:b/>
          <w:bCs/>
        </w:rPr>
        <w:t xml:space="preserve"> </w:t>
      </w:r>
      <w:r w:rsidRPr="0088604A">
        <w:rPr>
          <w:b/>
          <w:bCs/>
        </w:rPr>
        <w:t>Commonwealth</w:t>
      </w:r>
      <w:r w:rsidR="00A03629" w:rsidRPr="0088604A">
        <w:rPr>
          <w:b/>
          <w:bCs/>
        </w:rPr>
        <w:t xml:space="preserve"> </w:t>
      </w:r>
      <w:r w:rsidRPr="0088604A">
        <w:rPr>
          <w:b/>
          <w:bCs/>
        </w:rPr>
        <w:t>Games</w:t>
      </w:r>
      <w:r w:rsidR="00A03629" w:rsidRPr="0088604A">
        <w:rPr>
          <w:b/>
          <w:bCs/>
        </w:rPr>
        <w:t xml:space="preserve"> </w:t>
      </w:r>
      <w:r w:rsidRPr="0088604A">
        <w:rPr>
          <w:b/>
          <w:bCs/>
        </w:rPr>
        <w:t>Delivery</w:t>
      </w:r>
      <w:r w:rsidRPr="0088604A">
        <w:rPr>
          <w:b/>
          <w:bCs/>
        </w:rPr>
        <w:br/>
      </w:r>
      <w:r w:rsidRPr="0088604A">
        <w:rPr>
          <w:i/>
          <w:iCs/>
        </w:rPr>
        <w:t>The</w:t>
      </w:r>
      <w:r w:rsidR="00A03629" w:rsidRPr="0088604A">
        <w:rPr>
          <w:i/>
          <w:iCs/>
        </w:rPr>
        <w:t xml:space="preserve"> </w:t>
      </w:r>
      <w:r w:rsidRPr="0088604A">
        <w:rPr>
          <w:i/>
          <w:iCs/>
        </w:rPr>
        <w:t>Hon.</w:t>
      </w:r>
      <w:r w:rsidR="00A03629" w:rsidRPr="0088604A">
        <w:rPr>
          <w:i/>
          <w:iCs/>
        </w:rPr>
        <w:t xml:space="preserve"> </w:t>
      </w:r>
      <w:r w:rsidRPr="0088604A">
        <w:rPr>
          <w:i/>
          <w:iCs/>
        </w:rPr>
        <w:t>Jacinta</w:t>
      </w:r>
      <w:r w:rsidR="00A03629" w:rsidRPr="0088604A">
        <w:rPr>
          <w:i/>
          <w:iCs/>
        </w:rPr>
        <w:t xml:space="preserve"> </w:t>
      </w:r>
      <w:r w:rsidRPr="0088604A">
        <w:rPr>
          <w:i/>
          <w:iCs/>
        </w:rPr>
        <w:t>Allan</w:t>
      </w:r>
      <w:r w:rsidRPr="0088604A">
        <w:rPr>
          <w:i/>
          <w:iCs/>
        </w:rPr>
        <w:br/>
      </w:r>
      <w:r w:rsidRPr="0088604A">
        <w:t>1</w:t>
      </w:r>
      <w:r w:rsidR="00A03629" w:rsidRPr="0088604A">
        <w:t xml:space="preserve"> </w:t>
      </w:r>
      <w:r w:rsidRPr="0088604A">
        <w:t>July</w:t>
      </w:r>
      <w:r w:rsidR="00A03629" w:rsidRPr="0088604A">
        <w:t xml:space="preserve"> </w:t>
      </w:r>
      <w:r w:rsidRPr="0088604A">
        <w:t>2022</w:t>
      </w:r>
      <w:r w:rsidR="00A03629" w:rsidRPr="0088604A">
        <w:t xml:space="preserve"> </w:t>
      </w:r>
      <w:r w:rsidRPr="0088604A">
        <w:t>to</w:t>
      </w:r>
      <w:r w:rsidR="00A03629" w:rsidRPr="0088604A">
        <w:t xml:space="preserve"> </w:t>
      </w:r>
      <w:r w:rsidRPr="0088604A">
        <w:t>4</w:t>
      </w:r>
      <w:r w:rsidR="00A03629" w:rsidRPr="0088604A">
        <w:t xml:space="preserve"> </w:t>
      </w:r>
      <w:r w:rsidRPr="0088604A">
        <w:t>December</w:t>
      </w:r>
      <w:r w:rsidR="00A03629" w:rsidRPr="0088604A">
        <w:t xml:space="preserve"> </w:t>
      </w:r>
      <w:r w:rsidRPr="0088604A">
        <w:t>2022</w:t>
      </w:r>
    </w:p>
    <w:p w14:paraId="3AB3A499" w14:textId="18B369FD" w:rsidR="000756EB" w:rsidRPr="0088604A" w:rsidRDefault="004A4D88" w:rsidP="0088604A">
      <w:r w:rsidRPr="0088604A">
        <w:rPr>
          <w:b/>
          <w:bCs/>
        </w:rPr>
        <w:t>Minister</w:t>
      </w:r>
      <w:r w:rsidR="00A03629" w:rsidRPr="0088604A">
        <w:rPr>
          <w:b/>
          <w:bCs/>
        </w:rPr>
        <w:t xml:space="preserve"> </w:t>
      </w:r>
      <w:r w:rsidRPr="0088604A">
        <w:rPr>
          <w:b/>
          <w:bCs/>
        </w:rPr>
        <w:t>for</w:t>
      </w:r>
      <w:r w:rsidR="00A03629" w:rsidRPr="0088604A">
        <w:rPr>
          <w:b/>
          <w:bCs/>
        </w:rPr>
        <w:t xml:space="preserve"> </w:t>
      </w:r>
      <w:r w:rsidRPr="0088604A">
        <w:rPr>
          <w:b/>
          <w:bCs/>
        </w:rPr>
        <w:t>Commonwealth</w:t>
      </w:r>
      <w:r w:rsidR="00A03629" w:rsidRPr="0088604A">
        <w:rPr>
          <w:b/>
          <w:bCs/>
        </w:rPr>
        <w:t xml:space="preserve"> </w:t>
      </w:r>
      <w:r w:rsidRPr="0088604A">
        <w:rPr>
          <w:b/>
          <w:bCs/>
        </w:rPr>
        <w:t>Games</w:t>
      </w:r>
      <w:r w:rsidR="00A03629" w:rsidRPr="0088604A">
        <w:rPr>
          <w:b/>
          <w:bCs/>
        </w:rPr>
        <w:t xml:space="preserve"> </w:t>
      </w:r>
      <w:r w:rsidRPr="0088604A">
        <w:rPr>
          <w:b/>
          <w:bCs/>
        </w:rPr>
        <w:t>Legacy</w:t>
      </w:r>
      <w:r w:rsidRPr="0088604A">
        <w:rPr>
          <w:b/>
          <w:bCs/>
        </w:rPr>
        <w:br/>
      </w:r>
      <w:r w:rsidRPr="0088604A">
        <w:rPr>
          <w:i/>
          <w:iCs/>
        </w:rPr>
        <w:t>The</w:t>
      </w:r>
      <w:r w:rsidR="00A03629" w:rsidRPr="0088604A">
        <w:rPr>
          <w:i/>
          <w:iCs/>
        </w:rPr>
        <w:t xml:space="preserve"> </w:t>
      </w:r>
      <w:r w:rsidRPr="0088604A">
        <w:rPr>
          <w:i/>
          <w:iCs/>
        </w:rPr>
        <w:t>Hon.</w:t>
      </w:r>
      <w:r w:rsidR="00A03629" w:rsidRPr="0088604A">
        <w:rPr>
          <w:i/>
          <w:iCs/>
        </w:rPr>
        <w:t xml:space="preserve"> </w:t>
      </w:r>
      <w:r w:rsidRPr="0088604A">
        <w:rPr>
          <w:i/>
          <w:iCs/>
        </w:rPr>
        <w:t>Shaun</w:t>
      </w:r>
      <w:r w:rsidR="00A03629" w:rsidRPr="0088604A">
        <w:rPr>
          <w:i/>
          <w:iCs/>
        </w:rPr>
        <w:t xml:space="preserve"> </w:t>
      </w:r>
      <w:r w:rsidRPr="0088604A">
        <w:rPr>
          <w:i/>
          <w:iCs/>
        </w:rPr>
        <w:t>Leane</w:t>
      </w:r>
      <w:r w:rsidRPr="0088604A">
        <w:rPr>
          <w:i/>
          <w:iCs/>
        </w:rPr>
        <w:br/>
      </w:r>
      <w:r w:rsidRPr="0088604A">
        <w:t>1</w:t>
      </w:r>
      <w:r w:rsidR="00A03629" w:rsidRPr="0088604A">
        <w:t xml:space="preserve"> </w:t>
      </w:r>
      <w:r w:rsidRPr="0088604A">
        <w:t>July</w:t>
      </w:r>
      <w:r w:rsidR="00A03629" w:rsidRPr="0088604A">
        <w:t xml:space="preserve"> </w:t>
      </w:r>
      <w:r w:rsidRPr="0088604A">
        <w:t>2022</w:t>
      </w:r>
      <w:r w:rsidR="00A03629" w:rsidRPr="0088604A">
        <w:t xml:space="preserve"> </w:t>
      </w:r>
      <w:r w:rsidRPr="0088604A">
        <w:t>to</w:t>
      </w:r>
      <w:r w:rsidR="00A03629" w:rsidRPr="0088604A">
        <w:t xml:space="preserve"> </w:t>
      </w:r>
      <w:r w:rsidRPr="0088604A">
        <w:t>4</w:t>
      </w:r>
      <w:r w:rsidR="00A03629" w:rsidRPr="0088604A">
        <w:t xml:space="preserve"> </w:t>
      </w:r>
      <w:r w:rsidRPr="0088604A">
        <w:t>December</w:t>
      </w:r>
      <w:r w:rsidR="00A03629" w:rsidRPr="0088604A">
        <w:t xml:space="preserve"> </w:t>
      </w:r>
      <w:r w:rsidRPr="0088604A">
        <w:t>2022</w:t>
      </w:r>
    </w:p>
    <w:p w14:paraId="18BE6145" w14:textId="3309AF61" w:rsidR="000756EB" w:rsidRPr="0088604A" w:rsidRDefault="004A4D88" w:rsidP="0088604A">
      <w:pPr>
        <w:pStyle w:val="Normalbeforebullets"/>
        <w:rPr>
          <w:b/>
          <w:bCs/>
        </w:rPr>
      </w:pPr>
      <w:r w:rsidRPr="0088604A">
        <w:rPr>
          <w:b/>
          <w:bCs/>
        </w:rPr>
        <w:t>5</w:t>
      </w:r>
      <w:r w:rsidR="00A03629" w:rsidRPr="0088604A">
        <w:rPr>
          <w:b/>
          <w:bCs/>
        </w:rPr>
        <w:t xml:space="preserve"> </w:t>
      </w:r>
      <w:r w:rsidRPr="0088604A">
        <w:rPr>
          <w:b/>
          <w:bCs/>
        </w:rPr>
        <w:t>December</w:t>
      </w:r>
      <w:r w:rsidR="00A03629" w:rsidRPr="0088604A">
        <w:rPr>
          <w:b/>
          <w:bCs/>
        </w:rPr>
        <w:t xml:space="preserve"> </w:t>
      </w:r>
      <w:r w:rsidRPr="0088604A">
        <w:rPr>
          <w:b/>
          <w:bCs/>
        </w:rPr>
        <w:t>2022</w:t>
      </w:r>
      <w:r w:rsidR="00A03629" w:rsidRPr="0088604A">
        <w:rPr>
          <w:b/>
          <w:bCs/>
        </w:rPr>
        <w:t xml:space="preserve"> </w:t>
      </w:r>
      <w:r w:rsidRPr="0088604A">
        <w:rPr>
          <w:b/>
          <w:bCs/>
        </w:rPr>
        <w:t>to</w:t>
      </w:r>
      <w:r w:rsidR="00A03629" w:rsidRPr="0088604A">
        <w:rPr>
          <w:b/>
          <w:bCs/>
        </w:rPr>
        <w:t xml:space="preserve"> </w:t>
      </w:r>
      <w:r w:rsidRPr="0088604A">
        <w:rPr>
          <w:b/>
          <w:bCs/>
        </w:rPr>
        <w:t>31</w:t>
      </w:r>
      <w:r w:rsidR="00A03629" w:rsidRPr="0088604A">
        <w:rPr>
          <w:b/>
          <w:bCs/>
        </w:rPr>
        <w:t xml:space="preserve"> </w:t>
      </w:r>
      <w:r w:rsidRPr="0088604A">
        <w:rPr>
          <w:b/>
          <w:bCs/>
        </w:rPr>
        <w:t>December</w:t>
      </w:r>
      <w:r w:rsidR="00A03629" w:rsidRPr="0088604A">
        <w:rPr>
          <w:b/>
          <w:bCs/>
        </w:rPr>
        <w:t xml:space="preserve"> </w:t>
      </w:r>
      <w:r w:rsidRPr="0088604A">
        <w:rPr>
          <w:b/>
          <w:bCs/>
        </w:rPr>
        <w:t>2022</w:t>
      </w:r>
    </w:p>
    <w:p w14:paraId="5AA645D1" w14:textId="73545D3D" w:rsidR="000756EB" w:rsidRPr="0088604A" w:rsidRDefault="004A4D88" w:rsidP="0088604A">
      <w:r w:rsidRPr="0088604A">
        <w:rPr>
          <w:b/>
          <w:bCs/>
        </w:rPr>
        <w:t>Minister</w:t>
      </w:r>
      <w:r w:rsidR="00A03629" w:rsidRPr="0088604A">
        <w:rPr>
          <w:b/>
          <w:bCs/>
        </w:rPr>
        <w:t xml:space="preserve"> </w:t>
      </w:r>
      <w:r w:rsidRPr="0088604A">
        <w:rPr>
          <w:b/>
          <w:bCs/>
        </w:rPr>
        <w:t>for</w:t>
      </w:r>
      <w:r w:rsidR="00A03629" w:rsidRPr="0088604A">
        <w:rPr>
          <w:b/>
          <w:bCs/>
        </w:rPr>
        <w:t xml:space="preserve"> </w:t>
      </w:r>
      <w:r w:rsidRPr="0088604A">
        <w:rPr>
          <w:b/>
          <w:bCs/>
        </w:rPr>
        <w:t>Industry</w:t>
      </w:r>
      <w:r w:rsidR="00A03629" w:rsidRPr="0088604A">
        <w:rPr>
          <w:b/>
          <w:bCs/>
        </w:rPr>
        <w:t xml:space="preserve"> </w:t>
      </w:r>
      <w:r w:rsidRPr="0088604A">
        <w:rPr>
          <w:b/>
          <w:bCs/>
        </w:rPr>
        <w:t>and</w:t>
      </w:r>
      <w:r w:rsidR="00A03629" w:rsidRPr="0088604A">
        <w:rPr>
          <w:b/>
          <w:bCs/>
        </w:rPr>
        <w:t xml:space="preserve"> </w:t>
      </w:r>
      <w:r w:rsidRPr="0088604A">
        <w:rPr>
          <w:b/>
          <w:bCs/>
        </w:rPr>
        <w:t>Innovation</w:t>
      </w:r>
      <w:r w:rsidRPr="0088604A">
        <w:rPr>
          <w:b/>
          <w:bCs/>
        </w:rPr>
        <w:br/>
        <w:t>Minister</w:t>
      </w:r>
      <w:r w:rsidR="00A03629" w:rsidRPr="0088604A">
        <w:rPr>
          <w:b/>
          <w:bCs/>
        </w:rPr>
        <w:t xml:space="preserve"> </w:t>
      </w:r>
      <w:r w:rsidRPr="0088604A">
        <w:rPr>
          <w:b/>
          <w:bCs/>
        </w:rPr>
        <w:t>for</w:t>
      </w:r>
      <w:r w:rsidR="00A03629" w:rsidRPr="0088604A">
        <w:rPr>
          <w:b/>
          <w:bCs/>
        </w:rPr>
        <w:t xml:space="preserve"> </w:t>
      </w:r>
      <w:r w:rsidRPr="0088604A">
        <w:rPr>
          <w:b/>
          <w:bCs/>
        </w:rPr>
        <w:t>Manufacturing</w:t>
      </w:r>
      <w:r w:rsidR="00A03629" w:rsidRPr="0088604A">
        <w:rPr>
          <w:b/>
          <w:bCs/>
        </w:rPr>
        <w:t xml:space="preserve"> </w:t>
      </w:r>
      <w:r w:rsidRPr="0088604A">
        <w:rPr>
          <w:b/>
          <w:bCs/>
        </w:rPr>
        <w:t>Sovereignty</w:t>
      </w:r>
      <w:r w:rsidRPr="0088604A">
        <w:rPr>
          <w:b/>
          <w:bCs/>
        </w:rPr>
        <w:br/>
      </w:r>
      <w:r w:rsidRPr="0088604A">
        <w:rPr>
          <w:i/>
          <w:iCs/>
        </w:rPr>
        <w:t>The</w:t>
      </w:r>
      <w:r w:rsidR="00A03629" w:rsidRPr="0088604A">
        <w:rPr>
          <w:i/>
          <w:iCs/>
        </w:rPr>
        <w:t xml:space="preserve"> </w:t>
      </w:r>
      <w:r w:rsidRPr="0088604A">
        <w:rPr>
          <w:i/>
          <w:iCs/>
        </w:rPr>
        <w:t>Hon.</w:t>
      </w:r>
      <w:r w:rsidR="00A03629" w:rsidRPr="0088604A">
        <w:rPr>
          <w:i/>
          <w:iCs/>
        </w:rPr>
        <w:t xml:space="preserve"> </w:t>
      </w:r>
      <w:r w:rsidRPr="0088604A">
        <w:rPr>
          <w:i/>
          <w:iCs/>
        </w:rPr>
        <w:t>Ben</w:t>
      </w:r>
      <w:r w:rsidR="00A03629" w:rsidRPr="0088604A">
        <w:rPr>
          <w:i/>
          <w:iCs/>
        </w:rPr>
        <w:t xml:space="preserve"> </w:t>
      </w:r>
      <w:r w:rsidRPr="0088604A">
        <w:rPr>
          <w:i/>
          <w:iCs/>
        </w:rPr>
        <w:t>Carroll</w:t>
      </w:r>
      <w:r w:rsidRPr="0088604A">
        <w:rPr>
          <w:i/>
          <w:iCs/>
        </w:rPr>
        <w:br/>
      </w:r>
      <w:r w:rsidRPr="0088604A">
        <w:t>5</w:t>
      </w:r>
      <w:r w:rsidR="00A03629" w:rsidRPr="0088604A">
        <w:t xml:space="preserve"> </w:t>
      </w:r>
      <w:r w:rsidRPr="0088604A">
        <w:t>December</w:t>
      </w:r>
      <w:r w:rsidR="00A03629" w:rsidRPr="0088604A">
        <w:t xml:space="preserve"> </w:t>
      </w:r>
      <w:r w:rsidRPr="0088604A">
        <w:t>2022</w:t>
      </w:r>
      <w:r w:rsidR="00A03629" w:rsidRPr="0088604A">
        <w:t xml:space="preserve"> </w:t>
      </w:r>
      <w:r w:rsidRPr="0088604A">
        <w:t>to</w:t>
      </w:r>
      <w:r w:rsidR="00A03629" w:rsidRPr="0088604A">
        <w:t xml:space="preserve"> </w:t>
      </w:r>
      <w:r w:rsidRPr="0088604A">
        <w:t>31</w:t>
      </w:r>
      <w:r w:rsidR="00A03629" w:rsidRPr="0088604A">
        <w:t xml:space="preserve"> </w:t>
      </w:r>
      <w:r w:rsidRPr="0088604A">
        <w:t>December</w:t>
      </w:r>
      <w:r w:rsidR="00A03629" w:rsidRPr="0088604A">
        <w:t xml:space="preserve"> </w:t>
      </w:r>
      <w:r w:rsidRPr="0088604A">
        <w:t>2022</w:t>
      </w:r>
    </w:p>
    <w:p w14:paraId="37D15425" w14:textId="4EEC58AF" w:rsidR="000756EB" w:rsidRPr="0088604A" w:rsidRDefault="004A4D88" w:rsidP="0088604A">
      <w:r w:rsidRPr="0088604A">
        <w:rPr>
          <w:b/>
          <w:bCs/>
        </w:rPr>
        <w:t>Minister</w:t>
      </w:r>
      <w:r w:rsidR="00A03629" w:rsidRPr="0088604A">
        <w:rPr>
          <w:b/>
          <w:bCs/>
        </w:rPr>
        <w:t xml:space="preserve"> </w:t>
      </w:r>
      <w:r w:rsidRPr="0088604A">
        <w:rPr>
          <w:b/>
          <w:bCs/>
        </w:rPr>
        <w:t>for</w:t>
      </w:r>
      <w:r w:rsidR="00A03629" w:rsidRPr="0088604A">
        <w:rPr>
          <w:b/>
          <w:bCs/>
        </w:rPr>
        <w:t xml:space="preserve"> </w:t>
      </w:r>
      <w:r w:rsidRPr="0088604A">
        <w:rPr>
          <w:b/>
          <w:bCs/>
        </w:rPr>
        <w:t>Training</w:t>
      </w:r>
      <w:r w:rsidR="00A03629" w:rsidRPr="0088604A">
        <w:rPr>
          <w:b/>
          <w:bCs/>
        </w:rPr>
        <w:t xml:space="preserve"> </w:t>
      </w:r>
      <w:r w:rsidRPr="0088604A">
        <w:rPr>
          <w:b/>
          <w:bCs/>
        </w:rPr>
        <w:t>and</w:t>
      </w:r>
      <w:r w:rsidR="00A03629" w:rsidRPr="0088604A">
        <w:rPr>
          <w:b/>
          <w:bCs/>
        </w:rPr>
        <w:t xml:space="preserve"> </w:t>
      </w:r>
      <w:r w:rsidRPr="0088604A">
        <w:rPr>
          <w:b/>
          <w:bCs/>
        </w:rPr>
        <w:t>Skills</w:t>
      </w:r>
      <w:r w:rsidRPr="0088604A">
        <w:rPr>
          <w:b/>
          <w:bCs/>
        </w:rPr>
        <w:br/>
        <w:t>Minister</w:t>
      </w:r>
      <w:r w:rsidR="00A03629" w:rsidRPr="0088604A">
        <w:rPr>
          <w:b/>
          <w:bCs/>
        </w:rPr>
        <w:t xml:space="preserve"> </w:t>
      </w:r>
      <w:r w:rsidRPr="0088604A">
        <w:rPr>
          <w:b/>
          <w:bCs/>
        </w:rPr>
        <w:t>for</w:t>
      </w:r>
      <w:r w:rsidR="00A03629" w:rsidRPr="0088604A">
        <w:rPr>
          <w:b/>
          <w:bCs/>
        </w:rPr>
        <w:t xml:space="preserve"> </w:t>
      </w:r>
      <w:r w:rsidRPr="0088604A">
        <w:rPr>
          <w:b/>
          <w:bCs/>
        </w:rPr>
        <w:t>Higher</w:t>
      </w:r>
      <w:r w:rsidR="00A03629" w:rsidRPr="0088604A">
        <w:rPr>
          <w:b/>
          <w:bCs/>
        </w:rPr>
        <w:t xml:space="preserve"> </w:t>
      </w:r>
      <w:r w:rsidRPr="0088604A">
        <w:rPr>
          <w:b/>
          <w:bCs/>
        </w:rPr>
        <w:t>Education</w:t>
      </w:r>
      <w:r w:rsidRPr="0088604A">
        <w:rPr>
          <w:b/>
          <w:bCs/>
        </w:rPr>
        <w:br/>
        <w:t>Minister</w:t>
      </w:r>
      <w:r w:rsidR="00A03629" w:rsidRPr="0088604A">
        <w:rPr>
          <w:b/>
          <w:bCs/>
        </w:rPr>
        <w:t xml:space="preserve"> </w:t>
      </w:r>
      <w:r w:rsidRPr="0088604A">
        <w:rPr>
          <w:b/>
          <w:bCs/>
        </w:rPr>
        <w:t>for</w:t>
      </w:r>
      <w:r w:rsidR="00A03629" w:rsidRPr="0088604A">
        <w:rPr>
          <w:b/>
          <w:bCs/>
        </w:rPr>
        <w:t xml:space="preserve"> </w:t>
      </w:r>
      <w:r w:rsidRPr="0088604A">
        <w:rPr>
          <w:b/>
          <w:bCs/>
        </w:rPr>
        <w:t>Agriculture</w:t>
      </w:r>
      <w:r w:rsidRPr="0088604A">
        <w:rPr>
          <w:b/>
          <w:bCs/>
        </w:rPr>
        <w:br/>
      </w:r>
      <w:r w:rsidRPr="0088604A">
        <w:rPr>
          <w:i/>
          <w:iCs/>
        </w:rPr>
        <w:t>The</w:t>
      </w:r>
      <w:r w:rsidR="00A03629" w:rsidRPr="0088604A">
        <w:rPr>
          <w:i/>
          <w:iCs/>
        </w:rPr>
        <w:t xml:space="preserve"> </w:t>
      </w:r>
      <w:r w:rsidRPr="0088604A">
        <w:rPr>
          <w:i/>
          <w:iCs/>
        </w:rPr>
        <w:t>Hon.</w:t>
      </w:r>
      <w:r w:rsidR="00A03629" w:rsidRPr="0088604A">
        <w:rPr>
          <w:i/>
          <w:iCs/>
        </w:rPr>
        <w:t xml:space="preserve"> </w:t>
      </w:r>
      <w:r w:rsidRPr="0088604A">
        <w:rPr>
          <w:i/>
          <w:iCs/>
        </w:rPr>
        <w:t>Gayle</w:t>
      </w:r>
      <w:r w:rsidR="00A03629" w:rsidRPr="0088604A">
        <w:rPr>
          <w:i/>
          <w:iCs/>
        </w:rPr>
        <w:t xml:space="preserve"> </w:t>
      </w:r>
      <w:r w:rsidRPr="0088604A">
        <w:rPr>
          <w:i/>
          <w:iCs/>
        </w:rPr>
        <w:t>Tierney</w:t>
      </w:r>
      <w:r w:rsidRPr="0088604A">
        <w:rPr>
          <w:i/>
          <w:iCs/>
        </w:rPr>
        <w:br/>
      </w:r>
      <w:r w:rsidRPr="0088604A">
        <w:t>5</w:t>
      </w:r>
      <w:r w:rsidR="00A03629" w:rsidRPr="0088604A">
        <w:t xml:space="preserve"> </w:t>
      </w:r>
      <w:r w:rsidRPr="0088604A">
        <w:t>December</w:t>
      </w:r>
      <w:r w:rsidR="00A03629" w:rsidRPr="0088604A">
        <w:t xml:space="preserve"> </w:t>
      </w:r>
      <w:r w:rsidRPr="0088604A">
        <w:t>2022</w:t>
      </w:r>
      <w:r w:rsidR="00A03629" w:rsidRPr="0088604A">
        <w:t xml:space="preserve"> </w:t>
      </w:r>
      <w:r w:rsidRPr="0088604A">
        <w:t>to</w:t>
      </w:r>
      <w:r w:rsidR="00A03629" w:rsidRPr="0088604A">
        <w:t xml:space="preserve"> </w:t>
      </w:r>
      <w:r w:rsidRPr="0088604A">
        <w:t>31</w:t>
      </w:r>
      <w:r w:rsidR="00A03629" w:rsidRPr="0088604A">
        <w:t xml:space="preserve"> </w:t>
      </w:r>
      <w:r w:rsidRPr="0088604A">
        <w:t>December</w:t>
      </w:r>
      <w:r w:rsidR="00A03629" w:rsidRPr="0088604A">
        <w:t xml:space="preserve"> </w:t>
      </w:r>
      <w:r w:rsidRPr="0088604A">
        <w:t>2022</w:t>
      </w:r>
    </w:p>
    <w:p w14:paraId="7495D486" w14:textId="098DFF32" w:rsidR="000756EB" w:rsidRDefault="004A4D88" w:rsidP="0088604A">
      <w:r w:rsidRPr="0088604A">
        <w:rPr>
          <w:b/>
          <w:bCs/>
        </w:rPr>
        <w:t>Minister</w:t>
      </w:r>
      <w:r w:rsidR="00A03629" w:rsidRPr="0088604A">
        <w:rPr>
          <w:b/>
          <w:bCs/>
        </w:rPr>
        <w:t xml:space="preserve"> </w:t>
      </w:r>
      <w:r w:rsidRPr="0088604A">
        <w:rPr>
          <w:b/>
          <w:bCs/>
        </w:rPr>
        <w:t>for</w:t>
      </w:r>
      <w:r w:rsidR="00A03629" w:rsidRPr="0088604A">
        <w:rPr>
          <w:b/>
          <w:bCs/>
        </w:rPr>
        <w:t xml:space="preserve"> </w:t>
      </w:r>
      <w:r w:rsidRPr="0088604A">
        <w:rPr>
          <w:b/>
          <w:bCs/>
        </w:rPr>
        <w:t>Trade</w:t>
      </w:r>
      <w:r w:rsidR="00A03629" w:rsidRPr="0088604A">
        <w:rPr>
          <w:b/>
          <w:bCs/>
        </w:rPr>
        <w:t xml:space="preserve"> </w:t>
      </w:r>
      <w:r w:rsidRPr="0088604A">
        <w:rPr>
          <w:b/>
          <w:bCs/>
        </w:rPr>
        <w:t>and</w:t>
      </w:r>
      <w:r w:rsidR="00A03629" w:rsidRPr="0088604A">
        <w:rPr>
          <w:b/>
          <w:bCs/>
        </w:rPr>
        <w:t xml:space="preserve"> </w:t>
      </w:r>
      <w:r w:rsidRPr="0088604A">
        <w:rPr>
          <w:b/>
          <w:bCs/>
        </w:rPr>
        <w:t>Investment</w:t>
      </w:r>
      <w:r w:rsidRPr="0088604A">
        <w:rPr>
          <w:b/>
          <w:bCs/>
        </w:rPr>
        <w:br/>
      </w:r>
      <w:r w:rsidRPr="0088604A">
        <w:rPr>
          <w:i/>
          <w:iCs/>
        </w:rPr>
        <w:t>Mr</w:t>
      </w:r>
      <w:r w:rsidR="00A03629" w:rsidRPr="0088604A">
        <w:rPr>
          <w:i/>
          <w:iCs/>
        </w:rPr>
        <w:t xml:space="preserve"> </w:t>
      </w:r>
      <w:r w:rsidRPr="0088604A">
        <w:rPr>
          <w:i/>
          <w:iCs/>
        </w:rPr>
        <w:t>Tim</w:t>
      </w:r>
      <w:r w:rsidR="00A03629" w:rsidRPr="0088604A">
        <w:rPr>
          <w:i/>
          <w:iCs/>
        </w:rPr>
        <w:t xml:space="preserve"> </w:t>
      </w:r>
      <w:r w:rsidRPr="0088604A">
        <w:rPr>
          <w:i/>
          <w:iCs/>
        </w:rPr>
        <w:t>Pallas</w:t>
      </w:r>
      <w:r w:rsidRPr="0088604A">
        <w:rPr>
          <w:i/>
          <w:iCs/>
        </w:rPr>
        <w:br/>
      </w:r>
      <w:r>
        <w:t>5</w:t>
      </w:r>
      <w:r w:rsidR="00A03629">
        <w:t xml:space="preserve"> </w:t>
      </w:r>
      <w:r>
        <w:t>December</w:t>
      </w:r>
      <w:r w:rsidR="00A03629">
        <w:t xml:space="preserve"> </w:t>
      </w:r>
      <w:r>
        <w:t>2022</w:t>
      </w:r>
      <w:r w:rsidR="00A03629">
        <w:t xml:space="preserve"> </w:t>
      </w:r>
      <w:r>
        <w:t>to</w:t>
      </w:r>
      <w:r w:rsidR="00A03629">
        <w:t xml:space="preserve"> </w:t>
      </w:r>
      <w:r>
        <w:t>31</w:t>
      </w:r>
      <w:r w:rsidR="00A03629">
        <w:t xml:space="preserve"> </w:t>
      </w:r>
      <w:r>
        <w:t>December</w:t>
      </w:r>
      <w:r w:rsidR="00A03629">
        <w:t xml:space="preserve"> </w:t>
      </w:r>
      <w:r>
        <w:t>2022</w:t>
      </w:r>
    </w:p>
    <w:p w14:paraId="330704A7" w14:textId="5BAD5B6E" w:rsidR="000756EB" w:rsidRPr="0088604A" w:rsidRDefault="004A4D88" w:rsidP="0088604A">
      <w:r w:rsidRPr="0088604A">
        <w:rPr>
          <w:b/>
          <w:bCs/>
        </w:rPr>
        <w:lastRenderedPageBreak/>
        <w:t>Minister</w:t>
      </w:r>
      <w:r w:rsidR="00A03629" w:rsidRPr="0088604A">
        <w:rPr>
          <w:b/>
          <w:bCs/>
        </w:rPr>
        <w:t xml:space="preserve"> </w:t>
      </w:r>
      <w:r w:rsidRPr="0088604A">
        <w:rPr>
          <w:b/>
          <w:bCs/>
        </w:rPr>
        <w:t>for</w:t>
      </w:r>
      <w:r w:rsidR="00A03629" w:rsidRPr="0088604A">
        <w:rPr>
          <w:b/>
          <w:bCs/>
        </w:rPr>
        <w:t xml:space="preserve"> </w:t>
      </w:r>
      <w:r w:rsidRPr="0088604A">
        <w:rPr>
          <w:b/>
          <w:bCs/>
        </w:rPr>
        <w:t>Tourism,</w:t>
      </w:r>
      <w:r w:rsidR="00A03629" w:rsidRPr="0088604A">
        <w:rPr>
          <w:b/>
          <w:bCs/>
        </w:rPr>
        <w:t xml:space="preserve"> </w:t>
      </w:r>
      <w:r w:rsidRPr="0088604A">
        <w:rPr>
          <w:b/>
          <w:bCs/>
        </w:rPr>
        <w:t>Sport</w:t>
      </w:r>
      <w:r w:rsidR="00A03629" w:rsidRPr="0088604A">
        <w:rPr>
          <w:b/>
          <w:bCs/>
        </w:rPr>
        <w:t xml:space="preserve"> </w:t>
      </w:r>
      <w:r w:rsidRPr="0088604A">
        <w:rPr>
          <w:b/>
          <w:bCs/>
        </w:rPr>
        <w:t>and</w:t>
      </w:r>
      <w:r w:rsidR="00A03629" w:rsidRPr="0088604A">
        <w:rPr>
          <w:b/>
          <w:bCs/>
        </w:rPr>
        <w:t xml:space="preserve"> </w:t>
      </w:r>
      <w:r w:rsidRPr="0088604A">
        <w:rPr>
          <w:b/>
          <w:bCs/>
        </w:rPr>
        <w:t>Major</w:t>
      </w:r>
      <w:r w:rsidR="00A03629" w:rsidRPr="0088604A">
        <w:rPr>
          <w:b/>
          <w:bCs/>
        </w:rPr>
        <w:t xml:space="preserve"> </w:t>
      </w:r>
      <w:r w:rsidRPr="0088604A">
        <w:rPr>
          <w:b/>
          <w:bCs/>
        </w:rPr>
        <w:t>Events</w:t>
      </w:r>
      <w:r w:rsidRPr="0088604A">
        <w:rPr>
          <w:b/>
          <w:bCs/>
        </w:rPr>
        <w:br/>
        <w:t>Minister</w:t>
      </w:r>
      <w:r w:rsidR="00A03629" w:rsidRPr="0088604A">
        <w:rPr>
          <w:b/>
          <w:bCs/>
        </w:rPr>
        <w:t xml:space="preserve"> </w:t>
      </w:r>
      <w:r w:rsidRPr="0088604A">
        <w:rPr>
          <w:b/>
          <w:bCs/>
        </w:rPr>
        <w:t>for</w:t>
      </w:r>
      <w:r w:rsidR="00A03629" w:rsidRPr="0088604A">
        <w:rPr>
          <w:b/>
          <w:bCs/>
        </w:rPr>
        <w:t xml:space="preserve"> </w:t>
      </w:r>
      <w:r w:rsidRPr="0088604A">
        <w:rPr>
          <w:b/>
          <w:bCs/>
        </w:rPr>
        <w:t>Creative</w:t>
      </w:r>
      <w:r w:rsidR="00A03629" w:rsidRPr="0088604A">
        <w:rPr>
          <w:b/>
          <w:bCs/>
        </w:rPr>
        <w:t xml:space="preserve"> </w:t>
      </w:r>
      <w:r w:rsidRPr="0088604A">
        <w:rPr>
          <w:b/>
          <w:bCs/>
        </w:rPr>
        <w:t>Industries</w:t>
      </w:r>
      <w:r w:rsidRPr="0088604A">
        <w:rPr>
          <w:b/>
          <w:bCs/>
        </w:rPr>
        <w:br/>
      </w:r>
      <w:r w:rsidRPr="0088604A">
        <w:rPr>
          <w:i/>
          <w:iCs/>
        </w:rPr>
        <w:t>Mr</w:t>
      </w:r>
      <w:r w:rsidR="00A03629" w:rsidRPr="0088604A">
        <w:rPr>
          <w:i/>
          <w:iCs/>
        </w:rPr>
        <w:t xml:space="preserve"> </w:t>
      </w:r>
      <w:r w:rsidRPr="0088604A">
        <w:rPr>
          <w:i/>
          <w:iCs/>
        </w:rPr>
        <w:t>Steve</w:t>
      </w:r>
      <w:r w:rsidR="00A03629" w:rsidRPr="0088604A">
        <w:rPr>
          <w:i/>
          <w:iCs/>
        </w:rPr>
        <w:t xml:space="preserve"> </w:t>
      </w:r>
      <w:r w:rsidRPr="0088604A">
        <w:rPr>
          <w:i/>
          <w:iCs/>
        </w:rPr>
        <w:t>Dimopoulos</w:t>
      </w:r>
      <w:r w:rsidRPr="0088604A">
        <w:rPr>
          <w:i/>
          <w:iCs/>
        </w:rPr>
        <w:br/>
      </w:r>
      <w:r w:rsidRPr="0088604A">
        <w:t>5</w:t>
      </w:r>
      <w:r w:rsidR="00A03629" w:rsidRPr="0088604A">
        <w:t xml:space="preserve"> </w:t>
      </w:r>
      <w:r w:rsidRPr="0088604A">
        <w:t>December</w:t>
      </w:r>
      <w:r w:rsidR="00A03629" w:rsidRPr="0088604A">
        <w:t xml:space="preserve"> </w:t>
      </w:r>
      <w:r w:rsidRPr="0088604A">
        <w:t>2022</w:t>
      </w:r>
      <w:r w:rsidR="00A03629" w:rsidRPr="0088604A">
        <w:t xml:space="preserve"> </w:t>
      </w:r>
      <w:r w:rsidRPr="0088604A">
        <w:t>to</w:t>
      </w:r>
      <w:r w:rsidR="00A03629" w:rsidRPr="0088604A">
        <w:t xml:space="preserve"> </w:t>
      </w:r>
      <w:r w:rsidRPr="0088604A">
        <w:t>31</w:t>
      </w:r>
      <w:r w:rsidR="00A03629" w:rsidRPr="0088604A">
        <w:t xml:space="preserve"> </w:t>
      </w:r>
      <w:r w:rsidRPr="0088604A">
        <w:t>December</w:t>
      </w:r>
      <w:r w:rsidR="00A03629" w:rsidRPr="0088604A">
        <w:t xml:space="preserve"> </w:t>
      </w:r>
      <w:r w:rsidRPr="0088604A">
        <w:t>2022</w:t>
      </w:r>
    </w:p>
    <w:p w14:paraId="2F4A4AC5" w14:textId="279FF8C4" w:rsidR="000756EB" w:rsidRPr="0088604A" w:rsidRDefault="004A4D88" w:rsidP="0088604A">
      <w:r w:rsidRPr="0088604A">
        <w:rPr>
          <w:b/>
          <w:bCs/>
        </w:rPr>
        <w:t>Minister</w:t>
      </w:r>
      <w:r w:rsidR="00A03629" w:rsidRPr="0088604A">
        <w:rPr>
          <w:b/>
          <w:bCs/>
        </w:rPr>
        <w:t xml:space="preserve"> </w:t>
      </w:r>
      <w:r w:rsidRPr="0088604A">
        <w:rPr>
          <w:b/>
          <w:bCs/>
        </w:rPr>
        <w:t>for</w:t>
      </w:r>
      <w:r w:rsidR="00A03629" w:rsidRPr="0088604A">
        <w:rPr>
          <w:b/>
          <w:bCs/>
        </w:rPr>
        <w:t xml:space="preserve"> </w:t>
      </w:r>
      <w:r w:rsidRPr="0088604A">
        <w:rPr>
          <w:b/>
          <w:bCs/>
        </w:rPr>
        <w:t>Suburban</w:t>
      </w:r>
      <w:r w:rsidR="00A03629" w:rsidRPr="0088604A">
        <w:rPr>
          <w:b/>
          <w:bCs/>
        </w:rPr>
        <w:t xml:space="preserve"> </w:t>
      </w:r>
      <w:r w:rsidRPr="0088604A">
        <w:rPr>
          <w:b/>
          <w:bCs/>
        </w:rPr>
        <w:t>Development</w:t>
      </w:r>
      <w:r w:rsidRPr="0088604A">
        <w:rPr>
          <w:b/>
          <w:bCs/>
        </w:rPr>
        <w:br/>
        <w:t>Minister</w:t>
      </w:r>
      <w:r w:rsidR="00A03629" w:rsidRPr="0088604A">
        <w:rPr>
          <w:b/>
          <w:bCs/>
        </w:rPr>
        <w:t xml:space="preserve"> </w:t>
      </w:r>
      <w:r w:rsidRPr="0088604A">
        <w:rPr>
          <w:b/>
          <w:bCs/>
        </w:rPr>
        <w:t>for</w:t>
      </w:r>
      <w:r w:rsidR="00A03629" w:rsidRPr="0088604A">
        <w:rPr>
          <w:b/>
          <w:bCs/>
        </w:rPr>
        <w:t xml:space="preserve"> </w:t>
      </w:r>
      <w:r w:rsidRPr="0088604A">
        <w:rPr>
          <w:b/>
          <w:bCs/>
        </w:rPr>
        <w:t>Community</w:t>
      </w:r>
      <w:r w:rsidR="00A03629" w:rsidRPr="0088604A">
        <w:rPr>
          <w:b/>
          <w:bCs/>
        </w:rPr>
        <w:t xml:space="preserve"> </w:t>
      </w:r>
      <w:r w:rsidRPr="0088604A">
        <w:rPr>
          <w:b/>
          <w:bCs/>
        </w:rPr>
        <w:t>Sport</w:t>
      </w:r>
      <w:r w:rsidRPr="0088604A">
        <w:rPr>
          <w:b/>
          <w:bCs/>
        </w:rPr>
        <w:br/>
      </w:r>
      <w:r w:rsidRPr="0088604A">
        <w:rPr>
          <w:i/>
          <w:iCs/>
        </w:rPr>
        <w:t>The</w:t>
      </w:r>
      <w:r w:rsidR="00A03629" w:rsidRPr="0088604A">
        <w:rPr>
          <w:i/>
          <w:iCs/>
        </w:rPr>
        <w:t xml:space="preserve"> </w:t>
      </w:r>
      <w:r w:rsidRPr="0088604A">
        <w:rPr>
          <w:i/>
          <w:iCs/>
        </w:rPr>
        <w:t>Hon.</w:t>
      </w:r>
      <w:r w:rsidR="00A03629" w:rsidRPr="0088604A">
        <w:rPr>
          <w:i/>
          <w:iCs/>
        </w:rPr>
        <w:t xml:space="preserve"> </w:t>
      </w:r>
      <w:r w:rsidRPr="0088604A">
        <w:rPr>
          <w:i/>
          <w:iCs/>
        </w:rPr>
        <w:t>Ros</w:t>
      </w:r>
      <w:r w:rsidR="00A03629" w:rsidRPr="0088604A">
        <w:rPr>
          <w:i/>
          <w:iCs/>
        </w:rPr>
        <w:t xml:space="preserve"> </w:t>
      </w:r>
      <w:r w:rsidRPr="0088604A">
        <w:rPr>
          <w:i/>
          <w:iCs/>
        </w:rPr>
        <w:t>Spence</w:t>
      </w:r>
      <w:r w:rsidRPr="0088604A">
        <w:rPr>
          <w:i/>
          <w:iCs/>
        </w:rPr>
        <w:br/>
      </w:r>
      <w:r w:rsidRPr="0088604A">
        <w:t>5</w:t>
      </w:r>
      <w:r w:rsidR="00A03629" w:rsidRPr="0088604A">
        <w:t xml:space="preserve"> </w:t>
      </w:r>
      <w:r w:rsidRPr="0088604A">
        <w:t>December</w:t>
      </w:r>
      <w:r w:rsidR="00A03629" w:rsidRPr="0088604A">
        <w:t xml:space="preserve"> </w:t>
      </w:r>
      <w:r w:rsidRPr="0088604A">
        <w:t>2022</w:t>
      </w:r>
      <w:r w:rsidR="00A03629" w:rsidRPr="0088604A">
        <w:t xml:space="preserve"> </w:t>
      </w:r>
      <w:r w:rsidRPr="0088604A">
        <w:t>to</w:t>
      </w:r>
      <w:r w:rsidR="00A03629" w:rsidRPr="0088604A">
        <w:t xml:space="preserve"> </w:t>
      </w:r>
      <w:r w:rsidRPr="0088604A">
        <w:t>31</w:t>
      </w:r>
      <w:r w:rsidR="00A03629" w:rsidRPr="0088604A">
        <w:t xml:space="preserve"> </w:t>
      </w:r>
      <w:r w:rsidRPr="0088604A">
        <w:t>December</w:t>
      </w:r>
      <w:r w:rsidR="00A03629" w:rsidRPr="0088604A">
        <w:t xml:space="preserve"> </w:t>
      </w:r>
      <w:r w:rsidRPr="0088604A">
        <w:t>2022</w:t>
      </w:r>
    </w:p>
    <w:p w14:paraId="502321B6" w14:textId="21C25C04" w:rsidR="000756EB" w:rsidRPr="0088604A" w:rsidRDefault="004A4D88" w:rsidP="0088604A">
      <w:r w:rsidRPr="0088604A">
        <w:rPr>
          <w:b/>
          <w:bCs/>
        </w:rPr>
        <w:t>Minister</w:t>
      </w:r>
      <w:r w:rsidR="00A03629" w:rsidRPr="0088604A">
        <w:rPr>
          <w:b/>
          <w:bCs/>
        </w:rPr>
        <w:t xml:space="preserve"> </w:t>
      </w:r>
      <w:r w:rsidRPr="0088604A">
        <w:rPr>
          <w:b/>
          <w:bCs/>
        </w:rPr>
        <w:t>for</w:t>
      </w:r>
      <w:r w:rsidR="00A03629" w:rsidRPr="0088604A">
        <w:rPr>
          <w:b/>
          <w:bCs/>
        </w:rPr>
        <w:t xml:space="preserve"> </w:t>
      </w:r>
      <w:r w:rsidRPr="0088604A">
        <w:rPr>
          <w:b/>
          <w:bCs/>
        </w:rPr>
        <w:t>Commonwealth</w:t>
      </w:r>
      <w:r w:rsidR="00A03629" w:rsidRPr="0088604A">
        <w:rPr>
          <w:b/>
          <w:bCs/>
        </w:rPr>
        <w:t xml:space="preserve"> </w:t>
      </w:r>
      <w:r w:rsidRPr="0088604A">
        <w:rPr>
          <w:b/>
          <w:bCs/>
        </w:rPr>
        <w:t>Games</w:t>
      </w:r>
      <w:r w:rsidR="00A03629" w:rsidRPr="0088604A">
        <w:rPr>
          <w:b/>
          <w:bCs/>
        </w:rPr>
        <w:t xml:space="preserve"> </w:t>
      </w:r>
      <w:r w:rsidRPr="0088604A">
        <w:rPr>
          <w:b/>
          <w:bCs/>
        </w:rPr>
        <w:t>Delivery</w:t>
      </w:r>
      <w:r w:rsidRPr="0088604A">
        <w:rPr>
          <w:b/>
          <w:bCs/>
        </w:rPr>
        <w:br/>
      </w:r>
      <w:r w:rsidRPr="0088604A">
        <w:rPr>
          <w:i/>
          <w:iCs/>
        </w:rPr>
        <w:t>The</w:t>
      </w:r>
      <w:r w:rsidR="00A03629" w:rsidRPr="0088604A">
        <w:rPr>
          <w:i/>
          <w:iCs/>
        </w:rPr>
        <w:t xml:space="preserve"> </w:t>
      </w:r>
      <w:r w:rsidRPr="0088604A">
        <w:rPr>
          <w:i/>
          <w:iCs/>
        </w:rPr>
        <w:t>Hon.</w:t>
      </w:r>
      <w:r w:rsidR="00A03629" w:rsidRPr="0088604A">
        <w:rPr>
          <w:i/>
          <w:iCs/>
        </w:rPr>
        <w:t xml:space="preserve"> </w:t>
      </w:r>
      <w:r w:rsidRPr="0088604A">
        <w:rPr>
          <w:i/>
          <w:iCs/>
        </w:rPr>
        <w:t>Jacinta</w:t>
      </w:r>
      <w:r w:rsidR="00A03629" w:rsidRPr="0088604A">
        <w:rPr>
          <w:i/>
          <w:iCs/>
        </w:rPr>
        <w:t xml:space="preserve"> </w:t>
      </w:r>
      <w:r w:rsidRPr="0088604A">
        <w:rPr>
          <w:i/>
          <w:iCs/>
        </w:rPr>
        <w:t>Allan</w:t>
      </w:r>
      <w:r w:rsidRPr="0088604A">
        <w:rPr>
          <w:i/>
          <w:iCs/>
        </w:rPr>
        <w:br/>
      </w:r>
      <w:r w:rsidRPr="0088604A">
        <w:t>5</w:t>
      </w:r>
      <w:r w:rsidR="00A03629" w:rsidRPr="0088604A">
        <w:t xml:space="preserve"> </w:t>
      </w:r>
      <w:r w:rsidRPr="0088604A">
        <w:t>December</w:t>
      </w:r>
      <w:r w:rsidR="00A03629" w:rsidRPr="0088604A">
        <w:t xml:space="preserve"> </w:t>
      </w:r>
      <w:r w:rsidRPr="0088604A">
        <w:t>2022</w:t>
      </w:r>
      <w:r w:rsidR="00A03629" w:rsidRPr="0088604A">
        <w:t xml:space="preserve"> </w:t>
      </w:r>
      <w:r w:rsidRPr="0088604A">
        <w:t>to</w:t>
      </w:r>
      <w:r w:rsidR="00A03629" w:rsidRPr="0088604A">
        <w:t xml:space="preserve"> </w:t>
      </w:r>
      <w:r w:rsidRPr="0088604A">
        <w:t>31</w:t>
      </w:r>
      <w:r w:rsidR="00A03629" w:rsidRPr="0088604A">
        <w:t xml:space="preserve"> </w:t>
      </w:r>
      <w:r w:rsidRPr="0088604A">
        <w:t>December</w:t>
      </w:r>
      <w:r w:rsidR="00A03629" w:rsidRPr="0088604A">
        <w:t xml:space="preserve"> </w:t>
      </w:r>
      <w:r w:rsidRPr="0088604A">
        <w:t>2022</w:t>
      </w:r>
    </w:p>
    <w:p w14:paraId="6ED11B28" w14:textId="6FA9E8FF" w:rsidR="000756EB" w:rsidRPr="0088604A" w:rsidRDefault="004A4D88" w:rsidP="0088604A">
      <w:r w:rsidRPr="0088604A">
        <w:rPr>
          <w:b/>
          <w:bCs/>
        </w:rPr>
        <w:t>Minister</w:t>
      </w:r>
      <w:r w:rsidR="00A03629" w:rsidRPr="0088604A">
        <w:rPr>
          <w:b/>
          <w:bCs/>
        </w:rPr>
        <w:t xml:space="preserve"> </w:t>
      </w:r>
      <w:r w:rsidRPr="0088604A">
        <w:rPr>
          <w:b/>
          <w:bCs/>
        </w:rPr>
        <w:t>for</w:t>
      </w:r>
      <w:r w:rsidR="00A03629" w:rsidRPr="0088604A">
        <w:rPr>
          <w:b/>
          <w:bCs/>
        </w:rPr>
        <w:t xml:space="preserve"> </w:t>
      </w:r>
      <w:r w:rsidRPr="0088604A">
        <w:rPr>
          <w:b/>
          <w:bCs/>
        </w:rPr>
        <w:t>Commonwealth</w:t>
      </w:r>
      <w:r w:rsidR="00A03629" w:rsidRPr="0088604A">
        <w:rPr>
          <w:b/>
          <w:bCs/>
        </w:rPr>
        <w:t xml:space="preserve"> </w:t>
      </w:r>
      <w:r w:rsidRPr="0088604A">
        <w:rPr>
          <w:b/>
          <w:bCs/>
        </w:rPr>
        <w:t>Games</w:t>
      </w:r>
      <w:r w:rsidR="00A03629" w:rsidRPr="0088604A">
        <w:rPr>
          <w:b/>
          <w:bCs/>
        </w:rPr>
        <w:t xml:space="preserve"> </w:t>
      </w:r>
      <w:r w:rsidRPr="0088604A">
        <w:rPr>
          <w:b/>
          <w:bCs/>
        </w:rPr>
        <w:t>Legacy</w:t>
      </w:r>
      <w:r w:rsidRPr="0088604A">
        <w:rPr>
          <w:b/>
          <w:bCs/>
        </w:rPr>
        <w:br/>
        <w:t>Minister</w:t>
      </w:r>
      <w:r w:rsidR="00A03629" w:rsidRPr="0088604A">
        <w:rPr>
          <w:b/>
          <w:bCs/>
        </w:rPr>
        <w:t xml:space="preserve"> </w:t>
      </w:r>
      <w:r w:rsidRPr="0088604A">
        <w:rPr>
          <w:b/>
          <w:bCs/>
        </w:rPr>
        <w:t>for</w:t>
      </w:r>
      <w:r w:rsidR="00A03629" w:rsidRPr="0088604A">
        <w:rPr>
          <w:b/>
          <w:bCs/>
        </w:rPr>
        <w:t xml:space="preserve"> </w:t>
      </w:r>
      <w:r w:rsidRPr="0088604A">
        <w:rPr>
          <w:b/>
          <w:bCs/>
        </w:rPr>
        <w:t>Regional</w:t>
      </w:r>
      <w:r w:rsidR="00A03629" w:rsidRPr="0088604A">
        <w:rPr>
          <w:b/>
          <w:bCs/>
        </w:rPr>
        <w:t xml:space="preserve"> </w:t>
      </w:r>
      <w:r w:rsidRPr="0088604A">
        <w:rPr>
          <w:b/>
          <w:bCs/>
        </w:rPr>
        <w:t>Development</w:t>
      </w:r>
      <w:r w:rsidRPr="0088604A">
        <w:rPr>
          <w:b/>
          <w:bCs/>
        </w:rPr>
        <w:br/>
      </w:r>
      <w:r w:rsidRPr="0088604A">
        <w:rPr>
          <w:i/>
          <w:iCs/>
        </w:rPr>
        <w:t>The</w:t>
      </w:r>
      <w:r w:rsidR="00A03629" w:rsidRPr="0088604A">
        <w:rPr>
          <w:i/>
          <w:iCs/>
        </w:rPr>
        <w:t xml:space="preserve"> </w:t>
      </w:r>
      <w:r w:rsidRPr="0088604A">
        <w:rPr>
          <w:i/>
          <w:iCs/>
        </w:rPr>
        <w:t>Hon.</w:t>
      </w:r>
      <w:r w:rsidR="00A03629" w:rsidRPr="0088604A">
        <w:rPr>
          <w:i/>
          <w:iCs/>
        </w:rPr>
        <w:t xml:space="preserve"> </w:t>
      </w:r>
      <w:r w:rsidRPr="0088604A">
        <w:rPr>
          <w:i/>
          <w:iCs/>
        </w:rPr>
        <w:t>Harriet</w:t>
      </w:r>
      <w:r w:rsidR="00A03629" w:rsidRPr="0088604A">
        <w:rPr>
          <w:i/>
          <w:iCs/>
        </w:rPr>
        <w:t xml:space="preserve"> </w:t>
      </w:r>
      <w:r w:rsidRPr="0088604A">
        <w:rPr>
          <w:i/>
          <w:iCs/>
        </w:rPr>
        <w:t>Shing</w:t>
      </w:r>
      <w:r w:rsidRPr="0088604A">
        <w:rPr>
          <w:i/>
          <w:iCs/>
        </w:rPr>
        <w:br/>
      </w:r>
      <w:r w:rsidRPr="0088604A">
        <w:t>14</w:t>
      </w:r>
      <w:r w:rsidR="00A03629" w:rsidRPr="0088604A">
        <w:t xml:space="preserve"> </w:t>
      </w:r>
      <w:r w:rsidRPr="0088604A">
        <w:t>December</w:t>
      </w:r>
      <w:r w:rsidR="00A03629" w:rsidRPr="0088604A">
        <w:t xml:space="preserve"> </w:t>
      </w:r>
      <w:r w:rsidRPr="0088604A">
        <w:t>2022</w:t>
      </w:r>
      <w:r w:rsidR="00A03629" w:rsidRPr="0088604A">
        <w:t xml:space="preserve"> </w:t>
      </w:r>
      <w:r w:rsidRPr="0088604A">
        <w:t>to</w:t>
      </w:r>
      <w:r w:rsidR="00A03629" w:rsidRPr="0088604A">
        <w:t xml:space="preserve"> </w:t>
      </w:r>
      <w:r w:rsidRPr="0088604A">
        <w:t>31</w:t>
      </w:r>
      <w:r w:rsidR="00A03629" w:rsidRPr="0088604A">
        <w:t xml:space="preserve"> </w:t>
      </w:r>
      <w:r w:rsidRPr="0088604A">
        <w:t>December</w:t>
      </w:r>
      <w:r w:rsidR="00A03629" w:rsidRPr="0088604A">
        <w:t xml:space="preserve"> </w:t>
      </w:r>
      <w:r w:rsidRPr="0088604A">
        <w:t>2022</w:t>
      </w:r>
    </w:p>
    <w:p w14:paraId="670BB7C7" w14:textId="28A65A68" w:rsidR="000756EB" w:rsidRDefault="004A4D88" w:rsidP="0088604A">
      <w:r w:rsidRPr="00740C7F">
        <w:rPr>
          <w:i/>
          <w:iCs/>
        </w:rPr>
        <w:t>The</w:t>
      </w:r>
      <w:r w:rsidR="00A03629" w:rsidRPr="00740C7F">
        <w:rPr>
          <w:i/>
          <w:iCs/>
        </w:rPr>
        <w:t xml:space="preserve"> </w:t>
      </w:r>
      <w:r w:rsidRPr="00740C7F">
        <w:rPr>
          <w:i/>
          <w:iCs/>
        </w:rPr>
        <w:t>Hon.</w:t>
      </w:r>
      <w:r w:rsidR="00A03629" w:rsidRPr="00740C7F">
        <w:rPr>
          <w:i/>
          <w:iCs/>
        </w:rPr>
        <w:t xml:space="preserve"> </w:t>
      </w:r>
      <w:r w:rsidRPr="00740C7F">
        <w:rPr>
          <w:i/>
          <w:iCs/>
        </w:rPr>
        <w:t>Daniel</w:t>
      </w:r>
      <w:r w:rsidR="00A03629" w:rsidRPr="00740C7F">
        <w:rPr>
          <w:i/>
          <w:iCs/>
        </w:rPr>
        <w:t xml:space="preserve"> </w:t>
      </w:r>
      <w:r w:rsidRPr="00740C7F">
        <w:rPr>
          <w:i/>
          <w:iCs/>
        </w:rPr>
        <w:t>Andrews</w:t>
      </w:r>
      <w:r w:rsidRPr="00740C7F">
        <w:rPr>
          <w:i/>
          <w:iCs/>
        </w:rPr>
        <w:br/>
      </w:r>
      <w:r>
        <w:t>5</w:t>
      </w:r>
      <w:r w:rsidR="00A03629">
        <w:t xml:space="preserve"> </w:t>
      </w:r>
      <w:r>
        <w:t>December</w:t>
      </w:r>
      <w:r w:rsidR="00A03629">
        <w:t xml:space="preserve"> </w:t>
      </w:r>
      <w:r>
        <w:t>2022</w:t>
      </w:r>
      <w:r w:rsidR="00A03629">
        <w:t xml:space="preserve"> </w:t>
      </w:r>
      <w:r>
        <w:t>to</w:t>
      </w:r>
      <w:r w:rsidR="00A03629">
        <w:t xml:space="preserve"> </w:t>
      </w:r>
      <w:r>
        <w:t>13</w:t>
      </w:r>
      <w:r w:rsidR="00A03629">
        <w:t xml:space="preserve"> </w:t>
      </w:r>
      <w:r>
        <w:t>December</w:t>
      </w:r>
      <w:r w:rsidR="00A03629">
        <w:t xml:space="preserve"> </w:t>
      </w:r>
      <w:r>
        <w:t>2022</w:t>
      </w:r>
    </w:p>
    <w:p w14:paraId="47963D03" w14:textId="083E4EC5" w:rsidR="000756EB" w:rsidRDefault="004A4D88" w:rsidP="00740C7F">
      <w:r w:rsidRPr="00740C7F">
        <w:rPr>
          <w:b/>
          <w:bCs/>
        </w:rPr>
        <w:t>Minister</w:t>
      </w:r>
      <w:r w:rsidR="00A03629" w:rsidRPr="00740C7F">
        <w:rPr>
          <w:b/>
          <w:bCs/>
        </w:rPr>
        <w:t xml:space="preserve"> </w:t>
      </w:r>
      <w:r w:rsidRPr="00740C7F">
        <w:rPr>
          <w:b/>
          <w:bCs/>
        </w:rPr>
        <w:t>for</w:t>
      </w:r>
      <w:r w:rsidR="00A03629" w:rsidRPr="00740C7F">
        <w:rPr>
          <w:b/>
          <w:bCs/>
        </w:rPr>
        <w:t xml:space="preserve"> </w:t>
      </w:r>
      <w:r w:rsidRPr="00740C7F">
        <w:rPr>
          <w:b/>
          <w:bCs/>
        </w:rPr>
        <w:t>Outdoor</w:t>
      </w:r>
      <w:r w:rsidR="00A03629" w:rsidRPr="00740C7F">
        <w:rPr>
          <w:b/>
          <w:bCs/>
        </w:rPr>
        <w:t xml:space="preserve"> </w:t>
      </w:r>
      <w:r w:rsidRPr="00740C7F">
        <w:rPr>
          <w:b/>
          <w:bCs/>
        </w:rPr>
        <w:t>Recreation</w:t>
      </w:r>
      <w:r w:rsidRPr="00740C7F">
        <w:rPr>
          <w:b/>
          <w:bCs/>
        </w:rPr>
        <w:br/>
      </w:r>
      <w:r w:rsidRPr="00740C7F">
        <w:rPr>
          <w:i/>
          <w:iCs/>
        </w:rPr>
        <w:t>The</w:t>
      </w:r>
      <w:r w:rsidR="00A03629" w:rsidRPr="00740C7F">
        <w:rPr>
          <w:i/>
          <w:iCs/>
        </w:rPr>
        <w:t xml:space="preserve"> </w:t>
      </w:r>
      <w:r w:rsidRPr="00740C7F">
        <w:rPr>
          <w:i/>
          <w:iCs/>
        </w:rPr>
        <w:t>Hon.</w:t>
      </w:r>
      <w:r w:rsidR="00A03629" w:rsidRPr="00740C7F">
        <w:rPr>
          <w:i/>
          <w:iCs/>
        </w:rPr>
        <w:t xml:space="preserve"> </w:t>
      </w:r>
      <w:r w:rsidRPr="00740C7F">
        <w:rPr>
          <w:i/>
          <w:iCs/>
        </w:rPr>
        <w:t>Sonya</w:t>
      </w:r>
      <w:r w:rsidR="00A03629" w:rsidRPr="00740C7F">
        <w:rPr>
          <w:i/>
          <w:iCs/>
        </w:rPr>
        <w:t xml:space="preserve"> </w:t>
      </w:r>
      <w:r w:rsidRPr="00740C7F">
        <w:rPr>
          <w:i/>
          <w:iCs/>
        </w:rPr>
        <w:t>Kilkenny</w:t>
      </w:r>
      <w:r w:rsidRPr="00740C7F">
        <w:rPr>
          <w:i/>
          <w:iCs/>
        </w:rPr>
        <w:br/>
      </w:r>
      <w:r>
        <w:t>5</w:t>
      </w:r>
      <w:r w:rsidR="00A03629">
        <w:t xml:space="preserve"> </w:t>
      </w:r>
      <w:r>
        <w:t>December</w:t>
      </w:r>
      <w:r w:rsidR="00A03629">
        <w:t xml:space="preserve"> </w:t>
      </w:r>
      <w:r>
        <w:t>2022</w:t>
      </w:r>
      <w:r w:rsidR="00A03629">
        <w:t xml:space="preserve"> </w:t>
      </w:r>
      <w:r>
        <w:t>to</w:t>
      </w:r>
      <w:r w:rsidR="00A03629">
        <w:t xml:space="preserve"> </w:t>
      </w:r>
      <w:r>
        <w:t>31</w:t>
      </w:r>
      <w:r w:rsidR="00A03629">
        <w:t xml:space="preserve"> </w:t>
      </w:r>
      <w:r>
        <w:t>December</w:t>
      </w:r>
      <w:r w:rsidR="00A03629">
        <w:t xml:space="preserve"> </w:t>
      </w:r>
      <w:r>
        <w:t>2022</w:t>
      </w:r>
    </w:p>
    <w:p w14:paraId="69AF6F42" w14:textId="109E35BB" w:rsidR="000756EB" w:rsidRDefault="004A4D88" w:rsidP="00740C7F">
      <w:r w:rsidRPr="00740C7F">
        <w:rPr>
          <w:b/>
          <w:bCs/>
        </w:rPr>
        <w:t>Minister</w:t>
      </w:r>
      <w:r w:rsidR="00A03629" w:rsidRPr="00740C7F">
        <w:rPr>
          <w:b/>
          <w:bCs/>
        </w:rPr>
        <w:t xml:space="preserve"> </w:t>
      </w:r>
      <w:r w:rsidRPr="00740C7F">
        <w:rPr>
          <w:b/>
          <w:bCs/>
        </w:rPr>
        <w:t>for</w:t>
      </w:r>
      <w:r w:rsidR="00A03629" w:rsidRPr="00740C7F">
        <w:rPr>
          <w:b/>
          <w:bCs/>
        </w:rPr>
        <w:t xml:space="preserve"> </w:t>
      </w:r>
      <w:r w:rsidRPr="00740C7F">
        <w:rPr>
          <w:b/>
          <w:bCs/>
        </w:rPr>
        <w:t>Small</w:t>
      </w:r>
      <w:r w:rsidR="00A03629" w:rsidRPr="00740C7F">
        <w:rPr>
          <w:b/>
          <w:bCs/>
        </w:rPr>
        <w:t xml:space="preserve"> </w:t>
      </w:r>
      <w:r w:rsidRPr="00740C7F">
        <w:rPr>
          <w:b/>
          <w:bCs/>
        </w:rPr>
        <w:t>Business</w:t>
      </w:r>
      <w:r w:rsidRPr="00740C7F">
        <w:rPr>
          <w:b/>
          <w:bCs/>
        </w:rPr>
        <w:br/>
      </w:r>
      <w:r w:rsidRPr="00740C7F">
        <w:rPr>
          <w:i/>
          <w:iCs/>
        </w:rPr>
        <w:t>The</w:t>
      </w:r>
      <w:r w:rsidR="00A03629" w:rsidRPr="00740C7F">
        <w:rPr>
          <w:i/>
          <w:iCs/>
        </w:rPr>
        <w:t xml:space="preserve"> </w:t>
      </w:r>
      <w:r w:rsidRPr="00740C7F">
        <w:rPr>
          <w:i/>
          <w:iCs/>
        </w:rPr>
        <w:t>Hon.</w:t>
      </w:r>
      <w:r w:rsidR="00A03629" w:rsidRPr="00740C7F">
        <w:rPr>
          <w:i/>
          <w:iCs/>
        </w:rPr>
        <w:t xml:space="preserve"> </w:t>
      </w:r>
      <w:r w:rsidRPr="00740C7F">
        <w:rPr>
          <w:i/>
          <w:iCs/>
        </w:rPr>
        <w:t>Natalie</w:t>
      </w:r>
      <w:r w:rsidR="00A03629" w:rsidRPr="00740C7F">
        <w:rPr>
          <w:i/>
          <w:iCs/>
        </w:rPr>
        <w:t xml:space="preserve"> </w:t>
      </w:r>
      <w:r w:rsidRPr="00740C7F">
        <w:rPr>
          <w:i/>
          <w:iCs/>
        </w:rPr>
        <w:t>Suleyman</w:t>
      </w:r>
      <w:r w:rsidRPr="00740C7F">
        <w:rPr>
          <w:i/>
          <w:iCs/>
        </w:rPr>
        <w:br/>
      </w:r>
      <w:r>
        <w:t>5</w:t>
      </w:r>
      <w:r w:rsidR="00A03629">
        <w:t xml:space="preserve"> </w:t>
      </w:r>
      <w:r>
        <w:t>December</w:t>
      </w:r>
      <w:r w:rsidR="00A03629">
        <w:t xml:space="preserve"> </w:t>
      </w:r>
      <w:r>
        <w:t>2022</w:t>
      </w:r>
      <w:r w:rsidR="00A03629">
        <w:t xml:space="preserve"> </w:t>
      </w:r>
      <w:r>
        <w:t>to</w:t>
      </w:r>
      <w:r w:rsidR="00A03629">
        <w:t xml:space="preserve"> </w:t>
      </w:r>
      <w:r>
        <w:t>31</w:t>
      </w:r>
      <w:r w:rsidR="00A03629">
        <w:t xml:space="preserve"> </w:t>
      </w:r>
      <w:r>
        <w:t>December</w:t>
      </w:r>
      <w:r w:rsidR="00A03629">
        <w:t xml:space="preserve"> </w:t>
      </w:r>
      <w:r>
        <w:t>2022</w:t>
      </w:r>
    </w:p>
    <w:p w14:paraId="0A4C28A5" w14:textId="74A95FCE" w:rsidR="000756EB" w:rsidRDefault="004A4D88" w:rsidP="00740C7F">
      <w:r w:rsidRPr="00740C7F">
        <w:rPr>
          <w:b/>
          <w:bCs/>
        </w:rPr>
        <w:t>Minister</w:t>
      </w:r>
      <w:r w:rsidR="00A03629" w:rsidRPr="00740C7F">
        <w:rPr>
          <w:b/>
          <w:bCs/>
        </w:rPr>
        <w:t xml:space="preserve"> </w:t>
      </w:r>
      <w:r w:rsidRPr="00740C7F">
        <w:rPr>
          <w:b/>
          <w:bCs/>
        </w:rPr>
        <w:t>for</w:t>
      </w:r>
      <w:r w:rsidR="00A03629" w:rsidRPr="00740C7F">
        <w:rPr>
          <w:b/>
          <w:bCs/>
        </w:rPr>
        <w:t xml:space="preserve"> </w:t>
      </w:r>
      <w:r w:rsidRPr="00740C7F">
        <w:rPr>
          <w:b/>
          <w:bCs/>
        </w:rPr>
        <w:t>Racing</w:t>
      </w:r>
      <w:r w:rsidRPr="00740C7F">
        <w:rPr>
          <w:b/>
          <w:bCs/>
        </w:rPr>
        <w:br/>
      </w:r>
      <w:r w:rsidRPr="00740C7F">
        <w:rPr>
          <w:i/>
          <w:iCs/>
        </w:rPr>
        <w:t>Mr</w:t>
      </w:r>
      <w:r w:rsidR="00A03629" w:rsidRPr="00740C7F">
        <w:rPr>
          <w:i/>
          <w:iCs/>
        </w:rPr>
        <w:t xml:space="preserve"> </w:t>
      </w:r>
      <w:r w:rsidRPr="00740C7F">
        <w:rPr>
          <w:i/>
          <w:iCs/>
        </w:rPr>
        <w:t>Anthony</w:t>
      </w:r>
      <w:r w:rsidR="00A03629" w:rsidRPr="00740C7F">
        <w:rPr>
          <w:i/>
          <w:iCs/>
        </w:rPr>
        <w:t xml:space="preserve"> </w:t>
      </w:r>
      <w:r w:rsidRPr="00740C7F">
        <w:rPr>
          <w:i/>
          <w:iCs/>
        </w:rPr>
        <w:t>Carbines</w:t>
      </w:r>
      <w:r w:rsidRPr="00740C7F">
        <w:rPr>
          <w:i/>
          <w:iCs/>
        </w:rPr>
        <w:br/>
      </w:r>
      <w:r>
        <w:t>5</w:t>
      </w:r>
      <w:r w:rsidR="00A03629">
        <w:t xml:space="preserve"> </w:t>
      </w:r>
      <w:r>
        <w:t>December</w:t>
      </w:r>
      <w:r w:rsidR="00A03629">
        <w:t xml:space="preserve"> </w:t>
      </w:r>
      <w:r>
        <w:t>2022</w:t>
      </w:r>
      <w:r w:rsidR="00A03629">
        <w:t xml:space="preserve"> </w:t>
      </w:r>
      <w:r>
        <w:t>to</w:t>
      </w:r>
      <w:r w:rsidR="00A03629">
        <w:t xml:space="preserve"> </w:t>
      </w:r>
      <w:r>
        <w:t>31</w:t>
      </w:r>
      <w:r w:rsidR="00A03629">
        <w:t xml:space="preserve"> </w:t>
      </w:r>
      <w:r>
        <w:t>December</w:t>
      </w:r>
      <w:r w:rsidR="00A03629">
        <w:t xml:space="preserve"> </w:t>
      </w:r>
      <w:r>
        <w:t>2022</w:t>
      </w:r>
    </w:p>
    <w:p w14:paraId="26C00A79" w14:textId="29A24924" w:rsidR="000756EB" w:rsidRDefault="004A4D88" w:rsidP="00740C7F">
      <w:r w:rsidRPr="00740C7F">
        <w:rPr>
          <w:b/>
          <w:bCs/>
        </w:rPr>
        <w:t>Minister</w:t>
      </w:r>
      <w:r w:rsidR="00A03629" w:rsidRPr="00740C7F">
        <w:rPr>
          <w:b/>
          <w:bCs/>
        </w:rPr>
        <w:t xml:space="preserve"> </w:t>
      </w:r>
      <w:r w:rsidRPr="00740C7F">
        <w:rPr>
          <w:b/>
          <w:bCs/>
        </w:rPr>
        <w:t>for</w:t>
      </w:r>
      <w:r w:rsidR="00A03629" w:rsidRPr="00740C7F">
        <w:rPr>
          <w:b/>
          <w:bCs/>
        </w:rPr>
        <w:t xml:space="preserve"> </w:t>
      </w:r>
      <w:r w:rsidRPr="00740C7F">
        <w:rPr>
          <w:b/>
          <w:bCs/>
        </w:rPr>
        <w:t>Energy</w:t>
      </w:r>
      <w:r w:rsidR="00A03629" w:rsidRPr="00740C7F">
        <w:rPr>
          <w:b/>
          <w:bCs/>
        </w:rPr>
        <w:t xml:space="preserve"> </w:t>
      </w:r>
      <w:r w:rsidRPr="00740C7F">
        <w:rPr>
          <w:b/>
          <w:bCs/>
        </w:rPr>
        <w:t>and</w:t>
      </w:r>
      <w:r w:rsidR="00A03629" w:rsidRPr="00740C7F">
        <w:rPr>
          <w:b/>
          <w:bCs/>
        </w:rPr>
        <w:t xml:space="preserve"> </w:t>
      </w:r>
      <w:r w:rsidRPr="00740C7F">
        <w:rPr>
          <w:b/>
          <w:bCs/>
        </w:rPr>
        <w:t>Resources</w:t>
      </w:r>
      <w:r w:rsidRPr="00740C7F">
        <w:rPr>
          <w:b/>
          <w:bCs/>
        </w:rPr>
        <w:br/>
      </w:r>
      <w:r w:rsidRPr="00740C7F">
        <w:rPr>
          <w:i/>
          <w:iCs/>
        </w:rPr>
        <w:t>The</w:t>
      </w:r>
      <w:r w:rsidR="00A03629" w:rsidRPr="00740C7F">
        <w:rPr>
          <w:i/>
          <w:iCs/>
        </w:rPr>
        <w:t xml:space="preserve"> </w:t>
      </w:r>
      <w:r w:rsidRPr="00740C7F">
        <w:rPr>
          <w:i/>
          <w:iCs/>
        </w:rPr>
        <w:t>Hon.</w:t>
      </w:r>
      <w:r w:rsidR="00A03629" w:rsidRPr="00740C7F">
        <w:rPr>
          <w:i/>
          <w:iCs/>
        </w:rPr>
        <w:t xml:space="preserve"> </w:t>
      </w:r>
      <w:r w:rsidRPr="00740C7F">
        <w:rPr>
          <w:i/>
          <w:iCs/>
        </w:rPr>
        <w:t>Lily</w:t>
      </w:r>
      <w:r w:rsidR="00A03629" w:rsidRPr="00740C7F">
        <w:rPr>
          <w:i/>
          <w:iCs/>
        </w:rPr>
        <w:t xml:space="preserve"> </w:t>
      </w:r>
      <w:r w:rsidRPr="00740C7F">
        <w:rPr>
          <w:i/>
          <w:iCs/>
        </w:rPr>
        <w:t>D’Ambrosio</w:t>
      </w:r>
      <w:r w:rsidRPr="00740C7F">
        <w:rPr>
          <w:i/>
          <w:iCs/>
        </w:rPr>
        <w:br/>
      </w:r>
      <w:r>
        <w:t>5</w:t>
      </w:r>
      <w:r w:rsidR="00A03629">
        <w:t xml:space="preserve"> </w:t>
      </w:r>
      <w:r>
        <w:t>December</w:t>
      </w:r>
      <w:r w:rsidR="00A03629">
        <w:t xml:space="preserve"> </w:t>
      </w:r>
      <w:r>
        <w:t>2022</w:t>
      </w:r>
      <w:r w:rsidR="00A03629">
        <w:t xml:space="preserve"> </w:t>
      </w:r>
      <w:r>
        <w:t>to</w:t>
      </w:r>
      <w:r w:rsidR="00A03629">
        <w:t xml:space="preserve"> </w:t>
      </w:r>
      <w:r>
        <w:t>31</w:t>
      </w:r>
      <w:r w:rsidR="00A03629">
        <w:t xml:space="preserve"> </w:t>
      </w:r>
      <w:r>
        <w:t>December</w:t>
      </w:r>
      <w:r w:rsidR="00A03629">
        <w:t xml:space="preserve"> </w:t>
      </w:r>
      <w:r>
        <w:t>2022</w:t>
      </w:r>
    </w:p>
    <w:p w14:paraId="305E9734" w14:textId="32476A93" w:rsidR="000756EB" w:rsidRDefault="004A4D88" w:rsidP="00740C7F">
      <w:r w:rsidRPr="00740C7F">
        <w:rPr>
          <w:b/>
          <w:bCs/>
        </w:rPr>
        <w:t>Minister</w:t>
      </w:r>
      <w:r w:rsidR="00A03629" w:rsidRPr="00740C7F">
        <w:rPr>
          <w:b/>
          <w:bCs/>
        </w:rPr>
        <w:t xml:space="preserve"> </w:t>
      </w:r>
      <w:r w:rsidRPr="00740C7F">
        <w:rPr>
          <w:b/>
          <w:bCs/>
        </w:rPr>
        <w:t>for</w:t>
      </w:r>
      <w:r w:rsidR="00A03629" w:rsidRPr="00740C7F">
        <w:rPr>
          <w:b/>
          <w:bCs/>
        </w:rPr>
        <w:t xml:space="preserve"> </w:t>
      </w:r>
      <w:r w:rsidRPr="00740C7F">
        <w:rPr>
          <w:b/>
          <w:bCs/>
        </w:rPr>
        <w:t>Local</w:t>
      </w:r>
      <w:r w:rsidR="00A03629" w:rsidRPr="00740C7F">
        <w:rPr>
          <w:b/>
          <w:bCs/>
        </w:rPr>
        <w:t xml:space="preserve"> </w:t>
      </w:r>
      <w:r w:rsidRPr="00740C7F">
        <w:rPr>
          <w:b/>
          <w:bCs/>
        </w:rPr>
        <w:t>Government</w:t>
      </w:r>
      <w:r w:rsidRPr="00740C7F">
        <w:rPr>
          <w:b/>
          <w:bCs/>
        </w:rPr>
        <w:br/>
      </w:r>
      <w:r w:rsidRPr="00740C7F">
        <w:rPr>
          <w:i/>
          <w:iCs/>
        </w:rPr>
        <w:t>The</w:t>
      </w:r>
      <w:r w:rsidR="00A03629" w:rsidRPr="00740C7F">
        <w:rPr>
          <w:i/>
          <w:iCs/>
        </w:rPr>
        <w:t xml:space="preserve"> </w:t>
      </w:r>
      <w:r w:rsidRPr="00740C7F">
        <w:rPr>
          <w:i/>
          <w:iCs/>
        </w:rPr>
        <w:t>Hon.</w:t>
      </w:r>
      <w:r w:rsidR="00A03629" w:rsidRPr="00740C7F">
        <w:rPr>
          <w:i/>
          <w:iCs/>
        </w:rPr>
        <w:t xml:space="preserve"> </w:t>
      </w:r>
      <w:r w:rsidRPr="00740C7F">
        <w:rPr>
          <w:i/>
          <w:iCs/>
        </w:rPr>
        <w:t>Melissa</w:t>
      </w:r>
      <w:r w:rsidR="00A03629" w:rsidRPr="00740C7F">
        <w:rPr>
          <w:i/>
          <w:iCs/>
        </w:rPr>
        <w:t xml:space="preserve"> </w:t>
      </w:r>
      <w:r w:rsidRPr="00740C7F">
        <w:rPr>
          <w:i/>
          <w:iCs/>
        </w:rPr>
        <w:t>Horne</w:t>
      </w:r>
      <w:r w:rsidRPr="00740C7F">
        <w:rPr>
          <w:i/>
          <w:iCs/>
        </w:rPr>
        <w:br/>
      </w:r>
      <w:r>
        <w:t>5</w:t>
      </w:r>
      <w:r w:rsidR="00A03629">
        <w:t xml:space="preserve"> </w:t>
      </w:r>
      <w:r>
        <w:t>December</w:t>
      </w:r>
      <w:r w:rsidR="00A03629">
        <w:t xml:space="preserve"> </w:t>
      </w:r>
      <w:r>
        <w:t>2022</w:t>
      </w:r>
      <w:r w:rsidR="00A03629">
        <w:t xml:space="preserve"> </w:t>
      </w:r>
      <w:r>
        <w:t>to</w:t>
      </w:r>
      <w:r w:rsidR="00A03629">
        <w:t xml:space="preserve"> </w:t>
      </w:r>
      <w:r>
        <w:t>31</w:t>
      </w:r>
      <w:r w:rsidR="00A03629">
        <w:t xml:space="preserve"> </w:t>
      </w:r>
      <w:r>
        <w:t>December</w:t>
      </w:r>
      <w:r w:rsidR="00A03629">
        <w:t xml:space="preserve"> </w:t>
      </w:r>
      <w:r>
        <w:t>2022</w:t>
      </w:r>
    </w:p>
    <w:p w14:paraId="37DB782A" w14:textId="78529F5B" w:rsidR="000756EB" w:rsidRDefault="004A4D88" w:rsidP="00740C7F">
      <w:r w:rsidRPr="00740C7F">
        <w:rPr>
          <w:b/>
          <w:bCs/>
        </w:rPr>
        <w:t>Minister</w:t>
      </w:r>
      <w:r w:rsidR="00A03629" w:rsidRPr="00740C7F">
        <w:rPr>
          <w:b/>
          <w:bCs/>
        </w:rPr>
        <w:t xml:space="preserve"> </w:t>
      </w:r>
      <w:r w:rsidRPr="00740C7F">
        <w:rPr>
          <w:b/>
          <w:bCs/>
        </w:rPr>
        <w:t>for</w:t>
      </w:r>
      <w:r w:rsidR="00A03629" w:rsidRPr="00740C7F">
        <w:rPr>
          <w:b/>
          <w:bCs/>
        </w:rPr>
        <w:t xml:space="preserve"> </w:t>
      </w:r>
      <w:r w:rsidRPr="00740C7F">
        <w:rPr>
          <w:b/>
          <w:bCs/>
        </w:rPr>
        <w:t>Medical</w:t>
      </w:r>
      <w:r w:rsidR="00A03629" w:rsidRPr="00740C7F">
        <w:rPr>
          <w:b/>
          <w:bCs/>
        </w:rPr>
        <w:t xml:space="preserve"> </w:t>
      </w:r>
      <w:r w:rsidRPr="00740C7F">
        <w:rPr>
          <w:b/>
          <w:bCs/>
        </w:rPr>
        <w:t>Research</w:t>
      </w:r>
      <w:r w:rsidRPr="00740C7F">
        <w:rPr>
          <w:b/>
          <w:bCs/>
        </w:rPr>
        <w:br/>
      </w:r>
      <w:r w:rsidRPr="00740C7F">
        <w:rPr>
          <w:i/>
          <w:iCs/>
        </w:rPr>
        <w:t>The</w:t>
      </w:r>
      <w:r w:rsidR="00A03629" w:rsidRPr="00740C7F">
        <w:rPr>
          <w:i/>
          <w:iCs/>
        </w:rPr>
        <w:t xml:space="preserve"> </w:t>
      </w:r>
      <w:r w:rsidRPr="00740C7F">
        <w:rPr>
          <w:i/>
          <w:iCs/>
        </w:rPr>
        <w:t>Hon.</w:t>
      </w:r>
      <w:r w:rsidR="00A03629" w:rsidRPr="00740C7F">
        <w:rPr>
          <w:i/>
          <w:iCs/>
        </w:rPr>
        <w:t xml:space="preserve"> </w:t>
      </w:r>
      <w:r w:rsidRPr="00740C7F">
        <w:rPr>
          <w:i/>
          <w:iCs/>
        </w:rPr>
        <w:t>Mary-Anne</w:t>
      </w:r>
      <w:r w:rsidR="00A03629" w:rsidRPr="00740C7F">
        <w:rPr>
          <w:i/>
          <w:iCs/>
        </w:rPr>
        <w:t xml:space="preserve"> </w:t>
      </w:r>
      <w:r w:rsidRPr="00740C7F">
        <w:rPr>
          <w:i/>
          <w:iCs/>
        </w:rPr>
        <w:t>Thomas</w:t>
      </w:r>
      <w:r w:rsidRPr="00740C7F">
        <w:rPr>
          <w:i/>
          <w:iCs/>
        </w:rPr>
        <w:br/>
      </w:r>
      <w:r>
        <w:t>5</w:t>
      </w:r>
      <w:r w:rsidR="00A03629">
        <w:t xml:space="preserve"> </w:t>
      </w:r>
      <w:r>
        <w:t>December</w:t>
      </w:r>
      <w:r w:rsidR="00A03629">
        <w:t xml:space="preserve"> </w:t>
      </w:r>
      <w:r>
        <w:t>2022</w:t>
      </w:r>
      <w:r w:rsidR="00A03629">
        <w:t xml:space="preserve"> </w:t>
      </w:r>
      <w:r>
        <w:t>to</w:t>
      </w:r>
      <w:r w:rsidR="00A03629">
        <w:t xml:space="preserve"> </w:t>
      </w:r>
      <w:r>
        <w:t>31</w:t>
      </w:r>
      <w:r w:rsidR="00A03629">
        <w:t xml:space="preserve"> </w:t>
      </w:r>
      <w:r>
        <w:t>December</w:t>
      </w:r>
      <w:r w:rsidR="00A03629">
        <w:t xml:space="preserve"> </w:t>
      </w:r>
      <w:r>
        <w:t>2022</w:t>
      </w:r>
    </w:p>
    <w:p w14:paraId="799DA7AA" w14:textId="5AEC6D62" w:rsidR="000756EB" w:rsidRPr="00740C7F" w:rsidRDefault="004A4D88" w:rsidP="00740C7F">
      <w:pPr>
        <w:pStyle w:val="Normalbeforebullets"/>
        <w:rPr>
          <w:b/>
          <w:bCs/>
        </w:rPr>
      </w:pPr>
      <w:r w:rsidRPr="00740C7F">
        <w:rPr>
          <w:b/>
          <w:bCs/>
        </w:rPr>
        <w:lastRenderedPageBreak/>
        <w:t>1</w:t>
      </w:r>
      <w:r w:rsidR="00A03629" w:rsidRPr="00740C7F">
        <w:rPr>
          <w:b/>
          <w:bCs/>
        </w:rPr>
        <w:t xml:space="preserve"> </w:t>
      </w:r>
      <w:r w:rsidRPr="00740C7F">
        <w:rPr>
          <w:b/>
          <w:bCs/>
        </w:rPr>
        <w:t>January</w:t>
      </w:r>
      <w:r w:rsidR="00A03629" w:rsidRPr="00740C7F">
        <w:rPr>
          <w:b/>
          <w:bCs/>
        </w:rPr>
        <w:t xml:space="preserve"> </w:t>
      </w:r>
      <w:r w:rsidRPr="00740C7F">
        <w:rPr>
          <w:b/>
          <w:bCs/>
        </w:rPr>
        <w:t>2023</w:t>
      </w:r>
      <w:r w:rsidR="00A03629" w:rsidRPr="00740C7F">
        <w:rPr>
          <w:b/>
          <w:bCs/>
        </w:rPr>
        <w:t xml:space="preserve"> </w:t>
      </w:r>
      <w:r w:rsidRPr="00740C7F">
        <w:rPr>
          <w:b/>
          <w:bCs/>
        </w:rPr>
        <w:t>to</w:t>
      </w:r>
      <w:r w:rsidR="00A03629" w:rsidRPr="00740C7F">
        <w:rPr>
          <w:b/>
          <w:bCs/>
        </w:rPr>
        <w:t xml:space="preserve"> </w:t>
      </w:r>
      <w:r w:rsidRPr="00740C7F">
        <w:rPr>
          <w:b/>
          <w:bCs/>
        </w:rPr>
        <w:t>30</w:t>
      </w:r>
      <w:r w:rsidR="00A03629" w:rsidRPr="00740C7F">
        <w:rPr>
          <w:b/>
          <w:bCs/>
        </w:rPr>
        <w:t xml:space="preserve"> </w:t>
      </w:r>
      <w:r w:rsidRPr="00740C7F">
        <w:rPr>
          <w:b/>
          <w:bCs/>
        </w:rPr>
        <w:t>June</w:t>
      </w:r>
      <w:r w:rsidR="00A03629" w:rsidRPr="00740C7F">
        <w:rPr>
          <w:b/>
          <w:bCs/>
        </w:rPr>
        <w:t xml:space="preserve"> </w:t>
      </w:r>
      <w:r w:rsidRPr="00740C7F">
        <w:rPr>
          <w:b/>
          <w:bCs/>
        </w:rPr>
        <w:t>2023</w:t>
      </w:r>
    </w:p>
    <w:p w14:paraId="30361EBE" w14:textId="355D6261" w:rsidR="000756EB" w:rsidRPr="00740C7F" w:rsidRDefault="004A4D88" w:rsidP="00740C7F">
      <w:r w:rsidRPr="00740C7F">
        <w:rPr>
          <w:b/>
          <w:bCs/>
        </w:rPr>
        <w:t>Minister</w:t>
      </w:r>
      <w:r w:rsidR="00A03629" w:rsidRPr="00740C7F">
        <w:rPr>
          <w:b/>
          <w:bCs/>
        </w:rPr>
        <w:t xml:space="preserve"> </w:t>
      </w:r>
      <w:r w:rsidRPr="00740C7F">
        <w:rPr>
          <w:b/>
          <w:bCs/>
        </w:rPr>
        <w:t>for</w:t>
      </w:r>
      <w:r w:rsidR="00A03629" w:rsidRPr="00740C7F">
        <w:rPr>
          <w:b/>
          <w:bCs/>
        </w:rPr>
        <w:t xml:space="preserve"> </w:t>
      </w:r>
      <w:r w:rsidRPr="00740C7F">
        <w:rPr>
          <w:b/>
          <w:bCs/>
        </w:rPr>
        <w:t>Industry</w:t>
      </w:r>
      <w:r w:rsidR="00A03629" w:rsidRPr="00740C7F">
        <w:rPr>
          <w:b/>
          <w:bCs/>
        </w:rPr>
        <w:t xml:space="preserve"> </w:t>
      </w:r>
      <w:r w:rsidRPr="00740C7F">
        <w:rPr>
          <w:b/>
          <w:bCs/>
        </w:rPr>
        <w:t>and</w:t>
      </w:r>
      <w:r w:rsidR="00A03629" w:rsidRPr="00740C7F">
        <w:rPr>
          <w:b/>
          <w:bCs/>
        </w:rPr>
        <w:t xml:space="preserve"> </w:t>
      </w:r>
      <w:r w:rsidRPr="00740C7F">
        <w:rPr>
          <w:b/>
          <w:bCs/>
        </w:rPr>
        <w:t>Innovation</w:t>
      </w:r>
      <w:r w:rsidRPr="00740C7F">
        <w:rPr>
          <w:b/>
          <w:bCs/>
        </w:rPr>
        <w:br/>
        <w:t>Minister</w:t>
      </w:r>
      <w:r w:rsidR="00A03629" w:rsidRPr="00740C7F">
        <w:rPr>
          <w:b/>
          <w:bCs/>
        </w:rPr>
        <w:t xml:space="preserve"> </w:t>
      </w:r>
      <w:r w:rsidRPr="00740C7F">
        <w:rPr>
          <w:b/>
          <w:bCs/>
        </w:rPr>
        <w:t>for</w:t>
      </w:r>
      <w:r w:rsidR="00A03629" w:rsidRPr="00740C7F">
        <w:rPr>
          <w:b/>
          <w:bCs/>
        </w:rPr>
        <w:t xml:space="preserve"> </w:t>
      </w:r>
      <w:r w:rsidRPr="00740C7F">
        <w:rPr>
          <w:b/>
          <w:bCs/>
        </w:rPr>
        <w:t>Manufacturing</w:t>
      </w:r>
      <w:r w:rsidR="00A03629" w:rsidRPr="00740C7F">
        <w:rPr>
          <w:b/>
          <w:bCs/>
        </w:rPr>
        <w:t xml:space="preserve"> </w:t>
      </w:r>
      <w:r w:rsidRPr="00740C7F">
        <w:rPr>
          <w:b/>
          <w:bCs/>
        </w:rPr>
        <w:t>Sovereignty</w:t>
      </w:r>
      <w:r w:rsidRPr="00740C7F">
        <w:rPr>
          <w:b/>
          <w:bCs/>
        </w:rPr>
        <w:br/>
        <w:t>Minister</w:t>
      </w:r>
      <w:r w:rsidR="00A03629" w:rsidRPr="00740C7F">
        <w:rPr>
          <w:b/>
          <w:bCs/>
        </w:rPr>
        <w:t xml:space="preserve"> </w:t>
      </w:r>
      <w:r w:rsidRPr="00740C7F">
        <w:rPr>
          <w:b/>
          <w:bCs/>
        </w:rPr>
        <w:t>for</w:t>
      </w:r>
      <w:r w:rsidR="00A03629" w:rsidRPr="00740C7F">
        <w:rPr>
          <w:b/>
          <w:bCs/>
        </w:rPr>
        <w:t xml:space="preserve"> </w:t>
      </w:r>
      <w:r w:rsidRPr="00740C7F">
        <w:rPr>
          <w:b/>
          <w:bCs/>
        </w:rPr>
        <w:t>Employment</w:t>
      </w:r>
      <w:r w:rsidRPr="00740C7F">
        <w:rPr>
          <w:b/>
          <w:bCs/>
        </w:rPr>
        <w:br/>
      </w:r>
      <w:r w:rsidRPr="00740C7F">
        <w:rPr>
          <w:i/>
          <w:iCs/>
        </w:rPr>
        <w:t>The</w:t>
      </w:r>
      <w:r w:rsidR="00A03629" w:rsidRPr="00740C7F">
        <w:rPr>
          <w:i/>
          <w:iCs/>
        </w:rPr>
        <w:t xml:space="preserve"> </w:t>
      </w:r>
      <w:r w:rsidRPr="00740C7F">
        <w:rPr>
          <w:i/>
          <w:iCs/>
        </w:rPr>
        <w:t>Hon.</w:t>
      </w:r>
      <w:r w:rsidR="00A03629" w:rsidRPr="00740C7F">
        <w:rPr>
          <w:i/>
          <w:iCs/>
        </w:rPr>
        <w:t xml:space="preserve"> </w:t>
      </w:r>
      <w:r w:rsidRPr="00740C7F">
        <w:rPr>
          <w:i/>
          <w:iCs/>
        </w:rPr>
        <w:t>Ben</w:t>
      </w:r>
      <w:r w:rsidR="00A03629" w:rsidRPr="00740C7F">
        <w:rPr>
          <w:i/>
          <w:iCs/>
        </w:rPr>
        <w:t xml:space="preserve"> </w:t>
      </w:r>
      <w:r w:rsidRPr="00740C7F">
        <w:rPr>
          <w:i/>
          <w:iCs/>
        </w:rPr>
        <w:t>Carroll</w:t>
      </w:r>
      <w:r w:rsidRPr="00740C7F">
        <w:rPr>
          <w:i/>
          <w:iCs/>
        </w:rPr>
        <w:br/>
      </w:r>
      <w:r w:rsidRPr="00740C7F">
        <w:t>1</w:t>
      </w:r>
      <w:r w:rsidR="00A03629" w:rsidRPr="00740C7F">
        <w:t xml:space="preserve"> </w:t>
      </w:r>
      <w:r w:rsidRPr="00740C7F">
        <w:t>January</w:t>
      </w:r>
      <w:r w:rsidR="00A03629" w:rsidRPr="00740C7F">
        <w:t xml:space="preserve"> </w:t>
      </w:r>
      <w:r w:rsidRPr="00740C7F">
        <w:t>2023</w:t>
      </w:r>
      <w:r w:rsidR="00A03629" w:rsidRPr="00740C7F">
        <w:t xml:space="preserve"> </w:t>
      </w:r>
      <w:r w:rsidRPr="00740C7F">
        <w:t>to</w:t>
      </w:r>
      <w:r w:rsidR="00A03629" w:rsidRPr="00740C7F">
        <w:t xml:space="preserve"> </w:t>
      </w:r>
      <w:r w:rsidRPr="00740C7F">
        <w:t>30</w:t>
      </w:r>
      <w:r w:rsidR="00A03629" w:rsidRPr="00740C7F">
        <w:t xml:space="preserve"> </w:t>
      </w:r>
      <w:r w:rsidRPr="00740C7F">
        <w:t>June</w:t>
      </w:r>
      <w:r w:rsidR="00A03629" w:rsidRPr="00740C7F">
        <w:t xml:space="preserve"> </w:t>
      </w:r>
      <w:r w:rsidRPr="00740C7F">
        <w:t>2023</w:t>
      </w:r>
    </w:p>
    <w:p w14:paraId="27462DC6" w14:textId="6F3A7040" w:rsidR="000756EB" w:rsidRPr="00740C7F" w:rsidRDefault="004A4D88" w:rsidP="00740C7F">
      <w:r w:rsidRPr="00740C7F">
        <w:rPr>
          <w:b/>
          <w:bCs/>
        </w:rPr>
        <w:t>Minister</w:t>
      </w:r>
      <w:r w:rsidR="00A03629" w:rsidRPr="00740C7F">
        <w:rPr>
          <w:b/>
          <w:bCs/>
        </w:rPr>
        <w:t xml:space="preserve"> </w:t>
      </w:r>
      <w:r w:rsidRPr="00740C7F">
        <w:rPr>
          <w:b/>
          <w:bCs/>
        </w:rPr>
        <w:t>for</w:t>
      </w:r>
      <w:r w:rsidR="00A03629" w:rsidRPr="00740C7F">
        <w:rPr>
          <w:b/>
          <w:bCs/>
        </w:rPr>
        <w:t xml:space="preserve"> </w:t>
      </w:r>
      <w:r w:rsidRPr="00740C7F">
        <w:rPr>
          <w:b/>
          <w:bCs/>
        </w:rPr>
        <w:t>Training</w:t>
      </w:r>
      <w:r w:rsidR="00A03629" w:rsidRPr="00740C7F">
        <w:rPr>
          <w:b/>
          <w:bCs/>
        </w:rPr>
        <w:t xml:space="preserve"> </w:t>
      </w:r>
      <w:r w:rsidRPr="00740C7F">
        <w:rPr>
          <w:b/>
          <w:bCs/>
        </w:rPr>
        <w:t>and</w:t>
      </w:r>
      <w:r w:rsidR="00A03629" w:rsidRPr="00740C7F">
        <w:rPr>
          <w:b/>
          <w:bCs/>
        </w:rPr>
        <w:t xml:space="preserve"> </w:t>
      </w:r>
      <w:r w:rsidRPr="00740C7F">
        <w:rPr>
          <w:b/>
          <w:bCs/>
        </w:rPr>
        <w:t>Skills</w:t>
      </w:r>
      <w:r w:rsidRPr="00740C7F">
        <w:rPr>
          <w:b/>
          <w:bCs/>
        </w:rPr>
        <w:br/>
        <w:t>Minister</w:t>
      </w:r>
      <w:r w:rsidR="00A03629" w:rsidRPr="00740C7F">
        <w:rPr>
          <w:b/>
          <w:bCs/>
        </w:rPr>
        <w:t xml:space="preserve"> </w:t>
      </w:r>
      <w:r w:rsidRPr="00740C7F">
        <w:rPr>
          <w:b/>
          <w:bCs/>
        </w:rPr>
        <w:t>for</w:t>
      </w:r>
      <w:r w:rsidR="00A03629" w:rsidRPr="00740C7F">
        <w:rPr>
          <w:b/>
          <w:bCs/>
        </w:rPr>
        <w:t xml:space="preserve"> </w:t>
      </w:r>
      <w:r w:rsidRPr="00740C7F">
        <w:rPr>
          <w:b/>
          <w:bCs/>
        </w:rPr>
        <w:t>Higher</w:t>
      </w:r>
      <w:r w:rsidR="00A03629" w:rsidRPr="00740C7F">
        <w:rPr>
          <w:b/>
          <w:bCs/>
        </w:rPr>
        <w:t xml:space="preserve"> </w:t>
      </w:r>
      <w:r w:rsidRPr="00740C7F">
        <w:rPr>
          <w:b/>
          <w:bCs/>
        </w:rPr>
        <w:t>Education</w:t>
      </w:r>
      <w:r w:rsidRPr="00740C7F">
        <w:rPr>
          <w:b/>
          <w:bCs/>
        </w:rPr>
        <w:br/>
      </w:r>
      <w:r w:rsidRPr="00740C7F">
        <w:rPr>
          <w:i/>
          <w:iCs/>
        </w:rPr>
        <w:t>The</w:t>
      </w:r>
      <w:r w:rsidR="00A03629" w:rsidRPr="00740C7F">
        <w:rPr>
          <w:i/>
          <w:iCs/>
        </w:rPr>
        <w:t xml:space="preserve"> </w:t>
      </w:r>
      <w:r w:rsidRPr="00740C7F">
        <w:rPr>
          <w:i/>
          <w:iCs/>
        </w:rPr>
        <w:t>Hon.</w:t>
      </w:r>
      <w:r w:rsidR="00A03629" w:rsidRPr="00740C7F">
        <w:rPr>
          <w:i/>
          <w:iCs/>
        </w:rPr>
        <w:t xml:space="preserve"> </w:t>
      </w:r>
      <w:r w:rsidRPr="00740C7F">
        <w:rPr>
          <w:i/>
          <w:iCs/>
        </w:rPr>
        <w:t>Gayle</w:t>
      </w:r>
      <w:r w:rsidR="00A03629" w:rsidRPr="00740C7F">
        <w:rPr>
          <w:i/>
          <w:iCs/>
        </w:rPr>
        <w:t xml:space="preserve"> </w:t>
      </w:r>
      <w:r w:rsidRPr="00740C7F">
        <w:rPr>
          <w:i/>
          <w:iCs/>
        </w:rPr>
        <w:t>Tierney</w:t>
      </w:r>
      <w:r w:rsidRPr="00740C7F">
        <w:rPr>
          <w:i/>
          <w:iCs/>
        </w:rPr>
        <w:br/>
      </w:r>
      <w:r w:rsidRPr="00740C7F">
        <w:t>1</w:t>
      </w:r>
      <w:r w:rsidR="00A03629" w:rsidRPr="00740C7F">
        <w:t xml:space="preserve"> </w:t>
      </w:r>
      <w:r w:rsidRPr="00740C7F">
        <w:t>January</w:t>
      </w:r>
      <w:r w:rsidR="00A03629" w:rsidRPr="00740C7F">
        <w:t xml:space="preserve"> </w:t>
      </w:r>
      <w:r w:rsidRPr="00740C7F">
        <w:t>2023</w:t>
      </w:r>
      <w:r w:rsidR="00A03629" w:rsidRPr="00740C7F">
        <w:t xml:space="preserve"> </w:t>
      </w:r>
      <w:r w:rsidRPr="00740C7F">
        <w:t>to</w:t>
      </w:r>
      <w:r w:rsidR="00A03629" w:rsidRPr="00740C7F">
        <w:t xml:space="preserve"> </w:t>
      </w:r>
      <w:r w:rsidRPr="00740C7F">
        <w:t>30</w:t>
      </w:r>
      <w:r w:rsidR="00A03629" w:rsidRPr="00740C7F">
        <w:t xml:space="preserve"> </w:t>
      </w:r>
      <w:r w:rsidRPr="00740C7F">
        <w:t>June</w:t>
      </w:r>
      <w:r w:rsidR="00A03629" w:rsidRPr="00740C7F">
        <w:t xml:space="preserve"> </w:t>
      </w:r>
      <w:r w:rsidRPr="00740C7F">
        <w:t>2023</w:t>
      </w:r>
    </w:p>
    <w:p w14:paraId="4A56DB19" w14:textId="19E113DD" w:rsidR="000756EB" w:rsidRPr="00740C7F" w:rsidRDefault="004A4D88" w:rsidP="00740C7F">
      <w:r w:rsidRPr="00740C7F">
        <w:rPr>
          <w:b/>
          <w:bCs/>
        </w:rPr>
        <w:t>Minister</w:t>
      </w:r>
      <w:r w:rsidR="00A03629" w:rsidRPr="00740C7F">
        <w:rPr>
          <w:b/>
          <w:bCs/>
        </w:rPr>
        <w:t xml:space="preserve"> </w:t>
      </w:r>
      <w:r w:rsidRPr="00740C7F">
        <w:rPr>
          <w:b/>
          <w:bCs/>
        </w:rPr>
        <w:t>for</w:t>
      </w:r>
      <w:r w:rsidR="00A03629" w:rsidRPr="00740C7F">
        <w:rPr>
          <w:b/>
          <w:bCs/>
        </w:rPr>
        <w:t xml:space="preserve"> </w:t>
      </w:r>
      <w:r w:rsidRPr="00740C7F">
        <w:rPr>
          <w:b/>
          <w:bCs/>
        </w:rPr>
        <w:t>Trade</w:t>
      </w:r>
      <w:r w:rsidR="00A03629" w:rsidRPr="00740C7F">
        <w:rPr>
          <w:b/>
          <w:bCs/>
        </w:rPr>
        <w:t xml:space="preserve"> </w:t>
      </w:r>
      <w:r w:rsidRPr="00740C7F">
        <w:rPr>
          <w:b/>
          <w:bCs/>
        </w:rPr>
        <w:t>and</w:t>
      </w:r>
      <w:r w:rsidR="00A03629" w:rsidRPr="00740C7F">
        <w:rPr>
          <w:b/>
          <w:bCs/>
        </w:rPr>
        <w:t xml:space="preserve"> </w:t>
      </w:r>
      <w:r w:rsidRPr="00740C7F">
        <w:rPr>
          <w:b/>
          <w:bCs/>
        </w:rPr>
        <w:t>Investment</w:t>
      </w:r>
      <w:r w:rsidRPr="00740C7F">
        <w:rPr>
          <w:b/>
          <w:bCs/>
        </w:rPr>
        <w:br/>
      </w:r>
      <w:r w:rsidRPr="00740C7F">
        <w:rPr>
          <w:i/>
          <w:iCs/>
        </w:rPr>
        <w:t>Mr</w:t>
      </w:r>
      <w:r w:rsidR="00A03629" w:rsidRPr="00740C7F">
        <w:rPr>
          <w:i/>
          <w:iCs/>
        </w:rPr>
        <w:t xml:space="preserve"> </w:t>
      </w:r>
      <w:r w:rsidRPr="00740C7F">
        <w:rPr>
          <w:i/>
          <w:iCs/>
        </w:rPr>
        <w:t>Tim</w:t>
      </w:r>
      <w:r w:rsidR="00A03629" w:rsidRPr="00740C7F">
        <w:rPr>
          <w:i/>
          <w:iCs/>
        </w:rPr>
        <w:t xml:space="preserve"> </w:t>
      </w:r>
      <w:r w:rsidRPr="00740C7F">
        <w:rPr>
          <w:i/>
          <w:iCs/>
        </w:rPr>
        <w:t>Pallas</w:t>
      </w:r>
      <w:r w:rsidRPr="00740C7F">
        <w:rPr>
          <w:i/>
          <w:iCs/>
        </w:rPr>
        <w:br/>
      </w:r>
      <w:r w:rsidRPr="00740C7F">
        <w:t>1</w:t>
      </w:r>
      <w:r w:rsidR="00A03629" w:rsidRPr="00740C7F">
        <w:t xml:space="preserve"> </w:t>
      </w:r>
      <w:r w:rsidRPr="00740C7F">
        <w:t>January</w:t>
      </w:r>
      <w:r w:rsidR="00A03629" w:rsidRPr="00740C7F">
        <w:t xml:space="preserve"> </w:t>
      </w:r>
      <w:r w:rsidRPr="00740C7F">
        <w:t>2023</w:t>
      </w:r>
      <w:r w:rsidR="00A03629" w:rsidRPr="00740C7F">
        <w:t xml:space="preserve"> </w:t>
      </w:r>
      <w:r w:rsidRPr="00740C7F">
        <w:t>to</w:t>
      </w:r>
      <w:r w:rsidR="00A03629" w:rsidRPr="00740C7F">
        <w:t xml:space="preserve"> </w:t>
      </w:r>
      <w:r w:rsidRPr="00740C7F">
        <w:t>30</w:t>
      </w:r>
      <w:r w:rsidR="00A03629" w:rsidRPr="00740C7F">
        <w:t xml:space="preserve"> </w:t>
      </w:r>
      <w:r w:rsidRPr="00740C7F">
        <w:t>June</w:t>
      </w:r>
      <w:r w:rsidR="00A03629" w:rsidRPr="00740C7F">
        <w:t xml:space="preserve"> </w:t>
      </w:r>
      <w:r w:rsidRPr="00740C7F">
        <w:t>2023</w:t>
      </w:r>
    </w:p>
    <w:p w14:paraId="01202394" w14:textId="7347D682" w:rsidR="000756EB" w:rsidRPr="00740C7F" w:rsidRDefault="004A4D88" w:rsidP="00740C7F">
      <w:r w:rsidRPr="00740C7F">
        <w:rPr>
          <w:b/>
          <w:bCs/>
        </w:rPr>
        <w:t>Minister</w:t>
      </w:r>
      <w:r w:rsidR="00A03629" w:rsidRPr="00740C7F">
        <w:rPr>
          <w:b/>
          <w:bCs/>
        </w:rPr>
        <w:t xml:space="preserve"> </w:t>
      </w:r>
      <w:r w:rsidRPr="00740C7F">
        <w:rPr>
          <w:b/>
          <w:bCs/>
        </w:rPr>
        <w:t>for</w:t>
      </w:r>
      <w:r w:rsidR="00A03629" w:rsidRPr="00740C7F">
        <w:rPr>
          <w:b/>
          <w:bCs/>
        </w:rPr>
        <w:t xml:space="preserve"> </w:t>
      </w:r>
      <w:r w:rsidRPr="00740C7F">
        <w:rPr>
          <w:b/>
          <w:bCs/>
        </w:rPr>
        <w:t>Tourism,</w:t>
      </w:r>
      <w:r w:rsidR="00A03629" w:rsidRPr="00740C7F">
        <w:rPr>
          <w:b/>
          <w:bCs/>
        </w:rPr>
        <w:t xml:space="preserve"> </w:t>
      </w:r>
      <w:r w:rsidRPr="00740C7F">
        <w:rPr>
          <w:b/>
          <w:bCs/>
        </w:rPr>
        <w:t>Sport</w:t>
      </w:r>
      <w:r w:rsidR="00A03629" w:rsidRPr="00740C7F">
        <w:rPr>
          <w:b/>
          <w:bCs/>
        </w:rPr>
        <w:t xml:space="preserve"> </w:t>
      </w:r>
      <w:r w:rsidRPr="00740C7F">
        <w:rPr>
          <w:b/>
          <w:bCs/>
        </w:rPr>
        <w:t>and</w:t>
      </w:r>
      <w:r w:rsidR="00A03629" w:rsidRPr="00740C7F">
        <w:rPr>
          <w:b/>
          <w:bCs/>
        </w:rPr>
        <w:t xml:space="preserve"> </w:t>
      </w:r>
      <w:r w:rsidRPr="00740C7F">
        <w:rPr>
          <w:b/>
          <w:bCs/>
        </w:rPr>
        <w:t>Major</w:t>
      </w:r>
      <w:r w:rsidR="00A03629" w:rsidRPr="00740C7F">
        <w:rPr>
          <w:b/>
          <w:bCs/>
        </w:rPr>
        <w:t xml:space="preserve"> </w:t>
      </w:r>
      <w:r w:rsidRPr="00740C7F">
        <w:rPr>
          <w:b/>
          <w:bCs/>
        </w:rPr>
        <w:t>Events</w:t>
      </w:r>
      <w:r w:rsidRPr="00740C7F">
        <w:rPr>
          <w:b/>
          <w:bCs/>
        </w:rPr>
        <w:br/>
        <w:t>Minister</w:t>
      </w:r>
      <w:r w:rsidR="00A03629" w:rsidRPr="00740C7F">
        <w:rPr>
          <w:b/>
          <w:bCs/>
        </w:rPr>
        <w:t xml:space="preserve"> </w:t>
      </w:r>
      <w:r w:rsidRPr="00740C7F">
        <w:rPr>
          <w:b/>
          <w:bCs/>
        </w:rPr>
        <w:t>for</w:t>
      </w:r>
      <w:r w:rsidR="00A03629" w:rsidRPr="00740C7F">
        <w:rPr>
          <w:b/>
          <w:bCs/>
        </w:rPr>
        <w:t xml:space="preserve"> </w:t>
      </w:r>
      <w:r w:rsidRPr="00740C7F">
        <w:rPr>
          <w:b/>
          <w:bCs/>
        </w:rPr>
        <w:t>Creative</w:t>
      </w:r>
      <w:r w:rsidR="00A03629" w:rsidRPr="00740C7F">
        <w:rPr>
          <w:b/>
          <w:bCs/>
        </w:rPr>
        <w:t xml:space="preserve"> </w:t>
      </w:r>
      <w:r w:rsidRPr="00740C7F">
        <w:rPr>
          <w:b/>
          <w:bCs/>
        </w:rPr>
        <w:t>Industries</w:t>
      </w:r>
      <w:r w:rsidRPr="00740C7F">
        <w:rPr>
          <w:b/>
          <w:bCs/>
        </w:rPr>
        <w:br/>
      </w:r>
      <w:r w:rsidRPr="00740C7F">
        <w:rPr>
          <w:i/>
          <w:iCs/>
        </w:rPr>
        <w:t>Mr</w:t>
      </w:r>
      <w:r w:rsidR="00A03629" w:rsidRPr="00740C7F">
        <w:rPr>
          <w:i/>
          <w:iCs/>
        </w:rPr>
        <w:t xml:space="preserve"> </w:t>
      </w:r>
      <w:r w:rsidRPr="00740C7F">
        <w:rPr>
          <w:i/>
          <w:iCs/>
        </w:rPr>
        <w:t>Steve</w:t>
      </w:r>
      <w:r w:rsidR="00A03629" w:rsidRPr="00740C7F">
        <w:rPr>
          <w:i/>
          <w:iCs/>
        </w:rPr>
        <w:t xml:space="preserve"> </w:t>
      </w:r>
      <w:r w:rsidRPr="00740C7F">
        <w:rPr>
          <w:i/>
          <w:iCs/>
        </w:rPr>
        <w:t>Dimopoulos</w:t>
      </w:r>
      <w:r w:rsidRPr="00740C7F">
        <w:rPr>
          <w:i/>
          <w:iCs/>
        </w:rPr>
        <w:br/>
      </w:r>
      <w:r w:rsidRPr="00740C7F">
        <w:t>1</w:t>
      </w:r>
      <w:r w:rsidR="00A03629" w:rsidRPr="00740C7F">
        <w:t xml:space="preserve"> </w:t>
      </w:r>
      <w:r w:rsidRPr="00740C7F">
        <w:t>January</w:t>
      </w:r>
      <w:r w:rsidR="00A03629" w:rsidRPr="00740C7F">
        <w:t xml:space="preserve"> </w:t>
      </w:r>
      <w:r w:rsidRPr="00740C7F">
        <w:t>2023</w:t>
      </w:r>
      <w:r w:rsidR="00A03629" w:rsidRPr="00740C7F">
        <w:t xml:space="preserve"> </w:t>
      </w:r>
      <w:r w:rsidRPr="00740C7F">
        <w:t>to</w:t>
      </w:r>
      <w:r w:rsidR="00A03629" w:rsidRPr="00740C7F">
        <w:t xml:space="preserve"> </w:t>
      </w:r>
      <w:r w:rsidRPr="00740C7F">
        <w:t>30</w:t>
      </w:r>
      <w:r w:rsidR="00A03629" w:rsidRPr="00740C7F">
        <w:t xml:space="preserve"> </w:t>
      </w:r>
      <w:r w:rsidRPr="00740C7F">
        <w:t>June</w:t>
      </w:r>
      <w:r w:rsidR="00A03629" w:rsidRPr="00740C7F">
        <w:t xml:space="preserve"> </w:t>
      </w:r>
      <w:r w:rsidRPr="00740C7F">
        <w:t>2023</w:t>
      </w:r>
    </w:p>
    <w:p w14:paraId="4901A1E8" w14:textId="0112298E" w:rsidR="000756EB" w:rsidRPr="00740C7F" w:rsidRDefault="004A4D88" w:rsidP="00740C7F">
      <w:r w:rsidRPr="00740C7F">
        <w:rPr>
          <w:b/>
          <w:bCs/>
        </w:rPr>
        <w:t>Minister</w:t>
      </w:r>
      <w:r w:rsidR="00A03629" w:rsidRPr="00740C7F">
        <w:rPr>
          <w:b/>
          <w:bCs/>
        </w:rPr>
        <w:t xml:space="preserve"> </w:t>
      </w:r>
      <w:r w:rsidRPr="00740C7F">
        <w:rPr>
          <w:b/>
          <w:bCs/>
        </w:rPr>
        <w:t>for</w:t>
      </w:r>
      <w:r w:rsidR="00A03629" w:rsidRPr="00740C7F">
        <w:rPr>
          <w:b/>
          <w:bCs/>
        </w:rPr>
        <w:t xml:space="preserve"> </w:t>
      </w:r>
      <w:r w:rsidRPr="00740C7F">
        <w:rPr>
          <w:b/>
          <w:bCs/>
        </w:rPr>
        <w:t>Suburban</w:t>
      </w:r>
      <w:r w:rsidR="00A03629" w:rsidRPr="00740C7F">
        <w:rPr>
          <w:b/>
          <w:bCs/>
        </w:rPr>
        <w:t xml:space="preserve"> </w:t>
      </w:r>
      <w:r w:rsidRPr="00740C7F">
        <w:rPr>
          <w:b/>
          <w:bCs/>
        </w:rPr>
        <w:t>Development</w:t>
      </w:r>
      <w:r w:rsidRPr="00740C7F">
        <w:rPr>
          <w:b/>
          <w:bCs/>
        </w:rPr>
        <w:br/>
        <w:t>Minister</w:t>
      </w:r>
      <w:r w:rsidR="00A03629" w:rsidRPr="00740C7F">
        <w:rPr>
          <w:b/>
          <w:bCs/>
        </w:rPr>
        <w:t xml:space="preserve"> </w:t>
      </w:r>
      <w:r w:rsidRPr="00740C7F">
        <w:rPr>
          <w:b/>
          <w:bCs/>
        </w:rPr>
        <w:t>for</w:t>
      </w:r>
      <w:r w:rsidR="00A03629" w:rsidRPr="00740C7F">
        <w:rPr>
          <w:b/>
          <w:bCs/>
        </w:rPr>
        <w:t xml:space="preserve"> </w:t>
      </w:r>
      <w:r w:rsidRPr="00740C7F">
        <w:rPr>
          <w:b/>
          <w:bCs/>
        </w:rPr>
        <w:t>Community</w:t>
      </w:r>
      <w:r w:rsidR="00A03629" w:rsidRPr="00740C7F">
        <w:rPr>
          <w:b/>
          <w:bCs/>
        </w:rPr>
        <w:t xml:space="preserve"> </w:t>
      </w:r>
      <w:r w:rsidRPr="00740C7F">
        <w:rPr>
          <w:b/>
          <w:bCs/>
        </w:rPr>
        <w:t>Sport</w:t>
      </w:r>
      <w:r w:rsidRPr="00740C7F">
        <w:rPr>
          <w:b/>
          <w:bCs/>
        </w:rPr>
        <w:br/>
      </w:r>
      <w:r w:rsidRPr="00740C7F">
        <w:rPr>
          <w:i/>
          <w:iCs/>
        </w:rPr>
        <w:t>The</w:t>
      </w:r>
      <w:r w:rsidR="00A03629" w:rsidRPr="00740C7F">
        <w:rPr>
          <w:i/>
          <w:iCs/>
        </w:rPr>
        <w:t xml:space="preserve"> </w:t>
      </w:r>
      <w:r w:rsidRPr="00740C7F">
        <w:rPr>
          <w:i/>
          <w:iCs/>
        </w:rPr>
        <w:t>Hon.</w:t>
      </w:r>
      <w:r w:rsidR="00A03629" w:rsidRPr="00740C7F">
        <w:rPr>
          <w:i/>
          <w:iCs/>
        </w:rPr>
        <w:t xml:space="preserve"> </w:t>
      </w:r>
      <w:r w:rsidRPr="00740C7F">
        <w:rPr>
          <w:i/>
          <w:iCs/>
        </w:rPr>
        <w:t>Ros</w:t>
      </w:r>
      <w:r w:rsidR="00A03629" w:rsidRPr="00740C7F">
        <w:rPr>
          <w:i/>
          <w:iCs/>
        </w:rPr>
        <w:t xml:space="preserve"> </w:t>
      </w:r>
      <w:r w:rsidRPr="00740C7F">
        <w:rPr>
          <w:i/>
          <w:iCs/>
        </w:rPr>
        <w:t>Spence</w:t>
      </w:r>
      <w:r w:rsidRPr="00740C7F">
        <w:rPr>
          <w:i/>
          <w:iCs/>
        </w:rPr>
        <w:br/>
      </w:r>
      <w:r w:rsidRPr="00740C7F">
        <w:t>1</w:t>
      </w:r>
      <w:r w:rsidR="00A03629" w:rsidRPr="00740C7F">
        <w:t xml:space="preserve"> </w:t>
      </w:r>
      <w:r w:rsidRPr="00740C7F">
        <w:t>January</w:t>
      </w:r>
      <w:r w:rsidR="00A03629" w:rsidRPr="00740C7F">
        <w:t xml:space="preserve"> </w:t>
      </w:r>
      <w:r w:rsidRPr="00740C7F">
        <w:t>2023</w:t>
      </w:r>
      <w:r w:rsidR="00A03629" w:rsidRPr="00740C7F">
        <w:t xml:space="preserve"> </w:t>
      </w:r>
      <w:r w:rsidRPr="00740C7F">
        <w:t>to</w:t>
      </w:r>
      <w:r w:rsidR="00A03629" w:rsidRPr="00740C7F">
        <w:t xml:space="preserve"> </w:t>
      </w:r>
      <w:r w:rsidRPr="00740C7F">
        <w:t>30</w:t>
      </w:r>
      <w:r w:rsidR="00A03629" w:rsidRPr="00740C7F">
        <w:t xml:space="preserve"> </w:t>
      </w:r>
      <w:r w:rsidRPr="00740C7F">
        <w:t>June</w:t>
      </w:r>
      <w:r w:rsidR="00A03629" w:rsidRPr="00740C7F">
        <w:t xml:space="preserve"> </w:t>
      </w:r>
      <w:r w:rsidRPr="00740C7F">
        <w:t>2023</w:t>
      </w:r>
    </w:p>
    <w:p w14:paraId="5EAD2383" w14:textId="4906EFDC" w:rsidR="000756EB" w:rsidRPr="00740C7F" w:rsidRDefault="004A4D88" w:rsidP="00740C7F">
      <w:r w:rsidRPr="00740C7F">
        <w:rPr>
          <w:b/>
          <w:bCs/>
        </w:rPr>
        <w:t>Minister</w:t>
      </w:r>
      <w:r w:rsidR="00A03629" w:rsidRPr="00740C7F">
        <w:rPr>
          <w:b/>
          <w:bCs/>
        </w:rPr>
        <w:t xml:space="preserve"> </w:t>
      </w:r>
      <w:r w:rsidRPr="00740C7F">
        <w:rPr>
          <w:b/>
          <w:bCs/>
        </w:rPr>
        <w:t>for</w:t>
      </w:r>
      <w:r w:rsidR="00A03629" w:rsidRPr="00740C7F">
        <w:rPr>
          <w:b/>
          <w:bCs/>
        </w:rPr>
        <w:t xml:space="preserve"> </w:t>
      </w:r>
      <w:r w:rsidRPr="00740C7F">
        <w:rPr>
          <w:b/>
          <w:bCs/>
        </w:rPr>
        <w:t>Commonwealth</w:t>
      </w:r>
      <w:r w:rsidR="00A03629" w:rsidRPr="00740C7F">
        <w:rPr>
          <w:b/>
          <w:bCs/>
        </w:rPr>
        <w:t xml:space="preserve"> </w:t>
      </w:r>
      <w:r w:rsidRPr="00740C7F">
        <w:rPr>
          <w:b/>
          <w:bCs/>
        </w:rPr>
        <w:t>Games</w:t>
      </w:r>
      <w:r w:rsidR="00A03629" w:rsidRPr="00740C7F">
        <w:rPr>
          <w:b/>
          <w:bCs/>
        </w:rPr>
        <w:t xml:space="preserve"> </w:t>
      </w:r>
      <w:r w:rsidRPr="00740C7F">
        <w:rPr>
          <w:b/>
          <w:bCs/>
        </w:rPr>
        <w:t>Delivery</w:t>
      </w:r>
      <w:r w:rsidRPr="00740C7F">
        <w:rPr>
          <w:b/>
          <w:bCs/>
        </w:rPr>
        <w:br/>
      </w:r>
      <w:r w:rsidRPr="00740C7F">
        <w:rPr>
          <w:i/>
          <w:iCs/>
        </w:rPr>
        <w:t>The</w:t>
      </w:r>
      <w:r w:rsidR="00A03629" w:rsidRPr="00740C7F">
        <w:rPr>
          <w:i/>
          <w:iCs/>
        </w:rPr>
        <w:t xml:space="preserve"> </w:t>
      </w:r>
      <w:r w:rsidRPr="00740C7F">
        <w:rPr>
          <w:i/>
          <w:iCs/>
        </w:rPr>
        <w:t>Hon.</w:t>
      </w:r>
      <w:r w:rsidR="00A03629" w:rsidRPr="00740C7F">
        <w:rPr>
          <w:i/>
          <w:iCs/>
        </w:rPr>
        <w:t xml:space="preserve"> </w:t>
      </w:r>
      <w:r w:rsidRPr="00740C7F">
        <w:rPr>
          <w:i/>
          <w:iCs/>
        </w:rPr>
        <w:t>Jacinta</w:t>
      </w:r>
      <w:r w:rsidR="00A03629" w:rsidRPr="00740C7F">
        <w:rPr>
          <w:i/>
          <w:iCs/>
        </w:rPr>
        <w:t xml:space="preserve"> </w:t>
      </w:r>
      <w:r w:rsidRPr="00740C7F">
        <w:rPr>
          <w:i/>
          <w:iCs/>
        </w:rPr>
        <w:t>Allan</w:t>
      </w:r>
      <w:r w:rsidRPr="00740C7F">
        <w:rPr>
          <w:i/>
          <w:iCs/>
        </w:rPr>
        <w:br/>
      </w:r>
      <w:r w:rsidRPr="00740C7F">
        <w:t>1</w:t>
      </w:r>
      <w:r w:rsidR="00A03629" w:rsidRPr="00740C7F">
        <w:t xml:space="preserve"> </w:t>
      </w:r>
      <w:r w:rsidRPr="00740C7F">
        <w:t>January</w:t>
      </w:r>
      <w:r w:rsidR="00A03629" w:rsidRPr="00740C7F">
        <w:t xml:space="preserve"> </w:t>
      </w:r>
      <w:r w:rsidRPr="00740C7F">
        <w:t>2023</w:t>
      </w:r>
      <w:r w:rsidR="00A03629" w:rsidRPr="00740C7F">
        <w:t xml:space="preserve"> </w:t>
      </w:r>
      <w:r w:rsidRPr="00740C7F">
        <w:t>to</w:t>
      </w:r>
      <w:r w:rsidR="00A03629" w:rsidRPr="00740C7F">
        <w:t xml:space="preserve"> </w:t>
      </w:r>
      <w:r w:rsidRPr="00740C7F">
        <w:t>30</w:t>
      </w:r>
      <w:r w:rsidR="00A03629" w:rsidRPr="00740C7F">
        <w:t xml:space="preserve"> </w:t>
      </w:r>
      <w:r w:rsidRPr="00740C7F">
        <w:t>June</w:t>
      </w:r>
      <w:r w:rsidR="00A03629" w:rsidRPr="00740C7F">
        <w:t xml:space="preserve"> </w:t>
      </w:r>
      <w:r w:rsidRPr="00740C7F">
        <w:t>2023</w:t>
      </w:r>
    </w:p>
    <w:p w14:paraId="333842EA" w14:textId="2CA73BC6" w:rsidR="000756EB" w:rsidRPr="00740C7F" w:rsidRDefault="004A4D88" w:rsidP="00740C7F">
      <w:r w:rsidRPr="00740C7F">
        <w:rPr>
          <w:b/>
          <w:bCs/>
        </w:rPr>
        <w:t>Minister</w:t>
      </w:r>
      <w:r w:rsidR="00A03629" w:rsidRPr="00740C7F">
        <w:rPr>
          <w:b/>
          <w:bCs/>
        </w:rPr>
        <w:t xml:space="preserve"> </w:t>
      </w:r>
      <w:r w:rsidRPr="00740C7F">
        <w:rPr>
          <w:b/>
          <w:bCs/>
        </w:rPr>
        <w:t>for</w:t>
      </w:r>
      <w:r w:rsidR="00A03629" w:rsidRPr="00740C7F">
        <w:rPr>
          <w:b/>
          <w:bCs/>
        </w:rPr>
        <w:t xml:space="preserve"> </w:t>
      </w:r>
      <w:r w:rsidRPr="00740C7F">
        <w:rPr>
          <w:b/>
          <w:bCs/>
        </w:rPr>
        <w:t>Commonwealth</w:t>
      </w:r>
      <w:r w:rsidR="00A03629" w:rsidRPr="00740C7F">
        <w:rPr>
          <w:b/>
          <w:bCs/>
        </w:rPr>
        <w:t xml:space="preserve"> </w:t>
      </w:r>
      <w:r w:rsidRPr="00740C7F">
        <w:rPr>
          <w:b/>
          <w:bCs/>
        </w:rPr>
        <w:t>Games</w:t>
      </w:r>
      <w:r w:rsidR="00A03629" w:rsidRPr="00740C7F">
        <w:rPr>
          <w:b/>
          <w:bCs/>
        </w:rPr>
        <w:t xml:space="preserve"> </w:t>
      </w:r>
      <w:r w:rsidRPr="00740C7F">
        <w:rPr>
          <w:b/>
          <w:bCs/>
        </w:rPr>
        <w:t>Legacy</w:t>
      </w:r>
      <w:r w:rsidRPr="00740C7F">
        <w:rPr>
          <w:b/>
          <w:bCs/>
        </w:rPr>
        <w:br/>
        <w:t>Minister</w:t>
      </w:r>
      <w:r w:rsidR="00A03629" w:rsidRPr="00740C7F">
        <w:rPr>
          <w:b/>
          <w:bCs/>
        </w:rPr>
        <w:t xml:space="preserve"> </w:t>
      </w:r>
      <w:r w:rsidRPr="00740C7F">
        <w:rPr>
          <w:b/>
          <w:bCs/>
        </w:rPr>
        <w:t>for</w:t>
      </w:r>
      <w:r w:rsidR="00A03629" w:rsidRPr="00740C7F">
        <w:rPr>
          <w:b/>
          <w:bCs/>
        </w:rPr>
        <w:t xml:space="preserve"> </w:t>
      </w:r>
      <w:r w:rsidRPr="00740C7F">
        <w:rPr>
          <w:b/>
          <w:bCs/>
        </w:rPr>
        <w:t>Regional</w:t>
      </w:r>
      <w:r w:rsidR="00A03629" w:rsidRPr="00740C7F">
        <w:rPr>
          <w:b/>
          <w:bCs/>
        </w:rPr>
        <w:t xml:space="preserve"> </w:t>
      </w:r>
      <w:r w:rsidRPr="00740C7F">
        <w:rPr>
          <w:b/>
          <w:bCs/>
        </w:rPr>
        <w:t>Development</w:t>
      </w:r>
      <w:r w:rsidRPr="00740C7F">
        <w:rPr>
          <w:b/>
          <w:bCs/>
        </w:rPr>
        <w:br/>
      </w:r>
      <w:r w:rsidRPr="00740C7F">
        <w:rPr>
          <w:i/>
          <w:iCs/>
        </w:rPr>
        <w:t>The</w:t>
      </w:r>
      <w:r w:rsidR="00A03629" w:rsidRPr="00740C7F">
        <w:rPr>
          <w:i/>
          <w:iCs/>
        </w:rPr>
        <w:t xml:space="preserve"> </w:t>
      </w:r>
      <w:r w:rsidRPr="00740C7F">
        <w:rPr>
          <w:i/>
          <w:iCs/>
        </w:rPr>
        <w:t>Hon.</w:t>
      </w:r>
      <w:r w:rsidR="00A03629" w:rsidRPr="00740C7F">
        <w:rPr>
          <w:i/>
          <w:iCs/>
        </w:rPr>
        <w:t xml:space="preserve"> </w:t>
      </w:r>
      <w:r w:rsidRPr="00740C7F">
        <w:rPr>
          <w:i/>
          <w:iCs/>
        </w:rPr>
        <w:t>Harriet</w:t>
      </w:r>
      <w:r w:rsidR="00A03629" w:rsidRPr="00740C7F">
        <w:rPr>
          <w:i/>
          <w:iCs/>
        </w:rPr>
        <w:t xml:space="preserve"> </w:t>
      </w:r>
      <w:r w:rsidRPr="00740C7F">
        <w:rPr>
          <w:i/>
          <w:iCs/>
        </w:rPr>
        <w:t>Shing</w:t>
      </w:r>
      <w:r w:rsidRPr="00740C7F">
        <w:rPr>
          <w:i/>
          <w:iCs/>
        </w:rPr>
        <w:br/>
      </w:r>
      <w:r w:rsidRPr="00740C7F">
        <w:t>1</w:t>
      </w:r>
      <w:r w:rsidR="00A03629" w:rsidRPr="00740C7F">
        <w:t xml:space="preserve"> </w:t>
      </w:r>
      <w:r w:rsidRPr="00740C7F">
        <w:t>January</w:t>
      </w:r>
      <w:r w:rsidR="00A03629" w:rsidRPr="00740C7F">
        <w:t xml:space="preserve"> </w:t>
      </w:r>
      <w:r w:rsidRPr="00740C7F">
        <w:t>2023</w:t>
      </w:r>
      <w:r w:rsidR="00A03629" w:rsidRPr="00740C7F">
        <w:t xml:space="preserve"> </w:t>
      </w:r>
      <w:r w:rsidRPr="00740C7F">
        <w:t>to</w:t>
      </w:r>
      <w:r w:rsidR="00A03629" w:rsidRPr="00740C7F">
        <w:t xml:space="preserve"> </w:t>
      </w:r>
      <w:r w:rsidRPr="00740C7F">
        <w:t>30</w:t>
      </w:r>
      <w:r w:rsidR="00A03629" w:rsidRPr="00740C7F">
        <w:t xml:space="preserve"> </w:t>
      </w:r>
      <w:r w:rsidRPr="00740C7F">
        <w:t>June</w:t>
      </w:r>
      <w:r w:rsidR="00A03629" w:rsidRPr="00740C7F">
        <w:t xml:space="preserve"> </w:t>
      </w:r>
      <w:r w:rsidRPr="00740C7F">
        <w:t>2023</w:t>
      </w:r>
    </w:p>
    <w:p w14:paraId="106BDB2F" w14:textId="19FB0616" w:rsidR="000756EB" w:rsidRPr="00740C7F" w:rsidRDefault="004A4D88" w:rsidP="00740C7F">
      <w:r w:rsidRPr="00740C7F">
        <w:rPr>
          <w:b/>
          <w:bCs/>
        </w:rPr>
        <w:t>Minister</w:t>
      </w:r>
      <w:r w:rsidR="00A03629" w:rsidRPr="00740C7F">
        <w:rPr>
          <w:b/>
          <w:bCs/>
        </w:rPr>
        <w:t xml:space="preserve"> </w:t>
      </w:r>
      <w:r w:rsidRPr="00740C7F">
        <w:rPr>
          <w:b/>
          <w:bCs/>
        </w:rPr>
        <w:t>for</w:t>
      </w:r>
      <w:r w:rsidR="00A03629" w:rsidRPr="00740C7F">
        <w:rPr>
          <w:b/>
          <w:bCs/>
        </w:rPr>
        <w:t xml:space="preserve"> </w:t>
      </w:r>
      <w:r w:rsidRPr="00740C7F">
        <w:rPr>
          <w:b/>
          <w:bCs/>
        </w:rPr>
        <w:t>Outdoor</w:t>
      </w:r>
      <w:r w:rsidR="00A03629" w:rsidRPr="00740C7F">
        <w:rPr>
          <w:b/>
          <w:bCs/>
        </w:rPr>
        <w:t xml:space="preserve"> </w:t>
      </w:r>
      <w:r w:rsidRPr="00740C7F">
        <w:rPr>
          <w:b/>
          <w:bCs/>
        </w:rPr>
        <w:t>Recreation</w:t>
      </w:r>
      <w:r w:rsidRPr="00740C7F">
        <w:rPr>
          <w:b/>
          <w:bCs/>
        </w:rPr>
        <w:br/>
      </w:r>
      <w:r w:rsidRPr="00740C7F">
        <w:rPr>
          <w:i/>
          <w:iCs/>
        </w:rPr>
        <w:t>The</w:t>
      </w:r>
      <w:r w:rsidR="00A03629" w:rsidRPr="00740C7F">
        <w:rPr>
          <w:i/>
          <w:iCs/>
        </w:rPr>
        <w:t xml:space="preserve"> </w:t>
      </w:r>
      <w:r w:rsidRPr="00740C7F">
        <w:rPr>
          <w:i/>
          <w:iCs/>
        </w:rPr>
        <w:t>Hon.</w:t>
      </w:r>
      <w:r w:rsidR="00A03629" w:rsidRPr="00740C7F">
        <w:rPr>
          <w:i/>
          <w:iCs/>
        </w:rPr>
        <w:t xml:space="preserve"> </w:t>
      </w:r>
      <w:r w:rsidRPr="00740C7F">
        <w:rPr>
          <w:i/>
          <w:iCs/>
        </w:rPr>
        <w:t>Sonya</w:t>
      </w:r>
      <w:r w:rsidR="00A03629" w:rsidRPr="00740C7F">
        <w:rPr>
          <w:i/>
          <w:iCs/>
        </w:rPr>
        <w:t xml:space="preserve"> </w:t>
      </w:r>
      <w:r w:rsidRPr="00740C7F">
        <w:rPr>
          <w:i/>
          <w:iCs/>
        </w:rPr>
        <w:t>Kilkenny</w:t>
      </w:r>
      <w:r w:rsidRPr="00740C7F">
        <w:rPr>
          <w:i/>
          <w:iCs/>
        </w:rPr>
        <w:br/>
      </w:r>
      <w:r w:rsidRPr="00740C7F">
        <w:t>1</w:t>
      </w:r>
      <w:r w:rsidR="00A03629" w:rsidRPr="00740C7F">
        <w:t xml:space="preserve"> </w:t>
      </w:r>
      <w:r w:rsidRPr="00740C7F">
        <w:t>January</w:t>
      </w:r>
      <w:r w:rsidR="00A03629" w:rsidRPr="00740C7F">
        <w:t xml:space="preserve"> </w:t>
      </w:r>
      <w:r w:rsidRPr="00740C7F">
        <w:t>2023</w:t>
      </w:r>
      <w:r w:rsidR="00A03629" w:rsidRPr="00740C7F">
        <w:t xml:space="preserve"> </w:t>
      </w:r>
      <w:r w:rsidRPr="00740C7F">
        <w:t>to</w:t>
      </w:r>
      <w:r w:rsidR="00A03629" w:rsidRPr="00740C7F">
        <w:t xml:space="preserve"> </w:t>
      </w:r>
      <w:r w:rsidRPr="00740C7F">
        <w:t>30</w:t>
      </w:r>
      <w:r w:rsidR="00A03629" w:rsidRPr="00740C7F">
        <w:t xml:space="preserve"> </w:t>
      </w:r>
      <w:r w:rsidRPr="00740C7F">
        <w:t>June</w:t>
      </w:r>
      <w:r w:rsidR="00A03629" w:rsidRPr="00740C7F">
        <w:t xml:space="preserve"> </w:t>
      </w:r>
      <w:r w:rsidRPr="00740C7F">
        <w:t>2023</w:t>
      </w:r>
    </w:p>
    <w:p w14:paraId="14C45B31" w14:textId="4F7E33A6" w:rsidR="000756EB" w:rsidRDefault="004A4D88" w:rsidP="00740C7F">
      <w:r w:rsidRPr="00740C7F">
        <w:rPr>
          <w:b/>
          <w:bCs/>
        </w:rPr>
        <w:t>Minister</w:t>
      </w:r>
      <w:r w:rsidR="00A03629" w:rsidRPr="00740C7F">
        <w:rPr>
          <w:b/>
          <w:bCs/>
        </w:rPr>
        <w:t xml:space="preserve"> </w:t>
      </w:r>
      <w:r w:rsidRPr="00740C7F">
        <w:rPr>
          <w:b/>
          <w:bCs/>
        </w:rPr>
        <w:t>for</w:t>
      </w:r>
      <w:r w:rsidR="00A03629" w:rsidRPr="00740C7F">
        <w:rPr>
          <w:b/>
          <w:bCs/>
        </w:rPr>
        <w:t xml:space="preserve"> </w:t>
      </w:r>
      <w:r w:rsidRPr="00740C7F">
        <w:rPr>
          <w:b/>
          <w:bCs/>
        </w:rPr>
        <w:t>Small</w:t>
      </w:r>
      <w:r w:rsidR="00A03629" w:rsidRPr="00740C7F">
        <w:rPr>
          <w:b/>
          <w:bCs/>
        </w:rPr>
        <w:t xml:space="preserve"> </w:t>
      </w:r>
      <w:r w:rsidRPr="00740C7F">
        <w:rPr>
          <w:b/>
          <w:bCs/>
        </w:rPr>
        <w:t>Business</w:t>
      </w:r>
      <w:r w:rsidRPr="00740C7F">
        <w:rPr>
          <w:b/>
          <w:bCs/>
        </w:rPr>
        <w:br/>
      </w:r>
      <w:r w:rsidRPr="00740C7F">
        <w:rPr>
          <w:i/>
          <w:iCs/>
        </w:rPr>
        <w:t>The</w:t>
      </w:r>
      <w:r w:rsidR="00A03629" w:rsidRPr="00740C7F">
        <w:rPr>
          <w:i/>
          <w:iCs/>
        </w:rPr>
        <w:t xml:space="preserve"> </w:t>
      </w:r>
      <w:r w:rsidRPr="00740C7F">
        <w:rPr>
          <w:i/>
          <w:iCs/>
        </w:rPr>
        <w:t>Hon.</w:t>
      </w:r>
      <w:r w:rsidR="00A03629" w:rsidRPr="00740C7F">
        <w:rPr>
          <w:i/>
          <w:iCs/>
        </w:rPr>
        <w:t xml:space="preserve"> </w:t>
      </w:r>
      <w:r w:rsidRPr="00740C7F">
        <w:rPr>
          <w:i/>
          <w:iCs/>
        </w:rPr>
        <w:t>Natalie</w:t>
      </w:r>
      <w:r w:rsidR="00A03629" w:rsidRPr="00740C7F">
        <w:rPr>
          <w:i/>
          <w:iCs/>
        </w:rPr>
        <w:t xml:space="preserve"> </w:t>
      </w:r>
      <w:r w:rsidRPr="00740C7F">
        <w:rPr>
          <w:i/>
          <w:iCs/>
        </w:rPr>
        <w:t>Suleyman</w:t>
      </w:r>
      <w:r w:rsidRPr="00740C7F">
        <w:rPr>
          <w:i/>
          <w:iCs/>
        </w:rPr>
        <w:br/>
      </w:r>
      <w:r>
        <w:t>1</w:t>
      </w:r>
      <w:r w:rsidR="00A03629">
        <w:t xml:space="preserve"> </w:t>
      </w:r>
      <w:r>
        <w:t>January</w:t>
      </w:r>
      <w:r w:rsidR="00A03629">
        <w:t xml:space="preserve"> </w:t>
      </w:r>
      <w:r>
        <w:t>2023</w:t>
      </w:r>
      <w:r w:rsidR="00A03629">
        <w:t xml:space="preserve"> </w:t>
      </w:r>
      <w:r>
        <w:t>to</w:t>
      </w:r>
      <w:r w:rsidR="00A03629">
        <w:t xml:space="preserve"> </w:t>
      </w:r>
      <w:r>
        <w:t>30</w:t>
      </w:r>
      <w:r w:rsidR="00A03629">
        <w:t xml:space="preserve"> </w:t>
      </w:r>
      <w:r>
        <w:t>June</w:t>
      </w:r>
      <w:r w:rsidR="00A03629">
        <w:t xml:space="preserve"> </w:t>
      </w:r>
      <w:r>
        <w:t>2023</w:t>
      </w:r>
    </w:p>
    <w:p w14:paraId="4BEB145B" w14:textId="5AB4C2BB" w:rsidR="000756EB" w:rsidRPr="00740C7F" w:rsidRDefault="004A4D88" w:rsidP="00740C7F">
      <w:pPr>
        <w:keepLines/>
      </w:pPr>
      <w:r w:rsidRPr="00740C7F">
        <w:rPr>
          <w:b/>
          <w:bCs/>
        </w:rPr>
        <w:lastRenderedPageBreak/>
        <w:t>Accountable</w:t>
      </w:r>
      <w:r w:rsidR="00A03629" w:rsidRPr="00740C7F">
        <w:rPr>
          <w:b/>
          <w:bCs/>
        </w:rPr>
        <w:t xml:space="preserve"> </w:t>
      </w:r>
      <w:r w:rsidRPr="00740C7F">
        <w:rPr>
          <w:b/>
          <w:bCs/>
        </w:rPr>
        <w:t>officers’</w:t>
      </w:r>
      <w:r w:rsidR="00A03629" w:rsidRPr="00740C7F">
        <w:rPr>
          <w:b/>
          <w:bCs/>
        </w:rPr>
        <w:t xml:space="preserve"> </w:t>
      </w:r>
      <w:r w:rsidRPr="00740C7F">
        <w:rPr>
          <w:b/>
          <w:bCs/>
        </w:rPr>
        <w:t>remuneration</w:t>
      </w:r>
      <w:r w:rsidRPr="00740C7F">
        <w:rPr>
          <w:b/>
          <w:bCs/>
        </w:rPr>
        <w:br/>
      </w:r>
      <w:r w:rsidRPr="00740C7F">
        <w:t>Total</w:t>
      </w:r>
      <w:r w:rsidR="00A03629" w:rsidRPr="00740C7F">
        <w:t xml:space="preserve"> </w:t>
      </w:r>
      <w:r w:rsidRPr="00740C7F">
        <w:t>remuneration</w:t>
      </w:r>
      <w:r w:rsidR="00A03629" w:rsidRPr="00740C7F">
        <w:t xml:space="preserve"> </w:t>
      </w:r>
      <w:r w:rsidRPr="00740C7F">
        <w:t>received</w:t>
      </w:r>
      <w:r w:rsidR="00A03629" w:rsidRPr="00740C7F">
        <w:t xml:space="preserve"> </w:t>
      </w:r>
      <w:r w:rsidRPr="00740C7F">
        <w:t>or</w:t>
      </w:r>
      <w:r w:rsidR="00A03629" w:rsidRPr="00740C7F">
        <w:t xml:space="preserve"> </w:t>
      </w:r>
      <w:r w:rsidRPr="00740C7F">
        <w:t>receivable</w:t>
      </w:r>
      <w:r w:rsidR="00A03629" w:rsidRPr="00740C7F">
        <w:t xml:space="preserve"> </w:t>
      </w:r>
      <w:r w:rsidRPr="00740C7F">
        <w:t>by</w:t>
      </w:r>
      <w:r w:rsidR="00A03629" w:rsidRPr="00740C7F">
        <w:t xml:space="preserve"> </w:t>
      </w:r>
      <w:r w:rsidRPr="00740C7F">
        <w:t>the</w:t>
      </w:r>
      <w:r w:rsidR="00A03629" w:rsidRPr="00740C7F">
        <w:t xml:space="preserve"> </w:t>
      </w:r>
      <w:r w:rsidRPr="00740C7F">
        <w:t>accountable</w:t>
      </w:r>
      <w:r w:rsidR="00A03629" w:rsidRPr="00740C7F">
        <w:t xml:space="preserve"> </w:t>
      </w:r>
      <w:r w:rsidRPr="00740C7F">
        <w:t>officer</w:t>
      </w:r>
      <w:r w:rsidR="00A03629" w:rsidRPr="00740C7F">
        <w:t xml:space="preserve"> </w:t>
      </w:r>
      <w:r w:rsidRPr="00740C7F">
        <w:t>in</w:t>
      </w:r>
      <w:r w:rsidR="00A03629" w:rsidRPr="00740C7F">
        <w:t xml:space="preserve"> </w:t>
      </w:r>
      <w:r w:rsidRPr="00740C7F">
        <w:t>connection</w:t>
      </w:r>
      <w:r w:rsidR="00A03629" w:rsidRPr="00740C7F">
        <w:t xml:space="preserve"> </w:t>
      </w:r>
      <w:r w:rsidRPr="00740C7F">
        <w:t>with</w:t>
      </w:r>
      <w:r w:rsidR="00A03629" w:rsidRPr="00740C7F">
        <w:t xml:space="preserve"> </w:t>
      </w:r>
      <w:r w:rsidRPr="00740C7F">
        <w:t>the</w:t>
      </w:r>
      <w:r w:rsidR="00A03629" w:rsidRPr="00740C7F">
        <w:t xml:space="preserve"> </w:t>
      </w:r>
      <w:r w:rsidRPr="00740C7F">
        <w:t>management</w:t>
      </w:r>
      <w:r w:rsidR="00A03629" w:rsidRPr="00740C7F">
        <w:t xml:space="preserve"> </w:t>
      </w:r>
      <w:r w:rsidRPr="00740C7F">
        <w:t>of</w:t>
      </w:r>
      <w:r w:rsidR="00A03629" w:rsidRPr="00740C7F">
        <w:t xml:space="preserve"> </w:t>
      </w:r>
      <w:r w:rsidRPr="00740C7F">
        <w:t>DJSIR</w:t>
      </w:r>
      <w:r w:rsidR="00A03629" w:rsidRPr="00740C7F">
        <w:t xml:space="preserve"> </w:t>
      </w:r>
      <w:r w:rsidRPr="00740C7F">
        <w:t>during</w:t>
      </w:r>
      <w:r w:rsidR="00A03629" w:rsidRPr="00740C7F">
        <w:t xml:space="preserve"> </w:t>
      </w:r>
      <w:r w:rsidRPr="00740C7F">
        <w:t>the</w:t>
      </w:r>
      <w:r w:rsidR="00A03629" w:rsidRPr="00740C7F">
        <w:t xml:space="preserve"> </w:t>
      </w:r>
      <w:r w:rsidRPr="00740C7F">
        <w:t>reporting</w:t>
      </w:r>
      <w:r w:rsidR="00A03629" w:rsidRPr="00740C7F">
        <w:t xml:space="preserve"> </w:t>
      </w:r>
      <w:r w:rsidRPr="00740C7F">
        <w:t>period</w:t>
      </w:r>
      <w:r w:rsidR="00A03629" w:rsidRPr="00740C7F">
        <w:t xml:space="preserve"> </w:t>
      </w:r>
      <w:r w:rsidRPr="00740C7F">
        <w:t>was</w:t>
      </w:r>
      <w:r w:rsidR="00A03629" w:rsidRPr="00740C7F">
        <w:t xml:space="preserve"> </w:t>
      </w:r>
      <w:r w:rsidRPr="00740C7F">
        <w:t>in</w:t>
      </w:r>
      <w:r w:rsidR="00A03629" w:rsidRPr="00740C7F">
        <w:t xml:space="preserve"> </w:t>
      </w:r>
      <w:r w:rsidRPr="00740C7F">
        <w:t>the</w:t>
      </w:r>
      <w:r w:rsidR="00A03629" w:rsidRPr="00740C7F">
        <w:t xml:space="preserve"> </w:t>
      </w:r>
      <w:r w:rsidRPr="00740C7F">
        <w:t>range</w:t>
      </w:r>
      <w:r w:rsidR="00A03629" w:rsidRPr="00740C7F">
        <w:t xml:space="preserve"> </w:t>
      </w:r>
      <w:r w:rsidRPr="00740C7F">
        <w:t>of</w:t>
      </w:r>
      <w:r w:rsidR="00A03629" w:rsidRPr="00740C7F">
        <w:t xml:space="preserve"> </w:t>
      </w:r>
      <w:r w:rsidRPr="00740C7F">
        <w:t>$1,050,000</w:t>
      </w:r>
      <w:r w:rsidR="00A03629" w:rsidRPr="00740C7F">
        <w:t xml:space="preserve"> </w:t>
      </w:r>
      <w:r w:rsidRPr="00740C7F">
        <w:t>–</w:t>
      </w:r>
      <w:r w:rsidR="00A03629" w:rsidRPr="00740C7F">
        <w:t xml:space="preserve"> </w:t>
      </w:r>
      <w:r w:rsidRPr="00740C7F">
        <w:t>$1,060,000</w:t>
      </w:r>
      <w:r w:rsidR="00A03629" w:rsidRPr="00614829">
        <w:rPr>
          <w:rStyle w:val="FootnotereferencessuperscriptMisc"/>
        </w:rPr>
        <w:t xml:space="preserve"> </w:t>
      </w:r>
      <w:r w:rsidRPr="00614829">
        <w:rPr>
          <w:rStyle w:val="FootnotereferencessuperscriptMisc"/>
        </w:rPr>
        <w:t>(</w:t>
      </w:r>
      <w:proofErr w:type="spellStart"/>
      <w:r w:rsidRPr="00614829">
        <w:rPr>
          <w:rStyle w:val="FootnotereferencessuperscriptMisc"/>
        </w:rPr>
        <w:t>i</w:t>
      </w:r>
      <w:proofErr w:type="spellEnd"/>
      <w:r w:rsidRPr="00614829">
        <w:rPr>
          <w:rStyle w:val="FootnotereferencessuperscriptMisc"/>
        </w:rPr>
        <w:t>)</w:t>
      </w:r>
      <w:r w:rsidR="00A03629" w:rsidRPr="00740C7F">
        <w:t xml:space="preserve"> </w:t>
      </w:r>
      <w:r w:rsidRPr="00740C7F">
        <w:t>(2022:</w:t>
      </w:r>
      <w:r w:rsidR="00A03629" w:rsidRPr="00740C7F">
        <w:t xml:space="preserve"> </w:t>
      </w:r>
      <w:r w:rsidRPr="00740C7F">
        <w:t>$590,000</w:t>
      </w:r>
      <w:r w:rsidR="00A03629" w:rsidRPr="00740C7F">
        <w:t xml:space="preserve"> </w:t>
      </w:r>
      <w:r w:rsidRPr="00740C7F">
        <w:t>–</w:t>
      </w:r>
      <w:r w:rsidR="00A03629" w:rsidRPr="00740C7F">
        <w:t xml:space="preserve"> </w:t>
      </w:r>
      <w:r w:rsidRPr="00740C7F">
        <w:t>$599,000).</w:t>
      </w:r>
    </w:p>
    <w:p w14:paraId="1478D1AF" w14:textId="400F969B" w:rsidR="000756EB" w:rsidRDefault="004A4D88" w:rsidP="00740C7F">
      <w:r>
        <w:t>The</w:t>
      </w:r>
      <w:r w:rsidR="00A03629">
        <w:t xml:space="preserve"> </w:t>
      </w:r>
      <w:r>
        <w:t>Ministers’</w:t>
      </w:r>
      <w:r w:rsidR="00A03629">
        <w:t xml:space="preserve"> </w:t>
      </w:r>
      <w:r>
        <w:t>remuneration</w:t>
      </w:r>
      <w:r w:rsidR="00A03629">
        <w:t xml:space="preserve"> </w:t>
      </w:r>
      <w:r>
        <w:t>and</w:t>
      </w:r>
      <w:r w:rsidR="00A03629">
        <w:t xml:space="preserve"> </w:t>
      </w:r>
      <w:r>
        <w:t>allowances</w:t>
      </w:r>
      <w:r w:rsidR="00A03629">
        <w:t xml:space="preserve"> </w:t>
      </w:r>
      <w:r>
        <w:t>are</w:t>
      </w:r>
      <w:r w:rsidR="00A03629">
        <w:t xml:space="preserve"> </w:t>
      </w:r>
      <w:r>
        <w:t>set</w:t>
      </w:r>
      <w:r w:rsidR="00A03629">
        <w:t xml:space="preserve"> </w:t>
      </w:r>
      <w:r>
        <w:t>by</w:t>
      </w:r>
      <w:r w:rsidR="00A03629">
        <w:t xml:space="preserve"> </w:t>
      </w:r>
      <w:r>
        <w:t>the</w:t>
      </w:r>
      <w:r w:rsidR="00A03629">
        <w:t xml:space="preserve"> </w:t>
      </w:r>
      <w:r w:rsidRPr="00740C7F">
        <w:rPr>
          <w:i/>
          <w:iCs/>
        </w:rPr>
        <w:t>Parliamentary</w:t>
      </w:r>
      <w:r w:rsidR="00A03629" w:rsidRPr="00740C7F">
        <w:rPr>
          <w:i/>
          <w:iCs/>
        </w:rPr>
        <w:t xml:space="preserve"> </w:t>
      </w:r>
      <w:r w:rsidRPr="00740C7F">
        <w:rPr>
          <w:i/>
          <w:iCs/>
        </w:rPr>
        <w:t>Salaries</w:t>
      </w:r>
      <w:r w:rsidR="00A03629" w:rsidRPr="00740C7F">
        <w:rPr>
          <w:i/>
          <w:iCs/>
        </w:rPr>
        <w:t xml:space="preserve"> </w:t>
      </w:r>
      <w:r w:rsidRPr="00740C7F">
        <w:rPr>
          <w:i/>
          <w:iCs/>
        </w:rPr>
        <w:t>and</w:t>
      </w:r>
      <w:r w:rsidR="00A03629" w:rsidRPr="00740C7F">
        <w:rPr>
          <w:i/>
          <w:iCs/>
        </w:rPr>
        <w:t xml:space="preserve"> </w:t>
      </w:r>
      <w:r w:rsidRPr="00740C7F">
        <w:rPr>
          <w:i/>
          <w:iCs/>
        </w:rPr>
        <w:t>Superannuation</w:t>
      </w:r>
      <w:r w:rsidR="00A03629" w:rsidRPr="00740C7F">
        <w:rPr>
          <w:i/>
          <w:iCs/>
        </w:rPr>
        <w:t xml:space="preserve"> </w:t>
      </w:r>
      <w:r w:rsidRPr="00740C7F">
        <w:rPr>
          <w:i/>
          <w:iCs/>
        </w:rPr>
        <w:t>Act</w:t>
      </w:r>
      <w:r w:rsidR="00A03629" w:rsidRPr="00740C7F">
        <w:rPr>
          <w:i/>
          <w:iCs/>
        </w:rPr>
        <w:t xml:space="preserve"> </w:t>
      </w:r>
      <w:r w:rsidRPr="00740C7F">
        <w:rPr>
          <w:i/>
          <w:iCs/>
        </w:rPr>
        <w:t>1968</w:t>
      </w:r>
      <w:r w:rsidR="00A03629" w:rsidRPr="00740C7F">
        <w:rPr>
          <w:i/>
          <w:iCs/>
        </w:rPr>
        <w:t xml:space="preserve"> </w:t>
      </w:r>
      <w:r>
        <w:t>and</w:t>
      </w:r>
      <w:r w:rsidR="00A03629">
        <w:t xml:space="preserve"> </w:t>
      </w:r>
      <w:r>
        <w:t>are</w:t>
      </w:r>
      <w:r w:rsidR="00A03629">
        <w:t xml:space="preserve"> </w:t>
      </w:r>
      <w:r>
        <w:t>reported</w:t>
      </w:r>
      <w:r w:rsidR="00A03629">
        <w:t xml:space="preserve"> </w:t>
      </w:r>
      <w:r>
        <w:t>within</w:t>
      </w:r>
      <w:r w:rsidR="00A03629">
        <w:t xml:space="preserve"> </w:t>
      </w:r>
      <w:r>
        <w:t>the</w:t>
      </w:r>
      <w:r w:rsidR="00A03629">
        <w:t xml:space="preserve"> </w:t>
      </w:r>
      <w:r>
        <w:t>State’s</w:t>
      </w:r>
      <w:r w:rsidR="00A03629">
        <w:t xml:space="preserve"> </w:t>
      </w:r>
      <w:r>
        <w:t>Annual</w:t>
      </w:r>
      <w:r w:rsidR="00A03629">
        <w:t xml:space="preserve"> </w:t>
      </w:r>
      <w:r>
        <w:t>Financial</w:t>
      </w:r>
      <w:r w:rsidR="00A03629">
        <w:t xml:space="preserve"> </w:t>
      </w:r>
      <w:r>
        <w:t>Report.</w:t>
      </w:r>
    </w:p>
    <w:p w14:paraId="7A10EC41" w14:textId="230B4003" w:rsidR="000756EB" w:rsidRDefault="004A4D88" w:rsidP="00740C7F">
      <w:pPr>
        <w:pStyle w:val="FootnoteText"/>
      </w:pPr>
      <w:r>
        <w:t>(</w:t>
      </w:r>
      <w:proofErr w:type="spellStart"/>
      <w:r>
        <w:t>i</w:t>
      </w:r>
      <w:proofErr w:type="spellEnd"/>
      <w:r>
        <w:t>)</w:t>
      </w:r>
      <w:r w:rsidR="00740C7F">
        <w:t xml:space="preserve"> </w:t>
      </w:r>
      <w:r>
        <w:t>The</w:t>
      </w:r>
      <w:r w:rsidR="00A03629">
        <w:t xml:space="preserve"> </w:t>
      </w:r>
      <w:r>
        <w:t>remuneration</w:t>
      </w:r>
      <w:r w:rsidR="00A03629">
        <w:t xml:space="preserve"> </w:t>
      </w:r>
      <w:r>
        <w:t>includes</w:t>
      </w:r>
      <w:r w:rsidR="00A03629">
        <w:t xml:space="preserve"> </w:t>
      </w:r>
      <w:r>
        <w:t>termination</w:t>
      </w:r>
      <w:r w:rsidR="00A03629">
        <w:t xml:space="preserve"> </w:t>
      </w:r>
      <w:r>
        <w:t>payment</w:t>
      </w:r>
      <w:r w:rsidR="00A03629">
        <w:t xml:space="preserve"> </w:t>
      </w:r>
      <w:r>
        <w:t>of</w:t>
      </w:r>
      <w:r w:rsidR="00A03629">
        <w:rPr>
          <w:rFonts w:ascii="Cambria" w:hAnsi="Cambria" w:cs="Cambria"/>
        </w:rPr>
        <w:t xml:space="preserve"> </w:t>
      </w:r>
      <w:r>
        <w:t>approximately</w:t>
      </w:r>
      <w:r w:rsidR="00A03629">
        <w:t xml:space="preserve"> </w:t>
      </w:r>
      <w:r>
        <w:t>$422k.</w:t>
      </w:r>
    </w:p>
    <w:p w14:paraId="764476F7" w14:textId="5797E98F" w:rsidR="000756EB" w:rsidRDefault="004A4D88" w:rsidP="00740C7F">
      <w:pPr>
        <w:pStyle w:val="Heading2"/>
      </w:pPr>
      <w:bookmarkStart w:id="149" w:name="_Toc149911844"/>
      <w:r>
        <w:t>9.7</w:t>
      </w:r>
      <w:r w:rsidR="00DE38B5">
        <w:t xml:space="preserve"> </w:t>
      </w:r>
      <w:r>
        <w:t>Remuneration</w:t>
      </w:r>
      <w:r w:rsidR="00A03629">
        <w:t xml:space="preserve"> </w:t>
      </w:r>
      <w:r>
        <w:t>of</w:t>
      </w:r>
      <w:r w:rsidR="00A03629">
        <w:t xml:space="preserve"> </w:t>
      </w:r>
      <w:r>
        <w:t>executives</w:t>
      </w:r>
      <w:bookmarkEnd w:id="149"/>
      <w:r w:rsidR="00A03629">
        <w:t xml:space="preserve"> </w:t>
      </w:r>
    </w:p>
    <w:p w14:paraId="3B94DD96" w14:textId="4E6FD2F4" w:rsidR="000756EB" w:rsidRDefault="004A4D88" w:rsidP="00740C7F">
      <w:r>
        <w:t>The</w:t>
      </w:r>
      <w:r w:rsidR="00A03629">
        <w:t xml:space="preserve"> </w:t>
      </w:r>
      <w:r>
        <w:t>number</w:t>
      </w:r>
      <w:r w:rsidR="00A03629">
        <w:t xml:space="preserve"> </w:t>
      </w:r>
      <w:r>
        <w:t>of</w:t>
      </w:r>
      <w:r w:rsidR="00A03629">
        <w:t xml:space="preserve"> </w:t>
      </w:r>
      <w:r>
        <w:t>executive</w:t>
      </w:r>
      <w:r w:rsidR="00A03629">
        <w:t xml:space="preserve"> </w:t>
      </w:r>
      <w:r>
        <w:t>officers,</w:t>
      </w:r>
      <w:r w:rsidR="00A03629">
        <w:t xml:space="preserve"> </w:t>
      </w:r>
      <w:r>
        <w:t>other</w:t>
      </w:r>
      <w:r w:rsidR="00A03629">
        <w:t xml:space="preserve"> </w:t>
      </w:r>
      <w:r>
        <w:t>than</w:t>
      </w:r>
      <w:r w:rsidR="00A03629">
        <w:t xml:space="preserve"> </w:t>
      </w:r>
      <w:r>
        <w:t>Ministers</w:t>
      </w:r>
      <w:r w:rsidR="00A03629">
        <w:t xml:space="preserve"> </w:t>
      </w:r>
      <w:r>
        <w:t>and</w:t>
      </w:r>
      <w:r w:rsidR="00A03629">
        <w:t xml:space="preserve"> </w:t>
      </w:r>
      <w:r>
        <w:t>accountable</w:t>
      </w:r>
      <w:r w:rsidR="00A03629">
        <w:t xml:space="preserve"> </w:t>
      </w:r>
      <w:r>
        <w:t>officers,</w:t>
      </w:r>
      <w:r w:rsidR="00A03629">
        <w:t xml:space="preserve"> </w:t>
      </w:r>
      <w:r>
        <w:t>and</w:t>
      </w:r>
      <w:r w:rsidR="00A03629">
        <w:t xml:space="preserve"> </w:t>
      </w:r>
      <w:r>
        <w:t>their</w:t>
      </w:r>
      <w:r w:rsidR="00A03629">
        <w:t xml:space="preserve"> </w:t>
      </w:r>
      <w:r>
        <w:t>total</w:t>
      </w:r>
      <w:r w:rsidR="00A03629">
        <w:rPr>
          <w:rFonts w:ascii="Cambria" w:hAnsi="Cambria" w:cs="Cambria"/>
        </w:rPr>
        <w:t xml:space="preserve"> </w:t>
      </w:r>
      <w:r>
        <w:t>remuneration</w:t>
      </w:r>
      <w:r w:rsidR="00A03629">
        <w:t xml:space="preserve"> </w:t>
      </w:r>
      <w:r>
        <w:t>during</w:t>
      </w:r>
      <w:r w:rsidR="00A03629">
        <w:t xml:space="preserve"> </w:t>
      </w:r>
      <w:r>
        <w:t>the</w:t>
      </w:r>
      <w:r w:rsidR="00A03629">
        <w:t xml:space="preserve"> </w:t>
      </w:r>
      <w:r>
        <w:t>reporting</w:t>
      </w:r>
      <w:r w:rsidR="00A03629">
        <w:t xml:space="preserve"> </w:t>
      </w:r>
      <w:r>
        <w:t>period</w:t>
      </w:r>
      <w:r w:rsidR="00A03629">
        <w:t xml:space="preserve"> </w:t>
      </w:r>
      <w:r>
        <w:t>are</w:t>
      </w:r>
      <w:r w:rsidR="00A03629">
        <w:t xml:space="preserve"> </w:t>
      </w:r>
      <w:r>
        <w:t>shown</w:t>
      </w:r>
      <w:r w:rsidR="00A03629">
        <w:t xml:space="preserve"> </w:t>
      </w:r>
      <w:r>
        <w:t>in</w:t>
      </w:r>
      <w:r w:rsidR="00A03629">
        <w:t xml:space="preserve"> </w:t>
      </w:r>
      <w:r>
        <w:t>the</w:t>
      </w:r>
      <w:r w:rsidR="00A03629">
        <w:t xml:space="preserve"> </w:t>
      </w:r>
      <w:r>
        <w:t>table</w:t>
      </w:r>
      <w:r w:rsidR="00A03629">
        <w:t xml:space="preserve"> </w:t>
      </w:r>
      <w:r>
        <w:t>on</w:t>
      </w:r>
      <w:r w:rsidR="00A03629">
        <w:t xml:space="preserve"> </w:t>
      </w:r>
      <w:r>
        <w:t>the</w:t>
      </w:r>
      <w:r w:rsidR="00A03629">
        <w:t xml:space="preserve"> </w:t>
      </w:r>
      <w:r>
        <w:t>following</w:t>
      </w:r>
      <w:r w:rsidR="00A03629">
        <w:t xml:space="preserve"> </w:t>
      </w:r>
      <w:r>
        <w:t>page.</w:t>
      </w:r>
      <w:r w:rsidR="00A03629">
        <w:t xml:space="preserve"> </w:t>
      </w:r>
      <w:r>
        <w:t>Total</w:t>
      </w:r>
      <w:r w:rsidR="00A03629">
        <w:rPr>
          <w:rFonts w:ascii="Cambria" w:hAnsi="Cambria" w:cs="Cambria"/>
        </w:rPr>
        <w:t xml:space="preserve"> </w:t>
      </w:r>
      <w:r>
        <w:t>annualised</w:t>
      </w:r>
      <w:r w:rsidR="00A03629">
        <w:t xml:space="preserve"> </w:t>
      </w:r>
      <w:r>
        <w:t>employee</w:t>
      </w:r>
      <w:r w:rsidR="00A03629">
        <w:t xml:space="preserve"> </w:t>
      </w:r>
      <w:r>
        <w:t>equivalents</w:t>
      </w:r>
      <w:r w:rsidR="00A03629">
        <w:t xml:space="preserve"> </w:t>
      </w:r>
      <w:r>
        <w:t>provide</w:t>
      </w:r>
      <w:r w:rsidR="00A03629">
        <w:t xml:space="preserve"> </w:t>
      </w:r>
      <w:r>
        <w:t>a</w:t>
      </w:r>
      <w:r w:rsidR="00A03629">
        <w:rPr>
          <w:rFonts w:ascii="Cambria" w:hAnsi="Cambria" w:cs="Cambria"/>
        </w:rPr>
        <w:t xml:space="preserve"> </w:t>
      </w:r>
      <w:r>
        <w:t>measure</w:t>
      </w:r>
      <w:r w:rsidR="00A03629">
        <w:t xml:space="preserve"> </w:t>
      </w:r>
      <w:r>
        <w:t>of</w:t>
      </w:r>
      <w:r w:rsidR="00A03629">
        <w:t xml:space="preserve"> </w:t>
      </w:r>
      <w:r>
        <w:t>full</w:t>
      </w:r>
      <w:r w:rsidR="00A03629">
        <w:t xml:space="preserve"> </w:t>
      </w:r>
      <w:r>
        <w:t>time</w:t>
      </w:r>
      <w:r w:rsidR="00A03629">
        <w:t xml:space="preserve"> </w:t>
      </w:r>
      <w:r>
        <w:t>equivalent</w:t>
      </w:r>
      <w:r w:rsidR="00A03629">
        <w:t xml:space="preserve"> </w:t>
      </w:r>
      <w:r>
        <w:t>executive</w:t>
      </w:r>
      <w:r w:rsidR="00A03629">
        <w:t xml:space="preserve"> </w:t>
      </w:r>
      <w:r>
        <w:t>officers</w:t>
      </w:r>
      <w:r w:rsidR="00A03629">
        <w:rPr>
          <w:rFonts w:ascii="Cambria" w:hAnsi="Cambria" w:cs="Cambria"/>
        </w:rPr>
        <w:t xml:space="preserve"> </w:t>
      </w:r>
      <w:r>
        <w:t>over</w:t>
      </w:r>
      <w:r w:rsidR="00A03629">
        <w:t xml:space="preserve"> </w:t>
      </w:r>
      <w:r>
        <w:t>the</w:t>
      </w:r>
      <w:r w:rsidR="00A03629">
        <w:t xml:space="preserve"> </w:t>
      </w:r>
      <w:r>
        <w:t>reporting</w:t>
      </w:r>
      <w:r w:rsidR="00A03629">
        <w:t xml:space="preserve"> </w:t>
      </w:r>
      <w:r>
        <w:t>period.</w:t>
      </w:r>
    </w:p>
    <w:p w14:paraId="5905A712" w14:textId="3F886BFF" w:rsidR="000756EB" w:rsidRDefault="004A4D88" w:rsidP="00740C7F">
      <w:r w:rsidRPr="00740C7F">
        <w:t>Remuneration</w:t>
      </w:r>
      <w:r w:rsidR="00A03629" w:rsidRPr="00740C7F">
        <w:t xml:space="preserve"> </w:t>
      </w:r>
      <w:r w:rsidRPr="00740C7F">
        <w:t>comprises</w:t>
      </w:r>
      <w:r w:rsidR="00A03629" w:rsidRPr="00740C7F">
        <w:t xml:space="preserve"> </w:t>
      </w:r>
      <w:r w:rsidRPr="00740C7F">
        <w:t>employee</w:t>
      </w:r>
      <w:r w:rsidR="00A03629" w:rsidRPr="00740C7F">
        <w:t xml:space="preserve"> </w:t>
      </w:r>
      <w:r w:rsidRPr="00740C7F">
        <w:t>benefits</w:t>
      </w:r>
      <w:r w:rsidR="00A03629" w:rsidRPr="00740C7F">
        <w:t xml:space="preserve"> </w:t>
      </w:r>
      <w:r w:rsidRPr="00740C7F">
        <w:t>(as</w:t>
      </w:r>
      <w:r w:rsidR="00A03629" w:rsidRPr="00740C7F">
        <w:t xml:space="preserve"> </w:t>
      </w:r>
      <w:r w:rsidRPr="00740C7F">
        <w:t>defined</w:t>
      </w:r>
      <w:r w:rsidR="00A03629" w:rsidRPr="00740C7F">
        <w:t xml:space="preserve"> </w:t>
      </w:r>
      <w:r w:rsidRPr="00740C7F">
        <w:t>in</w:t>
      </w:r>
      <w:r w:rsidR="00A03629" w:rsidRPr="00740C7F">
        <w:t xml:space="preserve"> </w:t>
      </w:r>
      <w:r w:rsidRPr="00740C7F">
        <w:t>AASB</w:t>
      </w:r>
      <w:r w:rsidR="00A03629" w:rsidRPr="00740C7F">
        <w:t xml:space="preserve"> </w:t>
      </w:r>
      <w:r w:rsidRPr="00740C7F">
        <w:t>119</w:t>
      </w:r>
      <w:r w:rsidR="00A03629">
        <w:rPr>
          <w:rFonts w:ascii="VIC" w:hAnsi="VIC" w:cs="VIC"/>
        </w:rPr>
        <w:t xml:space="preserve"> </w:t>
      </w:r>
      <w:r w:rsidRPr="00740C7F">
        <w:rPr>
          <w:i/>
          <w:iCs/>
        </w:rPr>
        <w:t>Employee</w:t>
      </w:r>
      <w:r w:rsidR="00A03629" w:rsidRPr="00740C7F">
        <w:rPr>
          <w:i/>
          <w:iCs/>
        </w:rPr>
        <w:t xml:space="preserve"> </w:t>
      </w:r>
      <w:r w:rsidRPr="00740C7F">
        <w:rPr>
          <w:i/>
          <w:iCs/>
        </w:rPr>
        <w:t>Benefits</w:t>
      </w:r>
      <w:r>
        <w:t>)</w:t>
      </w:r>
      <w:r w:rsidR="00A03629">
        <w:t xml:space="preserve"> </w:t>
      </w:r>
      <w:r>
        <w:t>in</w:t>
      </w:r>
      <w:r w:rsidR="00A03629">
        <w:t xml:space="preserve"> </w:t>
      </w:r>
      <w:r>
        <w:t>all</w:t>
      </w:r>
      <w:r w:rsidR="00A03629">
        <w:t xml:space="preserve"> </w:t>
      </w:r>
      <w:r>
        <w:t>forms</w:t>
      </w:r>
      <w:r w:rsidR="00A03629">
        <w:t xml:space="preserve"> </w:t>
      </w:r>
      <w:r>
        <w:t>of</w:t>
      </w:r>
      <w:r w:rsidR="00A03629">
        <w:t xml:space="preserve"> </w:t>
      </w:r>
      <w:r>
        <w:t>consideration</w:t>
      </w:r>
      <w:r w:rsidR="00A03629">
        <w:t xml:space="preserve"> </w:t>
      </w:r>
      <w:r>
        <w:t>paid,</w:t>
      </w:r>
      <w:r w:rsidR="00A03629">
        <w:t xml:space="preserve"> </w:t>
      </w:r>
      <w:r>
        <w:t>payable</w:t>
      </w:r>
      <w:r w:rsidR="00A03629">
        <w:t xml:space="preserve"> </w:t>
      </w:r>
      <w:r>
        <w:t>or</w:t>
      </w:r>
      <w:r w:rsidR="00A03629">
        <w:t xml:space="preserve"> </w:t>
      </w:r>
      <w:r>
        <w:t>provided</w:t>
      </w:r>
      <w:r w:rsidR="00A03629">
        <w:t xml:space="preserve"> </w:t>
      </w:r>
      <w:r>
        <w:t>by</w:t>
      </w:r>
      <w:r w:rsidR="00A03629">
        <w:t xml:space="preserve"> </w:t>
      </w:r>
      <w:r>
        <w:t>the</w:t>
      </w:r>
      <w:r w:rsidR="00A03629">
        <w:t xml:space="preserve"> </w:t>
      </w:r>
      <w:r>
        <w:t>entity,</w:t>
      </w:r>
      <w:r w:rsidR="00A03629">
        <w:t xml:space="preserve"> </w:t>
      </w:r>
      <w:r>
        <w:t>or</w:t>
      </w:r>
      <w:r w:rsidR="00A03629">
        <w:t xml:space="preserve"> </w:t>
      </w:r>
      <w:r>
        <w:t>on</w:t>
      </w:r>
      <w:r w:rsidR="00A03629">
        <w:t xml:space="preserve"> </w:t>
      </w:r>
      <w:r>
        <w:t>behalf</w:t>
      </w:r>
      <w:r w:rsidR="00A03629">
        <w:t xml:space="preserve"> </w:t>
      </w:r>
      <w:r>
        <w:t>of</w:t>
      </w:r>
      <w:r w:rsidR="00A03629">
        <w:t xml:space="preserve"> </w:t>
      </w:r>
      <w:r>
        <w:t>the</w:t>
      </w:r>
      <w:r w:rsidR="00A03629">
        <w:t xml:space="preserve"> </w:t>
      </w:r>
      <w:r>
        <w:t>entity,</w:t>
      </w:r>
      <w:r w:rsidR="00A03629">
        <w:t xml:space="preserve"> </w:t>
      </w:r>
      <w:r>
        <w:t>in</w:t>
      </w:r>
      <w:r w:rsidR="00A03629">
        <w:t xml:space="preserve"> </w:t>
      </w:r>
      <w:r>
        <w:t>exchange</w:t>
      </w:r>
      <w:r w:rsidR="00A03629">
        <w:t xml:space="preserve"> </w:t>
      </w:r>
      <w:r>
        <w:t>for</w:t>
      </w:r>
      <w:r w:rsidR="00A03629">
        <w:t xml:space="preserve"> </w:t>
      </w:r>
      <w:r>
        <w:t>services</w:t>
      </w:r>
      <w:r w:rsidR="00A03629">
        <w:t xml:space="preserve"> </w:t>
      </w:r>
      <w:r>
        <w:t>rendered.</w:t>
      </w:r>
      <w:r w:rsidR="00A03629">
        <w:t xml:space="preserve"> </w:t>
      </w:r>
      <w:r>
        <w:t>Accordingly,</w:t>
      </w:r>
      <w:r w:rsidR="00A03629">
        <w:t xml:space="preserve"> </w:t>
      </w:r>
      <w:r>
        <w:t>remuneration</w:t>
      </w:r>
      <w:r w:rsidR="00A03629">
        <w:t xml:space="preserve"> </w:t>
      </w:r>
      <w:r>
        <w:t>is</w:t>
      </w:r>
      <w:r w:rsidR="00A03629">
        <w:t xml:space="preserve"> </w:t>
      </w:r>
      <w:r>
        <w:t>determined</w:t>
      </w:r>
      <w:r w:rsidR="00A03629">
        <w:t xml:space="preserve"> </w:t>
      </w:r>
      <w:r>
        <w:t>on</w:t>
      </w:r>
      <w:r w:rsidR="00A03629">
        <w:t xml:space="preserve"> </w:t>
      </w:r>
      <w:r>
        <w:t>an</w:t>
      </w:r>
      <w:r w:rsidR="00A03629">
        <w:t xml:space="preserve"> </w:t>
      </w:r>
      <w:r>
        <w:t>accrual</w:t>
      </w:r>
      <w:r w:rsidR="00A03629">
        <w:t xml:space="preserve"> </w:t>
      </w:r>
      <w:r>
        <w:t>basis,</w:t>
      </w:r>
      <w:r w:rsidR="00A03629">
        <w:t xml:space="preserve"> </w:t>
      </w:r>
      <w:r>
        <w:t>and</w:t>
      </w:r>
      <w:r w:rsidR="00A03629">
        <w:t xml:space="preserve"> </w:t>
      </w:r>
      <w:r>
        <w:t>is</w:t>
      </w:r>
      <w:r w:rsidR="00A03629">
        <w:t xml:space="preserve"> </w:t>
      </w:r>
      <w:r>
        <w:t>disclosed</w:t>
      </w:r>
      <w:r w:rsidR="00A03629">
        <w:t xml:space="preserve"> </w:t>
      </w:r>
      <w:r>
        <w:t>in</w:t>
      </w:r>
      <w:r w:rsidR="00A03629">
        <w:rPr>
          <w:rFonts w:ascii="Cambria" w:hAnsi="Cambria" w:cs="Cambria"/>
        </w:rPr>
        <w:t xml:space="preserve"> </w:t>
      </w:r>
      <w:r>
        <w:t>the</w:t>
      </w:r>
      <w:r w:rsidR="00A03629">
        <w:t xml:space="preserve"> </w:t>
      </w:r>
      <w:r>
        <w:t>following</w:t>
      </w:r>
      <w:r w:rsidR="00A03629">
        <w:t xml:space="preserve"> </w:t>
      </w:r>
      <w:r>
        <w:t>categories.</w:t>
      </w:r>
      <w:r w:rsidR="00A03629">
        <w:t xml:space="preserve"> </w:t>
      </w:r>
    </w:p>
    <w:p w14:paraId="48E746BD" w14:textId="1B1D7CAE" w:rsidR="000756EB" w:rsidRDefault="004A4D88" w:rsidP="00740C7F">
      <w:r w:rsidRPr="00740C7F">
        <w:rPr>
          <w:b/>
          <w:bCs/>
        </w:rPr>
        <w:t>Short-term</w:t>
      </w:r>
      <w:r w:rsidR="00A03629" w:rsidRPr="00740C7F">
        <w:rPr>
          <w:b/>
          <w:bCs/>
        </w:rPr>
        <w:t xml:space="preserve"> </w:t>
      </w:r>
      <w:r w:rsidRPr="00740C7F">
        <w:rPr>
          <w:b/>
          <w:bCs/>
        </w:rPr>
        <w:t>employee</w:t>
      </w:r>
      <w:r w:rsidR="00A03629" w:rsidRPr="00740C7F">
        <w:rPr>
          <w:b/>
          <w:bCs/>
        </w:rPr>
        <w:t xml:space="preserve"> </w:t>
      </w:r>
      <w:r w:rsidRPr="00740C7F">
        <w:rPr>
          <w:b/>
          <w:bCs/>
        </w:rPr>
        <w:t>benefits</w:t>
      </w:r>
      <w:r w:rsidR="00A03629" w:rsidRPr="00D05F44">
        <w:t xml:space="preserve"> </w:t>
      </w:r>
      <w:r>
        <w:t>include</w:t>
      </w:r>
      <w:r w:rsidR="00A03629">
        <w:t xml:space="preserve"> </w:t>
      </w:r>
      <w:r>
        <w:t>amounts</w:t>
      </w:r>
      <w:r w:rsidR="00A03629">
        <w:t xml:space="preserve"> </w:t>
      </w:r>
      <w:r>
        <w:t>such</w:t>
      </w:r>
      <w:r w:rsidR="00A03629">
        <w:t xml:space="preserve"> </w:t>
      </w:r>
      <w:r>
        <w:t>as</w:t>
      </w:r>
      <w:r w:rsidR="00A03629">
        <w:t xml:space="preserve"> </w:t>
      </w:r>
      <w:r>
        <w:t>wages,</w:t>
      </w:r>
      <w:r w:rsidR="00A03629">
        <w:t xml:space="preserve"> </w:t>
      </w:r>
      <w:r>
        <w:t>salaries,</w:t>
      </w:r>
      <w:r w:rsidR="00A03629">
        <w:t xml:space="preserve"> </w:t>
      </w:r>
      <w:r>
        <w:t>annual</w:t>
      </w:r>
      <w:r w:rsidR="00A03629">
        <w:t xml:space="preserve"> </w:t>
      </w:r>
      <w:proofErr w:type="gramStart"/>
      <w:r>
        <w:t>leave</w:t>
      </w:r>
      <w:proofErr w:type="gramEnd"/>
      <w:r w:rsidR="00A03629">
        <w:t xml:space="preserve"> </w:t>
      </w:r>
      <w:r>
        <w:t>or</w:t>
      </w:r>
      <w:r w:rsidR="00A03629">
        <w:t xml:space="preserve"> </w:t>
      </w:r>
      <w:r>
        <w:t>sick</w:t>
      </w:r>
      <w:r w:rsidR="00A03629">
        <w:t xml:space="preserve"> </w:t>
      </w:r>
      <w:r>
        <w:t>leave</w:t>
      </w:r>
      <w:r w:rsidR="00A03629">
        <w:t xml:space="preserve"> </w:t>
      </w:r>
      <w:r>
        <w:t>that</w:t>
      </w:r>
      <w:r w:rsidR="00A03629">
        <w:t xml:space="preserve"> </w:t>
      </w:r>
      <w:r>
        <w:t>are</w:t>
      </w:r>
      <w:r w:rsidR="00A03629">
        <w:t xml:space="preserve"> </w:t>
      </w:r>
      <w:r>
        <w:t>usually</w:t>
      </w:r>
      <w:r w:rsidR="00A03629">
        <w:t xml:space="preserve"> </w:t>
      </w:r>
      <w:r>
        <w:t>paid</w:t>
      </w:r>
      <w:r w:rsidR="00A03629">
        <w:t xml:space="preserve"> </w:t>
      </w:r>
      <w:r>
        <w:t>or</w:t>
      </w:r>
      <w:r w:rsidR="00A03629">
        <w:t xml:space="preserve"> </w:t>
      </w:r>
      <w:r>
        <w:t>payable</w:t>
      </w:r>
      <w:r w:rsidR="00A03629">
        <w:t xml:space="preserve"> </w:t>
      </w:r>
      <w:r>
        <w:t>on</w:t>
      </w:r>
      <w:r w:rsidR="00A03629">
        <w:t xml:space="preserve"> </w:t>
      </w:r>
      <w:r>
        <w:t>a</w:t>
      </w:r>
      <w:r w:rsidR="00A03629">
        <w:t xml:space="preserve"> </w:t>
      </w:r>
      <w:r>
        <w:t>regular</w:t>
      </w:r>
      <w:r w:rsidR="00A03629">
        <w:t xml:space="preserve"> </w:t>
      </w:r>
      <w:r>
        <w:t>basis,</w:t>
      </w:r>
      <w:r w:rsidR="00A03629">
        <w:t xml:space="preserve"> </w:t>
      </w:r>
      <w:r>
        <w:t>as</w:t>
      </w:r>
      <w:r w:rsidR="00A03629">
        <w:t xml:space="preserve"> </w:t>
      </w:r>
      <w:r>
        <w:t>well</w:t>
      </w:r>
      <w:r w:rsidR="00A03629">
        <w:t xml:space="preserve"> </w:t>
      </w:r>
      <w:r>
        <w:t>as</w:t>
      </w:r>
      <w:r w:rsidR="00A03629">
        <w:t xml:space="preserve"> </w:t>
      </w:r>
      <w:r>
        <w:t>non-monetary</w:t>
      </w:r>
      <w:r w:rsidR="00A03629">
        <w:t xml:space="preserve"> </w:t>
      </w:r>
      <w:r>
        <w:t>benefits</w:t>
      </w:r>
      <w:r w:rsidR="00A03629">
        <w:t xml:space="preserve"> </w:t>
      </w:r>
      <w:r>
        <w:t>such</w:t>
      </w:r>
      <w:r w:rsidR="00A03629">
        <w:t xml:space="preserve"> </w:t>
      </w:r>
      <w:r>
        <w:t>as</w:t>
      </w:r>
      <w:r w:rsidR="00A03629">
        <w:t xml:space="preserve"> </w:t>
      </w:r>
      <w:r>
        <w:t>allowances</w:t>
      </w:r>
      <w:r w:rsidR="00A03629">
        <w:t xml:space="preserve"> </w:t>
      </w:r>
      <w:r>
        <w:t>and</w:t>
      </w:r>
      <w:r w:rsidR="00A03629">
        <w:t xml:space="preserve"> </w:t>
      </w:r>
      <w:r>
        <w:t>free</w:t>
      </w:r>
      <w:r w:rsidR="00A03629">
        <w:t xml:space="preserve"> </w:t>
      </w:r>
      <w:r>
        <w:t>or</w:t>
      </w:r>
      <w:r w:rsidR="00A03629">
        <w:t xml:space="preserve"> </w:t>
      </w:r>
      <w:r>
        <w:t>subsidised</w:t>
      </w:r>
      <w:r w:rsidR="00A03629">
        <w:t xml:space="preserve"> </w:t>
      </w:r>
      <w:r>
        <w:t>goods</w:t>
      </w:r>
      <w:r w:rsidR="00A03629">
        <w:t xml:space="preserve"> </w:t>
      </w:r>
      <w:r>
        <w:t>or</w:t>
      </w:r>
      <w:r w:rsidR="00A03629">
        <w:t xml:space="preserve"> </w:t>
      </w:r>
      <w:r>
        <w:t>services.</w:t>
      </w:r>
    </w:p>
    <w:p w14:paraId="6B919B65" w14:textId="64955017" w:rsidR="000756EB" w:rsidRDefault="004A4D88" w:rsidP="00740C7F">
      <w:r w:rsidRPr="00740C7F">
        <w:rPr>
          <w:b/>
          <w:bCs/>
        </w:rPr>
        <w:t>Other</w:t>
      </w:r>
      <w:r w:rsidR="00A03629" w:rsidRPr="00740C7F">
        <w:rPr>
          <w:b/>
          <w:bCs/>
        </w:rPr>
        <w:t xml:space="preserve"> </w:t>
      </w:r>
      <w:r w:rsidRPr="00740C7F">
        <w:rPr>
          <w:b/>
          <w:bCs/>
        </w:rPr>
        <w:t>long-term</w:t>
      </w:r>
      <w:r w:rsidR="00A03629" w:rsidRPr="00740C7F">
        <w:rPr>
          <w:b/>
          <w:bCs/>
        </w:rPr>
        <w:t xml:space="preserve"> </w:t>
      </w:r>
      <w:r w:rsidRPr="00740C7F">
        <w:rPr>
          <w:b/>
          <w:bCs/>
        </w:rPr>
        <w:t>employee</w:t>
      </w:r>
      <w:r w:rsidR="00A03629" w:rsidRPr="00740C7F">
        <w:rPr>
          <w:b/>
          <w:bCs/>
        </w:rPr>
        <w:t xml:space="preserve"> </w:t>
      </w:r>
      <w:r w:rsidRPr="00740C7F">
        <w:rPr>
          <w:b/>
          <w:bCs/>
        </w:rPr>
        <w:t>benefits:</w:t>
      </w:r>
      <w:r w:rsidR="00A03629" w:rsidRPr="00D05F44">
        <w:t xml:space="preserve"> </w:t>
      </w:r>
      <w:r>
        <w:t>long</w:t>
      </w:r>
      <w:r w:rsidR="00A03629">
        <w:t xml:space="preserve"> </w:t>
      </w:r>
      <w:r>
        <w:t>service</w:t>
      </w:r>
      <w:r w:rsidR="00A03629">
        <w:t xml:space="preserve"> </w:t>
      </w:r>
      <w:r>
        <w:t>leave,</w:t>
      </w:r>
      <w:r w:rsidR="00A03629">
        <w:t xml:space="preserve"> </w:t>
      </w:r>
      <w:r>
        <w:t>sabbatical</w:t>
      </w:r>
      <w:r w:rsidR="00A03629">
        <w:t xml:space="preserve"> </w:t>
      </w:r>
      <w:r>
        <w:t>leave,</w:t>
      </w:r>
      <w:r w:rsidR="00A03629">
        <w:t xml:space="preserve"> </w:t>
      </w:r>
      <w:r>
        <w:t>jubilee</w:t>
      </w:r>
      <w:r w:rsidR="00A03629">
        <w:t xml:space="preserve"> </w:t>
      </w:r>
      <w:r>
        <w:t>or</w:t>
      </w:r>
      <w:r w:rsidR="00A03629">
        <w:t xml:space="preserve"> </w:t>
      </w:r>
      <w:r>
        <w:t>other</w:t>
      </w:r>
      <w:r w:rsidR="00A03629">
        <w:t xml:space="preserve"> </w:t>
      </w:r>
      <w:r>
        <w:t>long</w:t>
      </w:r>
      <w:r w:rsidR="00A03629">
        <w:t xml:space="preserve"> </w:t>
      </w:r>
      <w:r>
        <w:t>service</w:t>
      </w:r>
      <w:r w:rsidR="00A03629">
        <w:t xml:space="preserve"> </w:t>
      </w:r>
      <w:r>
        <w:t>benefits,</w:t>
      </w:r>
      <w:r w:rsidR="00A03629">
        <w:t xml:space="preserve"> </w:t>
      </w:r>
      <w:r>
        <w:t>long-term</w:t>
      </w:r>
      <w:r w:rsidR="00A03629">
        <w:t xml:space="preserve"> </w:t>
      </w:r>
      <w:r>
        <w:t>disability</w:t>
      </w:r>
      <w:r w:rsidR="00A03629">
        <w:t xml:space="preserve"> </w:t>
      </w:r>
      <w:r>
        <w:t>benefits,</w:t>
      </w:r>
      <w:r w:rsidR="00A03629">
        <w:t xml:space="preserve"> </w:t>
      </w:r>
      <w:r>
        <w:t>deferred</w:t>
      </w:r>
      <w:r w:rsidR="00A03629">
        <w:t xml:space="preserve"> </w:t>
      </w:r>
      <w:r>
        <w:t>compensation</w:t>
      </w:r>
      <w:r w:rsidR="00A03629">
        <w:t xml:space="preserve"> </w:t>
      </w:r>
      <w:r>
        <w:t>and</w:t>
      </w:r>
      <w:r w:rsidR="00A03629">
        <w:t xml:space="preserve"> </w:t>
      </w:r>
      <w:r>
        <w:t>profit</w:t>
      </w:r>
      <w:r w:rsidR="00A03629">
        <w:t xml:space="preserve"> </w:t>
      </w:r>
      <w:r>
        <w:t>sharing</w:t>
      </w:r>
      <w:r w:rsidR="00A03629">
        <w:t xml:space="preserve"> </w:t>
      </w:r>
      <w:r>
        <w:t>and</w:t>
      </w:r>
      <w:r w:rsidR="00A03629">
        <w:t xml:space="preserve"> </w:t>
      </w:r>
      <w:r>
        <w:t>bonuses</w:t>
      </w:r>
      <w:r w:rsidR="00A03629">
        <w:t xml:space="preserve"> </w:t>
      </w:r>
      <w:r>
        <w:t>(not</w:t>
      </w:r>
      <w:r w:rsidR="00A03629">
        <w:rPr>
          <w:rFonts w:ascii="Cambria" w:hAnsi="Cambria" w:cs="Cambria"/>
        </w:rPr>
        <w:t xml:space="preserve"> </w:t>
      </w:r>
      <w:r>
        <w:t>payable</w:t>
      </w:r>
      <w:r w:rsidR="00A03629">
        <w:t xml:space="preserve"> </w:t>
      </w:r>
      <w:r>
        <w:t>wholly</w:t>
      </w:r>
      <w:r w:rsidR="00A03629">
        <w:t xml:space="preserve"> </w:t>
      </w:r>
      <w:r>
        <w:t>within</w:t>
      </w:r>
      <w:r w:rsidR="00A03629">
        <w:t xml:space="preserve"> </w:t>
      </w:r>
      <w:r>
        <w:t>12</w:t>
      </w:r>
      <w:r w:rsidR="00A03629">
        <w:t xml:space="preserve"> </w:t>
      </w:r>
      <w:r>
        <w:t>months).</w:t>
      </w:r>
    </w:p>
    <w:p w14:paraId="4C03709F" w14:textId="6E977CAB" w:rsidR="000756EB" w:rsidRDefault="004A4D88" w:rsidP="00740C7F">
      <w:r w:rsidRPr="00740C7F">
        <w:rPr>
          <w:b/>
          <w:bCs/>
        </w:rPr>
        <w:t>Post-employment</w:t>
      </w:r>
      <w:r w:rsidR="00A03629" w:rsidRPr="00740C7F">
        <w:rPr>
          <w:b/>
          <w:bCs/>
        </w:rPr>
        <w:t xml:space="preserve"> </w:t>
      </w:r>
      <w:r w:rsidRPr="00740C7F">
        <w:rPr>
          <w:b/>
          <w:bCs/>
        </w:rPr>
        <w:t>benefits</w:t>
      </w:r>
      <w:r w:rsidR="00A03629" w:rsidRPr="00D05F44">
        <w:t xml:space="preserve"> </w:t>
      </w:r>
      <w:r>
        <w:t>include</w:t>
      </w:r>
      <w:r w:rsidR="00A03629">
        <w:t xml:space="preserve"> </w:t>
      </w:r>
      <w:r>
        <w:t>pensions</w:t>
      </w:r>
      <w:r w:rsidR="00A03629">
        <w:t xml:space="preserve"> </w:t>
      </w:r>
      <w:r>
        <w:t>and</w:t>
      </w:r>
      <w:r w:rsidR="00A03629">
        <w:rPr>
          <w:rFonts w:ascii="Cambria" w:hAnsi="Cambria" w:cs="Cambria"/>
        </w:rPr>
        <w:t xml:space="preserve"> </w:t>
      </w:r>
      <w:r>
        <w:t>other</w:t>
      </w:r>
      <w:r w:rsidR="00A03629">
        <w:t xml:space="preserve"> </w:t>
      </w:r>
      <w:r>
        <w:t>retirement</w:t>
      </w:r>
      <w:r w:rsidR="00A03629">
        <w:t xml:space="preserve"> </w:t>
      </w:r>
      <w:r>
        <w:t>benefits</w:t>
      </w:r>
      <w:r w:rsidR="00A03629">
        <w:t xml:space="preserve"> </w:t>
      </w:r>
      <w:r>
        <w:t>paid</w:t>
      </w:r>
      <w:r w:rsidR="00A03629">
        <w:t xml:space="preserve"> </w:t>
      </w:r>
      <w:r>
        <w:t>or</w:t>
      </w:r>
      <w:r w:rsidR="00A03629">
        <w:t xml:space="preserve"> </w:t>
      </w:r>
      <w:r>
        <w:t>payable</w:t>
      </w:r>
      <w:r w:rsidR="00A03629">
        <w:t xml:space="preserve"> </w:t>
      </w:r>
      <w:r>
        <w:t>on</w:t>
      </w:r>
      <w:r w:rsidR="00A03629">
        <w:rPr>
          <w:rFonts w:ascii="Cambria" w:hAnsi="Cambria" w:cs="Cambria"/>
        </w:rPr>
        <w:t xml:space="preserve"> </w:t>
      </w:r>
      <w:r>
        <w:t>a</w:t>
      </w:r>
      <w:r w:rsidR="00A03629">
        <w:rPr>
          <w:rFonts w:ascii="Cambria" w:hAnsi="Cambria" w:cs="Cambria"/>
        </w:rPr>
        <w:t xml:space="preserve"> </w:t>
      </w:r>
      <w:r>
        <w:t>discrete</w:t>
      </w:r>
      <w:r w:rsidR="00A03629">
        <w:t xml:space="preserve"> </w:t>
      </w:r>
      <w:r>
        <w:t>basis</w:t>
      </w:r>
      <w:r w:rsidR="00A03629">
        <w:t xml:space="preserve"> </w:t>
      </w:r>
      <w:r>
        <w:t>when</w:t>
      </w:r>
      <w:r w:rsidR="00A03629">
        <w:t xml:space="preserve"> </w:t>
      </w:r>
      <w:r>
        <w:t>employment</w:t>
      </w:r>
      <w:r w:rsidR="00A03629">
        <w:t xml:space="preserve"> </w:t>
      </w:r>
      <w:r>
        <w:t>has</w:t>
      </w:r>
      <w:r w:rsidR="00A03629">
        <w:t xml:space="preserve"> </w:t>
      </w:r>
      <w:r>
        <w:t>ceased.</w:t>
      </w:r>
      <w:r w:rsidR="00A03629">
        <w:t xml:space="preserve"> </w:t>
      </w:r>
    </w:p>
    <w:p w14:paraId="3B045236" w14:textId="255DD12E" w:rsidR="000756EB" w:rsidRDefault="004A4D88" w:rsidP="00560218">
      <w:r w:rsidRPr="00740C7F">
        <w:rPr>
          <w:b/>
          <w:bCs/>
        </w:rPr>
        <w:t>Termination</w:t>
      </w:r>
      <w:r w:rsidR="00A03629" w:rsidRPr="00740C7F">
        <w:rPr>
          <w:b/>
          <w:bCs/>
        </w:rPr>
        <w:t xml:space="preserve"> </w:t>
      </w:r>
      <w:r w:rsidRPr="00740C7F">
        <w:rPr>
          <w:b/>
          <w:bCs/>
        </w:rPr>
        <w:t>benefits</w:t>
      </w:r>
      <w:r w:rsidR="00A03629" w:rsidRPr="00560218">
        <w:t xml:space="preserve"> </w:t>
      </w:r>
      <w:r>
        <w:t>include</w:t>
      </w:r>
      <w:r w:rsidR="00A03629">
        <w:t xml:space="preserve"> </w:t>
      </w:r>
      <w:r>
        <w:t>termination</w:t>
      </w:r>
      <w:r w:rsidR="00A03629">
        <w:t xml:space="preserve"> </w:t>
      </w:r>
      <w:r>
        <w:t>of</w:t>
      </w:r>
      <w:r w:rsidR="00A03629">
        <w:t xml:space="preserve"> </w:t>
      </w:r>
      <w:r>
        <w:t>employment</w:t>
      </w:r>
      <w:r w:rsidR="00A03629">
        <w:t xml:space="preserve"> </w:t>
      </w:r>
      <w:r>
        <w:t>payments,</w:t>
      </w:r>
      <w:r w:rsidR="00A03629">
        <w:t xml:space="preserve"> </w:t>
      </w:r>
      <w:r>
        <w:t>such</w:t>
      </w:r>
      <w:r w:rsidR="00A03629">
        <w:t xml:space="preserve"> </w:t>
      </w:r>
      <w:r>
        <w:t>as</w:t>
      </w:r>
      <w:r w:rsidR="00A03629">
        <w:t xml:space="preserve"> </w:t>
      </w:r>
      <w:r>
        <w:t>severance</w:t>
      </w:r>
      <w:r w:rsidR="00A03629">
        <w:t xml:space="preserve"> </w:t>
      </w:r>
      <w:r>
        <w:t>packages.</w:t>
      </w:r>
    </w:p>
    <w:p w14:paraId="2FD2C247" w14:textId="3835A8F9" w:rsidR="000756EB" w:rsidRDefault="004A4D88" w:rsidP="00740C7F">
      <w:r>
        <w:t>Several</w:t>
      </w:r>
      <w:r w:rsidR="00A03629">
        <w:t xml:space="preserve"> </w:t>
      </w:r>
      <w:r>
        <w:t>factors</w:t>
      </w:r>
      <w:r w:rsidR="00A03629">
        <w:t xml:space="preserve"> </w:t>
      </w:r>
      <w:r>
        <w:t>affected</w:t>
      </w:r>
      <w:r w:rsidR="00A03629">
        <w:t xml:space="preserve"> </w:t>
      </w:r>
      <w:r>
        <w:t>total</w:t>
      </w:r>
      <w:r w:rsidR="00A03629">
        <w:t xml:space="preserve"> </w:t>
      </w:r>
      <w:r>
        <w:t>remuneration</w:t>
      </w:r>
      <w:r w:rsidR="00A03629">
        <w:t xml:space="preserve"> </w:t>
      </w:r>
      <w:r>
        <w:t>payable</w:t>
      </w:r>
      <w:r w:rsidR="00A03629">
        <w:t xml:space="preserve"> </w:t>
      </w:r>
      <w:r>
        <w:t>to</w:t>
      </w:r>
      <w:r w:rsidR="00A03629">
        <w:t xml:space="preserve"> </w:t>
      </w:r>
      <w:r>
        <w:t>executives</w:t>
      </w:r>
      <w:r w:rsidR="00A03629">
        <w:t xml:space="preserve"> </w:t>
      </w:r>
      <w:r>
        <w:t>over</w:t>
      </w:r>
      <w:r w:rsidR="00A03629">
        <w:t xml:space="preserve"> </w:t>
      </w:r>
      <w:r>
        <w:t>the</w:t>
      </w:r>
      <w:r w:rsidR="00A03629">
        <w:t xml:space="preserve"> </w:t>
      </w:r>
      <w:r>
        <w:t>year.</w:t>
      </w:r>
      <w:r w:rsidR="00A03629">
        <w:t xml:space="preserve"> </w:t>
      </w:r>
      <w:r>
        <w:t>A</w:t>
      </w:r>
      <w:r w:rsidR="00A03629">
        <w:t xml:space="preserve"> </w:t>
      </w:r>
      <w:r>
        <w:t>number</w:t>
      </w:r>
      <w:r w:rsidR="00A03629">
        <w:t xml:space="preserve"> </w:t>
      </w:r>
      <w:r>
        <w:t>of</w:t>
      </w:r>
      <w:r w:rsidR="00A03629">
        <w:t xml:space="preserve"> </w:t>
      </w:r>
      <w:r>
        <w:t>employment</w:t>
      </w:r>
      <w:r w:rsidR="00A03629">
        <w:t xml:space="preserve"> </w:t>
      </w:r>
      <w:r>
        <w:t>contracts</w:t>
      </w:r>
      <w:r w:rsidR="00A03629">
        <w:t xml:space="preserve"> </w:t>
      </w:r>
      <w:r>
        <w:t>were</w:t>
      </w:r>
      <w:r w:rsidR="00A03629">
        <w:t xml:space="preserve"> </w:t>
      </w:r>
      <w:proofErr w:type="gramStart"/>
      <w:r>
        <w:t>completed</w:t>
      </w:r>
      <w:proofErr w:type="gramEnd"/>
      <w:r w:rsidR="00A03629">
        <w:t xml:space="preserve"> </w:t>
      </w:r>
      <w:r>
        <w:t>and</w:t>
      </w:r>
      <w:r w:rsidR="00A03629">
        <w:t xml:space="preserve"> </w:t>
      </w:r>
      <w:r>
        <w:t>a</w:t>
      </w:r>
      <w:r w:rsidR="00A03629">
        <w:t xml:space="preserve"> </w:t>
      </w:r>
      <w:r>
        <w:t>number</w:t>
      </w:r>
      <w:r w:rsidR="00A03629">
        <w:t xml:space="preserve"> </w:t>
      </w:r>
      <w:r>
        <w:t>of</w:t>
      </w:r>
      <w:r w:rsidR="00A03629">
        <w:t xml:space="preserve"> </w:t>
      </w:r>
      <w:r>
        <w:t>executive</w:t>
      </w:r>
      <w:r w:rsidR="00A03629">
        <w:t xml:space="preserve"> </w:t>
      </w:r>
      <w:r>
        <w:t>officers</w:t>
      </w:r>
      <w:r w:rsidR="00A03629">
        <w:t xml:space="preserve"> </w:t>
      </w:r>
      <w:r>
        <w:t>retired,</w:t>
      </w:r>
      <w:r w:rsidR="00A03629">
        <w:t xml:space="preserve"> </w:t>
      </w:r>
      <w:r>
        <w:t>resigned</w:t>
      </w:r>
      <w:r w:rsidR="00A03629">
        <w:t xml:space="preserve"> </w:t>
      </w:r>
      <w:r>
        <w:t>or</w:t>
      </w:r>
      <w:r w:rsidR="00A03629">
        <w:t xml:space="preserve"> </w:t>
      </w:r>
      <w:r>
        <w:t>were</w:t>
      </w:r>
      <w:r w:rsidR="00A03629">
        <w:t xml:space="preserve"> </w:t>
      </w:r>
      <w:r>
        <w:t>retrenched</w:t>
      </w:r>
      <w:r w:rsidR="00A03629">
        <w:t xml:space="preserve"> </w:t>
      </w:r>
      <w:r>
        <w:t>in</w:t>
      </w:r>
      <w:r w:rsidR="00A03629">
        <w:t xml:space="preserve"> </w:t>
      </w:r>
      <w:r>
        <w:t>the</w:t>
      </w:r>
      <w:r w:rsidR="00A03629">
        <w:t xml:space="preserve"> </w:t>
      </w:r>
      <w:r>
        <w:t>past</w:t>
      </w:r>
      <w:r w:rsidR="00A03629">
        <w:t xml:space="preserve"> </w:t>
      </w:r>
      <w:r>
        <w:t>year.</w:t>
      </w:r>
      <w:r w:rsidR="00A03629">
        <w:t xml:space="preserve"> </w:t>
      </w:r>
      <w:r>
        <w:t>This</w:t>
      </w:r>
      <w:r w:rsidR="00A03629">
        <w:t xml:space="preserve"> </w:t>
      </w:r>
      <w:r>
        <w:t>has</w:t>
      </w:r>
      <w:r w:rsidR="00A03629">
        <w:t xml:space="preserve"> </w:t>
      </w:r>
      <w:r>
        <w:t>had</w:t>
      </w:r>
      <w:r w:rsidR="00A03629">
        <w:t xml:space="preserve"> </w:t>
      </w:r>
      <w:r>
        <w:t>a</w:t>
      </w:r>
      <w:r w:rsidR="00A03629">
        <w:t xml:space="preserve"> </w:t>
      </w:r>
      <w:r>
        <w:t>significant</w:t>
      </w:r>
      <w:r w:rsidR="00A03629">
        <w:t xml:space="preserve"> </w:t>
      </w:r>
      <w:r>
        <w:t>impact</w:t>
      </w:r>
      <w:r w:rsidR="00A03629">
        <w:t xml:space="preserve"> </w:t>
      </w:r>
      <w:r>
        <w:t>on</w:t>
      </w:r>
      <w:r w:rsidR="00A03629">
        <w:t xml:space="preserve"> </w:t>
      </w:r>
      <w:r>
        <w:t>remuneration</w:t>
      </w:r>
      <w:r w:rsidR="00A03629">
        <w:t xml:space="preserve"> </w:t>
      </w:r>
      <w:r>
        <w:t>figures</w:t>
      </w:r>
      <w:r w:rsidR="00A03629">
        <w:t xml:space="preserve"> </w:t>
      </w:r>
      <w:r>
        <w:t>for</w:t>
      </w:r>
      <w:r w:rsidR="00A03629">
        <w:rPr>
          <w:rFonts w:ascii="Cambria" w:hAnsi="Cambria" w:cs="Cambria"/>
        </w:rPr>
        <w:t xml:space="preserve"> </w:t>
      </w:r>
      <w:r>
        <w:t>the</w:t>
      </w:r>
      <w:r w:rsidR="00A03629">
        <w:rPr>
          <w:rFonts w:ascii="Cambria" w:hAnsi="Cambria" w:cs="Cambria"/>
        </w:rPr>
        <w:t xml:space="preserve"> </w:t>
      </w:r>
      <w:r>
        <w:t>termination</w:t>
      </w:r>
      <w:r w:rsidR="00A03629">
        <w:t xml:space="preserve"> </w:t>
      </w:r>
      <w:r>
        <w:t>benefits</w:t>
      </w:r>
      <w:r w:rsidR="00A03629">
        <w:t xml:space="preserve"> </w:t>
      </w:r>
      <w:r>
        <w:t>category.</w:t>
      </w:r>
    </w:p>
    <w:p w14:paraId="4373DD68" w14:textId="2EADDCBE" w:rsidR="000756EB" w:rsidRDefault="004A4D88" w:rsidP="00740C7F">
      <w:r w:rsidRPr="00740C7F">
        <w:rPr>
          <w:b/>
          <w:bCs/>
        </w:rPr>
        <w:t>Other</w:t>
      </w:r>
      <w:r w:rsidR="00A03629" w:rsidRPr="00740C7F">
        <w:rPr>
          <w:b/>
          <w:bCs/>
        </w:rPr>
        <w:t xml:space="preserve"> </w:t>
      </w:r>
      <w:r w:rsidRPr="00740C7F">
        <w:rPr>
          <w:b/>
          <w:bCs/>
        </w:rPr>
        <w:t>long-term</w:t>
      </w:r>
      <w:r w:rsidR="00A03629" w:rsidRPr="00740C7F">
        <w:rPr>
          <w:b/>
          <w:bCs/>
        </w:rPr>
        <w:t xml:space="preserve"> </w:t>
      </w:r>
      <w:r w:rsidRPr="00740C7F">
        <w:rPr>
          <w:b/>
          <w:bCs/>
        </w:rPr>
        <w:t>benefits</w:t>
      </w:r>
      <w:r w:rsidR="00A03629" w:rsidRPr="00560218">
        <w:t xml:space="preserve"> </w:t>
      </w:r>
      <w:r>
        <w:t>include</w:t>
      </w:r>
      <w:r w:rsidR="00A03629">
        <w:t xml:space="preserve"> </w:t>
      </w:r>
      <w:r>
        <w:t>long</w:t>
      </w:r>
      <w:r w:rsidR="00A03629">
        <w:t xml:space="preserve"> </w:t>
      </w:r>
      <w:r>
        <w:t>service</w:t>
      </w:r>
      <w:r w:rsidR="00A03629">
        <w:t xml:space="preserve"> </w:t>
      </w:r>
      <w:r>
        <w:t>leave,</w:t>
      </w:r>
      <w:r w:rsidR="00A03629">
        <w:t xml:space="preserve"> </w:t>
      </w:r>
      <w:r>
        <w:t>other</w:t>
      </w:r>
      <w:r w:rsidR="00A03629">
        <w:t xml:space="preserve"> </w:t>
      </w:r>
      <w:r>
        <w:t>long</w:t>
      </w:r>
      <w:r w:rsidR="00A03629">
        <w:t xml:space="preserve"> </w:t>
      </w:r>
      <w:r>
        <w:t>service</w:t>
      </w:r>
      <w:r w:rsidR="00A03629">
        <w:t xml:space="preserve"> </w:t>
      </w:r>
      <w:r>
        <w:t>benefits</w:t>
      </w:r>
      <w:r w:rsidR="00A03629">
        <w:t xml:space="preserve"> </w:t>
      </w:r>
      <w:r>
        <w:t>or</w:t>
      </w:r>
      <w:r w:rsidR="00A03629">
        <w:t xml:space="preserve"> </w:t>
      </w:r>
      <w:r>
        <w:t>deferred</w:t>
      </w:r>
      <w:r w:rsidR="00A03629">
        <w:t xml:space="preserve"> </w:t>
      </w:r>
      <w:r>
        <w:t>compensation.</w:t>
      </w:r>
    </w:p>
    <w:p w14:paraId="114DCF57" w14:textId="2E7190AF" w:rsidR="000756EB" w:rsidRPr="00740C7F" w:rsidRDefault="004A4D88" w:rsidP="00740C7F">
      <w:pPr>
        <w:pStyle w:val="Normalbeforebullets"/>
        <w:rPr>
          <w:b/>
          <w:bCs/>
        </w:rPr>
      </w:pPr>
      <w:r w:rsidRPr="00740C7F">
        <w:rPr>
          <w:b/>
          <w:bCs/>
        </w:rPr>
        <w:lastRenderedPageBreak/>
        <w:t>Remuneration</w:t>
      </w:r>
      <w:r w:rsidR="00A03629" w:rsidRPr="00740C7F">
        <w:rPr>
          <w:b/>
          <w:bCs/>
        </w:rPr>
        <w:t xml:space="preserve"> </w:t>
      </w:r>
      <w:r w:rsidRPr="00740C7F">
        <w:rPr>
          <w:b/>
          <w:bCs/>
        </w:rPr>
        <w:t>of</w:t>
      </w:r>
      <w:r w:rsidR="00A03629" w:rsidRPr="00740C7F">
        <w:rPr>
          <w:b/>
          <w:bCs/>
        </w:rPr>
        <w:t xml:space="preserve"> </w:t>
      </w:r>
      <w:r w:rsidRPr="00740C7F">
        <w:rPr>
          <w:b/>
          <w:bCs/>
        </w:rPr>
        <w:t>executive</w:t>
      </w:r>
      <w:r w:rsidR="00A03629" w:rsidRPr="00740C7F">
        <w:rPr>
          <w:b/>
          <w:bCs/>
        </w:rPr>
        <w:t xml:space="preserve"> </w:t>
      </w:r>
      <w:r w:rsidRPr="00740C7F">
        <w:rPr>
          <w:b/>
          <w:bCs/>
        </w:rPr>
        <w:t>officers</w:t>
      </w:r>
    </w:p>
    <w:p w14:paraId="7117FACB" w14:textId="079E08C9" w:rsidR="000756EB" w:rsidRPr="003A0D85" w:rsidRDefault="004A4D88" w:rsidP="003A0D85">
      <w:pPr>
        <w:pStyle w:val="Normalbeforebullets"/>
      </w:pPr>
      <w:r w:rsidRPr="003A0D85">
        <w:t>(including</w:t>
      </w:r>
      <w:r w:rsidR="00A03629" w:rsidRPr="003A0D85">
        <w:t xml:space="preserve"> </w:t>
      </w:r>
      <w:r w:rsidRPr="003A0D85">
        <w:t>Key</w:t>
      </w:r>
      <w:r w:rsidR="00A03629" w:rsidRPr="003A0D85">
        <w:t xml:space="preserve"> </w:t>
      </w:r>
      <w:r w:rsidRPr="003A0D85">
        <w:t>Management</w:t>
      </w:r>
      <w:r w:rsidR="00A03629" w:rsidRPr="003A0D85">
        <w:t xml:space="preserve"> </w:t>
      </w:r>
      <w:r w:rsidRPr="003A0D85">
        <w:t>Personnel</w:t>
      </w:r>
      <w:r w:rsidR="00A03629" w:rsidRPr="003A0D85">
        <w:t xml:space="preserve"> </w:t>
      </w:r>
      <w:r w:rsidRPr="003A0D85">
        <w:t>disclosed</w:t>
      </w:r>
      <w:r w:rsidR="00A03629" w:rsidRPr="003A0D85">
        <w:t xml:space="preserve"> </w:t>
      </w:r>
      <w:r w:rsidRPr="003A0D85">
        <w:t>in</w:t>
      </w:r>
      <w:r w:rsidR="00A03629" w:rsidRPr="003A0D85">
        <w:t xml:space="preserve"> </w:t>
      </w:r>
      <w:r w:rsidRPr="003A0D85">
        <w:t>Note</w:t>
      </w:r>
      <w:r w:rsidR="00A03629" w:rsidRPr="003A0D85">
        <w:t xml:space="preserve"> </w:t>
      </w:r>
      <w:r w:rsidRPr="003A0D85">
        <w:t>9.8)</w:t>
      </w:r>
      <w:r w:rsidR="00A03629" w:rsidRPr="003A0D85">
        <w:t xml:space="preserve"> </w:t>
      </w:r>
      <w:r w:rsidRPr="00614829">
        <w:rPr>
          <w:rStyle w:val="FootnotereferencessuperscriptMisc"/>
        </w:rPr>
        <w:t>(</w:t>
      </w:r>
      <w:proofErr w:type="spellStart"/>
      <w:r w:rsidRPr="00614829">
        <w:rPr>
          <w:rStyle w:val="FootnotereferencessuperscriptMisc"/>
        </w:rPr>
        <w:t>i</w:t>
      </w:r>
      <w:proofErr w:type="spellEnd"/>
      <w:r w:rsidRPr="00614829">
        <w:rPr>
          <w:rStyle w:val="FootnotereferencessuperscriptMisc"/>
        </w:rPr>
        <w:t>)</w:t>
      </w:r>
      <w:r w:rsidR="00A03629" w:rsidRPr="00614829">
        <w:rPr>
          <w:rStyle w:val="FootnotereferencessuperscriptMisc"/>
        </w:rPr>
        <w:t xml:space="preserve"> </w:t>
      </w:r>
    </w:p>
    <w:tbl>
      <w:tblPr>
        <w:tblStyle w:val="TableGrid"/>
        <w:tblW w:w="0" w:type="auto"/>
        <w:tblLayout w:type="fixed"/>
        <w:tblLook w:val="0020" w:firstRow="1" w:lastRow="0" w:firstColumn="0" w:lastColumn="0" w:noHBand="0" w:noVBand="0"/>
      </w:tblPr>
      <w:tblGrid>
        <w:gridCol w:w="4075"/>
        <w:gridCol w:w="1843"/>
        <w:gridCol w:w="1843"/>
      </w:tblGrid>
      <w:tr w:rsidR="000756EB" w:rsidRPr="0035114A" w14:paraId="4E429308" w14:textId="77777777" w:rsidTr="0035114A">
        <w:trPr>
          <w:trHeight w:val="60"/>
        </w:trPr>
        <w:tc>
          <w:tcPr>
            <w:tcW w:w="4075" w:type="dxa"/>
          </w:tcPr>
          <w:p w14:paraId="0FEB9EEF" w14:textId="77777777" w:rsidR="000756EB" w:rsidRPr="0035114A" w:rsidRDefault="000756EB" w:rsidP="0035114A">
            <w:pPr>
              <w:pStyle w:val="TableColumnHeading"/>
              <w:rPr>
                <w:sz w:val="20"/>
                <w:szCs w:val="28"/>
              </w:rPr>
            </w:pPr>
            <w:bookmarkStart w:id="150" w:name="ColumnTitles_88"/>
            <w:bookmarkEnd w:id="150"/>
          </w:p>
        </w:tc>
        <w:tc>
          <w:tcPr>
            <w:tcW w:w="1843" w:type="dxa"/>
          </w:tcPr>
          <w:p w14:paraId="5D3CE714" w14:textId="62E2C06D" w:rsidR="000756EB" w:rsidRPr="0035114A" w:rsidRDefault="0035114A" w:rsidP="0035114A">
            <w:pPr>
              <w:pStyle w:val="TableColumnHeading"/>
              <w:jc w:val="right"/>
              <w:rPr>
                <w:sz w:val="20"/>
                <w:szCs w:val="28"/>
              </w:rPr>
            </w:pPr>
            <w:r w:rsidRPr="0035114A">
              <w:rPr>
                <w:sz w:val="20"/>
                <w:szCs w:val="28"/>
              </w:rPr>
              <w:t xml:space="preserve">Total remuneration </w:t>
            </w:r>
            <w:r w:rsidR="004A4D88" w:rsidRPr="0035114A">
              <w:rPr>
                <w:sz w:val="20"/>
                <w:szCs w:val="28"/>
              </w:rPr>
              <w:t>2023</w:t>
            </w:r>
            <w:r w:rsidRPr="0035114A">
              <w:rPr>
                <w:sz w:val="20"/>
                <w:szCs w:val="28"/>
              </w:rPr>
              <w:t xml:space="preserve"> ($ thousand)</w:t>
            </w:r>
            <w:r w:rsidR="00A03629" w:rsidRPr="0035114A">
              <w:rPr>
                <w:sz w:val="20"/>
                <w:szCs w:val="28"/>
              </w:rPr>
              <w:t xml:space="preserve"> </w:t>
            </w:r>
          </w:p>
        </w:tc>
        <w:tc>
          <w:tcPr>
            <w:tcW w:w="1843" w:type="dxa"/>
          </w:tcPr>
          <w:p w14:paraId="0479C336" w14:textId="2FFD101B" w:rsidR="000756EB" w:rsidRPr="0035114A" w:rsidRDefault="0035114A" w:rsidP="0035114A">
            <w:pPr>
              <w:pStyle w:val="TableColumnHeading"/>
              <w:jc w:val="right"/>
              <w:rPr>
                <w:sz w:val="20"/>
                <w:szCs w:val="28"/>
              </w:rPr>
            </w:pPr>
            <w:r w:rsidRPr="0035114A">
              <w:rPr>
                <w:sz w:val="20"/>
                <w:szCs w:val="28"/>
              </w:rPr>
              <w:t xml:space="preserve">Total remuneration </w:t>
            </w:r>
            <w:r w:rsidR="004A4D88" w:rsidRPr="0035114A">
              <w:rPr>
                <w:sz w:val="20"/>
                <w:szCs w:val="28"/>
              </w:rPr>
              <w:t>2022</w:t>
            </w:r>
            <w:r w:rsidRPr="0035114A">
              <w:rPr>
                <w:sz w:val="20"/>
                <w:szCs w:val="28"/>
              </w:rPr>
              <w:t xml:space="preserve"> ($ thousand) </w:t>
            </w:r>
          </w:p>
        </w:tc>
      </w:tr>
      <w:tr w:rsidR="000756EB" w14:paraId="2EA93320" w14:textId="77777777" w:rsidTr="0035114A">
        <w:trPr>
          <w:trHeight w:val="60"/>
        </w:trPr>
        <w:tc>
          <w:tcPr>
            <w:tcW w:w="4075" w:type="dxa"/>
          </w:tcPr>
          <w:p w14:paraId="6B0F7E62" w14:textId="63935B6F" w:rsidR="000756EB" w:rsidRDefault="004A4D88" w:rsidP="0035114A">
            <w:pPr>
              <w:pStyle w:val="TableCopy"/>
            </w:pPr>
            <w:r>
              <w:t>Short-term</w:t>
            </w:r>
            <w:r w:rsidR="00A03629">
              <w:t xml:space="preserve"> </w:t>
            </w:r>
            <w:r>
              <w:t>employee</w:t>
            </w:r>
            <w:r w:rsidR="00A03629">
              <w:t xml:space="preserve"> </w:t>
            </w:r>
            <w:r>
              <w:t>benefits</w:t>
            </w:r>
          </w:p>
        </w:tc>
        <w:tc>
          <w:tcPr>
            <w:tcW w:w="1843" w:type="dxa"/>
          </w:tcPr>
          <w:p w14:paraId="4C7065B2" w14:textId="13979A88" w:rsidR="000756EB" w:rsidRDefault="004A4D88" w:rsidP="0035114A">
            <w:pPr>
              <w:pStyle w:val="TableCopy"/>
              <w:jc w:val="right"/>
            </w:pPr>
            <w:r>
              <w:t>47,137</w:t>
            </w:r>
          </w:p>
        </w:tc>
        <w:tc>
          <w:tcPr>
            <w:tcW w:w="1843" w:type="dxa"/>
          </w:tcPr>
          <w:p w14:paraId="0EFA2D51" w14:textId="3A101545" w:rsidR="000756EB" w:rsidRDefault="004A4D88" w:rsidP="0035114A">
            <w:pPr>
              <w:pStyle w:val="TableCopy"/>
              <w:jc w:val="right"/>
            </w:pPr>
            <w:r>
              <w:t>51,886</w:t>
            </w:r>
          </w:p>
        </w:tc>
      </w:tr>
      <w:tr w:rsidR="000756EB" w14:paraId="001E8829" w14:textId="77777777" w:rsidTr="0035114A">
        <w:trPr>
          <w:trHeight w:val="60"/>
        </w:trPr>
        <w:tc>
          <w:tcPr>
            <w:tcW w:w="4075" w:type="dxa"/>
          </w:tcPr>
          <w:p w14:paraId="2C1B1D08" w14:textId="5084C8F1" w:rsidR="000756EB" w:rsidRDefault="004A4D88" w:rsidP="0035114A">
            <w:pPr>
              <w:pStyle w:val="TableCopy"/>
            </w:pPr>
            <w:r>
              <w:t>Post-employment</w:t>
            </w:r>
            <w:r w:rsidR="00A03629">
              <w:t xml:space="preserve"> </w:t>
            </w:r>
            <w:r>
              <w:t>benefits</w:t>
            </w:r>
            <w:r w:rsidR="00A03629">
              <w:t xml:space="preserve"> </w:t>
            </w:r>
          </w:p>
        </w:tc>
        <w:tc>
          <w:tcPr>
            <w:tcW w:w="1843" w:type="dxa"/>
          </w:tcPr>
          <w:p w14:paraId="27357D8C" w14:textId="160CC4F2" w:rsidR="000756EB" w:rsidRDefault="004A4D88" w:rsidP="0035114A">
            <w:pPr>
              <w:pStyle w:val="TableCopy"/>
              <w:jc w:val="right"/>
            </w:pPr>
            <w:r>
              <w:t>4,694</w:t>
            </w:r>
          </w:p>
        </w:tc>
        <w:tc>
          <w:tcPr>
            <w:tcW w:w="1843" w:type="dxa"/>
          </w:tcPr>
          <w:p w14:paraId="4A1E1BD5" w14:textId="02EC3955" w:rsidR="000756EB" w:rsidRDefault="004A4D88" w:rsidP="0035114A">
            <w:pPr>
              <w:pStyle w:val="TableCopy"/>
              <w:jc w:val="right"/>
            </w:pPr>
            <w:r>
              <w:t>4,710</w:t>
            </w:r>
          </w:p>
        </w:tc>
      </w:tr>
      <w:tr w:rsidR="000756EB" w14:paraId="40EE4D2E" w14:textId="77777777" w:rsidTr="0035114A">
        <w:trPr>
          <w:trHeight w:val="60"/>
        </w:trPr>
        <w:tc>
          <w:tcPr>
            <w:tcW w:w="4075" w:type="dxa"/>
          </w:tcPr>
          <w:p w14:paraId="2E5A2ED7" w14:textId="74F63EAA" w:rsidR="000756EB" w:rsidRDefault="004A4D88" w:rsidP="0035114A">
            <w:pPr>
              <w:pStyle w:val="TableCopy"/>
            </w:pPr>
            <w:r>
              <w:t>Other</w:t>
            </w:r>
            <w:r w:rsidR="00A03629">
              <w:t xml:space="preserve"> </w:t>
            </w:r>
            <w:r>
              <w:t>long-term</w:t>
            </w:r>
            <w:r w:rsidR="00A03629">
              <w:t xml:space="preserve"> </w:t>
            </w:r>
            <w:r>
              <w:t>benefits</w:t>
            </w:r>
            <w:r w:rsidR="00A03629">
              <w:t xml:space="preserve"> </w:t>
            </w:r>
          </w:p>
        </w:tc>
        <w:tc>
          <w:tcPr>
            <w:tcW w:w="1843" w:type="dxa"/>
          </w:tcPr>
          <w:p w14:paraId="54C3AC72" w14:textId="3B6014F2" w:rsidR="000756EB" w:rsidRDefault="004A4D88" w:rsidP="0035114A">
            <w:pPr>
              <w:pStyle w:val="TableCopy"/>
              <w:jc w:val="right"/>
            </w:pPr>
            <w:r>
              <w:t>1,167</w:t>
            </w:r>
          </w:p>
        </w:tc>
        <w:tc>
          <w:tcPr>
            <w:tcW w:w="1843" w:type="dxa"/>
          </w:tcPr>
          <w:p w14:paraId="71BB7E6F" w14:textId="7010620D" w:rsidR="000756EB" w:rsidRDefault="004A4D88" w:rsidP="0035114A">
            <w:pPr>
              <w:pStyle w:val="TableCopy"/>
              <w:jc w:val="right"/>
            </w:pPr>
            <w:r>
              <w:t>1,349</w:t>
            </w:r>
          </w:p>
        </w:tc>
      </w:tr>
      <w:tr w:rsidR="000756EB" w14:paraId="1EAB84A3" w14:textId="77777777" w:rsidTr="0035114A">
        <w:trPr>
          <w:trHeight w:val="60"/>
        </w:trPr>
        <w:tc>
          <w:tcPr>
            <w:tcW w:w="4075" w:type="dxa"/>
          </w:tcPr>
          <w:p w14:paraId="1113A412" w14:textId="1A30CE37" w:rsidR="000756EB" w:rsidRDefault="004A4D88" w:rsidP="0035114A">
            <w:pPr>
              <w:pStyle w:val="TableCopy"/>
            </w:pPr>
            <w:r>
              <w:t>Termination</w:t>
            </w:r>
            <w:r w:rsidR="00A03629">
              <w:t xml:space="preserve"> </w:t>
            </w:r>
            <w:r>
              <w:t>benefits</w:t>
            </w:r>
            <w:r w:rsidR="00A03629">
              <w:t xml:space="preserve"> </w:t>
            </w:r>
          </w:p>
        </w:tc>
        <w:tc>
          <w:tcPr>
            <w:tcW w:w="1843" w:type="dxa"/>
          </w:tcPr>
          <w:p w14:paraId="398A0F85" w14:textId="3F8E9145" w:rsidR="000756EB" w:rsidRDefault="004A4D88" w:rsidP="0035114A">
            <w:pPr>
              <w:pStyle w:val="TableCopy"/>
              <w:jc w:val="right"/>
            </w:pPr>
            <w:r>
              <w:t>815</w:t>
            </w:r>
          </w:p>
        </w:tc>
        <w:tc>
          <w:tcPr>
            <w:tcW w:w="1843" w:type="dxa"/>
          </w:tcPr>
          <w:p w14:paraId="00823803" w14:textId="5B67EA58" w:rsidR="000756EB" w:rsidRDefault="004A4D88" w:rsidP="0035114A">
            <w:pPr>
              <w:pStyle w:val="TableCopy"/>
              <w:jc w:val="right"/>
            </w:pPr>
            <w:r>
              <w:t>743</w:t>
            </w:r>
          </w:p>
        </w:tc>
      </w:tr>
      <w:tr w:rsidR="000756EB" w:rsidRPr="0035114A" w14:paraId="14FF9D2F" w14:textId="77777777" w:rsidTr="0035114A">
        <w:trPr>
          <w:trHeight w:val="60"/>
        </w:trPr>
        <w:tc>
          <w:tcPr>
            <w:tcW w:w="4075" w:type="dxa"/>
          </w:tcPr>
          <w:p w14:paraId="350C27E0" w14:textId="5456854F" w:rsidR="000756EB" w:rsidRPr="0035114A" w:rsidRDefault="004A4D88" w:rsidP="0035114A">
            <w:pPr>
              <w:pStyle w:val="TableCopy"/>
              <w:rPr>
                <w:b/>
                <w:bCs/>
              </w:rPr>
            </w:pPr>
            <w:r w:rsidRPr="0035114A">
              <w:rPr>
                <w:b/>
                <w:bCs/>
              </w:rPr>
              <w:t>Total</w:t>
            </w:r>
            <w:r w:rsidR="00A03629" w:rsidRPr="0035114A">
              <w:rPr>
                <w:b/>
                <w:bCs/>
              </w:rPr>
              <w:t xml:space="preserve"> </w:t>
            </w:r>
            <w:r w:rsidRPr="0035114A">
              <w:rPr>
                <w:b/>
                <w:bCs/>
              </w:rPr>
              <w:t>remuneration</w:t>
            </w:r>
            <w:r w:rsidR="00A03629" w:rsidRPr="0035114A">
              <w:rPr>
                <w:b/>
                <w:bCs/>
              </w:rPr>
              <w:t xml:space="preserve"> </w:t>
            </w:r>
            <w:r w:rsidRPr="00614829">
              <w:rPr>
                <w:rStyle w:val="FootnotereferencessuperscriptMisc"/>
                <w:b/>
                <w:bCs/>
              </w:rPr>
              <w:t>(</w:t>
            </w:r>
            <w:proofErr w:type="spellStart"/>
            <w:r w:rsidRPr="00614829">
              <w:rPr>
                <w:rStyle w:val="FootnotereferencessuperscriptMisc"/>
                <w:b/>
                <w:bCs/>
              </w:rPr>
              <w:t>i</w:t>
            </w:r>
            <w:proofErr w:type="spellEnd"/>
            <w:r w:rsidRPr="00614829">
              <w:rPr>
                <w:rStyle w:val="FootnotereferencessuperscriptMisc"/>
                <w:b/>
                <w:bCs/>
              </w:rPr>
              <w:t>)</w:t>
            </w:r>
          </w:p>
        </w:tc>
        <w:tc>
          <w:tcPr>
            <w:tcW w:w="1843" w:type="dxa"/>
          </w:tcPr>
          <w:p w14:paraId="2E62865E" w14:textId="717A2741" w:rsidR="000756EB" w:rsidRPr="0035114A" w:rsidRDefault="004A4D88" w:rsidP="0035114A">
            <w:pPr>
              <w:pStyle w:val="TableCopy"/>
              <w:jc w:val="right"/>
              <w:rPr>
                <w:b/>
                <w:bCs/>
              </w:rPr>
            </w:pPr>
            <w:r w:rsidRPr="0035114A">
              <w:rPr>
                <w:b/>
                <w:bCs/>
              </w:rPr>
              <w:t>53,813</w:t>
            </w:r>
          </w:p>
        </w:tc>
        <w:tc>
          <w:tcPr>
            <w:tcW w:w="1843" w:type="dxa"/>
          </w:tcPr>
          <w:p w14:paraId="14C99902" w14:textId="7640CD8A" w:rsidR="000756EB" w:rsidRPr="0035114A" w:rsidRDefault="004A4D88" w:rsidP="0035114A">
            <w:pPr>
              <w:pStyle w:val="TableCopy"/>
              <w:jc w:val="right"/>
              <w:rPr>
                <w:b/>
                <w:bCs/>
              </w:rPr>
            </w:pPr>
            <w:r w:rsidRPr="0035114A">
              <w:rPr>
                <w:b/>
                <w:bCs/>
              </w:rPr>
              <w:t>58,688</w:t>
            </w:r>
          </w:p>
        </w:tc>
      </w:tr>
      <w:tr w:rsidR="000756EB" w:rsidRPr="0035114A" w14:paraId="0E948995" w14:textId="77777777" w:rsidTr="0035114A">
        <w:trPr>
          <w:trHeight w:val="60"/>
        </w:trPr>
        <w:tc>
          <w:tcPr>
            <w:tcW w:w="4075" w:type="dxa"/>
          </w:tcPr>
          <w:p w14:paraId="3B6F8BC4" w14:textId="34E9A50D" w:rsidR="000756EB" w:rsidRPr="0035114A" w:rsidRDefault="004A4D88" w:rsidP="0035114A">
            <w:pPr>
              <w:pStyle w:val="TableCopy"/>
              <w:rPr>
                <w:b/>
                <w:bCs/>
              </w:rPr>
            </w:pPr>
            <w:r w:rsidRPr="0035114A">
              <w:rPr>
                <w:b/>
                <w:bCs/>
              </w:rPr>
              <w:t>Total</w:t>
            </w:r>
            <w:r w:rsidR="00A03629" w:rsidRPr="0035114A">
              <w:rPr>
                <w:b/>
                <w:bCs/>
              </w:rPr>
              <w:t xml:space="preserve"> </w:t>
            </w:r>
            <w:r w:rsidRPr="0035114A">
              <w:rPr>
                <w:b/>
                <w:bCs/>
              </w:rPr>
              <w:t>number</w:t>
            </w:r>
            <w:r w:rsidR="00A03629" w:rsidRPr="0035114A">
              <w:rPr>
                <w:b/>
                <w:bCs/>
              </w:rPr>
              <w:t xml:space="preserve"> </w:t>
            </w:r>
            <w:r w:rsidRPr="0035114A">
              <w:rPr>
                <w:b/>
                <w:bCs/>
              </w:rPr>
              <w:t>of</w:t>
            </w:r>
            <w:r w:rsidR="00A03629" w:rsidRPr="0035114A">
              <w:rPr>
                <w:b/>
                <w:bCs/>
              </w:rPr>
              <w:t xml:space="preserve"> </w:t>
            </w:r>
            <w:r w:rsidRPr="0035114A">
              <w:rPr>
                <w:b/>
                <w:bCs/>
              </w:rPr>
              <w:t>executives</w:t>
            </w:r>
            <w:r w:rsidR="00A03629" w:rsidRPr="0035114A">
              <w:rPr>
                <w:b/>
                <w:bCs/>
              </w:rPr>
              <w:t xml:space="preserve"> </w:t>
            </w:r>
            <w:r w:rsidRPr="00614829">
              <w:rPr>
                <w:rStyle w:val="FootnotereferencessuperscriptMisc"/>
                <w:b/>
                <w:bCs/>
              </w:rPr>
              <w:t>(ii)</w:t>
            </w:r>
          </w:p>
        </w:tc>
        <w:tc>
          <w:tcPr>
            <w:tcW w:w="1843" w:type="dxa"/>
          </w:tcPr>
          <w:p w14:paraId="4151BF89" w14:textId="2F1A1AC0" w:rsidR="000756EB" w:rsidRPr="0035114A" w:rsidRDefault="004A4D88" w:rsidP="0035114A">
            <w:pPr>
              <w:pStyle w:val="TableCopy"/>
              <w:jc w:val="right"/>
              <w:rPr>
                <w:b/>
                <w:bCs/>
              </w:rPr>
            </w:pPr>
            <w:r w:rsidRPr="0035114A">
              <w:rPr>
                <w:b/>
                <w:bCs/>
              </w:rPr>
              <w:t>290</w:t>
            </w:r>
          </w:p>
        </w:tc>
        <w:tc>
          <w:tcPr>
            <w:tcW w:w="1843" w:type="dxa"/>
          </w:tcPr>
          <w:p w14:paraId="782DC2BB" w14:textId="1780F5B8" w:rsidR="000756EB" w:rsidRPr="0035114A" w:rsidRDefault="004A4D88" w:rsidP="0035114A">
            <w:pPr>
              <w:pStyle w:val="TableCopy"/>
              <w:jc w:val="right"/>
              <w:rPr>
                <w:b/>
                <w:bCs/>
              </w:rPr>
            </w:pPr>
            <w:r w:rsidRPr="0035114A">
              <w:rPr>
                <w:b/>
                <w:bCs/>
              </w:rPr>
              <w:t>270</w:t>
            </w:r>
          </w:p>
        </w:tc>
      </w:tr>
      <w:tr w:rsidR="000756EB" w:rsidRPr="0035114A" w14:paraId="6B75510A" w14:textId="77777777" w:rsidTr="0035114A">
        <w:trPr>
          <w:trHeight w:val="60"/>
        </w:trPr>
        <w:tc>
          <w:tcPr>
            <w:tcW w:w="4075" w:type="dxa"/>
          </w:tcPr>
          <w:p w14:paraId="736EC02A" w14:textId="5B1C37DC" w:rsidR="000756EB" w:rsidRPr="0035114A" w:rsidRDefault="004A4D88" w:rsidP="0035114A">
            <w:pPr>
              <w:pStyle w:val="TableCopy"/>
              <w:rPr>
                <w:b/>
                <w:bCs/>
              </w:rPr>
            </w:pPr>
            <w:r w:rsidRPr="0035114A">
              <w:rPr>
                <w:b/>
                <w:bCs/>
              </w:rPr>
              <w:t>Total</w:t>
            </w:r>
            <w:r w:rsidR="00A03629" w:rsidRPr="0035114A">
              <w:rPr>
                <w:b/>
                <w:bCs/>
              </w:rPr>
              <w:t xml:space="preserve"> </w:t>
            </w:r>
            <w:r w:rsidRPr="0035114A">
              <w:rPr>
                <w:b/>
                <w:bCs/>
              </w:rPr>
              <w:t>annualised</w:t>
            </w:r>
            <w:r w:rsidR="00A03629" w:rsidRPr="0035114A">
              <w:rPr>
                <w:b/>
                <w:bCs/>
              </w:rPr>
              <w:t xml:space="preserve"> </w:t>
            </w:r>
            <w:r w:rsidRPr="0035114A">
              <w:rPr>
                <w:b/>
                <w:bCs/>
              </w:rPr>
              <w:t>employee</w:t>
            </w:r>
            <w:r w:rsidR="00A03629" w:rsidRPr="0035114A">
              <w:rPr>
                <w:b/>
                <w:bCs/>
              </w:rPr>
              <w:t xml:space="preserve"> </w:t>
            </w:r>
            <w:r w:rsidRPr="0035114A">
              <w:rPr>
                <w:b/>
                <w:bCs/>
              </w:rPr>
              <w:t>equivalent</w:t>
            </w:r>
            <w:r w:rsidR="00A03629" w:rsidRPr="0035114A">
              <w:rPr>
                <w:b/>
                <w:bCs/>
              </w:rPr>
              <w:t xml:space="preserve"> </w:t>
            </w:r>
            <w:r w:rsidRPr="0035114A">
              <w:rPr>
                <w:b/>
                <w:bCs/>
              </w:rPr>
              <w:t>(AEE)</w:t>
            </w:r>
            <w:r w:rsidR="00A03629" w:rsidRPr="0035114A">
              <w:rPr>
                <w:b/>
                <w:bCs/>
              </w:rPr>
              <w:t xml:space="preserve"> </w:t>
            </w:r>
            <w:r w:rsidRPr="00614829">
              <w:rPr>
                <w:rStyle w:val="FootnotereferencessuperscriptMisc"/>
                <w:b/>
                <w:bCs/>
              </w:rPr>
              <w:t>(iii)</w:t>
            </w:r>
          </w:p>
        </w:tc>
        <w:tc>
          <w:tcPr>
            <w:tcW w:w="1843" w:type="dxa"/>
          </w:tcPr>
          <w:p w14:paraId="7ACEFD72" w14:textId="495F4FA3" w:rsidR="000756EB" w:rsidRPr="0035114A" w:rsidRDefault="004A4D88" w:rsidP="0035114A">
            <w:pPr>
              <w:pStyle w:val="TableCopy"/>
              <w:jc w:val="right"/>
              <w:rPr>
                <w:b/>
                <w:bCs/>
              </w:rPr>
            </w:pPr>
            <w:r w:rsidRPr="0035114A">
              <w:rPr>
                <w:b/>
                <w:bCs/>
              </w:rPr>
              <w:t>199.0</w:t>
            </w:r>
          </w:p>
        </w:tc>
        <w:tc>
          <w:tcPr>
            <w:tcW w:w="1843" w:type="dxa"/>
          </w:tcPr>
          <w:p w14:paraId="71DDF7B8" w14:textId="687EF81B" w:rsidR="000756EB" w:rsidRPr="0035114A" w:rsidRDefault="004A4D88" w:rsidP="0035114A">
            <w:pPr>
              <w:pStyle w:val="TableCopy"/>
              <w:jc w:val="right"/>
              <w:rPr>
                <w:b/>
                <w:bCs/>
              </w:rPr>
            </w:pPr>
            <w:r w:rsidRPr="0035114A">
              <w:rPr>
                <w:b/>
                <w:bCs/>
              </w:rPr>
              <w:t>221.4</w:t>
            </w:r>
          </w:p>
        </w:tc>
      </w:tr>
    </w:tbl>
    <w:p w14:paraId="26CCCD2F" w14:textId="3FD24E66" w:rsidR="003A0D85" w:rsidRDefault="003A0D85" w:rsidP="0035114A">
      <w:pPr>
        <w:pStyle w:val="FootnoteText"/>
        <w:spacing w:before="120"/>
        <w:rPr>
          <w:i/>
          <w:iCs/>
        </w:rPr>
      </w:pPr>
      <w:r>
        <w:t>(</w:t>
      </w:r>
      <w:proofErr w:type="spellStart"/>
      <w:r>
        <w:t>i</w:t>
      </w:r>
      <w:proofErr w:type="spellEnd"/>
      <w:r>
        <w:t>) The total number of executive officers includes persons who meet the definition of Key Management Personnel (KMP) of the entity under AASB 124 Related Party Disclosures and are also reported within the related parties note disclosure (Note 9.8).</w:t>
      </w:r>
    </w:p>
    <w:p w14:paraId="19E83C93" w14:textId="4ED794D8" w:rsidR="003A0D85" w:rsidRDefault="003A0D85" w:rsidP="003A0D85">
      <w:pPr>
        <w:pStyle w:val="FootnoteText"/>
        <w:rPr>
          <w:i/>
          <w:iCs/>
        </w:rPr>
      </w:pPr>
      <w:r>
        <w:t>(ii) The total number of executives reflects the number of people that held an executive officer position which includes VPS employees acting in vacant executive officer positions during the reporting period.</w:t>
      </w:r>
    </w:p>
    <w:p w14:paraId="7055AD68" w14:textId="3F76090C" w:rsidR="000756EB" w:rsidRDefault="003A0D85" w:rsidP="0035114A">
      <w:pPr>
        <w:pStyle w:val="FootnoteText"/>
        <w:spacing w:after="280"/>
        <w:rPr>
          <w:rFonts w:ascii="VIC Light" w:hAnsi="VIC Light" w:cs="VIC Light"/>
        </w:rPr>
      </w:pPr>
      <w:r>
        <w:t>(iii) Annualised employee equivalent is based on the time fraction worked over the reporting period for 2022–23 hence the number is comparatively less than the total number of executives.</w:t>
      </w:r>
    </w:p>
    <w:p w14:paraId="35AB7998" w14:textId="2B79E10B" w:rsidR="000756EB" w:rsidRDefault="004A4D88" w:rsidP="0035114A">
      <w:pPr>
        <w:pStyle w:val="Heading2"/>
      </w:pPr>
      <w:bookmarkStart w:id="151" w:name="_Toc149911845"/>
      <w:r>
        <w:t>9.8</w:t>
      </w:r>
      <w:r w:rsidR="00DE38B5">
        <w:t xml:space="preserve"> </w:t>
      </w:r>
      <w:r>
        <w:t>Related</w:t>
      </w:r>
      <w:r w:rsidR="00A03629">
        <w:t xml:space="preserve"> </w:t>
      </w:r>
      <w:r>
        <w:t>parties</w:t>
      </w:r>
      <w:bookmarkEnd w:id="151"/>
    </w:p>
    <w:p w14:paraId="0E6487C0" w14:textId="5291AF4B" w:rsidR="000756EB" w:rsidRDefault="004A4D88" w:rsidP="0035114A">
      <w:r>
        <w:t>DJSIR</w:t>
      </w:r>
      <w:r w:rsidR="00A03629">
        <w:t xml:space="preserve"> </w:t>
      </w:r>
      <w:r>
        <w:t>is</w:t>
      </w:r>
      <w:r w:rsidR="00A03629">
        <w:t xml:space="preserve"> </w:t>
      </w:r>
      <w:r>
        <w:t>a</w:t>
      </w:r>
      <w:r w:rsidR="00A03629">
        <w:t xml:space="preserve"> </w:t>
      </w:r>
      <w:r>
        <w:t>wholly</w:t>
      </w:r>
      <w:r w:rsidR="00A03629">
        <w:t xml:space="preserve"> </w:t>
      </w:r>
      <w:r>
        <w:t>owned</w:t>
      </w:r>
      <w:r w:rsidR="00A03629">
        <w:t xml:space="preserve"> </w:t>
      </w:r>
      <w:r>
        <w:t>and</w:t>
      </w:r>
      <w:r w:rsidR="00A03629">
        <w:t xml:space="preserve"> </w:t>
      </w:r>
      <w:r>
        <w:t>controlled</w:t>
      </w:r>
      <w:r w:rsidR="00A03629">
        <w:t xml:space="preserve"> </w:t>
      </w:r>
      <w:r>
        <w:t>entity</w:t>
      </w:r>
      <w:r w:rsidR="00A03629">
        <w:t xml:space="preserve"> </w:t>
      </w:r>
      <w:r>
        <w:t>of</w:t>
      </w:r>
      <w:r w:rsidR="00A03629">
        <w:rPr>
          <w:rFonts w:ascii="Cambria" w:hAnsi="Cambria" w:cs="Cambria"/>
        </w:rPr>
        <w:t xml:space="preserve"> </w:t>
      </w:r>
      <w:r>
        <w:t>the</w:t>
      </w:r>
      <w:r w:rsidR="00A03629">
        <w:rPr>
          <w:rFonts w:ascii="Cambria" w:hAnsi="Cambria" w:cs="Cambria"/>
        </w:rPr>
        <w:t xml:space="preserve"> </w:t>
      </w:r>
      <w:r>
        <w:t>State</w:t>
      </w:r>
      <w:r w:rsidR="00A03629">
        <w:t xml:space="preserve"> </w:t>
      </w:r>
      <w:r>
        <w:t>of</w:t>
      </w:r>
      <w:r w:rsidR="00A03629">
        <w:t xml:space="preserve"> </w:t>
      </w:r>
      <w:r>
        <w:t>Victoria.</w:t>
      </w:r>
    </w:p>
    <w:p w14:paraId="41B887D3" w14:textId="0C5DC3C8" w:rsidR="000756EB" w:rsidRPr="0035114A" w:rsidRDefault="004A4D88" w:rsidP="0035114A">
      <w:pPr>
        <w:pStyle w:val="Normalbeforebullets"/>
      </w:pPr>
      <w:r>
        <w:t>The</w:t>
      </w:r>
      <w:r w:rsidR="00A03629">
        <w:t xml:space="preserve"> </w:t>
      </w:r>
      <w:r>
        <w:t>following</w:t>
      </w:r>
      <w:r w:rsidR="00A03629">
        <w:t xml:space="preserve"> </w:t>
      </w:r>
      <w:r>
        <w:t>agencies</w:t>
      </w:r>
      <w:r w:rsidR="00A03629">
        <w:t xml:space="preserve"> </w:t>
      </w:r>
      <w:r>
        <w:t>have</w:t>
      </w:r>
      <w:r w:rsidR="00A03629">
        <w:t xml:space="preserve"> </w:t>
      </w:r>
      <w:r>
        <w:t>been</w:t>
      </w:r>
      <w:r w:rsidR="00A03629">
        <w:t xml:space="preserve"> </w:t>
      </w:r>
      <w:r>
        <w:t>consolidated</w:t>
      </w:r>
      <w:r w:rsidR="00A03629">
        <w:t xml:space="preserve"> </w:t>
      </w:r>
      <w:r>
        <w:t>into</w:t>
      </w:r>
      <w:r w:rsidR="00A03629">
        <w:t xml:space="preserve"> </w:t>
      </w:r>
      <w:r>
        <w:t>DJSIR’s</w:t>
      </w:r>
      <w:r w:rsidR="00A03629">
        <w:t xml:space="preserve"> </w:t>
      </w:r>
      <w:r>
        <w:t>financial</w:t>
      </w:r>
      <w:r w:rsidR="00A03629">
        <w:t xml:space="preserve"> </w:t>
      </w:r>
      <w:r>
        <w:t>statements</w:t>
      </w:r>
      <w:r w:rsidR="00A03629">
        <w:t xml:space="preserve"> </w:t>
      </w:r>
      <w:r>
        <w:t>pursuant</w:t>
      </w:r>
      <w:r w:rsidR="00A03629">
        <w:t xml:space="preserve"> </w:t>
      </w:r>
      <w:r>
        <w:t>to</w:t>
      </w:r>
      <w:r w:rsidR="00A03629">
        <w:t xml:space="preserve"> </w:t>
      </w:r>
      <w:r>
        <w:t>the</w:t>
      </w:r>
      <w:r w:rsidR="00A03629">
        <w:t xml:space="preserve"> </w:t>
      </w:r>
      <w:r>
        <w:t>determination</w:t>
      </w:r>
      <w:r w:rsidR="00A03629">
        <w:t xml:space="preserve"> </w:t>
      </w:r>
      <w:r>
        <w:t>made</w:t>
      </w:r>
      <w:r w:rsidR="00A03629">
        <w:t xml:space="preserve"> </w:t>
      </w:r>
      <w:r>
        <w:t>by</w:t>
      </w:r>
      <w:r w:rsidR="00A03629">
        <w:t xml:space="preserve"> </w:t>
      </w:r>
      <w:r>
        <w:t>the</w:t>
      </w:r>
      <w:r w:rsidR="00A03629">
        <w:t xml:space="preserve"> </w:t>
      </w:r>
      <w:r>
        <w:t>Assistant</w:t>
      </w:r>
      <w:r w:rsidR="00A03629">
        <w:t xml:space="preserve"> </w:t>
      </w:r>
      <w:r>
        <w:t>Treasurer</w:t>
      </w:r>
      <w:r w:rsidR="00A03629">
        <w:t xml:space="preserve"> </w:t>
      </w:r>
      <w:r>
        <w:t>under</w:t>
      </w:r>
      <w:r w:rsidR="00A03629">
        <w:t xml:space="preserve"> </w:t>
      </w:r>
      <w:r>
        <w:t>section</w:t>
      </w:r>
      <w:r w:rsidR="00A03629">
        <w:t xml:space="preserve"> </w:t>
      </w:r>
      <w:r>
        <w:t>53(1)(b)</w:t>
      </w:r>
      <w:r w:rsidR="00A03629">
        <w:t xml:space="preserve"> </w:t>
      </w:r>
      <w:r>
        <w:t>of</w:t>
      </w:r>
      <w:r w:rsidR="00A03629">
        <w:t xml:space="preserve"> </w:t>
      </w:r>
      <w:r>
        <w:t>the</w:t>
      </w:r>
      <w:r w:rsidR="00A03629">
        <w:t xml:space="preserve"> </w:t>
      </w:r>
      <w:r w:rsidRPr="0035114A">
        <w:rPr>
          <w:i/>
          <w:iCs/>
        </w:rPr>
        <w:t>Financial</w:t>
      </w:r>
      <w:r w:rsidR="00A03629" w:rsidRPr="0035114A">
        <w:rPr>
          <w:i/>
          <w:iCs/>
        </w:rPr>
        <w:t xml:space="preserve"> </w:t>
      </w:r>
      <w:r w:rsidRPr="0035114A">
        <w:rPr>
          <w:i/>
          <w:iCs/>
        </w:rPr>
        <w:t>Management</w:t>
      </w:r>
      <w:r w:rsidR="00A03629" w:rsidRPr="0035114A">
        <w:rPr>
          <w:i/>
          <w:iCs/>
        </w:rPr>
        <w:t xml:space="preserve"> </w:t>
      </w:r>
      <w:r w:rsidRPr="0035114A">
        <w:rPr>
          <w:i/>
          <w:iCs/>
        </w:rPr>
        <w:t>Act</w:t>
      </w:r>
      <w:r w:rsidR="00A03629" w:rsidRPr="0035114A">
        <w:rPr>
          <w:i/>
          <w:iCs/>
        </w:rPr>
        <w:t xml:space="preserve"> </w:t>
      </w:r>
      <w:r w:rsidRPr="0035114A">
        <w:rPr>
          <w:i/>
          <w:iCs/>
        </w:rPr>
        <w:t>1994</w:t>
      </w:r>
      <w:r w:rsidR="00A03629">
        <w:rPr>
          <w:rFonts w:ascii="VIC Light" w:hAnsi="VIC Light" w:cs="VIC Light"/>
        </w:rPr>
        <w:t xml:space="preserve"> </w:t>
      </w:r>
      <w:r w:rsidRPr="0035114A">
        <w:t>(FMA):</w:t>
      </w:r>
    </w:p>
    <w:p w14:paraId="5F3F7088" w14:textId="29651DFA" w:rsidR="000756EB" w:rsidRPr="0035114A" w:rsidRDefault="004A4D88" w:rsidP="0035114A">
      <w:pPr>
        <w:pStyle w:val="Bullet"/>
      </w:pPr>
      <w:r w:rsidRPr="0035114A">
        <w:t>Rural</w:t>
      </w:r>
      <w:r w:rsidR="00A03629" w:rsidRPr="0035114A">
        <w:t xml:space="preserve"> </w:t>
      </w:r>
      <w:r w:rsidRPr="0035114A">
        <w:t>Assistance</w:t>
      </w:r>
      <w:r w:rsidR="00A03629" w:rsidRPr="0035114A">
        <w:t xml:space="preserve"> </w:t>
      </w:r>
      <w:r w:rsidRPr="0035114A">
        <w:t>Commissioner</w:t>
      </w:r>
      <w:r w:rsidR="00A03629" w:rsidRPr="0035114A">
        <w:t xml:space="preserve"> </w:t>
      </w:r>
      <w:r w:rsidRPr="00614829">
        <w:rPr>
          <w:rStyle w:val="FootnotereferencessuperscriptMisc"/>
        </w:rPr>
        <w:t>(</w:t>
      </w:r>
      <w:proofErr w:type="spellStart"/>
      <w:r w:rsidRPr="00614829">
        <w:rPr>
          <w:rStyle w:val="FootnotereferencessuperscriptMisc"/>
        </w:rPr>
        <w:t>i</w:t>
      </w:r>
      <w:proofErr w:type="spellEnd"/>
      <w:r w:rsidRPr="00614829">
        <w:rPr>
          <w:rStyle w:val="FootnotereferencessuperscriptMisc"/>
        </w:rPr>
        <w:t>)</w:t>
      </w:r>
      <w:r w:rsidR="00A03629" w:rsidRPr="0035114A">
        <w:t xml:space="preserve"> </w:t>
      </w:r>
      <w:r w:rsidRPr="0035114A">
        <w:t>(until</w:t>
      </w:r>
      <w:r w:rsidR="00A03629" w:rsidRPr="0035114A">
        <w:t xml:space="preserve"> </w:t>
      </w:r>
      <w:r w:rsidRPr="0035114A">
        <w:t>31</w:t>
      </w:r>
      <w:r w:rsidR="00A03629" w:rsidRPr="0035114A">
        <w:t xml:space="preserve"> </w:t>
      </w:r>
      <w:r w:rsidRPr="0035114A">
        <w:t>December</w:t>
      </w:r>
      <w:r w:rsidR="00A03629" w:rsidRPr="0035114A">
        <w:t xml:space="preserve"> </w:t>
      </w:r>
      <w:r w:rsidRPr="0035114A">
        <w:t>2022)</w:t>
      </w:r>
    </w:p>
    <w:p w14:paraId="1FCD0B2B" w14:textId="273BBB51" w:rsidR="000756EB" w:rsidRPr="0035114A" w:rsidRDefault="004A4D88" w:rsidP="0035114A">
      <w:pPr>
        <w:pStyle w:val="Bullet"/>
      </w:pPr>
      <w:r w:rsidRPr="0035114A">
        <w:t>Victorian</w:t>
      </w:r>
      <w:r w:rsidR="00A03629" w:rsidRPr="0035114A">
        <w:t xml:space="preserve"> </w:t>
      </w:r>
      <w:r w:rsidRPr="0035114A">
        <w:t>Racing</w:t>
      </w:r>
      <w:r w:rsidR="00A03629" w:rsidRPr="0035114A">
        <w:t xml:space="preserve"> </w:t>
      </w:r>
      <w:r w:rsidRPr="0035114A">
        <w:t>Tribunal</w:t>
      </w:r>
      <w:r w:rsidR="00A03629" w:rsidRPr="0035114A">
        <w:t xml:space="preserve"> </w:t>
      </w:r>
      <w:r w:rsidRPr="00614829">
        <w:rPr>
          <w:rStyle w:val="FootnotereferencessuperscriptMisc"/>
        </w:rPr>
        <w:t>(</w:t>
      </w:r>
      <w:proofErr w:type="spellStart"/>
      <w:r w:rsidRPr="00614829">
        <w:rPr>
          <w:rStyle w:val="FootnotereferencessuperscriptMisc"/>
        </w:rPr>
        <w:t>i</w:t>
      </w:r>
      <w:proofErr w:type="spellEnd"/>
      <w:r w:rsidRPr="00614829">
        <w:rPr>
          <w:rStyle w:val="FootnotereferencessuperscriptMisc"/>
        </w:rPr>
        <w:t>)</w:t>
      </w:r>
      <w:r w:rsidR="00A03629" w:rsidRPr="0035114A">
        <w:t xml:space="preserve"> </w:t>
      </w:r>
      <w:r w:rsidRPr="0035114A">
        <w:t>(until</w:t>
      </w:r>
      <w:r w:rsidR="00A03629" w:rsidRPr="0035114A">
        <w:t xml:space="preserve"> </w:t>
      </w:r>
      <w:r w:rsidRPr="0035114A">
        <w:t>31</w:t>
      </w:r>
      <w:r w:rsidR="00A03629" w:rsidRPr="0035114A">
        <w:t xml:space="preserve"> </w:t>
      </w:r>
      <w:r w:rsidRPr="0035114A">
        <w:t>December</w:t>
      </w:r>
      <w:r w:rsidR="00A03629" w:rsidRPr="0035114A">
        <w:t xml:space="preserve"> </w:t>
      </w:r>
      <w:r w:rsidRPr="0035114A">
        <w:t>2022)</w:t>
      </w:r>
    </w:p>
    <w:p w14:paraId="18322A78" w14:textId="5228913B" w:rsidR="000756EB" w:rsidRPr="0035114A" w:rsidRDefault="004A4D88" w:rsidP="0035114A">
      <w:pPr>
        <w:pStyle w:val="Bullet"/>
      </w:pPr>
      <w:r w:rsidRPr="0035114A">
        <w:t>Victorian</w:t>
      </w:r>
      <w:r w:rsidR="00A03629" w:rsidRPr="0035114A">
        <w:t xml:space="preserve"> </w:t>
      </w:r>
      <w:r w:rsidRPr="0035114A">
        <w:t>Racing</w:t>
      </w:r>
      <w:r w:rsidR="00A03629" w:rsidRPr="0035114A">
        <w:t xml:space="preserve"> </w:t>
      </w:r>
      <w:r w:rsidRPr="0035114A">
        <w:t>Integrity</w:t>
      </w:r>
      <w:r w:rsidR="00A03629" w:rsidRPr="0035114A">
        <w:t xml:space="preserve"> </w:t>
      </w:r>
      <w:r w:rsidRPr="0035114A">
        <w:t>Board</w:t>
      </w:r>
      <w:r w:rsidR="00A03629" w:rsidRPr="0035114A">
        <w:t xml:space="preserve"> </w:t>
      </w:r>
      <w:r w:rsidRPr="00614829">
        <w:rPr>
          <w:rStyle w:val="FootnotereferencessuperscriptMisc"/>
        </w:rPr>
        <w:t>(</w:t>
      </w:r>
      <w:proofErr w:type="spellStart"/>
      <w:r w:rsidRPr="00614829">
        <w:rPr>
          <w:rStyle w:val="FootnotereferencessuperscriptMisc"/>
        </w:rPr>
        <w:t>i</w:t>
      </w:r>
      <w:proofErr w:type="spellEnd"/>
      <w:r w:rsidRPr="00614829">
        <w:rPr>
          <w:rStyle w:val="FootnotereferencessuperscriptMisc"/>
        </w:rPr>
        <w:t>)</w:t>
      </w:r>
      <w:r w:rsidR="00A03629" w:rsidRPr="0035114A">
        <w:t xml:space="preserve"> </w:t>
      </w:r>
      <w:r w:rsidRPr="0035114A">
        <w:t>(until</w:t>
      </w:r>
      <w:r w:rsidR="00A03629" w:rsidRPr="0035114A">
        <w:t xml:space="preserve"> </w:t>
      </w:r>
      <w:r w:rsidRPr="0035114A">
        <w:t>31</w:t>
      </w:r>
      <w:r w:rsidR="00A03629" w:rsidRPr="0035114A">
        <w:t xml:space="preserve"> </w:t>
      </w:r>
      <w:r w:rsidRPr="0035114A">
        <w:t>December</w:t>
      </w:r>
      <w:r w:rsidR="00A03629" w:rsidRPr="0035114A">
        <w:t xml:space="preserve"> </w:t>
      </w:r>
      <w:r w:rsidRPr="0035114A">
        <w:t>2022)</w:t>
      </w:r>
    </w:p>
    <w:p w14:paraId="5793F9C3" w14:textId="7958696F" w:rsidR="000756EB" w:rsidRPr="0035114A" w:rsidRDefault="004A4D88" w:rsidP="0035114A">
      <w:pPr>
        <w:pStyle w:val="Bullet"/>
      </w:pPr>
      <w:r w:rsidRPr="0035114A">
        <w:t>Racing</w:t>
      </w:r>
      <w:r w:rsidR="00A03629" w:rsidRPr="0035114A">
        <w:t xml:space="preserve"> </w:t>
      </w:r>
      <w:r w:rsidRPr="0035114A">
        <w:t>Integrity</w:t>
      </w:r>
      <w:r w:rsidR="00A03629" w:rsidRPr="0035114A">
        <w:t xml:space="preserve"> </w:t>
      </w:r>
      <w:r w:rsidRPr="0035114A">
        <w:t>Commissioner</w:t>
      </w:r>
      <w:r w:rsidR="00A03629" w:rsidRPr="0035114A">
        <w:t xml:space="preserve"> </w:t>
      </w:r>
      <w:r w:rsidRPr="00614829">
        <w:rPr>
          <w:rStyle w:val="FootnotereferencessuperscriptMisc"/>
        </w:rPr>
        <w:t>(</w:t>
      </w:r>
      <w:proofErr w:type="spellStart"/>
      <w:r w:rsidRPr="00614829">
        <w:rPr>
          <w:rStyle w:val="FootnotereferencessuperscriptMisc"/>
        </w:rPr>
        <w:t>i</w:t>
      </w:r>
      <w:proofErr w:type="spellEnd"/>
      <w:r w:rsidRPr="00614829">
        <w:rPr>
          <w:rStyle w:val="FootnotereferencessuperscriptMisc"/>
        </w:rPr>
        <w:t>)</w:t>
      </w:r>
      <w:r w:rsidR="00A03629" w:rsidRPr="0035114A">
        <w:t xml:space="preserve"> </w:t>
      </w:r>
      <w:r w:rsidRPr="0035114A">
        <w:t>(until</w:t>
      </w:r>
      <w:r w:rsidR="00A03629" w:rsidRPr="0035114A">
        <w:t xml:space="preserve"> </w:t>
      </w:r>
      <w:r w:rsidRPr="0035114A">
        <w:t>31</w:t>
      </w:r>
      <w:r w:rsidR="00A03629" w:rsidRPr="0035114A">
        <w:t xml:space="preserve"> </w:t>
      </w:r>
      <w:r w:rsidRPr="0035114A">
        <w:t>December</w:t>
      </w:r>
      <w:r w:rsidR="00A03629" w:rsidRPr="0035114A">
        <w:t xml:space="preserve"> </w:t>
      </w:r>
      <w:r w:rsidRPr="0035114A">
        <w:t>2022)</w:t>
      </w:r>
    </w:p>
    <w:p w14:paraId="62E18235" w14:textId="25AD510D" w:rsidR="000756EB" w:rsidRPr="0035114A" w:rsidRDefault="004A4D88" w:rsidP="0035114A">
      <w:pPr>
        <w:pStyle w:val="Bullet"/>
      </w:pPr>
      <w:r w:rsidRPr="0035114A">
        <w:t>Mine</w:t>
      </w:r>
      <w:r w:rsidR="00A03629" w:rsidRPr="0035114A">
        <w:t xml:space="preserve"> </w:t>
      </w:r>
      <w:r w:rsidRPr="0035114A">
        <w:t>Land</w:t>
      </w:r>
      <w:r w:rsidR="00A03629" w:rsidRPr="0035114A">
        <w:t xml:space="preserve"> </w:t>
      </w:r>
      <w:r w:rsidRPr="0035114A">
        <w:t>Rehabilitation</w:t>
      </w:r>
      <w:r w:rsidR="00A03629" w:rsidRPr="0035114A">
        <w:t xml:space="preserve"> </w:t>
      </w:r>
      <w:r w:rsidRPr="0035114A">
        <w:t>Authority</w:t>
      </w:r>
      <w:r w:rsidR="00A03629" w:rsidRPr="0035114A">
        <w:t xml:space="preserve"> </w:t>
      </w:r>
      <w:r w:rsidRPr="00614829">
        <w:rPr>
          <w:rStyle w:val="FootnotereferencessuperscriptMisc"/>
        </w:rPr>
        <w:t>(</w:t>
      </w:r>
      <w:proofErr w:type="spellStart"/>
      <w:r w:rsidRPr="00614829">
        <w:rPr>
          <w:rStyle w:val="FootnotereferencessuperscriptMisc"/>
        </w:rPr>
        <w:t>i</w:t>
      </w:r>
      <w:proofErr w:type="spellEnd"/>
      <w:r w:rsidRPr="00614829">
        <w:rPr>
          <w:rStyle w:val="FootnotereferencessuperscriptMisc"/>
        </w:rPr>
        <w:t>)</w:t>
      </w:r>
      <w:r w:rsidR="00A03629" w:rsidRPr="0035114A">
        <w:t xml:space="preserve"> </w:t>
      </w:r>
      <w:r w:rsidRPr="0035114A">
        <w:t>(until</w:t>
      </w:r>
      <w:r w:rsidR="00A03629" w:rsidRPr="0035114A">
        <w:t xml:space="preserve"> </w:t>
      </w:r>
      <w:r w:rsidRPr="0035114A">
        <w:t>31</w:t>
      </w:r>
      <w:r w:rsidR="00A03629" w:rsidRPr="0035114A">
        <w:t xml:space="preserve"> </w:t>
      </w:r>
      <w:r w:rsidRPr="0035114A">
        <w:t>December</w:t>
      </w:r>
      <w:r w:rsidR="00A03629" w:rsidRPr="0035114A">
        <w:t xml:space="preserve"> </w:t>
      </w:r>
      <w:r w:rsidRPr="0035114A">
        <w:t>2022)</w:t>
      </w:r>
    </w:p>
    <w:p w14:paraId="004D1954" w14:textId="4C93504E" w:rsidR="000756EB" w:rsidRPr="0035114A" w:rsidRDefault="004A4D88" w:rsidP="0035114A">
      <w:pPr>
        <w:pStyle w:val="Bulletlast"/>
      </w:pPr>
      <w:r w:rsidRPr="0035114A">
        <w:t>Secretary,</w:t>
      </w:r>
      <w:r w:rsidR="00A03629" w:rsidRPr="0035114A">
        <w:t xml:space="preserve"> </w:t>
      </w:r>
      <w:r w:rsidRPr="0035114A">
        <w:t>Project</w:t>
      </w:r>
      <w:r w:rsidR="00A03629" w:rsidRPr="0035114A">
        <w:t xml:space="preserve"> </w:t>
      </w:r>
      <w:r w:rsidRPr="0035114A">
        <w:t>Development</w:t>
      </w:r>
    </w:p>
    <w:p w14:paraId="28D15879" w14:textId="2F31C91E" w:rsidR="000756EB" w:rsidRDefault="004A4D88" w:rsidP="0035114A">
      <w:pPr>
        <w:pStyle w:val="Normalbeforebullets"/>
      </w:pPr>
      <w:r>
        <w:lastRenderedPageBreak/>
        <w:t>DJSIR’s</w:t>
      </w:r>
      <w:r w:rsidR="00A03629">
        <w:t xml:space="preserve"> </w:t>
      </w:r>
      <w:r>
        <w:t>section</w:t>
      </w:r>
      <w:r w:rsidR="00A03629">
        <w:t xml:space="preserve"> </w:t>
      </w:r>
      <w:r>
        <w:t>53(1)(b)</w:t>
      </w:r>
      <w:r w:rsidR="00A03629">
        <w:t xml:space="preserve"> </w:t>
      </w:r>
      <w:r>
        <w:t>entities,</w:t>
      </w:r>
      <w:r w:rsidR="00A03629">
        <w:t xml:space="preserve"> </w:t>
      </w:r>
      <w:r>
        <w:t>Rural</w:t>
      </w:r>
      <w:r w:rsidR="00A03629">
        <w:t xml:space="preserve"> </w:t>
      </w:r>
      <w:r>
        <w:t>Assistance</w:t>
      </w:r>
      <w:r w:rsidR="00A03629">
        <w:t xml:space="preserve"> </w:t>
      </w:r>
      <w:r>
        <w:t>Commissioner,</w:t>
      </w:r>
      <w:r w:rsidR="00A03629">
        <w:t xml:space="preserve"> </w:t>
      </w:r>
      <w:r>
        <w:t>Victorian</w:t>
      </w:r>
      <w:r w:rsidR="00A03629">
        <w:t xml:space="preserve"> </w:t>
      </w:r>
      <w:r>
        <w:t>Racing</w:t>
      </w:r>
      <w:r w:rsidR="00A03629">
        <w:t xml:space="preserve"> </w:t>
      </w:r>
      <w:r>
        <w:t>Tribunal,</w:t>
      </w:r>
      <w:r w:rsidR="00A03629">
        <w:t xml:space="preserve"> </w:t>
      </w:r>
      <w:r>
        <w:t>Victorian</w:t>
      </w:r>
      <w:r w:rsidR="00A03629">
        <w:t xml:space="preserve"> </w:t>
      </w:r>
      <w:r>
        <w:t>Racing</w:t>
      </w:r>
      <w:r w:rsidR="00A03629">
        <w:t xml:space="preserve"> </w:t>
      </w:r>
      <w:r>
        <w:t>Integrity</w:t>
      </w:r>
      <w:r w:rsidR="00A03629">
        <w:t xml:space="preserve"> </w:t>
      </w:r>
      <w:r>
        <w:t>Board</w:t>
      </w:r>
      <w:r w:rsidR="00A03629">
        <w:t xml:space="preserve"> </w:t>
      </w:r>
      <w:r>
        <w:t>and</w:t>
      </w:r>
      <w:r w:rsidR="00A03629">
        <w:t xml:space="preserve"> </w:t>
      </w:r>
      <w:r>
        <w:t>Racing</w:t>
      </w:r>
      <w:r w:rsidR="00A03629">
        <w:t xml:space="preserve"> </w:t>
      </w:r>
      <w:r>
        <w:t>Integrity</w:t>
      </w:r>
      <w:r w:rsidR="00A03629">
        <w:t xml:space="preserve"> </w:t>
      </w:r>
      <w:r>
        <w:t>Commissioner,</w:t>
      </w:r>
      <w:r w:rsidR="00A03629">
        <w:t xml:space="preserve"> </w:t>
      </w:r>
      <w:r>
        <w:t>Mine</w:t>
      </w:r>
      <w:r w:rsidR="00A03629">
        <w:t xml:space="preserve"> </w:t>
      </w:r>
      <w:r>
        <w:t>Land</w:t>
      </w:r>
      <w:r w:rsidR="00A03629">
        <w:t xml:space="preserve"> </w:t>
      </w:r>
      <w:r>
        <w:t>Rehabilitation</w:t>
      </w:r>
      <w:r w:rsidR="00A03629">
        <w:t xml:space="preserve"> </w:t>
      </w:r>
      <w:r>
        <w:t>Authority,</w:t>
      </w:r>
      <w:r w:rsidR="00A03629">
        <w:t xml:space="preserve"> </w:t>
      </w:r>
      <w:r>
        <w:t>Secretary,</w:t>
      </w:r>
      <w:r w:rsidR="00A03629">
        <w:t xml:space="preserve"> </w:t>
      </w:r>
      <w:r>
        <w:t>Project</w:t>
      </w:r>
      <w:r w:rsidR="00A03629">
        <w:t xml:space="preserve"> </w:t>
      </w:r>
      <w:r>
        <w:t>Development</w:t>
      </w:r>
      <w:r w:rsidR="00A03629">
        <w:t xml:space="preserve"> </w:t>
      </w:r>
      <w:r>
        <w:t>include:</w:t>
      </w:r>
    </w:p>
    <w:p w14:paraId="023BF334" w14:textId="1B5BA20C" w:rsidR="000756EB" w:rsidRDefault="004A4D88" w:rsidP="007B6393">
      <w:pPr>
        <w:pStyle w:val="Bullet"/>
      </w:pPr>
      <w:r>
        <w:t>all</w:t>
      </w:r>
      <w:r w:rsidR="00A03629">
        <w:t xml:space="preserve"> </w:t>
      </w:r>
      <w:r>
        <w:t>key</w:t>
      </w:r>
      <w:r w:rsidR="00A03629">
        <w:t xml:space="preserve"> </w:t>
      </w:r>
      <w:r>
        <w:t>management</w:t>
      </w:r>
      <w:r w:rsidR="00A03629">
        <w:t xml:space="preserve"> </w:t>
      </w:r>
      <w:r>
        <w:t>personnel</w:t>
      </w:r>
      <w:r w:rsidR="00A03629">
        <w:t xml:space="preserve"> </w:t>
      </w:r>
      <w:r>
        <w:t>and</w:t>
      </w:r>
      <w:r w:rsidR="00A03629">
        <w:t xml:space="preserve"> </w:t>
      </w:r>
      <w:r>
        <w:t>their</w:t>
      </w:r>
      <w:r w:rsidR="00A03629">
        <w:t xml:space="preserve"> </w:t>
      </w:r>
      <w:r>
        <w:t>close</w:t>
      </w:r>
      <w:r w:rsidR="00A03629">
        <w:t xml:space="preserve"> </w:t>
      </w:r>
      <w:r>
        <w:t>family</w:t>
      </w:r>
      <w:r w:rsidR="00A03629">
        <w:t xml:space="preserve"> </w:t>
      </w:r>
      <w:r>
        <w:t>members</w:t>
      </w:r>
      <w:r w:rsidR="00A03629">
        <w:t xml:space="preserve"> </w:t>
      </w:r>
      <w:r>
        <w:t>and</w:t>
      </w:r>
      <w:r w:rsidR="00A03629">
        <w:t xml:space="preserve"> </w:t>
      </w:r>
      <w:r>
        <w:t>personal</w:t>
      </w:r>
      <w:r w:rsidR="00A03629">
        <w:t xml:space="preserve"> </w:t>
      </w:r>
      <w:r>
        <w:t>business</w:t>
      </w:r>
      <w:r w:rsidR="00A03629">
        <w:t xml:space="preserve"> </w:t>
      </w:r>
      <w:r>
        <w:t>interests</w:t>
      </w:r>
      <w:r w:rsidR="00A03629">
        <w:t xml:space="preserve"> </w:t>
      </w:r>
      <w:r>
        <w:t>(controlled</w:t>
      </w:r>
      <w:r w:rsidR="00A03629">
        <w:t xml:space="preserve"> </w:t>
      </w:r>
      <w:r>
        <w:t>entities,</w:t>
      </w:r>
      <w:r w:rsidR="00A03629">
        <w:t xml:space="preserve"> </w:t>
      </w:r>
      <w:r>
        <w:t>joint</w:t>
      </w:r>
      <w:r w:rsidR="00A03629">
        <w:t xml:space="preserve"> </w:t>
      </w:r>
      <w:r>
        <w:t>ventures</w:t>
      </w:r>
      <w:r w:rsidR="00A03629">
        <w:t xml:space="preserve"> </w:t>
      </w:r>
      <w:r>
        <w:t>and</w:t>
      </w:r>
      <w:r w:rsidR="00A03629">
        <w:t xml:space="preserve"> </w:t>
      </w:r>
      <w:r>
        <w:t>entities</w:t>
      </w:r>
      <w:r w:rsidR="00A03629">
        <w:t xml:space="preserve"> </w:t>
      </w:r>
      <w:r>
        <w:t>they</w:t>
      </w:r>
      <w:r w:rsidR="00A03629">
        <w:t xml:space="preserve"> </w:t>
      </w:r>
      <w:r>
        <w:t>have</w:t>
      </w:r>
      <w:r w:rsidR="00A03629">
        <w:t xml:space="preserve"> </w:t>
      </w:r>
      <w:r>
        <w:t>significant</w:t>
      </w:r>
      <w:r w:rsidR="00A03629">
        <w:t xml:space="preserve"> </w:t>
      </w:r>
      <w:r>
        <w:t>influence</w:t>
      </w:r>
      <w:r w:rsidR="00A03629">
        <w:t xml:space="preserve"> </w:t>
      </w:r>
      <w:r>
        <w:t>over</w:t>
      </w:r>
      <w:proofErr w:type="gramStart"/>
      <w:r>
        <w:t>);</w:t>
      </w:r>
      <w:proofErr w:type="gramEnd"/>
    </w:p>
    <w:p w14:paraId="50EDBA34" w14:textId="532A4879" w:rsidR="000756EB" w:rsidRDefault="004A4D88" w:rsidP="007B6393">
      <w:pPr>
        <w:pStyle w:val="Bullet"/>
      </w:pPr>
      <w:r>
        <w:t>all</w:t>
      </w:r>
      <w:r w:rsidR="00A03629">
        <w:t xml:space="preserve"> </w:t>
      </w:r>
      <w:r>
        <w:t>cabinet</w:t>
      </w:r>
      <w:r w:rsidR="00A03629">
        <w:t xml:space="preserve"> </w:t>
      </w:r>
      <w:r>
        <w:t>ministers</w:t>
      </w:r>
      <w:r w:rsidR="00A03629">
        <w:t xml:space="preserve"> </w:t>
      </w:r>
      <w:r>
        <w:t>and</w:t>
      </w:r>
      <w:r w:rsidR="00A03629">
        <w:t xml:space="preserve"> </w:t>
      </w:r>
      <w:r>
        <w:t>their</w:t>
      </w:r>
      <w:r w:rsidR="00A03629">
        <w:t xml:space="preserve"> </w:t>
      </w:r>
      <w:r>
        <w:t>close</w:t>
      </w:r>
      <w:r w:rsidR="00A03629">
        <w:t xml:space="preserve"> </w:t>
      </w:r>
      <w:r>
        <w:t>family</w:t>
      </w:r>
      <w:r w:rsidR="00A03629">
        <w:t xml:space="preserve"> </w:t>
      </w:r>
      <w:r>
        <w:t>members;</w:t>
      </w:r>
      <w:r w:rsidR="00A03629">
        <w:t xml:space="preserve"> </w:t>
      </w:r>
      <w:r>
        <w:t>and</w:t>
      </w:r>
    </w:p>
    <w:p w14:paraId="4B0D2C18" w14:textId="76DFDE04" w:rsidR="000756EB" w:rsidRDefault="004A4D88" w:rsidP="007B6393">
      <w:pPr>
        <w:pStyle w:val="Bulletlast"/>
      </w:pPr>
      <w:r>
        <w:t>all</w:t>
      </w:r>
      <w:r w:rsidR="00A03629">
        <w:t xml:space="preserve"> </w:t>
      </w:r>
      <w:r>
        <w:t>departments</w:t>
      </w:r>
      <w:r w:rsidR="00A03629">
        <w:t xml:space="preserve"> </w:t>
      </w:r>
      <w:r>
        <w:t>and</w:t>
      </w:r>
      <w:r w:rsidR="00A03629">
        <w:t xml:space="preserve"> </w:t>
      </w:r>
      <w:r>
        <w:t>public</w:t>
      </w:r>
      <w:r w:rsidR="00A03629">
        <w:t xml:space="preserve"> </w:t>
      </w:r>
      <w:r>
        <w:t>sector</w:t>
      </w:r>
      <w:r w:rsidR="00A03629">
        <w:t xml:space="preserve"> </w:t>
      </w:r>
      <w:r>
        <w:t>entities</w:t>
      </w:r>
      <w:r w:rsidR="00A03629">
        <w:t xml:space="preserve"> </w:t>
      </w:r>
      <w:r>
        <w:t>that</w:t>
      </w:r>
      <w:r w:rsidR="00A03629">
        <w:t xml:space="preserve"> </w:t>
      </w:r>
      <w:r>
        <w:t>are</w:t>
      </w:r>
      <w:r w:rsidR="00A03629">
        <w:t xml:space="preserve"> </w:t>
      </w:r>
      <w:r>
        <w:t>controlled</w:t>
      </w:r>
      <w:r w:rsidR="00A03629">
        <w:t xml:space="preserve"> </w:t>
      </w:r>
      <w:r>
        <w:t>and</w:t>
      </w:r>
      <w:r w:rsidR="00A03629">
        <w:t xml:space="preserve"> </w:t>
      </w:r>
      <w:r>
        <w:t>consolidated</w:t>
      </w:r>
      <w:r w:rsidR="00A03629">
        <w:t xml:space="preserve"> </w:t>
      </w:r>
      <w:r>
        <w:t>into</w:t>
      </w:r>
      <w:r w:rsidR="00A03629">
        <w:t xml:space="preserve"> </w:t>
      </w:r>
      <w:r>
        <w:t>the</w:t>
      </w:r>
      <w:r w:rsidR="00A03629">
        <w:t xml:space="preserve"> </w:t>
      </w:r>
      <w:r>
        <w:t>whole</w:t>
      </w:r>
      <w:r w:rsidR="00A03629">
        <w:t xml:space="preserve"> </w:t>
      </w:r>
      <w:r>
        <w:t>of</w:t>
      </w:r>
      <w:r w:rsidR="00A03629">
        <w:rPr>
          <w:rFonts w:ascii="Cambria" w:hAnsi="Cambria" w:cs="Cambria"/>
        </w:rPr>
        <w:t xml:space="preserve"> </w:t>
      </w:r>
      <w:r>
        <w:t>state</w:t>
      </w:r>
      <w:r w:rsidR="00A03629">
        <w:t xml:space="preserve"> </w:t>
      </w:r>
      <w:r>
        <w:t>consolidated</w:t>
      </w:r>
      <w:r w:rsidR="00A03629">
        <w:t xml:space="preserve"> </w:t>
      </w:r>
      <w:r>
        <w:t>financial</w:t>
      </w:r>
      <w:r w:rsidR="00A03629">
        <w:t xml:space="preserve"> </w:t>
      </w:r>
      <w:r>
        <w:t>statements.</w:t>
      </w:r>
    </w:p>
    <w:p w14:paraId="53615EF9" w14:textId="7DE127CE" w:rsidR="000756EB" w:rsidRDefault="004A4D88" w:rsidP="007B6393">
      <w:r>
        <w:t>All</w:t>
      </w:r>
      <w:r w:rsidR="00A03629">
        <w:t xml:space="preserve"> </w:t>
      </w:r>
      <w:r>
        <w:t>related</w:t>
      </w:r>
      <w:r w:rsidR="00A03629">
        <w:t xml:space="preserve"> </w:t>
      </w:r>
      <w:r>
        <w:t>party</w:t>
      </w:r>
      <w:r w:rsidR="00A03629">
        <w:t xml:space="preserve"> </w:t>
      </w:r>
      <w:r>
        <w:t>transactions</w:t>
      </w:r>
      <w:r w:rsidR="00A03629">
        <w:t xml:space="preserve"> </w:t>
      </w:r>
      <w:r>
        <w:t>have</w:t>
      </w:r>
      <w:r w:rsidR="00A03629">
        <w:t xml:space="preserve"> </w:t>
      </w:r>
      <w:r>
        <w:t>been</w:t>
      </w:r>
      <w:r w:rsidR="00A03629">
        <w:t xml:space="preserve"> </w:t>
      </w:r>
      <w:r>
        <w:t>entered</w:t>
      </w:r>
      <w:r w:rsidR="00A03629">
        <w:t xml:space="preserve"> </w:t>
      </w:r>
      <w:r>
        <w:t>into</w:t>
      </w:r>
      <w:r w:rsidR="00A03629">
        <w:t xml:space="preserve"> </w:t>
      </w:r>
      <w:r>
        <w:t>on</w:t>
      </w:r>
      <w:r w:rsidR="00A03629">
        <w:t xml:space="preserve"> </w:t>
      </w:r>
      <w:r>
        <w:t>an</w:t>
      </w:r>
      <w:r w:rsidR="00A03629">
        <w:t xml:space="preserve"> </w:t>
      </w:r>
      <w:r>
        <w:t>arm’s</w:t>
      </w:r>
      <w:r w:rsidR="00A03629">
        <w:t xml:space="preserve"> </w:t>
      </w:r>
      <w:r>
        <w:t>length</w:t>
      </w:r>
      <w:r w:rsidR="00A03629">
        <w:t xml:space="preserve"> </w:t>
      </w:r>
      <w:r>
        <w:t>basis.</w:t>
      </w:r>
    </w:p>
    <w:p w14:paraId="59855085" w14:textId="1433FAF4" w:rsidR="000756EB" w:rsidRPr="007B6393" w:rsidRDefault="004A4D88" w:rsidP="007B6393">
      <w:pPr>
        <w:pStyle w:val="Normalbeforebullets"/>
        <w:rPr>
          <w:b/>
          <w:bCs/>
        </w:rPr>
      </w:pPr>
      <w:r w:rsidRPr="007B6393">
        <w:rPr>
          <w:b/>
          <w:bCs/>
        </w:rPr>
        <w:t>Significant</w:t>
      </w:r>
      <w:r w:rsidR="00A03629" w:rsidRPr="007B6393">
        <w:rPr>
          <w:b/>
          <w:bCs/>
        </w:rPr>
        <w:t xml:space="preserve"> </w:t>
      </w:r>
      <w:r w:rsidRPr="007B6393">
        <w:rPr>
          <w:b/>
          <w:bCs/>
        </w:rPr>
        <w:t>transactions</w:t>
      </w:r>
      <w:r w:rsidR="00A03629" w:rsidRPr="007B6393">
        <w:rPr>
          <w:b/>
          <w:bCs/>
        </w:rPr>
        <w:t xml:space="preserve"> </w:t>
      </w:r>
      <w:r w:rsidRPr="007B6393">
        <w:rPr>
          <w:b/>
          <w:bCs/>
        </w:rPr>
        <w:t>with</w:t>
      </w:r>
      <w:r w:rsidR="00A03629" w:rsidRPr="007B6393">
        <w:rPr>
          <w:b/>
          <w:bCs/>
        </w:rPr>
        <w:t xml:space="preserve"> </w:t>
      </w:r>
      <w:r w:rsidRPr="007B6393">
        <w:rPr>
          <w:b/>
          <w:bCs/>
        </w:rPr>
        <w:t>government</w:t>
      </w:r>
      <w:r w:rsidRPr="007B6393">
        <w:rPr>
          <w:b/>
          <w:bCs/>
        </w:rPr>
        <w:noBreakHyphen/>
        <w:t>related</w:t>
      </w:r>
      <w:r w:rsidR="00A03629" w:rsidRPr="007B6393">
        <w:rPr>
          <w:rFonts w:ascii="Cambria" w:hAnsi="Cambria" w:cs="Cambria"/>
          <w:b/>
          <w:bCs/>
        </w:rPr>
        <w:t xml:space="preserve"> </w:t>
      </w:r>
      <w:r w:rsidRPr="007B6393">
        <w:rPr>
          <w:b/>
          <w:bCs/>
        </w:rPr>
        <w:t>entities</w:t>
      </w:r>
    </w:p>
    <w:p w14:paraId="6A6EE4E4" w14:textId="65BBDC1F" w:rsidR="000756EB" w:rsidRDefault="004A4D88" w:rsidP="007B6393">
      <w:r>
        <w:t>DJSIR</w:t>
      </w:r>
      <w:r w:rsidR="00A03629">
        <w:t xml:space="preserve"> </w:t>
      </w:r>
      <w:r>
        <w:t>receives</w:t>
      </w:r>
      <w:r w:rsidR="00A03629">
        <w:t xml:space="preserve"> </w:t>
      </w:r>
      <w:r>
        <w:t>parliamentary</w:t>
      </w:r>
      <w:r w:rsidR="00A03629">
        <w:t xml:space="preserve"> </w:t>
      </w:r>
      <w:r>
        <w:t>and</w:t>
      </w:r>
      <w:r w:rsidR="00A03629">
        <w:t xml:space="preserve"> </w:t>
      </w:r>
      <w:r>
        <w:t>special</w:t>
      </w:r>
      <w:r w:rsidR="00A03629">
        <w:t xml:space="preserve"> </w:t>
      </w:r>
      <w:r>
        <w:t>appropriation</w:t>
      </w:r>
      <w:r w:rsidR="00A03629">
        <w:t xml:space="preserve"> </w:t>
      </w:r>
      <w:r>
        <w:t>to</w:t>
      </w:r>
      <w:r w:rsidR="00A03629">
        <w:t xml:space="preserve"> </w:t>
      </w:r>
      <w:r>
        <w:t>draw</w:t>
      </w:r>
      <w:r w:rsidR="00A03629">
        <w:t xml:space="preserve"> </w:t>
      </w:r>
      <w:r>
        <w:t>funds</w:t>
      </w:r>
      <w:r w:rsidR="00A03629">
        <w:t xml:space="preserve"> </w:t>
      </w:r>
      <w:r>
        <w:t>out</w:t>
      </w:r>
      <w:r w:rsidR="00A03629">
        <w:t xml:space="preserve"> </w:t>
      </w:r>
      <w:r>
        <w:t>of</w:t>
      </w:r>
      <w:r w:rsidR="00A03629">
        <w:t xml:space="preserve"> </w:t>
      </w:r>
      <w:r>
        <w:t>the</w:t>
      </w:r>
      <w:r w:rsidR="00A03629">
        <w:t xml:space="preserve"> </w:t>
      </w:r>
      <w:r>
        <w:t>Consolidated</w:t>
      </w:r>
      <w:r w:rsidR="00A03629">
        <w:t xml:space="preserve"> </w:t>
      </w:r>
      <w:r>
        <w:t>Fund</w:t>
      </w:r>
      <w:r w:rsidR="00A03629">
        <w:t xml:space="preserve"> </w:t>
      </w:r>
      <w:r>
        <w:t>to</w:t>
      </w:r>
      <w:r w:rsidR="00A03629">
        <w:t xml:space="preserve"> </w:t>
      </w:r>
      <w:r>
        <w:t>be</w:t>
      </w:r>
      <w:r w:rsidR="00A03629">
        <w:t xml:space="preserve"> </w:t>
      </w:r>
      <w:r>
        <w:t>applied</w:t>
      </w:r>
      <w:r w:rsidR="00A03629">
        <w:t xml:space="preserve"> </w:t>
      </w:r>
      <w:r>
        <w:t>towards</w:t>
      </w:r>
      <w:r w:rsidR="00A03629">
        <w:t xml:space="preserve"> </w:t>
      </w:r>
      <w:r>
        <w:t>Departmental</w:t>
      </w:r>
      <w:r w:rsidR="00A03629">
        <w:t xml:space="preserve"> </w:t>
      </w:r>
      <w:r>
        <w:t>outputs</w:t>
      </w:r>
      <w:r w:rsidR="00A03629">
        <w:t xml:space="preserve"> </w:t>
      </w:r>
      <w:r>
        <w:t>(see</w:t>
      </w:r>
      <w:r w:rsidR="00A03629">
        <w:t xml:space="preserve"> </w:t>
      </w:r>
      <w:r>
        <w:t>Note</w:t>
      </w:r>
      <w:r w:rsidR="00A03629">
        <w:t xml:space="preserve"> </w:t>
      </w:r>
      <w:r>
        <w:t>2.3</w:t>
      </w:r>
      <w:r w:rsidR="00A03629">
        <w:t xml:space="preserve"> </w:t>
      </w:r>
      <w:r>
        <w:t>–</w:t>
      </w:r>
      <w:r w:rsidR="00A03629">
        <w:t xml:space="preserve"> </w:t>
      </w:r>
      <w:r>
        <w:t>Appropriation).</w:t>
      </w:r>
      <w:r w:rsidR="00A03629">
        <w:t xml:space="preserve"> </w:t>
      </w:r>
      <w:r>
        <w:t>In</w:t>
      </w:r>
      <w:r w:rsidR="00A03629">
        <w:t xml:space="preserve"> </w:t>
      </w:r>
      <w:r>
        <w:t>addition,</w:t>
      </w:r>
      <w:r w:rsidR="00A03629">
        <w:t xml:space="preserve"> </w:t>
      </w:r>
      <w:r>
        <w:t>DJSIR</w:t>
      </w:r>
      <w:r w:rsidR="00A03629">
        <w:t xml:space="preserve"> </w:t>
      </w:r>
      <w:r>
        <w:t>oversees</w:t>
      </w:r>
      <w:r w:rsidR="00A03629">
        <w:t xml:space="preserve"> </w:t>
      </w:r>
      <w:r>
        <w:t>administered</w:t>
      </w:r>
      <w:r w:rsidR="00A03629">
        <w:t xml:space="preserve"> </w:t>
      </w:r>
      <w:r>
        <w:t>items</w:t>
      </w:r>
      <w:r w:rsidR="00A03629">
        <w:t xml:space="preserve"> </w:t>
      </w:r>
      <w:r>
        <w:t>on</w:t>
      </w:r>
      <w:r w:rsidR="00A03629">
        <w:t xml:space="preserve"> </w:t>
      </w:r>
      <w:r>
        <w:t>behalf</w:t>
      </w:r>
      <w:r w:rsidR="00A03629">
        <w:t xml:space="preserve"> </w:t>
      </w:r>
      <w:r>
        <w:t>of</w:t>
      </w:r>
      <w:r w:rsidR="00A03629">
        <w:t xml:space="preserve"> </w:t>
      </w:r>
      <w:r>
        <w:t>the</w:t>
      </w:r>
      <w:r w:rsidR="00A03629">
        <w:t xml:space="preserve"> </w:t>
      </w:r>
      <w:r>
        <w:t>State</w:t>
      </w:r>
      <w:r w:rsidR="00A03629">
        <w:t xml:space="preserve"> </w:t>
      </w:r>
      <w:r>
        <w:t>with</w:t>
      </w:r>
      <w:r w:rsidR="00A03629">
        <w:t xml:space="preserve"> </w:t>
      </w:r>
      <w:r>
        <w:t>reference</w:t>
      </w:r>
      <w:r w:rsidR="00A03629">
        <w:t xml:space="preserve"> </w:t>
      </w:r>
      <w:r>
        <w:t>to</w:t>
      </w:r>
      <w:r w:rsidR="00A03629">
        <w:t xml:space="preserve"> </w:t>
      </w:r>
      <w:r>
        <w:t>Payments</w:t>
      </w:r>
      <w:r w:rsidR="00A03629">
        <w:t xml:space="preserve"> </w:t>
      </w:r>
      <w:r>
        <w:t>made</w:t>
      </w:r>
      <w:r w:rsidR="00A03629">
        <w:t xml:space="preserve"> </w:t>
      </w:r>
      <w:r>
        <w:t>on</w:t>
      </w:r>
      <w:r w:rsidR="00A03629">
        <w:t xml:space="preserve"> </w:t>
      </w:r>
      <w:r>
        <w:t>behalf</w:t>
      </w:r>
      <w:r w:rsidR="00A03629">
        <w:t xml:space="preserve"> </w:t>
      </w:r>
      <w:r>
        <w:t>of</w:t>
      </w:r>
      <w:r w:rsidR="00A03629">
        <w:t xml:space="preserve"> </w:t>
      </w:r>
      <w:r>
        <w:t>the</w:t>
      </w:r>
      <w:r w:rsidR="00A03629">
        <w:t xml:space="preserve"> </w:t>
      </w:r>
      <w:r>
        <w:t>State</w:t>
      </w:r>
      <w:r w:rsidR="00A03629">
        <w:t xml:space="preserve"> </w:t>
      </w:r>
      <w:r>
        <w:t>(Note</w:t>
      </w:r>
      <w:r w:rsidR="00A03629">
        <w:t xml:space="preserve"> </w:t>
      </w:r>
      <w:r>
        <w:t>2.3</w:t>
      </w:r>
      <w:r w:rsidR="00A03629">
        <w:t xml:space="preserve"> </w:t>
      </w:r>
      <w:r>
        <w:t>–</w:t>
      </w:r>
      <w:r w:rsidR="00A03629">
        <w:t xml:space="preserve"> </w:t>
      </w:r>
      <w:r>
        <w:t>Appropriation)</w:t>
      </w:r>
      <w:r w:rsidR="00A03629">
        <w:t xml:space="preserve"> </w:t>
      </w:r>
      <w:r>
        <w:t>and</w:t>
      </w:r>
      <w:r w:rsidR="00A03629">
        <w:t xml:space="preserve"> </w:t>
      </w:r>
      <w:r>
        <w:t>detailed</w:t>
      </w:r>
      <w:r w:rsidR="00A03629">
        <w:t xml:space="preserve"> </w:t>
      </w:r>
      <w:r>
        <w:t>in</w:t>
      </w:r>
      <w:r w:rsidR="00A03629">
        <w:t xml:space="preserve"> </w:t>
      </w:r>
      <w:r>
        <w:t>Note</w:t>
      </w:r>
      <w:r w:rsidR="00A03629">
        <w:rPr>
          <w:rFonts w:ascii="Cambria" w:hAnsi="Cambria" w:cs="Cambria"/>
        </w:rPr>
        <w:t xml:space="preserve"> </w:t>
      </w:r>
      <w:r>
        <w:t>4.2.1</w:t>
      </w:r>
      <w:r w:rsidR="00A03629">
        <w:t xml:space="preserve"> </w:t>
      </w:r>
      <w:r>
        <w:t>–</w:t>
      </w:r>
      <w:r w:rsidR="00A03629">
        <w:t xml:space="preserve"> </w:t>
      </w:r>
      <w:r>
        <w:t>Administered</w:t>
      </w:r>
      <w:r w:rsidR="00A03629">
        <w:t xml:space="preserve"> </w:t>
      </w:r>
      <w:r>
        <w:t>(non-controlled)</w:t>
      </w:r>
      <w:r w:rsidR="00A03629">
        <w:t xml:space="preserve"> </w:t>
      </w:r>
      <w:r>
        <w:t>items.</w:t>
      </w:r>
    </w:p>
    <w:p w14:paraId="3B4FF238" w14:textId="3CAAA3E7" w:rsidR="000756EB" w:rsidRDefault="004A4D88" w:rsidP="007B6393">
      <w:r>
        <w:t>DJSIR</w:t>
      </w:r>
      <w:r w:rsidR="00A03629">
        <w:t xml:space="preserve"> </w:t>
      </w:r>
      <w:r>
        <w:t>transacts</w:t>
      </w:r>
      <w:r w:rsidR="00A03629">
        <w:t xml:space="preserve"> </w:t>
      </w:r>
      <w:r>
        <w:t>with</w:t>
      </w:r>
      <w:r w:rsidR="00A03629">
        <w:t xml:space="preserve"> </w:t>
      </w:r>
      <w:r>
        <w:t>other</w:t>
      </w:r>
      <w:r w:rsidR="00A03629">
        <w:t xml:space="preserve"> </w:t>
      </w:r>
      <w:r>
        <w:t>portfolio</w:t>
      </w:r>
      <w:r w:rsidR="00A03629">
        <w:t xml:space="preserve"> </w:t>
      </w:r>
      <w:r>
        <w:t>agencies</w:t>
      </w:r>
      <w:r w:rsidR="00A03629">
        <w:t xml:space="preserve"> </w:t>
      </w:r>
      <w:r>
        <w:t>through</w:t>
      </w:r>
      <w:r w:rsidR="00A03629">
        <w:t xml:space="preserve"> </w:t>
      </w:r>
      <w:r>
        <w:t>transactions</w:t>
      </w:r>
      <w:r w:rsidR="00A03629">
        <w:t xml:space="preserve"> </w:t>
      </w:r>
      <w:r>
        <w:t>such</w:t>
      </w:r>
      <w:r w:rsidR="00A03629">
        <w:t xml:space="preserve"> </w:t>
      </w:r>
      <w:r>
        <w:t>as</w:t>
      </w:r>
      <w:r w:rsidR="00A03629">
        <w:t xml:space="preserve"> </w:t>
      </w:r>
      <w:r>
        <w:t>grants</w:t>
      </w:r>
      <w:r w:rsidR="00A03629">
        <w:t xml:space="preserve"> </w:t>
      </w:r>
      <w:r>
        <w:t>(Note</w:t>
      </w:r>
      <w:r w:rsidR="00A03629">
        <w:t xml:space="preserve"> </w:t>
      </w:r>
      <w:r>
        <w:t>3.2</w:t>
      </w:r>
      <w:r w:rsidR="00A03629">
        <w:t xml:space="preserve"> </w:t>
      </w:r>
      <w:r>
        <w:t>–</w:t>
      </w:r>
      <w:r w:rsidR="00A03629">
        <w:t xml:space="preserve"> </w:t>
      </w:r>
      <w:r>
        <w:t>Grant</w:t>
      </w:r>
      <w:r w:rsidR="00A03629">
        <w:t xml:space="preserve"> </w:t>
      </w:r>
      <w:r>
        <w:t>expenses)</w:t>
      </w:r>
      <w:r w:rsidR="00A03629">
        <w:t xml:space="preserve"> </w:t>
      </w:r>
      <w:r>
        <w:t>and</w:t>
      </w:r>
      <w:r w:rsidR="00A03629">
        <w:t xml:space="preserve"> </w:t>
      </w:r>
      <w:r>
        <w:t>capital</w:t>
      </w:r>
      <w:r w:rsidR="00A03629">
        <w:t xml:space="preserve"> </w:t>
      </w:r>
      <w:r>
        <w:t>appropriations</w:t>
      </w:r>
      <w:r w:rsidR="00A03629">
        <w:t xml:space="preserve"> </w:t>
      </w:r>
      <w:r>
        <w:t>(Note</w:t>
      </w:r>
      <w:r w:rsidR="00A03629">
        <w:t xml:space="preserve"> </w:t>
      </w:r>
      <w:r>
        <w:t>9.4</w:t>
      </w:r>
      <w:r w:rsidR="00A03629">
        <w:t xml:space="preserve"> </w:t>
      </w:r>
      <w:r>
        <w:t>–</w:t>
      </w:r>
      <w:r w:rsidR="00A03629">
        <w:t xml:space="preserve"> </w:t>
      </w:r>
      <w:r>
        <w:t>Equity</w:t>
      </w:r>
      <w:r w:rsidR="00A03629">
        <w:t xml:space="preserve"> </w:t>
      </w:r>
      <w:r>
        <w:t>disclosure)</w:t>
      </w:r>
      <w:r w:rsidR="00A03629">
        <w:t xml:space="preserve"> </w:t>
      </w:r>
      <w:r>
        <w:t>in</w:t>
      </w:r>
      <w:r w:rsidR="00A03629">
        <w:t xml:space="preserve"> </w:t>
      </w:r>
      <w:r>
        <w:t>line</w:t>
      </w:r>
      <w:r w:rsidR="00A03629">
        <w:t xml:space="preserve"> </w:t>
      </w:r>
      <w:r>
        <w:t>with</w:t>
      </w:r>
      <w:r w:rsidR="00A03629">
        <w:t xml:space="preserve"> </w:t>
      </w:r>
      <w:r>
        <w:t>budgeted</w:t>
      </w:r>
      <w:r w:rsidR="00A03629">
        <w:t xml:space="preserve"> </w:t>
      </w:r>
      <w:r>
        <w:t>allocations.</w:t>
      </w:r>
      <w:r w:rsidR="00A03629">
        <w:t xml:space="preserve"> </w:t>
      </w:r>
      <w:r>
        <w:t>DJSIR</w:t>
      </w:r>
      <w:r w:rsidR="00A03629">
        <w:t xml:space="preserve"> </w:t>
      </w:r>
      <w:r>
        <w:t>has</w:t>
      </w:r>
      <w:r w:rsidR="00A03629">
        <w:t xml:space="preserve"> </w:t>
      </w:r>
      <w:r>
        <w:t>advances</w:t>
      </w:r>
      <w:r w:rsidR="00A03629">
        <w:t xml:space="preserve"> </w:t>
      </w:r>
      <w:r>
        <w:t>from</w:t>
      </w:r>
      <w:r w:rsidR="00A03629">
        <w:t xml:space="preserve"> </w:t>
      </w:r>
      <w:r>
        <w:t>Government,</w:t>
      </w:r>
      <w:r w:rsidR="00A03629">
        <w:t xml:space="preserve"> </w:t>
      </w:r>
      <w:r>
        <w:t>such</w:t>
      </w:r>
      <w:r w:rsidR="00A03629">
        <w:t xml:space="preserve"> </w:t>
      </w:r>
      <w:r>
        <w:t>as</w:t>
      </w:r>
      <w:r w:rsidR="00A03629">
        <w:t xml:space="preserve"> </w:t>
      </w:r>
      <w:r>
        <w:t>those</w:t>
      </w:r>
      <w:r w:rsidR="00A03629">
        <w:t xml:space="preserve"> </w:t>
      </w:r>
      <w:r>
        <w:t>relating</w:t>
      </w:r>
      <w:r w:rsidR="00A03629">
        <w:t xml:space="preserve"> </w:t>
      </w:r>
      <w:r>
        <w:t>to</w:t>
      </w:r>
      <w:r w:rsidR="00A03629">
        <w:t xml:space="preserve"> </w:t>
      </w:r>
      <w:r>
        <w:t>GST</w:t>
      </w:r>
      <w:r w:rsidR="00A03629">
        <w:t xml:space="preserve"> </w:t>
      </w:r>
      <w:r>
        <w:t>payments</w:t>
      </w:r>
      <w:r w:rsidR="00A03629">
        <w:t xml:space="preserve"> </w:t>
      </w:r>
      <w:r>
        <w:t>(required</w:t>
      </w:r>
      <w:r w:rsidR="00A03629">
        <w:t xml:space="preserve"> </w:t>
      </w:r>
      <w:r>
        <w:t>to</w:t>
      </w:r>
      <w:r w:rsidR="00A03629">
        <w:t xml:space="preserve"> </w:t>
      </w:r>
      <w:r>
        <w:t>account</w:t>
      </w:r>
      <w:r w:rsidR="00A03629">
        <w:t xml:space="preserve"> </w:t>
      </w:r>
      <w:r>
        <w:t>for</w:t>
      </w:r>
      <w:r w:rsidR="00A03629">
        <w:t xml:space="preserve"> </w:t>
      </w:r>
      <w:r>
        <w:t>timing</w:t>
      </w:r>
      <w:r w:rsidR="00A03629">
        <w:t xml:space="preserve"> </w:t>
      </w:r>
      <w:r>
        <w:t>differences).</w:t>
      </w:r>
      <w:r w:rsidR="00A03629">
        <w:t xml:space="preserve"> </w:t>
      </w:r>
      <w:r>
        <w:t>These</w:t>
      </w:r>
      <w:r w:rsidR="00A03629">
        <w:t xml:space="preserve"> </w:t>
      </w:r>
      <w:r>
        <w:t>advances</w:t>
      </w:r>
      <w:r w:rsidR="00A03629">
        <w:t xml:space="preserve"> </w:t>
      </w:r>
      <w:r>
        <w:t>are</w:t>
      </w:r>
      <w:r w:rsidR="00A03629">
        <w:t xml:space="preserve"> </w:t>
      </w:r>
      <w:r>
        <w:t>unsecured</w:t>
      </w:r>
      <w:r w:rsidR="00A03629">
        <w:t xml:space="preserve"> </w:t>
      </w:r>
      <w:r>
        <w:t>loans</w:t>
      </w:r>
      <w:r w:rsidR="00A03629">
        <w:t xml:space="preserve"> </w:t>
      </w:r>
      <w:r>
        <w:t>which</w:t>
      </w:r>
      <w:r w:rsidR="00A03629">
        <w:t xml:space="preserve"> </w:t>
      </w:r>
      <w:r>
        <w:t>bear</w:t>
      </w:r>
      <w:r w:rsidR="00A03629">
        <w:t xml:space="preserve"> </w:t>
      </w:r>
      <w:r>
        <w:t>no</w:t>
      </w:r>
      <w:r w:rsidR="00A03629">
        <w:t xml:space="preserve"> </w:t>
      </w:r>
      <w:r>
        <w:t>interest.</w:t>
      </w:r>
      <w:r w:rsidR="00A03629">
        <w:t xml:space="preserve"> </w:t>
      </w:r>
      <w:r>
        <w:t>See</w:t>
      </w:r>
      <w:r w:rsidR="00A03629">
        <w:t xml:space="preserve"> </w:t>
      </w:r>
      <w:r>
        <w:t>Note</w:t>
      </w:r>
      <w:r w:rsidR="00A03629">
        <w:t xml:space="preserve"> </w:t>
      </w:r>
      <w:r>
        <w:t>7.1</w:t>
      </w:r>
      <w:r w:rsidR="00A03629">
        <w:rPr>
          <w:rFonts w:ascii="Cambria" w:hAnsi="Cambria" w:cs="Cambria"/>
        </w:rPr>
        <w:t xml:space="preserve"> </w:t>
      </w:r>
      <w:r>
        <w:t>–</w:t>
      </w:r>
      <w:r w:rsidR="00A03629">
        <w:t xml:space="preserve"> </w:t>
      </w:r>
      <w:r>
        <w:t>Borrowings.</w:t>
      </w:r>
    </w:p>
    <w:p w14:paraId="050C1DB2" w14:textId="07A6B190" w:rsidR="000756EB" w:rsidRDefault="004A4D88" w:rsidP="007B6393">
      <w:pPr>
        <w:pStyle w:val="Normalbeforebullets"/>
      </w:pPr>
      <w:r>
        <w:t>Key</w:t>
      </w:r>
      <w:r w:rsidR="00A03629">
        <w:t xml:space="preserve"> </w:t>
      </w:r>
      <w:r>
        <w:t>management</w:t>
      </w:r>
      <w:r w:rsidR="00A03629">
        <w:t xml:space="preserve"> </w:t>
      </w:r>
      <w:r>
        <w:t>personnel</w:t>
      </w:r>
      <w:r w:rsidR="00A03629">
        <w:t xml:space="preserve"> </w:t>
      </w:r>
      <w:r>
        <w:t>(KMP)</w:t>
      </w:r>
      <w:r w:rsidR="00A03629">
        <w:t xml:space="preserve"> </w:t>
      </w:r>
      <w:r>
        <w:t>of</w:t>
      </w:r>
      <w:r w:rsidR="00A03629">
        <w:t xml:space="preserve"> </w:t>
      </w:r>
      <w:r>
        <w:t>DJSIR</w:t>
      </w:r>
      <w:r w:rsidR="00A03629">
        <w:t xml:space="preserve"> </w:t>
      </w:r>
      <w:r>
        <w:t>includes</w:t>
      </w:r>
      <w:r w:rsidR="00A03629">
        <w:t xml:space="preserve"> </w:t>
      </w:r>
      <w:r>
        <w:t>the</w:t>
      </w:r>
      <w:r w:rsidR="00A03629">
        <w:t xml:space="preserve"> </w:t>
      </w:r>
      <w:r>
        <w:t>Portfolio</w:t>
      </w:r>
      <w:r w:rsidR="00A03629">
        <w:t xml:space="preserve"> </w:t>
      </w:r>
      <w:r>
        <w:t>Ministers</w:t>
      </w:r>
      <w:r w:rsidR="00A03629">
        <w:t xml:space="preserve"> </w:t>
      </w:r>
      <w:r>
        <w:t>(see</w:t>
      </w:r>
      <w:r w:rsidR="00A03629">
        <w:t xml:space="preserve"> </w:t>
      </w:r>
      <w:r>
        <w:t>Note</w:t>
      </w:r>
      <w:r w:rsidR="00A03629">
        <w:t xml:space="preserve"> </w:t>
      </w:r>
      <w:r>
        <w:t>9.6</w:t>
      </w:r>
      <w:r w:rsidR="00A03629">
        <w:t xml:space="preserve"> </w:t>
      </w:r>
      <w:r>
        <w:t>–</w:t>
      </w:r>
      <w:r w:rsidR="00A03629">
        <w:t xml:space="preserve"> </w:t>
      </w:r>
      <w:r>
        <w:t>Responsible</w:t>
      </w:r>
      <w:r w:rsidR="00A03629">
        <w:t xml:space="preserve"> </w:t>
      </w:r>
      <w:r>
        <w:t>persons)</w:t>
      </w:r>
      <w:r w:rsidR="00A03629">
        <w:t xml:space="preserve"> </w:t>
      </w:r>
      <w:r>
        <w:t>and</w:t>
      </w:r>
      <w:r w:rsidR="00A03629">
        <w:t xml:space="preserve"> </w:t>
      </w:r>
      <w:r>
        <w:t>members</w:t>
      </w:r>
      <w:r w:rsidR="00A03629">
        <w:t xml:space="preserve"> </w:t>
      </w:r>
      <w:r>
        <w:t>of</w:t>
      </w:r>
      <w:r w:rsidR="00A03629">
        <w:t xml:space="preserve"> </w:t>
      </w:r>
      <w:r>
        <w:t>the</w:t>
      </w:r>
      <w:r w:rsidR="00A03629">
        <w:t xml:space="preserve"> </w:t>
      </w:r>
      <w:r>
        <w:t>Senior</w:t>
      </w:r>
      <w:r w:rsidR="00A03629">
        <w:t xml:space="preserve"> </w:t>
      </w:r>
      <w:r>
        <w:t>Executive</w:t>
      </w:r>
      <w:r w:rsidR="00A03629">
        <w:t xml:space="preserve"> </w:t>
      </w:r>
      <w:r>
        <w:t>Team,</w:t>
      </w:r>
      <w:r w:rsidR="00A03629">
        <w:t xml:space="preserve"> </w:t>
      </w:r>
      <w:r>
        <w:t>which</w:t>
      </w:r>
      <w:r w:rsidR="00A03629">
        <w:t xml:space="preserve"> </w:t>
      </w:r>
      <w:r>
        <w:t>includes:</w:t>
      </w:r>
    </w:p>
    <w:p w14:paraId="3CDBF6DA" w14:textId="587EF995" w:rsidR="000756EB" w:rsidRDefault="004A4D88" w:rsidP="007B6393">
      <w:pPr>
        <w:pStyle w:val="Bullet"/>
      </w:pPr>
      <w:r>
        <w:t>Secretary:</w:t>
      </w:r>
      <w:r w:rsidR="00A03629">
        <w:t xml:space="preserve"> </w:t>
      </w:r>
      <w:r>
        <w:t>Tim</w:t>
      </w:r>
      <w:r w:rsidR="00A03629">
        <w:t xml:space="preserve"> </w:t>
      </w:r>
      <w:r>
        <w:t>Ada</w:t>
      </w:r>
      <w:r w:rsidR="00A03629">
        <w:t xml:space="preserve"> </w:t>
      </w:r>
      <w:r>
        <w:t>(from</w:t>
      </w:r>
      <w:r w:rsidR="00A03629">
        <w:t xml:space="preserve"> </w:t>
      </w:r>
      <w:r>
        <w:t>27</w:t>
      </w:r>
      <w:r w:rsidR="00A03629">
        <w:t xml:space="preserve"> </w:t>
      </w:r>
      <w:r>
        <w:t>March</w:t>
      </w:r>
      <w:r w:rsidR="00A03629">
        <w:t xml:space="preserve"> </w:t>
      </w:r>
      <w:r>
        <w:t>2023)</w:t>
      </w:r>
    </w:p>
    <w:p w14:paraId="5D99E415" w14:textId="39D7D4D2" w:rsidR="000756EB" w:rsidRDefault="004A4D88" w:rsidP="007B6393">
      <w:pPr>
        <w:pStyle w:val="Bullet"/>
      </w:pPr>
      <w:r>
        <w:t>Secretary:</w:t>
      </w:r>
      <w:r w:rsidR="00A03629">
        <w:t xml:space="preserve"> </w:t>
      </w:r>
      <w:r>
        <w:t>Lill</w:t>
      </w:r>
      <w:r w:rsidR="00A03629">
        <w:t xml:space="preserve"> </w:t>
      </w:r>
      <w:r>
        <w:t>Healy</w:t>
      </w:r>
      <w:r w:rsidR="00A03629">
        <w:t xml:space="preserve"> </w:t>
      </w:r>
      <w:r>
        <w:t>(from</w:t>
      </w:r>
      <w:r w:rsidR="00A03629">
        <w:t xml:space="preserve"> </w:t>
      </w:r>
      <w:r>
        <w:t>11</w:t>
      </w:r>
      <w:r w:rsidR="00A03629">
        <w:t xml:space="preserve"> </w:t>
      </w:r>
      <w:r>
        <w:t>March</w:t>
      </w:r>
      <w:r w:rsidR="00A03629">
        <w:t xml:space="preserve"> </w:t>
      </w:r>
      <w:r>
        <w:t>2023</w:t>
      </w:r>
      <w:r w:rsidR="00A03629">
        <w:t xml:space="preserve"> </w:t>
      </w:r>
      <w:r>
        <w:t>to</w:t>
      </w:r>
      <w:r w:rsidR="00A03629">
        <w:t xml:space="preserve"> </w:t>
      </w:r>
      <w:r>
        <w:t>26</w:t>
      </w:r>
      <w:r w:rsidR="00A03629">
        <w:t xml:space="preserve"> </w:t>
      </w:r>
      <w:r>
        <w:t>March</w:t>
      </w:r>
      <w:r w:rsidR="00A03629">
        <w:t xml:space="preserve"> </w:t>
      </w:r>
      <w:r>
        <w:t>2023)</w:t>
      </w:r>
    </w:p>
    <w:p w14:paraId="73CFE021" w14:textId="280C48A5" w:rsidR="000756EB" w:rsidRDefault="004A4D88" w:rsidP="007B6393">
      <w:pPr>
        <w:pStyle w:val="Bullet"/>
      </w:pPr>
      <w:r>
        <w:t>Secretary:</w:t>
      </w:r>
      <w:r w:rsidR="00A03629">
        <w:t xml:space="preserve"> </w:t>
      </w:r>
      <w:r>
        <w:t>Penelope</w:t>
      </w:r>
      <w:r w:rsidR="00A03629">
        <w:t xml:space="preserve"> </w:t>
      </w:r>
      <w:r>
        <w:t>McKay</w:t>
      </w:r>
      <w:r w:rsidR="00A03629">
        <w:t xml:space="preserve"> </w:t>
      </w:r>
      <w:r>
        <w:t>(from</w:t>
      </w:r>
      <w:r w:rsidR="00A03629">
        <w:t xml:space="preserve"> </w:t>
      </w:r>
      <w:r>
        <w:t>6</w:t>
      </w:r>
      <w:r w:rsidR="00A03629">
        <w:t xml:space="preserve"> </w:t>
      </w:r>
      <w:r>
        <w:t>December</w:t>
      </w:r>
      <w:r w:rsidR="00A03629">
        <w:t xml:space="preserve"> </w:t>
      </w:r>
      <w:r>
        <w:t>2022</w:t>
      </w:r>
      <w:r w:rsidR="00A03629">
        <w:t xml:space="preserve"> </w:t>
      </w:r>
      <w:r>
        <w:t>to</w:t>
      </w:r>
      <w:r w:rsidR="00A03629">
        <w:t xml:space="preserve"> </w:t>
      </w:r>
      <w:r>
        <w:t>10</w:t>
      </w:r>
      <w:r w:rsidR="00A03629">
        <w:t xml:space="preserve"> </w:t>
      </w:r>
      <w:r>
        <w:t>March</w:t>
      </w:r>
      <w:r w:rsidR="00A03629">
        <w:t xml:space="preserve"> </w:t>
      </w:r>
      <w:r>
        <w:t>2023)</w:t>
      </w:r>
    </w:p>
    <w:p w14:paraId="08D63E6A" w14:textId="7A4B98EF" w:rsidR="000756EB" w:rsidRDefault="004A4D88" w:rsidP="007B6393">
      <w:pPr>
        <w:pStyle w:val="Bullet"/>
      </w:pPr>
      <w:r>
        <w:t>Secretary:</w:t>
      </w:r>
      <w:r w:rsidR="00A03629">
        <w:t xml:space="preserve"> </w:t>
      </w:r>
      <w:r>
        <w:t>Simon</w:t>
      </w:r>
      <w:r w:rsidR="00A03629">
        <w:t xml:space="preserve"> </w:t>
      </w:r>
      <w:r>
        <w:t>Phemister</w:t>
      </w:r>
      <w:r w:rsidR="00A03629">
        <w:t xml:space="preserve"> </w:t>
      </w:r>
      <w:r>
        <w:t>(until</w:t>
      </w:r>
      <w:r w:rsidR="00A03629">
        <w:t xml:space="preserve"> </w:t>
      </w:r>
      <w:r>
        <w:t>5</w:t>
      </w:r>
      <w:r w:rsidR="00A03629">
        <w:t xml:space="preserve"> </w:t>
      </w:r>
      <w:r>
        <w:t>December</w:t>
      </w:r>
      <w:r w:rsidR="00A03629">
        <w:t xml:space="preserve"> </w:t>
      </w:r>
      <w:r>
        <w:t>2022)</w:t>
      </w:r>
    </w:p>
    <w:p w14:paraId="1E2515B1" w14:textId="41371577" w:rsidR="000756EB" w:rsidRDefault="004A4D88" w:rsidP="007B6393">
      <w:pPr>
        <w:pStyle w:val="Bullet"/>
      </w:pPr>
      <w:r>
        <w:t>Associate</w:t>
      </w:r>
      <w:r w:rsidR="00A03629">
        <w:t xml:space="preserve"> </w:t>
      </w:r>
      <w:r>
        <w:t>Secretary:</w:t>
      </w:r>
      <w:r w:rsidR="00A03629">
        <w:t xml:space="preserve"> </w:t>
      </w:r>
      <w:r>
        <w:t>Penelope</w:t>
      </w:r>
      <w:r w:rsidR="00A03629">
        <w:t xml:space="preserve"> </w:t>
      </w:r>
      <w:r>
        <w:t>McKay</w:t>
      </w:r>
      <w:r w:rsidR="00A03629">
        <w:t xml:space="preserve"> </w:t>
      </w:r>
      <w:r>
        <w:t>(until</w:t>
      </w:r>
      <w:r w:rsidR="00A03629">
        <w:t xml:space="preserve"> </w:t>
      </w:r>
      <w:r>
        <w:t>5</w:t>
      </w:r>
      <w:r w:rsidR="00A03629">
        <w:t xml:space="preserve"> </w:t>
      </w:r>
      <w:r>
        <w:t>December</w:t>
      </w:r>
      <w:r w:rsidR="00A03629">
        <w:t xml:space="preserve"> </w:t>
      </w:r>
      <w:r>
        <w:t>2022)</w:t>
      </w:r>
    </w:p>
    <w:p w14:paraId="0FBDEF16" w14:textId="12781D38" w:rsidR="000756EB" w:rsidRDefault="004A4D88" w:rsidP="007B6393">
      <w:pPr>
        <w:pStyle w:val="Bullet"/>
      </w:pPr>
      <w:r>
        <w:t>Associate</w:t>
      </w:r>
      <w:r w:rsidR="00A03629">
        <w:t xml:space="preserve"> </w:t>
      </w:r>
      <w:r>
        <w:t>Deputy</w:t>
      </w:r>
      <w:r w:rsidR="00A03629">
        <w:t xml:space="preserve"> </w:t>
      </w:r>
      <w:r>
        <w:t>Secretary,</w:t>
      </w:r>
      <w:r w:rsidR="00A03629">
        <w:t xml:space="preserve"> </w:t>
      </w:r>
      <w:r>
        <w:t>Aboriginal</w:t>
      </w:r>
      <w:r w:rsidR="00A03629">
        <w:t xml:space="preserve"> </w:t>
      </w:r>
      <w:r>
        <w:t>Economic</w:t>
      </w:r>
      <w:r w:rsidR="00A03629">
        <w:t xml:space="preserve"> </w:t>
      </w:r>
      <w:r>
        <w:t>Development:</w:t>
      </w:r>
      <w:r w:rsidR="00A03629">
        <w:t xml:space="preserve"> </w:t>
      </w:r>
      <w:r>
        <w:t>Hans</w:t>
      </w:r>
      <w:r w:rsidR="00A03629">
        <w:t xml:space="preserve"> </w:t>
      </w:r>
      <w:r>
        <w:t>Bokelund</w:t>
      </w:r>
      <w:r w:rsidR="00A03629">
        <w:t xml:space="preserve"> </w:t>
      </w:r>
    </w:p>
    <w:p w14:paraId="0489D2EC" w14:textId="13995220" w:rsidR="000756EB" w:rsidRDefault="004A4D88" w:rsidP="007B6393">
      <w:pPr>
        <w:pStyle w:val="Bullet"/>
      </w:pPr>
      <w:r>
        <w:t>Acting</w:t>
      </w:r>
      <w:r w:rsidR="00A03629">
        <w:t xml:space="preserve"> </w:t>
      </w:r>
      <w:r>
        <w:t>Associate</w:t>
      </w:r>
      <w:r w:rsidR="00A03629">
        <w:t xml:space="preserve"> </w:t>
      </w:r>
      <w:r>
        <w:t>Deputy</w:t>
      </w:r>
      <w:r w:rsidR="00A03629">
        <w:t xml:space="preserve"> </w:t>
      </w:r>
      <w:r>
        <w:t>Secretary,</w:t>
      </w:r>
      <w:r w:rsidR="00A03629">
        <w:t xml:space="preserve"> </w:t>
      </w:r>
      <w:r>
        <w:t>Corporate</w:t>
      </w:r>
      <w:r w:rsidR="00A03629">
        <w:t xml:space="preserve"> </w:t>
      </w:r>
      <w:r>
        <w:t>Services:</w:t>
      </w:r>
      <w:r w:rsidR="00A03629">
        <w:t xml:space="preserve"> </w:t>
      </w:r>
      <w:r>
        <w:t>Jessica</w:t>
      </w:r>
      <w:r w:rsidR="00A03629">
        <w:t xml:space="preserve"> </w:t>
      </w:r>
      <w:proofErr w:type="spellStart"/>
      <w:r>
        <w:t>Lambous</w:t>
      </w:r>
      <w:proofErr w:type="spellEnd"/>
      <w:r w:rsidR="00A03629">
        <w:t xml:space="preserve"> </w:t>
      </w:r>
      <w:r>
        <w:t>(until</w:t>
      </w:r>
      <w:r w:rsidR="00A03629">
        <w:t xml:space="preserve"> </w:t>
      </w:r>
      <w:r>
        <w:t>28</w:t>
      </w:r>
      <w:r w:rsidR="00A03629">
        <w:t xml:space="preserve"> </w:t>
      </w:r>
      <w:r>
        <w:t>August</w:t>
      </w:r>
      <w:r w:rsidR="00A03629">
        <w:t xml:space="preserve"> </w:t>
      </w:r>
      <w:r>
        <w:t>2022)</w:t>
      </w:r>
    </w:p>
    <w:p w14:paraId="366D567E" w14:textId="10B0F58F" w:rsidR="000756EB" w:rsidRDefault="004A4D88" w:rsidP="007B6393">
      <w:pPr>
        <w:pStyle w:val="Bullet"/>
      </w:pPr>
      <w:r>
        <w:t>Acting</w:t>
      </w:r>
      <w:r w:rsidR="00A03629">
        <w:t xml:space="preserve"> </w:t>
      </w:r>
      <w:r>
        <w:t>Deputy</w:t>
      </w:r>
      <w:r w:rsidR="00A03629">
        <w:t xml:space="preserve"> </w:t>
      </w:r>
      <w:r>
        <w:t>Secretary,</w:t>
      </w:r>
      <w:r w:rsidR="00A03629">
        <w:t xml:space="preserve"> </w:t>
      </w:r>
      <w:r>
        <w:t>Corporate</w:t>
      </w:r>
      <w:r w:rsidR="00A03629">
        <w:t xml:space="preserve"> </w:t>
      </w:r>
      <w:r>
        <w:t>Services:</w:t>
      </w:r>
      <w:r w:rsidR="00A03629">
        <w:t xml:space="preserve"> </w:t>
      </w:r>
      <w:r>
        <w:t>Melinda</w:t>
      </w:r>
      <w:r w:rsidR="00A03629">
        <w:t xml:space="preserve"> </w:t>
      </w:r>
      <w:r>
        <w:t>Knapp</w:t>
      </w:r>
      <w:r w:rsidR="00A03629">
        <w:t xml:space="preserve"> </w:t>
      </w:r>
      <w:r>
        <w:t>(from</w:t>
      </w:r>
      <w:r w:rsidR="00A03629">
        <w:t xml:space="preserve"> </w:t>
      </w:r>
      <w:r>
        <w:t>12</w:t>
      </w:r>
      <w:r w:rsidR="00A03629">
        <w:t xml:space="preserve"> </w:t>
      </w:r>
      <w:r>
        <w:t>December</w:t>
      </w:r>
      <w:r w:rsidR="00A03629">
        <w:t xml:space="preserve"> </w:t>
      </w:r>
      <w:r>
        <w:t>2022)</w:t>
      </w:r>
    </w:p>
    <w:p w14:paraId="1B9BE070" w14:textId="5DD43BC0" w:rsidR="000756EB" w:rsidRDefault="004A4D88" w:rsidP="007B6393">
      <w:pPr>
        <w:pStyle w:val="Bullet"/>
      </w:pPr>
      <w:r>
        <w:t>Acting</w:t>
      </w:r>
      <w:r w:rsidR="00A03629">
        <w:t xml:space="preserve"> </w:t>
      </w:r>
      <w:r>
        <w:t>Deputy</w:t>
      </w:r>
      <w:r w:rsidR="00A03629">
        <w:t xml:space="preserve"> </w:t>
      </w:r>
      <w:r>
        <w:t>Secretary,</w:t>
      </w:r>
      <w:r w:rsidR="00A03629">
        <w:t xml:space="preserve"> </w:t>
      </w:r>
      <w:r>
        <w:t>Employment</w:t>
      </w:r>
      <w:r w:rsidR="00A03629">
        <w:t xml:space="preserve"> </w:t>
      </w:r>
      <w:r>
        <w:t>and</w:t>
      </w:r>
      <w:r w:rsidR="00A03629">
        <w:t xml:space="preserve"> </w:t>
      </w:r>
      <w:r>
        <w:t>Small</w:t>
      </w:r>
      <w:r w:rsidR="00A03629">
        <w:t xml:space="preserve"> </w:t>
      </w:r>
      <w:r>
        <w:t>Business:</w:t>
      </w:r>
      <w:r w:rsidR="00A03629">
        <w:t xml:space="preserve"> </w:t>
      </w:r>
      <w:r>
        <w:t>Sharn</w:t>
      </w:r>
      <w:r w:rsidR="00A03629">
        <w:t xml:space="preserve"> </w:t>
      </w:r>
      <w:proofErr w:type="spellStart"/>
      <w:r>
        <w:t>Enzinger</w:t>
      </w:r>
      <w:proofErr w:type="spellEnd"/>
      <w:r w:rsidR="00A03629">
        <w:t xml:space="preserve"> </w:t>
      </w:r>
      <w:r>
        <w:t>(from</w:t>
      </w:r>
      <w:r w:rsidR="00A03629">
        <w:t xml:space="preserve"> </w:t>
      </w:r>
      <w:r>
        <w:t>5</w:t>
      </w:r>
      <w:r w:rsidR="00A03629">
        <w:t xml:space="preserve"> </w:t>
      </w:r>
      <w:r>
        <w:t>June</w:t>
      </w:r>
      <w:r w:rsidR="00A03629">
        <w:t xml:space="preserve"> </w:t>
      </w:r>
      <w:r>
        <w:t>2023)</w:t>
      </w:r>
    </w:p>
    <w:p w14:paraId="45FDF929" w14:textId="746AE5E8" w:rsidR="000756EB" w:rsidRDefault="004A4D88" w:rsidP="007B6393">
      <w:pPr>
        <w:pStyle w:val="Bullet"/>
      </w:pPr>
      <w:r>
        <w:t>Deputy</w:t>
      </w:r>
      <w:r w:rsidR="00A03629">
        <w:t xml:space="preserve"> </w:t>
      </w:r>
      <w:r>
        <w:t>Secretary,</w:t>
      </w:r>
      <w:r w:rsidR="00A03629">
        <w:t xml:space="preserve"> </w:t>
      </w:r>
      <w:r>
        <w:t>Employment</w:t>
      </w:r>
      <w:r w:rsidR="00A03629">
        <w:t xml:space="preserve"> </w:t>
      </w:r>
      <w:r>
        <w:t>and</w:t>
      </w:r>
      <w:r w:rsidR="00A03629">
        <w:t xml:space="preserve"> </w:t>
      </w:r>
      <w:r>
        <w:t>Small</w:t>
      </w:r>
      <w:r w:rsidR="00A03629">
        <w:t xml:space="preserve"> </w:t>
      </w:r>
      <w:r>
        <w:t>Business:</w:t>
      </w:r>
      <w:r w:rsidR="00A03629">
        <w:t xml:space="preserve"> </w:t>
      </w:r>
      <w:r>
        <w:t>Lisa</w:t>
      </w:r>
      <w:r w:rsidR="00A03629">
        <w:t xml:space="preserve"> </w:t>
      </w:r>
      <w:r>
        <w:t>Buckingham</w:t>
      </w:r>
      <w:r w:rsidR="00A03629">
        <w:t xml:space="preserve"> </w:t>
      </w:r>
      <w:r>
        <w:t>(from</w:t>
      </w:r>
      <w:r w:rsidR="00A03629">
        <w:t xml:space="preserve"> </w:t>
      </w:r>
      <w:r>
        <w:t>1</w:t>
      </w:r>
      <w:r w:rsidR="00A03629">
        <w:t xml:space="preserve"> </w:t>
      </w:r>
      <w:r>
        <w:t>January</w:t>
      </w:r>
      <w:r w:rsidR="00A03629">
        <w:t xml:space="preserve"> </w:t>
      </w:r>
      <w:r>
        <w:t>2023</w:t>
      </w:r>
      <w:r w:rsidR="00A03629">
        <w:t xml:space="preserve"> </w:t>
      </w:r>
      <w:r>
        <w:t>to</w:t>
      </w:r>
      <w:r w:rsidR="00A03629">
        <w:t xml:space="preserve"> </w:t>
      </w:r>
      <w:r>
        <w:t>2</w:t>
      </w:r>
      <w:r w:rsidR="00A03629">
        <w:t xml:space="preserve"> </w:t>
      </w:r>
      <w:r>
        <w:t>June</w:t>
      </w:r>
      <w:r w:rsidR="00A03629">
        <w:t xml:space="preserve"> </w:t>
      </w:r>
      <w:r>
        <w:t>2023)</w:t>
      </w:r>
    </w:p>
    <w:p w14:paraId="3B4C76E2" w14:textId="7C506AEA" w:rsidR="000756EB" w:rsidRDefault="004A4D88" w:rsidP="007B6393">
      <w:pPr>
        <w:pStyle w:val="Bullet"/>
      </w:pPr>
      <w:r>
        <w:lastRenderedPageBreak/>
        <w:t>Deputy</w:t>
      </w:r>
      <w:r w:rsidR="00A03629">
        <w:t xml:space="preserve"> </w:t>
      </w:r>
      <w:r>
        <w:t>Secretary,</w:t>
      </w:r>
      <w:r w:rsidR="00A03629">
        <w:t xml:space="preserve"> </w:t>
      </w:r>
      <w:r>
        <w:t>Jobs</w:t>
      </w:r>
      <w:r w:rsidR="00A03629">
        <w:t xml:space="preserve"> </w:t>
      </w:r>
      <w:r>
        <w:t>Victoria,</w:t>
      </w:r>
      <w:r w:rsidR="00A03629">
        <w:t xml:space="preserve"> </w:t>
      </w:r>
      <w:r>
        <w:t>Secure</w:t>
      </w:r>
      <w:r w:rsidR="00A03629">
        <w:t xml:space="preserve"> </w:t>
      </w:r>
      <w:proofErr w:type="gramStart"/>
      <w:r>
        <w:t>Work</w:t>
      </w:r>
      <w:proofErr w:type="gramEnd"/>
      <w:r w:rsidR="00A03629">
        <w:t xml:space="preserve"> </w:t>
      </w:r>
      <w:r>
        <w:t>and</w:t>
      </w:r>
      <w:r w:rsidR="00A03629">
        <w:rPr>
          <w:rFonts w:ascii="Cambria" w:hAnsi="Cambria" w:cs="Cambria"/>
        </w:rPr>
        <w:t xml:space="preserve"> </w:t>
      </w:r>
      <w:r>
        <w:t>Inclusion:</w:t>
      </w:r>
      <w:r w:rsidR="00A03629">
        <w:t xml:space="preserve"> </w:t>
      </w:r>
      <w:r>
        <w:t>Lisa</w:t>
      </w:r>
      <w:r w:rsidR="00A03629">
        <w:t xml:space="preserve"> </w:t>
      </w:r>
      <w:r>
        <w:t>Buckingham</w:t>
      </w:r>
      <w:r w:rsidR="00A03629">
        <w:t xml:space="preserve"> </w:t>
      </w:r>
      <w:r>
        <w:t>(until</w:t>
      </w:r>
      <w:r w:rsidR="00A03629">
        <w:rPr>
          <w:rFonts w:ascii="Cambria" w:hAnsi="Cambria" w:cs="Cambria"/>
        </w:rPr>
        <w:t xml:space="preserve"> </w:t>
      </w:r>
      <w:r>
        <w:t>31</w:t>
      </w:r>
      <w:r w:rsidR="00A03629">
        <w:rPr>
          <w:rFonts w:ascii="Cambria" w:hAnsi="Cambria" w:cs="Cambria"/>
        </w:rPr>
        <w:t xml:space="preserve"> </w:t>
      </w:r>
      <w:r>
        <w:t>December</w:t>
      </w:r>
      <w:r w:rsidR="00A03629">
        <w:t xml:space="preserve"> </w:t>
      </w:r>
      <w:r>
        <w:t>2022)</w:t>
      </w:r>
    </w:p>
    <w:p w14:paraId="7F797F89" w14:textId="1F35EDB0" w:rsidR="000756EB" w:rsidRDefault="004A4D88" w:rsidP="007B6393">
      <w:pPr>
        <w:pStyle w:val="Bullet"/>
      </w:pPr>
      <w:r>
        <w:t>Deputy</w:t>
      </w:r>
      <w:r w:rsidR="00A03629">
        <w:t xml:space="preserve"> </w:t>
      </w:r>
      <w:r>
        <w:t>Secretary,</w:t>
      </w:r>
      <w:r w:rsidR="00A03629">
        <w:t xml:space="preserve"> </w:t>
      </w:r>
      <w:r>
        <w:t>Delivery:</w:t>
      </w:r>
      <w:r w:rsidR="00A03629">
        <w:t xml:space="preserve"> </w:t>
      </w:r>
      <w:r>
        <w:t>Andrew</w:t>
      </w:r>
      <w:r w:rsidR="00A03629">
        <w:t xml:space="preserve"> </w:t>
      </w:r>
      <w:r>
        <w:t>Parsons</w:t>
      </w:r>
      <w:r w:rsidR="00A03629">
        <w:t xml:space="preserve"> </w:t>
      </w:r>
      <w:r>
        <w:t>(until</w:t>
      </w:r>
      <w:r w:rsidR="00A03629">
        <w:rPr>
          <w:rFonts w:ascii="Cambria" w:hAnsi="Cambria" w:cs="Cambria"/>
        </w:rPr>
        <w:t xml:space="preserve"> </w:t>
      </w:r>
      <w:r>
        <w:t>31</w:t>
      </w:r>
      <w:r w:rsidR="00A03629">
        <w:t xml:space="preserve"> </w:t>
      </w:r>
      <w:r>
        <w:t>December</w:t>
      </w:r>
      <w:r w:rsidR="00A03629">
        <w:t xml:space="preserve"> </w:t>
      </w:r>
      <w:r>
        <w:t>2022)</w:t>
      </w:r>
    </w:p>
    <w:p w14:paraId="731E96E3" w14:textId="3369718A" w:rsidR="000756EB" w:rsidRDefault="004A4D88" w:rsidP="007B6393">
      <w:pPr>
        <w:pStyle w:val="Bullet"/>
      </w:pPr>
      <w:r>
        <w:t>Deputy</w:t>
      </w:r>
      <w:r w:rsidR="00A03629">
        <w:t xml:space="preserve"> </w:t>
      </w:r>
      <w:r>
        <w:t>Secretary,</w:t>
      </w:r>
      <w:r w:rsidR="00A03629">
        <w:t xml:space="preserve"> </w:t>
      </w:r>
      <w:r>
        <w:t>Rural</w:t>
      </w:r>
      <w:r w:rsidR="00A03629">
        <w:t xml:space="preserve"> </w:t>
      </w:r>
      <w:r>
        <w:t>and</w:t>
      </w:r>
      <w:r w:rsidR="00A03629">
        <w:t xml:space="preserve"> </w:t>
      </w:r>
      <w:r>
        <w:t>Regional</w:t>
      </w:r>
      <w:r w:rsidR="00A03629">
        <w:t xml:space="preserve"> </w:t>
      </w:r>
      <w:r>
        <w:t>Victoria:</w:t>
      </w:r>
      <w:r w:rsidR="00A03629">
        <w:t xml:space="preserve"> </w:t>
      </w:r>
      <w:r>
        <w:t>Beth</w:t>
      </w:r>
      <w:r w:rsidR="00A03629">
        <w:t xml:space="preserve"> </w:t>
      </w:r>
      <w:r>
        <w:t>Jones</w:t>
      </w:r>
      <w:r w:rsidR="00A03629">
        <w:t xml:space="preserve"> </w:t>
      </w:r>
    </w:p>
    <w:p w14:paraId="778F86DC" w14:textId="5BD9E14C" w:rsidR="000756EB" w:rsidRDefault="004A4D88" w:rsidP="007B6393">
      <w:pPr>
        <w:pStyle w:val="Bullet"/>
      </w:pPr>
      <w:r>
        <w:t>Deputy</w:t>
      </w:r>
      <w:r w:rsidR="00A03629">
        <w:t xml:space="preserve"> </w:t>
      </w:r>
      <w:r>
        <w:t>Secretary,</w:t>
      </w:r>
      <w:r w:rsidR="00A03629">
        <w:t xml:space="preserve"> </w:t>
      </w:r>
      <w:r>
        <w:t>Strategy</w:t>
      </w:r>
      <w:r w:rsidR="00A03629">
        <w:t xml:space="preserve"> </w:t>
      </w:r>
      <w:r>
        <w:t>and</w:t>
      </w:r>
      <w:r w:rsidR="00A03629">
        <w:t xml:space="preserve"> </w:t>
      </w:r>
      <w:r>
        <w:t>Priority</w:t>
      </w:r>
      <w:r w:rsidR="00A03629">
        <w:t xml:space="preserve"> </w:t>
      </w:r>
      <w:r>
        <w:t>Projects:</w:t>
      </w:r>
      <w:r w:rsidR="00A03629">
        <w:t xml:space="preserve"> </w:t>
      </w:r>
      <w:r>
        <w:t>Cam</w:t>
      </w:r>
      <w:r w:rsidR="00A03629">
        <w:t xml:space="preserve"> </w:t>
      </w:r>
      <w:r>
        <w:t>Nolan</w:t>
      </w:r>
      <w:r w:rsidR="00A03629">
        <w:t xml:space="preserve"> </w:t>
      </w:r>
    </w:p>
    <w:p w14:paraId="5835A4A0" w14:textId="6B25EB6F" w:rsidR="000756EB" w:rsidRDefault="004A4D88" w:rsidP="007B6393">
      <w:pPr>
        <w:pStyle w:val="Bullet"/>
      </w:pPr>
      <w:r>
        <w:t>Deputy</w:t>
      </w:r>
      <w:r w:rsidR="00A03629">
        <w:t xml:space="preserve"> </w:t>
      </w:r>
      <w:r>
        <w:t>Secretary,</w:t>
      </w:r>
      <w:r w:rsidR="00A03629">
        <w:t xml:space="preserve"> </w:t>
      </w:r>
      <w:r>
        <w:t>Tourism,</w:t>
      </w:r>
      <w:r w:rsidR="00A03629">
        <w:t xml:space="preserve"> </w:t>
      </w:r>
      <w:r>
        <w:t>Events</w:t>
      </w:r>
      <w:r w:rsidR="00A03629">
        <w:t xml:space="preserve"> </w:t>
      </w:r>
      <w:r>
        <w:t>and</w:t>
      </w:r>
      <w:r w:rsidR="00A03629">
        <w:t xml:space="preserve"> </w:t>
      </w:r>
      <w:r>
        <w:t>Priority</w:t>
      </w:r>
      <w:r w:rsidR="00A03629">
        <w:t xml:space="preserve"> </w:t>
      </w:r>
      <w:r>
        <w:t>Infrastructure</w:t>
      </w:r>
      <w:r w:rsidR="00A03629">
        <w:t xml:space="preserve"> </w:t>
      </w:r>
      <w:r>
        <w:t>Implementation:</w:t>
      </w:r>
      <w:r w:rsidR="00A03629">
        <w:t xml:space="preserve"> </w:t>
      </w:r>
      <w:r>
        <w:t>Chris</w:t>
      </w:r>
      <w:r w:rsidR="00A03629">
        <w:t xml:space="preserve"> </w:t>
      </w:r>
      <w:r>
        <w:t>Miller</w:t>
      </w:r>
      <w:r w:rsidR="00A03629">
        <w:t xml:space="preserve"> </w:t>
      </w:r>
      <w:r>
        <w:t>(until</w:t>
      </w:r>
      <w:r w:rsidR="00A03629">
        <w:rPr>
          <w:rFonts w:ascii="Cambria" w:hAnsi="Cambria" w:cs="Cambria"/>
        </w:rPr>
        <w:t xml:space="preserve"> </w:t>
      </w:r>
      <w:r>
        <w:t>16</w:t>
      </w:r>
      <w:r w:rsidR="00A03629">
        <w:rPr>
          <w:rFonts w:ascii="Cambria" w:hAnsi="Cambria" w:cs="Cambria"/>
        </w:rPr>
        <w:t xml:space="preserve"> </w:t>
      </w:r>
      <w:r>
        <w:t>December</w:t>
      </w:r>
      <w:r w:rsidR="00A03629">
        <w:t xml:space="preserve"> </w:t>
      </w:r>
      <w:r>
        <w:t>2022)</w:t>
      </w:r>
    </w:p>
    <w:p w14:paraId="1CF96DF6" w14:textId="668B3450" w:rsidR="000756EB" w:rsidRDefault="004A4D88" w:rsidP="007B6393">
      <w:pPr>
        <w:pStyle w:val="Bullet"/>
      </w:pPr>
      <w:r>
        <w:t>Deputy</w:t>
      </w:r>
      <w:r w:rsidR="00A03629">
        <w:t xml:space="preserve"> </w:t>
      </w:r>
      <w:r>
        <w:t>Secretary,</w:t>
      </w:r>
      <w:r w:rsidR="00A03629">
        <w:t xml:space="preserve"> </w:t>
      </w:r>
      <w:r>
        <w:t>Creative</w:t>
      </w:r>
      <w:r w:rsidR="00A03629">
        <w:t xml:space="preserve"> </w:t>
      </w:r>
      <w:r>
        <w:t>Victoria:</w:t>
      </w:r>
      <w:r w:rsidR="00A03629">
        <w:t xml:space="preserve"> </w:t>
      </w:r>
      <w:r>
        <w:t>Claire</w:t>
      </w:r>
      <w:r w:rsidR="00A03629">
        <w:t xml:space="preserve"> </w:t>
      </w:r>
      <w:proofErr w:type="spellStart"/>
      <w:r>
        <w:t>Febey</w:t>
      </w:r>
      <w:proofErr w:type="spellEnd"/>
      <w:r w:rsidR="00A03629">
        <w:t xml:space="preserve"> </w:t>
      </w:r>
    </w:p>
    <w:p w14:paraId="27FC360F" w14:textId="186E3E11" w:rsidR="000756EB" w:rsidRDefault="004A4D88" w:rsidP="007B6393">
      <w:pPr>
        <w:pStyle w:val="Bullet"/>
      </w:pPr>
      <w:r>
        <w:t>Deputy</w:t>
      </w:r>
      <w:r w:rsidR="00A03629">
        <w:t xml:space="preserve"> </w:t>
      </w:r>
      <w:r>
        <w:t>Secretary,</w:t>
      </w:r>
      <w:r w:rsidR="00A03629">
        <w:t xml:space="preserve"> </w:t>
      </w:r>
      <w:proofErr w:type="gramStart"/>
      <w:r>
        <w:t>Industry</w:t>
      </w:r>
      <w:proofErr w:type="gramEnd"/>
      <w:r w:rsidR="00A03629">
        <w:t xml:space="preserve"> </w:t>
      </w:r>
      <w:r>
        <w:t>and</w:t>
      </w:r>
      <w:r w:rsidR="00A03629">
        <w:t xml:space="preserve"> </w:t>
      </w:r>
      <w:r>
        <w:t>Innovation:</w:t>
      </w:r>
      <w:r w:rsidR="00A03629">
        <w:t xml:space="preserve"> </w:t>
      </w:r>
      <w:r>
        <w:t>David</w:t>
      </w:r>
      <w:r w:rsidR="00A03629">
        <w:rPr>
          <w:rFonts w:ascii="Cambria" w:hAnsi="Cambria" w:cs="Cambria"/>
        </w:rPr>
        <w:t xml:space="preserve"> </w:t>
      </w:r>
      <w:r>
        <w:t>Latina</w:t>
      </w:r>
      <w:r w:rsidR="00A03629">
        <w:t xml:space="preserve"> </w:t>
      </w:r>
      <w:r>
        <w:t>(from</w:t>
      </w:r>
      <w:r w:rsidR="00A03629">
        <w:t xml:space="preserve"> </w:t>
      </w:r>
      <w:r>
        <w:t>1</w:t>
      </w:r>
      <w:r w:rsidR="00A03629">
        <w:t xml:space="preserve"> </w:t>
      </w:r>
      <w:r>
        <w:t>January</w:t>
      </w:r>
      <w:r w:rsidR="00A03629">
        <w:t xml:space="preserve"> </w:t>
      </w:r>
      <w:r>
        <w:t>2023)</w:t>
      </w:r>
    </w:p>
    <w:p w14:paraId="11B2A010" w14:textId="793F4DD2" w:rsidR="000756EB" w:rsidRDefault="004A4D88" w:rsidP="007B6393">
      <w:pPr>
        <w:pStyle w:val="Bullet"/>
      </w:pPr>
      <w:r>
        <w:t>Deputy</w:t>
      </w:r>
      <w:r w:rsidR="00A03629">
        <w:t xml:space="preserve"> </w:t>
      </w:r>
      <w:r>
        <w:t>Secretary,</w:t>
      </w:r>
      <w:r w:rsidR="00A03629">
        <w:t xml:space="preserve"> </w:t>
      </w:r>
      <w:r>
        <w:t>Jobs,</w:t>
      </w:r>
      <w:r w:rsidR="00A03629">
        <w:t xml:space="preserve"> </w:t>
      </w:r>
      <w:r>
        <w:t>Innovation</w:t>
      </w:r>
      <w:r w:rsidR="00A03629">
        <w:t xml:space="preserve"> </w:t>
      </w:r>
      <w:r>
        <w:t>and</w:t>
      </w:r>
      <w:r w:rsidR="00A03629">
        <w:t xml:space="preserve"> </w:t>
      </w:r>
      <w:r>
        <w:t>Business</w:t>
      </w:r>
      <w:r w:rsidR="00A03629">
        <w:rPr>
          <w:rFonts w:ascii="Cambria" w:hAnsi="Cambria" w:cs="Cambria"/>
        </w:rPr>
        <w:t xml:space="preserve"> </w:t>
      </w:r>
      <w:r>
        <w:t>Engagement:</w:t>
      </w:r>
      <w:r w:rsidR="00A03629">
        <w:t xml:space="preserve"> </w:t>
      </w:r>
      <w:r>
        <w:t>David</w:t>
      </w:r>
      <w:r w:rsidR="00A03629">
        <w:t xml:space="preserve"> </w:t>
      </w:r>
      <w:r>
        <w:t>Latina</w:t>
      </w:r>
      <w:r w:rsidR="00A03629">
        <w:t xml:space="preserve"> </w:t>
      </w:r>
      <w:r>
        <w:t>(until</w:t>
      </w:r>
      <w:r w:rsidR="00A03629">
        <w:t xml:space="preserve"> </w:t>
      </w:r>
      <w:r>
        <w:t>31</w:t>
      </w:r>
      <w:r w:rsidR="00A03629">
        <w:t xml:space="preserve"> </w:t>
      </w:r>
      <w:r>
        <w:t>December</w:t>
      </w:r>
      <w:r w:rsidR="00A03629">
        <w:t xml:space="preserve"> </w:t>
      </w:r>
      <w:r>
        <w:t>2022)</w:t>
      </w:r>
    </w:p>
    <w:p w14:paraId="0CB34BA6" w14:textId="294E5ED4" w:rsidR="000756EB" w:rsidRDefault="004A4D88" w:rsidP="007B6393">
      <w:pPr>
        <w:pStyle w:val="Bullet"/>
      </w:pPr>
      <w:r>
        <w:t>Deputy</w:t>
      </w:r>
      <w:r w:rsidR="00A03629">
        <w:t xml:space="preserve"> </w:t>
      </w:r>
      <w:r>
        <w:t>Secretary,</w:t>
      </w:r>
      <w:r w:rsidR="00A03629">
        <w:t xml:space="preserve"> </w:t>
      </w:r>
      <w:r>
        <w:t>Local</w:t>
      </w:r>
      <w:r w:rsidR="00A03629">
        <w:t xml:space="preserve"> </w:t>
      </w:r>
      <w:r>
        <w:t>Government</w:t>
      </w:r>
      <w:r w:rsidR="00A03629">
        <w:t xml:space="preserve"> </w:t>
      </w:r>
      <w:r>
        <w:t>and</w:t>
      </w:r>
      <w:r w:rsidR="00A03629">
        <w:t xml:space="preserve"> </w:t>
      </w:r>
      <w:r>
        <w:t>Suburban</w:t>
      </w:r>
      <w:r w:rsidR="00A03629">
        <w:t xml:space="preserve"> </w:t>
      </w:r>
      <w:r>
        <w:t>Development:</w:t>
      </w:r>
      <w:r w:rsidR="00A03629">
        <w:t xml:space="preserve"> </w:t>
      </w:r>
      <w:r>
        <w:t>Emily</w:t>
      </w:r>
      <w:r w:rsidR="00A03629">
        <w:t xml:space="preserve"> </w:t>
      </w:r>
      <w:r>
        <w:t>Phillips</w:t>
      </w:r>
      <w:r w:rsidR="00A03629">
        <w:t xml:space="preserve"> </w:t>
      </w:r>
      <w:r>
        <w:t>(until</w:t>
      </w:r>
      <w:r w:rsidR="00A03629">
        <w:rPr>
          <w:rFonts w:ascii="Cambria" w:hAnsi="Cambria" w:cs="Cambria"/>
        </w:rPr>
        <w:t xml:space="preserve"> </w:t>
      </w:r>
      <w:r>
        <w:t>31</w:t>
      </w:r>
      <w:r w:rsidR="00A03629">
        <w:rPr>
          <w:rFonts w:ascii="Cambria" w:hAnsi="Cambria" w:cs="Cambria"/>
        </w:rPr>
        <w:t xml:space="preserve"> </w:t>
      </w:r>
      <w:r>
        <w:t>December</w:t>
      </w:r>
      <w:r w:rsidR="00A03629">
        <w:t xml:space="preserve"> </w:t>
      </w:r>
      <w:r>
        <w:t>2022)</w:t>
      </w:r>
    </w:p>
    <w:p w14:paraId="5569DDDE" w14:textId="638BD0E7" w:rsidR="000756EB" w:rsidRDefault="004A4D88" w:rsidP="007B6393">
      <w:pPr>
        <w:pStyle w:val="Bullet"/>
      </w:pPr>
      <w:r>
        <w:t>Deputy</w:t>
      </w:r>
      <w:r w:rsidR="00A03629">
        <w:t xml:space="preserve"> </w:t>
      </w:r>
      <w:r>
        <w:t>Secretary,</w:t>
      </w:r>
      <w:r w:rsidR="00A03629">
        <w:t xml:space="preserve"> </w:t>
      </w:r>
      <w:r>
        <w:t>Higher</w:t>
      </w:r>
      <w:r w:rsidR="00A03629">
        <w:t xml:space="preserve"> </w:t>
      </w:r>
      <w:r>
        <w:t>Education</w:t>
      </w:r>
      <w:r w:rsidR="00A03629">
        <w:t xml:space="preserve"> </w:t>
      </w:r>
      <w:r>
        <w:t>and</w:t>
      </w:r>
      <w:r w:rsidR="00A03629">
        <w:t xml:space="preserve"> </w:t>
      </w:r>
      <w:r>
        <w:t>Skills:</w:t>
      </w:r>
      <w:r w:rsidR="00A03629">
        <w:t xml:space="preserve"> </w:t>
      </w:r>
      <w:r>
        <w:t>Lill</w:t>
      </w:r>
      <w:r w:rsidR="00A03629">
        <w:rPr>
          <w:rFonts w:ascii="Cambria" w:hAnsi="Cambria" w:cs="Cambria"/>
        </w:rPr>
        <w:t xml:space="preserve"> </w:t>
      </w:r>
      <w:r>
        <w:t>Healy</w:t>
      </w:r>
      <w:r w:rsidR="00A03629">
        <w:t xml:space="preserve"> </w:t>
      </w:r>
      <w:r>
        <w:t>(from</w:t>
      </w:r>
      <w:r w:rsidR="00A03629">
        <w:t xml:space="preserve"> </w:t>
      </w:r>
      <w:r>
        <w:t>1</w:t>
      </w:r>
      <w:r w:rsidR="00A03629">
        <w:t xml:space="preserve"> </w:t>
      </w:r>
      <w:r>
        <w:t>January</w:t>
      </w:r>
      <w:r w:rsidR="00A03629">
        <w:t xml:space="preserve"> </w:t>
      </w:r>
      <w:r>
        <w:t>2023)</w:t>
      </w:r>
    </w:p>
    <w:p w14:paraId="59718130" w14:textId="7EF948F4" w:rsidR="000756EB" w:rsidRDefault="004A4D88" w:rsidP="007B6393">
      <w:pPr>
        <w:pStyle w:val="Bullet"/>
      </w:pPr>
      <w:r>
        <w:t>Deputy</w:t>
      </w:r>
      <w:r w:rsidR="00A03629">
        <w:t xml:space="preserve"> </w:t>
      </w:r>
      <w:r>
        <w:t>Secretary</w:t>
      </w:r>
      <w:r w:rsidR="00A03629">
        <w:t xml:space="preserve"> </w:t>
      </w:r>
      <w:r>
        <w:t>Agriculture</w:t>
      </w:r>
      <w:r w:rsidR="00A03629">
        <w:t xml:space="preserve"> </w:t>
      </w:r>
      <w:r>
        <w:t>and</w:t>
      </w:r>
      <w:r w:rsidR="00A03629">
        <w:t xml:space="preserve"> </w:t>
      </w:r>
      <w:r>
        <w:t>Chief</w:t>
      </w:r>
      <w:r w:rsidR="00A03629">
        <w:t xml:space="preserve"> </w:t>
      </w:r>
      <w:r>
        <w:t>Executive</w:t>
      </w:r>
      <w:r w:rsidR="00A03629">
        <w:rPr>
          <w:rFonts w:ascii="Cambria" w:hAnsi="Cambria" w:cs="Cambria"/>
        </w:rPr>
        <w:t xml:space="preserve"> </w:t>
      </w:r>
      <w:r>
        <w:t>Agriculture</w:t>
      </w:r>
      <w:r w:rsidR="00A03629">
        <w:t xml:space="preserve"> </w:t>
      </w:r>
      <w:r>
        <w:t>Victoria:</w:t>
      </w:r>
      <w:r w:rsidR="00A03629">
        <w:t xml:space="preserve"> </w:t>
      </w:r>
      <w:r>
        <w:t>Matt</w:t>
      </w:r>
      <w:r w:rsidR="00A03629">
        <w:t xml:space="preserve"> </w:t>
      </w:r>
      <w:r>
        <w:t>Lowe</w:t>
      </w:r>
      <w:r w:rsidR="00A03629">
        <w:t xml:space="preserve"> </w:t>
      </w:r>
      <w:r>
        <w:t>(until</w:t>
      </w:r>
      <w:r w:rsidR="00A03629">
        <w:rPr>
          <w:rFonts w:ascii="Cambria" w:hAnsi="Cambria" w:cs="Cambria"/>
        </w:rPr>
        <w:t xml:space="preserve"> </w:t>
      </w:r>
      <w:r>
        <w:t>31</w:t>
      </w:r>
      <w:r w:rsidR="00A03629">
        <w:rPr>
          <w:rFonts w:ascii="Cambria" w:hAnsi="Cambria" w:cs="Cambria"/>
        </w:rPr>
        <w:t xml:space="preserve"> </w:t>
      </w:r>
      <w:r>
        <w:t>December</w:t>
      </w:r>
      <w:r w:rsidR="00A03629">
        <w:t xml:space="preserve"> </w:t>
      </w:r>
      <w:r>
        <w:t>2022)</w:t>
      </w:r>
    </w:p>
    <w:p w14:paraId="7275EBB8" w14:textId="77114731" w:rsidR="000756EB" w:rsidRDefault="004A4D88" w:rsidP="007B6393">
      <w:pPr>
        <w:pStyle w:val="Bullet"/>
      </w:pPr>
      <w:r>
        <w:t>Deputy</w:t>
      </w:r>
      <w:r w:rsidR="00A03629">
        <w:t xml:space="preserve"> </w:t>
      </w:r>
      <w:r>
        <w:t>Secretary,</w:t>
      </w:r>
      <w:r w:rsidR="00A03629">
        <w:t xml:space="preserve"> </w:t>
      </w:r>
      <w:r>
        <w:t>Forestry,</w:t>
      </w:r>
      <w:r w:rsidR="00A03629">
        <w:t xml:space="preserve"> </w:t>
      </w:r>
      <w:r>
        <w:t>Resources</w:t>
      </w:r>
      <w:r w:rsidR="00A03629">
        <w:t xml:space="preserve"> </w:t>
      </w:r>
      <w:r>
        <w:t>and</w:t>
      </w:r>
      <w:r w:rsidR="00A03629">
        <w:t xml:space="preserve"> </w:t>
      </w:r>
      <w:r>
        <w:t>Climate</w:t>
      </w:r>
      <w:r w:rsidR="00A03629">
        <w:t xml:space="preserve"> </w:t>
      </w:r>
      <w:r>
        <w:t>Change:</w:t>
      </w:r>
      <w:r w:rsidR="00A03629">
        <w:t xml:space="preserve"> </w:t>
      </w:r>
      <w:r>
        <w:t>Paul</w:t>
      </w:r>
      <w:r w:rsidR="00A03629">
        <w:t xml:space="preserve"> </w:t>
      </w:r>
      <w:r>
        <w:t>Smith</w:t>
      </w:r>
      <w:r w:rsidR="00A03629">
        <w:t xml:space="preserve"> </w:t>
      </w:r>
      <w:r>
        <w:t>(until</w:t>
      </w:r>
      <w:r w:rsidR="00A03629">
        <w:t xml:space="preserve"> </w:t>
      </w:r>
      <w:r>
        <w:t>31</w:t>
      </w:r>
      <w:r w:rsidR="00A03629">
        <w:rPr>
          <w:rFonts w:ascii="Cambria" w:hAnsi="Cambria" w:cs="Cambria"/>
        </w:rPr>
        <w:t xml:space="preserve"> </w:t>
      </w:r>
      <w:r>
        <w:t>December</w:t>
      </w:r>
      <w:r w:rsidR="00A03629">
        <w:rPr>
          <w:rFonts w:ascii="Cambria" w:hAnsi="Cambria" w:cs="Cambria"/>
        </w:rPr>
        <w:t xml:space="preserve"> </w:t>
      </w:r>
      <w:r>
        <w:t>2022)</w:t>
      </w:r>
    </w:p>
    <w:p w14:paraId="30E0F784" w14:textId="245F25E2" w:rsidR="000756EB" w:rsidRDefault="004A4D88" w:rsidP="007B6393">
      <w:pPr>
        <w:pStyle w:val="Bullet"/>
      </w:pPr>
      <w:r>
        <w:t>Deputy</w:t>
      </w:r>
      <w:r w:rsidR="00A03629">
        <w:t xml:space="preserve"> </w:t>
      </w:r>
      <w:r>
        <w:t>Secretary,</w:t>
      </w:r>
      <w:r w:rsidR="00A03629">
        <w:t xml:space="preserve"> </w:t>
      </w:r>
      <w:r>
        <w:t>Sport,</w:t>
      </w:r>
      <w:r w:rsidR="00A03629">
        <w:t xml:space="preserve"> </w:t>
      </w:r>
      <w:r>
        <w:t>Recreation</w:t>
      </w:r>
      <w:r w:rsidR="00A03629">
        <w:t xml:space="preserve"> </w:t>
      </w:r>
      <w:r>
        <w:t>and</w:t>
      </w:r>
      <w:r w:rsidR="00A03629">
        <w:t xml:space="preserve"> </w:t>
      </w:r>
      <w:r>
        <w:t>Racing:</w:t>
      </w:r>
      <w:r w:rsidR="00A03629">
        <w:t xml:space="preserve"> </w:t>
      </w:r>
      <w:r>
        <w:t>Peter</w:t>
      </w:r>
      <w:r w:rsidR="00A03629">
        <w:t xml:space="preserve"> </w:t>
      </w:r>
      <w:r>
        <w:t>Betson</w:t>
      </w:r>
      <w:r w:rsidR="00A03629">
        <w:t xml:space="preserve"> </w:t>
      </w:r>
      <w:r>
        <w:t>(until</w:t>
      </w:r>
      <w:r w:rsidR="00A03629">
        <w:t xml:space="preserve"> </w:t>
      </w:r>
      <w:r>
        <w:t>31</w:t>
      </w:r>
      <w:r w:rsidR="00A03629">
        <w:t xml:space="preserve"> </w:t>
      </w:r>
      <w:r>
        <w:t>December</w:t>
      </w:r>
      <w:r w:rsidR="00A03629">
        <w:t xml:space="preserve"> </w:t>
      </w:r>
      <w:r>
        <w:t>2022)</w:t>
      </w:r>
    </w:p>
    <w:p w14:paraId="41845E97" w14:textId="3E1BC365" w:rsidR="000756EB" w:rsidRDefault="004A4D88" w:rsidP="007B6393">
      <w:pPr>
        <w:pStyle w:val="Bullet"/>
      </w:pPr>
      <w:r>
        <w:t>Deputy</w:t>
      </w:r>
      <w:r w:rsidR="00A03629">
        <w:t xml:space="preserve"> </w:t>
      </w:r>
      <w:r>
        <w:t>Secretary,</w:t>
      </w:r>
      <w:r w:rsidR="00A03629">
        <w:t xml:space="preserve"> </w:t>
      </w:r>
      <w:r>
        <w:t>Sport,</w:t>
      </w:r>
      <w:r w:rsidR="00A03629">
        <w:t xml:space="preserve"> </w:t>
      </w:r>
      <w:r>
        <w:t>Tourism</w:t>
      </w:r>
      <w:r w:rsidR="00A03629">
        <w:t xml:space="preserve"> </w:t>
      </w:r>
      <w:r>
        <w:t>and</w:t>
      </w:r>
      <w:r w:rsidR="00A03629">
        <w:t xml:space="preserve"> </w:t>
      </w:r>
      <w:r>
        <w:t>Events:</w:t>
      </w:r>
      <w:r w:rsidR="00A03629">
        <w:t xml:space="preserve"> </w:t>
      </w:r>
      <w:r>
        <w:t>Peter</w:t>
      </w:r>
      <w:r w:rsidR="00A03629">
        <w:t xml:space="preserve"> </w:t>
      </w:r>
      <w:r>
        <w:t>Betson</w:t>
      </w:r>
      <w:r w:rsidR="00A03629">
        <w:t xml:space="preserve"> </w:t>
      </w:r>
      <w:r>
        <w:t>(from</w:t>
      </w:r>
      <w:r w:rsidR="00A03629">
        <w:t xml:space="preserve"> </w:t>
      </w:r>
      <w:r>
        <w:t>1</w:t>
      </w:r>
      <w:r w:rsidR="00A03629">
        <w:t xml:space="preserve"> </w:t>
      </w:r>
      <w:r>
        <w:t>January</w:t>
      </w:r>
      <w:r w:rsidR="00A03629">
        <w:t xml:space="preserve"> </w:t>
      </w:r>
      <w:r>
        <w:t>2023)</w:t>
      </w:r>
    </w:p>
    <w:p w14:paraId="0E2DA651" w14:textId="4DDC8AEC" w:rsidR="000756EB" w:rsidRDefault="004A4D88" w:rsidP="007B6393">
      <w:pPr>
        <w:pStyle w:val="Bullet"/>
      </w:pPr>
      <w:r>
        <w:t>Chief</w:t>
      </w:r>
      <w:r w:rsidR="00A03629">
        <w:t xml:space="preserve"> </w:t>
      </w:r>
      <w:r>
        <w:t>Executive</w:t>
      </w:r>
      <w:r w:rsidR="00A03629">
        <w:t xml:space="preserve"> </w:t>
      </w:r>
      <w:r>
        <w:t>Officer,</w:t>
      </w:r>
      <w:r w:rsidR="00A03629">
        <w:t xml:space="preserve"> </w:t>
      </w:r>
      <w:r>
        <w:t>Invest</w:t>
      </w:r>
      <w:r w:rsidR="00A03629">
        <w:t xml:space="preserve"> </w:t>
      </w:r>
      <w:r>
        <w:t>Victoria:</w:t>
      </w:r>
      <w:r w:rsidR="00A03629">
        <w:t xml:space="preserve"> </w:t>
      </w:r>
      <w:r>
        <w:t>Danni</w:t>
      </w:r>
      <w:r w:rsidR="00A03629">
        <w:rPr>
          <w:rFonts w:ascii="Cambria" w:hAnsi="Cambria" w:cs="Cambria"/>
        </w:rPr>
        <w:t xml:space="preserve"> </w:t>
      </w:r>
      <w:r>
        <w:t>Jarrett</w:t>
      </w:r>
      <w:r w:rsidR="00A03629">
        <w:t xml:space="preserve"> </w:t>
      </w:r>
      <w:r>
        <w:t>(from</w:t>
      </w:r>
      <w:r w:rsidR="00A03629">
        <w:t xml:space="preserve"> </w:t>
      </w:r>
      <w:r>
        <w:t>1</w:t>
      </w:r>
      <w:r w:rsidR="00A03629">
        <w:t xml:space="preserve"> </w:t>
      </w:r>
      <w:r>
        <w:t>January</w:t>
      </w:r>
      <w:r w:rsidR="00A03629">
        <w:t xml:space="preserve"> </w:t>
      </w:r>
      <w:r>
        <w:t>2023)</w:t>
      </w:r>
    </w:p>
    <w:p w14:paraId="085234A4" w14:textId="165EAFD0" w:rsidR="000756EB" w:rsidRDefault="004A4D88" w:rsidP="007B6393">
      <w:pPr>
        <w:pStyle w:val="Bullet"/>
      </w:pPr>
      <w:r>
        <w:t>Chief</w:t>
      </w:r>
      <w:r w:rsidR="00A03629">
        <w:t xml:space="preserve"> </w:t>
      </w:r>
      <w:r>
        <w:t>Executive</w:t>
      </w:r>
      <w:r w:rsidR="00A03629">
        <w:t xml:space="preserve"> </w:t>
      </w:r>
      <w:r>
        <w:t>Officer,</w:t>
      </w:r>
      <w:r w:rsidR="00A03629">
        <w:t xml:space="preserve"> </w:t>
      </w:r>
      <w:r>
        <w:t>Global</w:t>
      </w:r>
      <w:r w:rsidR="00A03629">
        <w:t xml:space="preserve"> </w:t>
      </w:r>
      <w:r>
        <w:t>Victoria:</w:t>
      </w:r>
      <w:r w:rsidR="00A03629">
        <w:t xml:space="preserve"> </w:t>
      </w:r>
      <w:r>
        <w:t>Danni</w:t>
      </w:r>
      <w:r w:rsidR="00A03629">
        <w:rPr>
          <w:rFonts w:ascii="Cambria" w:hAnsi="Cambria" w:cs="Cambria"/>
        </w:rPr>
        <w:t xml:space="preserve"> </w:t>
      </w:r>
      <w:r>
        <w:t>Jarrett</w:t>
      </w:r>
      <w:r w:rsidR="00A03629">
        <w:t xml:space="preserve"> </w:t>
      </w:r>
      <w:r>
        <w:t>(from</w:t>
      </w:r>
      <w:r w:rsidR="00A03629">
        <w:t xml:space="preserve"> </w:t>
      </w:r>
      <w:r>
        <w:t>1</w:t>
      </w:r>
      <w:r w:rsidR="00A03629">
        <w:t xml:space="preserve"> </w:t>
      </w:r>
      <w:r>
        <w:t>February</w:t>
      </w:r>
      <w:r w:rsidR="00A03629">
        <w:t xml:space="preserve"> </w:t>
      </w:r>
      <w:r>
        <w:t>2023)</w:t>
      </w:r>
    </w:p>
    <w:p w14:paraId="54BA286E" w14:textId="72D23AC1" w:rsidR="000756EB" w:rsidRDefault="004A4D88" w:rsidP="007B6393">
      <w:pPr>
        <w:pStyle w:val="Bullet"/>
      </w:pPr>
      <w:r>
        <w:t>Chief</w:t>
      </w:r>
      <w:r w:rsidR="00A03629">
        <w:t xml:space="preserve"> </w:t>
      </w:r>
      <w:r>
        <w:t>Executive</w:t>
      </w:r>
      <w:r w:rsidR="00A03629">
        <w:t xml:space="preserve"> </w:t>
      </w:r>
      <w:r>
        <w:t>Officer,</w:t>
      </w:r>
      <w:r w:rsidR="00A03629">
        <w:t xml:space="preserve"> </w:t>
      </w:r>
      <w:r>
        <w:t>Global</w:t>
      </w:r>
      <w:r w:rsidR="00A03629">
        <w:t xml:space="preserve"> </w:t>
      </w:r>
      <w:proofErr w:type="gramStart"/>
      <w:r>
        <w:t>Victoria</w:t>
      </w:r>
      <w:r w:rsidR="00A03629">
        <w:t xml:space="preserve"> </w:t>
      </w:r>
      <w:r>
        <w:t>:</w:t>
      </w:r>
      <w:proofErr w:type="gramEnd"/>
      <w:r w:rsidR="00A03629">
        <w:t xml:space="preserve"> </w:t>
      </w:r>
      <w:r>
        <w:t>Gonul</w:t>
      </w:r>
      <w:r w:rsidR="00A03629">
        <w:rPr>
          <w:rFonts w:ascii="Cambria" w:hAnsi="Cambria" w:cs="Cambria"/>
        </w:rPr>
        <w:t xml:space="preserve"> </w:t>
      </w:r>
      <w:r>
        <w:t>Serbest</w:t>
      </w:r>
      <w:r w:rsidR="00A03629">
        <w:t xml:space="preserve"> </w:t>
      </w:r>
      <w:r>
        <w:t>(until</w:t>
      </w:r>
      <w:r w:rsidR="00A03629">
        <w:t xml:space="preserve"> </w:t>
      </w:r>
      <w:r>
        <w:t>31</w:t>
      </w:r>
      <w:r w:rsidR="00A03629">
        <w:t xml:space="preserve"> </w:t>
      </w:r>
      <w:r>
        <w:t>January</w:t>
      </w:r>
      <w:r w:rsidR="00A03629">
        <w:t xml:space="preserve"> </w:t>
      </w:r>
      <w:r>
        <w:t>2023)</w:t>
      </w:r>
    </w:p>
    <w:p w14:paraId="04ADEE4A" w14:textId="089A540B" w:rsidR="000756EB" w:rsidRDefault="004A4D88" w:rsidP="007B6393">
      <w:pPr>
        <w:pStyle w:val="Bulletlast"/>
      </w:pPr>
      <w:r>
        <w:t>Chief</w:t>
      </w:r>
      <w:r w:rsidR="00A03629">
        <w:t xml:space="preserve"> </w:t>
      </w:r>
      <w:r>
        <w:t>Communications</w:t>
      </w:r>
      <w:r w:rsidR="00A03629">
        <w:t xml:space="preserve"> </w:t>
      </w:r>
      <w:r>
        <w:t>Officer:</w:t>
      </w:r>
      <w:r w:rsidR="00A03629">
        <w:t xml:space="preserve"> </w:t>
      </w:r>
      <w:r>
        <w:t>Julia</w:t>
      </w:r>
      <w:r w:rsidR="00A03629">
        <w:t xml:space="preserve"> </w:t>
      </w:r>
      <w:r>
        <w:t>Scott</w:t>
      </w:r>
      <w:r w:rsidR="00A03629">
        <w:t xml:space="preserve"> </w:t>
      </w:r>
    </w:p>
    <w:p w14:paraId="1F9B36B2" w14:textId="0C995818" w:rsidR="000756EB" w:rsidRPr="007B6393" w:rsidRDefault="004A4D88" w:rsidP="007B6393">
      <w:pPr>
        <w:pStyle w:val="Normalbeforebullets"/>
      </w:pPr>
      <w:r w:rsidRPr="007B6393">
        <w:rPr>
          <w:b/>
          <w:bCs/>
        </w:rPr>
        <w:t>KMP</w:t>
      </w:r>
      <w:r w:rsidR="00A03629" w:rsidRPr="007B6393">
        <w:rPr>
          <w:b/>
          <w:bCs/>
        </w:rPr>
        <w:t xml:space="preserve"> </w:t>
      </w:r>
      <w:r w:rsidRPr="007B6393">
        <w:rPr>
          <w:b/>
          <w:bCs/>
        </w:rPr>
        <w:t>of</w:t>
      </w:r>
      <w:r w:rsidR="00A03629" w:rsidRPr="007B6393">
        <w:rPr>
          <w:b/>
          <w:bCs/>
        </w:rPr>
        <w:t xml:space="preserve"> </w:t>
      </w:r>
      <w:r w:rsidRPr="007B6393">
        <w:rPr>
          <w:b/>
          <w:bCs/>
        </w:rPr>
        <w:t>the</w:t>
      </w:r>
      <w:r w:rsidR="00A03629" w:rsidRPr="007B6393">
        <w:rPr>
          <w:b/>
          <w:bCs/>
        </w:rPr>
        <w:t xml:space="preserve"> </w:t>
      </w:r>
      <w:r w:rsidRPr="007B6393">
        <w:rPr>
          <w:b/>
          <w:bCs/>
        </w:rPr>
        <w:t>Administrative</w:t>
      </w:r>
      <w:r w:rsidR="00A03629" w:rsidRPr="007B6393">
        <w:rPr>
          <w:b/>
          <w:bCs/>
        </w:rPr>
        <w:t xml:space="preserve"> </w:t>
      </w:r>
      <w:r w:rsidRPr="007B6393">
        <w:rPr>
          <w:b/>
          <w:bCs/>
        </w:rPr>
        <w:t>Office</w:t>
      </w:r>
      <w:r w:rsidRPr="007B6393">
        <w:t>,</w:t>
      </w:r>
      <w:r w:rsidR="00A03629" w:rsidRPr="007B6393">
        <w:t xml:space="preserve"> </w:t>
      </w:r>
      <w:r w:rsidRPr="007B6393">
        <w:t>Latrobe</w:t>
      </w:r>
      <w:r w:rsidR="00A03629" w:rsidRPr="007B6393">
        <w:t xml:space="preserve"> </w:t>
      </w:r>
      <w:r w:rsidRPr="007B6393">
        <w:t>Valley</w:t>
      </w:r>
      <w:r w:rsidR="00A03629" w:rsidRPr="007B6393">
        <w:t xml:space="preserve"> </w:t>
      </w:r>
      <w:r w:rsidRPr="007B6393">
        <w:t>Authority:</w:t>
      </w:r>
    </w:p>
    <w:p w14:paraId="208E0BC7" w14:textId="188CAE20" w:rsidR="000756EB" w:rsidRDefault="004A4D88" w:rsidP="007B6393">
      <w:pPr>
        <w:pStyle w:val="Bulletlast"/>
      </w:pPr>
      <w:r>
        <w:t>Chief</w:t>
      </w:r>
      <w:r w:rsidR="00A03629">
        <w:t xml:space="preserve"> </w:t>
      </w:r>
      <w:r>
        <w:t>Executive</w:t>
      </w:r>
      <w:r w:rsidR="00A03629">
        <w:t xml:space="preserve"> </w:t>
      </w:r>
      <w:r>
        <w:t>Officer,</w:t>
      </w:r>
      <w:r w:rsidR="00A03629">
        <w:t xml:space="preserve"> </w:t>
      </w:r>
      <w:r>
        <w:t>LVA:</w:t>
      </w:r>
      <w:r w:rsidR="00A03629">
        <w:t xml:space="preserve"> </w:t>
      </w:r>
      <w:r>
        <w:t>Chris</w:t>
      </w:r>
      <w:r w:rsidR="00A03629">
        <w:t xml:space="preserve"> </w:t>
      </w:r>
      <w:r>
        <w:t>Buckingham</w:t>
      </w:r>
    </w:p>
    <w:p w14:paraId="0466A537" w14:textId="71D54C49" w:rsidR="000756EB" w:rsidRPr="007B6393" w:rsidRDefault="004A4D88" w:rsidP="007B6393">
      <w:pPr>
        <w:pStyle w:val="Normalbeforebullets"/>
      </w:pPr>
      <w:r w:rsidRPr="007B6393">
        <w:rPr>
          <w:b/>
          <w:bCs/>
        </w:rPr>
        <w:t>KMP</w:t>
      </w:r>
      <w:r w:rsidR="00A03629" w:rsidRPr="007B6393">
        <w:rPr>
          <w:b/>
          <w:bCs/>
        </w:rPr>
        <w:t xml:space="preserve"> </w:t>
      </w:r>
      <w:r w:rsidRPr="007B6393">
        <w:rPr>
          <w:b/>
          <w:bCs/>
        </w:rPr>
        <w:t>of</w:t>
      </w:r>
      <w:r w:rsidR="00A03629" w:rsidRPr="007B6393">
        <w:rPr>
          <w:b/>
          <w:bCs/>
        </w:rPr>
        <w:t xml:space="preserve"> </w:t>
      </w:r>
      <w:r w:rsidRPr="007B6393">
        <w:rPr>
          <w:b/>
          <w:bCs/>
        </w:rPr>
        <w:t>the</w:t>
      </w:r>
      <w:r w:rsidR="00A03629" w:rsidRPr="007B6393">
        <w:rPr>
          <w:b/>
          <w:bCs/>
        </w:rPr>
        <w:t xml:space="preserve"> </w:t>
      </w:r>
      <w:r w:rsidRPr="007B6393">
        <w:rPr>
          <w:b/>
          <w:bCs/>
        </w:rPr>
        <w:t>Administrative</w:t>
      </w:r>
      <w:r w:rsidR="00A03629" w:rsidRPr="007B6393">
        <w:rPr>
          <w:b/>
          <w:bCs/>
        </w:rPr>
        <w:t xml:space="preserve"> </w:t>
      </w:r>
      <w:r w:rsidRPr="007B6393">
        <w:rPr>
          <w:b/>
          <w:bCs/>
        </w:rPr>
        <w:t>Office</w:t>
      </w:r>
      <w:r w:rsidRPr="007B6393">
        <w:t>,</w:t>
      </w:r>
      <w:r w:rsidR="00A03629" w:rsidRPr="007B6393">
        <w:t xml:space="preserve"> </w:t>
      </w:r>
      <w:r w:rsidRPr="007B6393">
        <w:t>Invest</w:t>
      </w:r>
      <w:r w:rsidR="00A03629" w:rsidRPr="007B6393">
        <w:t xml:space="preserve"> </w:t>
      </w:r>
      <w:r w:rsidRPr="007B6393">
        <w:t>Victoria:</w:t>
      </w:r>
    </w:p>
    <w:p w14:paraId="70DCF33D" w14:textId="1EDC75DF" w:rsidR="000756EB" w:rsidRDefault="004A4D88" w:rsidP="007B6393">
      <w:pPr>
        <w:pStyle w:val="Bulletlast"/>
      </w:pPr>
      <w:r>
        <w:t>Chief</w:t>
      </w:r>
      <w:r w:rsidR="00A03629">
        <w:t xml:space="preserve"> </w:t>
      </w:r>
      <w:r>
        <w:t>Executive</w:t>
      </w:r>
      <w:r w:rsidR="00A03629">
        <w:t xml:space="preserve"> </w:t>
      </w:r>
      <w:r>
        <w:t>Officer:</w:t>
      </w:r>
      <w:r w:rsidR="00A03629">
        <w:t xml:space="preserve"> </w:t>
      </w:r>
      <w:r>
        <w:t>Danni</w:t>
      </w:r>
      <w:r w:rsidR="00A03629">
        <w:t xml:space="preserve"> </w:t>
      </w:r>
      <w:r>
        <w:t>Jarrett</w:t>
      </w:r>
      <w:r w:rsidR="00A03629">
        <w:t xml:space="preserve"> </w:t>
      </w:r>
      <w:r>
        <w:t>(from</w:t>
      </w:r>
      <w:r w:rsidR="00A03629">
        <w:t xml:space="preserve"> </w:t>
      </w:r>
      <w:r>
        <w:t>1</w:t>
      </w:r>
      <w:r w:rsidR="00A03629">
        <w:t xml:space="preserve"> </w:t>
      </w:r>
      <w:r>
        <w:t>January</w:t>
      </w:r>
      <w:r w:rsidR="00A03629">
        <w:t xml:space="preserve"> </w:t>
      </w:r>
      <w:r>
        <w:t>2023)</w:t>
      </w:r>
    </w:p>
    <w:p w14:paraId="676C5734" w14:textId="0AA2AE7A" w:rsidR="000756EB" w:rsidRPr="007B6393" w:rsidRDefault="004A4D88" w:rsidP="007B6393">
      <w:pPr>
        <w:pStyle w:val="Normalbeforebullets"/>
      </w:pPr>
      <w:r w:rsidRPr="007B6393">
        <w:rPr>
          <w:b/>
          <w:bCs/>
        </w:rPr>
        <w:t>KMP</w:t>
      </w:r>
      <w:r w:rsidR="00A03629" w:rsidRPr="007B6393">
        <w:rPr>
          <w:b/>
          <w:bCs/>
        </w:rPr>
        <w:t xml:space="preserve"> </w:t>
      </w:r>
      <w:r w:rsidRPr="007B6393">
        <w:rPr>
          <w:b/>
          <w:bCs/>
        </w:rPr>
        <w:t>of</w:t>
      </w:r>
      <w:r w:rsidR="00A03629" w:rsidRPr="007B6393">
        <w:rPr>
          <w:b/>
          <w:bCs/>
        </w:rPr>
        <w:t xml:space="preserve"> </w:t>
      </w:r>
      <w:r w:rsidRPr="007B6393">
        <w:rPr>
          <w:b/>
          <w:bCs/>
        </w:rPr>
        <w:t>the</w:t>
      </w:r>
      <w:r w:rsidR="00A03629" w:rsidRPr="007B6393">
        <w:rPr>
          <w:b/>
          <w:bCs/>
        </w:rPr>
        <w:t xml:space="preserve"> </w:t>
      </w:r>
      <w:r w:rsidRPr="007B6393">
        <w:rPr>
          <w:b/>
          <w:bCs/>
        </w:rPr>
        <w:t>Administrative</w:t>
      </w:r>
      <w:r w:rsidR="00A03629" w:rsidRPr="007B6393">
        <w:rPr>
          <w:b/>
          <w:bCs/>
        </w:rPr>
        <w:t xml:space="preserve"> </w:t>
      </w:r>
      <w:r w:rsidRPr="007B6393">
        <w:rPr>
          <w:b/>
          <w:bCs/>
        </w:rPr>
        <w:t>Office</w:t>
      </w:r>
      <w:r w:rsidRPr="007B6393">
        <w:t>,</w:t>
      </w:r>
      <w:r w:rsidR="00A03629" w:rsidRPr="007B6393">
        <w:t xml:space="preserve"> </w:t>
      </w:r>
      <w:r w:rsidRPr="007B6393">
        <w:t>Victorian</w:t>
      </w:r>
      <w:r w:rsidR="00A03629" w:rsidRPr="007B6393">
        <w:t xml:space="preserve"> </w:t>
      </w:r>
      <w:r w:rsidRPr="007B6393">
        <w:t>Skills</w:t>
      </w:r>
      <w:r w:rsidR="00A03629" w:rsidRPr="007B6393">
        <w:t xml:space="preserve"> </w:t>
      </w:r>
      <w:r w:rsidRPr="007B6393">
        <w:t>Authority:</w:t>
      </w:r>
    </w:p>
    <w:p w14:paraId="425A6365" w14:textId="2B9AA633" w:rsidR="000756EB" w:rsidRPr="00560218" w:rsidRDefault="004A4D88" w:rsidP="007B6393">
      <w:pPr>
        <w:pStyle w:val="Bulletlast"/>
      </w:pPr>
      <w:r>
        <w:t>Chief</w:t>
      </w:r>
      <w:r w:rsidR="00A03629">
        <w:t xml:space="preserve"> </w:t>
      </w:r>
      <w:r>
        <w:t>Executive</w:t>
      </w:r>
      <w:r w:rsidR="00A03629">
        <w:t xml:space="preserve"> </w:t>
      </w:r>
      <w:r>
        <w:t>Officer,</w:t>
      </w:r>
      <w:r w:rsidR="00A03629">
        <w:t xml:space="preserve"> </w:t>
      </w:r>
      <w:r>
        <w:t>Office</w:t>
      </w:r>
      <w:r w:rsidR="00A03629">
        <w:t xml:space="preserve"> </w:t>
      </w:r>
      <w:r>
        <w:t>of</w:t>
      </w:r>
      <w:r w:rsidR="00A03629">
        <w:t xml:space="preserve"> </w:t>
      </w:r>
      <w:r>
        <w:t>the</w:t>
      </w:r>
      <w:r w:rsidR="00A03629">
        <w:t xml:space="preserve"> </w:t>
      </w:r>
      <w:r>
        <w:t>VSA:</w:t>
      </w:r>
      <w:r w:rsidR="00A03629">
        <w:t xml:space="preserve"> </w:t>
      </w:r>
      <w:r>
        <w:t>Craig</w:t>
      </w:r>
      <w:r w:rsidR="00A03629">
        <w:rPr>
          <w:rFonts w:ascii="Cambria" w:hAnsi="Cambria" w:cs="Cambria"/>
        </w:rPr>
        <w:t xml:space="preserve"> </w:t>
      </w:r>
      <w:r>
        <w:t>Robertson</w:t>
      </w:r>
      <w:r w:rsidR="00A03629">
        <w:t xml:space="preserve"> </w:t>
      </w:r>
      <w:r>
        <w:t>(from</w:t>
      </w:r>
      <w:r w:rsidR="00A03629">
        <w:t xml:space="preserve"> </w:t>
      </w:r>
      <w:r>
        <w:t>1</w:t>
      </w:r>
      <w:r w:rsidR="00A03629">
        <w:t xml:space="preserve"> </w:t>
      </w:r>
      <w:r>
        <w:t>January</w:t>
      </w:r>
      <w:r w:rsidR="00A03629">
        <w:t xml:space="preserve"> </w:t>
      </w:r>
      <w:r>
        <w:t>2023)</w:t>
      </w:r>
    </w:p>
    <w:p w14:paraId="20A3FD0C" w14:textId="09666A53" w:rsidR="000756EB" w:rsidRDefault="004A4D88" w:rsidP="007B6393">
      <w:pPr>
        <w:pStyle w:val="Normalbeforebullets"/>
      </w:pPr>
      <w:r w:rsidRPr="007B6393">
        <w:rPr>
          <w:b/>
          <w:bCs/>
        </w:rPr>
        <w:lastRenderedPageBreak/>
        <w:t>KMP</w:t>
      </w:r>
      <w:r w:rsidR="00A03629" w:rsidRPr="007B6393">
        <w:rPr>
          <w:b/>
          <w:bCs/>
        </w:rPr>
        <w:t xml:space="preserve"> </w:t>
      </w:r>
      <w:r w:rsidRPr="007B6393">
        <w:rPr>
          <w:b/>
          <w:bCs/>
        </w:rPr>
        <w:t>of</w:t>
      </w:r>
      <w:r w:rsidR="00A03629" w:rsidRPr="007B6393">
        <w:rPr>
          <w:b/>
          <w:bCs/>
        </w:rPr>
        <w:t xml:space="preserve"> </w:t>
      </w:r>
      <w:r w:rsidRPr="007B6393">
        <w:rPr>
          <w:b/>
          <w:bCs/>
        </w:rPr>
        <w:t>agencies</w:t>
      </w:r>
      <w:r w:rsidR="00A03629" w:rsidRPr="00560218">
        <w:t xml:space="preserve"> </w:t>
      </w:r>
      <w:r>
        <w:t>consolidated</w:t>
      </w:r>
      <w:r w:rsidR="00A03629">
        <w:t xml:space="preserve"> </w:t>
      </w:r>
      <w:r>
        <w:t>pursuant</w:t>
      </w:r>
      <w:r w:rsidR="00A03629">
        <w:t xml:space="preserve"> </w:t>
      </w:r>
      <w:r>
        <w:t>to</w:t>
      </w:r>
      <w:r w:rsidR="00A03629">
        <w:t xml:space="preserve"> </w:t>
      </w:r>
      <w:r>
        <w:t>section</w:t>
      </w:r>
      <w:r w:rsidR="00A03629">
        <w:t xml:space="preserve"> </w:t>
      </w:r>
      <w:r>
        <w:t>53(1)(b)</w:t>
      </w:r>
      <w:r w:rsidR="00A03629">
        <w:t xml:space="preserve"> </w:t>
      </w:r>
      <w:r>
        <w:t>of</w:t>
      </w:r>
      <w:r w:rsidR="00A03629">
        <w:t xml:space="preserve"> </w:t>
      </w:r>
      <w:r>
        <w:t>the</w:t>
      </w:r>
      <w:r w:rsidR="00A03629">
        <w:t xml:space="preserve"> </w:t>
      </w:r>
      <w:r>
        <w:t>FMA</w:t>
      </w:r>
      <w:r w:rsidR="00A03629">
        <w:t xml:space="preserve"> </w:t>
      </w:r>
      <w:r>
        <w:t>into</w:t>
      </w:r>
      <w:r w:rsidR="00A03629">
        <w:t xml:space="preserve"> </w:t>
      </w:r>
      <w:r>
        <w:t>the</w:t>
      </w:r>
      <w:r w:rsidR="00A03629">
        <w:t xml:space="preserve"> </w:t>
      </w:r>
      <w:r>
        <w:t>DJSIR’s</w:t>
      </w:r>
      <w:r w:rsidR="00A03629">
        <w:t xml:space="preserve"> </w:t>
      </w:r>
      <w:r>
        <w:t>financial</w:t>
      </w:r>
      <w:r w:rsidR="00A03629">
        <w:t xml:space="preserve"> </w:t>
      </w:r>
      <w:r>
        <w:t>statements</w:t>
      </w:r>
      <w:r w:rsidR="00A03629">
        <w:rPr>
          <w:rFonts w:ascii="Cambria" w:hAnsi="Cambria" w:cs="Cambria"/>
        </w:rPr>
        <w:t xml:space="preserve"> </w:t>
      </w:r>
      <w:r>
        <w:t>include:</w:t>
      </w:r>
    </w:p>
    <w:tbl>
      <w:tblPr>
        <w:tblStyle w:val="TableGrid"/>
        <w:tblW w:w="10201" w:type="dxa"/>
        <w:tblLayout w:type="fixed"/>
        <w:tblLook w:val="0020" w:firstRow="1" w:lastRow="0" w:firstColumn="0" w:lastColumn="0" w:noHBand="0" w:noVBand="0"/>
      </w:tblPr>
      <w:tblGrid>
        <w:gridCol w:w="4390"/>
        <w:gridCol w:w="5811"/>
      </w:tblGrid>
      <w:tr w:rsidR="000756EB" w14:paraId="4B970702" w14:textId="77777777" w:rsidTr="007B6393">
        <w:trPr>
          <w:trHeight w:val="60"/>
        </w:trPr>
        <w:tc>
          <w:tcPr>
            <w:tcW w:w="4390" w:type="dxa"/>
          </w:tcPr>
          <w:p w14:paraId="4E2F89A7" w14:textId="77777777" w:rsidR="000756EB" w:rsidRDefault="004A4D88" w:rsidP="007B6393">
            <w:pPr>
              <w:pStyle w:val="TableColumnHeading"/>
            </w:pPr>
            <w:bookmarkStart w:id="152" w:name="ColumnTitles_89"/>
            <w:bookmarkEnd w:id="152"/>
            <w:r>
              <w:t>Entity</w:t>
            </w:r>
          </w:p>
        </w:tc>
        <w:tc>
          <w:tcPr>
            <w:tcW w:w="5811" w:type="dxa"/>
          </w:tcPr>
          <w:p w14:paraId="10C0B2C6" w14:textId="37494C5C" w:rsidR="000756EB" w:rsidRDefault="004A4D88" w:rsidP="007B6393">
            <w:pPr>
              <w:pStyle w:val="TableColumnHeading"/>
            </w:pPr>
            <w:r>
              <w:t>Position</w:t>
            </w:r>
            <w:r w:rsidR="00A03629">
              <w:t xml:space="preserve"> </w:t>
            </w:r>
            <w:r>
              <w:t>title</w:t>
            </w:r>
            <w:r w:rsidR="00A03629">
              <w:t xml:space="preserve"> </w:t>
            </w:r>
            <w:r>
              <w:t>and</w:t>
            </w:r>
            <w:r w:rsidR="00A03629">
              <w:t xml:space="preserve"> </w:t>
            </w:r>
            <w:r>
              <w:t>Personnel</w:t>
            </w:r>
          </w:p>
        </w:tc>
      </w:tr>
      <w:tr w:rsidR="000756EB" w:rsidRPr="007B6393" w14:paraId="06A7A439" w14:textId="77777777" w:rsidTr="007B6393">
        <w:trPr>
          <w:trHeight w:val="60"/>
        </w:trPr>
        <w:tc>
          <w:tcPr>
            <w:tcW w:w="4390" w:type="dxa"/>
          </w:tcPr>
          <w:p w14:paraId="7BF4B097" w14:textId="262014C1" w:rsidR="000756EB" w:rsidRPr="007B6393" w:rsidRDefault="004A4D88" w:rsidP="007B6393">
            <w:pPr>
              <w:pStyle w:val="TableCopy"/>
            </w:pPr>
            <w:r w:rsidRPr="007B6393">
              <w:t>Rural</w:t>
            </w:r>
            <w:r w:rsidR="00A03629" w:rsidRPr="007B6393">
              <w:t xml:space="preserve"> </w:t>
            </w:r>
            <w:r w:rsidRPr="007B6393">
              <w:t>Assistance</w:t>
            </w:r>
            <w:r w:rsidR="00A03629" w:rsidRPr="007B6393">
              <w:t xml:space="preserve"> </w:t>
            </w:r>
            <w:r w:rsidRPr="007B6393">
              <w:t>Commissioner</w:t>
            </w:r>
            <w:r w:rsidR="00A03629" w:rsidRPr="007B6393">
              <w:t xml:space="preserve"> </w:t>
            </w:r>
            <w:r w:rsidRPr="00614829">
              <w:rPr>
                <w:rStyle w:val="FootnotereferencessuperscriptMisc"/>
              </w:rPr>
              <w:t>(</w:t>
            </w:r>
            <w:proofErr w:type="spellStart"/>
            <w:r w:rsidRPr="00614829">
              <w:rPr>
                <w:rStyle w:val="FootnotereferencessuperscriptMisc"/>
              </w:rPr>
              <w:t>i</w:t>
            </w:r>
            <w:proofErr w:type="spellEnd"/>
            <w:r w:rsidRPr="00614829">
              <w:rPr>
                <w:rStyle w:val="FootnotereferencessuperscriptMisc"/>
              </w:rPr>
              <w:t>)</w:t>
            </w:r>
            <w:r w:rsidR="00A03629" w:rsidRPr="00614829">
              <w:rPr>
                <w:rStyle w:val="FootnotereferencessuperscriptMisc"/>
              </w:rPr>
              <w:t xml:space="preserve"> </w:t>
            </w:r>
          </w:p>
        </w:tc>
        <w:tc>
          <w:tcPr>
            <w:tcW w:w="5811" w:type="dxa"/>
          </w:tcPr>
          <w:p w14:paraId="75277B07" w14:textId="763886AD" w:rsidR="000756EB" w:rsidRPr="007B6393" w:rsidRDefault="004A4D88" w:rsidP="007B6393">
            <w:pPr>
              <w:pStyle w:val="TableCopy"/>
            </w:pPr>
            <w:r w:rsidRPr="007B6393">
              <w:t>Commissioner:</w:t>
            </w:r>
            <w:r w:rsidR="00A03629" w:rsidRPr="007B6393">
              <w:t xml:space="preserve"> </w:t>
            </w:r>
            <w:r w:rsidRPr="007B6393">
              <w:t>Peter</w:t>
            </w:r>
            <w:r w:rsidR="00A03629" w:rsidRPr="007B6393">
              <w:t xml:space="preserve"> </w:t>
            </w:r>
            <w:r w:rsidRPr="007B6393">
              <w:t>Tuohey</w:t>
            </w:r>
            <w:r w:rsidR="00A03629" w:rsidRPr="007B6393">
              <w:t xml:space="preserve"> </w:t>
            </w:r>
            <w:r w:rsidRPr="007B6393">
              <w:t>(until</w:t>
            </w:r>
            <w:r w:rsidR="00A03629" w:rsidRPr="007B6393">
              <w:t xml:space="preserve"> </w:t>
            </w:r>
            <w:r w:rsidRPr="007B6393">
              <w:t>31</w:t>
            </w:r>
            <w:r w:rsidR="00A03629" w:rsidRPr="007B6393">
              <w:t xml:space="preserve"> </w:t>
            </w:r>
            <w:r w:rsidRPr="007B6393">
              <w:t>December</w:t>
            </w:r>
            <w:r w:rsidR="00A03629" w:rsidRPr="007B6393">
              <w:t xml:space="preserve"> </w:t>
            </w:r>
            <w:r w:rsidRPr="007B6393">
              <w:t>2022)</w:t>
            </w:r>
          </w:p>
        </w:tc>
      </w:tr>
      <w:tr w:rsidR="000756EB" w:rsidRPr="007B6393" w14:paraId="173A288E" w14:textId="77777777" w:rsidTr="007B6393">
        <w:trPr>
          <w:trHeight w:val="60"/>
        </w:trPr>
        <w:tc>
          <w:tcPr>
            <w:tcW w:w="4390" w:type="dxa"/>
          </w:tcPr>
          <w:p w14:paraId="6853C8BD" w14:textId="214DDD3A" w:rsidR="000756EB" w:rsidRPr="007B6393" w:rsidRDefault="004A4D88" w:rsidP="007B6393">
            <w:pPr>
              <w:pStyle w:val="TableCopy"/>
            </w:pPr>
            <w:r w:rsidRPr="007B6393">
              <w:t>Victorian</w:t>
            </w:r>
            <w:r w:rsidR="00A03629" w:rsidRPr="007B6393">
              <w:t xml:space="preserve"> </w:t>
            </w:r>
            <w:r w:rsidRPr="007B6393">
              <w:t>Racing</w:t>
            </w:r>
            <w:r w:rsidR="00A03629" w:rsidRPr="007B6393">
              <w:t xml:space="preserve"> </w:t>
            </w:r>
            <w:r w:rsidRPr="007B6393">
              <w:t>Tribunal</w:t>
            </w:r>
            <w:r w:rsidR="00A03629" w:rsidRPr="007B6393">
              <w:t xml:space="preserve"> </w:t>
            </w:r>
            <w:r w:rsidRPr="00614829">
              <w:rPr>
                <w:rStyle w:val="FootnotereferencessuperscriptMisc"/>
              </w:rPr>
              <w:t>(</w:t>
            </w:r>
            <w:proofErr w:type="spellStart"/>
            <w:r w:rsidRPr="00614829">
              <w:rPr>
                <w:rStyle w:val="FootnotereferencessuperscriptMisc"/>
              </w:rPr>
              <w:t>i</w:t>
            </w:r>
            <w:proofErr w:type="spellEnd"/>
            <w:r w:rsidRPr="00614829">
              <w:rPr>
                <w:rStyle w:val="FootnotereferencessuperscriptMisc"/>
              </w:rPr>
              <w:t>)</w:t>
            </w:r>
            <w:r w:rsidR="00A03629" w:rsidRPr="00614829">
              <w:rPr>
                <w:rStyle w:val="FootnotereferencessuperscriptMisc"/>
              </w:rPr>
              <w:t xml:space="preserve"> </w:t>
            </w:r>
          </w:p>
        </w:tc>
        <w:tc>
          <w:tcPr>
            <w:tcW w:w="5811" w:type="dxa"/>
          </w:tcPr>
          <w:p w14:paraId="7148F70A" w14:textId="37045DD1" w:rsidR="000756EB" w:rsidRPr="007B6393" w:rsidRDefault="004A4D88" w:rsidP="007B6393">
            <w:pPr>
              <w:pStyle w:val="TableCopy"/>
            </w:pPr>
            <w:r w:rsidRPr="007B6393">
              <w:t>Chairperson:</w:t>
            </w:r>
            <w:r w:rsidR="00A03629" w:rsidRPr="007B6393">
              <w:t xml:space="preserve"> </w:t>
            </w:r>
            <w:r w:rsidRPr="007B6393">
              <w:t>John</w:t>
            </w:r>
            <w:r w:rsidR="00A03629" w:rsidRPr="007B6393">
              <w:t xml:space="preserve"> </w:t>
            </w:r>
            <w:r w:rsidRPr="007B6393">
              <w:t>Bowman</w:t>
            </w:r>
            <w:r w:rsidR="00A03629" w:rsidRPr="007B6393">
              <w:t xml:space="preserve"> </w:t>
            </w:r>
            <w:r w:rsidRPr="007B6393">
              <w:t>(until</w:t>
            </w:r>
            <w:r w:rsidR="00A03629" w:rsidRPr="007B6393">
              <w:t xml:space="preserve"> </w:t>
            </w:r>
            <w:r w:rsidRPr="007B6393">
              <w:t>31</w:t>
            </w:r>
            <w:r w:rsidR="00A03629" w:rsidRPr="007B6393">
              <w:t xml:space="preserve"> </w:t>
            </w:r>
            <w:r w:rsidRPr="007B6393">
              <w:t>December</w:t>
            </w:r>
            <w:r w:rsidR="00A03629" w:rsidRPr="007B6393">
              <w:t xml:space="preserve"> </w:t>
            </w:r>
            <w:r w:rsidRPr="007B6393">
              <w:t>2022)</w:t>
            </w:r>
          </w:p>
        </w:tc>
      </w:tr>
      <w:tr w:rsidR="000756EB" w:rsidRPr="007B6393" w14:paraId="18338A33" w14:textId="77777777" w:rsidTr="007B6393">
        <w:trPr>
          <w:trHeight w:val="60"/>
        </w:trPr>
        <w:tc>
          <w:tcPr>
            <w:tcW w:w="4390" w:type="dxa"/>
          </w:tcPr>
          <w:p w14:paraId="2D32950C" w14:textId="1FFFD633" w:rsidR="000756EB" w:rsidRPr="007B6393" w:rsidRDefault="004A4D88" w:rsidP="007B6393">
            <w:pPr>
              <w:pStyle w:val="TableCopy"/>
            </w:pPr>
            <w:r w:rsidRPr="007B6393">
              <w:t>Victorian</w:t>
            </w:r>
            <w:r w:rsidR="00A03629" w:rsidRPr="007B6393">
              <w:t xml:space="preserve"> </w:t>
            </w:r>
            <w:r w:rsidRPr="007B6393">
              <w:t>Racing</w:t>
            </w:r>
            <w:r w:rsidR="00A03629" w:rsidRPr="007B6393">
              <w:t xml:space="preserve"> </w:t>
            </w:r>
            <w:r w:rsidRPr="007B6393">
              <w:t>Integrity</w:t>
            </w:r>
            <w:r w:rsidR="00A03629" w:rsidRPr="007B6393">
              <w:t xml:space="preserve"> </w:t>
            </w:r>
            <w:r w:rsidRPr="007B6393">
              <w:t>Board</w:t>
            </w:r>
            <w:r w:rsidR="00A03629" w:rsidRPr="007B6393">
              <w:t xml:space="preserve"> </w:t>
            </w:r>
            <w:r w:rsidRPr="00614829">
              <w:rPr>
                <w:rStyle w:val="FootnotereferencessuperscriptMisc"/>
              </w:rPr>
              <w:t>(</w:t>
            </w:r>
            <w:proofErr w:type="spellStart"/>
            <w:r w:rsidRPr="00614829">
              <w:rPr>
                <w:rStyle w:val="FootnotereferencessuperscriptMisc"/>
              </w:rPr>
              <w:t>i</w:t>
            </w:r>
            <w:proofErr w:type="spellEnd"/>
            <w:r w:rsidRPr="00614829">
              <w:rPr>
                <w:rStyle w:val="FootnotereferencessuperscriptMisc"/>
              </w:rPr>
              <w:t>)</w:t>
            </w:r>
            <w:r w:rsidR="00A03629" w:rsidRPr="007B6393">
              <w:t xml:space="preserve"> </w:t>
            </w:r>
          </w:p>
        </w:tc>
        <w:tc>
          <w:tcPr>
            <w:tcW w:w="5811" w:type="dxa"/>
          </w:tcPr>
          <w:p w14:paraId="088CAF73" w14:textId="1F7C0DE6" w:rsidR="000756EB" w:rsidRPr="007B6393" w:rsidRDefault="004A4D88" w:rsidP="007B6393">
            <w:pPr>
              <w:pStyle w:val="TableCopy"/>
            </w:pPr>
            <w:r w:rsidRPr="007B6393">
              <w:t>Chairperson:</w:t>
            </w:r>
            <w:r w:rsidR="00A03629" w:rsidRPr="007B6393">
              <w:t xml:space="preserve"> </w:t>
            </w:r>
            <w:r w:rsidRPr="007B6393">
              <w:t>Jack</w:t>
            </w:r>
            <w:r w:rsidR="00A03629" w:rsidRPr="007B6393">
              <w:t xml:space="preserve"> </w:t>
            </w:r>
            <w:r w:rsidRPr="007B6393">
              <w:t>Forrest</w:t>
            </w:r>
            <w:r w:rsidR="00A03629" w:rsidRPr="007B6393">
              <w:t xml:space="preserve"> </w:t>
            </w:r>
            <w:r w:rsidRPr="007B6393">
              <w:t>(until</w:t>
            </w:r>
            <w:r w:rsidR="00A03629" w:rsidRPr="007B6393">
              <w:t xml:space="preserve"> </w:t>
            </w:r>
            <w:r w:rsidRPr="007B6393">
              <w:t>31</w:t>
            </w:r>
            <w:r w:rsidR="00A03629" w:rsidRPr="007B6393">
              <w:t xml:space="preserve"> </w:t>
            </w:r>
            <w:r w:rsidRPr="007B6393">
              <w:t>December</w:t>
            </w:r>
            <w:r w:rsidR="00A03629" w:rsidRPr="007B6393">
              <w:t xml:space="preserve"> </w:t>
            </w:r>
            <w:r w:rsidRPr="007B6393">
              <w:t>2022)</w:t>
            </w:r>
          </w:p>
        </w:tc>
      </w:tr>
      <w:tr w:rsidR="000756EB" w:rsidRPr="007B6393" w14:paraId="521DC45D" w14:textId="77777777" w:rsidTr="007B6393">
        <w:trPr>
          <w:trHeight w:val="60"/>
        </w:trPr>
        <w:tc>
          <w:tcPr>
            <w:tcW w:w="4390" w:type="dxa"/>
          </w:tcPr>
          <w:p w14:paraId="0C497B94" w14:textId="1F62D630" w:rsidR="000756EB" w:rsidRPr="007B6393" w:rsidRDefault="004A4D88" w:rsidP="007B6393">
            <w:pPr>
              <w:pStyle w:val="TableCopy"/>
            </w:pPr>
            <w:r w:rsidRPr="007B6393">
              <w:t>Racing</w:t>
            </w:r>
            <w:r w:rsidR="00A03629" w:rsidRPr="007B6393">
              <w:t xml:space="preserve"> </w:t>
            </w:r>
            <w:r w:rsidRPr="007B6393">
              <w:t>Integrity</w:t>
            </w:r>
            <w:r w:rsidR="00A03629" w:rsidRPr="007B6393">
              <w:t xml:space="preserve"> </w:t>
            </w:r>
            <w:r w:rsidRPr="007B6393">
              <w:t>Commissioner</w:t>
            </w:r>
            <w:r w:rsidR="00A03629" w:rsidRPr="007B6393">
              <w:t xml:space="preserve"> </w:t>
            </w:r>
            <w:r w:rsidRPr="00614829">
              <w:rPr>
                <w:rStyle w:val="FootnotereferencessuperscriptMisc"/>
              </w:rPr>
              <w:t>(</w:t>
            </w:r>
            <w:proofErr w:type="spellStart"/>
            <w:r w:rsidRPr="00614829">
              <w:rPr>
                <w:rStyle w:val="FootnotereferencessuperscriptMisc"/>
              </w:rPr>
              <w:t>i</w:t>
            </w:r>
            <w:proofErr w:type="spellEnd"/>
            <w:r w:rsidRPr="00614829">
              <w:rPr>
                <w:rStyle w:val="FootnotereferencessuperscriptMisc"/>
              </w:rPr>
              <w:t>)</w:t>
            </w:r>
            <w:r w:rsidR="00A03629" w:rsidRPr="007B6393">
              <w:t xml:space="preserve"> </w:t>
            </w:r>
          </w:p>
        </w:tc>
        <w:tc>
          <w:tcPr>
            <w:tcW w:w="5811" w:type="dxa"/>
          </w:tcPr>
          <w:p w14:paraId="7A16A751" w14:textId="79A8806D" w:rsidR="000756EB" w:rsidRPr="007B6393" w:rsidRDefault="004A4D88" w:rsidP="007B6393">
            <w:pPr>
              <w:pStyle w:val="TableCopy"/>
            </w:pPr>
            <w:r w:rsidRPr="007B6393">
              <w:t>Commissioner:</w:t>
            </w:r>
            <w:r w:rsidR="00A03629" w:rsidRPr="007B6393">
              <w:t xml:space="preserve"> </w:t>
            </w:r>
            <w:r w:rsidRPr="007B6393">
              <w:t>Sean</w:t>
            </w:r>
            <w:r w:rsidR="00A03629" w:rsidRPr="007B6393">
              <w:t xml:space="preserve"> </w:t>
            </w:r>
            <w:r w:rsidRPr="007B6393">
              <w:t>Carroll</w:t>
            </w:r>
            <w:r w:rsidR="00A03629" w:rsidRPr="007B6393">
              <w:t xml:space="preserve"> </w:t>
            </w:r>
            <w:r w:rsidRPr="007B6393">
              <w:t>(until</w:t>
            </w:r>
            <w:r w:rsidR="00A03629" w:rsidRPr="007B6393">
              <w:t xml:space="preserve"> </w:t>
            </w:r>
            <w:r w:rsidRPr="007B6393">
              <w:t>31</w:t>
            </w:r>
            <w:r w:rsidR="00A03629" w:rsidRPr="007B6393">
              <w:t xml:space="preserve"> </w:t>
            </w:r>
            <w:r w:rsidRPr="007B6393">
              <w:t>December</w:t>
            </w:r>
            <w:r w:rsidR="00A03629" w:rsidRPr="007B6393">
              <w:t xml:space="preserve"> </w:t>
            </w:r>
            <w:r w:rsidRPr="007B6393">
              <w:t>2022)</w:t>
            </w:r>
          </w:p>
        </w:tc>
      </w:tr>
      <w:tr w:rsidR="000756EB" w:rsidRPr="007B6393" w14:paraId="2D98F4C0" w14:textId="77777777" w:rsidTr="007B6393">
        <w:trPr>
          <w:trHeight w:val="60"/>
        </w:trPr>
        <w:tc>
          <w:tcPr>
            <w:tcW w:w="4390" w:type="dxa"/>
          </w:tcPr>
          <w:p w14:paraId="5B02FA07" w14:textId="083F92DC" w:rsidR="000756EB" w:rsidRPr="007B6393" w:rsidRDefault="004A4D88" w:rsidP="007B6393">
            <w:pPr>
              <w:pStyle w:val="TableCopy"/>
            </w:pPr>
            <w:r w:rsidRPr="007B6393">
              <w:t>Mine</w:t>
            </w:r>
            <w:r w:rsidR="00A03629" w:rsidRPr="007B6393">
              <w:t xml:space="preserve"> </w:t>
            </w:r>
            <w:r w:rsidRPr="007B6393">
              <w:t>Land</w:t>
            </w:r>
            <w:r w:rsidR="00A03629" w:rsidRPr="007B6393">
              <w:t xml:space="preserve"> </w:t>
            </w:r>
            <w:r w:rsidRPr="007B6393">
              <w:t>Rehabilitation</w:t>
            </w:r>
            <w:r w:rsidR="00A03629" w:rsidRPr="007B6393">
              <w:t xml:space="preserve"> </w:t>
            </w:r>
            <w:r w:rsidRPr="007B6393">
              <w:t>Authority</w:t>
            </w:r>
            <w:r w:rsidR="00A03629" w:rsidRPr="007B6393">
              <w:t xml:space="preserve"> </w:t>
            </w:r>
            <w:r w:rsidRPr="00614829">
              <w:rPr>
                <w:rStyle w:val="FootnotereferencessuperscriptMisc"/>
              </w:rPr>
              <w:t>(</w:t>
            </w:r>
            <w:proofErr w:type="spellStart"/>
            <w:r w:rsidRPr="00614829">
              <w:rPr>
                <w:rStyle w:val="FootnotereferencessuperscriptMisc"/>
              </w:rPr>
              <w:t>i</w:t>
            </w:r>
            <w:proofErr w:type="spellEnd"/>
            <w:r w:rsidRPr="00614829">
              <w:rPr>
                <w:rStyle w:val="FootnotereferencessuperscriptMisc"/>
              </w:rPr>
              <w:t>)</w:t>
            </w:r>
            <w:r w:rsidR="00A03629" w:rsidRPr="007B6393">
              <w:t xml:space="preserve"> </w:t>
            </w:r>
          </w:p>
        </w:tc>
        <w:tc>
          <w:tcPr>
            <w:tcW w:w="5811" w:type="dxa"/>
          </w:tcPr>
          <w:p w14:paraId="1C3EBB02" w14:textId="3158C602" w:rsidR="000756EB" w:rsidRPr="007B6393" w:rsidRDefault="004A4D88" w:rsidP="007B6393">
            <w:pPr>
              <w:pStyle w:val="TableCopy"/>
            </w:pPr>
            <w:r w:rsidRPr="007B6393">
              <w:t>Chair:</w:t>
            </w:r>
            <w:r w:rsidR="00A03629" w:rsidRPr="007B6393">
              <w:t xml:space="preserve"> </w:t>
            </w:r>
            <w:r w:rsidRPr="007B6393">
              <w:t>Rae</w:t>
            </w:r>
            <w:r w:rsidR="00A03629" w:rsidRPr="007B6393">
              <w:t xml:space="preserve"> </w:t>
            </w:r>
            <w:r w:rsidRPr="007B6393">
              <w:t>Mackay</w:t>
            </w:r>
            <w:r w:rsidR="00A03629" w:rsidRPr="007B6393">
              <w:t xml:space="preserve"> </w:t>
            </w:r>
            <w:r w:rsidRPr="007B6393">
              <w:t>(until</w:t>
            </w:r>
            <w:r w:rsidR="00A03629" w:rsidRPr="007B6393">
              <w:t xml:space="preserve"> </w:t>
            </w:r>
            <w:r w:rsidRPr="007B6393">
              <w:t>31</w:t>
            </w:r>
            <w:r w:rsidR="00A03629" w:rsidRPr="007B6393">
              <w:t xml:space="preserve"> </w:t>
            </w:r>
            <w:r w:rsidRPr="007B6393">
              <w:t>December</w:t>
            </w:r>
            <w:r w:rsidR="00A03629" w:rsidRPr="007B6393">
              <w:t xml:space="preserve"> </w:t>
            </w:r>
            <w:r w:rsidRPr="007B6393">
              <w:t>2022)</w:t>
            </w:r>
          </w:p>
        </w:tc>
      </w:tr>
      <w:tr w:rsidR="000756EB" w:rsidRPr="007B6393" w14:paraId="40F5B69F" w14:textId="77777777" w:rsidTr="007B6393">
        <w:trPr>
          <w:trHeight w:val="60"/>
        </w:trPr>
        <w:tc>
          <w:tcPr>
            <w:tcW w:w="4390" w:type="dxa"/>
          </w:tcPr>
          <w:p w14:paraId="5FF225FE" w14:textId="208A3D0D" w:rsidR="000756EB" w:rsidRPr="007B6393" w:rsidRDefault="004A4D88" w:rsidP="007B6393">
            <w:pPr>
              <w:pStyle w:val="TableCopy"/>
            </w:pPr>
            <w:r w:rsidRPr="007B6393">
              <w:t>Secretary,</w:t>
            </w:r>
            <w:r w:rsidR="00A03629" w:rsidRPr="007B6393">
              <w:t xml:space="preserve"> </w:t>
            </w:r>
            <w:r w:rsidRPr="007B6393">
              <w:t>Project</w:t>
            </w:r>
            <w:r w:rsidR="00A03629" w:rsidRPr="007B6393">
              <w:t xml:space="preserve"> </w:t>
            </w:r>
            <w:r w:rsidRPr="007B6393">
              <w:t>Development</w:t>
            </w:r>
          </w:p>
        </w:tc>
        <w:tc>
          <w:tcPr>
            <w:tcW w:w="5811" w:type="dxa"/>
          </w:tcPr>
          <w:p w14:paraId="67A85C9C" w14:textId="7CE0AE14" w:rsidR="000756EB" w:rsidRPr="007B6393" w:rsidRDefault="004A4D88" w:rsidP="007B6393">
            <w:pPr>
              <w:pStyle w:val="TableCopy"/>
            </w:pPr>
            <w:r w:rsidRPr="007B6393">
              <w:t>Secretary:</w:t>
            </w:r>
            <w:r w:rsidR="00A03629" w:rsidRPr="007B6393">
              <w:t xml:space="preserve"> </w:t>
            </w:r>
            <w:r w:rsidRPr="007B6393">
              <w:t>Tim</w:t>
            </w:r>
            <w:r w:rsidR="00A03629" w:rsidRPr="007B6393">
              <w:t xml:space="preserve"> </w:t>
            </w:r>
            <w:r w:rsidRPr="007B6393">
              <w:t>Ada</w:t>
            </w:r>
            <w:r w:rsidR="00A03629" w:rsidRPr="007B6393">
              <w:t xml:space="preserve"> </w:t>
            </w:r>
            <w:r w:rsidRPr="007B6393">
              <w:br/>
              <w:t>(from</w:t>
            </w:r>
            <w:r w:rsidR="00A03629" w:rsidRPr="007B6393">
              <w:t xml:space="preserve"> </w:t>
            </w:r>
            <w:r w:rsidRPr="007B6393">
              <w:t>27</w:t>
            </w:r>
            <w:r w:rsidR="00A03629" w:rsidRPr="007B6393">
              <w:t xml:space="preserve"> </w:t>
            </w:r>
            <w:r w:rsidRPr="007B6393">
              <w:t>March</w:t>
            </w:r>
            <w:r w:rsidR="00A03629" w:rsidRPr="007B6393">
              <w:t xml:space="preserve"> </w:t>
            </w:r>
            <w:r w:rsidRPr="007B6393">
              <w:t>2023)</w:t>
            </w:r>
            <w:r w:rsidRPr="007B6393">
              <w:br/>
              <w:t>Secretary:</w:t>
            </w:r>
            <w:r w:rsidR="00A03629" w:rsidRPr="007B6393">
              <w:t xml:space="preserve"> </w:t>
            </w:r>
            <w:r w:rsidRPr="007B6393">
              <w:t>Lill</w:t>
            </w:r>
            <w:r w:rsidR="00A03629" w:rsidRPr="007B6393">
              <w:t xml:space="preserve"> </w:t>
            </w:r>
            <w:r w:rsidRPr="007B6393">
              <w:t>Healy</w:t>
            </w:r>
            <w:r w:rsidR="00A03629" w:rsidRPr="007B6393">
              <w:t xml:space="preserve"> </w:t>
            </w:r>
            <w:r w:rsidRPr="007B6393">
              <w:br/>
              <w:t>(from</w:t>
            </w:r>
            <w:r w:rsidR="00A03629" w:rsidRPr="007B6393">
              <w:t xml:space="preserve"> </w:t>
            </w:r>
            <w:r w:rsidRPr="007B6393">
              <w:t>11</w:t>
            </w:r>
            <w:r w:rsidR="00A03629" w:rsidRPr="007B6393">
              <w:t xml:space="preserve"> </w:t>
            </w:r>
            <w:r w:rsidRPr="007B6393">
              <w:t>March</w:t>
            </w:r>
            <w:r w:rsidR="00A03629" w:rsidRPr="007B6393">
              <w:t xml:space="preserve"> </w:t>
            </w:r>
            <w:r w:rsidRPr="007B6393">
              <w:t>2023</w:t>
            </w:r>
            <w:r w:rsidR="00A03629" w:rsidRPr="007B6393">
              <w:t xml:space="preserve"> </w:t>
            </w:r>
            <w:r w:rsidRPr="007B6393">
              <w:t>to</w:t>
            </w:r>
            <w:r w:rsidR="00A03629" w:rsidRPr="007B6393">
              <w:t xml:space="preserve"> </w:t>
            </w:r>
            <w:r w:rsidRPr="007B6393">
              <w:t>26</w:t>
            </w:r>
            <w:r w:rsidR="00A03629" w:rsidRPr="007B6393">
              <w:t xml:space="preserve"> </w:t>
            </w:r>
            <w:r w:rsidRPr="007B6393">
              <w:t>March</w:t>
            </w:r>
            <w:r w:rsidR="00A03629" w:rsidRPr="007B6393">
              <w:t xml:space="preserve"> </w:t>
            </w:r>
            <w:r w:rsidRPr="007B6393">
              <w:t>2023)</w:t>
            </w:r>
            <w:r w:rsidRPr="007B6393">
              <w:br/>
              <w:t>Secretary:</w:t>
            </w:r>
            <w:r w:rsidR="00A03629" w:rsidRPr="007B6393">
              <w:t xml:space="preserve"> </w:t>
            </w:r>
            <w:r w:rsidRPr="007B6393">
              <w:t>Penelope</w:t>
            </w:r>
            <w:r w:rsidR="00A03629" w:rsidRPr="007B6393">
              <w:t xml:space="preserve"> </w:t>
            </w:r>
            <w:r w:rsidRPr="007B6393">
              <w:t>McKay</w:t>
            </w:r>
            <w:r w:rsidR="00A03629" w:rsidRPr="007B6393">
              <w:t xml:space="preserve"> </w:t>
            </w:r>
            <w:r w:rsidRPr="007B6393">
              <w:br/>
              <w:t>(from</w:t>
            </w:r>
            <w:r w:rsidR="00A03629" w:rsidRPr="007B6393">
              <w:t xml:space="preserve"> </w:t>
            </w:r>
            <w:r w:rsidRPr="007B6393">
              <w:t>6</w:t>
            </w:r>
            <w:r w:rsidR="00A03629" w:rsidRPr="007B6393">
              <w:t xml:space="preserve"> </w:t>
            </w:r>
            <w:r w:rsidRPr="007B6393">
              <w:t>December</w:t>
            </w:r>
            <w:r w:rsidR="00A03629" w:rsidRPr="007B6393">
              <w:t xml:space="preserve"> </w:t>
            </w:r>
            <w:r w:rsidRPr="007B6393">
              <w:t>2022</w:t>
            </w:r>
            <w:r w:rsidR="00A03629" w:rsidRPr="007B6393">
              <w:t xml:space="preserve"> </w:t>
            </w:r>
            <w:r w:rsidRPr="007B6393">
              <w:t>to</w:t>
            </w:r>
            <w:r w:rsidR="00A03629" w:rsidRPr="007B6393">
              <w:t xml:space="preserve"> </w:t>
            </w:r>
            <w:r w:rsidRPr="007B6393">
              <w:t>10</w:t>
            </w:r>
            <w:r w:rsidR="00A03629" w:rsidRPr="007B6393">
              <w:t xml:space="preserve"> </w:t>
            </w:r>
            <w:r w:rsidRPr="007B6393">
              <w:t>March</w:t>
            </w:r>
            <w:r w:rsidR="00A03629" w:rsidRPr="007B6393">
              <w:t xml:space="preserve"> </w:t>
            </w:r>
            <w:r w:rsidRPr="007B6393">
              <w:t>2023)</w:t>
            </w:r>
            <w:r w:rsidRPr="007B6393">
              <w:br/>
              <w:t>Secretary:</w:t>
            </w:r>
            <w:r w:rsidR="00A03629" w:rsidRPr="007B6393">
              <w:t xml:space="preserve"> </w:t>
            </w:r>
            <w:r w:rsidRPr="007B6393">
              <w:t>Simon</w:t>
            </w:r>
            <w:r w:rsidR="00A03629" w:rsidRPr="007B6393">
              <w:t xml:space="preserve"> </w:t>
            </w:r>
            <w:r w:rsidRPr="007B6393">
              <w:t>Phemister</w:t>
            </w:r>
            <w:r w:rsidR="00A03629" w:rsidRPr="007B6393">
              <w:t xml:space="preserve"> </w:t>
            </w:r>
            <w:r w:rsidRPr="007B6393">
              <w:t>(until</w:t>
            </w:r>
            <w:r w:rsidR="00A03629" w:rsidRPr="007B6393">
              <w:t xml:space="preserve"> </w:t>
            </w:r>
            <w:r w:rsidRPr="007B6393">
              <w:t>5</w:t>
            </w:r>
            <w:r w:rsidR="00A03629" w:rsidRPr="007B6393">
              <w:t xml:space="preserve"> </w:t>
            </w:r>
            <w:r w:rsidRPr="007B6393">
              <w:t>December</w:t>
            </w:r>
            <w:r w:rsidR="00A03629" w:rsidRPr="007B6393">
              <w:t xml:space="preserve"> </w:t>
            </w:r>
            <w:r w:rsidRPr="007B6393">
              <w:t>2022)</w:t>
            </w:r>
          </w:p>
        </w:tc>
      </w:tr>
    </w:tbl>
    <w:p w14:paraId="2C202FC1" w14:textId="48C5B5E7" w:rsidR="000756EB" w:rsidRDefault="007B6393" w:rsidP="007B6393">
      <w:pPr>
        <w:pStyle w:val="FootnoteText"/>
        <w:spacing w:before="120" w:after="280"/>
        <w:rPr>
          <w:rFonts w:ascii="VIC Light" w:hAnsi="VIC Light" w:cs="VIC Light"/>
        </w:rPr>
      </w:pPr>
      <w:r>
        <w:t>(</w:t>
      </w:r>
      <w:proofErr w:type="spellStart"/>
      <w:r>
        <w:t>i</w:t>
      </w:r>
      <w:proofErr w:type="spellEnd"/>
      <w:r>
        <w:t>) These entities were transferred out to other Departments from 1 January 2023 as result of the machinery of government (</w:t>
      </w:r>
      <w:proofErr w:type="spellStart"/>
      <w:r>
        <w:t>MoG</w:t>
      </w:r>
      <w:proofErr w:type="spellEnd"/>
      <w:r>
        <w:t>) changes.</w:t>
      </w:r>
    </w:p>
    <w:p w14:paraId="24FB812B" w14:textId="69D3EB2A" w:rsidR="000756EB" w:rsidRDefault="004A4D88" w:rsidP="00085D09">
      <w:r>
        <w:t>The</w:t>
      </w:r>
      <w:r w:rsidR="00A03629">
        <w:t xml:space="preserve"> </w:t>
      </w:r>
      <w:r>
        <w:t>compensation</w:t>
      </w:r>
      <w:r w:rsidR="00A03629">
        <w:t xml:space="preserve"> </w:t>
      </w:r>
      <w:r>
        <w:t>detailed</w:t>
      </w:r>
      <w:r w:rsidR="00A03629">
        <w:t xml:space="preserve"> </w:t>
      </w:r>
      <w:r>
        <w:t>below</w:t>
      </w:r>
      <w:r w:rsidR="00A03629">
        <w:t xml:space="preserve"> </w:t>
      </w:r>
      <w:r>
        <w:t>excludes</w:t>
      </w:r>
      <w:r w:rsidR="00A03629">
        <w:t xml:space="preserve"> </w:t>
      </w:r>
      <w:r>
        <w:t>the</w:t>
      </w:r>
      <w:r w:rsidR="00A03629">
        <w:t xml:space="preserve"> </w:t>
      </w:r>
      <w:r>
        <w:t>salaries</w:t>
      </w:r>
      <w:r w:rsidR="00A03629">
        <w:t xml:space="preserve"> </w:t>
      </w:r>
      <w:r>
        <w:t>and</w:t>
      </w:r>
      <w:r w:rsidR="00A03629">
        <w:t xml:space="preserve"> </w:t>
      </w:r>
      <w:r>
        <w:t>benefits</w:t>
      </w:r>
      <w:r w:rsidR="00A03629">
        <w:t xml:space="preserve"> </w:t>
      </w:r>
      <w:r>
        <w:t>the</w:t>
      </w:r>
      <w:r w:rsidR="00A03629">
        <w:t xml:space="preserve"> </w:t>
      </w:r>
      <w:r>
        <w:t>portfolio</w:t>
      </w:r>
      <w:r w:rsidR="00A03629">
        <w:t xml:space="preserve"> </w:t>
      </w:r>
      <w:proofErr w:type="gramStart"/>
      <w:r>
        <w:t>minister’s</w:t>
      </w:r>
      <w:proofErr w:type="gramEnd"/>
      <w:r w:rsidR="00A03629">
        <w:t xml:space="preserve"> </w:t>
      </w:r>
      <w:r>
        <w:t>receives.</w:t>
      </w:r>
      <w:r w:rsidR="00A03629">
        <w:t xml:space="preserve"> </w:t>
      </w:r>
      <w:r>
        <w:t>The</w:t>
      </w:r>
      <w:r w:rsidR="00A03629">
        <w:rPr>
          <w:rFonts w:ascii="Cambria" w:hAnsi="Cambria" w:cs="Cambria"/>
        </w:rPr>
        <w:t xml:space="preserve"> </w:t>
      </w:r>
      <w:r>
        <w:t>Minister’s</w:t>
      </w:r>
      <w:r w:rsidR="00A03629">
        <w:t xml:space="preserve"> </w:t>
      </w:r>
      <w:r>
        <w:t>remuneration</w:t>
      </w:r>
      <w:r w:rsidR="00A03629">
        <w:t xml:space="preserve"> </w:t>
      </w:r>
      <w:r>
        <w:t>and</w:t>
      </w:r>
      <w:r w:rsidR="00A03629">
        <w:t xml:space="preserve"> </w:t>
      </w:r>
      <w:r>
        <w:t>allowances</w:t>
      </w:r>
      <w:r w:rsidR="00A03629">
        <w:t xml:space="preserve"> </w:t>
      </w:r>
      <w:r>
        <w:t>is</w:t>
      </w:r>
      <w:r w:rsidR="00A03629">
        <w:t xml:space="preserve"> </w:t>
      </w:r>
      <w:r>
        <w:t>set</w:t>
      </w:r>
      <w:r w:rsidR="00A03629">
        <w:t xml:space="preserve"> </w:t>
      </w:r>
      <w:r>
        <w:t>by</w:t>
      </w:r>
      <w:r w:rsidR="00A03629">
        <w:t xml:space="preserve"> </w:t>
      </w:r>
      <w:r>
        <w:t>the</w:t>
      </w:r>
      <w:r w:rsidR="00A03629">
        <w:t xml:space="preserve"> </w:t>
      </w:r>
      <w:r w:rsidRPr="00085D09">
        <w:rPr>
          <w:i/>
          <w:iCs/>
        </w:rPr>
        <w:t>Parliamentary</w:t>
      </w:r>
      <w:r w:rsidR="00A03629" w:rsidRPr="00085D09">
        <w:rPr>
          <w:i/>
          <w:iCs/>
        </w:rPr>
        <w:t xml:space="preserve"> </w:t>
      </w:r>
      <w:r w:rsidRPr="00085D09">
        <w:rPr>
          <w:i/>
          <w:iCs/>
        </w:rPr>
        <w:t>Salaries</w:t>
      </w:r>
      <w:r w:rsidR="00A03629" w:rsidRPr="00085D09">
        <w:rPr>
          <w:i/>
          <w:iCs/>
        </w:rPr>
        <w:t xml:space="preserve"> </w:t>
      </w:r>
      <w:r w:rsidRPr="00085D09">
        <w:rPr>
          <w:i/>
          <w:iCs/>
        </w:rPr>
        <w:t>and</w:t>
      </w:r>
      <w:r w:rsidR="00A03629" w:rsidRPr="00085D09">
        <w:rPr>
          <w:i/>
          <w:iCs/>
        </w:rPr>
        <w:t xml:space="preserve"> </w:t>
      </w:r>
      <w:r w:rsidRPr="00085D09">
        <w:rPr>
          <w:i/>
          <w:iCs/>
        </w:rPr>
        <w:t>Superannuation</w:t>
      </w:r>
      <w:r w:rsidR="00A03629" w:rsidRPr="00085D09">
        <w:rPr>
          <w:i/>
          <w:iCs/>
        </w:rPr>
        <w:t xml:space="preserve"> </w:t>
      </w:r>
      <w:r w:rsidRPr="00085D09">
        <w:rPr>
          <w:i/>
          <w:iCs/>
        </w:rPr>
        <w:t>Act</w:t>
      </w:r>
      <w:r w:rsidR="00A03629" w:rsidRPr="00085D09">
        <w:rPr>
          <w:i/>
          <w:iCs/>
        </w:rPr>
        <w:t xml:space="preserve"> </w:t>
      </w:r>
      <w:r w:rsidRPr="00085D09">
        <w:rPr>
          <w:i/>
          <w:iCs/>
        </w:rPr>
        <w:t>1968</w:t>
      </w:r>
      <w:r w:rsidR="00A03629" w:rsidRPr="00085D09">
        <w:rPr>
          <w:i/>
          <w:iCs/>
        </w:rPr>
        <w:t xml:space="preserve"> </w:t>
      </w:r>
      <w:r>
        <w:t>and</w:t>
      </w:r>
      <w:r w:rsidR="00A03629">
        <w:t xml:space="preserve"> </w:t>
      </w:r>
      <w:r>
        <w:t>are</w:t>
      </w:r>
      <w:r w:rsidR="00A03629">
        <w:t xml:space="preserve"> </w:t>
      </w:r>
      <w:r>
        <w:t>reported</w:t>
      </w:r>
      <w:r w:rsidR="00A03629">
        <w:t xml:space="preserve"> </w:t>
      </w:r>
      <w:r>
        <w:t>within</w:t>
      </w:r>
      <w:r w:rsidR="00A03629">
        <w:t xml:space="preserve"> </w:t>
      </w:r>
      <w:r>
        <w:t>the</w:t>
      </w:r>
      <w:r w:rsidR="00A03629">
        <w:t xml:space="preserve"> </w:t>
      </w:r>
      <w:r>
        <w:t>State’s</w:t>
      </w:r>
      <w:r w:rsidR="00A03629">
        <w:t xml:space="preserve"> </w:t>
      </w:r>
      <w:r>
        <w:t>Annual</w:t>
      </w:r>
      <w:r w:rsidR="00A03629">
        <w:t xml:space="preserve"> </w:t>
      </w:r>
      <w:r>
        <w:t>Financial</w:t>
      </w:r>
      <w:r w:rsidR="00A03629">
        <w:t xml:space="preserve"> </w:t>
      </w:r>
      <w:r>
        <w:t>Report.</w:t>
      </w:r>
    </w:p>
    <w:p w14:paraId="5F971C3F" w14:textId="0027B790" w:rsidR="000756EB" w:rsidRPr="00085D09" w:rsidRDefault="004A4D88" w:rsidP="00085D09">
      <w:pPr>
        <w:pStyle w:val="Normalbeforebullets"/>
        <w:rPr>
          <w:b/>
          <w:bCs/>
        </w:rPr>
      </w:pPr>
      <w:r w:rsidRPr="00085D09">
        <w:rPr>
          <w:b/>
          <w:bCs/>
        </w:rPr>
        <w:t>Compensation</w:t>
      </w:r>
      <w:r w:rsidR="00A03629" w:rsidRPr="00085D09">
        <w:rPr>
          <w:b/>
          <w:bCs/>
        </w:rPr>
        <w:t xml:space="preserve"> </w:t>
      </w:r>
      <w:r w:rsidRPr="00085D09">
        <w:rPr>
          <w:b/>
          <w:bCs/>
        </w:rPr>
        <w:t>of</w:t>
      </w:r>
      <w:r w:rsidR="00A03629" w:rsidRPr="00085D09">
        <w:rPr>
          <w:b/>
          <w:bCs/>
        </w:rPr>
        <w:t xml:space="preserve"> </w:t>
      </w:r>
      <w:r w:rsidRPr="00085D09">
        <w:rPr>
          <w:b/>
          <w:bCs/>
        </w:rPr>
        <w:t>key</w:t>
      </w:r>
      <w:r w:rsidR="00A03629" w:rsidRPr="00085D09">
        <w:rPr>
          <w:b/>
          <w:bCs/>
        </w:rPr>
        <w:t xml:space="preserve"> </w:t>
      </w:r>
      <w:r w:rsidRPr="00085D09">
        <w:rPr>
          <w:b/>
          <w:bCs/>
        </w:rPr>
        <w:t>management</w:t>
      </w:r>
      <w:r w:rsidR="00A03629" w:rsidRPr="00085D09">
        <w:rPr>
          <w:b/>
          <w:bCs/>
        </w:rPr>
        <w:t xml:space="preserve"> </w:t>
      </w:r>
      <w:r w:rsidRPr="00085D09">
        <w:rPr>
          <w:b/>
          <w:bCs/>
        </w:rPr>
        <w:t>personnel</w:t>
      </w:r>
    </w:p>
    <w:tbl>
      <w:tblPr>
        <w:tblStyle w:val="TableGrid"/>
        <w:tblW w:w="10201" w:type="dxa"/>
        <w:tblLayout w:type="fixed"/>
        <w:tblLook w:val="0020" w:firstRow="1" w:lastRow="0" w:firstColumn="0" w:lastColumn="0" w:noHBand="0" w:noVBand="0"/>
      </w:tblPr>
      <w:tblGrid>
        <w:gridCol w:w="3515"/>
        <w:gridCol w:w="1531"/>
        <w:gridCol w:w="1530"/>
        <w:gridCol w:w="1812"/>
        <w:gridCol w:w="1813"/>
      </w:tblGrid>
      <w:tr w:rsidR="000756EB" w:rsidRPr="00085D09" w14:paraId="2FBD6AE5" w14:textId="77777777" w:rsidTr="00085D09">
        <w:trPr>
          <w:trHeight w:val="60"/>
          <w:tblHeader/>
        </w:trPr>
        <w:tc>
          <w:tcPr>
            <w:tcW w:w="3515" w:type="dxa"/>
          </w:tcPr>
          <w:p w14:paraId="7922757E" w14:textId="77777777" w:rsidR="000756EB" w:rsidRPr="00085D09" w:rsidRDefault="000756EB" w:rsidP="00085D09">
            <w:pPr>
              <w:pStyle w:val="TableColumnHeading"/>
              <w:rPr>
                <w:sz w:val="20"/>
                <w:szCs w:val="28"/>
              </w:rPr>
            </w:pPr>
            <w:bookmarkStart w:id="153" w:name="ColumnTitles_90"/>
            <w:bookmarkEnd w:id="153"/>
          </w:p>
        </w:tc>
        <w:tc>
          <w:tcPr>
            <w:tcW w:w="1531" w:type="dxa"/>
          </w:tcPr>
          <w:p w14:paraId="3A0255B7" w14:textId="316448E7" w:rsidR="000756EB" w:rsidRPr="00085D09" w:rsidRDefault="00085D09" w:rsidP="00085D09">
            <w:pPr>
              <w:pStyle w:val="TableColumnHeading"/>
              <w:jc w:val="right"/>
              <w:rPr>
                <w:sz w:val="20"/>
                <w:szCs w:val="28"/>
              </w:rPr>
            </w:pPr>
            <w:r w:rsidRPr="00085D09">
              <w:rPr>
                <w:sz w:val="20"/>
                <w:szCs w:val="28"/>
              </w:rPr>
              <w:t xml:space="preserve">2023 </w:t>
            </w:r>
            <w:r w:rsidR="004A4D88" w:rsidRPr="00085D09">
              <w:rPr>
                <w:sz w:val="20"/>
                <w:szCs w:val="28"/>
              </w:rPr>
              <w:t>DJSIR</w:t>
            </w:r>
            <w:r w:rsidR="00A03629" w:rsidRPr="00085D09">
              <w:rPr>
                <w:sz w:val="20"/>
                <w:szCs w:val="28"/>
              </w:rPr>
              <w:t xml:space="preserve"> </w:t>
            </w:r>
            <w:r w:rsidR="004A4D88" w:rsidRPr="00614829">
              <w:rPr>
                <w:rStyle w:val="FootnotereferencessuperscriptMisc"/>
                <w:sz w:val="20"/>
                <w:szCs w:val="28"/>
              </w:rPr>
              <w:t>(iii)</w:t>
            </w:r>
            <w:r w:rsidRPr="00085D09">
              <w:rPr>
                <w:sz w:val="20"/>
                <w:szCs w:val="28"/>
              </w:rPr>
              <w:t xml:space="preserve"> ($ thousand)</w:t>
            </w:r>
          </w:p>
        </w:tc>
        <w:tc>
          <w:tcPr>
            <w:tcW w:w="1530" w:type="dxa"/>
          </w:tcPr>
          <w:p w14:paraId="069F1989" w14:textId="7D143209" w:rsidR="000756EB" w:rsidRPr="00085D09" w:rsidRDefault="00085D09" w:rsidP="00085D09">
            <w:pPr>
              <w:pStyle w:val="TableColumnHeading"/>
              <w:jc w:val="right"/>
              <w:rPr>
                <w:sz w:val="20"/>
                <w:szCs w:val="28"/>
              </w:rPr>
            </w:pPr>
            <w:r w:rsidRPr="00085D09">
              <w:rPr>
                <w:sz w:val="20"/>
                <w:szCs w:val="28"/>
              </w:rPr>
              <w:t xml:space="preserve">2022 </w:t>
            </w:r>
            <w:r w:rsidR="004A4D88" w:rsidRPr="00085D09">
              <w:rPr>
                <w:sz w:val="20"/>
                <w:szCs w:val="28"/>
              </w:rPr>
              <w:t>DJSIR</w:t>
            </w:r>
            <w:r w:rsidR="00A03629" w:rsidRPr="00085D09">
              <w:rPr>
                <w:sz w:val="20"/>
                <w:szCs w:val="28"/>
              </w:rPr>
              <w:t xml:space="preserve"> </w:t>
            </w:r>
            <w:r w:rsidR="004A4D88" w:rsidRPr="00614829">
              <w:rPr>
                <w:rStyle w:val="FootnotereferencessuperscriptMisc"/>
                <w:sz w:val="20"/>
                <w:szCs w:val="28"/>
              </w:rPr>
              <w:t>(iii)</w:t>
            </w:r>
            <w:r w:rsidRPr="00085D09">
              <w:rPr>
                <w:sz w:val="20"/>
                <w:szCs w:val="28"/>
              </w:rPr>
              <w:t xml:space="preserve"> ($ thousand)</w:t>
            </w:r>
          </w:p>
        </w:tc>
        <w:tc>
          <w:tcPr>
            <w:tcW w:w="1812" w:type="dxa"/>
          </w:tcPr>
          <w:p w14:paraId="20A35E42" w14:textId="62786512" w:rsidR="000756EB" w:rsidRPr="00085D09" w:rsidRDefault="00085D09" w:rsidP="00085D09">
            <w:pPr>
              <w:pStyle w:val="TableColumnHeading"/>
              <w:jc w:val="right"/>
              <w:rPr>
                <w:sz w:val="20"/>
                <w:szCs w:val="28"/>
              </w:rPr>
            </w:pPr>
            <w:r w:rsidRPr="00085D09">
              <w:rPr>
                <w:sz w:val="20"/>
                <w:szCs w:val="28"/>
              </w:rPr>
              <w:t xml:space="preserve">2023 </w:t>
            </w:r>
            <w:r w:rsidR="004A4D88" w:rsidRPr="00085D09">
              <w:rPr>
                <w:sz w:val="20"/>
                <w:szCs w:val="28"/>
              </w:rPr>
              <w:t>Administrative</w:t>
            </w:r>
            <w:r w:rsidR="00A03629" w:rsidRPr="00085D09">
              <w:rPr>
                <w:sz w:val="20"/>
                <w:szCs w:val="28"/>
              </w:rPr>
              <w:t xml:space="preserve"> </w:t>
            </w:r>
            <w:r w:rsidR="004A4D88" w:rsidRPr="00085D09">
              <w:rPr>
                <w:sz w:val="20"/>
                <w:szCs w:val="28"/>
              </w:rPr>
              <w:t>offices</w:t>
            </w:r>
            <w:r w:rsidR="00A03629" w:rsidRPr="00085D09">
              <w:rPr>
                <w:sz w:val="20"/>
                <w:szCs w:val="28"/>
              </w:rPr>
              <w:t xml:space="preserve"> </w:t>
            </w:r>
            <w:r w:rsidR="004A4D88" w:rsidRPr="00085D09">
              <w:rPr>
                <w:sz w:val="20"/>
                <w:szCs w:val="28"/>
              </w:rPr>
              <w:t>and</w:t>
            </w:r>
            <w:r w:rsidR="00A03629" w:rsidRPr="00085D09">
              <w:rPr>
                <w:sz w:val="20"/>
                <w:szCs w:val="28"/>
              </w:rPr>
              <w:t xml:space="preserve"> </w:t>
            </w:r>
            <w:r w:rsidR="004A4D88" w:rsidRPr="00085D09">
              <w:rPr>
                <w:sz w:val="20"/>
                <w:szCs w:val="28"/>
              </w:rPr>
              <w:t>section</w:t>
            </w:r>
            <w:r w:rsidR="00A03629" w:rsidRPr="00085D09">
              <w:rPr>
                <w:sz w:val="20"/>
                <w:szCs w:val="28"/>
              </w:rPr>
              <w:t xml:space="preserve"> </w:t>
            </w:r>
            <w:r w:rsidR="004A4D88" w:rsidRPr="00085D09">
              <w:rPr>
                <w:sz w:val="20"/>
                <w:szCs w:val="28"/>
              </w:rPr>
              <w:t>53</w:t>
            </w:r>
            <w:r w:rsidRPr="00085D09">
              <w:rPr>
                <w:sz w:val="20"/>
                <w:szCs w:val="28"/>
              </w:rPr>
              <w:t xml:space="preserve"> ($</w:t>
            </w:r>
            <w:r>
              <w:rPr>
                <w:sz w:val="20"/>
                <w:szCs w:val="28"/>
              </w:rPr>
              <w:t> </w:t>
            </w:r>
            <w:r w:rsidRPr="00085D09">
              <w:rPr>
                <w:sz w:val="20"/>
                <w:szCs w:val="28"/>
              </w:rPr>
              <w:t>thousand)</w:t>
            </w:r>
            <w:r w:rsidR="00A03629" w:rsidRPr="00085D09">
              <w:rPr>
                <w:sz w:val="20"/>
                <w:szCs w:val="28"/>
              </w:rPr>
              <w:t xml:space="preserve"> </w:t>
            </w:r>
          </w:p>
        </w:tc>
        <w:tc>
          <w:tcPr>
            <w:tcW w:w="1813" w:type="dxa"/>
          </w:tcPr>
          <w:p w14:paraId="3663DA60" w14:textId="4D3CBCED" w:rsidR="000756EB" w:rsidRPr="00085D09" w:rsidRDefault="00085D09" w:rsidP="00085D09">
            <w:pPr>
              <w:pStyle w:val="TableColumnHeading"/>
              <w:jc w:val="right"/>
              <w:rPr>
                <w:sz w:val="20"/>
                <w:szCs w:val="28"/>
              </w:rPr>
            </w:pPr>
            <w:r w:rsidRPr="00085D09">
              <w:rPr>
                <w:sz w:val="20"/>
                <w:szCs w:val="28"/>
              </w:rPr>
              <w:t xml:space="preserve">2022 </w:t>
            </w:r>
            <w:r w:rsidR="004A4D88" w:rsidRPr="00085D09">
              <w:rPr>
                <w:sz w:val="20"/>
                <w:szCs w:val="28"/>
              </w:rPr>
              <w:t>Administrative</w:t>
            </w:r>
            <w:r w:rsidR="00A03629" w:rsidRPr="00085D09">
              <w:rPr>
                <w:sz w:val="20"/>
                <w:szCs w:val="28"/>
              </w:rPr>
              <w:t xml:space="preserve"> </w:t>
            </w:r>
            <w:r w:rsidR="004A4D88" w:rsidRPr="00085D09">
              <w:rPr>
                <w:sz w:val="20"/>
                <w:szCs w:val="28"/>
              </w:rPr>
              <w:t>offices</w:t>
            </w:r>
            <w:r w:rsidR="00A03629" w:rsidRPr="00085D09">
              <w:rPr>
                <w:sz w:val="20"/>
                <w:szCs w:val="28"/>
              </w:rPr>
              <w:t xml:space="preserve"> </w:t>
            </w:r>
            <w:r w:rsidR="004A4D88" w:rsidRPr="00085D09">
              <w:rPr>
                <w:sz w:val="20"/>
                <w:szCs w:val="28"/>
              </w:rPr>
              <w:t>and</w:t>
            </w:r>
            <w:r w:rsidR="00A03629" w:rsidRPr="00085D09">
              <w:rPr>
                <w:sz w:val="20"/>
                <w:szCs w:val="28"/>
              </w:rPr>
              <w:t xml:space="preserve"> </w:t>
            </w:r>
            <w:r w:rsidR="004A4D88" w:rsidRPr="00085D09">
              <w:rPr>
                <w:sz w:val="20"/>
                <w:szCs w:val="28"/>
              </w:rPr>
              <w:t>section</w:t>
            </w:r>
            <w:r w:rsidR="00A03629" w:rsidRPr="00085D09">
              <w:rPr>
                <w:sz w:val="20"/>
                <w:szCs w:val="28"/>
              </w:rPr>
              <w:t xml:space="preserve"> </w:t>
            </w:r>
            <w:r w:rsidR="004A4D88" w:rsidRPr="00085D09">
              <w:rPr>
                <w:sz w:val="20"/>
                <w:szCs w:val="28"/>
              </w:rPr>
              <w:t>53</w:t>
            </w:r>
            <w:r w:rsidRPr="00085D09">
              <w:rPr>
                <w:sz w:val="20"/>
                <w:szCs w:val="28"/>
              </w:rPr>
              <w:t xml:space="preserve"> ($</w:t>
            </w:r>
            <w:r>
              <w:rPr>
                <w:sz w:val="20"/>
                <w:szCs w:val="28"/>
              </w:rPr>
              <w:t> </w:t>
            </w:r>
            <w:r w:rsidRPr="00085D09">
              <w:rPr>
                <w:sz w:val="20"/>
                <w:szCs w:val="28"/>
              </w:rPr>
              <w:t>thousand)</w:t>
            </w:r>
          </w:p>
        </w:tc>
      </w:tr>
      <w:tr w:rsidR="000756EB" w:rsidRPr="00085D09" w14:paraId="1338403E" w14:textId="77777777" w:rsidTr="00085D09">
        <w:trPr>
          <w:trHeight w:val="60"/>
        </w:trPr>
        <w:tc>
          <w:tcPr>
            <w:tcW w:w="3515" w:type="dxa"/>
          </w:tcPr>
          <w:p w14:paraId="10BA9AC0" w14:textId="091D891E" w:rsidR="000756EB" w:rsidRPr="00085D09" w:rsidRDefault="004A4D88" w:rsidP="00085D09">
            <w:pPr>
              <w:pStyle w:val="TableCopy"/>
            </w:pPr>
            <w:r w:rsidRPr="00085D09">
              <w:t>Short-term</w:t>
            </w:r>
            <w:r w:rsidR="00A03629" w:rsidRPr="00085D09">
              <w:t xml:space="preserve"> </w:t>
            </w:r>
            <w:r w:rsidRPr="00085D09">
              <w:t>employee</w:t>
            </w:r>
            <w:r w:rsidR="00A03629" w:rsidRPr="00085D09">
              <w:t xml:space="preserve"> </w:t>
            </w:r>
            <w:r w:rsidRPr="00085D09">
              <w:t>benefits</w:t>
            </w:r>
            <w:r w:rsidR="00A03629" w:rsidRPr="00085D09">
              <w:t xml:space="preserve"> </w:t>
            </w:r>
            <w:r w:rsidRPr="00614829">
              <w:rPr>
                <w:rStyle w:val="FootnotereferencessuperscriptMisc"/>
              </w:rPr>
              <w:t>(</w:t>
            </w:r>
            <w:proofErr w:type="spellStart"/>
            <w:r w:rsidRPr="00614829">
              <w:rPr>
                <w:rStyle w:val="FootnotereferencessuperscriptMisc"/>
              </w:rPr>
              <w:t>i</w:t>
            </w:r>
            <w:proofErr w:type="spellEnd"/>
            <w:r w:rsidRPr="00614829">
              <w:rPr>
                <w:rStyle w:val="FootnotereferencessuperscriptMisc"/>
              </w:rPr>
              <w:t>)</w:t>
            </w:r>
          </w:p>
        </w:tc>
        <w:tc>
          <w:tcPr>
            <w:tcW w:w="1531" w:type="dxa"/>
          </w:tcPr>
          <w:p w14:paraId="61CF7D22" w14:textId="295938FB" w:rsidR="000756EB" w:rsidRPr="00085D09" w:rsidRDefault="004A4D88" w:rsidP="00085D09">
            <w:pPr>
              <w:pStyle w:val="TableCopy"/>
              <w:jc w:val="right"/>
            </w:pPr>
            <w:r w:rsidRPr="00085D09">
              <w:t>5,376</w:t>
            </w:r>
          </w:p>
        </w:tc>
        <w:tc>
          <w:tcPr>
            <w:tcW w:w="1530" w:type="dxa"/>
          </w:tcPr>
          <w:p w14:paraId="700062D5" w14:textId="5EEBBD43" w:rsidR="000756EB" w:rsidRPr="00085D09" w:rsidRDefault="004A4D88" w:rsidP="00085D09">
            <w:pPr>
              <w:pStyle w:val="TableCopy"/>
              <w:jc w:val="right"/>
            </w:pPr>
            <w:r w:rsidRPr="00085D09">
              <w:t>5,303</w:t>
            </w:r>
          </w:p>
        </w:tc>
        <w:tc>
          <w:tcPr>
            <w:tcW w:w="1812" w:type="dxa"/>
          </w:tcPr>
          <w:p w14:paraId="59DC6B48" w14:textId="14C8A981" w:rsidR="000756EB" w:rsidRPr="00085D09" w:rsidRDefault="004A4D88" w:rsidP="00085D09">
            <w:pPr>
              <w:pStyle w:val="TableCopy"/>
              <w:jc w:val="right"/>
            </w:pPr>
            <w:r w:rsidRPr="00085D09">
              <w:t>748</w:t>
            </w:r>
          </w:p>
        </w:tc>
        <w:tc>
          <w:tcPr>
            <w:tcW w:w="1813" w:type="dxa"/>
          </w:tcPr>
          <w:p w14:paraId="780C8431" w14:textId="711B7E7F" w:rsidR="000756EB" w:rsidRPr="00085D09" w:rsidRDefault="004A4D88" w:rsidP="00085D09">
            <w:pPr>
              <w:pStyle w:val="TableCopy"/>
              <w:jc w:val="right"/>
            </w:pPr>
            <w:r w:rsidRPr="00085D09">
              <w:t>1,055</w:t>
            </w:r>
          </w:p>
        </w:tc>
      </w:tr>
      <w:tr w:rsidR="000756EB" w:rsidRPr="00085D09" w14:paraId="2E439250" w14:textId="77777777" w:rsidTr="00085D09">
        <w:trPr>
          <w:trHeight w:val="60"/>
        </w:trPr>
        <w:tc>
          <w:tcPr>
            <w:tcW w:w="3515" w:type="dxa"/>
          </w:tcPr>
          <w:p w14:paraId="7005487D" w14:textId="0164E062" w:rsidR="000756EB" w:rsidRPr="00085D09" w:rsidRDefault="004A4D88" w:rsidP="00085D09">
            <w:pPr>
              <w:pStyle w:val="TableCopy"/>
            </w:pPr>
            <w:r w:rsidRPr="00085D09">
              <w:t>Post-employment</w:t>
            </w:r>
            <w:r w:rsidR="00A03629" w:rsidRPr="00085D09">
              <w:t xml:space="preserve"> </w:t>
            </w:r>
            <w:r w:rsidRPr="00085D09">
              <w:t>benefits</w:t>
            </w:r>
            <w:r w:rsidR="00A03629" w:rsidRPr="00085D09">
              <w:t xml:space="preserve"> </w:t>
            </w:r>
          </w:p>
        </w:tc>
        <w:tc>
          <w:tcPr>
            <w:tcW w:w="1531" w:type="dxa"/>
          </w:tcPr>
          <w:p w14:paraId="15BAC592" w14:textId="46D0B6A9" w:rsidR="000756EB" w:rsidRPr="00085D09" w:rsidRDefault="004A4D88" w:rsidP="00085D09">
            <w:pPr>
              <w:pStyle w:val="TableCopy"/>
              <w:jc w:val="right"/>
            </w:pPr>
            <w:r w:rsidRPr="00085D09">
              <w:t>370</w:t>
            </w:r>
          </w:p>
        </w:tc>
        <w:tc>
          <w:tcPr>
            <w:tcW w:w="1530" w:type="dxa"/>
          </w:tcPr>
          <w:p w14:paraId="393A23B8" w14:textId="4FFC5A38" w:rsidR="000756EB" w:rsidRPr="00085D09" w:rsidRDefault="004A4D88" w:rsidP="00085D09">
            <w:pPr>
              <w:pStyle w:val="TableCopy"/>
              <w:jc w:val="right"/>
            </w:pPr>
            <w:r w:rsidRPr="00085D09">
              <w:t>357</w:t>
            </w:r>
          </w:p>
        </w:tc>
        <w:tc>
          <w:tcPr>
            <w:tcW w:w="1812" w:type="dxa"/>
          </w:tcPr>
          <w:p w14:paraId="06790DBC" w14:textId="1F1DF49B" w:rsidR="000756EB" w:rsidRPr="00085D09" w:rsidRDefault="004A4D88" w:rsidP="00085D09">
            <w:pPr>
              <w:pStyle w:val="TableCopy"/>
              <w:jc w:val="right"/>
            </w:pPr>
            <w:r w:rsidRPr="00085D09">
              <w:t>68</w:t>
            </w:r>
          </w:p>
        </w:tc>
        <w:tc>
          <w:tcPr>
            <w:tcW w:w="1813" w:type="dxa"/>
          </w:tcPr>
          <w:p w14:paraId="6D108823" w14:textId="5B3DA51D" w:rsidR="000756EB" w:rsidRPr="00085D09" w:rsidRDefault="004A4D88" w:rsidP="00085D09">
            <w:pPr>
              <w:pStyle w:val="TableCopy"/>
              <w:jc w:val="right"/>
            </w:pPr>
            <w:r w:rsidRPr="00085D09">
              <w:t>92</w:t>
            </w:r>
          </w:p>
        </w:tc>
      </w:tr>
      <w:tr w:rsidR="000756EB" w:rsidRPr="00085D09" w14:paraId="73727B1F" w14:textId="77777777" w:rsidTr="00085D09">
        <w:trPr>
          <w:trHeight w:val="60"/>
        </w:trPr>
        <w:tc>
          <w:tcPr>
            <w:tcW w:w="3515" w:type="dxa"/>
          </w:tcPr>
          <w:p w14:paraId="7150DA9B" w14:textId="27D0BE0F" w:rsidR="000756EB" w:rsidRPr="00085D09" w:rsidRDefault="004A4D88" w:rsidP="00085D09">
            <w:pPr>
              <w:pStyle w:val="TableCopy"/>
            </w:pPr>
            <w:r w:rsidRPr="00085D09">
              <w:t>Other</w:t>
            </w:r>
            <w:r w:rsidR="00A03629" w:rsidRPr="00085D09">
              <w:t xml:space="preserve"> </w:t>
            </w:r>
            <w:r w:rsidRPr="00085D09">
              <w:t>long-term</w:t>
            </w:r>
            <w:r w:rsidR="00A03629" w:rsidRPr="00085D09">
              <w:t xml:space="preserve"> </w:t>
            </w:r>
            <w:r w:rsidRPr="00085D09">
              <w:t>benefits</w:t>
            </w:r>
            <w:r w:rsidR="00A03629" w:rsidRPr="00085D09">
              <w:t xml:space="preserve"> </w:t>
            </w:r>
          </w:p>
        </w:tc>
        <w:tc>
          <w:tcPr>
            <w:tcW w:w="1531" w:type="dxa"/>
          </w:tcPr>
          <w:p w14:paraId="45DF5A74" w14:textId="66F43C53" w:rsidR="000756EB" w:rsidRPr="00085D09" w:rsidRDefault="004A4D88" w:rsidP="00085D09">
            <w:pPr>
              <w:pStyle w:val="TableCopy"/>
              <w:jc w:val="right"/>
            </w:pPr>
            <w:r w:rsidRPr="00085D09">
              <w:t>145</w:t>
            </w:r>
          </w:p>
        </w:tc>
        <w:tc>
          <w:tcPr>
            <w:tcW w:w="1530" w:type="dxa"/>
          </w:tcPr>
          <w:p w14:paraId="249DEE95" w14:textId="42BB207B" w:rsidR="000756EB" w:rsidRPr="00085D09" w:rsidRDefault="004A4D88" w:rsidP="00085D09">
            <w:pPr>
              <w:pStyle w:val="TableCopy"/>
              <w:jc w:val="right"/>
            </w:pPr>
            <w:r w:rsidRPr="00085D09">
              <w:t>132</w:t>
            </w:r>
          </w:p>
        </w:tc>
        <w:tc>
          <w:tcPr>
            <w:tcW w:w="1812" w:type="dxa"/>
          </w:tcPr>
          <w:p w14:paraId="59D686D2" w14:textId="1FD9F0D8" w:rsidR="000756EB" w:rsidRPr="00085D09" w:rsidRDefault="004A4D88" w:rsidP="00085D09">
            <w:pPr>
              <w:pStyle w:val="TableCopy"/>
              <w:jc w:val="right"/>
            </w:pPr>
            <w:r w:rsidRPr="00085D09">
              <w:t>14</w:t>
            </w:r>
          </w:p>
        </w:tc>
        <w:tc>
          <w:tcPr>
            <w:tcW w:w="1813" w:type="dxa"/>
          </w:tcPr>
          <w:p w14:paraId="15FF0514" w14:textId="06F94000" w:rsidR="000756EB" w:rsidRPr="00085D09" w:rsidRDefault="004A4D88" w:rsidP="00085D09">
            <w:pPr>
              <w:pStyle w:val="TableCopy"/>
              <w:jc w:val="right"/>
            </w:pPr>
            <w:r w:rsidRPr="00085D09">
              <w:t>25</w:t>
            </w:r>
          </w:p>
        </w:tc>
      </w:tr>
      <w:tr w:rsidR="000756EB" w:rsidRPr="00085D09" w14:paraId="6F9D9F2F" w14:textId="77777777" w:rsidTr="00085D09">
        <w:trPr>
          <w:trHeight w:val="60"/>
        </w:trPr>
        <w:tc>
          <w:tcPr>
            <w:tcW w:w="3515" w:type="dxa"/>
          </w:tcPr>
          <w:p w14:paraId="09EA5092" w14:textId="3E48B427" w:rsidR="000756EB" w:rsidRPr="00085D09" w:rsidRDefault="004A4D88" w:rsidP="00085D09">
            <w:pPr>
              <w:pStyle w:val="TableCopy"/>
              <w:keepNext/>
            </w:pPr>
            <w:r w:rsidRPr="00085D09">
              <w:lastRenderedPageBreak/>
              <w:t>Termination</w:t>
            </w:r>
            <w:r w:rsidR="00A03629" w:rsidRPr="00085D09">
              <w:t xml:space="preserve"> </w:t>
            </w:r>
            <w:r w:rsidRPr="00085D09">
              <w:t>benefits</w:t>
            </w:r>
            <w:r w:rsidR="00A03629" w:rsidRPr="00085D09">
              <w:t xml:space="preserve"> </w:t>
            </w:r>
          </w:p>
        </w:tc>
        <w:tc>
          <w:tcPr>
            <w:tcW w:w="1531" w:type="dxa"/>
          </w:tcPr>
          <w:p w14:paraId="7D21B1B3" w14:textId="2318F5F3" w:rsidR="000756EB" w:rsidRPr="00085D09" w:rsidRDefault="004A4D88" w:rsidP="00085D09">
            <w:pPr>
              <w:pStyle w:val="TableCopy"/>
              <w:keepNext/>
              <w:jc w:val="right"/>
            </w:pPr>
            <w:r w:rsidRPr="00085D09">
              <w:t>631</w:t>
            </w:r>
          </w:p>
        </w:tc>
        <w:tc>
          <w:tcPr>
            <w:tcW w:w="1530" w:type="dxa"/>
          </w:tcPr>
          <w:p w14:paraId="10AB16DE" w14:textId="0FA03CBA" w:rsidR="000756EB" w:rsidRPr="00085D09" w:rsidRDefault="004A4D88" w:rsidP="00085D09">
            <w:pPr>
              <w:pStyle w:val="TableCopy"/>
              <w:keepNext/>
              <w:jc w:val="right"/>
            </w:pPr>
            <w:r w:rsidRPr="00085D09">
              <w:t>208</w:t>
            </w:r>
          </w:p>
        </w:tc>
        <w:tc>
          <w:tcPr>
            <w:tcW w:w="1812" w:type="dxa"/>
          </w:tcPr>
          <w:p w14:paraId="0E98F96D" w14:textId="5645A3AC" w:rsidR="000756EB" w:rsidRPr="00085D09" w:rsidRDefault="004A4D88" w:rsidP="00085D09">
            <w:pPr>
              <w:pStyle w:val="TableCopy"/>
              <w:keepNext/>
              <w:jc w:val="right"/>
            </w:pPr>
            <w:r w:rsidRPr="00085D09">
              <w:t>–</w:t>
            </w:r>
          </w:p>
        </w:tc>
        <w:tc>
          <w:tcPr>
            <w:tcW w:w="1813" w:type="dxa"/>
          </w:tcPr>
          <w:p w14:paraId="1DA5759C" w14:textId="7A5D94DC" w:rsidR="000756EB" w:rsidRPr="00085D09" w:rsidRDefault="004A4D88" w:rsidP="00085D09">
            <w:pPr>
              <w:pStyle w:val="TableCopy"/>
              <w:keepNext/>
              <w:jc w:val="right"/>
            </w:pPr>
            <w:r w:rsidRPr="00085D09">
              <w:t>–</w:t>
            </w:r>
          </w:p>
        </w:tc>
      </w:tr>
      <w:tr w:rsidR="000756EB" w:rsidRPr="00085D09" w14:paraId="4D000DA7" w14:textId="77777777" w:rsidTr="00085D09">
        <w:trPr>
          <w:trHeight w:val="60"/>
        </w:trPr>
        <w:tc>
          <w:tcPr>
            <w:tcW w:w="3515" w:type="dxa"/>
          </w:tcPr>
          <w:p w14:paraId="0CF0D326" w14:textId="2C2B44A5" w:rsidR="000756EB" w:rsidRPr="00085D09" w:rsidRDefault="004A4D88" w:rsidP="00085D09">
            <w:pPr>
              <w:pStyle w:val="TableCopy"/>
              <w:rPr>
                <w:b/>
                <w:bCs/>
              </w:rPr>
            </w:pPr>
            <w:r w:rsidRPr="00085D09">
              <w:rPr>
                <w:b/>
                <w:bCs/>
              </w:rPr>
              <w:t>Total</w:t>
            </w:r>
            <w:r w:rsidR="00A03629" w:rsidRPr="00085D09">
              <w:rPr>
                <w:b/>
                <w:bCs/>
              </w:rPr>
              <w:t xml:space="preserve"> </w:t>
            </w:r>
            <w:r w:rsidRPr="00085D09">
              <w:rPr>
                <w:b/>
                <w:bCs/>
              </w:rPr>
              <w:t>compensation</w:t>
            </w:r>
            <w:r w:rsidR="00A03629" w:rsidRPr="00085D09">
              <w:rPr>
                <w:b/>
                <w:bCs/>
              </w:rPr>
              <w:t xml:space="preserve"> </w:t>
            </w:r>
            <w:r w:rsidRPr="00614829">
              <w:rPr>
                <w:rStyle w:val="FootnotereferencessuperscriptMisc"/>
                <w:b/>
                <w:bCs/>
              </w:rPr>
              <w:t>(ii)</w:t>
            </w:r>
          </w:p>
        </w:tc>
        <w:tc>
          <w:tcPr>
            <w:tcW w:w="1531" w:type="dxa"/>
          </w:tcPr>
          <w:p w14:paraId="0DE12310" w14:textId="7324B441" w:rsidR="000756EB" w:rsidRPr="00085D09" w:rsidRDefault="004A4D88" w:rsidP="00085D09">
            <w:pPr>
              <w:pStyle w:val="TableCopy"/>
              <w:jc w:val="right"/>
              <w:rPr>
                <w:b/>
                <w:bCs/>
              </w:rPr>
            </w:pPr>
            <w:r w:rsidRPr="00085D09">
              <w:rPr>
                <w:b/>
                <w:bCs/>
              </w:rPr>
              <w:t>6,522</w:t>
            </w:r>
          </w:p>
        </w:tc>
        <w:tc>
          <w:tcPr>
            <w:tcW w:w="1530" w:type="dxa"/>
          </w:tcPr>
          <w:p w14:paraId="110AD084" w14:textId="62241706" w:rsidR="000756EB" w:rsidRPr="00085D09" w:rsidRDefault="004A4D88" w:rsidP="00085D09">
            <w:pPr>
              <w:pStyle w:val="TableCopy"/>
              <w:jc w:val="right"/>
              <w:rPr>
                <w:b/>
                <w:bCs/>
              </w:rPr>
            </w:pPr>
            <w:r w:rsidRPr="00085D09">
              <w:rPr>
                <w:b/>
                <w:bCs/>
              </w:rPr>
              <w:t>6,000</w:t>
            </w:r>
          </w:p>
        </w:tc>
        <w:tc>
          <w:tcPr>
            <w:tcW w:w="1812" w:type="dxa"/>
          </w:tcPr>
          <w:p w14:paraId="66EE182A" w14:textId="1D94334C" w:rsidR="000756EB" w:rsidRPr="00085D09" w:rsidRDefault="004A4D88" w:rsidP="00085D09">
            <w:pPr>
              <w:pStyle w:val="TableCopy"/>
              <w:jc w:val="right"/>
              <w:rPr>
                <w:b/>
                <w:bCs/>
              </w:rPr>
            </w:pPr>
            <w:r w:rsidRPr="00085D09">
              <w:rPr>
                <w:b/>
                <w:bCs/>
              </w:rPr>
              <w:t>830</w:t>
            </w:r>
          </w:p>
        </w:tc>
        <w:tc>
          <w:tcPr>
            <w:tcW w:w="1813" w:type="dxa"/>
          </w:tcPr>
          <w:p w14:paraId="5721F6A5" w14:textId="5980B696" w:rsidR="000756EB" w:rsidRPr="00085D09" w:rsidRDefault="004A4D88" w:rsidP="00085D09">
            <w:pPr>
              <w:pStyle w:val="TableCopy"/>
              <w:jc w:val="right"/>
              <w:rPr>
                <w:b/>
                <w:bCs/>
              </w:rPr>
            </w:pPr>
            <w:r w:rsidRPr="00085D09">
              <w:rPr>
                <w:b/>
                <w:bCs/>
              </w:rPr>
              <w:t>1,172</w:t>
            </w:r>
          </w:p>
        </w:tc>
      </w:tr>
    </w:tbl>
    <w:p w14:paraId="1026477A" w14:textId="2D74637A" w:rsidR="00085D09" w:rsidRDefault="00085D09" w:rsidP="00085D09">
      <w:pPr>
        <w:pStyle w:val="FootnoteText"/>
        <w:spacing w:before="120"/>
        <w:rPr>
          <w:i/>
          <w:iCs/>
        </w:rPr>
      </w:pPr>
      <w:r>
        <w:t>(</w:t>
      </w:r>
      <w:proofErr w:type="spellStart"/>
      <w:r>
        <w:t>i</w:t>
      </w:r>
      <w:proofErr w:type="spellEnd"/>
      <w:r>
        <w:t>) Total remuneration paid to KMPs employed as a contractor during the reporting period through an external service provider has been reported under short-term employee benefits.</w:t>
      </w:r>
    </w:p>
    <w:p w14:paraId="2790D4E2" w14:textId="6375FCA5" w:rsidR="00085D09" w:rsidRDefault="00085D09" w:rsidP="00085D09">
      <w:pPr>
        <w:pStyle w:val="FootnoteText"/>
        <w:rPr>
          <w:i/>
          <w:iCs/>
        </w:rPr>
      </w:pPr>
      <w:r>
        <w:t>(ii) Note that KMPs are also reported in the disclosure of remuneration of executive officers (Note 9.7 – Remuneration of executives).</w:t>
      </w:r>
    </w:p>
    <w:p w14:paraId="6E66E45B" w14:textId="5967C018" w:rsidR="000756EB" w:rsidRDefault="00085D09" w:rsidP="00085D09">
      <w:pPr>
        <w:pStyle w:val="FootnoteText"/>
        <w:spacing w:after="280"/>
        <w:rPr>
          <w:rFonts w:ascii="VIC Light" w:hAnsi="VIC Light" w:cs="VIC Light"/>
          <w:szCs w:val="20"/>
        </w:rPr>
      </w:pPr>
      <w:r>
        <w:t>(iii) Where employees are KMPs of both DJSIR and Administrative Offices and entities consolidated under the FMA s53(1), their remuneration is reflected under DJSIR’s compensation of KMPs. This includes the Rural Assistance Commissioner, Victorian Racing Tribunal, Victorian Racing Integrity Board, Racing Integrity Commissioner, Mine Land Rehabilitation Authority and Secretary, Project Development.</w:t>
      </w:r>
    </w:p>
    <w:p w14:paraId="7C535E62" w14:textId="202101F9" w:rsidR="000756EB" w:rsidRPr="00085D09" w:rsidRDefault="004A4D88" w:rsidP="00085D09">
      <w:pPr>
        <w:pStyle w:val="Normalbeforebullets"/>
        <w:rPr>
          <w:b/>
          <w:bCs/>
        </w:rPr>
      </w:pPr>
      <w:r w:rsidRPr="00085D09">
        <w:rPr>
          <w:b/>
          <w:bCs/>
        </w:rPr>
        <w:t>Transactions</w:t>
      </w:r>
      <w:r w:rsidR="00A03629" w:rsidRPr="00085D09">
        <w:rPr>
          <w:b/>
          <w:bCs/>
        </w:rPr>
        <w:t xml:space="preserve"> </w:t>
      </w:r>
      <w:r w:rsidRPr="00085D09">
        <w:rPr>
          <w:b/>
          <w:bCs/>
        </w:rPr>
        <w:t>and</w:t>
      </w:r>
      <w:r w:rsidR="00A03629" w:rsidRPr="00085D09">
        <w:rPr>
          <w:b/>
          <w:bCs/>
        </w:rPr>
        <w:t xml:space="preserve"> </w:t>
      </w:r>
      <w:r w:rsidRPr="00085D09">
        <w:rPr>
          <w:b/>
          <w:bCs/>
        </w:rPr>
        <w:t>balances</w:t>
      </w:r>
      <w:r w:rsidR="00A03629" w:rsidRPr="00085D09">
        <w:rPr>
          <w:b/>
          <w:bCs/>
        </w:rPr>
        <w:t xml:space="preserve"> </w:t>
      </w:r>
      <w:r w:rsidRPr="00085D09">
        <w:rPr>
          <w:b/>
          <w:bCs/>
        </w:rPr>
        <w:t>with</w:t>
      </w:r>
      <w:r w:rsidR="00A03629" w:rsidRPr="00085D09">
        <w:rPr>
          <w:b/>
          <w:bCs/>
        </w:rPr>
        <w:t xml:space="preserve"> </w:t>
      </w:r>
      <w:r w:rsidRPr="00085D09">
        <w:rPr>
          <w:b/>
          <w:bCs/>
        </w:rPr>
        <w:t>key</w:t>
      </w:r>
      <w:r w:rsidR="00A03629" w:rsidRPr="00085D09">
        <w:rPr>
          <w:b/>
          <w:bCs/>
        </w:rPr>
        <w:t xml:space="preserve"> </w:t>
      </w:r>
      <w:r w:rsidRPr="00085D09">
        <w:rPr>
          <w:b/>
          <w:bCs/>
        </w:rPr>
        <w:t>management</w:t>
      </w:r>
      <w:r w:rsidR="00A03629" w:rsidRPr="00085D09">
        <w:rPr>
          <w:b/>
          <w:bCs/>
        </w:rPr>
        <w:t xml:space="preserve"> </w:t>
      </w:r>
      <w:r w:rsidRPr="00085D09">
        <w:rPr>
          <w:b/>
          <w:bCs/>
        </w:rPr>
        <w:t>personnel</w:t>
      </w:r>
      <w:r w:rsidR="00A03629" w:rsidRPr="00085D09">
        <w:rPr>
          <w:b/>
          <w:bCs/>
        </w:rPr>
        <w:t xml:space="preserve"> </w:t>
      </w:r>
      <w:r w:rsidRPr="00085D09">
        <w:rPr>
          <w:b/>
          <w:bCs/>
        </w:rPr>
        <w:t>and</w:t>
      </w:r>
      <w:r w:rsidR="00A03629" w:rsidRPr="00085D09">
        <w:rPr>
          <w:b/>
          <w:bCs/>
        </w:rPr>
        <w:t xml:space="preserve"> </w:t>
      </w:r>
      <w:r w:rsidRPr="00085D09">
        <w:rPr>
          <w:b/>
          <w:bCs/>
        </w:rPr>
        <w:t>other</w:t>
      </w:r>
      <w:r w:rsidR="00A03629" w:rsidRPr="00085D09">
        <w:rPr>
          <w:b/>
          <w:bCs/>
        </w:rPr>
        <w:t xml:space="preserve"> </w:t>
      </w:r>
      <w:r w:rsidRPr="00085D09">
        <w:rPr>
          <w:b/>
          <w:bCs/>
        </w:rPr>
        <w:t>related</w:t>
      </w:r>
      <w:r w:rsidR="00A03629" w:rsidRPr="00085D09">
        <w:rPr>
          <w:rFonts w:ascii="Cambria" w:hAnsi="Cambria" w:cs="Cambria"/>
          <w:b/>
          <w:bCs/>
        </w:rPr>
        <w:t xml:space="preserve"> </w:t>
      </w:r>
      <w:r w:rsidRPr="00085D09">
        <w:rPr>
          <w:b/>
          <w:bCs/>
        </w:rPr>
        <w:t>parties</w:t>
      </w:r>
    </w:p>
    <w:p w14:paraId="2558C206" w14:textId="77510B35" w:rsidR="000756EB" w:rsidRDefault="004A4D88" w:rsidP="00085D09">
      <w:r>
        <w:t>Given</w:t>
      </w:r>
      <w:r w:rsidR="00A03629">
        <w:t xml:space="preserve"> </w:t>
      </w:r>
      <w:r>
        <w:t>the</w:t>
      </w:r>
      <w:r w:rsidR="00A03629">
        <w:t xml:space="preserve"> </w:t>
      </w:r>
      <w:r>
        <w:t>breadth</w:t>
      </w:r>
      <w:r w:rsidR="00A03629">
        <w:t xml:space="preserve"> </w:t>
      </w:r>
      <w:r>
        <w:t>and</w:t>
      </w:r>
      <w:r w:rsidR="00A03629">
        <w:t xml:space="preserve"> </w:t>
      </w:r>
      <w:r>
        <w:t>depth</w:t>
      </w:r>
      <w:r w:rsidR="00A03629">
        <w:t xml:space="preserve"> </w:t>
      </w:r>
      <w:r>
        <w:t>of</w:t>
      </w:r>
      <w:r w:rsidR="00A03629">
        <w:t xml:space="preserve"> </w:t>
      </w:r>
      <w:r>
        <w:t>State</w:t>
      </w:r>
      <w:r w:rsidR="00A03629">
        <w:t xml:space="preserve"> </w:t>
      </w:r>
      <w:r>
        <w:t>government</w:t>
      </w:r>
      <w:r w:rsidR="00A03629">
        <w:t xml:space="preserve"> </w:t>
      </w:r>
      <w:r>
        <w:t>activities,</w:t>
      </w:r>
      <w:r w:rsidR="00A03629">
        <w:t xml:space="preserve"> </w:t>
      </w:r>
      <w:r>
        <w:t>related</w:t>
      </w:r>
      <w:r w:rsidR="00A03629">
        <w:t xml:space="preserve"> </w:t>
      </w:r>
      <w:r>
        <w:t>parties</w:t>
      </w:r>
      <w:r w:rsidR="00A03629">
        <w:t xml:space="preserve"> </w:t>
      </w:r>
      <w:r>
        <w:t>transact</w:t>
      </w:r>
      <w:r w:rsidR="00A03629">
        <w:t xml:space="preserve"> </w:t>
      </w:r>
      <w:r>
        <w:t>with</w:t>
      </w:r>
      <w:r w:rsidR="00A03629">
        <w:t xml:space="preserve"> </w:t>
      </w:r>
      <w:r>
        <w:t>the</w:t>
      </w:r>
      <w:r w:rsidR="00A03629">
        <w:t xml:space="preserve"> </w:t>
      </w:r>
      <w:r>
        <w:t>Victorian</w:t>
      </w:r>
      <w:r w:rsidR="00A03629">
        <w:t xml:space="preserve"> </w:t>
      </w:r>
      <w:r>
        <w:t>public</w:t>
      </w:r>
      <w:r w:rsidR="00A03629">
        <w:t xml:space="preserve"> </w:t>
      </w:r>
      <w:r>
        <w:t>sector</w:t>
      </w:r>
      <w:r w:rsidR="00A03629">
        <w:t xml:space="preserve"> </w:t>
      </w:r>
      <w:r>
        <w:t>in</w:t>
      </w:r>
      <w:r w:rsidR="00A03629">
        <w:t xml:space="preserve"> </w:t>
      </w:r>
      <w:r>
        <w:t>a</w:t>
      </w:r>
      <w:r w:rsidR="00A03629">
        <w:t xml:space="preserve"> </w:t>
      </w:r>
      <w:r>
        <w:t>manner</w:t>
      </w:r>
      <w:r w:rsidR="00A03629">
        <w:t xml:space="preserve"> </w:t>
      </w:r>
      <w:r>
        <w:t>consistent</w:t>
      </w:r>
      <w:r w:rsidR="00A03629">
        <w:t xml:space="preserve"> </w:t>
      </w:r>
      <w:r>
        <w:t>with</w:t>
      </w:r>
      <w:r w:rsidR="00A03629">
        <w:t xml:space="preserve"> </w:t>
      </w:r>
      <w:r>
        <w:t>other</w:t>
      </w:r>
      <w:r w:rsidR="00A03629">
        <w:t xml:space="preserve"> </w:t>
      </w:r>
      <w:r>
        <w:t>members</w:t>
      </w:r>
      <w:r w:rsidR="00A03629">
        <w:t xml:space="preserve"> </w:t>
      </w:r>
      <w:r>
        <w:t>of</w:t>
      </w:r>
      <w:r w:rsidR="00A03629">
        <w:t xml:space="preserve"> </w:t>
      </w:r>
      <w:r>
        <w:t>the</w:t>
      </w:r>
      <w:r w:rsidR="00A03629">
        <w:t xml:space="preserve"> </w:t>
      </w:r>
      <w:r>
        <w:t>public</w:t>
      </w:r>
      <w:r w:rsidR="00A03629">
        <w:t xml:space="preserve"> </w:t>
      </w:r>
      <w:r>
        <w:t>e.g.</w:t>
      </w:r>
      <w:r w:rsidR="00A03629">
        <w:t xml:space="preserve"> </w:t>
      </w:r>
      <w:r>
        <w:t>stamp</w:t>
      </w:r>
      <w:r w:rsidR="00A03629">
        <w:t xml:space="preserve"> </w:t>
      </w:r>
      <w:r>
        <w:t>duty</w:t>
      </w:r>
      <w:r w:rsidR="00A03629">
        <w:t xml:space="preserve"> </w:t>
      </w:r>
      <w:r>
        <w:t>and</w:t>
      </w:r>
      <w:r w:rsidR="00A03629">
        <w:t xml:space="preserve"> </w:t>
      </w:r>
      <w:r>
        <w:t>other</w:t>
      </w:r>
      <w:r w:rsidR="00A03629">
        <w:t xml:space="preserve"> </w:t>
      </w:r>
      <w:r>
        <w:t>government</w:t>
      </w:r>
      <w:r w:rsidR="00A03629">
        <w:t xml:space="preserve"> </w:t>
      </w:r>
      <w:r>
        <w:t>fees</w:t>
      </w:r>
      <w:r w:rsidR="00A03629">
        <w:t xml:space="preserve"> </w:t>
      </w:r>
      <w:r>
        <w:t>and</w:t>
      </w:r>
      <w:r w:rsidR="00A03629">
        <w:t xml:space="preserve"> </w:t>
      </w:r>
      <w:r>
        <w:t>charges.</w:t>
      </w:r>
      <w:r w:rsidR="00A03629">
        <w:t xml:space="preserve"> </w:t>
      </w:r>
      <w:r>
        <w:t>Further</w:t>
      </w:r>
      <w:r w:rsidR="00A03629">
        <w:t xml:space="preserve"> </w:t>
      </w:r>
      <w:r>
        <w:t>employment</w:t>
      </w:r>
      <w:r w:rsidR="00A03629">
        <w:t xml:space="preserve"> </w:t>
      </w:r>
      <w:r>
        <w:t>of</w:t>
      </w:r>
      <w:r w:rsidR="00A03629">
        <w:t xml:space="preserve"> </w:t>
      </w:r>
      <w:r>
        <w:t>processes</w:t>
      </w:r>
      <w:r w:rsidR="00A03629">
        <w:t xml:space="preserve"> </w:t>
      </w:r>
      <w:r>
        <w:t>within</w:t>
      </w:r>
      <w:r w:rsidR="00A03629">
        <w:t xml:space="preserve"> </w:t>
      </w:r>
      <w:r>
        <w:t>the</w:t>
      </w:r>
      <w:r w:rsidR="00A03629">
        <w:t xml:space="preserve"> </w:t>
      </w:r>
      <w:r>
        <w:t>Victorian</w:t>
      </w:r>
      <w:r w:rsidR="00A03629">
        <w:t xml:space="preserve"> </w:t>
      </w:r>
      <w:r>
        <w:t>public</w:t>
      </w:r>
      <w:r w:rsidR="00A03629">
        <w:t xml:space="preserve"> </w:t>
      </w:r>
      <w:r>
        <w:t>sector</w:t>
      </w:r>
      <w:r w:rsidR="00A03629">
        <w:t xml:space="preserve"> </w:t>
      </w:r>
      <w:proofErr w:type="gramStart"/>
      <w:r>
        <w:t>occur</w:t>
      </w:r>
      <w:proofErr w:type="gramEnd"/>
      <w:r w:rsidR="00A03629">
        <w:t xml:space="preserve"> </w:t>
      </w:r>
      <w:r>
        <w:t>on</w:t>
      </w:r>
      <w:r w:rsidR="00A03629">
        <w:t xml:space="preserve"> </w:t>
      </w:r>
      <w:r>
        <w:t>terms</w:t>
      </w:r>
      <w:r w:rsidR="00A03629">
        <w:t xml:space="preserve"> </w:t>
      </w:r>
      <w:r>
        <w:t>and</w:t>
      </w:r>
      <w:r w:rsidR="00A03629">
        <w:t xml:space="preserve"> </w:t>
      </w:r>
      <w:r>
        <w:t>conditions</w:t>
      </w:r>
      <w:r w:rsidR="00A03629">
        <w:t xml:space="preserve"> </w:t>
      </w:r>
      <w:r>
        <w:t>consistent</w:t>
      </w:r>
      <w:r w:rsidR="00A03629">
        <w:t xml:space="preserve"> </w:t>
      </w:r>
      <w:r>
        <w:t>with</w:t>
      </w:r>
      <w:r w:rsidR="00A03629">
        <w:t xml:space="preserve"> </w:t>
      </w:r>
      <w:r>
        <w:t>the</w:t>
      </w:r>
      <w:r w:rsidR="00A03629">
        <w:t xml:space="preserve"> </w:t>
      </w:r>
      <w:r w:rsidRPr="00085D09">
        <w:rPr>
          <w:i/>
          <w:iCs/>
        </w:rPr>
        <w:t>Public</w:t>
      </w:r>
      <w:r w:rsidR="00A03629" w:rsidRPr="00085D09">
        <w:rPr>
          <w:i/>
          <w:iCs/>
        </w:rPr>
        <w:t xml:space="preserve"> </w:t>
      </w:r>
      <w:r w:rsidRPr="00085D09">
        <w:rPr>
          <w:i/>
          <w:iCs/>
        </w:rPr>
        <w:t>Administration</w:t>
      </w:r>
      <w:r w:rsidR="00A03629" w:rsidRPr="00085D09">
        <w:rPr>
          <w:i/>
          <w:iCs/>
        </w:rPr>
        <w:t xml:space="preserve"> </w:t>
      </w:r>
      <w:r w:rsidRPr="00085D09">
        <w:rPr>
          <w:i/>
          <w:iCs/>
        </w:rPr>
        <w:t>Act</w:t>
      </w:r>
      <w:r w:rsidR="00A03629" w:rsidRPr="00085D09">
        <w:rPr>
          <w:i/>
          <w:iCs/>
        </w:rPr>
        <w:t xml:space="preserve"> </w:t>
      </w:r>
      <w:r w:rsidRPr="00085D09">
        <w:rPr>
          <w:i/>
          <w:iCs/>
        </w:rPr>
        <w:t>2004</w:t>
      </w:r>
      <w:r w:rsidR="00A03629" w:rsidRPr="00085D09">
        <w:rPr>
          <w:i/>
          <w:iCs/>
        </w:rPr>
        <w:t xml:space="preserve"> </w:t>
      </w:r>
      <w:r>
        <w:t>and</w:t>
      </w:r>
      <w:r w:rsidR="00A03629">
        <w:t xml:space="preserve"> </w:t>
      </w:r>
      <w:r>
        <w:t>Codes</w:t>
      </w:r>
      <w:r w:rsidR="00A03629">
        <w:t xml:space="preserve"> </w:t>
      </w:r>
      <w:r>
        <w:t>of</w:t>
      </w:r>
      <w:r w:rsidR="00A03629">
        <w:t xml:space="preserve"> </w:t>
      </w:r>
      <w:r>
        <w:t>Conduct</w:t>
      </w:r>
      <w:r w:rsidR="00A03629">
        <w:t xml:space="preserve"> </w:t>
      </w:r>
      <w:r>
        <w:t>and</w:t>
      </w:r>
      <w:r w:rsidR="00A03629">
        <w:t xml:space="preserve"> </w:t>
      </w:r>
      <w:r>
        <w:t>Standards</w:t>
      </w:r>
      <w:r w:rsidR="00A03629">
        <w:t xml:space="preserve"> </w:t>
      </w:r>
      <w:r>
        <w:t>issued</w:t>
      </w:r>
      <w:r w:rsidR="00A03629">
        <w:t xml:space="preserve"> </w:t>
      </w:r>
      <w:r>
        <w:t>by</w:t>
      </w:r>
      <w:r w:rsidR="00A03629">
        <w:t xml:space="preserve"> </w:t>
      </w:r>
      <w:r>
        <w:t>the</w:t>
      </w:r>
      <w:r w:rsidR="00A03629">
        <w:t xml:space="preserve"> </w:t>
      </w:r>
      <w:r>
        <w:t>Victorian</w:t>
      </w:r>
      <w:r w:rsidR="00A03629">
        <w:t xml:space="preserve"> </w:t>
      </w:r>
      <w:r>
        <w:t>Public</w:t>
      </w:r>
      <w:r w:rsidR="00A03629">
        <w:t xml:space="preserve"> </w:t>
      </w:r>
      <w:r>
        <w:t>Sector</w:t>
      </w:r>
      <w:r w:rsidR="00A03629">
        <w:t xml:space="preserve"> </w:t>
      </w:r>
      <w:r>
        <w:t>Commission.</w:t>
      </w:r>
      <w:r w:rsidR="00A03629">
        <w:t xml:space="preserve"> </w:t>
      </w:r>
      <w:r>
        <w:t>Procurement</w:t>
      </w:r>
      <w:r w:rsidR="00A03629">
        <w:t xml:space="preserve"> </w:t>
      </w:r>
      <w:r>
        <w:t>processes</w:t>
      </w:r>
      <w:r w:rsidR="00A03629">
        <w:t xml:space="preserve"> </w:t>
      </w:r>
      <w:r>
        <w:t>occur</w:t>
      </w:r>
      <w:r w:rsidR="00A03629">
        <w:t xml:space="preserve"> </w:t>
      </w:r>
      <w:r>
        <w:t>on</w:t>
      </w:r>
      <w:r w:rsidR="00A03629">
        <w:t xml:space="preserve"> </w:t>
      </w:r>
      <w:r>
        <w:t>terms</w:t>
      </w:r>
      <w:r w:rsidR="00A03629">
        <w:t xml:space="preserve"> </w:t>
      </w:r>
      <w:r>
        <w:t>and</w:t>
      </w:r>
      <w:r w:rsidR="00A03629">
        <w:t xml:space="preserve"> </w:t>
      </w:r>
      <w:r>
        <w:t>conditions</w:t>
      </w:r>
      <w:r w:rsidR="00A03629">
        <w:t xml:space="preserve"> </w:t>
      </w:r>
      <w:r>
        <w:t>consistent</w:t>
      </w:r>
      <w:r w:rsidR="00A03629">
        <w:t xml:space="preserve"> </w:t>
      </w:r>
      <w:r>
        <w:t>with</w:t>
      </w:r>
      <w:r w:rsidR="00A03629">
        <w:t xml:space="preserve"> </w:t>
      </w:r>
      <w:r>
        <w:t>the</w:t>
      </w:r>
      <w:r w:rsidR="00A03629">
        <w:t xml:space="preserve"> </w:t>
      </w:r>
      <w:r>
        <w:t>Victorian</w:t>
      </w:r>
      <w:r w:rsidR="00A03629">
        <w:t xml:space="preserve"> </w:t>
      </w:r>
      <w:r>
        <w:t>Government</w:t>
      </w:r>
      <w:r w:rsidR="00A03629">
        <w:t xml:space="preserve"> </w:t>
      </w:r>
      <w:r>
        <w:t>Procurement</w:t>
      </w:r>
      <w:r w:rsidR="00A03629">
        <w:t xml:space="preserve"> </w:t>
      </w:r>
      <w:r>
        <w:t>Board</w:t>
      </w:r>
      <w:r w:rsidR="00A03629">
        <w:t xml:space="preserve"> </w:t>
      </w:r>
      <w:r>
        <w:t>requirements.</w:t>
      </w:r>
    </w:p>
    <w:p w14:paraId="591833B9" w14:textId="33CEA998" w:rsidR="000756EB" w:rsidRDefault="004A4D88" w:rsidP="00085D09">
      <w:r>
        <w:t>Outside</w:t>
      </w:r>
      <w:r w:rsidR="00A03629">
        <w:t xml:space="preserve"> </w:t>
      </w:r>
      <w:r>
        <w:t>of</w:t>
      </w:r>
      <w:r w:rsidR="00A03629">
        <w:t xml:space="preserve"> </w:t>
      </w:r>
      <w:r>
        <w:t>normal</w:t>
      </w:r>
      <w:r w:rsidR="00A03629">
        <w:t xml:space="preserve"> </w:t>
      </w:r>
      <w:r>
        <w:t>citizen</w:t>
      </w:r>
      <w:r w:rsidR="00A03629">
        <w:t xml:space="preserve"> </w:t>
      </w:r>
      <w:r>
        <w:t>type</w:t>
      </w:r>
      <w:r w:rsidR="00A03629">
        <w:t xml:space="preserve"> </w:t>
      </w:r>
      <w:r>
        <w:t>transactions</w:t>
      </w:r>
      <w:r w:rsidR="00A03629">
        <w:t xml:space="preserve"> </w:t>
      </w:r>
      <w:r>
        <w:t>with</w:t>
      </w:r>
      <w:r w:rsidR="00A03629">
        <w:t xml:space="preserve"> </w:t>
      </w:r>
      <w:r>
        <w:t>DJSIR</w:t>
      </w:r>
      <w:r w:rsidR="00A03629">
        <w:t xml:space="preserve"> </w:t>
      </w:r>
      <w:r>
        <w:t>and</w:t>
      </w:r>
      <w:r w:rsidR="00A03629">
        <w:t xml:space="preserve"> </w:t>
      </w:r>
      <w:r>
        <w:t>the</w:t>
      </w:r>
      <w:r w:rsidR="00A03629">
        <w:t xml:space="preserve"> </w:t>
      </w:r>
      <w:r>
        <w:t>consolidated</w:t>
      </w:r>
      <w:r w:rsidR="00A03629">
        <w:t xml:space="preserve"> </w:t>
      </w:r>
      <w:r>
        <w:t>agencies</w:t>
      </w:r>
      <w:r w:rsidR="00A03629">
        <w:t xml:space="preserve"> </w:t>
      </w:r>
      <w:r>
        <w:t>(Rural</w:t>
      </w:r>
      <w:r w:rsidR="00A03629">
        <w:t xml:space="preserve"> </w:t>
      </w:r>
      <w:r>
        <w:t>Assistance</w:t>
      </w:r>
      <w:r w:rsidR="00A03629">
        <w:t xml:space="preserve"> </w:t>
      </w:r>
      <w:r>
        <w:t>Commissioner,</w:t>
      </w:r>
      <w:r w:rsidR="00A03629">
        <w:t xml:space="preserve"> </w:t>
      </w:r>
      <w:r>
        <w:t>Victorian</w:t>
      </w:r>
      <w:r w:rsidR="00A03629">
        <w:t xml:space="preserve"> </w:t>
      </w:r>
      <w:r>
        <w:t>Racing</w:t>
      </w:r>
      <w:r w:rsidR="00A03629">
        <w:t xml:space="preserve"> </w:t>
      </w:r>
      <w:r>
        <w:t>Tribunal,</w:t>
      </w:r>
      <w:r w:rsidR="00A03629">
        <w:t xml:space="preserve"> </w:t>
      </w:r>
      <w:r>
        <w:t>Victorian</w:t>
      </w:r>
      <w:r w:rsidR="00A03629">
        <w:t xml:space="preserve"> </w:t>
      </w:r>
      <w:r>
        <w:t>Racing</w:t>
      </w:r>
      <w:r w:rsidR="00A03629">
        <w:t xml:space="preserve"> </w:t>
      </w:r>
      <w:r>
        <w:t>Integrity</w:t>
      </w:r>
      <w:r w:rsidR="00A03629">
        <w:t xml:space="preserve"> </w:t>
      </w:r>
      <w:r>
        <w:t>Board,</w:t>
      </w:r>
      <w:r w:rsidR="00A03629">
        <w:t xml:space="preserve"> </w:t>
      </w:r>
      <w:r>
        <w:t>Racing</w:t>
      </w:r>
      <w:r w:rsidR="00A03629">
        <w:t xml:space="preserve"> </w:t>
      </w:r>
      <w:r>
        <w:t>Integrity</w:t>
      </w:r>
      <w:r w:rsidR="00A03629">
        <w:t xml:space="preserve"> </w:t>
      </w:r>
      <w:r>
        <w:t>Commissioner,</w:t>
      </w:r>
      <w:r w:rsidR="00A03629">
        <w:t xml:space="preserve"> </w:t>
      </w:r>
      <w:r>
        <w:t>Mine</w:t>
      </w:r>
      <w:r w:rsidR="00A03629">
        <w:t xml:space="preserve"> </w:t>
      </w:r>
      <w:r>
        <w:t>Land</w:t>
      </w:r>
      <w:r w:rsidR="00A03629">
        <w:t xml:space="preserve"> </w:t>
      </w:r>
      <w:r>
        <w:t>Rehabilitation</w:t>
      </w:r>
      <w:r w:rsidR="00A03629">
        <w:t xml:space="preserve"> </w:t>
      </w:r>
      <w:r>
        <w:t>Authority</w:t>
      </w:r>
      <w:r w:rsidR="00A03629">
        <w:t xml:space="preserve"> </w:t>
      </w:r>
      <w:r>
        <w:t>and</w:t>
      </w:r>
      <w:r w:rsidR="00A03629">
        <w:t xml:space="preserve"> </w:t>
      </w:r>
      <w:r>
        <w:t>Secretary,</w:t>
      </w:r>
      <w:r w:rsidR="00A03629">
        <w:t xml:space="preserve"> </w:t>
      </w:r>
      <w:r>
        <w:t>Project</w:t>
      </w:r>
      <w:r w:rsidR="00A03629">
        <w:t xml:space="preserve"> </w:t>
      </w:r>
      <w:r>
        <w:t>Development),</w:t>
      </w:r>
      <w:r w:rsidR="00A03629">
        <w:t xml:space="preserve"> </w:t>
      </w:r>
      <w:r>
        <w:t>there</w:t>
      </w:r>
      <w:r w:rsidR="00A03629">
        <w:t xml:space="preserve"> </w:t>
      </w:r>
      <w:r>
        <w:t>were</w:t>
      </w:r>
      <w:r w:rsidR="00A03629">
        <w:t xml:space="preserve"> </w:t>
      </w:r>
      <w:r>
        <w:t>no</w:t>
      </w:r>
      <w:r w:rsidR="00A03629">
        <w:t xml:space="preserve"> </w:t>
      </w:r>
      <w:r>
        <w:t>related</w:t>
      </w:r>
      <w:r w:rsidR="00A03629">
        <w:t xml:space="preserve"> </w:t>
      </w:r>
      <w:r>
        <w:t>party</w:t>
      </w:r>
      <w:r w:rsidR="00A03629">
        <w:t xml:space="preserve"> </w:t>
      </w:r>
      <w:r>
        <w:t>transactions</w:t>
      </w:r>
      <w:r w:rsidR="00A03629">
        <w:t xml:space="preserve"> </w:t>
      </w:r>
      <w:r>
        <w:t>that</w:t>
      </w:r>
      <w:r w:rsidR="00A03629">
        <w:t xml:space="preserve"> </w:t>
      </w:r>
      <w:r>
        <w:t>involved</w:t>
      </w:r>
      <w:r w:rsidR="00A03629">
        <w:t xml:space="preserve"> </w:t>
      </w:r>
      <w:r>
        <w:t>key</w:t>
      </w:r>
      <w:r w:rsidR="00A03629">
        <w:t xml:space="preserve"> </w:t>
      </w:r>
      <w:r>
        <w:t>management</w:t>
      </w:r>
      <w:r w:rsidR="00A03629">
        <w:t xml:space="preserve"> </w:t>
      </w:r>
      <w:r>
        <w:t>personnel,</w:t>
      </w:r>
      <w:r w:rsidR="00A03629">
        <w:t xml:space="preserve"> </w:t>
      </w:r>
      <w:r>
        <w:t>their</w:t>
      </w:r>
      <w:r w:rsidR="00A03629">
        <w:t xml:space="preserve"> </w:t>
      </w:r>
      <w:r>
        <w:t>close</w:t>
      </w:r>
      <w:r w:rsidR="00A03629">
        <w:t xml:space="preserve"> </w:t>
      </w:r>
      <w:r>
        <w:t>family</w:t>
      </w:r>
      <w:r w:rsidR="00A03629">
        <w:t xml:space="preserve"> </w:t>
      </w:r>
      <w:proofErr w:type="gramStart"/>
      <w:r>
        <w:t>members</w:t>
      </w:r>
      <w:proofErr w:type="gramEnd"/>
      <w:r w:rsidR="00A03629">
        <w:t xml:space="preserve"> </w:t>
      </w:r>
      <w:r>
        <w:t>and</w:t>
      </w:r>
      <w:r w:rsidR="00A03629">
        <w:t xml:space="preserve"> </w:t>
      </w:r>
      <w:r>
        <w:t>their</w:t>
      </w:r>
      <w:r w:rsidR="00A03629">
        <w:t xml:space="preserve"> </w:t>
      </w:r>
      <w:r>
        <w:t>personal</w:t>
      </w:r>
      <w:r w:rsidR="00A03629">
        <w:t xml:space="preserve"> </w:t>
      </w:r>
      <w:r>
        <w:t>business</w:t>
      </w:r>
      <w:r w:rsidR="00A03629">
        <w:t xml:space="preserve"> </w:t>
      </w:r>
      <w:r>
        <w:t>interests.</w:t>
      </w:r>
    </w:p>
    <w:p w14:paraId="10852E5B" w14:textId="7AA3D289" w:rsidR="000756EB" w:rsidRDefault="004A4D88" w:rsidP="00085D09">
      <w:r>
        <w:t>No</w:t>
      </w:r>
      <w:r w:rsidR="00A03629">
        <w:t xml:space="preserve"> </w:t>
      </w:r>
      <w:r>
        <w:t>provision</w:t>
      </w:r>
      <w:r w:rsidR="00A03629">
        <w:t xml:space="preserve"> </w:t>
      </w:r>
      <w:r>
        <w:t>has</w:t>
      </w:r>
      <w:r w:rsidR="00A03629">
        <w:t xml:space="preserve"> </w:t>
      </w:r>
      <w:r>
        <w:t>been</w:t>
      </w:r>
      <w:r w:rsidR="00A03629">
        <w:t xml:space="preserve"> </w:t>
      </w:r>
      <w:r>
        <w:t>required,</w:t>
      </w:r>
      <w:r w:rsidR="00A03629">
        <w:t xml:space="preserve"> </w:t>
      </w:r>
      <w:r>
        <w:t>nor</w:t>
      </w:r>
      <w:r w:rsidR="00A03629">
        <w:t xml:space="preserve"> </w:t>
      </w:r>
      <w:r>
        <w:t>any</w:t>
      </w:r>
      <w:r w:rsidR="00A03629">
        <w:t xml:space="preserve"> </w:t>
      </w:r>
      <w:r>
        <w:t>expense</w:t>
      </w:r>
      <w:r w:rsidR="00A03629">
        <w:t xml:space="preserve"> </w:t>
      </w:r>
      <w:r>
        <w:t>recognised,</w:t>
      </w:r>
      <w:r w:rsidR="00A03629">
        <w:t xml:space="preserve"> </w:t>
      </w:r>
      <w:r>
        <w:t>for</w:t>
      </w:r>
      <w:r w:rsidR="00A03629">
        <w:t xml:space="preserve"> </w:t>
      </w:r>
      <w:r>
        <w:t>impairment</w:t>
      </w:r>
      <w:r w:rsidR="00A03629">
        <w:t xml:space="preserve"> </w:t>
      </w:r>
      <w:r>
        <w:t>of</w:t>
      </w:r>
      <w:r w:rsidR="00A03629">
        <w:t xml:space="preserve"> </w:t>
      </w:r>
      <w:r>
        <w:t>receivables</w:t>
      </w:r>
      <w:r w:rsidR="00A03629">
        <w:t xml:space="preserve"> </w:t>
      </w:r>
      <w:r>
        <w:t>from</w:t>
      </w:r>
      <w:r w:rsidR="00A03629">
        <w:t xml:space="preserve"> </w:t>
      </w:r>
      <w:r>
        <w:t>related</w:t>
      </w:r>
      <w:r w:rsidR="00A03629">
        <w:t xml:space="preserve"> </w:t>
      </w:r>
      <w:r>
        <w:t>parties.</w:t>
      </w:r>
    </w:p>
    <w:p w14:paraId="60500CFB" w14:textId="53B40225" w:rsidR="000756EB" w:rsidRDefault="004A4D88" w:rsidP="00085D09">
      <w:pPr>
        <w:pStyle w:val="Heading2"/>
      </w:pPr>
      <w:bookmarkStart w:id="154" w:name="_Toc149911846"/>
      <w:r>
        <w:lastRenderedPageBreak/>
        <w:t>9.9</w:t>
      </w:r>
      <w:r w:rsidR="00DE38B5">
        <w:t xml:space="preserve"> </w:t>
      </w:r>
      <w:r>
        <w:t>Remuneration</w:t>
      </w:r>
      <w:r w:rsidR="00A03629">
        <w:t xml:space="preserve"> </w:t>
      </w:r>
      <w:r>
        <w:t>of</w:t>
      </w:r>
      <w:r w:rsidR="00A03629">
        <w:t xml:space="preserve"> </w:t>
      </w:r>
      <w:r>
        <w:t>auditors</w:t>
      </w:r>
      <w:bookmarkEnd w:id="154"/>
    </w:p>
    <w:tbl>
      <w:tblPr>
        <w:tblStyle w:val="TableGrid"/>
        <w:tblW w:w="0" w:type="auto"/>
        <w:tblLayout w:type="fixed"/>
        <w:tblLook w:val="0020" w:firstRow="1" w:lastRow="0" w:firstColumn="0" w:lastColumn="0" w:noHBand="0" w:noVBand="0"/>
      </w:tblPr>
      <w:tblGrid>
        <w:gridCol w:w="6236"/>
        <w:gridCol w:w="1701"/>
        <w:gridCol w:w="1701"/>
      </w:tblGrid>
      <w:tr w:rsidR="000756EB" w:rsidRPr="00637D5A" w14:paraId="72DE608D" w14:textId="77777777" w:rsidTr="00637D5A">
        <w:trPr>
          <w:trHeight w:val="60"/>
        </w:trPr>
        <w:tc>
          <w:tcPr>
            <w:tcW w:w="6236" w:type="dxa"/>
          </w:tcPr>
          <w:p w14:paraId="4C2195A1" w14:textId="77777777" w:rsidR="000756EB" w:rsidRPr="00637D5A" w:rsidRDefault="000756EB" w:rsidP="00637D5A">
            <w:pPr>
              <w:pStyle w:val="TableColumnHeading"/>
              <w:rPr>
                <w:sz w:val="20"/>
                <w:szCs w:val="28"/>
              </w:rPr>
            </w:pPr>
            <w:bookmarkStart w:id="155" w:name="ColumnTitles_91"/>
            <w:bookmarkEnd w:id="155"/>
          </w:p>
        </w:tc>
        <w:tc>
          <w:tcPr>
            <w:tcW w:w="1701" w:type="dxa"/>
          </w:tcPr>
          <w:p w14:paraId="3F76272B" w14:textId="2E921664" w:rsidR="000756EB" w:rsidRPr="00637D5A" w:rsidRDefault="004A4D88" w:rsidP="00637D5A">
            <w:pPr>
              <w:pStyle w:val="TableColumnHeading"/>
              <w:jc w:val="right"/>
              <w:rPr>
                <w:sz w:val="20"/>
                <w:szCs w:val="28"/>
              </w:rPr>
            </w:pPr>
            <w:r w:rsidRPr="00637D5A">
              <w:rPr>
                <w:sz w:val="20"/>
                <w:szCs w:val="28"/>
              </w:rPr>
              <w:t>2023</w:t>
            </w:r>
            <w:r w:rsidR="00637D5A" w:rsidRPr="00637D5A">
              <w:rPr>
                <w:sz w:val="20"/>
                <w:szCs w:val="28"/>
              </w:rPr>
              <w:t xml:space="preserve"> ($</w:t>
            </w:r>
            <w:r w:rsidR="00637D5A">
              <w:rPr>
                <w:sz w:val="20"/>
                <w:szCs w:val="28"/>
              </w:rPr>
              <w:t> </w:t>
            </w:r>
            <w:r w:rsidR="00637D5A" w:rsidRPr="00637D5A">
              <w:rPr>
                <w:sz w:val="20"/>
                <w:szCs w:val="28"/>
              </w:rPr>
              <w:t>thousand)</w:t>
            </w:r>
            <w:r w:rsidR="00A03629" w:rsidRPr="00637D5A">
              <w:rPr>
                <w:sz w:val="20"/>
                <w:szCs w:val="28"/>
              </w:rPr>
              <w:t xml:space="preserve"> </w:t>
            </w:r>
          </w:p>
        </w:tc>
        <w:tc>
          <w:tcPr>
            <w:tcW w:w="1701" w:type="dxa"/>
          </w:tcPr>
          <w:p w14:paraId="32C962C1" w14:textId="66AC77EB" w:rsidR="000756EB" w:rsidRPr="00637D5A" w:rsidRDefault="004A4D88" w:rsidP="00637D5A">
            <w:pPr>
              <w:pStyle w:val="TableColumnHeading"/>
              <w:jc w:val="right"/>
              <w:rPr>
                <w:sz w:val="20"/>
                <w:szCs w:val="28"/>
              </w:rPr>
            </w:pPr>
            <w:r w:rsidRPr="00637D5A">
              <w:rPr>
                <w:sz w:val="20"/>
                <w:szCs w:val="28"/>
              </w:rPr>
              <w:t>2022</w:t>
            </w:r>
            <w:r w:rsidR="00637D5A" w:rsidRPr="00637D5A">
              <w:rPr>
                <w:sz w:val="20"/>
                <w:szCs w:val="28"/>
              </w:rPr>
              <w:t xml:space="preserve"> ($</w:t>
            </w:r>
            <w:r w:rsidR="00637D5A">
              <w:rPr>
                <w:sz w:val="20"/>
                <w:szCs w:val="28"/>
              </w:rPr>
              <w:t> </w:t>
            </w:r>
            <w:r w:rsidR="00637D5A" w:rsidRPr="00637D5A">
              <w:rPr>
                <w:sz w:val="20"/>
                <w:szCs w:val="28"/>
              </w:rPr>
              <w:t>thousand)</w:t>
            </w:r>
          </w:p>
        </w:tc>
      </w:tr>
      <w:tr w:rsidR="000756EB" w:rsidRPr="00637D5A" w14:paraId="4A8F5FA3" w14:textId="77777777" w:rsidTr="00637D5A">
        <w:trPr>
          <w:trHeight w:val="60"/>
        </w:trPr>
        <w:tc>
          <w:tcPr>
            <w:tcW w:w="6236" w:type="dxa"/>
          </w:tcPr>
          <w:p w14:paraId="582AE447" w14:textId="7805CB51" w:rsidR="000756EB" w:rsidRPr="00637D5A" w:rsidRDefault="004A4D88" w:rsidP="00637D5A">
            <w:pPr>
              <w:pStyle w:val="TableHeading"/>
            </w:pPr>
            <w:r w:rsidRPr="00637D5A">
              <w:t>Victorian</w:t>
            </w:r>
            <w:r w:rsidR="00A03629" w:rsidRPr="00637D5A">
              <w:t xml:space="preserve"> </w:t>
            </w:r>
            <w:r w:rsidRPr="00637D5A">
              <w:t>Auditor-General’s</w:t>
            </w:r>
            <w:r w:rsidR="00A03629" w:rsidRPr="00637D5A">
              <w:t xml:space="preserve"> </w:t>
            </w:r>
            <w:r w:rsidRPr="00637D5A">
              <w:t>Office</w:t>
            </w:r>
          </w:p>
        </w:tc>
        <w:tc>
          <w:tcPr>
            <w:tcW w:w="1701" w:type="dxa"/>
          </w:tcPr>
          <w:p w14:paraId="008456BB" w14:textId="77777777" w:rsidR="000756EB" w:rsidRPr="00637D5A" w:rsidRDefault="000756EB" w:rsidP="00637D5A">
            <w:pPr>
              <w:pStyle w:val="TableHeading"/>
              <w:jc w:val="right"/>
              <w:rPr>
                <w:lang w:val="en-AU"/>
              </w:rPr>
            </w:pPr>
          </w:p>
        </w:tc>
        <w:tc>
          <w:tcPr>
            <w:tcW w:w="1701" w:type="dxa"/>
          </w:tcPr>
          <w:p w14:paraId="6FFFFCBA" w14:textId="77777777" w:rsidR="000756EB" w:rsidRPr="00637D5A" w:rsidRDefault="000756EB" w:rsidP="00637D5A">
            <w:pPr>
              <w:pStyle w:val="TableHeading"/>
              <w:jc w:val="right"/>
              <w:rPr>
                <w:lang w:val="en-AU"/>
              </w:rPr>
            </w:pPr>
          </w:p>
        </w:tc>
      </w:tr>
      <w:tr w:rsidR="000756EB" w14:paraId="6CF9FABD" w14:textId="77777777" w:rsidTr="00637D5A">
        <w:trPr>
          <w:trHeight w:val="60"/>
        </w:trPr>
        <w:tc>
          <w:tcPr>
            <w:tcW w:w="6236" w:type="dxa"/>
          </w:tcPr>
          <w:p w14:paraId="7954BD2A" w14:textId="048FF9ED" w:rsidR="000756EB" w:rsidRDefault="004A4D88" w:rsidP="00637D5A">
            <w:pPr>
              <w:pStyle w:val="TableCopy"/>
              <w:keepNext/>
            </w:pPr>
            <w:r>
              <w:t>Audit</w:t>
            </w:r>
            <w:r w:rsidR="00A03629">
              <w:t xml:space="preserve"> </w:t>
            </w:r>
            <w:r>
              <w:t>of</w:t>
            </w:r>
            <w:r w:rsidR="00A03629">
              <w:t xml:space="preserve"> </w:t>
            </w:r>
            <w:r>
              <w:t>the</w:t>
            </w:r>
            <w:r w:rsidR="00A03629">
              <w:t xml:space="preserve"> </w:t>
            </w:r>
            <w:r>
              <w:t>financial</w:t>
            </w:r>
            <w:r w:rsidR="00A03629">
              <w:t xml:space="preserve"> </w:t>
            </w:r>
            <w:r>
              <w:t>statements</w:t>
            </w:r>
          </w:p>
        </w:tc>
        <w:tc>
          <w:tcPr>
            <w:tcW w:w="1701" w:type="dxa"/>
          </w:tcPr>
          <w:p w14:paraId="42E9E301" w14:textId="467A4A46" w:rsidR="000756EB" w:rsidRDefault="004A4D88" w:rsidP="00637D5A">
            <w:pPr>
              <w:pStyle w:val="TableCopy"/>
              <w:keepNext/>
              <w:jc w:val="right"/>
            </w:pPr>
            <w:r>
              <w:t>430</w:t>
            </w:r>
          </w:p>
        </w:tc>
        <w:tc>
          <w:tcPr>
            <w:tcW w:w="1701" w:type="dxa"/>
          </w:tcPr>
          <w:p w14:paraId="21B662D3" w14:textId="3BFCD671" w:rsidR="000756EB" w:rsidRDefault="004A4D88" w:rsidP="00637D5A">
            <w:pPr>
              <w:pStyle w:val="TableCopy"/>
              <w:keepNext/>
              <w:jc w:val="right"/>
            </w:pPr>
            <w:r>
              <w:t>350</w:t>
            </w:r>
          </w:p>
        </w:tc>
      </w:tr>
      <w:tr w:rsidR="000756EB" w:rsidRPr="00637D5A" w14:paraId="4DC9D37C" w14:textId="77777777" w:rsidTr="00637D5A">
        <w:trPr>
          <w:trHeight w:val="60"/>
        </w:trPr>
        <w:tc>
          <w:tcPr>
            <w:tcW w:w="6236" w:type="dxa"/>
          </w:tcPr>
          <w:p w14:paraId="4D150671" w14:textId="77777777" w:rsidR="000756EB" w:rsidRPr="00637D5A" w:rsidRDefault="004A4D88" w:rsidP="00637D5A">
            <w:pPr>
              <w:pStyle w:val="TableCopy"/>
              <w:rPr>
                <w:b/>
                <w:bCs/>
              </w:rPr>
            </w:pPr>
            <w:r w:rsidRPr="00637D5A">
              <w:rPr>
                <w:b/>
                <w:bCs/>
              </w:rPr>
              <w:t>Total</w:t>
            </w:r>
          </w:p>
        </w:tc>
        <w:tc>
          <w:tcPr>
            <w:tcW w:w="1701" w:type="dxa"/>
          </w:tcPr>
          <w:p w14:paraId="3AA4F88A" w14:textId="5C802AF5" w:rsidR="000756EB" w:rsidRPr="00637D5A" w:rsidRDefault="004A4D88" w:rsidP="00637D5A">
            <w:pPr>
              <w:pStyle w:val="TableCopy"/>
              <w:jc w:val="right"/>
              <w:rPr>
                <w:b/>
                <w:bCs/>
              </w:rPr>
            </w:pPr>
            <w:r w:rsidRPr="00637D5A">
              <w:rPr>
                <w:b/>
                <w:bCs/>
              </w:rPr>
              <w:t>430</w:t>
            </w:r>
          </w:p>
        </w:tc>
        <w:tc>
          <w:tcPr>
            <w:tcW w:w="1701" w:type="dxa"/>
          </w:tcPr>
          <w:p w14:paraId="65DF97A7" w14:textId="6DBB73EE" w:rsidR="000756EB" w:rsidRPr="00637D5A" w:rsidRDefault="004A4D88" w:rsidP="00637D5A">
            <w:pPr>
              <w:pStyle w:val="TableCopy"/>
              <w:jc w:val="right"/>
              <w:rPr>
                <w:b/>
                <w:bCs/>
              </w:rPr>
            </w:pPr>
            <w:r w:rsidRPr="00637D5A">
              <w:rPr>
                <w:b/>
                <w:bCs/>
              </w:rPr>
              <w:t>350</w:t>
            </w:r>
          </w:p>
        </w:tc>
      </w:tr>
    </w:tbl>
    <w:p w14:paraId="52C31283" w14:textId="77777777" w:rsidR="000756EB" w:rsidRDefault="000756EB" w:rsidP="00637D5A"/>
    <w:p w14:paraId="3925B606" w14:textId="66B17B5D" w:rsidR="000756EB" w:rsidRDefault="004A4D88" w:rsidP="00637D5A">
      <w:pPr>
        <w:pStyle w:val="Heading2"/>
      </w:pPr>
      <w:bookmarkStart w:id="156" w:name="_Toc149911847"/>
      <w:r>
        <w:t>9.10</w:t>
      </w:r>
      <w:r w:rsidR="00DE38B5">
        <w:t xml:space="preserve"> </w:t>
      </w:r>
      <w:r>
        <w:t>Subsequent</w:t>
      </w:r>
      <w:r w:rsidR="00A03629">
        <w:t xml:space="preserve"> </w:t>
      </w:r>
      <w:r>
        <w:t>events</w:t>
      </w:r>
      <w:bookmarkEnd w:id="156"/>
    </w:p>
    <w:p w14:paraId="76C4E7E8" w14:textId="472A964E" w:rsidR="000756EB" w:rsidRDefault="004A4D88" w:rsidP="00637D5A">
      <w:r>
        <w:t>On</w:t>
      </w:r>
      <w:r w:rsidR="00A03629">
        <w:t xml:space="preserve"> </w:t>
      </w:r>
      <w:r>
        <w:t>18</w:t>
      </w:r>
      <w:r w:rsidR="00A03629">
        <w:t xml:space="preserve"> </w:t>
      </w:r>
      <w:r>
        <w:t>July</w:t>
      </w:r>
      <w:r w:rsidR="00A03629">
        <w:t xml:space="preserve"> </w:t>
      </w:r>
      <w:r>
        <w:t>2023</w:t>
      </w:r>
      <w:r w:rsidR="00A03629">
        <w:t xml:space="preserve"> </w:t>
      </w:r>
      <w:r>
        <w:t>it</w:t>
      </w:r>
      <w:r w:rsidR="00A03629">
        <w:t xml:space="preserve"> </w:t>
      </w:r>
      <w:r>
        <w:t>was</w:t>
      </w:r>
      <w:r w:rsidR="00A03629">
        <w:t xml:space="preserve"> </w:t>
      </w:r>
      <w:r>
        <w:t>announced</w:t>
      </w:r>
      <w:r w:rsidR="00A03629">
        <w:t xml:space="preserve"> </w:t>
      </w:r>
      <w:r>
        <w:t>that</w:t>
      </w:r>
      <w:r w:rsidR="00A03629">
        <w:t xml:space="preserve"> </w:t>
      </w:r>
      <w:r>
        <w:t>Victoria</w:t>
      </w:r>
      <w:r w:rsidR="00A03629">
        <w:t xml:space="preserve"> </w:t>
      </w:r>
      <w:r>
        <w:t>would</w:t>
      </w:r>
      <w:r w:rsidR="00A03629">
        <w:t xml:space="preserve"> </w:t>
      </w:r>
      <w:r>
        <w:t>no</w:t>
      </w:r>
      <w:r w:rsidR="00A03629">
        <w:t xml:space="preserve"> </w:t>
      </w:r>
      <w:r>
        <w:t>longer</w:t>
      </w:r>
      <w:r w:rsidR="00A03629">
        <w:t xml:space="preserve"> </w:t>
      </w:r>
      <w:r>
        <w:t>host</w:t>
      </w:r>
      <w:r w:rsidR="00A03629">
        <w:t xml:space="preserve"> </w:t>
      </w:r>
      <w:r>
        <w:t>the</w:t>
      </w:r>
      <w:r w:rsidR="00A03629">
        <w:t xml:space="preserve"> </w:t>
      </w:r>
      <w:r>
        <w:t>2026</w:t>
      </w:r>
      <w:r w:rsidR="00A03629">
        <w:t xml:space="preserve"> </w:t>
      </w:r>
      <w:r>
        <w:t>Commonwealth</w:t>
      </w:r>
      <w:r w:rsidR="00A03629">
        <w:t xml:space="preserve"> </w:t>
      </w:r>
      <w:r>
        <w:t>Games.</w:t>
      </w:r>
      <w:r w:rsidR="00A03629">
        <w:t xml:space="preserve"> </w:t>
      </w:r>
      <w:r>
        <w:t>Subsequently,</w:t>
      </w:r>
      <w:r w:rsidR="00A03629">
        <w:t xml:space="preserve"> </w:t>
      </w:r>
      <w:r>
        <w:t>on</w:t>
      </w:r>
      <w:r w:rsidR="00A03629">
        <w:t xml:space="preserve"> </w:t>
      </w:r>
      <w:r>
        <w:t>19</w:t>
      </w:r>
      <w:r w:rsidR="00A03629">
        <w:t xml:space="preserve"> </w:t>
      </w:r>
      <w:r>
        <w:t>August</w:t>
      </w:r>
      <w:r w:rsidR="00A03629">
        <w:t xml:space="preserve"> </w:t>
      </w:r>
      <w:r>
        <w:t>2023</w:t>
      </w:r>
      <w:r w:rsidR="00A03629">
        <w:t xml:space="preserve"> </w:t>
      </w:r>
      <w:r>
        <w:t>the</w:t>
      </w:r>
      <w:r w:rsidR="00A03629">
        <w:t xml:space="preserve"> </w:t>
      </w:r>
      <w:r>
        <w:t>Commonwealth</w:t>
      </w:r>
      <w:r w:rsidR="00A03629">
        <w:t xml:space="preserve"> </w:t>
      </w:r>
      <w:r>
        <w:t>Games</w:t>
      </w:r>
      <w:r w:rsidR="00A03629">
        <w:t xml:space="preserve"> </w:t>
      </w:r>
      <w:r>
        <w:t>Federation,</w:t>
      </w:r>
      <w:r w:rsidR="00A03629">
        <w:t xml:space="preserve"> </w:t>
      </w:r>
      <w:r>
        <w:t>Commonwealth</w:t>
      </w:r>
      <w:r w:rsidR="00A03629">
        <w:t xml:space="preserve"> </w:t>
      </w:r>
      <w:r>
        <w:t>Games</w:t>
      </w:r>
      <w:r w:rsidR="00A03629">
        <w:t xml:space="preserve"> </w:t>
      </w:r>
      <w:r>
        <w:t>Federation</w:t>
      </w:r>
      <w:r w:rsidR="00A03629">
        <w:t xml:space="preserve"> </w:t>
      </w:r>
      <w:r>
        <w:t>Partnerships</w:t>
      </w:r>
      <w:r w:rsidR="00A03629">
        <w:t xml:space="preserve"> </w:t>
      </w:r>
      <w:r>
        <w:t>and</w:t>
      </w:r>
      <w:r w:rsidR="00A03629">
        <w:t xml:space="preserve"> </w:t>
      </w:r>
      <w:r>
        <w:t>Commonwealth</w:t>
      </w:r>
      <w:r w:rsidR="00A03629">
        <w:t xml:space="preserve"> </w:t>
      </w:r>
      <w:r>
        <w:t>Games</w:t>
      </w:r>
      <w:r w:rsidR="00A03629">
        <w:t xml:space="preserve"> </w:t>
      </w:r>
      <w:r>
        <w:t>Australia</w:t>
      </w:r>
      <w:r w:rsidR="00A03629">
        <w:t xml:space="preserve"> </w:t>
      </w:r>
      <w:r>
        <w:t>(the</w:t>
      </w:r>
      <w:r w:rsidR="00A03629">
        <w:t xml:space="preserve"> </w:t>
      </w:r>
      <w:r>
        <w:t>‘Commonwealth</w:t>
      </w:r>
      <w:r w:rsidR="00A03629">
        <w:t xml:space="preserve"> </w:t>
      </w:r>
      <w:r>
        <w:t>Games</w:t>
      </w:r>
      <w:r w:rsidR="00A03629">
        <w:t xml:space="preserve"> </w:t>
      </w:r>
      <w:r>
        <w:t>parties’)</w:t>
      </w:r>
      <w:r w:rsidR="00A03629">
        <w:t xml:space="preserve"> </w:t>
      </w:r>
      <w:r>
        <w:t>and</w:t>
      </w:r>
      <w:r w:rsidR="00A03629">
        <w:t xml:space="preserve"> </w:t>
      </w:r>
      <w:r>
        <w:t>the</w:t>
      </w:r>
      <w:r w:rsidR="00A03629">
        <w:t xml:space="preserve"> </w:t>
      </w:r>
      <w:r>
        <w:t>State</w:t>
      </w:r>
      <w:r w:rsidR="00A03629">
        <w:t xml:space="preserve"> </w:t>
      </w:r>
      <w:r>
        <w:t>of</w:t>
      </w:r>
      <w:r w:rsidR="00A03629">
        <w:t xml:space="preserve"> </w:t>
      </w:r>
      <w:r>
        <w:t>Victoria</w:t>
      </w:r>
      <w:r w:rsidR="00A03629">
        <w:t xml:space="preserve"> </w:t>
      </w:r>
      <w:r>
        <w:t>announced</w:t>
      </w:r>
      <w:r w:rsidR="00A03629">
        <w:t xml:space="preserve"> </w:t>
      </w:r>
      <w:r>
        <w:t>they</w:t>
      </w:r>
      <w:r w:rsidR="00A03629">
        <w:t xml:space="preserve"> </w:t>
      </w:r>
      <w:r>
        <w:t>had</w:t>
      </w:r>
      <w:r w:rsidR="00A03629">
        <w:t xml:space="preserve"> </w:t>
      </w:r>
      <w:r>
        <w:t>settled</w:t>
      </w:r>
      <w:r w:rsidR="00A03629">
        <w:t xml:space="preserve"> </w:t>
      </w:r>
      <w:r>
        <w:t>all</w:t>
      </w:r>
      <w:r w:rsidR="00A03629">
        <w:t xml:space="preserve"> </w:t>
      </w:r>
      <w:r>
        <w:t>their</w:t>
      </w:r>
      <w:r w:rsidR="00A03629">
        <w:t xml:space="preserve"> </w:t>
      </w:r>
      <w:r>
        <w:t>disputes</w:t>
      </w:r>
      <w:r w:rsidR="00A03629">
        <w:t xml:space="preserve"> </w:t>
      </w:r>
      <w:r>
        <w:t>regarding</w:t>
      </w:r>
      <w:r w:rsidR="00A03629">
        <w:t xml:space="preserve"> </w:t>
      </w:r>
      <w:r>
        <w:t>the</w:t>
      </w:r>
      <w:r w:rsidR="00A03629">
        <w:t xml:space="preserve"> </w:t>
      </w:r>
      <w:r>
        <w:t>cancellation</w:t>
      </w:r>
      <w:r w:rsidR="00A03629">
        <w:t xml:space="preserve"> </w:t>
      </w:r>
      <w:r>
        <w:t>of</w:t>
      </w:r>
      <w:r w:rsidR="00A03629">
        <w:t xml:space="preserve"> </w:t>
      </w:r>
      <w:r>
        <w:t>the</w:t>
      </w:r>
      <w:r w:rsidR="00A03629">
        <w:t xml:space="preserve"> </w:t>
      </w:r>
      <w:r>
        <w:t>Games.</w:t>
      </w:r>
      <w:r w:rsidR="00A03629">
        <w:t xml:space="preserve"> </w:t>
      </w:r>
      <w:r>
        <w:t>The</w:t>
      </w:r>
      <w:r w:rsidR="00A03629">
        <w:t xml:space="preserve"> </w:t>
      </w:r>
      <w:r>
        <w:t>State</w:t>
      </w:r>
      <w:r w:rsidR="00A03629">
        <w:t xml:space="preserve"> </w:t>
      </w:r>
      <w:r>
        <w:t>of</w:t>
      </w:r>
      <w:r w:rsidR="00A03629">
        <w:t xml:space="preserve"> </w:t>
      </w:r>
      <w:r>
        <w:t>Victoria</w:t>
      </w:r>
      <w:r w:rsidR="00A03629">
        <w:t xml:space="preserve"> </w:t>
      </w:r>
      <w:r>
        <w:t>has</w:t>
      </w:r>
      <w:r w:rsidR="00A03629">
        <w:t xml:space="preserve"> </w:t>
      </w:r>
      <w:r>
        <w:t>agreed</w:t>
      </w:r>
      <w:r w:rsidR="00A03629">
        <w:t xml:space="preserve"> </w:t>
      </w:r>
      <w:r>
        <w:t>to</w:t>
      </w:r>
      <w:r w:rsidR="00A03629">
        <w:t xml:space="preserve"> </w:t>
      </w:r>
      <w:r>
        <w:t>pay</w:t>
      </w:r>
      <w:r w:rsidR="00A03629">
        <w:t xml:space="preserve"> </w:t>
      </w:r>
      <w:r>
        <w:t>$380</w:t>
      </w:r>
      <w:r w:rsidR="00A03629">
        <w:t xml:space="preserve"> </w:t>
      </w:r>
      <w:r>
        <w:t>million</w:t>
      </w:r>
      <w:r w:rsidR="00A03629">
        <w:t xml:space="preserve"> </w:t>
      </w:r>
      <w:r>
        <w:t>to</w:t>
      </w:r>
      <w:r w:rsidR="00A03629">
        <w:t xml:space="preserve"> </w:t>
      </w:r>
      <w:r>
        <w:t>the</w:t>
      </w:r>
      <w:r w:rsidR="00A03629">
        <w:t xml:space="preserve"> </w:t>
      </w:r>
      <w:r>
        <w:t>Commonwealth</w:t>
      </w:r>
      <w:r w:rsidR="00A03629">
        <w:t xml:space="preserve"> </w:t>
      </w:r>
      <w:r>
        <w:t>Games</w:t>
      </w:r>
      <w:r w:rsidR="00A03629">
        <w:t xml:space="preserve"> </w:t>
      </w:r>
      <w:r>
        <w:t>parties</w:t>
      </w:r>
      <w:r w:rsidR="00A03629">
        <w:t xml:space="preserve"> </w:t>
      </w:r>
      <w:r>
        <w:t>in</w:t>
      </w:r>
      <w:r w:rsidR="00A03629">
        <w:t xml:space="preserve"> </w:t>
      </w:r>
      <w:r>
        <w:t>full</w:t>
      </w:r>
      <w:r w:rsidR="00A03629">
        <w:t xml:space="preserve"> </w:t>
      </w:r>
      <w:r>
        <w:t>and</w:t>
      </w:r>
      <w:r w:rsidR="00A03629">
        <w:t xml:space="preserve"> </w:t>
      </w:r>
      <w:r>
        <w:t>final</w:t>
      </w:r>
      <w:r w:rsidR="00A03629">
        <w:t xml:space="preserve"> </w:t>
      </w:r>
      <w:r>
        <w:t>settlement.</w:t>
      </w:r>
      <w:r w:rsidR="00A03629">
        <w:t xml:space="preserve"> </w:t>
      </w:r>
      <w:r>
        <w:t>DJSIR</w:t>
      </w:r>
      <w:r w:rsidR="00A03629">
        <w:t xml:space="preserve"> </w:t>
      </w:r>
      <w:r>
        <w:t>will</w:t>
      </w:r>
      <w:r w:rsidR="00A03629">
        <w:t xml:space="preserve"> </w:t>
      </w:r>
      <w:r>
        <w:t>not</w:t>
      </w:r>
      <w:r w:rsidR="00A03629">
        <w:t xml:space="preserve"> </w:t>
      </w:r>
      <w:r>
        <w:t>be</w:t>
      </w:r>
      <w:r w:rsidR="00A03629">
        <w:t xml:space="preserve"> </w:t>
      </w:r>
      <w:r>
        <w:t>responsible</w:t>
      </w:r>
      <w:r w:rsidR="00A03629">
        <w:t xml:space="preserve"> </w:t>
      </w:r>
      <w:r>
        <w:t>for</w:t>
      </w:r>
      <w:r w:rsidR="00A03629">
        <w:t xml:space="preserve"> </w:t>
      </w:r>
      <w:r>
        <w:t>making</w:t>
      </w:r>
      <w:r w:rsidR="00A03629">
        <w:t xml:space="preserve"> </w:t>
      </w:r>
      <w:r>
        <w:t>payment</w:t>
      </w:r>
      <w:r w:rsidR="00A03629">
        <w:t xml:space="preserve"> </w:t>
      </w:r>
      <w:r>
        <w:t>of</w:t>
      </w:r>
      <w:r w:rsidR="00A03629">
        <w:t xml:space="preserve"> </w:t>
      </w:r>
      <w:r>
        <w:t>the</w:t>
      </w:r>
      <w:r w:rsidR="00A03629">
        <w:t xml:space="preserve"> </w:t>
      </w:r>
      <w:r>
        <w:t>final</w:t>
      </w:r>
      <w:r w:rsidR="00A03629">
        <w:t xml:space="preserve"> </w:t>
      </w:r>
      <w:r>
        <w:t>settlement</w:t>
      </w:r>
      <w:r w:rsidR="00A03629">
        <w:t xml:space="preserve"> </w:t>
      </w:r>
      <w:r>
        <w:t>amount</w:t>
      </w:r>
      <w:r w:rsidR="00A03629">
        <w:t xml:space="preserve"> </w:t>
      </w:r>
      <w:r>
        <w:t>on</w:t>
      </w:r>
      <w:r w:rsidR="00A03629">
        <w:t xml:space="preserve"> </w:t>
      </w:r>
      <w:r>
        <w:t>behalf</w:t>
      </w:r>
      <w:r w:rsidR="00A03629">
        <w:t xml:space="preserve"> </w:t>
      </w:r>
      <w:r>
        <w:t>of</w:t>
      </w:r>
      <w:r w:rsidR="00A03629">
        <w:t xml:space="preserve"> </w:t>
      </w:r>
      <w:r>
        <w:t>the</w:t>
      </w:r>
      <w:r w:rsidR="00A03629">
        <w:t xml:space="preserve"> </w:t>
      </w:r>
      <w:r>
        <w:t>State.</w:t>
      </w:r>
      <w:r w:rsidR="00A03629">
        <w:t xml:space="preserve"> </w:t>
      </w:r>
    </w:p>
    <w:p w14:paraId="7B01A66A" w14:textId="35CF6EFE" w:rsidR="000756EB" w:rsidRDefault="004A4D88" w:rsidP="00637D5A">
      <w:r>
        <w:t>As</w:t>
      </w:r>
      <w:r w:rsidR="00A03629">
        <w:t xml:space="preserve"> </w:t>
      </w:r>
      <w:r>
        <w:t>at</w:t>
      </w:r>
      <w:r w:rsidR="00A03629">
        <w:t xml:space="preserve"> </w:t>
      </w:r>
      <w:r>
        <w:t>the</w:t>
      </w:r>
      <w:r w:rsidR="00A03629">
        <w:t xml:space="preserve"> </w:t>
      </w:r>
      <w:r>
        <w:t>date</w:t>
      </w:r>
      <w:r w:rsidR="00A03629">
        <w:t xml:space="preserve"> </w:t>
      </w:r>
      <w:r>
        <w:t>of</w:t>
      </w:r>
      <w:r w:rsidR="00A03629">
        <w:t xml:space="preserve"> </w:t>
      </w:r>
      <w:r>
        <w:t>the</w:t>
      </w:r>
      <w:r w:rsidR="00A03629">
        <w:t xml:space="preserve"> </w:t>
      </w:r>
      <w:r>
        <w:t>preparation</w:t>
      </w:r>
      <w:r w:rsidR="00A03629">
        <w:t xml:space="preserve"> </w:t>
      </w:r>
      <w:r>
        <w:t>of</w:t>
      </w:r>
      <w:r w:rsidR="00A03629">
        <w:t xml:space="preserve"> </w:t>
      </w:r>
      <w:r>
        <w:t>the</w:t>
      </w:r>
      <w:r w:rsidR="00A03629">
        <w:t xml:space="preserve"> </w:t>
      </w:r>
      <w:r>
        <w:t>financial</w:t>
      </w:r>
      <w:r w:rsidR="00A03629">
        <w:t xml:space="preserve"> </w:t>
      </w:r>
      <w:r>
        <w:t>statements</w:t>
      </w:r>
      <w:r w:rsidR="00A03629">
        <w:t xml:space="preserve"> </w:t>
      </w:r>
      <w:r>
        <w:t>there</w:t>
      </w:r>
      <w:r w:rsidR="00A03629">
        <w:t xml:space="preserve"> </w:t>
      </w:r>
      <w:r>
        <w:t>are</w:t>
      </w:r>
      <w:r w:rsidR="00A03629">
        <w:t xml:space="preserve"> </w:t>
      </w:r>
      <w:r>
        <w:t>no</w:t>
      </w:r>
      <w:r w:rsidR="00A03629">
        <w:t xml:space="preserve"> </w:t>
      </w:r>
      <w:r>
        <w:t>material</w:t>
      </w:r>
      <w:r w:rsidR="00A03629">
        <w:t xml:space="preserve"> </w:t>
      </w:r>
      <w:r>
        <w:t>impacts</w:t>
      </w:r>
      <w:r w:rsidR="00A03629">
        <w:t xml:space="preserve"> </w:t>
      </w:r>
      <w:r>
        <w:t>on</w:t>
      </w:r>
      <w:r w:rsidR="00A03629">
        <w:t xml:space="preserve"> </w:t>
      </w:r>
      <w:r>
        <w:t>DJSIR’s</w:t>
      </w:r>
      <w:r w:rsidR="00A03629">
        <w:t xml:space="preserve"> </w:t>
      </w:r>
      <w:r>
        <w:t>2022–23</w:t>
      </w:r>
      <w:r w:rsidR="00A03629">
        <w:t xml:space="preserve"> </w:t>
      </w:r>
      <w:r>
        <w:t>accounts</w:t>
      </w:r>
      <w:r w:rsidR="00A03629">
        <w:t xml:space="preserve"> </w:t>
      </w:r>
      <w:r>
        <w:t>and</w:t>
      </w:r>
      <w:r w:rsidR="00A03629">
        <w:t xml:space="preserve"> </w:t>
      </w:r>
      <w:r>
        <w:t>disclosures.</w:t>
      </w:r>
    </w:p>
    <w:p w14:paraId="095A2985" w14:textId="1E2CD199" w:rsidR="000756EB" w:rsidRDefault="004A4D88" w:rsidP="00637D5A">
      <w:r>
        <w:t>Effective</w:t>
      </w:r>
      <w:r w:rsidR="00A03629">
        <w:t xml:space="preserve"> </w:t>
      </w:r>
      <w:r>
        <w:t>from</w:t>
      </w:r>
      <w:r w:rsidR="00A03629">
        <w:t xml:space="preserve"> </w:t>
      </w:r>
      <w:r>
        <w:t>1</w:t>
      </w:r>
      <w:r w:rsidR="00A03629">
        <w:t xml:space="preserve"> </w:t>
      </w:r>
      <w:r>
        <w:t>August</w:t>
      </w:r>
      <w:r w:rsidR="00A03629">
        <w:t xml:space="preserve"> </w:t>
      </w:r>
      <w:r>
        <w:t>2023,</w:t>
      </w:r>
      <w:r w:rsidR="00A03629">
        <w:t xml:space="preserve"> </w:t>
      </w:r>
      <w:r>
        <w:t>the</w:t>
      </w:r>
      <w:r w:rsidR="00A03629">
        <w:t xml:space="preserve"> </w:t>
      </w:r>
      <w:r>
        <w:t>Secretary,</w:t>
      </w:r>
      <w:r w:rsidR="00A03629">
        <w:t xml:space="preserve"> </w:t>
      </w:r>
      <w:r>
        <w:t>Project</w:t>
      </w:r>
      <w:r w:rsidR="00A03629">
        <w:t xml:space="preserve"> </w:t>
      </w:r>
      <w:r>
        <w:t>Development</w:t>
      </w:r>
      <w:r w:rsidR="00A03629">
        <w:t xml:space="preserve"> </w:t>
      </w:r>
      <w:r>
        <w:t>(body</w:t>
      </w:r>
      <w:r w:rsidR="00A03629">
        <w:t xml:space="preserve"> </w:t>
      </w:r>
      <w:r>
        <w:t>corporate</w:t>
      </w:r>
      <w:r w:rsidR="00A03629">
        <w:t xml:space="preserve"> </w:t>
      </w:r>
      <w:r>
        <w:t>established</w:t>
      </w:r>
      <w:r w:rsidR="00A03629">
        <w:t xml:space="preserve"> </w:t>
      </w:r>
      <w:r>
        <w:t>under</w:t>
      </w:r>
      <w:r w:rsidR="00A03629">
        <w:t xml:space="preserve"> </w:t>
      </w:r>
      <w:r>
        <w:t>Section</w:t>
      </w:r>
      <w:r w:rsidR="00A03629">
        <w:t xml:space="preserve"> </w:t>
      </w:r>
      <w:r>
        <w:t>41A</w:t>
      </w:r>
      <w:r w:rsidR="00A03629">
        <w:t xml:space="preserve"> </w:t>
      </w:r>
      <w:r>
        <w:t>of</w:t>
      </w:r>
      <w:r w:rsidR="00A03629">
        <w:t xml:space="preserve"> </w:t>
      </w:r>
      <w:r>
        <w:t>the</w:t>
      </w:r>
      <w:r w:rsidR="00A03629">
        <w:t xml:space="preserve"> </w:t>
      </w:r>
      <w:r w:rsidRPr="00637D5A">
        <w:rPr>
          <w:i/>
          <w:iCs/>
        </w:rPr>
        <w:t>Project</w:t>
      </w:r>
      <w:r w:rsidR="00A03629" w:rsidRPr="00637D5A">
        <w:rPr>
          <w:i/>
          <w:iCs/>
        </w:rPr>
        <w:t xml:space="preserve"> </w:t>
      </w:r>
      <w:r w:rsidRPr="00637D5A">
        <w:rPr>
          <w:i/>
          <w:iCs/>
        </w:rPr>
        <w:t>Development</w:t>
      </w:r>
      <w:r w:rsidR="00A03629" w:rsidRPr="00637D5A">
        <w:rPr>
          <w:i/>
          <w:iCs/>
        </w:rPr>
        <w:t xml:space="preserve"> </w:t>
      </w:r>
      <w:r w:rsidRPr="00637D5A">
        <w:rPr>
          <w:i/>
          <w:iCs/>
        </w:rPr>
        <w:t>and</w:t>
      </w:r>
      <w:r w:rsidR="00A03629" w:rsidRPr="00637D5A">
        <w:rPr>
          <w:i/>
          <w:iCs/>
        </w:rPr>
        <w:t xml:space="preserve"> </w:t>
      </w:r>
      <w:r w:rsidRPr="00637D5A">
        <w:rPr>
          <w:i/>
          <w:iCs/>
        </w:rPr>
        <w:t>Construction</w:t>
      </w:r>
      <w:r w:rsidR="00A03629" w:rsidRPr="00637D5A">
        <w:rPr>
          <w:i/>
          <w:iCs/>
        </w:rPr>
        <w:t xml:space="preserve"> </w:t>
      </w:r>
      <w:r w:rsidRPr="00637D5A">
        <w:rPr>
          <w:i/>
          <w:iCs/>
        </w:rPr>
        <w:t>Management</w:t>
      </w:r>
      <w:r w:rsidR="00A03629" w:rsidRPr="00637D5A">
        <w:rPr>
          <w:i/>
          <w:iCs/>
        </w:rPr>
        <w:t xml:space="preserve"> </w:t>
      </w:r>
      <w:r w:rsidRPr="00637D5A">
        <w:rPr>
          <w:i/>
          <w:iCs/>
        </w:rPr>
        <w:t>Act</w:t>
      </w:r>
      <w:r w:rsidR="00A03629" w:rsidRPr="00637D5A">
        <w:rPr>
          <w:i/>
          <w:iCs/>
        </w:rPr>
        <w:t xml:space="preserve"> </w:t>
      </w:r>
      <w:r w:rsidRPr="00637D5A">
        <w:rPr>
          <w:i/>
          <w:iCs/>
        </w:rPr>
        <w:t>1994</w:t>
      </w:r>
      <w:r>
        <w:t>)</w:t>
      </w:r>
      <w:r w:rsidR="00A03629">
        <w:t xml:space="preserve"> </w:t>
      </w:r>
      <w:r>
        <w:t>that</w:t>
      </w:r>
      <w:r w:rsidR="00A03629">
        <w:t xml:space="preserve"> </w:t>
      </w:r>
      <w:r>
        <w:t>was</w:t>
      </w:r>
      <w:r w:rsidR="00A03629">
        <w:t xml:space="preserve"> </w:t>
      </w:r>
      <w:r>
        <w:t>established</w:t>
      </w:r>
      <w:r w:rsidR="00A03629">
        <w:t xml:space="preserve"> </w:t>
      </w:r>
      <w:r>
        <w:t>to</w:t>
      </w:r>
      <w:r w:rsidR="00A03629">
        <w:t xml:space="preserve"> </w:t>
      </w:r>
      <w:r>
        <w:t>facilitate</w:t>
      </w:r>
      <w:r w:rsidR="00A03629">
        <w:t xml:space="preserve"> </w:t>
      </w:r>
      <w:r>
        <w:t>and</w:t>
      </w:r>
      <w:r w:rsidR="00A03629">
        <w:t xml:space="preserve"> </w:t>
      </w:r>
      <w:r>
        <w:t>manage</w:t>
      </w:r>
      <w:r w:rsidR="00A03629">
        <w:t xml:space="preserve"> </w:t>
      </w:r>
      <w:r>
        <w:t>public</w:t>
      </w:r>
      <w:r w:rsidR="00A03629">
        <w:t xml:space="preserve"> </w:t>
      </w:r>
      <w:r>
        <w:t>construction</w:t>
      </w:r>
      <w:r w:rsidR="00A03629">
        <w:t xml:space="preserve"> </w:t>
      </w:r>
      <w:r>
        <w:t>for</w:t>
      </w:r>
      <w:r w:rsidR="00A03629">
        <w:t xml:space="preserve"> </w:t>
      </w:r>
      <w:r>
        <w:t>nominated</w:t>
      </w:r>
      <w:r w:rsidR="00A03629">
        <w:t xml:space="preserve"> </w:t>
      </w:r>
      <w:r>
        <w:t>projects</w:t>
      </w:r>
      <w:r w:rsidR="00A03629">
        <w:t xml:space="preserve"> </w:t>
      </w:r>
      <w:r>
        <w:t>under</w:t>
      </w:r>
      <w:r w:rsidR="00A03629">
        <w:t xml:space="preserve"> </w:t>
      </w:r>
      <w:r>
        <w:t>that</w:t>
      </w:r>
      <w:r w:rsidR="00A03629">
        <w:t xml:space="preserve"> </w:t>
      </w:r>
      <w:r>
        <w:t>Act</w:t>
      </w:r>
      <w:r w:rsidR="00A03629">
        <w:t xml:space="preserve"> </w:t>
      </w:r>
      <w:r>
        <w:t>has</w:t>
      </w:r>
      <w:r w:rsidR="00A03629">
        <w:t xml:space="preserve"> </w:t>
      </w:r>
      <w:r>
        <w:t>been</w:t>
      </w:r>
      <w:r w:rsidR="00A03629">
        <w:t xml:space="preserve"> </w:t>
      </w:r>
      <w:r>
        <w:t>transferred</w:t>
      </w:r>
      <w:r w:rsidR="00A03629">
        <w:t xml:space="preserve"> </w:t>
      </w:r>
      <w:r>
        <w:t>to</w:t>
      </w:r>
      <w:r w:rsidR="00A03629">
        <w:t xml:space="preserve"> </w:t>
      </w:r>
      <w:r>
        <w:t>the</w:t>
      </w:r>
      <w:r w:rsidR="00A03629">
        <w:t xml:space="preserve"> </w:t>
      </w:r>
      <w:r>
        <w:t>Department</w:t>
      </w:r>
      <w:r w:rsidR="00A03629">
        <w:t xml:space="preserve"> </w:t>
      </w:r>
      <w:r>
        <w:t>of</w:t>
      </w:r>
      <w:r w:rsidR="00A03629">
        <w:t xml:space="preserve"> </w:t>
      </w:r>
      <w:r>
        <w:t>Transport</w:t>
      </w:r>
      <w:r w:rsidR="00A03629">
        <w:t xml:space="preserve"> </w:t>
      </w:r>
      <w:r>
        <w:t>and</w:t>
      </w:r>
      <w:r w:rsidR="00A03629">
        <w:t xml:space="preserve"> </w:t>
      </w:r>
      <w:r>
        <w:t>Planning.</w:t>
      </w:r>
      <w:r w:rsidR="00A03629">
        <w:t xml:space="preserve"> </w:t>
      </w:r>
      <w:r>
        <w:t>The</w:t>
      </w:r>
      <w:r w:rsidR="00A03629">
        <w:t xml:space="preserve"> </w:t>
      </w:r>
      <w:r>
        <w:t>net</w:t>
      </w:r>
      <w:r w:rsidR="00A03629">
        <w:t xml:space="preserve"> </w:t>
      </w:r>
      <w:r>
        <w:t>assets</w:t>
      </w:r>
      <w:r w:rsidR="00A03629">
        <w:t xml:space="preserve"> </w:t>
      </w:r>
      <w:r>
        <w:t>transferred</w:t>
      </w:r>
      <w:r w:rsidR="00A03629">
        <w:t xml:space="preserve"> </w:t>
      </w:r>
      <w:r>
        <w:t>across</w:t>
      </w:r>
      <w:r w:rsidR="00A03629">
        <w:t xml:space="preserve"> </w:t>
      </w:r>
      <w:r>
        <w:t>on</w:t>
      </w:r>
      <w:r w:rsidR="00A03629">
        <w:t xml:space="preserve"> </w:t>
      </w:r>
      <w:r>
        <w:t>1</w:t>
      </w:r>
      <w:r w:rsidR="00A03629">
        <w:t xml:space="preserve"> </w:t>
      </w:r>
      <w:r>
        <w:t>August</w:t>
      </w:r>
      <w:r w:rsidR="00A03629">
        <w:t xml:space="preserve"> </w:t>
      </w:r>
      <w:r>
        <w:t>2023</w:t>
      </w:r>
      <w:r w:rsidR="00A03629">
        <w:t xml:space="preserve"> </w:t>
      </w:r>
      <w:r>
        <w:t>amounted</w:t>
      </w:r>
      <w:r w:rsidR="00A03629">
        <w:t xml:space="preserve"> </w:t>
      </w:r>
      <w:r>
        <w:t>to</w:t>
      </w:r>
      <w:r w:rsidR="00A03629">
        <w:t xml:space="preserve"> </w:t>
      </w:r>
      <w:r>
        <w:t>$481</w:t>
      </w:r>
      <w:r w:rsidR="00A03629">
        <w:t xml:space="preserve"> </w:t>
      </w:r>
      <w:r>
        <w:t>million.</w:t>
      </w:r>
    </w:p>
    <w:p w14:paraId="62F79447" w14:textId="79AD2BC4" w:rsidR="000756EB" w:rsidRDefault="004A4D88" w:rsidP="00637D5A">
      <w:pPr>
        <w:pStyle w:val="Heading2"/>
      </w:pPr>
      <w:bookmarkStart w:id="157" w:name="_Toc149911848"/>
      <w:r>
        <w:t>9.11</w:t>
      </w:r>
      <w:r w:rsidR="00DE38B5">
        <w:t xml:space="preserve"> </w:t>
      </w:r>
      <w:r>
        <w:t>Other</w:t>
      </w:r>
      <w:r w:rsidR="00A03629">
        <w:t xml:space="preserve"> </w:t>
      </w:r>
      <w:r>
        <w:t>accounting</w:t>
      </w:r>
      <w:r w:rsidR="00A03629">
        <w:t xml:space="preserve"> </w:t>
      </w:r>
      <w:r>
        <w:t>policies</w:t>
      </w:r>
      <w:bookmarkEnd w:id="157"/>
    </w:p>
    <w:p w14:paraId="4F005424" w14:textId="5BB8DCFE" w:rsidR="000756EB" w:rsidRPr="00637D5A" w:rsidRDefault="004A4D88" w:rsidP="00637D5A">
      <w:pPr>
        <w:pStyle w:val="Normalbeforebullets"/>
        <w:rPr>
          <w:b/>
          <w:bCs/>
        </w:rPr>
      </w:pPr>
      <w:r w:rsidRPr="00637D5A">
        <w:rPr>
          <w:b/>
          <w:bCs/>
        </w:rPr>
        <w:t>Contributions</w:t>
      </w:r>
      <w:r w:rsidR="00A03629" w:rsidRPr="00637D5A">
        <w:rPr>
          <w:b/>
          <w:bCs/>
        </w:rPr>
        <w:t xml:space="preserve"> </w:t>
      </w:r>
      <w:r w:rsidRPr="00637D5A">
        <w:rPr>
          <w:b/>
          <w:bCs/>
        </w:rPr>
        <w:t>by</w:t>
      </w:r>
      <w:r w:rsidR="00A03629" w:rsidRPr="00637D5A">
        <w:rPr>
          <w:b/>
          <w:bCs/>
        </w:rPr>
        <w:t xml:space="preserve"> </w:t>
      </w:r>
      <w:r w:rsidRPr="00637D5A">
        <w:rPr>
          <w:b/>
          <w:bCs/>
        </w:rPr>
        <w:t>owners</w:t>
      </w:r>
      <w:r w:rsidR="00A03629" w:rsidRPr="00637D5A">
        <w:rPr>
          <w:b/>
          <w:bCs/>
        </w:rPr>
        <w:t xml:space="preserve"> </w:t>
      </w:r>
    </w:p>
    <w:p w14:paraId="5AA8B594" w14:textId="421C09FB" w:rsidR="000756EB" w:rsidRDefault="004A4D88" w:rsidP="00637D5A">
      <w:r>
        <w:t>Consistent</w:t>
      </w:r>
      <w:r w:rsidR="00A03629">
        <w:t xml:space="preserve"> </w:t>
      </w:r>
      <w:r>
        <w:t>with</w:t>
      </w:r>
      <w:r w:rsidR="00A03629">
        <w:t xml:space="preserve"> </w:t>
      </w:r>
      <w:r>
        <w:t>the</w:t>
      </w:r>
      <w:r w:rsidR="00A03629">
        <w:t xml:space="preserve"> </w:t>
      </w:r>
      <w:r>
        <w:t>requirements</w:t>
      </w:r>
      <w:r w:rsidR="00A03629">
        <w:t xml:space="preserve"> </w:t>
      </w:r>
      <w:r>
        <w:t>of</w:t>
      </w:r>
      <w:r w:rsidR="00A03629">
        <w:t xml:space="preserve"> </w:t>
      </w:r>
      <w:r>
        <w:t>AASB</w:t>
      </w:r>
      <w:r w:rsidR="00A03629">
        <w:t xml:space="preserve"> </w:t>
      </w:r>
      <w:r>
        <w:t>1004</w:t>
      </w:r>
      <w:r w:rsidR="00A03629">
        <w:t xml:space="preserve"> </w:t>
      </w:r>
      <w:r w:rsidRPr="00637D5A">
        <w:rPr>
          <w:i/>
          <w:iCs/>
        </w:rPr>
        <w:t>Contributions</w:t>
      </w:r>
      <w:r>
        <w:t>,</w:t>
      </w:r>
      <w:r w:rsidR="00A03629">
        <w:t xml:space="preserve"> </w:t>
      </w:r>
      <w:r>
        <w:t>contributions</w:t>
      </w:r>
      <w:r w:rsidR="00A03629">
        <w:t xml:space="preserve"> </w:t>
      </w:r>
      <w:r>
        <w:t>by</w:t>
      </w:r>
      <w:r w:rsidR="00A03629">
        <w:t xml:space="preserve"> </w:t>
      </w:r>
      <w:r>
        <w:t>owners</w:t>
      </w:r>
      <w:r w:rsidR="00A03629">
        <w:t xml:space="preserve"> </w:t>
      </w:r>
      <w:r>
        <w:t>(that</w:t>
      </w:r>
      <w:r w:rsidR="00A03629">
        <w:t xml:space="preserve"> </w:t>
      </w:r>
      <w:r>
        <w:t>is,</w:t>
      </w:r>
      <w:r w:rsidR="00A03629">
        <w:t xml:space="preserve"> </w:t>
      </w:r>
      <w:r>
        <w:t>contributed</w:t>
      </w:r>
      <w:r w:rsidR="00A03629">
        <w:t xml:space="preserve"> </w:t>
      </w:r>
      <w:r>
        <w:t>capital</w:t>
      </w:r>
      <w:r w:rsidR="00A03629">
        <w:t xml:space="preserve"> </w:t>
      </w:r>
      <w:r>
        <w:t>and</w:t>
      </w:r>
      <w:r w:rsidR="00A03629">
        <w:t xml:space="preserve"> </w:t>
      </w:r>
      <w:r>
        <w:t>its</w:t>
      </w:r>
      <w:r w:rsidR="00A03629">
        <w:t xml:space="preserve"> </w:t>
      </w:r>
      <w:r>
        <w:t>repayment)</w:t>
      </w:r>
      <w:r w:rsidR="00A03629">
        <w:t xml:space="preserve"> </w:t>
      </w:r>
      <w:r>
        <w:t>are</w:t>
      </w:r>
      <w:r w:rsidR="00A03629">
        <w:t xml:space="preserve"> </w:t>
      </w:r>
      <w:r>
        <w:t>treated</w:t>
      </w:r>
      <w:r w:rsidR="00A03629">
        <w:t xml:space="preserve"> </w:t>
      </w:r>
      <w:r>
        <w:t>as</w:t>
      </w:r>
      <w:r w:rsidR="00A03629">
        <w:t xml:space="preserve"> </w:t>
      </w:r>
      <w:r>
        <w:t>equity</w:t>
      </w:r>
      <w:r w:rsidR="00A03629">
        <w:t xml:space="preserve"> </w:t>
      </w:r>
      <w:r>
        <w:t>transactions</w:t>
      </w:r>
      <w:r w:rsidR="00A03629">
        <w:t xml:space="preserve"> </w:t>
      </w:r>
      <w:r>
        <w:t>and,</w:t>
      </w:r>
      <w:r w:rsidR="00A03629">
        <w:t xml:space="preserve"> </w:t>
      </w:r>
      <w:r>
        <w:t>therefore,</w:t>
      </w:r>
      <w:r w:rsidR="00A03629">
        <w:t xml:space="preserve"> </w:t>
      </w:r>
      <w:r>
        <w:t>do</w:t>
      </w:r>
      <w:r w:rsidR="00A03629">
        <w:t xml:space="preserve"> </w:t>
      </w:r>
      <w:r>
        <w:t>not</w:t>
      </w:r>
      <w:r w:rsidR="00A03629">
        <w:t xml:space="preserve"> </w:t>
      </w:r>
      <w:r>
        <w:t>form</w:t>
      </w:r>
      <w:r w:rsidR="00A03629">
        <w:t xml:space="preserve"> </w:t>
      </w:r>
      <w:r>
        <w:t>part</w:t>
      </w:r>
      <w:r w:rsidR="00A03629">
        <w:t xml:space="preserve"> </w:t>
      </w:r>
      <w:r>
        <w:t>of</w:t>
      </w:r>
      <w:r w:rsidR="00A03629">
        <w:t xml:space="preserve"> </w:t>
      </w:r>
      <w:r>
        <w:t>the</w:t>
      </w:r>
      <w:r w:rsidR="00A03629">
        <w:t xml:space="preserve"> </w:t>
      </w:r>
      <w:r>
        <w:t>income</w:t>
      </w:r>
      <w:r w:rsidR="00A03629">
        <w:t xml:space="preserve"> </w:t>
      </w:r>
      <w:r>
        <w:t>and</w:t>
      </w:r>
      <w:r w:rsidR="00A03629">
        <w:t xml:space="preserve"> </w:t>
      </w:r>
      <w:r>
        <w:t>expenses</w:t>
      </w:r>
      <w:r w:rsidR="00A03629">
        <w:t xml:space="preserve"> </w:t>
      </w:r>
      <w:r>
        <w:t>of</w:t>
      </w:r>
      <w:r w:rsidR="00A03629">
        <w:t xml:space="preserve"> </w:t>
      </w:r>
      <w:r>
        <w:t>DJSIR.</w:t>
      </w:r>
    </w:p>
    <w:p w14:paraId="154ADA11" w14:textId="4C2AE344" w:rsidR="000756EB" w:rsidRDefault="004A4D88" w:rsidP="00637D5A">
      <w:r>
        <w:t>Additions</w:t>
      </w:r>
      <w:r w:rsidR="00A03629">
        <w:t xml:space="preserve"> </w:t>
      </w:r>
      <w:r>
        <w:t>to</w:t>
      </w:r>
      <w:r w:rsidR="00A03629">
        <w:t xml:space="preserve"> </w:t>
      </w:r>
      <w:r>
        <w:t>net</w:t>
      </w:r>
      <w:r w:rsidR="00A03629">
        <w:t xml:space="preserve"> </w:t>
      </w:r>
      <w:r>
        <w:t>assets</w:t>
      </w:r>
      <w:r w:rsidR="00A03629">
        <w:t xml:space="preserve"> </w:t>
      </w:r>
      <w:r>
        <w:t>that</w:t>
      </w:r>
      <w:r w:rsidR="00A03629">
        <w:t xml:space="preserve"> </w:t>
      </w:r>
      <w:r>
        <w:t>have</w:t>
      </w:r>
      <w:r w:rsidR="00A03629">
        <w:t xml:space="preserve"> </w:t>
      </w:r>
      <w:r>
        <w:t>been</w:t>
      </w:r>
      <w:r w:rsidR="00A03629">
        <w:t xml:space="preserve"> </w:t>
      </w:r>
      <w:r>
        <w:t>designated</w:t>
      </w:r>
      <w:r w:rsidR="00A03629">
        <w:t xml:space="preserve"> </w:t>
      </w:r>
      <w:r>
        <w:t>as</w:t>
      </w:r>
      <w:r w:rsidR="00A03629">
        <w:t xml:space="preserve"> </w:t>
      </w:r>
      <w:r>
        <w:t>contributions</w:t>
      </w:r>
      <w:r w:rsidR="00A03629">
        <w:t xml:space="preserve"> </w:t>
      </w:r>
      <w:r>
        <w:t>by</w:t>
      </w:r>
      <w:r w:rsidR="00A03629">
        <w:t xml:space="preserve"> </w:t>
      </w:r>
      <w:r>
        <w:t>owners</w:t>
      </w:r>
      <w:r w:rsidR="00A03629">
        <w:t xml:space="preserve"> </w:t>
      </w:r>
      <w:r>
        <w:t>are</w:t>
      </w:r>
      <w:r w:rsidR="00A03629">
        <w:t xml:space="preserve"> </w:t>
      </w:r>
      <w:r>
        <w:t>recognised</w:t>
      </w:r>
      <w:r w:rsidR="00A03629">
        <w:t xml:space="preserve"> </w:t>
      </w:r>
      <w:r>
        <w:t>as</w:t>
      </w:r>
      <w:r w:rsidR="00A03629">
        <w:t xml:space="preserve"> </w:t>
      </w:r>
      <w:r>
        <w:t>contributed</w:t>
      </w:r>
      <w:r w:rsidR="00A03629">
        <w:t xml:space="preserve"> </w:t>
      </w:r>
      <w:r>
        <w:t>capital.</w:t>
      </w:r>
      <w:r w:rsidR="00A03629">
        <w:t xml:space="preserve"> </w:t>
      </w:r>
      <w:r>
        <w:t>Other</w:t>
      </w:r>
      <w:r w:rsidR="00A03629">
        <w:t xml:space="preserve"> </w:t>
      </w:r>
      <w:r>
        <w:t>transfers</w:t>
      </w:r>
      <w:r w:rsidR="00A03629">
        <w:t xml:space="preserve"> </w:t>
      </w:r>
      <w:r>
        <w:t>that</w:t>
      </w:r>
      <w:r w:rsidR="00A03629">
        <w:t xml:space="preserve"> </w:t>
      </w:r>
      <w:r>
        <w:t>are</w:t>
      </w:r>
      <w:r w:rsidR="00A03629">
        <w:t xml:space="preserve"> </w:t>
      </w:r>
      <w:proofErr w:type="gramStart"/>
      <w:r>
        <w:t>in</w:t>
      </w:r>
      <w:r w:rsidR="00A03629">
        <w:t xml:space="preserve"> </w:t>
      </w:r>
      <w:r>
        <w:t>the</w:t>
      </w:r>
      <w:r w:rsidR="00A03629">
        <w:t xml:space="preserve"> </w:t>
      </w:r>
      <w:r>
        <w:t>nature</w:t>
      </w:r>
      <w:r w:rsidR="00A03629">
        <w:t xml:space="preserve"> </w:t>
      </w:r>
      <w:r>
        <w:t>of</w:t>
      </w:r>
      <w:r w:rsidR="00A03629">
        <w:t xml:space="preserve"> </w:t>
      </w:r>
      <w:r>
        <w:t>contributions</w:t>
      </w:r>
      <w:proofErr w:type="gramEnd"/>
      <w:r w:rsidR="00A03629">
        <w:t xml:space="preserve"> </w:t>
      </w:r>
      <w:r>
        <w:t>to</w:t>
      </w:r>
      <w:r w:rsidR="00A03629">
        <w:t xml:space="preserve"> </w:t>
      </w:r>
      <w:r>
        <w:t>or</w:t>
      </w:r>
      <w:r w:rsidR="00A03629">
        <w:t xml:space="preserve"> </w:t>
      </w:r>
      <w:r>
        <w:t>distributions</w:t>
      </w:r>
      <w:r w:rsidR="00A03629">
        <w:t xml:space="preserve"> </w:t>
      </w:r>
      <w:r>
        <w:t>by</w:t>
      </w:r>
      <w:r w:rsidR="00A03629">
        <w:t xml:space="preserve"> </w:t>
      </w:r>
      <w:r>
        <w:t>owners</w:t>
      </w:r>
      <w:r w:rsidR="00A03629">
        <w:t xml:space="preserve"> </w:t>
      </w:r>
      <w:r>
        <w:t>have</w:t>
      </w:r>
      <w:r w:rsidR="00A03629">
        <w:t xml:space="preserve"> </w:t>
      </w:r>
      <w:r>
        <w:t>also</w:t>
      </w:r>
      <w:r w:rsidR="00A03629">
        <w:rPr>
          <w:rFonts w:ascii="Cambria" w:hAnsi="Cambria" w:cs="Cambria"/>
        </w:rPr>
        <w:t xml:space="preserve"> </w:t>
      </w:r>
      <w:r>
        <w:t>been</w:t>
      </w:r>
      <w:r w:rsidR="00A03629">
        <w:t xml:space="preserve"> </w:t>
      </w:r>
      <w:r>
        <w:t>designated</w:t>
      </w:r>
      <w:r w:rsidR="00A03629">
        <w:t xml:space="preserve"> </w:t>
      </w:r>
      <w:r>
        <w:t>as</w:t>
      </w:r>
      <w:r w:rsidR="00A03629">
        <w:t xml:space="preserve"> </w:t>
      </w:r>
      <w:r>
        <w:t>contributions</w:t>
      </w:r>
      <w:r w:rsidR="00A03629">
        <w:t xml:space="preserve"> </w:t>
      </w:r>
      <w:r>
        <w:t>by</w:t>
      </w:r>
      <w:r w:rsidR="00A03629">
        <w:t xml:space="preserve"> </w:t>
      </w:r>
      <w:r>
        <w:t>owners.</w:t>
      </w:r>
    </w:p>
    <w:p w14:paraId="739C75D8" w14:textId="21F0100F" w:rsidR="000756EB" w:rsidRDefault="004A4D88" w:rsidP="00637D5A">
      <w:r>
        <w:lastRenderedPageBreak/>
        <w:t>Transfers</w:t>
      </w:r>
      <w:r w:rsidR="00A03629">
        <w:t xml:space="preserve"> </w:t>
      </w:r>
      <w:r>
        <w:t>of</w:t>
      </w:r>
      <w:r w:rsidR="00A03629">
        <w:t xml:space="preserve"> </w:t>
      </w:r>
      <w:r>
        <w:t>net</w:t>
      </w:r>
      <w:r w:rsidR="00A03629">
        <w:t xml:space="preserve"> </w:t>
      </w:r>
      <w:r>
        <w:t>assets</w:t>
      </w:r>
      <w:r w:rsidR="00A03629">
        <w:t xml:space="preserve"> </w:t>
      </w:r>
      <w:r>
        <w:t>arising</w:t>
      </w:r>
      <w:r w:rsidR="00A03629">
        <w:t xml:space="preserve"> </w:t>
      </w:r>
      <w:r>
        <w:t>from</w:t>
      </w:r>
      <w:r w:rsidR="00A03629">
        <w:t xml:space="preserve"> </w:t>
      </w:r>
      <w:r>
        <w:t>administrative</w:t>
      </w:r>
      <w:r w:rsidR="00A03629">
        <w:t xml:space="preserve"> </w:t>
      </w:r>
      <w:r>
        <w:t>restructurings</w:t>
      </w:r>
      <w:r w:rsidR="00A03629">
        <w:t xml:space="preserve"> </w:t>
      </w:r>
      <w:r>
        <w:t>are</w:t>
      </w:r>
      <w:r w:rsidR="00A03629">
        <w:t xml:space="preserve"> </w:t>
      </w:r>
      <w:r>
        <w:t>treated</w:t>
      </w:r>
      <w:r w:rsidR="00A03629">
        <w:t xml:space="preserve"> </w:t>
      </w:r>
      <w:r>
        <w:t>as</w:t>
      </w:r>
      <w:r w:rsidR="00A03629">
        <w:t xml:space="preserve"> </w:t>
      </w:r>
      <w:r>
        <w:t>distributions</w:t>
      </w:r>
      <w:r w:rsidR="00A03629">
        <w:t xml:space="preserve"> </w:t>
      </w:r>
      <w:r>
        <w:t>to</w:t>
      </w:r>
      <w:r w:rsidR="00A03629">
        <w:t xml:space="preserve"> </w:t>
      </w:r>
      <w:r>
        <w:t>or</w:t>
      </w:r>
      <w:r w:rsidR="00A03629">
        <w:t xml:space="preserve"> </w:t>
      </w:r>
      <w:r>
        <w:t>contributions</w:t>
      </w:r>
      <w:r w:rsidR="00A03629">
        <w:t xml:space="preserve"> </w:t>
      </w:r>
      <w:r>
        <w:t>by</w:t>
      </w:r>
      <w:r w:rsidR="00A03629">
        <w:t xml:space="preserve"> </w:t>
      </w:r>
      <w:r>
        <w:t>owners.</w:t>
      </w:r>
      <w:r w:rsidR="00A03629">
        <w:t xml:space="preserve"> </w:t>
      </w:r>
      <w:r>
        <w:t>Transfers</w:t>
      </w:r>
      <w:r w:rsidR="00A03629">
        <w:t xml:space="preserve"> </w:t>
      </w:r>
      <w:r>
        <w:t>of</w:t>
      </w:r>
      <w:r w:rsidR="00A03629">
        <w:t xml:space="preserve"> </w:t>
      </w:r>
      <w:r>
        <w:t>net</w:t>
      </w:r>
      <w:r w:rsidR="00A03629">
        <w:t xml:space="preserve"> </w:t>
      </w:r>
      <w:r>
        <w:t>liabilities</w:t>
      </w:r>
      <w:r w:rsidR="00A03629">
        <w:t xml:space="preserve"> </w:t>
      </w:r>
      <w:r>
        <w:t>arising</w:t>
      </w:r>
      <w:r w:rsidR="00A03629">
        <w:t xml:space="preserve"> </w:t>
      </w:r>
      <w:r>
        <w:t>from</w:t>
      </w:r>
      <w:r w:rsidR="00A03629">
        <w:t xml:space="preserve"> </w:t>
      </w:r>
      <w:r>
        <w:t>administrative</w:t>
      </w:r>
      <w:r w:rsidR="00A03629">
        <w:t xml:space="preserve"> </w:t>
      </w:r>
      <w:r>
        <w:t>restructurings</w:t>
      </w:r>
      <w:r w:rsidR="00A03629">
        <w:t xml:space="preserve"> </w:t>
      </w:r>
      <w:r>
        <w:t>are</w:t>
      </w:r>
      <w:r w:rsidR="00A03629">
        <w:t xml:space="preserve"> </w:t>
      </w:r>
      <w:r>
        <w:t>treated</w:t>
      </w:r>
      <w:r w:rsidR="00A03629">
        <w:t xml:space="preserve"> </w:t>
      </w:r>
      <w:r>
        <w:t>as</w:t>
      </w:r>
      <w:r w:rsidR="00A03629">
        <w:t xml:space="preserve"> </w:t>
      </w:r>
      <w:r>
        <w:t>distributions</w:t>
      </w:r>
      <w:r w:rsidR="00A03629">
        <w:t xml:space="preserve"> </w:t>
      </w:r>
      <w:r>
        <w:t>to</w:t>
      </w:r>
      <w:r w:rsidR="00A03629">
        <w:t xml:space="preserve"> </w:t>
      </w:r>
      <w:r>
        <w:t>owners.</w:t>
      </w:r>
    </w:p>
    <w:p w14:paraId="5461DE19" w14:textId="644C4115" w:rsidR="000756EB" w:rsidRPr="00637D5A" w:rsidRDefault="004A4D88" w:rsidP="00637D5A">
      <w:pPr>
        <w:pStyle w:val="Normalbeforebullets"/>
        <w:rPr>
          <w:b/>
          <w:bCs/>
        </w:rPr>
      </w:pPr>
      <w:r w:rsidRPr="00637D5A">
        <w:rPr>
          <w:b/>
          <w:bCs/>
        </w:rPr>
        <w:t>Accounting</w:t>
      </w:r>
      <w:r w:rsidR="00A03629" w:rsidRPr="00637D5A">
        <w:rPr>
          <w:b/>
          <w:bCs/>
        </w:rPr>
        <w:t xml:space="preserve"> </w:t>
      </w:r>
      <w:r w:rsidRPr="00637D5A">
        <w:rPr>
          <w:b/>
          <w:bCs/>
        </w:rPr>
        <w:t>for</w:t>
      </w:r>
      <w:r w:rsidR="00A03629" w:rsidRPr="00637D5A">
        <w:rPr>
          <w:b/>
          <w:bCs/>
        </w:rPr>
        <w:t xml:space="preserve"> </w:t>
      </w:r>
      <w:r w:rsidRPr="00637D5A">
        <w:rPr>
          <w:b/>
          <w:bCs/>
        </w:rPr>
        <w:t>the</w:t>
      </w:r>
      <w:r w:rsidR="00A03629" w:rsidRPr="00637D5A">
        <w:rPr>
          <w:b/>
          <w:bCs/>
        </w:rPr>
        <w:t xml:space="preserve"> </w:t>
      </w:r>
      <w:r w:rsidRPr="00637D5A">
        <w:rPr>
          <w:b/>
          <w:bCs/>
        </w:rPr>
        <w:t>Goods</w:t>
      </w:r>
      <w:r w:rsidR="00A03629" w:rsidRPr="00637D5A">
        <w:rPr>
          <w:b/>
          <w:bCs/>
        </w:rPr>
        <w:t xml:space="preserve"> </w:t>
      </w:r>
      <w:r w:rsidRPr="00637D5A">
        <w:rPr>
          <w:b/>
          <w:bCs/>
        </w:rPr>
        <w:t>and</w:t>
      </w:r>
      <w:r w:rsidR="00A03629" w:rsidRPr="00637D5A">
        <w:rPr>
          <w:b/>
          <w:bCs/>
        </w:rPr>
        <w:t xml:space="preserve"> </w:t>
      </w:r>
      <w:r w:rsidRPr="00637D5A">
        <w:rPr>
          <w:b/>
          <w:bCs/>
        </w:rPr>
        <w:t>Services</w:t>
      </w:r>
      <w:r w:rsidR="00A03629" w:rsidRPr="00637D5A">
        <w:rPr>
          <w:b/>
          <w:bCs/>
        </w:rPr>
        <w:t xml:space="preserve"> </w:t>
      </w:r>
      <w:r w:rsidRPr="00637D5A">
        <w:rPr>
          <w:b/>
          <w:bCs/>
        </w:rPr>
        <w:t>Tax</w:t>
      </w:r>
      <w:r w:rsidR="00A03629" w:rsidRPr="00637D5A">
        <w:rPr>
          <w:rFonts w:ascii="Cambria" w:hAnsi="Cambria" w:cs="Cambria"/>
          <w:b/>
          <w:bCs/>
        </w:rPr>
        <w:t xml:space="preserve"> </w:t>
      </w:r>
      <w:r w:rsidRPr="00637D5A">
        <w:rPr>
          <w:b/>
          <w:bCs/>
        </w:rPr>
        <w:t>(GST)</w:t>
      </w:r>
    </w:p>
    <w:p w14:paraId="49923E06" w14:textId="08326916" w:rsidR="000756EB" w:rsidRDefault="004A4D88" w:rsidP="00637D5A">
      <w:r>
        <w:t>Income,</w:t>
      </w:r>
      <w:r w:rsidR="00A03629">
        <w:t xml:space="preserve"> </w:t>
      </w:r>
      <w:proofErr w:type="gramStart"/>
      <w:r>
        <w:t>expenses</w:t>
      </w:r>
      <w:proofErr w:type="gramEnd"/>
      <w:r w:rsidR="00A03629">
        <w:t xml:space="preserve"> </w:t>
      </w:r>
      <w:r>
        <w:t>and</w:t>
      </w:r>
      <w:r w:rsidR="00A03629">
        <w:t xml:space="preserve"> </w:t>
      </w:r>
      <w:r>
        <w:t>assets</w:t>
      </w:r>
      <w:r w:rsidR="00A03629">
        <w:t xml:space="preserve"> </w:t>
      </w:r>
      <w:r>
        <w:t>are</w:t>
      </w:r>
      <w:r w:rsidR="00A03629">
        <w:t xml:space="preserve"> </w:t>
      </w:r>
      <w:r>
        <w:t>recognised</w:t>
      </w:r>
      <w:r w:rsidR="00A03629">
        <w:t xml:space="preserve"> </w:t>
      </w:r>
      <w:r>
        <w:t>net</w:t>
      </w:r>
      <w:r w:rsidR="00A03629">
        <w:t xml:space="preserve"> </w:t>
      </w:r>
      <w:r>
        <w:t>of</w:t>
      </w:r>
      <w:r w:rsidR="00A03629">
        <w:t xml:space="preserve"> </w:t>
      </w:r>
      <w:r>
        <w:t>the</w:t>
      </w:r>
      <w:r w:rsidR="00A03629">
        <w:t xml:space="preserve"> </w:t>
      </w:r>
      <w:r>
        <w:t>amount</w:t>
      </w:r>
      <w:r w:rsidR="00A03629">
        <w:t xml:space="preserve"> </w:t>
      </w:r>
      <w:r>
        <w:t>of</w:t>
      </w:r>
      <w:r w:rsidR="00A03629">
        <w:t xml:space="preserve"> </w:t>
      </w:r>
      <w:r>
        <w:t>associated</w:t>
      </w:r>
      <w:r w:rsidR="00A03629">
        <w:t xml:space="preserve"> </w:t>
      </w:r>
      <w:r>
        <w:t>GST,</w:t>
      </w:r>
      <w:r w:rsidR="00A03629">
        <w:t xml:space="preserve"> </w:t>
      </w:r>
      <w:r>
        <w:t>except</w:t>
      </w:r>
      <w:r w:rsidR="00A03629">
        <w:t xml:space="preserve"> </w:t>
      </w:r>
      <w:r>
        <w:t>where</w:t>
      </w:r>
      <w:r w:rsidR="00A03629">
        <w:t xml:space="preserve"> </w:t>
      </w:r>
      <w:r>
        <w:t>GST</w:t>
      </w:r>
      <w:r w:rsidR="00A03629">
        <w:t xml:space="preserve"> </w:t>
      </w:r>
      <w:r>
        <w:t>incurred</w:t>
      </w:r>
      <w:r w:rsidR="00A03629">
        <w:t xml:space="preserve"> </w:t>
      </w:r>
      <w:r>
        <w:t>is</w:t>
      </w:r>
      <w:r w:rsidR="00A03629">
        <w:t xml:space="preserve"> </w:t>
      </w:r>
      <w:r>
        <w:t>not</w:t>
      </w:r>
      <w:r w:rsidR="00A03629">
        <w:t xml:space="preserve"> </w:t>
      </w:r>
      <w:r>
        <w:t>recoverable</w:t>
      </w:r>
      <w:r w:rsidR="00A03629">
        <w:t xml:space="preserve"> </w:t>
      </w:r>
      <w:r>
        <w:t>from</w:t>
      </w:r>
      <w:r w:rsidR="00A03629">
        <w:t xml:space="preserve"> </w:t>
      </w:r>
      <w:r>
        <w:t>the</w:t>
      </w:r>
      <w:r w:rsidR="00A03629">
        <w:t xml:space="preserve"> </w:t>
      </w:r>
      <w:r>
        <w:t>taxation</w:t>
      </w:r>
      <w:r w:rsidR="00A03629">
        <w:t xml:space="preserve"> </w:t>
      </w:r>
      <w:r>
        <w:t>authority.</w:t>
      </w:r>
      <w:r w:rsidR="00A03629">
        <w:t xml:space="preserve"> </w:t>
      </w:r>
      <w:r>
        <w:t>In</w:t>
      </w:r>
      <w:r w:rsidR="00A03629">
        <w:t xml:space="preserve"> </w:t>
      </w:r>
      <w:r>
        <w:t>this</w:t>
      </w:r>
      <w:r w:rsidR="00A03629">
        <w:t xml:space="preserve"> </w:t>
      </w:r>
      <w:r>
        <w:t>case,</w:t>
      </w:r>
      <w:r w:rsidR="00A03629">
        <w:t xml:space="preserve"> </w:t>
      </w:r>
      <w:r>
        <w:t>the</w:t>
      </w:r>
      <w:r w:rsidR="00A03629">
        <w:t xml:space="preserve"> </w:t>
      </w:r>
      <w:r>
        <w:t>GST</w:t>
      </w:r>
      <w:r w:rsidR="00A03629">
        <w:t xml:space="preserve"> </w:t>
      </w:r>
      <w:r>
        <w:t>payable</w:t>
      </w:r>
      <w:r w:rsidR="00A03629">
        <w:t xml:space="preserve"> </w:t>
      </w:r>
      <w:r>
        <w:t>is</w:t>
      </w:r>
      <w:r w:rsidR="00A03629">
        <w:t xml:space="preserve"> </w:t>
      </w:r>
      <w:r>
        <w:t>recognised</w:t>
      </w:r>
      <w:r w:rsidR="00A03629">
        <w:t xml:space="preserve"> </w:t>
      </w:r>
      <w:r>
        <w:t>as</w:t>
      </w:r>
      <w:r w:rsidR="00A03629">
        <w:t xml:space="preserve"> </w:t>
      </w:r>
      <w:r>
        <w:t>part</w:t>
      </w:r>
      <w:r w:rsidR="00A03629">
        <w:t xml:space="preserve"> </w:t>
      </w:r>
      <w:r>
        <w:t>of</w:t>
      </w:r>
      <w:r w:rsidR="00A03629">
        <w:t xml:space="preserve"> </w:t>
      </w:r>
      <w:r>
        <w:t>the</w:t>
      </w:r>
      <w:r w:rsidR="00A03629">
        <w:t xml:space="preserve"> </w:t>
      </w:r>
      <w:r>
        <w:t>cost</w:t>
      </w:r>
      <w:r w:rsidR="00A03629">
        <w:t xml:space="preserve"> </w:t>
      </w:r>
      <w:r>
        <w:t>of</w:t>
      </w:r>
      <w:r w:rsidR="00A03629">
        <w:t xml:space="preserve"> </w:t>
      </w:r>
      <w:r>
        <w:t>acquisition</w:t>
      </w:r>
      <w:r w:rsidR="00A03629">
        <w:t xml:space="preserve"> </w:t>
      </w:r>
      <w:r>
        <w:t>of</w:t>
      </w:r>
      <w:r w:rsidR="00A03629">
        <w:t xml:space="preserve"> </w:t>
      </w:r>
      <w:r>
        <w:t>the</w:t>
      </w:r>
      <w:r w:rsidR="00A03629">
        <w:t xml:space="preserve"> </w:t>
      </w:r>
      <w:r>
        <w:t>asset</w:t>
      </w:r>
      <w:r w:rsidR="00A03629">
        <w:t xml:space="preserve"> </w:t>
      </w:r>
      <w:r>
        <w:t>or</w:t>
      </w:r>
      <w:r w:rsidR="00A03629">
        <w:t xml:space="preserve"> </w:t>
      </w:r>
      <w:r>
        <w:t>as</w:t>
      </w:r>
      <w:r w:rsidR="00A03629">
        <w:t xml:space="preserve"> </w:t>
      </w:r>
      <w:r>
        <w:t>part</w:t>
      </w:r>
      <w:r w:rsidR="00A03629">
        <w:t xml:space="preserve"> </w:t>
      </w:r>
      <w:r>
        <w:t>of</w:t>
      </w:r>
      <w:r w:rsidR="00A03629">
        <w:t xml:space="preserve"> </w:t>
      </w:r>
      <w:r>
        <w:t>the</w:t>
      </w:r>
      <w:r w:rsidR="00A03629">
        <w:t xml:space="preserve"> </w:t>
      </w:r>
      <w:r>
        <w:t>expense.</w:t>
      </w:r>
    </w:p>
    <w:p w14:paraId="0A6236F6" w14:textId="2B145326" w:rsidR="000756EB" w:rsidRDefault="004A4D88" w:rsidP="00637D5A">
      <w:r>
        <w:t>Receivables</w:t>
      </w:r>
      <w:r w:rsidR="00A03629">
        <w:t xml:space="preserve"> </w:t>
      </w:r>
      <w:r>
        <w:t>and</w:t>
      </w:r>
      <w:r w:rsidR="00A03629">
        <w:t xml:space="preserve"> </w:t>
      </w:r>
      <w:r>
        <w:t>payables</w:t>
      </w:r>
      <w:r w:rsidR="00A03629">
        <w:t xml:space="preserve"> </w:t>
      </w:r>
      <w:r>
        <w:t>are</w:t>
      </w:r>
      <w:r w:rsidR="00A03629">
        <w:t xml:space="preserve"> </w:t>
      </w:r>
      <w:r>
        <w:t>stated</w:t>
      </w:r>
      <w:r w:rsidR="00A03629">
        <w:t xml:space="preserve"> </w:t>
      </w:r>
      <w:r>
        <w:t>inclusive</w:t>
      </w:r>
      <w:r w:rsidR="00A03629">
        <w:t xml:space="preserve"> </w:t>
      </w:r>
      <w:r>
        <w:t>of</w:t>
      </w:r>
      <w:r w:rsidR="00A03629">
        <w:t xml:space="preserve"> </w:t>
      </w:r>
      <w:r>
        <w:t>the</w:t>
      </w:r>
      <w:r w:rsidR="00A03629">
        <w:t xml:space="preserve"> </w:t>
      </w:r>
      <w:r>
        <w:t>amount</w:t>
      </w:r>
      <w:r w:rsidR="00A03629">
        <w:t xml:space="preserve"> </w:t>
      </w:r>
      <w:r>
        <w:t>of</w:t>
      </w:r>
      <w:r w:rsidR="00A03629">
        <w:t xml:space="preserve"> </w:t>
      </w:r>
      <w:r>
        <w:t>GST</w:t>
      </w:r>
      <w:r w:rsidR="00A03629">
        <w:t xml:space="preserve"> </w:t>
      </w:r>
      <w:r>
        <w:t>receivable</w:t>
      </w:r>
      <w:r w:rsidR="00A03629">
        <w:t xml:space="preserve"> </w:t>
      </w:r>
      <w:r>
        <w:t>or</w:t>
      </w:r>
      <w:r w:rsidR="00A03629">
        <w:t xml:space="preserve"> </w:t>
      </w:r>
      <w:r>
        <w:t>payable.</w:t>
      </w:r>
      <w:r w:rsidR="00A03629">
        <w:t xml:space="preserve"> </w:t>
      </w:r>
      <w:r>
        <w:t>The</w:t>
      </w:r>
      <w:r w:rsidR="00A03629">
        <w:t xml:space="preserve"> </w:t>
      </w:r>
      <w:r>
        <w:t>net</w:t>
      </w:r>
      <w:r w:rsidR="00A03629">
        <w:t xml:space="preserve"> </w:t>
      </w:r>
      <w:r>
        <w:t>amount</w:t>
      </w:r>
      <w:r w:rsidR="00A03629">
        <w:t xml:space="preserve"> </w:t>
      </w:r>
      <w:r>
        <w:t>of</w:t>
      </w:r>
      <w:r w:rsidR="00A03629">
        <w:t xml:space="preserve"> </w:t>
      </w:r>
      <w:r>
        <w:t>GST</w:t>
      </w:r>
      <w:r w:rsidR="00A03629">
        <w:t xml:space="preserve"> </w:t>
      </w:r>
      <w:r>
        <w:t>recoverable</w:t>
      </w:r>
      <w:r w:rsidR="00A03629">
        <w:t xml:space="preserve"> </w:t>
      </w:r>
      <w:r>
        <w:t>from</w:t>
      </w:r>
      <w:r w:rsidR="00A03629">
        <w:t xml:space="preserve"> </w:t>
      </w:r>
      <w:r>
        <w:t>or</w:t>
      </w:r>
      <w:r w:rsidR="00A03629">
        <w:t xml:space="preserve"> </w:t>
      </w:r>
      <w:r>
        <w:t>payable</w:t>
      </w:r>
      <w:r w:rsidR="00A03629">
        <w:t xml:space="preserve"> </w:t>
      </w:r>
      <w:r>
        <w:t>to</w:t>
      </w:r>
      <w:r w:rsidR="00A03629">
        <w:t xml:space="preserve"> </w:t>
      </w:r>
      <w:r>
        <w:t>the</w:t>
      </w:r>
      <w:r w:rsidR="00A03629">
        <w:t xml:space="preserve"> </w:t>
      </w:r>
      <w:r>
        <w:t>Australian</w:t>
      </w:r>
      <w:r w:rsidR="00A03629">
        <w:t xml:space="preserve"> </w:t>
      </w:r>
      <w:r>
        <w:t>Taxation</w:t>
      </w:r>
      <w:r w:rsidR="00A03629">
        <w:t xml:space="preserve"> </w:t>
      </w:r>
      <w:r>
        <w:t>Office</w:t>
      </w:r>
      <w:r w:rsidR="00A03629">
        <w:t xml:space="preserve"> </w:t>
      </w:r>
      <w:r>
        <w:t>(ATO)</w:t>
      </w:r>
      <w:r w:rsidR="00A03629">
        <w:t xml:space="preserve"> </w:t>
      </w:r>
      <w:r>
        <w:t>is</w:t>
      </w:r>
      <w:r w:rsidR="00A03629">
        <w:t xml:space="preserve"> </w:t>
      </w:r>
      <w:r>
        <w:t>included</w:t>
      </w:r>
      <w:r w:rsidR="00A03629">
        <w:t xml:space="preserve"> </w:t>
      </w:r>
      <w:r>
        <w:t>with</w:t>
      </w:r>
      <w:r w:rsidR="00A03629">
        <w:t xml:space="preserve"> </w:t>
      </w:r>
      <w:r>
        <w:t>other</w:t>
      </w:r>
      <w:r w:rsidR="00A03629">
        <w:t xml:space="preserve"> </w:t>
      </w:r>
      <w:r>
        <w:t>receivables</w:t>
      </w:r>
      <w:r w:rsidR="00A03629">
        <w:t xml:space="preserve"> </w:t>
      </w:r>
      <w:r>
        <w:t>or</w:t>
      </w:r>
      <w:r w:rsidR="00A03629">
        <w:t xml:space="preserve"> </w:t>
      </w:r>
      <w:r>
        <w:t>payables</w:t>
      </w:r>
      <w:r w:rsidR="00A03629">
        <w:t xml:space="preserve"> </w:t>
      </w:r>
      <w:r>
        <w:t>in</w:t>
      </w:r>
      <w:r w:rsidR="00A03629">
        <w:t xml:space="preserve"> </w:t>
      </w:r>
      <w:r>
        <w:t>the</w:t>
      </w:r>
      <w:r w:rsidR="00A03629">
        <w:t xml:space="preserve"> </w:t>
      </w:r>
      <w:r>
        <w:t>balance</w:t>
      </w:r>
      <w:r w:rsidR="00A03629">
        <w:t xml:space="preserve"> </w:t>
      </w:r>
      <w:r>
        <w:t>sheet.</w:t>
      </w:r>
    </w:p>
    <w:p w14:paraId="74E3397B" w14:textId="512A1D30" w:rsidR="000756EB" w:rsidRDefault="004A4D88" w:rsidP="00637D5A">
      <w:r>
        <w:t>Cash</w:t>
      </w:r>
      <w:r w:rsidR="00A03629">
        <w:t xml:space="preserve"> </w:t>
      </w:r>
      <w:r>
        <w:t>flows</w:t>
      </w:r>
      <w:r w:rsidR="00A03629">
        <w:t xml:space="preserve"> </w:t>
      </w:r>
      <w:r>
        <w:t>are</w:t>
      </w:r>
      <w:r w:rsidR="00A03629">
        <w:t xml:space="preserve"> </w:t>
      </w:r>
      <w:r>
        <w:t>presented</w:t>
      </w:r>
      <w:r w:rsidR="00A03629">
        <w:t xml:space="preserve"> </w:t>
      </w:r>
      <w:r>
        <w:t>on</w:t>
      </w:r>
      <w:r w:rsidR="00A03629">
        <w:t xml:space="preserve"> </w:t>
      </w:r>
      <w:r>
        <w:t>a</w:t>
      </w:r>
      <w:r w:rsidR="00A03629">
        <w:t xml:space="preserve"> </w:t>
      </w:r>
      <w:r>
        <w:t>gross</w:t>
      </w:r>
      <w:r w:rsidR="00A03629">
        <w:t xml:space="preserve"> </w:t>
      </w:r>
      <w:r>
        <w:t>basis.</w:t>
      </w:r>
      <w:r w:rsidR="00A03629">
        <w:t xml:space="preserve"> </w:t>
      </w:r>
    </w:p>
    <w:p w14:paraId="4C2113C7" w14:textId="6D3BBA76" w:rsidR="000756EB" w:rsidRDefault="004A4D88" w:rsidP="00637D5A">
      <w:r>
        <w:t>Commitments,</w:t>
      </w:r>
      <w:r w:rsidR="00A03629">
        <w:t xml:space="preserve"> </w:t>
      </w:r>
      <w:r>
        <w:t>contingent</w:t>
      </w:r>
      <w:r w:rsidR="00A03629">
        <w:t xml:space="preserve"> </w:t>
      </w:r>
      <w:proofErr w:type="gramStart"/>
      <w:r>
        <w:t>assets</w:t>
      </w:r>
      <w:proofErr w:type="gramEnd"/>
      <w:r w:rsidR="00A03629">
        <w:t xml:space="preserve"> </w:t>
      </w:r>
      <w:r>
        <w:t>and</w:t>
      </w:r>
      <w:r w:rsidR="00A03629">
        <w:t xml:space="preserve"> </w:t>
      </w:r>
      <w:r>
        <w:t>liabilities</w:t>
      </w:r>
      <w:r w:rsidR="00A03629">
        <w:t xml:space="preserve"> </w:t>
      </w:r>
      <w:r>
        <w:t>are</w:t>
      </w:r>
      <w:r w:rsidR="00A03629">
        <w:rPr>
          <w:rFonts w:ascii="Cambria" w:hAnsi="Cambria" w:cs="Cambria"/>
        </w:rPr>
        <w:t xml:space="preserve"> </w:t>
      </w:r>
      <w:r>
        <w:t>also</w:t>
      </w:r>
      <w:r w:rsidR="00A03629">
        <w:t xml:space="preserve"> </w:t>
      </w:r>
      <w:r>
        <w:t>stated</w:t>
      </w:r>
      <w:r w:rsidR="00A03629">
        <w:t xml:space="preserve"> </w:t>
      </w:r>
      <w:r>
        <w:t>inclusive</w:t>
      </w:r>
      <w:r w:rsidR="00A03629">
        <w:t xml:space="preserve"> </w:t>
      </w:r>
      <w:r>
        <w:t>of</w:t>
      </w:r>
      <w:r w:rsidR="00A03629">
        <w:t xml:space="preserve"> </w:t>
      </w:r>
      <w:r>
        <w:t>GST.</w:t>
      </w:r>
    </w:p>
    <w:p w14:paraId="2C0088F1" w14:textId="19D1BAB6" w:rsidR="000756EB" w:rsidRDefault="004A4D88" w:rsidP="00637D5A">
      <w:pPr>
        <w:pStyle w:val="Heading2"/>
      </w:pPr>
      <w:bookmarkStart w:id="158" w:name="_Toc149911849"/>
      <w:r>
        <w:t>9.12</w:t>
      </w:r>
      <w:r w:rsidR="00DE38B5">
        <w:t xml:space="preserve"> </w:t>
      </w:r>
      <w:r>
        <w:t>Australian</w:t>
      </w:r>
      <w:r w:rsidR="00A03629">
        <w:t xml:space="preserve"> </w:t>
      </w:r>
      <w:r>
        <w:t>Accounting</w:t>
      </w:r>
      <w:r w:rsidR="00A03629">
        <w:t xml:space="preserve"> </w:t>
      </w:r>
      <w:r>
        <w:t>Standards</w:t>
      </w:r>
      <w:r w:rsidR="00A03629">
        <w:t xml:space="preserve"> </w:t>
      </w:r>
      <w:r>
        <w:t>(AAS)</w:t>
      </w:r>
      <w:r w:rsidR="00A03629">
        <w:t xml:space="preserve"> </w:t>
      </w:r>
      <w:r>
        <w:t>issued</w:t>
      </w:r>
      <w:r w:rsidR="00A03629">
        <w:t xml:space="preserve"> </w:t>
      </w:r>
      <w:r>
        <w:t>that</w:t>
      </w:r>
      <w:r w:rsidR="00A03629">
        <w:t xml:space="preserve"> </w:t>
      </w:r>
      <w:r>
        <w:t>are</w:t>
      </w:r>
      <w:r w:rsidR="00A03629">
        <w:rPr>
          <w:rFonts w:ascii="Cambria" w:hAnsi="Cambria" w:cs="Cambria"/>
        </w:rPr>
        <w:t xml:space="preserve"> </w:t>
      </w:r>
      <w:r>
        <w:t>not</w:t>
      </w:r>
      <w:r w:rsidR="00A03629">
        <w:t xml:space="preserve"> </w:t>
      </w:r>
      <w:r>
        <w:t>yet</w:t>
      </w:r>
      <w:r w:rsidR="00A03629">
        <w:t xml:space="preserve"> </w:t>
      </w:r>
      <w:r>
        <w:t>effective</w:t>
      </w:r>
      <w:bookmarkEnd w:id="158"/>
    </w:p>
    <w:p w14:paraId="2B92629D" w14:textId="3B81416C" w:rsidR="000756EB" w:rsidRDefault="004A4D88" w:rsidP="00637D5A">
      <w:pPr>
        <w:pStyle w:val="Normalbeforebullets"/>
      </w:pPr>
      <w:r>
        <w:t>Certain</w:t>
      </w:r>
      <w:r w:rsidR="00A03629">
        <w:t xml:space="preserve"> </w:t>
      </w:r>
      <w:r>
        <w:t>new</w:t>
      </w:r>
      <w:r w:rsidR="00A03629">
        <w:t xml:space="preserve"> </w:t>
      </w:r>
      <w:r>
        <w:t>and</w:t>
      </w:r>
      <w:r w:rsidR="00A03629">
        <w:t xml:space="preserve"> </w:t>
      </w:r>
      <w:r>
        <w:t>revised</w:t>
      </w:r>
      <w:r w:rsidR="00A03629">
        <w:t xml:space="preserve"> </w:t>
      </w:r>
      <w:r>
        <w:t>accounting</w:t>
      </w:r>
      <w:r w:rsidR="00A03629">
        <w:t xml:space="preserve"> </w:t>
      </w:r>
      <w:r>
        <w:t>standards</w:t>
      </w:r>
      <w:r w:rsidR="00A03629">
        <w:t xml:space="preserve"> </w:t>
      </w:r>
      <w:r>
        <w:t>have</w:t>
      </w:r>
      <w:r w:rsidR="00A03629">
        <w:t xml:space="preserve"> </w:t>
      </w:r>
      <w:r>
        <w:t>been</w:t>
      </w:r>
      <w:r w:rsidR="00A03629">
        <w:t xml:space="preserve"> </w:t>
      </w:r>
      <w:r>
        <w:t>issued</w:t>
      </w:r>
      <w:r w:rsidR="00A03629">
        <w:t xml:space="preserve"> </w:t>
      </w:r>
      <w:r>
        <w:t>but</w:t>
      </w:r>
      <w:r w:rsidR="00A03629">
        <w:t xml:space="preserve"> </w:t>
      </w:r>
      <w:r>
        <w:t>are</w:t>
      </w:r>
      <w:r w:rsidR="00A03629">
        <w:t xml:space="preserve"> </w:t>
      </w:r>
      <w:r>
        <w:t>not</w:t>
      </w:r>
      <w:r w:rsidR="00A03629">
        <w:t xml:space="preserve"> </w:t>
      </w:r>
      <w:r>
        <w:t>effective</w:t>
      </w:r>
      <w:r w:rsidR="00A03629">
        <w:t xml:space="preserve"> </w:t>
      </w:r>
      <w:r>
        <w:t>for</w:t>
      </w:r>
      <w:r w:rsidR="00A03629">
        <w:t xml:space="preserve"> </w:t>
      </w:r>
      <w:r>
        <w:t>the</w:t>
      </w:r>
      <w:r w:rsidR="00A03629">
        <w:t xml:space="preserve"> </w:t>
      </w:r>
      <w:r>
        <w:t>2022–23</w:t>
      </w:r>
      <w:r w:rsidR="00A03629">
        <w:t xml:space="preserve"> </w:t>
      </w:r>
      <w:r>
        <w:t>reporting</w:t>
      </w:r>
      <w:r w:rsidR="00A03629">
        <w:t xml:space="preserve"> </w:t>
      </w:r>
      <w:r>
        <w:t>period.</w:t>
      </w:r>
      <w:r w:rsidR="00A03629">
        <w:t xml:space="preserve"> </w:t>
      </w:r>
      <w:r>
        <w:t>DJSIR</w:t>
      </w:r>
      <w:r w:rsidR="00A03629">
        <w:t xml:space="preserve"> </w:t>
      </w:r>
      <w:r>
        <w:t>is</w:t>
      </w:r>
      <w:r w:rsidR="00A03629">
        <w:t xml:space="preserve"> </w:t>
      </w:r>
      <w:r>
        <w:t>reviewing</w:t>
      </w:r>
      <w:r w:rsidR="00A03629">
        <w:t xml:space="preserve"> </w:t>
      </w:r>
      <w:r>
        <w:t>its</w:t>
      </w:r>
      <w:r w:rsidR="00A03629">
        <w:t xml:space="preserve"> </w:t>
      </w:r>
      <w:r>
        <w:t>existing</w:t>
      </w:r>
      <w:r w:rsidR="00A03629">
        <w:t xml:space="preserve"> </w:t>
      </w:r>
      <w:r>
        <w:t>policies</w:t>
      </w:r>
      <w:r w:rsidR="00A03629">
        <w:t xml:space="preserve"> </w:t>
      </w:r>
      <w:r>
        <w:t>and</w:t>
      </w:r>
      <w:r w:rsidR="00A03629">
        <w:t xml:space="preserve"> </w:t>
      </w:r>
      <w:r>
        <w:t>assessing</w:t>
      </w:r>
      <w:r w:rsidR="00A03629">
        <w:t xml:space="preserve"> </w:t>
      </w:r>
      <w:r>
        <w:t>the</w:t>
      </w:r>
      <w:r w:rsidR="00A03629">
        <w:t xml:space="preserve"> </w:t>
      </w:r>
      <w:r>
        <w:t>potential</w:t>
      </w:r>
      <w:r w:rsidR="00A03629">
        <w:t xml:space="preserve"> </w:t>
      </w:r>
      <w:r>
        <w:t>implications</w:t>
      </w:r>
      <w:r w:rsidR="00A03629">
        <w:t xml:space="preserve"> </w:t>
      </w:r>
      <w:r>
        <w:t>of</w:t>
      </w:r>
      <w:r w:rsidR="00A03629">
        <w:rPr>
          <w:rFonts w:ascii="Cambria" w:hAnsi="Cambria" w:cs="Cambria"/>
        </w:rPr>
        <w:t xml:space="preserve"> </w:t>
      </w:r>
      <w:r>
        <w:t>these</w:t>
      </w:r>
      <w:r w:rsidR="00A03629">
        <w:t xml:space="preserve"> </w:t>
      </w:r>
      <w:r>
        <w:t>accounting</w:t>
      </w:r>
      <w:r w:rsidR="00A03629">
        <w:t xml:space="preserve"> </w:t>
      </w:r>
      <w:r>
        <w:t>standards</w:t>
      </w:r>
      <w:r w:rsidR="00A03629">
        <w:t xml:space="preserve"> </w:t>
      </w:r>
      <w:r>
        <w:t>which</w:t>
      </w:r>
      <w:r w:rsidR="00A03629">
        <w:t xml:space="preserve"> </w:t>
      </w:r>
      <w:r>
        <w:t>includes:</w:t>
      </w:r>
    </w:p>
    <w:p w14:paraId="29DDEB71" w14:textId="2771EB59" w:rsidR="000756EB" w:rsidRDefault="004A4D88" w:rsidP="00637D5A">
      <w:pPr>
        <w:pStyle w:val="Bulletlast"/>
        <w:rPr>
          <w:rFonts w:ascii="VIC Light" w:hAnsi="VIC Light" w:cs="VIC Light"/>
        </w:rPr>
      </w:pPr>
      <w:r w:rsidRPr="00560218">
        <w:t>AASB</w:t>
      </w:r>
      <w:r w:rsidR="00A03629" w:rsidRPr="00560218">
        <w:t xml:space="preserve"> </w:t>
      </w:r>
      <w:r w:rsidRPr="00560218">
        <w:t>2020-1</w:t>
      </w:r>
      <w:r w:rsidR="00A03629">
        <w:rPr>
          <w:rFonts w:ascii="VIC" w:hAnsi="VIC" w:cs="VIC"/>
        </w:rPr>
        <w:t xml:space="preserve"> </w:t>
      </w:r>
      <w:r w:rsidRPr="00637D5A">
        <w:rPr>
          <w:i/>
          <w:iCs/>
        </w:rPr>
        <w:t>Amendments</w:t>
      </w:r>
      <w:r w:rsidR="00A03629" w:rsidRPr="00637D5A">
        <w:rPr>
          <w:i/>
          <w:iCs/>
        </w:rPr>
        <w:t xml:space="preserve"> </w:t>
      </w:r>
      <w:r w:rsidRPr="00637D5A">
        <w:rPr>
          <w:i/>
          <w:iCs/>
        </w:rPr>
        <w:t>to</w:t>
      </w:r>
      <w:r w:rsidR="00A03629" w:rsidRPr="00637D5A">
        <w:rPr>
          <w:i/>
          <w:iCs/>
        </w:rPr>
        <w:t xml:space="preserve"> </w:t>
      </w:r>
      <w:r w:rsidRPr="00637D5A">
        <w:rPr>
          <w:i/>
          <w:iCs/>
        </w:rPr>
        <w:t>Australian</w:t>
      </w:r>
      <w:r w:rsidR="00A03629" w:rsidRPr="00637D5A">
        <w:rPr>
          <w:i/>
          <w:iCs/>
        </w:rPr>
        <w:t xml:space="preserve"> </w:t>
      </w:r>
      <w:r w:rsidRPr="00637D5A">
        <w:rPr>
          <w:i/>
          <w:iCs/>
        </w:rPr>
        <w:t>Accounting</w:t>
      </w:r>
      <w:r w:rsidR="00A03629" w:rsidRPr="00637D5A">
        <w:rPr>
          <w:i/>
          <w:iCs/>
        </w:rPr>
        <w:t xml:space="preserve"> </w:t>
      </w:r>
      <w:r w:rsidRPr="00637D5A">
        <w:rPr>
          <w:i/>
          <w:iCs/>
        </w:rPr>
        <w:t>Standards</w:t>
      </w:r>
      <w:r w:rsidR="00A03629" w:rsidRPr="00637D5A">
        <w:rPr>
          <w:i/>
          <w:iCs/>
        </w:rPr>
        <w:t xml:space="preserve"> </w:t>
      </w:r>
      <w:r w:rsidRPr="00637D5A">
        <w:rPr>
          <w:i/>
          <w:iCs/>
        </w:rPr>
        <w:t>–</w:t>
      </w:r>
      <w:r w:rsidR="00A03629" w:rsidRPr="00637D5A">
        <w:rPr>
          <w:i/>
          <w:iCs/>
        </w:rPr>
        <w:t xml:space="preserve"> </w:t>
      </w:r>
      <w:r w:rsidRPr="00637D5A">
        <w:rPr>
          <w:i/>
          <w:iCs/>
        </w:rPr>
        <w:t>Classification</w:t>
      </w:r>
      <w:r w:rsidR="00A03629" w:rsidRPr="00637D5A">
        <w:rPr>
          <w:i/>
          <w:iCs/>
        </w:rPr>
        <w:t xml:space="preserve"> </w:t>
      </w:r>
      <w:r w:rsidRPr="00637D5A">
        <w:rPr>
          <w:i/>
          <w:iCs/>
        </w:rPr>
        <w:t>of</w:t>
      </w:r>
      <w:r w:rsidR="00A03629" w:rsidRPr="00637D5A">
        <w:rPr>
          <w:i/>
          <w:iCs/>
        </w:rPr>
        <w:t xml:space="preserve"> </w:t>
      </w:r>
      <w:r w:rsidRPr="00637D5A">
        <w:rPr>
          <w:i/>
          <w:iCs/>
        </w:rPr>
        <w:t>Liabilities</w:t>
      </w:r>
      <w:r w:rsidR="00A03629" w:rsidRPr="00637D5A">
        <w:rPr>
          <w:i/>
          <w:iCs/>
        </w:rPr>
        <w:t xml:space="preserve"> </w:t>
      </w:r>
      <w:r w:rsidRPr="00637D5A">
        <w:rPr>
          <w:i/>
          <w:iCs/>
        </w:rPr>
        <w:t>as</w:t>
      </w:r>
      <w:r w:rsidR="00A03629" w:rsidRPr="00637D5A">
        <w:rPr>
          <w:i/>
          <w:iCs/>
        </w:rPr>
        <w:t xml:space="preserve"> </w:t>
      </w:r>
      <w:r w:rsidRPr="00637D5A">
        <w:rPr>
          <w:i/>
          <w:iCs/>
        </w:rPr>
        <w:t>Current</w:t>
      </w:r>
      <w:r w:rsidR="00A03629" w:rsidRPr="00637D5A">
        <w:rPr>
          <w:i/>
          <w:iCs/>
        </w:rPr>
        <w:t xml:space="preserve"> </w:t>
      </w:r>
      <w:r w:rsidRPr="00637D5A">
        <w:rPr>
          <w:i/>
          <w:iCs/>
        </w:rPr>
        <w:t>or</w:t>
      </w:r>
      <w:r w:rsidR="00A03629" w:rsidRPr="00637D5A">
        <w:rPr>
          <w:i/>
          <w:iCs/>
        </w:rPr>
        <w:t xml:space="preserve"> </w:t>
      </w:r>
      <w:r w:rsidRPr="00637D5A">
        <w:rPr>
          <w:i/>
          <w:iCs/>
        </w:rPr>
        <w:t>Non</w:t>
      </w:r>
      <w:r w:rsidRPr="00637D5A">
        <w:rPr>
          <w:i/>
          <w:iCs/>
        </w:rPr>
        <w:noBreakHyphen/>
        <w:t>Current</w:t>
      </w:r>
    </w:p>
    <w:p w14:paraId="419E0FB0" w14:textId="7B931286" w:rsidR="000756EB" w:rsidRDefault="004A4D88" w:rsidP="00637D5A">
      <w:r>
        <w:t>This</w:t>
      </w:r>
      <w:r w:rsidR="00A03629">
        <w:t xml:space="preserve"> </w:t>
      </w:r>
      <w:r>
        <w:t>Standard</w:t>
      </w:r>
      <w:r w:rsidR="00A03629">
        <w:t xml:space="preserve"> </w:t>
      </w:r>
      <w:r>
        <w:t>amends</w:t>
      </w:r>
      <w:r w:rsidR="00A03629">
        <w:t xml:space="preserve"> </w:t>
      </w:r>
      <w:r>
        <w:t>AASB</w:t>
      </w:r>
      <w:r w:rsidR="00A03629">
        <w:t xml:space="preserve"> </w:t>
      </w:r>
      <w:r>
        <w:t>101</w:t>
      </w:r>
      <w:r w:rsidR="00A03629">
        <w:t xml:space="preserve"> </w:t>
      </w:r>
      <w:r>
        <w:t>to</w:t>
      </w:r>
      <w:r w:rsidR="00A03629">
        <w:t xml:space="preserve"> </w:t>
      </w:r>
      <w:r>
        <w:t>clarify</w:t>
      </w:r>
      <w:r w:rsidR="00A03629">
        <w:t xml:space="preserve"> </w:t>
      </w:r>
      <w:r>
        <w:t>requirements</w:t>
      </w:r>
      <w:r w:rsidR="00A03629">
        <w:t xml:space="preserve"> </w:t>
      </w:r>
      <w:r>
        <w:t>for</w:t>
      </w:r>
      <w:r w:rsidR="00A03629">
        <w:t xml:space="preserve"> </w:t>
      </w:r>
      <w:r>
        <w:t>the</w:t>
      </w:r>
      <w:r w:rsidR="00A03629">
        <w:t xml:space="preserve"> </w:t>
      </w:r>
      <w:r>
        <w:t>presentation</w:t>
      </w:r>
      <w:r w:rsidR="00A03629">
        <w:t xml:space="preserve"> </w:t>
      </w:r>
      <w:r>
        <w:t>of</w:t>
      </w:r>
      <w:r w:rsidR="00A03629">
        <w:t xml:space="preserve"> </w:t>
      </w:r>
      <w:r>
        <w:t>liabilities</w:t>
      </w:r>
      <w:r w:rsidR="00A03629">
        <w:t xml:space="preserve"> </w:t>
      </w:r>
      <w:r>
        <w:t>in</w:t>
      </w:r>
      <w:r w:rsidR="00A03629">
        <w:t xml:space="preserve"> </w:t>
      </w:r>
      <w:r>
        <w:t>the</w:t>
      </w:r>
      <w:r w:rsidR="00A03629">
        <w:t xml:space="preserve"> </w:t>
      </w:r>
      <w:r>
        <w:t>statement</w:t>
      </w:r>
      <w:r w:rsidR="00A03629">
        <w:t xml:space="preserve"> </w:t>
      </w:r>
      <w:r>
        <w:t>of</w:t>
      </w:r>
      <w:r w:rsidR="00A03629">
        <w:t xml:space="preserve"> </w:t>
      </w:r>
      <w:r>
        <w:t>financial</w:t>
      </w:r>
      <w:r w:rsidR="00A03629">
        <w:t xml:space="preserve"> </w:t>
      </w:r>
      <w:r>
        <w:t>position</w:t>
      </w:r>
      <w:r w:rsidR="00A03629">
        <w:t xml:space="preserve"> </w:t>
      </w:r>
      <w:r>
        <w:t>as</w:t>
      </w:r>
      <w:r w:rsidR="00A03629">
        <w:t xml:space="preserve"> </w:t>
      </w:r>
      <w:r>
        <w:t>current</w:t>
      </w:r>
      <w:r w:rsidR="00A03629">
        <w:t xml:space="preserve"> </w:t>
      </w:r>
      <w:r>
        <w:t>or</w:t>
      </w:r>
      <w:r w:rsidR="00A03629">
        <w:t xml:space="preserve"> </w:t>
      </w:r>
      <w:r>
        <w:t>non-current.</w:t>
      </w:r>
      <w:r w:rsidR="00A03629">
        <w:t xml:space="preserve"> </w:t>
      </w:r>
      <w:r>
        <w:t>It</w:t>
      </w:r>
      <w:r w:rsidR="00A03629">
        <w:t xml:space="preserve"> </w:t>
      </w:r>
      <w:r>
        <w:t>initially</w:t>
      </w:r>
      <w:r w:rsidR="00A03629">
        <w:t xml:space="preserve"> </w:t>
      </w:r>
      <w:r>
        <w:t>applied</w:t>
      </w:r>
      <w:r w:rsidR="00A03629">
        <w:t xml:space="preserve"> </w:t>
      </w:r>
      <w:r>
        <w:t>to</w:t>
      </w:r>
      <w:r w:rsidR="00A03629">
        <w:t xml:space="preserve"> </w:t>
      </w:r>
      <w:r>
        <w:t>annual</w:t>
      </w:r>
      <w:r w:rsidR="00A03629">
        <w:t xml:space="preserve"> </w:t>
      </w:r>
      <w:r>
        <w:t>reporting</w:t>
      </w:r>
      <w:r w:rsidR="00A03629">
        <w:t xml:space="preserve"> </w:t>
      </w:r>
      <w:r>
        <w:t>periods</w:t>
      </w:r>
      <w:r w:rsidR="00A03629">
        <w:t xml:space="preserve"> </w:t>
      </w:r>
      <w:r>
        <w:t>beginning</w:t>
      </w:r>
      <w:r w:rsidR="00A03629">
        <w:t xml:space="preserve"> </w:t>
      </w:r>
      <w:r>
        <w:t>on</w:t>
      </w:r>
      <w:r w:rsidR="00A03629">
        <w:t xml:space="preserve"> </w:t>
      </w:r>
      <w:r>
        <w:t>or</w:t>
      </w:r>
      <w:r w:rsidR="00A03629">
        <w:t xml:space="preserve"> </w:t>
      </w:r>
      <w:r>
        <w:t>after</w:t>
      </w:r>
      <w:r w:rsidR="00A03629">
        <w:t xml:space="preserve"> </w:t>
      </w:r>
      <w:r>
        <w:t>1</w:t>
      </w:r>
      <w:r w:rsidR="00A03629">
        <w:t xml:space="preserve"> </w:t>
      </w:r>
      <w:r>
        <w:t>January</w:t>
      </w:r>
      <w:r w:rsidR="00A03629">
        <w:t xml:space="preserve"> </w:t>
      </w:r>
      <w:r>
        <w:t>2022</w:t>
      </w:r>
      <w:r w:rsidR="00A03629">
        <w:t xml:space="preserve"> </w:t>
      </w:r>
      <w:r>
        <w:t>with</w:t>
      </w:r>
      <w:r w:rsidR="00A03629">
        <w:t xml:space="preserve"> </w:t>
      </w:r>
      <w:r>
        <w:t>earlier</w:t>
      </w:r>
      <w:r w:rsidR="00A03629">
        <w:t xml:space="preserve"> </w:t>
      </w:r>
      <w:r>
        <w:t>application</w:t>
      </w:r>
      <w:r w:rsidR="00A03629">
        <w:t xml:space="preserve"> </w:t>
      </w:r>
      <w:r>
        <w:t>permitted</w:t>
      </w:r>
      <w:r w:rsidR="00A03629">
        <w:t xml:space="preserve"> </w:t>
      </w:r>
      <w:r>
        <w:t>however</w:t>
      </w:r>
      <w:r w:rsidR="00A03629">
        <w:t xml:space="preserve"> </w:t>
      </w:r>
      <w:r>
        <w:t>the</w:t>
      </w:r>
      <w:r w:rsidR="00A03629">
        <w:t xml:space="preserve"> </w:t>
      </w:r>
      <w:r>
        <w:t>AASB</w:t>
      </w:r>
      <w:r w:rsidR="00A03629">
        <w:t xml:space="preserve"> </w:t>
      </w:r>
      <w:r>
        <w:t>has</w:t>
      </w:r>
      <w:r w:rsidR="00A03629">
        <w:t xml:space="preserve"> </w:t>
      </w:r>
      <w:r>
        <w:t>recently</w:t>
      </w:r>
      <w:r w:rsidR="00A03629">
        <w:t xml:space="preserve"> </w:t>
      </w:r>
      <w:r>
        <w:t>issued</w:t>
      </w:r>
      <w:r w:rsidR="00A03629">
        <w:t xml:space="preserve"> </w:t>
      </w:r>
      <w:r>
        <w:t>AASB</w:t>
      </w:r>
      <w:r w:rsidR="00A03629">
        <w:t xml:space="preserve"> </w:t>
      </w:r>
      <w:r>
        <w:t>2020-6</w:t>
      </w:r>
      <w:r w:rsidR="00A03629">
        <w:t xml:space="preserve"> </w:t>
      </w:r>
      <w:r>
        <w:t>Amendments</w:t>
      </w:r>
      <w:r w:rsidR="00A03629">
        <w:t xml:space="preserve"> </w:t>
      </w:r>
      <w:r>
        <w:t>to</w:t>
      </w:r>
      <w:r w:rsidR="00A03629">
        <w:t xml:space="preserve"> </w:t>
      </w:r>
      <w:r>
        <w:t>Australian</w:t>
      </w:r>
      <w:r w:rsidR="00A03629">
        <w:t xml:space="preserve"> </w:t>
      </w:r>
      <w:r>
        <w:t>Accounting</w:t>
      </w:r>
      <w:r w:rsidR="00A03629">
        <w:t xml:space="preserve"> </w:t>
      </w:r>
      <w:r>
        <w:t>Standards</w:t>
      </w:r>
      <w:r w:rsidR="00A03629">
        <w:t xml:space="preserve"> </w:t>
      </w:r>
      <w:r>
        <w:t>–</w:t>
      </w:r>
      <w:r w:rsidR="00A03629">
        <w:t xml:space="preserve"> </w:t>
      </w:r>
      <w:r>
        <w:t>Classification</w:t>
      </w:r>
      <w:r w:rsidR="00A03629">
        <w:t xml:space="preserve"> </w:t>
      </w:r>
      <w:r>
        <w:t>of</w:t>
      </w:r>
      <w:r w:rsidR="00A03629">
        <w:rPr>
          <w:rFonts w:ascii="Cambria" w:hAnsi="Cambria" w:cs="Cambria"/>
        </w:rPr>
        <w:t xml:space="preserve"> </w:t>
      </w:r>
      <w:r>
        <w:t>Liabilities</w:t>
      </w:r>
      <w:r w:rsidR="00A03629">
        <w:t xml:space="preserve"> </w:t>
      </w:r>
      <w:r>
        <w:t>as</w:t>
      </w:r>
      <w:r w:rsidR="00A03629">
        <w:t xml:space="preserve"> </w:t>
      </w:r>
      <w:r>
        <w:t>Current</w:t>
      </w:r>
      <w:r w:rsidR="00A03629">
        <w:t xml:space="preserve"> </w:t>
      </w:r>
      <w:r>
        <w:t>or</w:t>
      </w:r>
      <w:r w:rsidR="00A03629">
        <w:t xml:space="preserve"> </w:t>
      </w:r>
      <w:r>
        <w:t>Non-current</w:t>
      </w:r>
      <w:r w:rsidR="00A03629">
        <w:t xml:space="preserve"> </w:t>
      </w:r>
      <w:r>
        <w:t>–</w:t>
      </w:r>
      <w:r w:rsidR="00A03629">
        <w:t xml:space="preserve"> </w:t>
      </w:r>
      <w:r>
        <w:t>Deferral</w:t>
      </w:r>
      <w:r w:rsidR="00A03629">
        <w:t xml:space="preserve"> </w:t>
      </w:r>
      <w:r>
        <w:t>of</w:t>
      </w:r>
      <w:r w:rsidR="00A03629">
        <w:rPr>
          <w:rFonts w:ascii="Cambria" w:hAnsi="Cambria" w:cs="Cambria"/>
        </w:rPr>
        <w:t xml:space="preserve"> </w:t>
      </w:r>
      <w:r>
        <w:t>Effective</w:t>
      </w:r>
      <w:r w:rsidR="00A03629">
        <w:t xml:space="preserve"> </w:t>
      </w:r>
      <w:r>
        <w:t>Date</w:t>
      </w:r>
      <w:r w:rsidR="00A03629">
        <w:t xml:space="preserve"> </w:t>
      </w:r>
      <w:r>
        <w:t>to</w:t>
      </w:r>
      <w:r w:rsidR="00A03629">
        <w:t xml:space="preserve"> </w:t>
      </w:r>
      <w:r>
        <w:t>defer</w:t>
      </w:r>
      <w:r w:rsidR="00A03629">
        <w:t xml:space="preserve"> </w:t>
      </w:r>
      <w:r>
        <w:t>the</w:t>
      </w:r>
      <w:r w:rsidR="00A03629">
        <w:t xml:space="preserve"> </w:t>
      </w:r>
      <w:r>
        <w:t>application</w:t>
      </w:r>
      <w:r w:rsidR="00A03629">
        <w:t xml:space="preserve"> </w:t>
      </w:r>
      <w:r>
        <w:t>by</w:t>
      </w:r>
      <w:r w:rsidR="00A03629">
        <w:t xml:space="preserve"> </w:t>
      </w:r>
      <w:r>
        <w:t>one</w:t>
      </w:r>
      <w:r w:rsidR="00A03629">
        <w:t xml:space="preserve"> </w:t>
      </w:r>
      <w:r>
        <w:t>year</w:t>
      </w:r>
      <w:r w:rsidR="00A03629">
        <w:t xml:space="preserve"> </w:t>
      </w:r>
      <w:r>
        <w:t>to</w:t>
      </w:r>
      <w:r w:rsidR="00A03629">
        <w:t xml:space="preserve"> </w:t>
      </w:r>
      <w:r>
        <w:t>periods</w:t>
      </w:r>
      <w:r w:rsidR="00A03629">
        <w:t xml:space="preserve"> </w:t>
      </w:r>
      <w:r>
        <w:t>beginning</w:t>
      </w:r>
      <w:r w:rsidR="00A03629">
        <w:t xml:space="preserve"> </w:t>
      </w:r>
      <w:r>
        <w:t>on</w:t>
      </w:r>
      <w:r w:rsidR="00A03629">
        <w:t xml:space="preserve"> </w:t>
      </w:r>
      <w:r>
        <w:t>or</w:t>
      </w:r>
      <w:r w:rsidR="00A03629">
        <w:t xml:space="preserve"> </w:t>
      </w:r>
      <w:r>
        <w:t>after</w:t>
      </w:r>
      <w:r w:rsidR="00A03629">
        <w:t xml:space="preserve"> </w:t>
      </w:r>
      <w:r>
        <w:t>1</w:t>
      </w:r>
      <w:r w:rsidR="00A03629">
        <w:t xml:space="preserve"> </w:t>
      </w:r>
      <w:r>
        <w:t>January</w:t>
      </w:r>
      <w:r w:rsidR="00A03629">
        <w:t xml:space="preserve"> </w:t>
      </w:r>
      <w:r>
        <w:t>2023.</w:t>
      </w:r>
      <w:r w:rsidR="00A03629">
        <w:t xml:space="preserve"> </w:t>
      </w:r>
      <w:r>
        <w:t>The</w:t>
      </w:r>
      <w:r w:rsidR="00A03629">
        <w:rPr>
          <w:rFonts w:ascii="Cambria" w:hAnsi="Cambria" w:cs="Cambria"/>
        </w:rPr>
        <w:t xml:space="preserve"> </w:t>
      </w:r>
      <w:r>
        <w:t>Department</w:t>
      </w:r>
      <w:r w:rsidR="00A03629">
        <w:t xml:space="preserve"> </w:t>
      </w:r>
      <w:r>
        <w:t>will</w:t>
      </w:r>
      <w:r w:rsidR="00A03629">
        <w:t xml:space="preserve"> </w:t>
      </w:r>
      <w:r>
        <w:t>not</w:t>
      </w:r>
      <w:r w:rsidR="00A03629">
        <w:t xml:space="preserve"> </w:t>
      </w:r>
      <w:r>
        <w:t>early</w:t>
      </w:r>
      <w:r w:rsidR="00A03629">
        <w:t xml:space="preserve"> </w:t>
      </w:r>
      <w:r>
        <w:t>adopt</w:t>
      </w:r>
      <w:r w:rsidR="00A03629">
        <w:t xml:space="preserve"> </w:t>
      </w:r>
      <w:r>
        <w:t>the</w:t>
      </w:r>
      <w:r w:rsidR="00A03629">
        <w:t xml:space="preserve"> </w:t>
      </w:r>
      <w:r>
        <w:t>Standard.</w:t>
      </w:r>
    </w:p>
    <w:p w14:paraId="67CCB145" w14:textId="6B99D336" w:rsidR="000756EB" w:rsidRDefault="004A4D88" w:rsidP="00637D5A">
      <w:r>
        <w:t>The</w:t>
      </w:r>
      <w:r w:rsidR="00A03629">
        <w:t xml:space="preserve"> </w:t>
      </w:r>
      <w:r>
        <w:t>Department</w:t>
      </w:r>
      <w:r w:rsidR="00A03629">
        <w:t xml:space="preserve"> </w:t>
      </w:r>
      <w:r>
        <w:t>is</w:t>
      </w:r>
      <w:r w:rsidR="00A03629">
        <w:t xml:space="preserve"> </w:t>
      </w:r>
      <w:r>
        <w:t>in</w:t>
      </w:r>
      <w:r w:rsidR="00A03629">
        <w:t xml:space="preserve"> </w:t>
      </w:r>
      <w:r>
        <w:t>the</w:t>
      </w:r>
      <w:r w:rsidR="00A03629">
        <w:t xml:space="preserve"> </w:t>
      </w:r>
      <w:r>
        <w:t>process</w:t>
      </w:r>
      <w:r w:rsidR="00A03629">
        <w:t xml:space="preserve"> </w:t>
      </w:r>
      <w:r>
        <w:t>of</w:t>
      </w:r>
      <w:r w:rsidR="00A03629">
        <w:t xml:space="preserve"> </w:t>
      </w:r>
      <w:r>
        <w:t>analysing</w:t>
      </w:r>
      <w:r w:rsidR="00A03629">
        <w:t xml:space="preserve"> </w:t>
      </w:r>
      <w:r>
        <w:t>the</w:t>
      </w:r>
      <w:r w:rsidR="00A03629">
        <w:t xml:space="preserve"> </w:t>
      </w:r>
      <w:r>
        <w:t>impacts</w:t>
      </w:r>
      <w:r w:rsidR="00A03629">
        <w:t xml:space="preserve"> </w:t>
      </w:r>
      <w:r>
        <w:t>of</w:t>
      </w:r>
      <w:r w:rsidR="00A03629">
        <w:t xml:space="preserve"> </w:t>
      </w:r>
      <w:r>
        <w:t>this</w:t>
      </w:r>
      <w:r w:rsidR="00A03629">
        <w:t xml:space="preserve"> </w:t>
      </w:r>
      <w:r>
        <w:t>Standard.</w:t>
      </w:r>
      <w:r w:rsidR="00A03629">
        <w:t xml:space="preserve"> </w:t>
      </w:r>
      <w:r>
        <w:t>However,</w:t>
      </w:r>
      <w:r w:rsidR="00A03629">
        <w:t xml:space="preserve"> </w:t>
      </w:r>
      <w:r>
        <w:t>it</w:t>
      </w:r>
      <w:r w:rsidR="00A03629">
        <w:t xml:space="preserve"> </w:t>
      </w:r>
      <w:r>
        <w:t>is</w:t>
      </w:r>
      <w:r w:rsidR="00A03629">
        <w:t xml:space="preserve"> </w:t>
      </w:r>
      <w:r>
        <w:t>not</w:t>
      </w:r>
      <w:r w:rsidR="00A03629">
        <w:t xml:space="preserve"> </w:t>
      </w:r>
      <w:r>
        <w:t>anticipated</w:t>
      </w:r>
      <w:r w:rsidR="00A03629">
        <w:t xml:space="preserve"> </w:t>
      </w:r>
      <w:r>
        <w:t>to</w:t>
      </w:r>
      <w:r w:rsidR="00A03629">
        <w:t xml:space="preserve"> </w:t>
      </w:r>
      <w:r>
        <w:t>have</w:t>
      </w:r>
      <w:r w:rsidR="00A03629">
        <w:t xml:space="preserve"> </w:t>
      </w:r>
      <w:r>
        <w:t>a</w:t>
      </w:r>
      <w:r w:rsidR="00A03629">
        <w:t xml:space="preserve"> </w:t>
      </w:r>
      <w:r>
        <w:t>material</w:t>
      </w:r>
      <w:r w:rsidR="00A03629">
        <w:t xml:space="preserve"> </w:t>
      </w:r>
      <w:r>
        <w:t>impact.</w:t>
      </w:r>
    </w:p>
    <w:p w14:paraId="32B99835" w14:textId="225E6BFE" w:rsidR="000756EB" w:rsidRDefault="004A4D88" w:rsidP="00637D5A">
      <w:r>
        <w:t>Several</w:t>
      </w:r>
      <w:r w:rsidR="00A03629">
        <w:t xml:space="preserve"> </w:t>
      </w:r>
      <w:r>
        <w:t>other</w:t>
      </w:r>
      <w:r w:rsidR="00A03629">
        <w:t xml:space="preserve"> </w:t>
      </w:r>
      <w:r>
        <w:t>amending</w:t>
      </w:r>
      <w:r w:rsidR="00A03629">
        <w:t xml:space="preserve"> </w:t>
      </w:r>
      <w:r>
        <w:t>standards</w:t>
      </w:r>
      <w:r w:rsidR="00A03629">
        <w:t xml:space="preserve"> </w:t>
      </w:r>
      <w:r>
        <w:t>and</w:t>
      </w:r>
      <w:r w:rsidR="00A03629">
        <w:t xml:space="preserve"> </w:t>
      </w:r>
      <w:r>
        <w:t>AASB</w:t>
      </w:r>
      <w:r w:rsidR="00A03629">
        <w:t xml:space="preserve"> </w:t>
      </w:r>
      <w:r>
        <w:t>interpretations</w:t>
      </w:r>
      <w:r w:rsidR="00A03629">
        <w:t xml:space="preserve"> </w:t>
      </w:r>
      <w:r>
        <w:t>have</w:t>
      </w:r>
      <w:r w:rsidR="00A03629">
        <w:t xml:space="preserve"> </w:t>
      </w:r>
      <w:r>
        <w:t>been</w:t>
      </w:r>
      <w:r w:rsidR="00A03629">
        <w:t xml:space="preserve"> </w:t>
      </w:r>
      <w:r>
        <w:t>issued</w:t>
      </w:r>
      <w:r w:rsidR="00A03629">
        <w:t xml:space="preserve"> </w:t>
      </w:r>
      <w:r>
        <w:t>that</w:t>
      </w:r>
      <w:r w:rsidR="00A03629">
        <w:t xml:space="preserve"> </w:t>
      </w:r>
      <w:r>
        <w:t>apply</w:t>
      </w:r>
      <w:r w:rsidR="00A03629">
        <w:t xml:space="preserve"> </w:t>
      </w:r>
      <w:r>
        <w:t>to</w:t>
      </w:r>
      <w:r w:rsidR="00A03629">
        <w:t xml:space="preserve"> </w:t>
      </w:r>
      <w:r>
        <w:t>future</w:t>
      </w:r>
      <w:r w:rsidR="00A03629">
        <w:t xml:space="preserve"> </w:t>
      </w:r>
      <w:r>
        <w:t>reporting</w:t>
      </w:r>
      <w:r w:rsidR="00A03629">
        <w:t xml:space="preserve"> </w:t>
      </w:r>
      <w:proofErr w:type="gramStart"/>
      <w:r>
        <w:t>periods,</w:t>
      </w:r>
      <w:r w:rsidR="00A03629">
        <w:t xml:space="preserve"> </w:t>
      </w:r>
      <w:r>
        <w:t>but</w:t>
      </w:r>
      <w:proofErr w:type="gramEnd"/>
      <w:r w:rsidR="00A03629">
        <w:t xml:space="preserve"> </w:t>
      </w:r>
      <w:r>
        <w:t>are</w:t>
      </w:r>
      <w:r w:rsidR="00A03629">
        <w:t xml:space="preserve"> </w:t>
      </w:r>
      <w:r>
        <w:t>considered</w:t>
      </w:r>
      <w:r w:rsidR="00A03629">
        <w:t xml:space="preserve"> </w:t>
      </w:r>
      <w:r>
        <w:t>to</w:t>
      </w:r>
      <w:r w:rsidR="00A03629">
        <w:t xml:space="preserve"> </w:t>
      </w:r>
      <w:r>
        <w:t>have</w:t>
      </w:r>
      <w:r w:rsidR="00A03629">
        <w:t xml:space="preserve"> </w:t>
      </w:r>
      <w:r>
        <w:t>limited</w:t>
      </w:r>
      <w:r w:rsidR="00A03629">
        <w:t xml:space="preserve"> </w:t>
      </w:r>
      <w:r>
        <w:t>impact</w:t>
      </w:r>
      <w:r w:rsidR="00A03629">
        <w:t xml:space="preserve"> </w:t>
      </w:r>
      <w:r>
        <w:t>on</w:t>
      </w:r>
      <w:r w:rsidR="00A03629">
        <w:t xml:space="preserve"> </w:t>
      </w:r>
      <w:r>
        <w:t>the</w:t>
      </w:r>
      <w:r w:rsidR="00A03629">
        <w:t xml:space="preserve"> </w:t>
      </w:r>
      <w:r>
        <w:t>Department’s</w:t>
      </w:r>
      <w:r w:rsidR="00A03629">
        <w:t xml:space="preserve"> </w:t>
      </w:r>
      <w:r>
        <w:t>reporting.</w:t>
      </w:r>
    </w:p>
    <w:p w14:paraId="1510F190" w14:textId="63F97DE0" w:rsidR="000756EB" w:rsidRDefault="004A4D88" w:rsidP="00637D5A">
      <w:pPr>
        <w:pStyle w:val="Bullet"/>
        <w:keepNext/>
      </w:pPr>
      <w:r>
        <w:lastRenderedPageBreak/>
        <w:t>AASB</w:t>
      </w:r>
      <w:r w:rsidR="00A03629">
        <w:t xml:space="preserve"> </w:t>
      </w:r>
      <w:r>
        <w:t>17</w:t>
      </w:r>
      <w:r w:rsidR="00A03629">
        <w:t xml:space="preserve"> </w:t>
      </w:r>
      <w:r w:rsidRPr="00637D5A">
        <w:rPr>
          <w:i/>
          <w:iCs/>
        </w:rPr>
        <w:t>Insurance</w:t>
      </w:r>
      <w:r w:rsidR="00A03629" w:rsidRPr="00637D5A">
        <w:rPr>
          <w:i/>
          <w:iCs/>
        </w:rPr>
        <w:t xml:space="preserve"> </w:t>
      </w:r>
      <w:r w:rsidRPr="00637D5A">
        <w:rPr>
          <w:i/>
          <w:iCs/>
        </w:rPr>
        <w:t>Contracts</w:t>
      </w:r>
      <w:r>
        <w:t>.</w:t>
      </w:r>
    </w:p>
    <w:p w14:paraId="460FDFA7" w14:textId="6420994B" w:rsidR="000756EB" w:rsidRDefault="004A4D88" w:rsidP="00637D5A">
      <w:pPr>
        <w:pStyle w:val="Bullet"/>
      </w:pPr>
      <w:r>
        <w:t>AASB</w:t>
      </w:r>
      <w:r w:rsidR="00A03629">
        <w:t xml:space="preserve"> </w:t>
      </w:r>
      <w:r>
        <w:t>2020–3</w:t>
      </w:r>
      <w:r w:rsidR="00A03629">
        <w:t xml:space="preserve"> </w:t>
      </w:r>
      <w:r w:rsidRPr="00637D5A">
        <w:rPr>
          <w:i/>
          <w:iCs/>
        </w:rPr>
        <w:t>Amendments</w:t>
      </w:r>
      <w:r w:rsidR="00A03629" w:rsidRPr="00637D5A">
        <w:rPr>
          <w:i/>
          <w:iCs/>
        </w:rPr>
        <w:t xml:space="preserve"> </w:t>
      </w:r>
      <w:r w:rsidRPr="00637D5A">
        <w:rPr>
          <w:i/>
          <w:iCs/>
        </w:rPr>
        <w:t>to</w:t>
      </w:r>
      <w:r w:rsidR="00A03629" w:rsidRPr="00637D5A">
        <w:rPr>
          <w:i/>
          <w:iCs/>
        </w:rPr>
        <w:t xml:space="preserve"> </w:t>
      </w:r>
      <w:r w:rsidRPr="00637D5A">
        <w:rPr>
          <w:i/>
          <w:iCs/>
        </w:rPr>
        <w:t>Australian</w:t>
      </w:r>
      <w:r w:rsidR="00A03629" w:rsidRPr="00637D5A">
        <w:rPr>
          <w:i/>
          <w:iCs/>
        </w:rPr>
        <w:t xml:space="preserve"> </w:t>
      </w:r>
      <w:r w:rsidRPr="00637D5A">
        <w:rPr>
          <w:i/>
          <w:iCs/>
        </w:rPr>
        <w:t>Accounting</w:t>
      </w:r>
      <w:r w:rsidR="00A03629" w:rsidRPr="00637D5A">
        <w:rPr>
          <w:i/>
          <w:iCs/>
        </w:rPr>
        <w:t xml:space="preserve"> </w:t>
      </w:r>
      <w:r w:rsidRPr="00637D5A">
        <w:rPr>
          <w:i/>
          <w:iCs/>
        </w:rPr>
        <w:t>Standards</w:t>
      </w:r>
      <w:r w:rsidR="00A03629" w:rsidRPr="00637D5A">
        <w:rPr>
          <w:i/>
          <w:iCs/>
        </w:rPr>
        <w:t xml:space="preserve"> </w:t>
      </w:r>
      <w:r w:rsidRPr="00637D5A">
        <w:rPr>
          <w:i/>
          <w:iCs/>
        </w:rPr>
        <w:t>–</w:t>
      </w:r>
      <w:r w:rsidR="00A03629" w:rsidRPr="00637D5A">
        <w:rPr>
          <w:i/>
          <w:iCs/>
        </w:rPr>
        <w:t xml:space="preserve"> </w:t>
      </w:r>
      <w:r w:rsidRPr="00637D5A">
        <w:rPr>
          <w:i/>
          <w:iCs/>
        </w:rPr>
        <w:t>Annual</w:t>
      </w:r>
      <w:r w:rsidR="00A03629" w:rsidRPr="00637D5A">
        <w:rPr>
          <w:i/>
          <w:iCs/>
        </w:rPr>
        <w:t xml:space="preserve"> </w:t>
      </w:r>
      <w:r w:rsidRPr="00637D5A">
        <w:rPr>
          <w:i/>
          <w:iCs/>
        </w:rPr>
        <w:t>Improvements</w:t>
      </w:r>
      <w:r w:rsidR="00A03629" w:rsidRPr="00637D5A">
        <w:rPr>
          <w:i/>
          <w:iCs/>
        </w:rPr>
        <w:t xml:space="preserve"> </w:t>
      </w:r>
      <w:r w:rsidRPr="00637D5A">
        <w:rPr>
          <w:i/>
          <w:iCs/>
        </w:rPr>
        <w:t>2018–2020</w:t>
      </w:r>
      <w:r w:rsidR="00A03629" w:rsidRPr="00637D5A">
        <w:rPr>
          <w:i/>
          <w:iCs/>
        </w:rPr>
        <w:t xml:space="preserve"> </w:t>
      </w:r>
      <w:r w:rsidRPr="00637D5A">
        <w:rPr>
          <w:i/>
          <w:iCs/>
        </w:rPr>
        <w:t>and</w:t>
      </w:r>
      <w:r w:rsidR="00A03629" w:rsidRPr="00637D5A">
        <w:rPr>
          <w:i/>
          <w:iCs/>
        </w:rPr>
        <w:t xml:space="preserve"> </w:t>
      </w:r>
      <w:r w:rsidRPr="00637D5A">
        <w:rPr>
          <w:i/>
          <w:iCs/>
        </w:rPr>
        <w:t>Other</w:t>
      </w:r>
      <w:r w:rsidR="00A03629" w:rsidRPr="00637D5A">
        <w:rPr>
          <w:i/>
          <w:iCs/>
        </w:rPr>
        <w:t xml:space="preserve"> </w:t>
      </w:r>
      <w:r w:rsidRPr="00637D5A">
        <w:rPr>
          <w:i/>
          <w:iCs/>
        </w:rPr>
        <w:t>Amendments</w:t>
      </w:r>
      <w:r w:rsidRPr="00560218">
        <w:t>.</w:t>
      </w:r>
    </w:p>
    <w:p w14:paraId="6A03E84D" w14:textId="3F7D9BD8" w:rsidR="000756EB" w:rsidRDefault="004A4D88" w:rsidP="00637D5A">
      <w:pPr>
        <w:pStyle w:val="Bullet"/>
        <w:rPr>
          <w:spacing w:val="-3"/>
        </w:rPr>
      </w:pPr>
      <w:r>
        <w:t>AASB</w:t>
      </w:r>
      <w:r w:rsidR="00A03629">
        <w:t xml:space="preserve"> </w:t>
      </w:r>
      <w:r>
        <w:t>2021–2</w:t>
      </w:r>
      <w:r w:rsidR="00A03629">
        <w:t xml:space="preserve"> </w:t>
      </w:r>
      <w:r w:rsidRPr="00637D5A">
        <w:rPr>
          <w:i/>
          <w:iCs/>
        </w:rPr>
        <w:t>Amendments</w:t>
      </w:r>
      <w:r w:rsidR="00A03629" w:rsidRPr="00637D5A">
        <w:rPr>
          <w:i/>
          <w:iCs/>
        </w:rPr>
        <w:t xml:space="preserve"> </w:t>
      </w:r>
      <w:r w:rsidRPr="00637D5A">
        <w:rPr>
          <w:i/>
          <w:iCs/>
        </w:rPr>
        <w:t>to</w:t>
      </w:r>
      <w:r w:rsidR="00A03629" w:rsidRPr="00637D5A">
        <w:rPr>
          <w:i/>
          <w:iCs/>
        </w:rPr>
        <w:t xml:space="preserve"> </w:t>
      </w:r>
      <w:r w:rsidRPr="00637D5A">
        <w:rPr>
          <w:i/>
          <w:iCs/>
        </w:rPr>
        <w:t>Australian</w:t>
      </w:r>
      <w:r w:rsidR="00A03629" w:rsidRPr="00637D5A">
        <w:rPr>
          <w:i/>
          <w:iCs/>
        </w:rPr>
        <w:t xml:space="preserve"> </w:t>
      </w:r>
      <w:r w:rsidRPr="00637D5A">
        <w:rPr>
          <w:i/>
          <w:iCs/>
        </w:rPr>
        <w:t>Accounting</w:t>
      </w:r>
      <w:r w:rsidR="00A03629" w:rsidRPr="00637D5A">
        <w:rPr>
          <w:i/>
          <w:iCs/>
        </w:rPr>
        <w:t xml:space="preserve"> </w:t>
      </w:r>
      <w:r w:rsidRPr="00637D5A">
        <w:rPr>
          <w:i/>
          <w:iCs/>
        </w:rPr>
        <w:t>Standards</w:t>
      </w:r>
      <w:r w:rsidR="00A03629" w:rsidRPr="00637D5A">
        <w:rPr>
          <w:i/>
          <w:iCs/>
        </w:rPr>
        <w:t xml:space="preserve"> </w:t>
      </w:r>
      <w:r w:rsidRPr="00637D5A">
        <w:rPr>
          <w:i/>
          <w:iCs/>
        </w:rPr>
        <w:t>–</w:t>
      </w:r>
      <w:r w:rsidR="00A03629" w:rsidRPr="00637D5A">
        <w:rPr>
          <w:i/>
          <w:iCs/>
        </w:rPr>
        <w:t xml:space="preserve"> </w:t>
      </w:r>
      <w:r w:rsidRPr="00637D5A">
        <w:rPr>
          <w:i/>
          <w:iCs/>
        </w:rPr>
        <w:t>Disclosure</w:t>
      </w:r>
      <w:r w:rsidR="00A03629" w:rsidRPr="00637D5A">
        <w:rPr>
          <w:i/>
          <w:iCs/>
        </w:rPr>
        <w:t xml:space="preserve"> </w:t>
      </w:r>
      <w:r w:rsidRPr="00637D5A">
        <w:rPr>
          <w:i/>
          <w:iCs/>
        </w:rPr>
        <w:t>of</w:t>
      </w:r>
      <w:r w:rsidR="00A03629" w:rsidRPr="00637D5A">
        <w:rPr>
          <w:i/>
          <w:iCs/>
        </w:rPr>
        <w:t xml:space="preserve"> </w:t>
      </w:r>
      <w:r w:rsidRPr="00637D5A">
        <w:rPr>
          <w:i/>
          <w:iCs/>
        </w:rPr>
        <w:t>Accounting</w:t>
      </w:r>
      <w:r w:rsidR="00A03629" w:rsidRPr="00637D5A">
        <w:rPr>
          <w:i/>
          <w:iCs/>
        </w:rPr>
        <w:t xml:space="preserve"> </w:t>
      </w:r>
      <w:r w:rsidRPr="00637D5A">
        <w:rPr>
          <w:i/>
          <w:iCs/>
        </w:rPr>
        <w:t>Policies</w:t>
      </w:r>
      <w:r w:rsidR="00A03629" w:rsidRPr="00637D5A">
        <w:rPr>
          <w:i/>
          <w:iCs/>
        </w:rPr>
        <w:t xml:space="preserve"> </w:t>
      </w:r>
      <w:r w:rsidRPr="00637D5A">
        <w:rPr>
          <w:i/>
          <w:iCs/>
        </w:rPr>
        <w:t>and</w:t>
      </w:r>
      <w:r w:rsidR="00A03629" w:rsidRPr="00637D5A">
        <w:rPr>
          <w:i/>
          <w:iCs/>
        </w:rPr>
        <w:t xml:space="preserve"> </w:t>
      </w:r>
      <w:r w:rsidRPr="00637D5A">
        <w:rPr>
          <w:i/>
          <w:iCs/>
        </w:rPr>
        <w:t>Definitions</w:t>
      </w:r>
      <w:r w:rsidR="00A03629" w:rsidRPr="00637D5A">
        <w:rPr>
          <w:i/>
          <w:iCs/>
        </w:rPr>
        <w:t xml:space="preserve"> </w:t>
      </w:r>
      <w:r w:rsidRPr="00637D5A">
        <w:rPr>
          <w:i/>
          <w:iCs/>
        </w:rPr>
        <w:t>of</w:t>
      </w:r>
      <w:r w:rsidR="00A03629" w:rsidRPr="00637D5A">
        <w:rPr>
          <w:i/>
          <w:iCs/>
        </w:rPr>
        <w:t xml:space="preserve"> </w:t>
      </w:r>
      <w:r w:rsidRPr="00637D5A">
        <w:rPr>
          <w:i/>
          <w:iCs/>
        </w:rPr>
        <w:t>Accounting</w:t>
      </w:r>
      <w:r w:rsidR="00A03629" w:rsidRPr="00637D5A">
        <w:rPr>
          <w:i/>
          <w:iCs/>
        </w:rPr>
        <w:t xml:space="preserve"> </w:t>
      </w:r>
      <w:r w:rsidRPr="00637D5A">
        <w:rPr>
          <w:i/>
          <w:iCs/>
        </w:rPr>
        <w:t>Estimates</w:t>
      </w:r>
    </w:p>
    <w:p w14:paraId="32F3BB9F" w14:textId="1E780083" w:rsidR="000756EB" w:rsidRDefault="004A4D88" w:rsidP="00637D5A">
      <w:pPr>
        <w:pStyle w:val="Bullet"/>
        <w:rPr>
          <w:spacing w:val="-3"/>
        </w:rPr>
      </w:pPr>
      <w:r>
        <w:rPr>
          <w:spacing w:val="-3"/>
        </w:rPr>
        <w:t>AASB</w:t>
      </w:r>
      <w:r w:rsidR="00A03629">
        <w:rPr>
          <w:spacing w:val="-3"/>
        </w:rPr>
        <w:t xml:space="preserve"> </w:t>
      </w:r>
      <w:r>
        <w:rPr>
          <w:spacing w:val="-3"/>
        </w:rPr>
        <w:t>2021</w:t>
      </w:r>
      <w:r>
        <w:rPr>
          <w:spacing w:val="-1"/>
        </w:rPr>
        <w:t>–</w:t>
      </w:r>
      <w:r>
        <w:rPr>
          <w:spacing w:val="-3"/>
        </w:rPr>
        <w:t>6</w:t>
      </w:r>
      <w:r w:rsidR="00A03629">
        <w:rPr>
          <w:spacing w:val="-3"/>
        </w:rPr>
        <w:t xml:space="preserve"> </w:t>
      </w:r>
      <w:r w:rsidRPr="00637D5A">
        <w:rPr>
          <w:i/>
          <w:iCs/>
        </w:rPr>
        <w:t>Amendments</w:t>
      </w:r>
      <w:r w:rsidR="00A03629" w:rsidRPr="00637D5A">
        <w:rPr>
          <w:i/>
          <w:iCs/>
        </w:rPr>
        <w:t xml:space="preserve"> </w:t>
      </w:r>
      <w:r w:rsidRPr="00637D5A">
        <w:rPr>
          <w:i/>
          <w:iCs/>
        </w:rPr>
        <w:t>to</w:t>
      </w:r>
      <w:r w:rsidR="00A03629" w:rsidRPr="00637D5A">
        <w:rPr>
          <w:i/>
          <w:iCs/>
        </w:rPr>
        <w:t xml:space="preserve"> </w:t>
      </w:r>
      <w:r w:rsidRPr="00637D5A">
        <w:rPr>
          <w:i/>
          <w:iCs/>
        </w:rPr>
        <w:t>Australian</w:t>
      </w:r>
      <w:r w:rsidR="00A03629" w:rsidRPr="00637D5A">
        <w:rPr>
          <w:i/>
          <w:iCs/>
        </w:rPr>
        <w:t xml:space="preserve"> </w:t>
      </w:r>
      <w:r w:rsidRPr="00637D5A">
        <w:rPr>
          <w:i/>
          <w:iCs/>
        </w:rPr>
        <w:t>Accounting</w:t>
      </w:r>
      <w:r w:rsidR="00A03629" w:rsidRPr="00637D5A">
        <w:rPr>
          <w:i/>
          <w:iCs/>
        </w:rPr>
        <w:t xml:space="preserve"> </w:t>
      </w:r>
      <w:r w:rsidRPr="00637D5A">
        <w:rPr>
          <w:i/>
          <w:iCs/>
        </w:rPr>
        <w:t>Standards</w:t>
      </w:r>
      <w:r w:rsidR="00A03629" w:rsidRPr="00637D5A">
        <w:rPr>
          <w:i/>
          <w:iCs/>
        </w:rPr>
        <w:t xml:space="preserve"> </w:t>
      </w:r>
      <w:r w:rsidRPr="00637D5A">
        <w:rPr>
          <w:i/>
          <w:iCs/>
        </w:rPr>
        <w:t>–</w:t>
      </w:r>
      <w:r w:rsidR="00A03629" w:rsidRPr="00637D5A">
        <w:rPr>
          <w:i/>
          <w:iCs/>
        </w:rPr>
        <w:t xml:space="preserve"> </w:t>
      </w:r>
      <w:r w:rsidRPr="00637D5A">
        <w:rPr>
          <w:i/>
          <w:iCs/>
        </w:rPr>
        <w:t>Disclosure</w:t>
      </w:r>
      <w:r w:rsidR="00A03629" w:rsidRPr="00637D5A">
        <w:rPr>
          <w:i/>
          <w:iCs/>
        </w:rPr>
        <w:t xml:space="preserve"> </w:t>
      </w:r>
      <w:r w:rsidRPr="00637D5A">
        <w:rPr>
          <w:i/>
          <w:iCs/>
        </w:rPr>
        <w:t>of</w:t>
      </w:r>
      <w:r w:rsidR="00A03629" w:rsidRPr="00637D5A">
        <w:rPr>
          <w:i/>
          <w:iCs/>
        </w:rPr>
        <w:t xml:space="preserve"> </w:t>
      </w:r>
      <w:r w:rsidRPr="00637D5A">
        <w:rPr>
          <w:i/>
          <w:iCs/>
        </w:rPr>
        <w:t>Accounting</w:t>
      </w:r>
      <w:r w:rsidR="00A03629" w:rsidRPr="00637D5A">
        <w:rPr>
          <w:i/>
          <w:iCs/>
        </w:rPr>
        <w:t xml:space="preserve"> </w:t>
      </w:r>
      <w:r w:rsidRPr="00637D5A">
        <w:rPr>
          <w:i/>
          <w:iCs/>
        </w:rPr>
        <w:t>Policies:</w:t>
      </w:r>
      <w:r w:rsidR="00A03629" w:rsidRPr="00637D5A">
        <w:rPr>
          <w:i/>
          <w:iCs/>
        </w:rPr>
        <w:t xml:space="preserve"> </w:t>
      </w:r>
      <w:r w:rsidRPr="00637D5A">
        <w:rPr>
          <w:i/>
          <w:iCs/>
        </w:rPr>
        <w:t>Tier</w:t>
      </w:r>
      <w:r w:rsidR="00A03629" w:rsidRPr="00637D5A">
        <w:rPr>
          <w:i/>
          <w:iCs/>
        </w:rPr>
        <w:t xml:space="preserve"> </w:t>
      </w:r>
      <w:r w:rsidRPr="00637D5A">
        <w:rPr>
          <w:i/>
          <w:iCs/>
        </w:rPr>
        <w:t>2</w:t>
      </w:r>
      <w:r w:rsidR="00A03629" w:rsidRPr="00637D5A">
        <w:rPr>
          <w:i/>
          <w:iCs/>
        </w:rPr>
        <w:t xml:space="preserve"> </w:t>
      </w:r>
      <w:r w:rsidRPr="00637D5A">
        <w:rPr>
          <w:i/>
          <w:iCs/>
        </w:rPr>
        <w:t>and</w:t>
      </w:r>
      <w:r w:rsidR="00A03629" w:rsidRPr="00637D5A">
        <w:rPr>
          <w:i/>
          <w:iCs/>
        </w:rPr>
        <w:t xml:space="preserve"> </w:t>
      </w:r>
      <w:r w:rsidRPr="00637D5A">
        <w:rPr>
          <w:i/>
          <w:iCs/>
        </w:rPr>
        <w:t>Other</w:t>
      </w:r>
      <w:r w:rsidR="00A03629" w:rsidRPr="00637D5A">
        <w:rPr>
          <w:i/>
          <w:iCs/>
        </w:rPr>
        <w:t xml:space="preserve"> </w:t>
      </w:r>
      <w:r w:rsidRPr="00637D5A">
        <w:rPr>
          <w:i/>
          <w:iCs/>
        </w:rPr>
        <w:t>Australian</w:t>
      </w:r>
      <w:r w:rsidR="00A03629" w:rsidRPr="00637D5A">
        <w:rPr>
          <w:i/>
          <w:iCs/>
        </w:rPr>
        <w:t xml:space="preserve"> </w:t>
      </w:r>
      <w:r w:rsidRPr="00637D5A">
        <w:rPr>
          <w:i/>
          <w:iCs/>
        </w:rPr>
        <w:t>Accounting</w:t>
      </w:r>
      <w:r w:rsidR="00A03629" w:rsidRPr="00637D5A">
        <w:rPr>
          <w:i/>
          <w:iCs/>
        </w:rPr>
        <w:t xml:space="preserve"> </w:t>
      </w:r>
      <w:r w:rsidRPr="00637D5A">
        <w:rPr>
          <w:i/>
          <w:iCs/>
        </w:rPr>
        <w:t>Standards</w:t>
      </w:r>
      <w:r w:rsidRPr="00637D5A">
        <w:t>.</w:t>
      </w:r>
    </w:p>
    <w:p w14:paraId="4B71A0F2" w14:textId="6292685A" w:rsidR="000756EB" w:rsidRPr="00637D5A" w:rsidRDefault="004A4D88" w:rsidP="00637D5A">
      <w:pPr>
        <w:pStyle w:val="Bulletlast"/>
      </w:pPr>
      <w:r w:rsidRPr="00637D5A">
        <w:t>AASB</w:t>
      </w:r>
      <w:r w:rsidR="00A03629" w:rsidRPr="00637D5A">
        <w:t xml:space="preserve"> </w:t>
      </w:r>
      <w:r w:rsidRPr="00637D5A">
        <w:t>2021–7</w:t>
      </w:r>
      <w:r w:rsidR="00A03629">
        <w:rPr>
          <w:rFonts w:ascii="VIC Light" w:hAnsi="VIC Light" w:cs="VIC Light"/>
        </w:rPr>
        <w:t xml:space="preserve"> </w:t>
      </w:r>
      <w:r w:rsidRPr="00637D5A">
        <w:rPr>
          <w:i/>
          <w:iCs/>
        </w:rPr>
        <w:t>Amendments</w:t>
      </w:r>
      <w:r w:rsidR="00A03629" w:rsidRPr="00637D5A">
        <w:rPr>
          <w:i/>
          <w:iCs/>
        </w:rPr>
        <w:t xml:space="preserve"> </w:t>
      </w:r>
      <w:r w:rsidRPr="00637D5A">
        <w:rPr>
          <w:i/>
          <w:iCs/>
        </w:rPr>
        <w:t>to</w:t>
      </w:r>
      <w:r w:rsidR="00A03629" w:rsidRPr="00637D5A">
        <w:rPr>
          <w:i/>
          <w:iCs/>
        </w:rPr>
        <w:t xml:space="preserve"> </w:t>
      </w:r>
      <w:r w:rsidRPr="00637D5A">
        <w:rPr>
          <w:i/>
          <w:iCs/>
        </w:rPr>
        <w:t>Australian</w:t>
      </w:r>
      <w:r w:rsidR="00A03629" w:rsidRPr="00637D5A">
        <w:rPr>
          <w:i/>
          <w:iCs/>
        </w:rPr>
        <w:t xml:space="preserve"> </w:t>
      </w:r>
      <w:r w:rsidRPr="00637D5A">
        <w:rPr>
          <w:i/>
          <w:iCs/>
        </w:rPr>
        <w:t>Accounting</w:t>
      </w:r>
      <w:r w:rsidR="00A03629" w:rsidRPr="00637D5A">
        <w:rPr>
          <w:i/>
          <w:iCs/>
        </w:rPr>
        <w:t xml:space="preserve"> </w:t>
      </w:r>
      <w:r w:rsidRPr="00637D5A">
        <w:rPr>
          <w:i/>
          <w:iCs/>
        </w:rPr>
        <w:t>Standards</w:t>
      </w:r>
      <w:r w:rsidR="00A03629" w:rsidRPr="00637D5A">
        <w:rPr>
          <w:i/>
          <w:iCs/>
        </w:rPr>
        <w:t xml:space="preserve"> </w:t>
      </w:r>
      <w:r w:rsidRPr="00637D5A">
        <w:rPr>
          <w:i/>
          <w:iCs/>
        </w:rPr>
        <w:t>–</w:t>
      </w:r>
      <w:r w:rsidR="00A03629" w:rsidRPr="00637D5A">
        <w:rPr>
          <w:i/>
          <w:iCs/>
        </w:rPr>
        <w:t xml:space="preserve"> </w:t>
      </w:r>
      <w:r w:rsidRPr="00637D5A">
        <w:rPr>
          <w:i/>
          <w:iCs/>
        </w:rPr>
        <w:t>Effective</w:t>
      </w:r>
      <w:r w:rsidR="00A03629" w:rsidRPr="00637D5A">
        <w:rPr>
          <w:i/>
          <w:iCs/>
        </w:rPr>
        <w:t xml:space="preserve"> </w:t>
      </w:r>
      <w:r w:rsidRPr="00637D5A">
        <w:rPr>
          <w:i/>
          <w:iCs/>
        </w:rPr>
        <w:t>Date</w:t>
      </w:r>
      <w:r w:rsidR="00A03629" w:rsidRPr="00637D5A">
        <w:rPr>
          <w:i/>
          <w:iCs/>
        </w:rPr>
        <w:t xml:space="preserve"> </w:t>
      </w:r>
      <w:r w:rsidRPr="00637D5A">
        <w:rPr>
          <w:i/>
          <w:iCs/>
        </w:rPr>
        <w:t>of</w:t>
      </w:r>
      <w:r w:rsidR="00A03629" w:rsidRPr="00637D5A">
        <w:rPr>
          <w:i/>
          <w:iCs/>
        </w:rPr>
        <w:t xml:space="preserve"> </w:t>
      </w:r>
      <w:r w:rsidRPr="00637D5A">
        <w:rPr>
          <w:i/>
          <w:iCs/>
        </w:rPr>
        <w:t>Amendments</w:t>
      </w:r>
      <w:r w:rsidR="00A03629" w:rsidRPr="00637D5A">
        <w:rPr>
          <w:i/>
          <w:iCs/>
        </w:rPr>
        <w:t xml:space="preserve"> </w:t>
      </w:r>
      <w:r w:rsidRPr="00637D5A">
        <w:rPr>
          <w:i/>
          <w:iCs/>
        </w:rPr>
        <w:t>to</w:t>
      </w:r>
      <w:r w:rsidR="00A03629" w:rsidRPr="00637D5A">
        <w:rPr>
          <w:i/>
          <w:iCs/>
        </w:rPr>
        <w:t xml:space="preserve"> </w:t>
      </w:r>
      <w:r w:rsidRPr="00637D5A">
        <w:rPr>
          <w:i/>
          <w:iCs/>
        </w:rPr>
        <w:t>AASB</w:t>
      </w:r>
      <w:r w:rsidR="00A03629" w:rsidRPr="00637D5A">
        <w:rPr>
          <w:i/>
          <w:iCs/>
        </w:rPr>
        <w:t xml:space="preserve"> </w:t>
      </w:r>
      <w:r w:rsidRPr="00637D5A">
        <w:rPr>
          <w:i/>
          <w:iCs/>
        </w:rPr>
        <w:t>10</w:t>
      </w:r>
      <w:r w:rsidR="00A03629" w:rsidRPr="00637D5A">
        <w:rPr>
          <w:i/>
          <w:iCs/>
        </w:rPr>
        <w:t xml:space="preserve"> </w:t>
      </w:r>
      <w:r w:rsidRPr="00637D5A">
        <w:rPr>
          <w:i/>
          <w:iCs/>
        </w:rPr>
        <w:t>and</w:t>
      </w:r>
      <w:r w:rsidR="00A03629" w:rsidRPr="00637D5A">
        <w:rPr>
          <w:i/>
          <w:iCs/>
        </w:rPr>
        <w:t xml:space="preserve"> </w:t>
      </w:r>
      <w:r w:rsidRPr="00637D5A">
        <w:rPr>
          <w:i/>
          <w:iCs/>
        </w:rPr>
        <w:t>AASB</w:t>
      </w:r>
      <w:r w:rsidR="00A03629" w:rsidRPr="00637D5A">
        <w:rPr>
          <w:i/>
          <w:iCs/>
        </w:rPr>
        <w:t xml:space="preserve"> </w:t>
      </w:r>
      <w:r w:rsidRPr="00637D5A">
        <w:rPr>
          <w:i/>
          <w:iCs/>
        </w:rPr>
        <w:t>128</w:t>
      </w:r>
      <w:r w:rsidR="00A03629" w:rsidRPr="00637D5A">
        <w:rPr>
          <w:i/>
          <w:iCs/>
        </w:rPr>
        <w:t xml:space="preserve"> </w:t>
      </w:r>
      <w:r w:rsidRPr="00637D5A">
        <w:rPr>
          <w:i/>
          <w:iCs/>
        </w:rPr>
        <w:t>and</w:t>
      </w:r>
      <w:r w:rsidR="00A03629" w:rsidRPr="00637D5A">
        <w:rPr>
          <w:i/>
          <w:iCs/>
        </w:rPr>
        <w:t xml:space="preserve"> </w:t>
      </w:r>
      <w:r w:rsidRPr="00637D5A">
        <w:rPr>
          <w:i/>
          <w:iCs/>
        </w:rPr>
        <w:t>Editorial</w:t>
      </w:r>
      <w:r w:rsidR="00A03629" w:rsidRPr="00637D5A">
        <w:rPr>
          <w:i/>
          <w:iCs/>
        </w:rPr>
        <w:t xml:space="preserve"> </w:t>
      </w:r>
      <w:r w:rsidRPr="00637D5A">
        <w:rPr>
          <w:i/>
          <w:iCs/>
        </w:rPr>
        <w:t>Corrections</w:t>
      </w:r>
      <w:r w:rsidRPr="00637D5A">
        <w:t>.</w:t>
      </w:r>
    </w:p>
    <w:p w14:paraId="61384A1D" w14:textId="79BED14D" w:rsidR="000756EB" w:rsidRDefault="004A4D88" w:rsidP="00637D5A">
      <w:pPr>
        <w:pStyle w:val="Heading2"/>
      </w:pPr>
      <w:bookmarkStart w:id="159" w:name="_Toc149911850"/>
      <w:r>
        <w:t>9.13</w:t>
      </w:r>
      <w:r w:rsidR="00A03629">
        <w:t xml:space="preserve"> </w:t>
      </w:r>
      <w:r>
        <w:t>Departmental</w:t>
      </w:r>
      <w:r w:rsidR="00A03629">
        <w:t xml:space="preserve"> </w:t>
      </w:r>
      <w:r>
        <w:t>output</w:t>
      </w:r>
      <w:r w:rsidR="00A03629">
        <w:t xml:space="preserve"> </w:t>
      </w:r>
      <w:r>
        <w:t>objectives</w:t>
      </w:r>
      <w:r w:rsidR="00A03629">
        <w:t xml:space="preserve"> </w:t>
      </w:r>
      <w:r>
        <w:t>and</w:t>
      </w:r>
      <w:r w:rsidR="00A03629">
        <w:t xml:space="preserve"> </w:t>
      </w:r>
      <w:r>
        <w:t>descriptions</w:t>
      </w:r>
      <w:bookmarkEnd w:id="159"/>
    </w:p>
    <w:p w14:paraId="47803172" w14:textId="4589C29E" w:rsidR="000756EB" w:rsidRDefault="004A4D88" w:rsidP="00637D5A">
      <w:r>
        <w:t>DJSIR</w:t>
      </w:r>
      <w:r w:rsidR="00A03629">
        <w:t xml:space="preserve"> </w:t>
      </w:r>
      <w:r>
        <w:t>outputs</w:t>
      </w:r>
      <w:r w:rsidR="00A03629">
        <w:t xml:space="preserve"> </w:t>
      </w:r>
      <w:r>
        <w:t>during</w:t>
      </w:r>
      <w:r w:rsidR="00A03629">
        <w:t xml:space="preserve"> </w:t>
      </w:r>
      <w:r>
        <w:t>the</w:t>
      </w:r>
      <w:r w:rsidR="00A03629">
        <w:t xml:space="preserve"> </w:t>
      </w:r>
      <w:r>
        <w:t>financial</w:t>
      </w:r>
      <w:r w:rsidR="00A03629">
        <w:t xml:space="preserve"> </w:t>
      </w:r>
      <w:r>
        <w:t>year</w:t>
      </w:r>
      <w:r w:rsidR="00A03629">
        <w:t xml:space="preserve"> </w:t>
      </w:r>
      <w:r>
        <w:t>ended</w:t>
      </w:r>
      <w:r w:rsidR="00A03629">
        <w:t xml:space="preserve"> </w:t>
      </w:r>
      <w:r>
        <w:t>30</w:t>
      </w:r>
      <w:r w:rsidR="00A03629">
        <w:t xml:space="preserve"> </w:t>
      </w:r>
      <w:r>
        <w:t>June</w:t>
      </w:r>
      <w:r w:rsidR="00A03629">
        <w:t xml:space="preserve"> </w:t>
      </w:r>
      <w:r>
        <w:t>2023</w:t>
      </w:r>
      <w:r w:rsidR="00A03629">
        <w:t xml:space="preserve"> </w:t>
      </w:r>
      <w:r>
        <w:t>are</w:t>
      </w:r>
      <w:r w:rsidR="00A03629">
        <w:t xml:space="preserve"> </w:t>
      </w:r>
      <w:r>
        <w:t>disclosed</w:t>
      </w:r>
      <w:r w:rsidR="00A03629">
        <w:t xml:space="preserve"> </w:t>
      </w:r>
      <w:r>
        <w:t>in</w:t>
      </w:r>
      <w:r w:rsidR="00A03629">
        <w:t xml:space="preserve"> </w:t>
      </w:r>
      <w:r>
        <w:t>Note</w:t>
      </w:r>
      <w:r w:rsidR="00A03629">
        <w:t xml:space="preserve"> </w:t>
      </w:r>
      <w:r>
        <w:t>4.1</w:t>
      </w:r>
      <w:r w:rsidR="00A03629">
        <w:t xml:space="preserve"> </w:t>
      </w:r>
      <w:r>
        <w:t>–</w:t>
      </w:r>
      <w:r w:rsidR="00A03629">
        <w:t xml:space="preserve"> </w:t>
      </w:r>
      <w:r>
        <w:t>Departmental</w:t>
      </w:r>
      <w:r w:rsidR="00A03629">
        <w:t xml:space="preserve"> </w:t>
      </w:r>
      <w:r>
        <w:t>outputs.</w:t>
      </w:r>
      <w:r w:rsidR="00A03629">
        <w:t xml:space="preserve"> </w:t>
      </w:r>
      <w:r>
        <w:t>The</w:t>
      </w:r>
      <w:r w:rsidR="00A03629">
        <w:t xml:space="preserve"> </w:t>
      </w:r>
      <w:r>
        <w:t>outputs</w:t>
      </w:r>
      <w:r w:rsidR="00A03629">
        <w:t xml:space="preserve"> </w:t>
      </w:r>
      <w:r>
        <w:t>objectives</w:t>
      </w:r>
      <w:r w:rsidR="00A03629">
        <w:t xml:space="preserve"> </w:t>
      </w:r>
      <w:r>
        <w:t>and</w:t>
      </w:r>
      <w:r w:rsidR="00A03629">
        <w:t xml:space="preserve"> </w:t>
      </w:r>
      <w:r>
        <w:t>descriptions</w:t>
      </w:r>
      <w:r w:rsidR="00A03629">
        <w:t xml:space="preserve"> </w:t>
      </w:r>
      <w:r>
        <w:t>are</w:t>
      </w:r>
      <w:r w:rsidR="00A03629">
        <w:rPr>
          <w:rFonts w:ascii="Cambria" w:hAnsi="Cambria" w:cs="Cambria"/>
        </w:rPr>
        <w:t xml:space="preserve"> </w:t>
      </w:r>
      <w:r>
        <w:t>summarised</w:t>
      </w:r>
      <w:r w:rsidR="00A03629">
        <w:t xml:space="preserve"> </w:t>
      </w:r>
      <w:r>
        <w:t>below.</w:t>
      </w:r>
    </w:p>
    <w:p w14:paraId="1BF5C65F" w14:textId="379F5AF9" w:rsidR="000756EB" w:rsidRPr="00095903" w:rsidRDefault="004A4D88" w:rsidP="00095903">
      <w:pPr>
        <w:pStyle w:val="Normalbeforebullets"/>
        <w:rPr>
          <w:b/>
          <w:bCs/>
        </w:rPr>
      </w:pPr>
      <w:r w:rsidRPr="00095903">
        <w:rPr>
          <w:b/>
          <w:bCs/>
        </w:rPr>
        <w:t>Creating</w:t>
      </w:r>
      <w:r w:rsidR="00A03629" w:rsidRPr="00095903">
        <w:rPr>
          <w:b/>
          <w:bCs/>
        </w:rPr>
        <w:t xml:space="preserve"> </w:t>
      </w:r>
      <w:r w:rsidRPr="00095903">
        <w:rPr>
          <w:b/>
          <w:bCs/>
        </w:rPr>
        <w:t>more</w:t>
      </w:r>
      <w:r w:rsidR="00A03629" w:rsidRPr="00095903">
        <w:rPr>
          <w:b/>
          <w:bCs/>
        </w:rPr>
        <w:t xml:space="preserve"> </w:t>
      </w:r>
      <w:r w:rsidRPr="00095903">
        <w:rPr>
          <w:b/>
          <w:bCs/>
        </w:rPr>
        <w:t>opportunities</w:t>
      </w:r>
      <w:r w:rsidR="00A03629" w:rsidRPr="00095903">
        <w:rPr>
          <w:b/>
          <w:bCs/>
        </w:rPr>
        <w:t xml:space="preserve"> </w:t>
      </w:r>
      <w:r w:rsidRPr="00095903">
        <w:rPr>
          <w:b/>
          <w:bCs/>
        </w:rPr>
        <w:t>for</w:t>
      </w:r>
      <w:r w:rsidR="00A03629" w:rsidRPr="00095903">
        <w:rPr>
          <w:b/>
          <w:bCs/>
        </w:rPr>
        <w:t xml:space="preserve"> </w:t>
      </w:r>
      <w:r w:rsidRPr="00095903">
        <w:rPr>
          <w:b/>
          <w:bCs/>
        </w:rPr>
        <w:t>people</w:t>
      </w:r>
      <w:r w:rsidR="00A03629" w:rsidRPr="00095903">
        <w:rPr>
          <w:b/>
          <w:bCs/>
        </w:rPr>
        <w:t xml:space="preserve"> </w:t>
      </w:r>
      <w:r w:rsidRPr="00095903">
        <w:rPr>
          <w:b/>
          <w:bCs/>
        </w:rPr>
        <w:t>through</w:t>
      </w:r>
      <w:r w:rsidR="00A03629" w:rsidRPr="00095903">
        <w:rPr>
          <w:b/>
          <w:bCs/>
        </w:rPr>
        <w:t xml:space="preserve"> </w:t>
      </w:r>
      <w:r w:rsidRPr="00095903">
        <w:rPr>
          <w:b/>
          <w:bCs/>
        </w:rPr>
        <w:t>jobs</w:t>
      </w:r>
      <w:r w:rsidR="00A03629" w:rsidRPr="00095903">
        <w:rPr>
          <w:b/>
          <w:bCs/>
        </w:rPr>
        <w:t xml:space="preserve"> </w:t>
      </w:r>
      <w:r w:rsidRPr="00095903">
        <w:rPr>
          <w:b/>
          <w:bCs/>
        </w:rPr>
        <w:t>and</w:t>
      </w:r>
      <w:r w:rsidR="00A03629" w:rsidRPr="00095903">
        <w:rPr>
          <w:b/>
          <w:bCs/>
        </w:rPr>
        <w:t xml:space="preserve"> </w:t>
      </w:r>
      <w:r w:rsidRPr="00095903">
        <w:rPr>
          <w:b/>
          <w:bCs/>
        </w:rPr>
        <w:t>skills</w:t>
      </w:r>
    </w:p>
    <w:p w14:paraId="3EC7E9D4" w14:textId="1C8E8CBC" w:rsidR="000756EB" w:rsidRDefault="004A4D88" w:rsidP="00095903">
      <w:r>
        <w:t>We’re</w:t>
      </w:r>
      <w:r w:rsidR="00A03629">
        <w:t xml:space="preserve"> </w:t>
      </w:r>
      <w:r>
        <w:t>supporting</w:t>
      </w:r>
      <w:r w:rsidR="00A03629">
        <w:t xml:space="preserve"> </w:t>
      </w:r>
      <w:r>
        <w:t>people</w:t>
      </w:r>
      <w:r w:rsidR="00A03629">
        <w:t xml:space="preserve"> </w:t>
      </w:r>
      <w:r>
        <w:t>to</w:t>
      </w:r>
      <w:r w:rsidR="00A03629">
        <w:t xml:space="preserve"> </w:t>
      </w:r>
      <w:r>
        <w:t>access</w:t>
      </w:r>
      <w:r w:rsidR="00A03629">
        <w:t xml:space="preserve"> </w:t>
      </w:r>
      <w:r>
        <w:t>skills,</w:t>
      </w:r>
      <w:r w:rsidR="00A03629">
        <w:t xml:space="preserve"> </w:t>
      </w:r>
      <w:r>
        <w:t>training</w:t>
      </w:r>
      <w:r w:rsidR="00A03629">
        <w:t xml:space="preserve"> </w:t>
      </w:r>
      <w:r>
        <w:t>and</w:t>
      </w:r>
      <w:r w:rsidR="00A03629">
        <w:t xml:space="preserve"> </w:t>
      </w:r>
      <w:r>
        <w:t>supports</w:t>
      </w:r>
      <w:r w:rsidR="00A03629">
        <w:t xml:space="preserve"> </w:t>
      </w:r>
      <w:r>
        <w:t>they</w:t>
      </w:r>
      <w:r w:rsidR="00A03629">
        <w:t xml:space="preserve"> </w:t>
      </w:r>
      <w:r>
        <w:t>need</w:t>
      </w:r>
      <w:r w:rsidR="00A03629">
        <w:t xml:space="preserve"> </w:t>
      </w:r>
      <w:r>
        <w:t>to</w:t>
      </w:r>
      <w:r w:rsidR="00A03629">
        <w:t xml:space="preserve"> </w:t>
      </w:r>
      <w:r>
        <w:t>find</w:t>
      </w:r>
      <w:r w:rsidR="00A03629">
        <w:t xml:space="preserve"> </w:t>
      </w:r>
      <w:r>
        <w:t>and</w:t>
      </w:r>
      <w:r w:rsidR="00A03629">
        <w:t xml:space="preserve"> </w:t>
      </w:r>
      <w:r>
        <w:t>succeed</w:t>
      </w:r>
      <w:r w:rsidR="00A03629">
        <w:t xml:space="preserve"> </w:t>
      </w:r>
      <w:r>
        <w:t>in</w:t>
      </w:r>
      <w:r w:rsidR="00A03629">
        <w:t xml:space="preserve"> </w:t>
      </w:r>
      <w:r>
        <w:t>work.</w:t>
      </w:r>
      <w:r w:rsidR="00A03629">
        <w:t xml:space="preserve"> </w:t>
      </w:r>
      <w:r>
        <w:t>And</w:t>
      </w:r>
      <w:r w:rsidR="00A03629">
        <w:t xml:space="preserve"> </w:t>
      </w:r>
      <w:r>
        <w:t>as</w:t>
      </w:r>
      <w:r w:rsidR="00A03629">
        <w:t xml:space="preserve"> </w:t>
      </w:r>
      <w:r>
        <w:t>Victoria’s</w:t>
      </w:r>
      <w:r w:rsidR="00A03629">
        <w:t xml:space="preserve"> </w:t>
      </w:r>
      <w:r>
        <w:t>demand</w:t>
      </w:r>
      <w:r w:rsidR="00A03629">
        <w:t xml:space="preserve"> </w:t>
      </w:r>
      <w:r>
        <w:t>for</w:t>
      </w:r>
      <w:r w:rsidR="00A03629">
        <w:t xml:space="preserve"> </w:t>
      </w:r>
      <w:r>
        <w:t>skilled</w:t>
      </w:r>
      <w:r w:rsidR="00A03629">
        <w:t xml:space="preserve"> </w:t>
      </w:r>
      <w:r>
        <w:t>workers</w:t>
      </w:r>
      <w:r w:rsidR="00A03629">
        <w:t xml:space="preserve"> </w:t>
      </w:r>
      <w:r>
        <w:t>increases,</w:t>
      </w:r>
      <w:r w:rsidR="00A03629">
        <w:t xml:space="preserve"> </w:t>
      </w:r>
      <w:r>
        <w:t>we’re</w:t>
      </w:r>
      <w:r w:rsidR="00A03629">
        <w:t xml:space="preserve"> </w:t>
      </w:r>
      <w:r>
        <w:t>joining</w:t>
      </w:r>
      <w:r w:rsidR="00A03629">
        <w:t xml:space="preserve"> </w:t>
      </w:r>
      <w:r>
        <w:t>up</w:t>
      </w:r>
      <w:r w:rsidR="00A03629">
        <w:t xml:space="preserve"> </w:t>
      </w:r>
      <w:r>
        <w:t>employers,</w:t>
      </w:r>
      <w:r w:rsidR="00A03629">
        <w:t xml:space="preserve"> </w:t>
      </w:r>
      <w:r>
        <w:t>TAFE</w:t>
      </w:r>
      <w:r w:rsidR="00A03629">
        <w:t xml:space="preserve"> </w:t>
      </w:r>
      <w:r>
        <w:t>and</w:t>
      </w:r>
      <w:r w:rsidR="00A03629">
        <w:t xml:space="preserve"> </w:t>
      </w:r>
      <w:r>
        <w:t>training</w:t>
      </w:r>
      <w:r w:rsidR="00A03629">
        <w:t xml:space="preserve"> </w:t>
      </w:r>
      <w:r>
        <w:t>providers</w:t>
      </w:r>
      <w:r w:rsidR="00A03629">
        <w:t xml:space="preserve"> </w:t>
      </w:r>
      <w:r>
        <w:t>and</w:t>
      </w:r>
      <w:r w:rsidR="00A03629">
        <w:t xml:space="preserve"> </w:t>
      </w:r>
      <w:r>
        <w:t>employment</w:t>
      </w:r>
      <w:r w:rsidR="00A03629">
        <w:t xml:space="preserve"> </w:t>
      </w:r>
      <w:r>
        <w:t>services</w:t>
      </w:r>
      <w:r w:rsidR="00A03629">
        <w:t xml:space="preserve"> </w:t>
      </w:r>
      <w:r>
        <w:t>in</w:t>
      </w:r>
      <w:r w:rsidR="00A03629">
        <w:t xml:space="preserve"> </w:t>
      </w:r>
      <w:r>
        <w:t>local</w:t>
      </w:r>
      <w:r w:rsidR="00A03629">
        <w:t xml:space="preserve"> </w:t>
      </w:r>
      <w:r>
        <w:t>communities</w:t>
      </w:r>
      <w:r w:rsidR="00A03629">
        <w:t xml:space="preserve"> </w:t>
      </w:r>
      <w:r>
        <w:t>so</w:t>
      </w:r>
      <w:r w:rsidR="00A03629">
        <w:t xml:space="preserve"> </w:t>
      </w:r>
      <w:r>
        <w:t>business</w:t>
      </w:r>
      <w:r w:rsidR="00A03629">
        <w:t xml:space="preserve"> </w:t>
      </w:r>
      <w:r>
        <w:t>and</w:t>
      </w:r>
      <w:r w:rsidR="00A03629">
        <w:t xml:space="preserve"> </w:t>
      </w:r>
      <w:r>
        <w:t>industry</w:t>
      </w:r>
      <w:r w:rsidR="00A03629">
        <w:t xml:space="preserve"> </w:t>
      </w:r>
      <w:r>
        <w:t>have</w:t>
      </w:r>
      <w:r w:rsidR="00A03629">
        <w:t xml:space="preserve"> </w:t>
      </w:r>
      <w:r>
        <w:t>access</w:t>
      </w:r>
      <w:r w:rsidR="00A03629">
        <w:t xml:space="preserve"> </w:t>
      </w:r>
      <w:r>
        <w:t>to</w:t>
      </w:r>
      <w:r w:rsidR="00A03629">
        <w:t xml:space="preserve"> </w:t>
      </w:r>
      <w:r>
        <w:t>a</w:t>
      </w:r>
      <w:r w:rsidR="00A03629">
        <w:t xml:space="preserve"> </w:t>
      </w:r>
      <w:r>
        <w:t>world-class</w:t>
      </w:r>
      <w:r w:rsidR="00A03629">
        <w:t xml:space="preserve"> </w:t>
      </w:r>
      <w:r>
        <w:t>workforce</w:t>
      </w:r>
      <w:r w:rsidR="00A03629">
        <w:t xml:space="preserve"> </w:t>
      </w:r>
      <w:r>
        <w:t>and</w:t>
      </w:r>
      <w:r w:rsidR="00A03629">
        <w:t xml:space="preserve"> </w:t>
      </w:r>
      <w:r>
        <w:t>more</w:t>
      </w:r>
      <w:r w:rsidR="00A03629">
        <w:t xml:space="preserve"> </w:t>
      </w:r>
      <w:r>
        <w:t>Victorians</w:t>
      </w:r>
      <w:r w:rsidR="00A03629">
        <w:t xml:space="preserve"> </w:t>
      </w:r>
      <w:r>
        <w:t>can</w:t>
      </w:r>
      <w:r w:rsidR="00A03629">
        <w:t xml:space="preserve"> </w:t>
      </w:r>
      <w:r>
        <w:t>achieve</w:t>
      </w:r>
      <w:r w:rsidR="00A03629">
        <w:t xml:space="preserve"> </w:t>
      </w:r>
      <w:r>
        <w:t>their</w:t>
      </w:r>
      <w:r w:rsidR="00A03629">
        <w:t xml:space="preserve"> </w:t>
      </w:r>
      <w:r>
        <w:t>education</w:t>
      </w:r>
      <w:r w:rsidR="00A03629">
        <w:t xml:space="preserve"> </w:t>
      </w:r>
      <w:r>
        <w:t>and</w:t>
      </w:r>
      <w:r w:rsidR="00A03629">
        <w:t xml:space="preserve"> </w:t>
      </w:r>
      <w:r>
        <w:t>employment</w:t>
      </w:r>
      <w:r w:rsidR="00A03629">
        <w:t xml:space="preserve"> </w:t>
      </w:r>
      <w:r>
        <w:t>aspirations.</w:t>
      </w:r>
      <w:r w:rsidR="00A03629">
        <w:t xml:space="preserve"> </w:t>
      </w:r>
      <w:r>
        <w:t>We’re</w:t>
      </w:r>
      <w:r w:rsidR="00A03629">
        <w:t xml:space="preserve"> </w:t>
      </w:r>
      <w:r>
        <w:t>also</w:t>
      </w:r>
      <w:r w:rsidR="00A03629">
        <w:t xml:space="preserve"> </w:t>
      </w:r>
      <w:r>
        <w:t>supporting</w:t>
      </w:r>
      <w:r w:rsidR="00A03629">
        <w:t xml:space="preserve"> </w:t>
      </w:r>
      <w:r>
        <w:t>Aboriginal</w:t>
      </w:r>
      <w:r w:rsidR="00A03629">
        <w:t xml:space="preserve"> </w:t>
      </w:r>
      <w:r>
        <w:t>self-determination</w:t>
      </w:r>
      <w:r w:rsidR="00A03629">
        <w:t xml:space="preserve"> </w:t>
      </w:r>
      <w:r>
        <w:t>through</w:t>
      </w:r>
      <w:r w:rsidR="00A03629">
        <w:t xml:space="preserve"> </w:t>
      </w:r>
      <w:r>
        <w:t>employment</w:t>
      </w:r>
      <w:r w:rsidR="00A03629">
        <w:t xml:space="preserve"> </w:t>
      </w:r>
      <w:r>
        <w:t>and</w:t>
      </w:r>
      <w:r w:rsidR="00A03629">
        <w:t xml:space="preserve"> </w:t>
      </w:r>
      <w:r>
        <w:t>economic</w:t>
      </w:r>
      <w:r w:rsidR="00A03629">
        <w:t xml:space="preserve"> </w:t>
      </w:r>
      <w:r>
        <w:t>development</w:t>
      </w:r>
      <w:r w:rsidR="00A03629">
        <w:t xml:space="preserve"> </w:t>
      </w:r>
      <w:r>
        <w:t>and</w:t>
      </w:r>
      <w:r w:rsidR="00A03629">
        <w:t xml:space="preserve"> </w:t>
      </w:r>
      <w:r>
        <w:t>finding</w:t>
      </w:r>
      <w:r w:rsidR="00A03629">
        <w:t xml:space="preserve"> </w:t>
      </w:r>
      <w:r>
        <w:t>new</w:t>
      </w:r>
      <w:r w:rsidR="00A03629">
        <w:t xml:space="preserve"> </w:t>
      </w:r>
      <w:r>
        <w:t>ways</w:t>
      </w:r>
      <w:r w:rsidR="00A03629">
        <w:t xml:space="preserve"> </w:t>
      </w:r>
      <w:r>
        <w:t>to</w:t>
      </w:r>
      <w:r w:rsidR="00A03629">
        <w:t xml:space="preserve"> </w:t>
      </w:r>
      <w:r>
        <w:t>grow</w:t>
      </w:r>
      <w:r w:rsidR="00A03629">
        <w:t xml:space="preserve"> </w:t>
      </w:r>
      <w:r>
        <w:t>greater</w:t>
      </w:r>
      <w:r w:rsidR="00A03629">
        <w:t xml:space="preserve"> </w:t>
      </w:r>
      <w:r>
        <w:t>participation</w:t>
      </w:r>
      <w:r w:rsidR="00A03629">
        <w:t xml:space="preserve"> </w:t>
      </w:r>
      <w:r>
        <w:t>through</w:t>
      </w:r>
      <w:r w:rsidR="00A03629">
        <w:t xml:space="preserve"> </w:t>
      </w:r>
      <w:r>
        <w:t>Victoria’s</w:t>
      </w:r>
      <w:r w:rsidR="00A03629">
        <w:t xml:space="preserve"> </w:t>
      </w:r>
      <w:r>
        <w:t>social</w:t>
      </w:r>
      <w:r w:rsidR="00A03629">
        <w:t xml:space="preserve"> </w:t>
      </w:r>
      <w:r>
        <w:t>economy.</w:t>
      </w:r>
    </w:p>
    <w:p w14:paraId="16623027" w14:textId="6DE66E5A" w:rsidR="000756EB" w:rsidRPr="00095903" w:rsidRDefault="004A4D88" w:rsidP="00095903">
      <w:pPr>
        <w:pStyle w:val="Normalbeforebullets"/>
        <w:rPr>
          <w:b/>
          <w:bCs/>
        </w:rPr>
      </w:pPr>
      <w:r w:rsidRPr="00095903">
        <w:rPr>
          <w:b/>
          <w:bCs/>
        </w:rPr>
        <w:t>Supporting</w:t>
      </w:r>
      <w:r w:rsidR="00A03629" w:rsidRPr="00095903">
        <w:rPr>
          <w:b/>
          <w:bCs/>
        </w:rPr>
        <w:t xml:space="preserve"> </w:t>
      </w:r>
      <w:r w:rsidRPr="00095903">
        <w:rPr>
          <w:b/>
          <w:bCs/>
        </w:rPr>
        <w:t>businesses</w:t>
      </w:r>
      <w:r w:rsidR="00A03629" w:rsidRPr="00095903">
        <w:rPr>
          <w:b/>
          <w:bCs/>
        </w:rPr>
        <w:t xml:space="preserve"> </w:t>
      </w:r>
      <w:r w:rsidRPr="00095903">
        <w:rPr>
          <w:b/>
          <w:bCs/>
        </w:rPr>
        <w:t>and</w:t>
      </w:r>
      <w:r w:rsidR="00A03629" w:rsidRPr="00095903">
        <w:rPr>
          <w:b/>
          <w:bCs/>
        </w:rPr>
        <w:t xml:space="preserve"> </w:t>
      </w:r>
      <w:r w:rsidRPr="00095903">
        <w:rPr>
          <w:b/>
          <w:bCs/>
        </w:rPr>
        <w:t>industries</w:t>
      </w:r>
      <w:r w:rsidR="00A03629" w:rsidRPr="00095903">
        <w:rPr>
          <w:b/>
          <w:bCs/>
        </w:rPr>
        <w:t xml:space="preserve"> </w:t>
      </w:r>
      <w:r w:rsidRPr="00095903">
        <w:rPr>
          <w:b/>
          <w:bCs/>
        </w:rPr>
        <w:t>to</w:t>
      </w:r>
      <w:r w:rsidR="00A03629" w:rsidRPr="00095903">
        <w:rPr>
          <w:rFonts w:ascii="Cambria" w:hAnsi="Cambria" w:cs="Cambria"/>
          <w:b/>
          <w:bCs/>
        </w:rPr>
        <w:t xml:space="preserve"> </w:t>
      </w:r>
      <w:r w:rsidRPr="00095903">
        <w:rPr>
          <w:b/>
          <w:bCs/>
        </w:rPr>
        <w:t>grow</w:t>
      </w:r>
      <w:r w:rsidR="00A03629" w:rsidRPr="00095903">
        <w:rPr>
          <w:b/>
          <w:bCs/>
        </w:rPr>
        <w:t xml:space="preserve"> </w:t>
      </w:r>
      <w:r w:rsidRPr="00095903">
        <w:rPr>
          <w:b/>
          <w:bCs/>
        </w:rPr>
        <w:t>and</w:t>
      </w:r>
      <w:r w:rsidR="00A03629" w:rsidRPr="00095903">
        <w:rPr>
          <w:b/>
          <w:bCs/>
        </w:rPr>
        <w:t xml:space="preserve"> </w:t>
      </w:r>
      <w:r w:rsidRPr="00095903">
        <w:rPr>
          <w:b/>
          <w:bCs/>
        </w:rPr>
        <w:t>prosper</w:t>
      </w:r>
    </w:p>
    <w:p w14:paraId="4FDDFC3E" w14:textId="7D74C591" w:rsidR="000756EB" w:rsidRDefault="004A4D88" w:rsidP="00095903">
      <w:pPr>
        <w:rPr>
          <w:rFonts w:ascii="VIC Light" w:hAnsi="VIC Light" w:cs="VIC Light"/>
        </w:rPr>
      </w:pPr>
      <w:r>
        <w:t>We’re</w:t>
      </w:r>
      <w:r w:rsidR="00A03629">
        <w:t xml:space="preserve"> </w:t>
      </w:r>
      <w:r>
        <w:t>helping</w:t>
      </w:r>
      <w:r w:rsidR="00A03629">
        <w:t xml:space="preserve"> </w:t>
      </w:r>
      <w:r>
        <w:t>businesses</w:t>
      </w:r>
      <w:r w:rsidR="00A03629">
        <w:t xml:space="preserve"> </w:t>
      </w:r>
      <w:r>
        <w:t>and</w:t>
      </w:r>
      <w:r w:rsidR="00A03629">
        <w:t xml:space="preserve"> </w:t>
      </w:r>
      <w:r>
        <w:t>industries</w:t>
      </w:r>
      <w:r w:rsidR="00A03629">
        <w:t xml:space="preserve"> </w:t>
      </w:r>
      <w:r>
        <w:t>to</w:t>
      </w:r>
      <w:r w:rsidR="00A03629">
        <w:t xml:space="preserve"> </w:t>
      </w:r>
      <w:r>
        <w:t>grow,</w:t>
      </w:r>
      <w:r w:rsidR="00A03629">
        <w:t xml:space="preserve"> </w:t>
      </w:r>
      <w:r>
        <w:t>adapt</w:t>
      </w:r>
      <w:r w:rsidR="00A03629">
        <w:t xml:space="preserve"> </w:t>
      </w:r>
      <w:r>
        <w:t>or</w:t>
      </w:r>
      <w:r w:rsidR="00A03629">
        <w:t xml:space="preserve"> </w:t>
      </w:r>
      <w:r>
        <w:t>transition.</w:t>
      </w:r>
      <w:r w:rsidR="00A03629">
        <w:t xml:space="preserve"> </w:t>
      </w:r>
      <w:r>
        <w:t>By</w:t>
      </w:r>
      <w:r w:rsidR="00A03629">
        <w:t xml:space="preserve"> </w:t>
      </w:r>
      <w:r>
        <w:t>strengthening</w:t>
      </w:r>
      <w:r w:rsidR="00A03629">
        <w:t xml:space="preserve"> </w:t>
      </w:r>
      <w:r>
        <w:t>Victoria’s</w:t>
      </w:r>
      <w:r w:rsidR="00A03629">
        <w:t xml:space="preserve"> </w:t>
      </w:r>
      <w:r>
        <w:t>global</w:t>
      </w:r>
      <w:r w:rsidR="00A03629">
        <w:t xml:space="preserve"> </w:t>
      </w:r>
      <w:r>
        <w:t>connections,</w:t>
      </w:r>
      <w:r w:rsidR="00A03629">
        <w:t xml:space="preserve"> </w:t>
      </w:r>
      <w:r>
        <w:t>we’re</w:t>
      </w:r>
      <w:r w:rsidR="00A03629">
        <w:t xml:space="preserve"> </w:t>
      </w:r>
      <w:r>
        <w:t>attracting</w:t>
      </w:r>
      <w:r w:rsidR="00A03629">
        <w:t xml:space="preserve"> </w:t>
      </w:r>
      <w:r>
        <w:t>high-value</w:t>
      </w:r>
      <w:r w:rsidR="00A03629">
        <w:t xml:space="preserve"> </w:t>
      </w:r>
      <w:r>
        <w:t>investment</w:t>
      </w:r>
      <w:r w:rsidR="00A03629">
        <w:t xml:space="preserve"> </w:t>
      </w:r>
      <w:r>
        <w:t>and</w:t>
      </w:r>
      <w:r w:rsidR="00A03629">
        <w:t xml:space="preserve"> </w:t>
      </w:r>
      <w:r>
        <w:t>new</w:t>
      </w:r>
      <w:r w:rsidR="00A03629">
        <w:t xml:space="preserve"> </w:t>
      </w:r>
      <w:r>
        <w:t>industries</w:t>
      </w:r>
      <w:r w:rsidR="00A03629">
        <w:t xml:space="preserve"> </w:t>
      </w:r>
      <w:r>
        <w:t>and</w:t>
      </w:r>
      <w:r w:rsidR="00A03629">
        <w:t xml:space="preserve"> </w:t>
      </w:r>
      <w:r>
        <w:t>supporting</w:t>
      </w:r>
      <w:r w:rsidR="00A03629">
        <w:t xml:space="preserve"> </w:t>
      </w:r>
      <w:r>
        <w:t>the</w:t>
      </w:r>
      <w:r w:rsidR="00A03629">
        <w:t xml:space="preserve"> </w:t>
      </w:r>
      <w:r>
        <w:t>expansion</w:t>
      </w:r>
      <w:r w:rsidR="00A03629">
        <w:t xml:space="preserve"> </w:t>
      </w:r>
      <w:r>
        <w:t>of</w:t>
      </w:r>
      <w:r w:rsidR="00A03629">
        <w:t xml:space="preserve"> </w:t>
      </w:r>
      <w:r>
        <w:t>fast-growing,</w:t>
      </w:r>
      <w:r w:rsidR="00A03629">
        <w:t xml:space="preserve"> </w:t>
      </w:r>
      <w:r>
        <w:t>pioneering</w:t>
      </w:r>
      <w:r w:rsidR="00A03629">
        <w:t xml:space="preserve"> </w:t>
      </w:r>
      <w:r>
        <w:t>businesses</w:t>
      </w:r>
      <w:r w:rsidR="00A03629">
        <w:t xml:space="preserve"> </w:t>
      </w:r>
      <w:r>
        <w:t>into</w:t>
      </w:r>
      <w:r w:rsidR="00A03629">
        <w:t xml:space="preserve"> </w:t>
      </w:r>
      <w:r>
        <w:t>international</w:t>
      </w:r>
      <w:r w:rsidR="00A03629">
        <w:t xml:space="preserve"> </w:t>
      </w:r>
      <w:r>
        <w:t>markets.</w:t>
      </w:r>
      <w:r w:rsidR="00A03629">
        <w:t xml:space="preserve"> </w:t>
      </w:r>
      <w:r>
        <w:t>We’re</w:t>
      </w:r>
      <w:r w:rsidR="00A03629">
        <w:t xml:space="preserve"> </w:t>
      </w:r>
      <w:r>
        <w:t>fostering</w:t>
      </w:r>
      <w:r w:rsidR="00A03629">
        <w:t xml:space="preserve"> </w:t>
      </w:r>
      <w:r>
        <w:t>innovation</w:t>
      </w:r>
      <w:r w:rsidR="00A03629">
        <w:t xml:space="preserve"> </w:t>
      </w:r>
      <w:r>
        <w:t>and</w:t>
      </w:r>
      <w:r w:rsidR="00A03629">
        <w:t xml:space="preserve"> </w:t>
      </w:r>
      <w:r>
        <w:t>research,</w:t>
      </w:r>
      <w:r w:rsidR="00A03629">
        <w:t xml:space="preserve"> </w:t>
      </w:r>
      <w:r>
        <w:t>digital</w:t>
      </w:r>
      <w:r w:rsidR="00A03629">
        <w:t xml:space="preserve"> </w:t>
      </w:r>
      <w:r>
        <w:t>and</w:t>
      </w:r>
      <w:r w:rsidR="00A03629">
        <w:t xml:space="preserve"> </w:t>
      </w:r>
      <w:r>
        <w:t>creative</w:t>
      </w:r>
      <w:r w:rsidR="00A03629">
        <w:t xml:space="preserve"> </w:t>
      </w:r>
      <w:r>
        <w:t>economies,</w:t>
      </w:r>
      <w:r w:rsidR="00A03629">
        <w:t xml:space="preserve"> </w:t>
      </w:r>
      <w:r>
        <w:t>and</w:t>
      </w:r>
      <w:r w:rsidR="00A03629">
        <w:t xml:space="preserve"> </w:t>
      </w:r>
      <w:r>
        <w:t>advanced</w:t>
      </w:r>
      <w:r w:rsidR="00A03629">
        <w:t xml:space="preserve"> </w:t>
      </w:r>
      <w:r>
        <w:t>manufacturing.</w:t>
      </w:r>
      <w:r w:rsidR="00A03629">
        <w:t xml:space="preserve"> </w:t>
      </w:r>
      <w:r>
        <w:t>We’re</w:t>
      </w:r>
      <w:r w:rsidR="00A03629">
        <w:rPr>
          <w:rFonts w:ascii="Cambria" w:hAnsi="Cambria" w:cs="Cambria"/>
        </w:rPr>
        <w:t xml:space="preserve"> </w:t>
      </w:r>
      <w:r>
        <w:t>also</w:t>
      </w:r>
      <w:r w:rsidR="00A03629">
        <w:t xml:space="preserve"> </w:t>
      </w:r>
      <w:r>
        <w:t>cementing</w:t>
      </w:r>
      <w:r w:rsidR="00A03629">
        <w:t xml:space="preserve"> </w:t>
      </w:r>
      <w:r>
        <w:t>Victoria’s</w:t>
      </w:r>
      <w:r w:rsidR="00A03629">
        <w:t xml:space="preserve"> </w:t>
      </w:r>
      <w:r>
        <w:t>position</w:t>
      </w:r>
      <w:r w:rsidR="00A03629">
        <w:t xml:space="preserve"> </w:t>
      </w:r>
      <w:r>
        <w:t>as</w:t>
      </w:r>
      <w:r w:rsidR="00A03629">
        <w:t xml:space="preserve"> </w:t>
      </w:r>
      <w:r>
        <w:t>Australia’s</w:t>
      </w:r>
      <w:r w:rsidR="00A03629">
        <w:t xml:space="preserve"> </w:t>
      </w:r>
      <w:r>
        <w:t>leading</w:t>
      </w:r>
      <w:r w:rsidR="00A03629">
        <w:t xml:space="preserve"> </w:t>
      </w:r>
      <w:r>
        <w:t>tourism</w:t>
      </w:r>
      <w:r w:rsidR="00A03629">
        <w:t xml:space="preserve"> </w:t>
      </w:r>
      <w:r>
        <w:t>destination.</w:t>
      </w:r>
    </w:p>
    <w:p w14:paraId="1222B995" w14:textId="16152541" w:rsidR="000756EB" w:rsidRPr="00095903" w:rsidRDefault="004A4D88" w:rsidP="00095903">
      <w:pPr>
        <w:pStyle w:val="Normalbeforebullets"/>
        <w:rPr>
          <w:b/>
          <w:bCs/>
        </w:rPr>
      </w:pPr>
      <w:r w:rsidRPr="00095903">
        <w:rPr>
          <w:b/>
          <w:bCs/>
        </w:rPr>
        <w:t>Building</w:t>
      </w:r>
      <w:r w:rsidR="00A03629" w:rsidRPr="00095903">
        <w:rPr>
          <w:b/>
          <w:bCs/>
        </w:rPr>
        <w:t xml:space="preserve"> </w:t>
      </w:r>
      <w:r w:rsidRPr="00095903">
        <w:rPr>
          <w:b/>
          <w:bCs/>
        </w:rPr>
        <w:t>vibrant</w:t>
      </w:r>
      <w:r w:rsidR="00A03629" w:rsidRPr="00095903">
        <w:rPr>
          <w:b/>
          <w:bCs/>
        </w:rPr>
        <w:t xml:space="preserve"> </w:t>
      </w:r>
      <w:r w:rsidRPr="00095903">
        <w:rPr>
          <w:b/>
          <w:bCs/>
        </w:rPr>
        <w:t>communities</w:t>
      </w:r>
      <w:r w:rsidR="00A03629" w:rsidRPr="00095903">
        <w:rPr>
          <w:b/>
          <w:bCs/>
        </w:rPr>
        <w:t xml:space="preserve"> </w:t>
      </w:r>
      <w:r w:rsidRPr="00095903">
        <w:rPr>
          <w:b/>
          <w:bCs/>
        </w:rPr>
        <w:t>and</w:t>
      </w:r>
      <w:r w:rsidR="00A03629" w:rsidRPr="00095903">
        <w:rPr>
          <w:b/>
          <w:bCs/>
        </w:rPr>
        <w:t xml:space="preserve"> </w:t>
      </w:r>
      <w:r w:rsidRPr="00095903">
        <w:rPr>
          <w:b/>
          <w:bCs/>
        </w:rPr>
        <w:t>regions</w:t>
      </w:r>
    </w:p>
    <w:p w14:paraId="5936418C" w14:textId="2411ED8E" w:rsidR="000756EB" w:rsidRDefault="004A4D88" w:rsidP="00095903">
      <w:r>
        <w:t>We’re</w:t>
      </w:r>
      <w:r w:rsidR="00A03629">
        <w:t xml:space="preserve"> </w:t>
      </w:r>
      <w:r>
        <w:t>building</w:t>
      </w:r>
      <w:r w:rsidR="00A03629">
        <w:t xml:space="preserve"> </w:t>
      </w:r>
      <w:r>
        <w:t>vibrant,</w:t>
      </w:r>
      <w:r w:rsidR="00A03629">
        <w:t xml:space="preserve"> </w:t>
      </w:r>
      <w:r>
        <w:t>resilient</w:t>
      </w:r>
      <w:r w:rsidR="00A03629">
        <w:t xml:space="preserve"> </w:t>
      </w:r>
      <w:r>
        <w:t>suburbs</w:t>
      </w:r>
      <w:r w:rsidR="00A03629">
        <w:t xml:space="preserve"> </w:t>
      </w:r>
      <w:r>
        <w:t>and</w:t>
      </w:r>
      <w:r w:rsidR="00A03629">
        <w:t xml:space="preserve"> </w:t>
      </w:r>
      <w:r>
        <w:t>regions.</w:t>
      </w:r>
      <w:r w:rsidR="00A03629">
        <w:t xml:space="preserve"> </w:t>
      </w:r>
      <w:r>
        <w:t>Our</w:t>
      </w:r>
      <w:r w:rsidR="00A03629">
        <w:t xml:space="preserve"> </w:t>
      </w:r>
      <w:r>
        <w:t>tailored,</w:t>
      </w:r>
      <w:r w:rsidR="00A03629">
        <w:t xml:space="preserve"> </w:t>
      </w:r>
      <w:r>
        <w:t>place-based</w:t>
      </w:r>
      <w:r w:rsidR="00A03629">
        <w:t xml:space="preserve"> </w:t>
      </w:r>
      <w:r>
        <w:t>approaches</w:t>
      </w:r>
      <w:r w:rsidR="00A03629">
        <w:t xml:space="preserve"> </w:t>
      </w:r>
      <w:r>
        <w:t>enhance</w:t>
      </w:r>
      <w:r w:rsidR="00A03629">
        <w:t xml:space="preserve"> </w:t>
      </w:r>
      <w:r>
        <w:t>connectedness,</w:t>
      </w:r>
      <w:r w:rsidR="00A03629">
        <w:t xml:space="preserve"> </w:t>
      </w:r>
      <w:r>
        <w:t>boost</w:t>
      </w:r>
      <w:r w:rsidR="00A03629">
        <w:t xml:space="preserve"> </w:t>
      </w:r>
      <w:r>
        <w:t>competitiveness</w:t>
      </w:r>
      <w:r w:rsidR="00A03629">
        <w:t xml:space="preserve"> </w:t>
      </w:r>
      <w:r>
        <w:t>and</w:t>
      </w:r>
      <w:r w:rsidR="00A03629">
        <w:t xml:space="preserve"> </w:t>
      </w:r>
      <w:r>
        <w:t>investment,</w:t>
      </w:r>
      <w:r w:rsidR="00A03629">
        <w:t xml:space="preserve"> </w:t>
      </w:r>
      <w:r>
        <w:t>leverage</w:t>
      </w:r>
      <w:r w:rsidR="00A03629">
        <w:t xml:space="preserve"> </w:t>
      </w:r>
      <w:r>
        <w:t>local</w:t>
      </w:r>
      <w:r w:rsidR="00A03629">
        <w:t xml:space="preserve"> </w:t>
      </w:r>
      <w:r>
        <w:t>economic</w:t>
      </w:r>
      <w:r w:rsidR="00A03629">
        <w:t xml:space="preserve"> </w:t>
      </w:r>
      <w:r>
        <w:t>strengths</w:t>
      </w:r>
      <w:r w:rsidR="00A03629">
        <w:t xml:space="preserve"> </w:t>
      </w:r>
      <w:r>
        <w:t>and</w:t>
      </w:r>
      <w:r w:rsidR="00A03629">
        <w:t xml:space="preserve"> </w:t>
      </w:r>
      <w:r>
        <w:t>opportunities,</w:t>
      </w:r>
      <w:r w:rsidR="00A03629">
        <w:t xml:space="preserve"> </w:t>
      </w:r>
      <w:r>
        <w:t>and</w:t>
      </w:r>
      <w:r w:rsidR="00A03629">
        <w:t xml:space="preserve"> </w:t>
      </w:r>
      <w:r>
        <w:t>improve</w:t>
      </w:r>
      <w:r w:rsidR="00A03629">
        <w:t xml:space="preserve"> </w:t>
      </w:r>
      <w:r>
        <w:t>access</w:t>
      </w:r>
      <w:r w:rsidR="00A03629">
        <w:t xml:space="preserve"> </w:t>
      </w:r>
      <w:r>
        <w:t>to</w:t>
      </w:r>
      <w:r w:rsidR="00A03629">
        <w:t xml:space="preserve"> </w:t>
      </w:r>
      <w:r>
        <w:t>community</w:t>
      </w:r>
      <w:r w:rsidR="00A03629">
        <w:t xml:space="preserve"> </w:t>
      </w:r>
      <w:r>
        <w:t>infrastructure.</w:t>
      </w:r>
      <w:r w:rsidR="00A03629">
        <w:t xml:space="preserve"> </w:t>
      </w:r>
      <w:r>
        <w:t>We’re</w:t>
      </w:r>
      <w:r w:rsidR="00A03629">
        <w:t xml:space="preserve"> </w:t>
      </w:r>
      <w:r>
        <w:t>supporting</w:t>
      </w:r>
      <w:r w:rsidR="00A03629">
        <w:t xml:space="preserve"> </w:t>
      </w:r>
      <w:r>
        <w:t>more</w:t>
      </w:r>
      <w:r w:rsidR="00A03629">
        <w:t xml:space="preserve"> </w:t>
      </w:r>
      <w:r>
        <w:t>Victorians</w:t>
      </w:r>
      <w:r w:rsidR="00A03629">
        <w:t xml:space="preserve"> </w:t>
      </w:r>
      <w:r>
        <w:t>to</w:t>
      </w:r>
      <w:r w:rsidR="00A03629">
        <w:t xml:space="preserve"> </w:t>
      </w:r>
      <w:r>
        <w:t>engage</w:t>
      </w:r>
      <w:r w:rsidR="00A03629">
        <w:t xml:space="preserve"> </w:t>
      </w:r>
      <w:r>
        <w:t>in</w:t>
      </w:r>
      <w:r w:rsidR="00A03629">
        <w:t xml:space="preserve"> </w:t>
      </w:r>
      <w:r>
        <w:t>the</w:t>
      </w:r>
      <w:r w:rsidR="00A03629">
        <w:t xml:space="preserve"> </w:t>
      </w:r>
      <w:r>
        <w:t>arts,</w:t>
      </w:r>
      <w:r w:rsidR="00A03629">
        <w:t xml:space="preserve"> </w:t>
      </w:r>
      <w:r>
        <w:t>sport</w:t>
      </w:r>
      <w:r w:rsidR="00A03629">
        <w:t xml:space="preserve"> </w:t>
      </w:r>
      <w:r>
        <w:t>and</w:t>
      </w:r>
      <w:r w:rsidR="00A03629">
        <w:t xml:space="preserve"> </w:t>
      </w:r>
      <w:r>
        <w:t>recreation</w:t>
      </w:r>
      <w:r w:rsidR="00A03629">
        <w:t xml:space="preserve"> </w:t>
      </w:r>
      <w:r>
        <w:t>and</w:t>
      </w:r>
      <w:r w:rsidR="00A03629">
        <w:t xml:space="preserve"> </w:t>
      </w:r>
      <w:r>
        <w:t>we’re</w:t>
      </w:r>
      <w:r w:rsidR="00A03629">
        <w:t xml:space="preserve"> </w:t>
      </w:r>
      <w:r>
        <w:t>bolstering</w:t>
      </w:r>
      <w:r w:rsidR="00A03629">
        <w:t xml:space="preserve"> </w:t>
      </w:r>
      <w:r>
        <w:t>Victoria’s</w:t>
      </w:r>
      <w:r w:rsidR="00A03629">
        <w:t xml:space="preserve"> </w:t>
      </w:r>
      <w:r>
        <w:t>global</w:t>
      </w:r>
      <w:r w:rsidR="00A03629">
        <w:t xml:space="preserve"> </w:t>
      </w:r>
      <w:r>
        <w:t>reputation</w:t>
      </w:r>
      <w:r w:rsidR="00A03629">
        <w:t xml:space="preserve"> </w:t>
      </w:r>
      <w:r>
        <w:t>as</w:t>
      </w:r>
      <w:r w:rsidR="00A03629">
        <w:t xml:space="preserve"> </w:t>
      </w:r>
      <w:r>
        <w:t>an</w:t>
      </w:r>
      <w:r w:rsidR="00A03629">
        <w:t xml:space="preserve"> </w:t>
      </w:r>
      <w:r>
        <w:t>events</w:t>
      </w:r>
      <w:r w:rsidR="00A03629">
        <w:t xml:space="preserve"> </w:t>
      </w:r>
      <w:r>
        <w:t>capital.</w:t>
      </w:r>
      <w:r w:rsidR="00A03629">
        <w:t xml:space="preserve"> </w:t>
      </w:r>
      <w:r>
        <w:t>Our</w:t>
      </w:r>
      <w:r w:rsidR="00A03629">
        <w:t xml:space="preserve"> </w:t>
      </w:r>
      <w:r>
        <w:t>relationships</w:t>
      </w:r>
      <w:r w:rsidR="00A03629">
        <w:t xml:space="preserve"> </w:t>
      </w:r>
      <w:r>
        <w:t>across</w:t>
      </w:r>
      <w:r w:rsidR="00A03629">
        <w:t xml:space="preserve"> </w:t>
      </w:r>
      <w:r>
        <w:t>government,</w:t>
      </w:r>
      <w:r w:rsidR="00A03629">
        <w:t xml:space="preserve"> </w:t>
      </w:r>
      <w:r>
        <w:t>communities</w:t>
      </w:r>
      <w:r w:rsidR="00A03629">
        <w:t xml:space="preserve"> </w:t>
      </w:r>
      <w:r>
        <w:t>and</w:t>
      </w:r>
      <w:r w:rsidR="00A03629">
        <w:t xml:space="preserve"> </w:t>
      </w:r>
      <w:r>
        <w:t>businesses</w:t>
      </w:r>
      <w:r w:rsidR="00A03629">
        <w:t xml:space="preserve"> </w:t>
      </w:r>
      <w:r>
        <w:t>help</w:t>
      </w:r>
      <w:r w:rsidR="00A03629">
        <w:t xml:space="preserve"> </w:t>
      </w:r>
      <w:r>
        <w:t>make</w:t>
      </w:r>
      <w:r w:rsidR="00A03629">
        <w:t xml:space="preserve"> </w:t>
      </w:r>
      <w:r>
        <w:t>sure</w:t>
      </w:r>
      <w:r w:rsidR="00A03629">
        <w:t xml:space="preserve"> </w:t>
      </w:r>
      <w:r>
        <w:t>the</w:t>
      </w:r>
      <w:r w:rsidR="00A03629">
        <w:t xml:space="preserve"> </w:t>
      </w:r>
      <w:r>
        <w:t>benefits</w:t>
      </w:r>
      <w:r w:rsidR="00A03629">
        <w:t xml:space="preserve"> </w:t>
      </w:r>
      <w:r>
        <w:t>of</w:t>
      </w:r>
      <w:r w:rsidR="00A03629">
        <w:t xml:space="preserve"> </w:t>
      </w:r>
      <w:r>
        <w:t>a</w:t>
      </w:r>
      <w:r w:rsidR="00A03629">
        <w:t xml:space="preserve"> </w:t>
      </w:r>
      <w:r>
        <w:t>robust</w:t>
      </w:r>
      <w:r w:rsidR="00A03629">
        <w:t xml:space="preserve"> </w:t>
      </w:r>
      <w:r>
        <w:t>economy</w:t>
      </w:r>
      <w:r w:rsidR="00A03629">
        <w:t xml:space="preserve"> </w:t>
      </w:r>
      <w:r>
        <w:t>are</w:t>
      </w:r>
      <w:r w:rsidR="00A03629">
        <w:t xml:space="preserve"> </w:t>
      </w:r>
      <w:r>
        <w:t>available</w:t>
      </w:r>
      <w:r w:rsidR="00A03629">
        <w:t xml:space="preserve"> </w:t>
      </w:r>
      <w:r>
        <w:t>to</w:t>
      </w:r>
      <w:r w:rsidR="00A03629">
        <w:t xml:space="preserve"> </w:t>
      </w:r>
      <w:r>
        <w:t>all</w:t>
      </w:r>
      <w:r w:rsidR="00A03629">
        <w:t xml:space="preserve"> </w:t>
      </w:r>
      <w:r>
        <w:t>Victorians</w:t>
      </w:r>
      <w:r w:rsidR="00A03629">
        <w:t xml:space="preserve"> </w:t>
      </w:r>
      <w:r>
        <w:t>–</w:t>
      </w:r>
      <w:r w:rsidR="00A03629">
        <w:t xml:space="preserve"> </w:t>
      </w:r>
      <w:r>
        <w:t>supporting</w:t>
      </w:r>
      <w:r w:rsidR="00A03629">
        <w:t xml:space="preserve"> </w:t>
      </w:r>
      <w:r>
        <w:t>a</w:t>
      </w:r>
      <w:r w:rsidR="00A03629">
        <w:t xml:space="preserve"> </w:t>
      </w:r>
      <w:r>
        <w:t>stronger</w:t>
      </w:r>
      <w:r w:rsidR="00A03629">
        <w:t xml:space="preserve"> </w:t>
      </w:r>
      <w:r>
        <w:t>and</w:t>
      </w:r>
      <w:r w:rsidR="00A03629">
        <w:t xml:space="preserve"> </w:t>
      </w:r>
      <w:r>
        <w:t>fairer</w:t>
      </w:r>
      <w:r w:rsidR="00A03629">
        <w:t xml:space="preserve"> </w:t>
      </w:r>
      <w:r>
        <w:t>society.</w:t>
      </w:r>
      <w:r w:rsidR="00A03629">
        <w:t xml:space="preserve"> </w:t>
      </w:r>
      <w:r>
        <w:t>Underpinning</w:t>
      </w:r>
      <w:r w:rsidR="00A03629">
        <w:t xml:space="preserve"> </w:t>
      </w:r>
      <w:r>
        <w:t>all</w:t>
      </w:r>
      <w:r w:rsidR="00A03629">
        <w:t xml:space="preserve"> </w:t>
      </w:r>
      <w:r>
        <w:t>our</w:t>
      </w:r>
      <w:r w:rsidR="00A03629">
        <w:t xml:space="preserve"> </w:t>
      </w:r>
      <w:r>
        <w:t>work</w:t>
      </w:r>
      <w:r w:rsidR="00A03629">
        <w:t xml:space="preserve"> </w:t>
      </w:r>
      <w:r>
        <w:t>is</w:t>
      </w:r>
      <w:r w:rsidR="00A03629">
        <w:t xml:space="preserve"> </w:t>
      </w:r>
      <w:r>
        <w:t>our</w:t>
      </w:r>
      <w:r w:rsidR="00A03629">
        <w:t xml:space="preserve"> </w:t>
      </w:r>
      <w:r>
        <w:t>recognition</w:t>
      </w:r>
      <w:r w:rsidR="00A03629">
        <w:t xml:space="preserve"> </w:t>
      </w:r>
      <w:r>
        <w:t>that</w:t>
      </w:r>
      <w:r w:rsidR="00A03629">
        <w:t xml:space="preserve"> </w:t>
      </w:r>
      <w:r>
        <w:t>we</w:t>
      </w:r>
      <w:r w:rsidR="00A03629">
        <w:t xml:space="preserve"> </w:t>
      </w:r>
      <w:r>
        <w:t>are</w:t>
      </w:r>
      <w:r w:rsidR="00A03629">
        <w:t xml:space="preserve"> </w:t>
      </w:r>
      <w:r>
        <w:t>in</w:t>
      </w:r>
      <w:r w:rsidR="00A03629">
        <w:t xml:space="preserve"> </w:t>
      </w:r>
      <w:r>
        <w:t>an</w:t>
      </w:r>
      <w:r w:rsidR="00A03629">
        <w:t xml:space="preserve"> </w:t>
      </w:r>
      <w:r>
        <w:t>active</w:t>
      </w:r>
      <w:r w:rsidR="00A03629">
        <w:t xml:space="preserve"> </w:t>
      </w:r>
      <w:r>
        <w:t>sovereign</w:t>
      </w:r>
      <w:r w:rsidR="00A03629">
        <w:t xml:space="preserve"> </w:t>
      </w:r>
      <w:r>
        <w:t>relationship</w:t>
      </w:r>
      <w:r w:rsidR="00A03629">
        <w:t xml:space="preserve"> </w:t>
      </w:r>
      <w:r>
        <w:t>with</w:t>
      </w:r>
      <w:r w:rsidR="00A03629">
        <w:t xml:space="preserve"> </w:t>
      </w:r>
      <w:r>
        <w:t>First</w:t>
      </w:r>
      <w:r w:rsidR="00A03629">
        <w:rPr>
          <w:rFonts w:ascii="Cambria" w:hAnsi="Cambria" w:cs="Cambria"/>
        </w:rPr>
        <w:t xml:space="preserve"> </w:t>
      </w:r>
      <w:r>
        <w:t>Nations,</w:t>
      </w:r>
      <w:r w:rsidR="00A03629">
        <w:t xml:space="preserve"> </w:t>
      </w:r>
      <w:r>
        <w:t>and</w:t>
      </w:r>
      <w:r w:rsidR="00A03629">
        <w:t xml:space="preserve"> </w:t>
      </w:r>
      <w:r>
        <w:t>we’re</w:t>
      </w:r>
      <w:r w:rsidR="00A03629">
        <w:t xml:space="preserve"> </w:t>
      </w:r>
      <w:r>
        <w:t>committed</w:t>
      </w:r>
      <w:r w:rsidR="00A03629">
        <w:t xml:space="preserve"> </w:t>
      </w:r>
      <w:r>
        <w:t>to</w:t>
      </w:r>
      <w:r w:rsidR="00A03629">
        <w:t xml:space="preserve"> </w:t>
      </w:r>
      <w:r>
        <w:t>developing</w:t>
      </w:r>
      <w:r w:rsidR="00A03629">
        <w:t xml:space="preserve"> </w:t>
      </w:r>
      <w:r>
        <w:t>the</w:t>
      </w:r>
      <w:r w:rsidR="00A03629">
        <w:rPr>
          <w:rFonts w:ascii="Cambria" w:hAnsi="Cambria" w:cs="Cambria"/>
        </w:rPr>
        <w:t xml:space="preserve"> </w:t>
      </w:r>
      <w:r>
        <w:lastRenderedPageBreak/>
        <w:t>skills</w:t>
      </w:r>
      <w:r w:rsidR="00A03629">
        <w:t xml:space="preserve"> </w:t>
      </w:r>
      <w:r>
        <w:t>we</w:t>
      </w:r>
      <w:r w:rsidR="00A03629">
        <w:t xml:space="preserve"> </w:t>
      </w:r>
      <w:r>
        <w:t>need</w:t>
      </w:r>
      <w:r w:rsidR="00A03629">
        <w:t xml:space="preserve"> </w:t>
      </w:r>
      <w:r>
        <w:t>to</w:t>
      </w:r>
      <w:r w:rsidR="00A03629">
        <w:t xml:space="preserve"> </w:t>
      </w:r>
      <w:r>
        <w:t>support</w:t>
      </w:r>
      <w:r w:rsidR="00A03629">
        <w:t xml:space="preserve"> </w:t>
      </w:r>
      <w:r>
        <w:t>a</w:t>
      </w:r>
      <w:r w:rsidR="00A03629">
        <w:t xml:space="preserve"> </w:t>
      </w:r>
      <w:r>
        <w:t>fair</w:t>
      </w:r>
      <w:r w:rsidR="00A03629">
        <w:t xml:space="preserve"> </w:t>
      </w:r>
      <w:r>
        <w:t>treaty</w:t>
      </w:r>
      <w:r w:rsidR="00A03629">
        <w:t xml:space="preserve"> </w:t>
      </w:r>
      <w:r>
        <w:t>process</w:t>
      </w:r>
      <w:r w:rsidR="00A03629">
        <w:t xml:space="preserve"> </w:t>
      </w:r>
      <w:r>
        <w:t>that</w:t>
      </w:r>
      <w:r w:rsidR="00A03629">
        <w:t xml:space="preserve"> </w:t>
      </w:r>
      <w:r>
        <w:t>can</w:t>
      </w:r>
      <w:r w:rsidR="00A03629">
        <w:t xml:space="preserve"> </w:t>
      </w:r>
      <w:r>
        <w:t>realise</w:t>
      </w:r>
      <w:r w:rsidR="00A03629">
        <w:t xml:space="preserve"> </w:t>
      </w:r>
      <w:r>
        <w:t>positive</w:t>
      </w:r>
      <w:r w:rsidR="00A03629">
        <w:t xml:space="preserve"> </w:t>
      </w:r>
      <w:r>
        <w:t>outcomes</w:t>
      </w:r>
      <w:r w:rsidR="00A03629">
        <w:t xml:space="preserve"> </w:t>
      </w:r>
      <w:r>
        <w:t>for</w:t>
      </w:r>
      <w:r w:rsidR="00A03629">
        <w:t xml:space="preserve"> </w:t>
      </w:r>
      <w:r>
        <w:t>all</w:t>
      </w:r>
      <w:r w:rsidR="00A03629">
        <w:t xml:space="preserve"> </w:t>
      </w:r>
      <w:r>
        <w:t>Victorians.</w:t>
      </w:r>
    </w:p>
    <w:p w14:paraId="117D8F73" w14:textId="4D544980" w:rsidR="000756EB" w:rsidRPr="00095903" w:rsidRDefault="004A4D88" w:rsidP="00095903">
      <w:pPr>
        <w:pStyle w:val="Normalbeforebullets"/>
        <w:rPr>
          <w:b/>
          <w:bCs/>
        </w:rPr>
      </w:pPr>
      <w:r w:rsidRPr="00095903">
        <w:rPr>
          <w:b/>
          <w:bCs/>
        </w:rPr>
        <w:t>Create</w:t>
      </w:r>
      <w:r w:rsidR="00A03629" w:rsidRPr="00095903">
        <w:rPr>
          <w:b/>
          <w:bCs/>
        </w:rPr>
        <w:t xml:space="preserve"> </w:t>
      </w:r>
      <w:r w:rsidRPr="00095903">
        <w:rPr>
          <w:b/>
          <w:bCs/>
        </w:rPr>
        <w:t>and</w:t>
      </w:r>
      <w:r w:rsidR="00A03629" w:rsidRPr="00095903">
        <w:rPr>
          <w:b/>
          <w:bCs/>
        </w:rPr>
        <w:t xml:space="preserve"> </w:t>
      </w:r>
      <w:r w:rsidRPr="00095903">
        <w:rPr>
          <w:b/>
          <w:bCs/>
        </w:rPr>
        <w:t>maintain</w:t>
      </w:r>
      <w:r w:rsidR="00A03629" w:rsidRPr="00095903">
        <w:rPr>
          <w:b/>
          <w:bCs/>
        </w:rPr>
        <w:t xml:space="preserve"> </w:t>
      </w:r>
      <w:r w:rsidRPr="00095903">
        <w:rPr>
          <w:b/>
          <w:bCs/>
        </w:rPr>
        <w:t>jobs</w:t>
      </w:r>
    </w:p>
    <w:p w14:paraId="18F4DE5C" w14:textId="489E3F80" w:rsidR="000756EB" w:rsidRDefault="004A4D88" w:rsidP="00095903">
      <w:r>
        <w:t>This</w:t>
      </w:r>
      <w:r w:rsidR="00A03629">
        <w:t xml:space="preserve"> </w:t>
      </w:r>
      <w:r>
        <w:t>objective</w:t>
      </w:r>
      <w:r w:rsidR="00A03629">
        <w:t xml:space="preserve"> </w:t>
      </w:r>
      <w:r>
        <w:t>seeks</w:t>
      </w:r>
      <w:r w:rsidR="00A03629">
        <w:t xml:space="preserve"> </w:t>
      </w:r>
      <w:r>
        <w:t>to</w:t>
      </w:r>
      <w:r w:rsidR="00A03629">
        <w:t xml:space="preserve"> </w:t>
      </w:r>
      <w:r>
        <w:t>secure</w:t>
      </w:r>
      <w:r w:rsidR="00A03629">
        <w:t xml:space="preserve"> </w:t>
      </w:r>
      <w:r>
        <w:t>a</w:t>
      </w:r>
      <w:r w:rsidR="00A03629">
        <w:t xml:space="preserve"> </w:t>
      </w:r>
      <w:r>
        <w:t>growing,</w:t>
      </w:r>
      <w:r w:rsidR="00A03629">
        <w:t xml:space="preserve"> </w:t>
      </w:r>
      <w:proofErr w:type="gramStart"/>
      <w:r>
        <w:t>sustainable</w:t>
      </w:r>
      <w:proofErr w:type="gramEnd"/>
      <w:r w:rsidR="00A03629">
        <w:t xml:space="preserve"> </w:t>
      </w:r>
      <w:r>
        <w:t>and</w:t>
      </w:r>
      <w:r w:rsidR="00A03629">
        <w:t xml:space="preserve"> </w:t>
      </w:r>
      <w:r>
        <w:t>equitable</w:t>
      </w:r>
      <w:r w:rsidR="00A03629">
        <w:t xml:space="preserve"> </w:t>
      </w:r>
      <w:r>
        <w:t>jobs</w:t>
      </w:r>
      <w:r w:rsidR="00A03629">
        <w:t xml:space="preserve"> </w:t>
      </w:r>
      <w:r>
        <w:t>market</w:t>
      </w:r>
      <w:r w:rsidR="00A03629">
        <w:t xml:space="preserve"> </w:t>
      </w:r>
      <w:r>
        <w:t>for</w:t>
      </w:r>
      <w:r w:rsidR="00A03629">
        <w:t xml:space="preserve"> </w:t>
      </w:r>
      <w:r>
        <w:t>all</w:t>
      </w:r>
      <w:r w:rsidR="00A03629">
        <w:t xml:space="preserve"> </w:t>
      </w:r>
      <w:r>
        <w:t>Victorians</w:t>
      </w:r>
      <w:r w:rsidR="00A03629">
        <w:t xml:space="preserve"> </w:t>
      </w:r>
      <w:r>
        <w:t>by</w:t>
      </w:r>
      <w:r w:rsidR="00A03629">
        <w:t xml:space="preserve"> </w:t>
      </w:r>
      <w:r>
        <w:t>working</w:t>
      </w:r>
      <w:r w:rsidR="00A03629">
        <w:t xml:space="preserve"> </w:t>
      </w:r>
      <w:r>
        <w:t>with</w:t>
      </w:r>
      <w:r w:rsidR="00A03629">
        <w:t xml:space="preserve"> </w:t>
      </w:r>
      <w:r>
        <w:t>businesses</w:t>
      </w:r>
      <w:r w:rsidR="00A03629">
        <w:t xml:space="preserve"> </w:t>
      </w:r>
      <w:r>
        <w:t>to</w:t>
      </w:r>
      <w:r w:rsidR="00A03629">
        <w:t xml:space="preserve"> </w:t>
      </w:r>
      <w:r>
        <w:t>increase</w:t>
      </w:r>
      <w:r w:rsidR="00A03629">
        <w:t xml:space="preserve"> </w:t>
      </w:r>
      <w:r>
        <w:t>job</w:t>
      </w:r>
      <w:r w:rsidR="00A03629">
        <w:t xml:space="preserve"> </w:t>
      </w:r>
      <w:r>
        <w:t>opportunities,</w:t>
      </w:r>
      <w:r w:rsidR="00A03629">
        <w:t xml:space="preserve"> </w:t>
      </w:r>
      <w:r>
        <w:t>support</w:t>
      </w:r>
      <w:r w:rsidR="00A03629">
        <w:t xml:space="preserve"> </w:t>
      </w:r>
      <w:r>
        <w:t>people</w:t>
      </w:r>
      <w:r w:rsidR="00A03629">
        <w:t xml:space="preserve"> </w:t>
      </w:r>
      <w:r>
        <w:t>into</w:t>
      </w:r>
      <w:r w:rsidR="00A03629">
        <w:t xml:space="preserve"> </w:t>
      </w:r>
      <w:r>
        <w:t>meaningful</w:t>
      </w:r>
      <w:r w:rsidR="00A03629">
        <w:t xml:space="preserve"> </w:t>
      </w:r>
      <w:r>
        <w:t>and</w:t>
      </w:r>
      <w:r w:rsidR="00A03629">
        <w:rPr>
          <w:rFonts w:ascii="Cambria" w:hAnsi="Cambria" w:cs="Cambria"/>
        </w:rPr>
        <w:t xml:space="preserve"> </w:t>
      </w:r>
      <w:r>
        <w:t>secure</w:t>
      </w:r>
      <w:r w:rsidR="00A03629">
        <w:t xml:space="preserve"> </w:t>
      </w:r>
      <w:r>
        <w:t>employment,</w:t>
      </w:r>
      <w:r w:rsidR="00A03629">
        <w:t xml:space="preserve"> </w:t>
      </w:r>
      <w:r>
        <w:t>and</w:t>
      </w:r>
      <w:r w:rsidR="00A03629">
        <w:t xml:space="preserve"> </w:t>
      </w:r>
      <w:r>
        <w:t>attract</w:t>
      </w:r>
      <w:r w:rsidR="00A03629">
        <w:t xml:space="preserve"> </w:t>
      </w:r>
      <w:r>
        <w:t>the</w:t>
      </w:r>
      <w:r w:rsidR="00A03629">
        <w:t xml:space="preserve"> </w:t>
      </w:r>
      <w:r>
        <w:t>investment</w:t>
      </w:r>
      <w:r w:rsidR="00A03629">
        <w:t xml:space="preserve"> </w:t>
      </w:r>
      <w:r>
        <w:t>and</w:t>
      </w:r>
      <w:r w:rsidR="00A03629">
        <w:t xml:space="preserve"> </w:t>
      </w:r>
      <w:r>
        <w:t>talent</w:t>
      </w:r>
      <w:r w:rsidR="00A03629">
        <w:t xml:space="preserve"> </w:t>
      </w:r>
      <w:r>
        <w:t>needed</w:t>
      </w:r>
      <w:r w:rsidR="00A03629">
        <w:t xml:space="preserve"> </w:t>
      </w:r>
      <w:r>
        <w:t>to</w:t>
      </w:r>
      <w:r w:rsidR="00A03629">
        <w:t xml:space="preserve"> </w:t>
      </w:r>
      <w:r>
        <w:t>foster</w:t>
      </w:r>
      <w:r w:rsidR="00A03629">
        <w:t xml:space="preserve"> </w:t>
      </w:r>
      <w:r>
        <w:t>job</w:t>
      </w:r>
      <w:r w:rsidR="00A03629">
        <w:t xml:space="preserve"> </w:t>
      </w:r>
      <w:r>
        <w:t>growth.</w:t>
      </w:r>
    </w:p>
    <w:p w14:paraId="05033004" w14:textId="350FC1E5" w:rsidR="000756EB" w:rsidRDefault="004A4D88" w:rsidP="00095903">
      <w:r>
        <w:t>The</w:t>
      </w:r>
      <w:r w:rsidR="00A03629">
        <w:t xml:space="preserve"> </w:t>
      </w:r>
      <w:r>
        <w:t>Jobs</w:t>
      </w:r>
      <w:r w:rsidR="00A03629">
        <w:t xml:space="preserve"> </w:t>
      </w:r>
      <w:r>
        <w:t>output</w:t>
      </w:r>
      <w:r w:rsidR="00A03629">
        <w:t xml:space="preserve"> </w:t>
      </w:r>
      <w:r>
        <w:t>includes</w:t>
      </w:r>
      <w:r w:rsidR="00A03629">
        <w:t xml:space="preserve"> </w:t>
      </w:r>
      <w:r>
        <w:t>actions</w:t>
      </w:r>
      <w:r w:rsidR="00A03629">
        <w:t xml:space="preserve"> </w:t>
      </w:r>
      <w:r>
        <w:t>to</w:t>
      </w:r>
      <w:r w:rsidR="00A03629">
        <w:t xml:space="preserve"> </w:t>
      </w:r>
      <w:r>
        <w:t>increase</w:t>
      </w:r>
      <w:r w:rsidR="00A03629">
        <w:t xml:space="preserve"> </w:t>
      </w:r>
      <w:r>
        <w:t>job</w:t>
      </w:r>
      <w:r w:rsidR="00A03629">
        <w:t xml:space="preserve"> </w:t>
      </w:r>
      <w:r>
        <w:t>opportunities</w:t>
      </w:r>
      <w:r w:rsidR="00A03629">
        <w:t xml:space="preserve"> </w:t>
      </w:r>
      <w:r>
        <w:t>including</w:t>
      </w:r>
      <w:r w:rsidR="00A03629">
        <w:t xml:space="preserve"> </w:t>
      </w:r>
      <w:r>
        <w:t>initiatives</w:t>
      </w:r>
      <w:r w:rsidR="00A03629">
        <w:t xml:space="preserve"> </w:t>
      </w:r>
      <w:r>
        <w:t>to</w:t>
      </w:r>
      <w:r w:rsidR="00A03629">
        <w:t xml:space="preserve"> </w:t>
      </w:r>
      <w:r>
        <w:t>support</w:t>
      </w:r>
      <w:r w:rsidR="00A03629">
        <w:t xml:space="preserve"> </w:t>
      </w:r>
      <w:r>
        <w:t>Victorians</w:t>
      </w:r>
      <w:r w:rsidR="00A03629">
        <w:t xml:space="preserve"> </w:t>
      </w:r>
      <w:r>
        <w:t>experiencing</w:t>
      </w:r>
      <w:r w:rsidR="00A03629">
        <w:t xml:space="preserve"> </w:t>
      </w:r>
      <w:r>
        <w:t>disadvantage</w:t>
      </w:r>
      <w:r w:rsidR="00A03629">
        <w:t xml:space="preserve"> </w:t>
      </w:r>
      <w:r>
        <w:t>into</w:t>
      </w:r>
      <w:r w:rsidR="00A03629">
        <w:t xml:space="preserve"> </w:t>
      </w:r>
      <w:r>
        <w:t>employment,</w:t>
      </w:r>
      <w:r w:rsidR="00A03629">
        <w:t xml:space="preserve"> </w:t>
      </w:r>
      <w:r>
        <w:t>support</w:t>
      </w:r>
      <w:r w:rsidR="00A03629">
        <w:t xml:space="preserve"> </w:t>
      </w:r>
      <w:r>
        <w:t>Aboriginal</w:t>
      </w:r>
      <w:r w:rsidR="00A03629">
        <w:t xml:space="preserve"> </w:t>
      </w:r>
      <w:r>
        <w:t>economic</w:t>
      </w:r>
      <w:r w:rsidR="00A03629">
        <w:t xml:space="preserve"> </w:t>
      </w:r>
      <w:r>
        <w:t>inclusion,</w:t>
      </w:r>
      <w:r w:rsidR="00A03629">
        <w:t xml:space="preserve"> </w:t>
      </w:r>
      <w:r>
        <w:t>as</w:t>
      </w:r>
      <w:r w:rsidR="00A03629">
        <w:t xml:space="preserve"> </w:t>
      </w:r>
      <w:r>
        <w:t>well</w:t>
      </w:r>
      <w:r w:rsidR="00A03629">
        <w:t xml:space="preserve"> </w:t>
      </w:r>
      <w:r>
        <w:t>as</w:t>
      </w:r>
      <w:r w:rsidR="00A03629">
        <w:t xml:space="preserve"> </w:t>
      </w:r>
      <w:r>
        <w:t>attract</w:t>
      </w:r>
      <w:r w:rsidR="00A03629">
        <w:t xml:space="preserve"> </w:t>
      </w:r>
      <w:r>
        <w:t>new</w:t>
      </w:r>
      <w:r w:rsidR="00A03629">
        <w:t xml:space="preserve"> </w:t>
      </w:r>
      <w:r>
        <w:t>investment</w:t>
      </w:r>
      <w:r w:rsidR="00A03629">
        <w:t xml:space="preserve"> </w:t>
      </w:r>
      <w:r>
        <w:t>and</w:t>
      </w:r>
      <w:r w:rsidR="00A03629">
        <w:t xml:space="preserve"> </w:t>
      </w:r>
      <w:r>
        <w:t>talent</w:t>
      </w:r>
      <w:r w:rsidR="00A03629">
        <w:t xml:space="preserve"> </w:t>
      </w:r>
      <w:r>
        <w:t>into</w:t>
      </w:r>
      <w:r w:rsidR="00A03629">
        <w:t xml:space="preserve"> </w:t>
      </w:r>
      <w:r>
        <w:t>Victoria</w:t>
      </w:r>
      <w:r w:rsidR="00A03629">
        <w:t xml:space="preserve"> </w:t>
      </w:r>
      <w:r>
        <w:t>to</w:t>
      </w:r>
      <w:r w:rsidR="00A03629">
        <w:t xml:space="preserve"> </w:t>
      </w:r>
      <w:r>
        <w:t>grow</w:t>
      </w:r>
      <w:r w:rsidR="00A03629">
        <w:t xml:space="preserve"> </w:t>
      </w:r>
      <w:r>
        <w:t>the</w:t>
      </w:r>
      <w:r w:rsidR="00A03629">
        <w:t xml:space="preserve"> </w:t>
      </w:r>
      <w:r>
        <w:t>economy</w:t>
      </w:r>
      <w:r w:rsidR="00A03629">
        <w:t xml:space="preserve"> </w:t>
      </w:r>
      <w:r>
        <w:t>and</w:t>
      </w:r>
      <w:r w:rsidR="00A03629">
        <w:t xml:space="preserve"> </w:t>
      </w:r>
      <w:r>
        <w:t>share</w:t>
      </w:r>
      <w:r w:rsidR="00A03629">
        <w:t xml:space="preserve"> </w:t>
      </w:r>
      <w:r>
        <w:t>the</w:t>
      </w:r>
      <w:r w:rsidR="00A03629">
        <w:t xml:space="preserve"> </w:t>
      </w:r>
      <w:r>
        <w:t>benefits</w:t>
      </w:r>
      <w:r w:rsidR="00A03629">
        <w:t xml:space="preserve"> </w:t>
      </w:r>
      <w:r>
        <w:t>of</w:t>
      </w:r>
      <w:r w:rsidR="00A03629">
        <w:t xml:space="preserve"> </w:t>
      </w:r>
      <w:r>
        <w:t>economic</w:t>
      </w:r>
      <w:r w:rsidR="00A03629">
        <w:t xml:space="preserve"> </w:t>
      </w:r>
      <w:r>
        <w:t>prosperity.</w:t>
      </w:r>
    </w:p>
    <w:p w14:paraId="6655AC98" w14:textId="1AF0B487" w:rsidR="000756EB" w:rsidRPr="00095903" w:rsidRDefault="004A4D88" w:rsidP="00095903">
      <w:pPr>
        <w:pStyle w:val="Normalbeforebullets"/>
        <w:rPr>
          <w:b/>
          <w:bCs/>
        </w:rPr>
      </w:pPr>
      <w:r w:rsidRPr="00095903">
        <w:rPr>
          <w:b/>
          <w:bCs/>
        </w:rPr>
        <w:t>Foster</w:t>
      </w:r>
      <w:r w:rsidR="00A03629" w:rsidRPr="00095903">
        <w:rPr>
          <w:b/>
          <w:bCs/>
        </w:rPr>
        <w:t xml:space="preserve"> </w:t>
      </w:r>
      <w:r w:rsidRPr="00095903">
        <w:rPr>
          <w:b/>
          <w:bCs/>
        </w:rPr>
        <w:t>a</w:t>
      </w:r>
      <w:r w:rsidR="00A03629" w:rsidRPr="00095903">
        <w:rPr>
          <w:b/>
          <w:bCs/>
        </w:rPr>
        <w:t xml:space="preserve"> </w:t>
      </w:r>
      <w:r w:rsidRPr="00095903">
        <w:rPr>
          <w:b/>
          <w:bCs/>
        </w:rPr>
        <w:t>competitive</w:t>
      </w:r>
      <w:r w:rsidR="00A03629" w:rsidRPr="00095903">
        <w:rPr>
          <w:b/>
          <w:bCs/>
        </w:rPr>
        <w:t xml:space="preserve"> </w:t>
      </w:r>
      <w:r w:rsidRPr="00095903">
        <w:rPr>
          <w:b/>
          <w:bCs/>
        </w:rPr>
        <w:t>business</w:t>
      </w:r>
      <w:r w:rsidR="00A03629" w:rsidRPr="00095903">
        <w:rPr>
          <w:b/>
          <w:bCs/>
        </w:rPr>
        <w:t xml:space="preserve"> </w:t>
      </w:r>
      <w:r w:rsidRPr="00095903">
        <w:rPr>
          <w:b/>
          <w:bCs/>
        </w:rPr>
        <w:t>environment</w:t>
      </w:r>
    </w:p>
    <w:p w14:paraId="7FCB2452" w14:textId="5E4477BB" w:rsidR="000756EB" w:rsidRDefault="004A4D88" w:rsidP="00095903">
      <w:r>
        <w:t>This</w:t>
      </w:r>
      <w:r w:rsidR="00A03629">
        <w:t xml:space="preserve"> </w:t>
      </w:r>
      <w:r>
        <w:t>objective</w:t>
      </w:r>
      <w:r w:rsidR="00A03629">
        <w:t xml:space="preserve"> </w:t>
      </w:r>
      <w:r>
        <w:t>seeks</w:t>
      </w:r>
      <w:r w:rsidR="00A03629">
        <w:t xml:space="preserve"> </w:t>
      </w:r>
      <w:r>
        <w:t>to</w:t>
      </w:r>
      <w:r w:rsidR="00A03629">
        <w:t xml:space="preserve"> </w:t>
      </w:r>
      <w:r>
        <w:t>grow</w:t>
      </w:r>
      <w:r w:rsidR="00A03629">
        <w:t xml:space="preserve"> </w:t>
      </w:r>
      <w:r>
        <w:t>Victorian</w:t>
      </w:r>
      <w:r w:rsidR="00A03629">
        <w:t xml:space="preserve"> </w:t>
      </w:r>
      <w:r>
        <w:t>industries</w:t>
      </w:r>
      <w:r w:rsidR="00A03629">
        <w:t xml:space="preserve"> </w:t>
      </w:r>
      <w:r>
        <w:t>and</w:t>
      </w:r>
      <w:r w:rsidR="00A03629">
        <w:t xml:space="preserve"> </w:t>
      </w:r>
      <w:r>
        <w:t>businesses</w:t>
      </w:r>
      <w:r w:rsidR="00A03629">
        <w:t xml:space="preserve"> </w:t>
      </w:r>
      <w:r>
        <w:t>by</w:t>
      </w:r>
      <w:r w:rsidR="00A03629">
        <w:t xml:space="preserve"> </w:t>
      </w:r>
      <w:r>
        <w:t>working</w:t>
      </w:r>
      <w:r w:rsidR="00A03629">
        <w:t xml:space="preserve"> </w:t>
      </w:r>
      <w:r>
        <w:t>with</w:t>
      </w:r>
      <w:r w:rsidR="00A03629">
        <w:t xml:space="preserve"> </w:t>
      </w:r>
      <w:r>
        <w:t>priority</w:t>
      </w:r>
      <w:r w:rsidR="00A03629">
        <w:t xml:space="preserve"> </w:t>
      </w:r>
      <w:r>
        <w:t>industry</w:t>
      </w:r>
      <w:r w:rsidR="00A03629">
        <w:t xml:space="preserve"> </w:t>
      </w:r>
      <w:r>
        <w:t>sectors,</w:t>
      </w:r>
      <w:r w:rsidR="00A03629">
        <w:t xml:space="preserve"> </w:t>
      </w:r>
      <w:r>
        <w:t>supporting</w:t>
      </w:r>
      <w:r w:rsidR="00A03629">
        <w:t xml:space="preserve"> </w:t>
      </w:r>
      <w:r>
        <w:t>growth</w:t>
      </w:r>
      <w:r w:rsidR="00A03629">
        <w:t xml:space="preserve"> </w:t>
      </w:r>
      <w:r>
        <w:t>and</w:t>
      </w:r>
      <w:r w:rsidR="00A03629">
        <w:t xml:space="preserve"> </w:t>
      </w:r>
      <w:r>
        <w:t>innovation</w:t>
      </w:r>
      <w:r w:rsidR="00A03629">
        <w:t xml:space="preserve"> </w:t>
      </w:r>
      <w:r>
        <w:t>and</w:t>
      </w:r>
      <w:r w:rsidR="00A03629">
        <w:t xml:space="preserve"> </w:t>
      </w:r>
      <w:r>
        <w:t>commercialisation</w:t>
      </w:r>
      <w:r w:rsidR="00A03629">
        <w:t xml:space="preserve"> </w:t>
      </w:r>
      <w:r>
        <w:t>opportunities,</w:t>
      </w:r>
      <w:r w:rsidR="00A03629">
        <w:t xml:space="preserve"> </w:t>
      </w:r>
      <w:r>
        <w:t>supporting</w:t>
      </w:r>
      <w:r w:rsidR="00A03629">
        <w:t xml:space="preserve"> </w:t>
      </w:r>
      <w:r>
        <w:t>start</w:t>
      </w:r>
      <w:r>
        <w:noBreakHyphen/>
        <w:t>ups</w:t>
      </w:r>
      <w:r w:rsidR="00A03629">
        <w:t xml:space="preserve"> </w:t>
      </w:r>
      <w:r>
        <w:t>and</w:t>
      </w:r>
      <w:r w:rsidR="00A03629">
        <w:t xml:space="preserve"> </w:t>
      </w:r>
      <w:r>
        <w:t>small</w:t>
      </w:r>
      <w:r w:rsidR="00A03629">
        <w:t xml:space="preserve"> </w:t>
      </w:r>
      <w:r>
        <w:t>businesses,</w:t>
      </w:r>
      <w:r w:rsidR="00A03629">
        <w:t xml:space="preserve"> </w:t>
      </w:r>
      <w:r>
        <w:t>and</w:t>
      </w:r>
      <w:r w:rsidR="00A03629">
        <w:t xml:space="preserve"> </w:t>
      </w:r>
      <w:r>
        <w:t>assisting</w:t>
      </w:r>
      <w:r w:rsidR="00A03629">
        <w:t xml:space="preserve"> </w:t>
      </w:r>
      <w:r>
        <w:t>industries</w:t>
      </w:r>
      <w:r w:rsidR="00A03629">
        <w:t xml:space="preserve"> </w:t>
      </w:r>
      <w:r>
        <w:t>in</w:t>
      </w:r>
      <w:r w:rsidR="00A03629">
        <w:rPr>
          <w:rFonts w:ascii="Cambria" w:hAnsi="Cambria" w:cs="Cambria"/>
        </w:rPr>
        <w:t xml:space="preserve"> </w:t>
      </w:r>
      <w:r>
        <w:t>transition.</w:t>
      </w:r>
    </w:p>
    <w:p w14:paraId="2F3D6D94" w14:textId="4F576577" w:rsidR="000756EB" w:rsidRDefault="004A4D88" w:rsidP="00095903">
      <w:r>
        <w:t>The</w:t>
      </w:r>
      <w:r w:rsidR="00A03629">
        <w:t xml:space="preserve"> </w:t>
      </w:r>
      <w:r>
        <w:t>Industry,</w:t>
      </w:r>
      <w:r w:rsidR="00A03629">
        <w:t xml:space="preserve"> </w:t>
      </w:r>
      <w:r>
        <w:t>Innovation</w:t>
      </w:r>
      <w:r w:rsidR="00A03629">
        <w:t xml:space="preserve"> </w:t>
      </w:r>
      <w:r>
        <w:t>and</w:t>
      </w:r>
      <w:r w:rsidR="00A03629">
        <w:t xml:space="preserve"> </w:t>
      </w:r>
      <w:r>
        <w:t>Small</w:t>
      </w:r>
      <w:r w:rsidR="00A03629">
        <w:t xml:space="preserve"> </w:t>
      </w:r>
      <w:r>
        <w:t>Business</w:t>
      </w:r>
      <w:r w:rsidR="00A03629">
        <w:t xml:space="preserve"> </w:t>
      </w:r>
      <w:r>
        <w:t>output</w:t>
      </w:r>
      <w:r w:rsidR="00A03629">
        <w:t xml:space="preserve"> </w:t>
      </w:r>
      <w:r>
        <w:t>provides</w:t>
      </w:r>
      <w:r w:rsidR="00A03629">
        <w:t xml:space="preserve"> </w:t>
      </w:r>
      <w:r>
        <w:t>access</w:t>
      </w:r>
      <w:r w:rsidR="00A03629">
        <w:t xml:space="preserve"> </w:t>
      </w:r>
      <w:r>
        <w:t>to</w:t>
      </w:r>
      <w:r w:rsidR="00A03629">
        <w:t xml:space="preserve"> </w:t>
      </w:r>
      <w:r>
        <w:t>information</w:t>
      </w:r>
      <w:r w:rsidR="00A03629">
        <w:t xml:space="preserve"> </w:t>
      </w:r>
      <w:r>
        <w:t>and</w:t>
      </w:r>
      <w:r w:rsidR="00A03629">
        <w:t xml:space="preserve"> </w:t>
      </w:r>
      <w:r>
        <w:t>connections</w:t>
      </w:r>
      <w:r w:rsidR="00A03629">
        <w:t xml:space="preserve"> </w:t>
      </w:r>
      <w:r>
        <w:t>and</w:t>
      </w:r>
      <w:r w:rsidR="00A03629">
        <w:t xml:space="preserve"> </w:t>
      </w:r>
      <w:r>
        <w:t>builds</w:t>
      </w:r>
      <w:r w:rsidR="00A03629">
        <w:t xml:space="preserve"> </w:t>
      </w:r>
      <w:r>
        <w:t>the</w:t>
      </w:r>
      <w:r w:rsidR="00A03629">
        <w:t xml:space="preserve"> </w:t>
      </w:r>
      <w:r>
        <w:t>capability</w:t>
      </w:r>
      <w:r w:rsidR="00A03629">
        <w:t xml:space="preserve"> </w:t>
      </w:r>
      <w:r>
        <w:t>of</w:t>
      </w:r>
      <w:r w:rsidR="00A03629">
        <w:t xml:space="preserve"> </w:t>
      </w:r>
      <w:r>
        <w:t>Victorian</w:t>
      </w:r>
      <w:r w:rsidR="00A03629">
        <w:t xml:space="preserve"> </w:t>
      </w:r>
      <w:r>
        <w:t>businesses</w:t>
      </w:r>
      <w:r w:rsidR="00A03629">
        <w:t xml:space="preserve"> </w:t>
      </w:r>
      <w:r>
        <w:t>and</w:t>
      </w:r>
      <w:r w:rsidR="00A03629">
        <w:t xml:space="preserve"> </w:t>
      </w:r>
      <w:r>
        <w:t>industry</w:t>
      </w:r>
      <w:r w:rsidR="00A03629">
        <w:t xml:space="preserve"> </w:t>
      </w:r>
      <w:r>
        <w:t>to</w:t>
      </w:r>
      <w:r w:rsidR="00A03629">
        <w:t xml:space="preserve"> </w:t>
      </w:r>
      <w:r>
        <w:t>develop,</w:t>
      </w:r>
      <w:r w:rsidR="00A03629">
        <w:t xml:space="preserve"> </w:t>
      </w:r>
      <w:r>
        <w:t>commercialise</w:t>
      </w:r>
      <w:r w:rsidR="00A03629">
        <w:t xml:space="preserve"> </w:t>
      </w:r>
      <w:r>
        <w:t>and</w:t>
      </w:r>
      <w:r w:rsidR="00A03629">
        <w:t xml:space="preserve"> </w:t>
      </w:r>
      <w:r>
        <w:t>effectively</w:t>
      </w:r>
      <w:r w:rsidR="00A03629">
        <w:t xml:space="preserve"> </w:t>
      </w:r>
      <w:r>
        <w:t>use</w:t>
      </w:r>
      <w:r w:rsidR="00A03629">
        <w:t xml:space="preserve"> </w:t>
      </w:r>
      <w:r>
        <w:t>new</w:t>
      </w:r>
      <w:r w:rsidR="00A03629">
        <w:t xml:space="preserve"> </w:t>
      </w:r>
      <w:r>
        <w:t>practices</w:t>
      </w:r>
      <w:r w:rsidR="00A03629">
        <w:t xml:space="preserve"> </w:t>
      </w:r>
      <w:r>
        <w:t>and</w:t>
      </w:r>
      <w:r w:rsidR="00A03629">
        <w:t xml:space="preserve"> </w:t>
      </w:r>
      <w:r>
        <w:t>technologies</w:t>
      </w:r>
      <w:r w:rsidR="00A03629">
        <w:t xml:space="preserve"> </w:t>
      </w:r>
      <w:r>
        <w:t>to</w:t>
      </w:r>
      <w:r w:rsidR="00A03629">
        <w:t xml:space="preserve"> </w:t>
      </w:r>
      <w:r>
        <w:t>increase</w:t>
      </w:r>
      <w:r w:rsidR="00A03629">
        <w:t xml:space="preserve"> </w:t>
      </w:r>
      <w:r>
        <w:t>productivity</w:t>
      </w:r>
      <w:r w:rsidR="00A03629">
        <w:t xml:space="preserve"> </w:t>
      </w:r>
      <w:r>
        <w:t>and</w:t>
      </w:r>
      <w:r w:rsidR="00A03629">
        <w:t xml:space="preserve"> </w:t>
      </w:r>
      <w:r>
        <w:t>competitiveness,</w:t>
      </w:r>
      <w:r w:rsidR="00A03629">
        <w:t xml:space="preserve"> </w:t>
      </w:r>
      <w:r>
        <w:t>advocating</w:t>
      </w:r>
      <w:r w:rsidR="00A03629">
        <w:t xml:space="preserve"> </w:t>
      </w:r>
      <w:r>
        <w:t>for</w:t>
      </w:r>
      <w:r w:rsidR="00A03629">
        <w:t xml:space="preserve"> </w:t>
      </w:r>
      <w:r>
        <w:t>a</w:t>
      </w:r>
      <w:r w:rsidR="00A03629">
        <w:t xml:space="preserve"> </w:t>
      </w:r>
      <w:r>
        <w:t>fair</w:t>
      </w:r>
      <w:r w:rsidR="00A03629">
        <w:t xml:space="preserve"> </w:t>
      </w:r>
      <w:r>
        <w:t>and</w:t>
      </w:r>
      <w:r w:rsidR="00A03629">
        <w:t xml:space="preserve"> </w:t>
      </w:r>
      <w:r>
        <w:t>competitive</w:t>
      </w:r>
      <w:r w:rsidR="00A03629">
        <w:t xml:space="preserve"> </w:t>
      </w:r>
      <w:r>
        <w:t>business</w:t>
      </w:r>
      <w:r w:rsidR="00A03629">
        <w:t xml:space="preserve"> </w:t>
      </w:r>
      <w:r>
        <w:t>environment,</w:t>
      </w:r>
      <w:r w:rsidR="00A03629">
        <w:t xml:space="preserve"> </w:t>
      </w:r>
      <w:r>
        <w:t>and</w:t>
      </w:r>
      <w:r w:rsidR="00A03629">
        <w:t xml:space="preserve"> </w:t>
      </w:r>
      <w:r>
        <w:t>supporting</w:t>
      </w:r>
      <w:r w:rsidR="00A03629">
        <w:t xml:space="preserve"> </w:t>
      </w:r>
      <w:r>
        <w:t>small</w:t>
      </w:r>
      <w:r w:rsidR="00A03629">
        <w:t xml:space="preserve"> </w:t>
      </w:r>
      <w:r>
        <w:t>businesses.</w:t>
      </w:r>
    </w:p>
    <w:p w14:paraId="62A1901E" w14:textId="342A241D" w:rsidR="000756EB" w:rsidRPr="00095903" w:rsidRDefault="004A4D88" w:rsidP="00095903">
      <w:pPr>
        <w:pStyle w:val="Normalbeforebullets"/>
        <w:rPr>
          <w:b/>
          <w:bCs/>
        </w:rPr>
      </w:pPr>
      <w:r w:rsidRPr="00095903">
        <w:rPr>
          <w:b/>
          <w:bCs/>
        </w:rPr>
        <w:t>Economic</w:t>
      </w:r>
      <w:r w:rsidR="00A03629" w:rsidRPr="00095903">
        <w:rPr>
          <w:b/>
          <w:bCs/>
        </w:rPr>
        <w:t xml:space="preserve"> </w:t>
      </w:r>
      <w:r w:rsidRPr="00095903">
        <w:rPr>
          <w:b/>
          <w:bCs/>
        </w:rPr>
        <w:t>growth</w:t>
      </w:r>
      <w:r w:rsidR="00A03629" w:rsidRPr="00095903">
        <w:rPr>
          <w:b/>
          <w:bCs/>
        </w:rPr>
        <w:t xml:space="preserve"> </w:t>
      </w:r>
      <w:r w:rsidRPr="00095903">
        <w:rPr>
          <w:b/>
          <w:bCs/>
        </w:rPr>
        <w:t>through</w:t>
      </w:r>
      <w:r w:rsidR="00A03629" w:rsidRPr="00095903">
        <w:rPr>
          <w:b/>
          <w:bCs/>
        </w:rPr>
        <w:t xml:space="preserve"> </w:t>
      </w:r>
      <w:r w:rsidRPr="00095903">
        <w:rPr>
          <w:b/>
          <w:bCs/>
        </w:rPr>
        <w:t>trade</w:t>
      </w:r>
      <w:r w:rsidR="00A03629" w:rsidRPr="00095903">
        <w:rPr>
          <w:b/>
          <w:bCs/>
        </w:rPr>
        <w:t xml:space="preserve"> </w:t>
      </w:r>
      <w:r w:rsidRPr="00095903">
        <w:rPr>
          <w:b/>
          <w:bCs/>
        </w:rPr>
        <w:t>and</w:t>
      </w:r>
      <w:r w:rsidR="00A03629" w:rsidRPr="00095903">
        <w:rPr>
          <w:rFonts w:ascii="Cambria" w:hAnsi="Cambria" w:cs="Cambria"/>
          <w:b/>
          <w:bCs/>
        </w:rPr>
        <w:t xml:space="preserve"> </w:t>
      </w:r>
      <w:r w:rsidRPr="00095903">
        <w:rPr>
          <w:b/>
          <w:bCs/>
        </w:rPr>
        <w:t>investment</w:t>
      </w:r>
      <w:r w:rsidR="00A03629" w:rsidRPr="00095903">
        <w:rPr>
          <w:b/>
          <w:bCs/>
        </w:rPr>
        <w:t xml:space="preserve"> </w:t>
      </w:r>
      <w:r w:rsidRPr="00095903">
        <w:rPr>
          <w:b/>
          <w:bCs/>
        </w:rPr>
        <w:t>attraction</w:t>
      </w:r>
    </w:p>
    <w:p w14:paraId="6B22C86E" w14:textId="4C138788" w:rsidR="000756EB" w:rsidRDefault="004A4D88" w:rsidP="00095903">
      <w:r>
        <w:t>This</w:t>
      </w:r>
      <w:r w:rsidR="00A03629">
        <w:t xml:space="preserve"> </w:t>
      </w:r>
      <w:r>
        <w:t>objective</w:t>
      </w:r>
      <w:r w:rsidR="00A03629">
        <w:t xml:space="preserve"> </w:t>
      </w:r>
      <w:r>
        <w:t>seeks</w:t>
      </w:r>
      <w:r w:rsidR="00A03629">
        <w:t xml:space="preserve"> </w:t>
      </w:r>
      <w:r>
        <w:t>to</w:t>
      </w:r>
      <w:r w:rsidR="00A03629">
        <w:t xml:space="preserve"> </w:t>
      </w:r>
      <w:r>
        <w:t>strengthen</w:t>
      </w:r>
      <w:r w:rsidR="00A03629">
        <w:t xml:space="preserve"> </w:t>
      </w:r>
      <w:r>
        <w:t>Victoria’s</w:t>
      </w:r>
      <w:r w:rsidR="00A03629">
        <w:t xml:space="preserve"> </w:t>
      </w:r>
      <w:r>
        <w:t>economic</w:t>
      </w:r>
      <w:r w:rsidR="00A03629">
        <w:t xml:space="preserve"> </w:t>
      </w:r>
      <w:r>
        <w:t>performance</w:t>
      </w:r>
      <w:r w:rsidR="00A03629">
        <w:t xml:space="preserve"> </w:t>
      </w:r>
      <w:r>
        <w:t>through</w:t>
      </w:r>
      <w:r w:rsidR="00A03629">
        <w:t xml:space="preserve"> </w:t>
      </w:r>
      <w:r>
        <w:t>facilitating</w:t>
      </w:r>
      <w:r w:rsidR="00A03629">
        <w:t xml:space="preserve"> </w:t>
      </w:r>
      <w:r>
        <w:t>private</w:t>
      </w:r>
      <w:r w:rsidR="00A03629">
        <w:t xml:space="preserve"> </w:t>
      </w:r>
      <w:r>
        <w:t>sector</w:t>
      </w:r>
      <w:r w:rsidR="00A03629">
        <w:t xml:space="preserve"> </w:t>
      </w:r>
      <w:r>
        <w:t>investment</w:t>
      </w:r>
      <w:r w:rsidR="00A03629">
        <w:t xml:space="preserve"> </w:t>
      </w:r>
      <w:r>
        <w:t>in</w:t>
      </w:r>
      <w:r w:rsidR="00A03629">
        <w:t xml:space="preserve"> </w:t>
      </w:r>
      <w:r>
        <w:t>Victoria,</w:t>
      </w:r>
      <w:r w:rsidR="00A03629">
        <w:t xml:space="preserve"> </w:t>
      </w:r>
      <w:r>
        <w:t>helping</w:t>
      </w:r>
      <w:r w:rsidR="00A03629">
        <w:t xml:space="preserve"> </w:t>
      </w:r>
      <w:r>
        <w:t>Victorian</w:t>
      </w:r>
      <w:r w:rsidR="00A03629">
        <w:t xml:space="preserve"> </w:t>
      </w:r>
      <w:r>
        <w:t>businesses</w:t>
      </w:r>
      <w:r w:rsidR="00A03629">
        <w:t xml:space="preserve"> </w:t>
      </w:r>
      <w:r>
        <w:t>successfully</w:t>
      </w:r>
      <w:r w:rsidR="00A03629">
        <w:t xml:space="preserve"> </w:t>
      </w:r>
      <w:r>
        <w:t>trade</w:t>
      </w:r>
      <w:r w:rsidR="00A03629">
        <w:t xml:space="preserve"> </w:t>
      </w:r>
      <w:r>
        <w:t>into</w:t>
      </w:r>
      <w:r w:rsidR="00A03629">
        <w:t xml:space="preserve"> </w:t>
      </w:r>
      <w:r>
        <w:t>global</w:t>
      </w:r>
      <w:r w:rsidR="00A03629">
        <w:t xml:space="preserve"> </w:t>
      </w:r>
      <w:r>
        <w:t>markets,</w:t>
      </w:r>
      <w:r w:rsidR="00A03629">
        <w:t xml:space="preserve"> </w:t>
      </w:r>
      <w:r>
        <w:t>and</w:t>
      </w:r>
      <w:r w:rsidR="00A03629">
        <w:t xml:space="preserve"> </w:t>
      </w:r>
      <w:r>
        <w:t>growing</w:t>
      </w:r>
      <w:r w:rsidR="00A03629">
        <w:t xml:space="preserve"> </w:t>
      </w:r>
      <w:r>
        <w:t>Victorian’s</w:t>
      </w:r>
      <w:r w:rsidR="00A03629">
        <w:t xml:space="preserve"> </w:t>
      </w:r>
      <w:r>
        <w:t>market</w:t>
      </w:r>
      <w:r w:rsidR="00A03629">
        <w:t xml:space="preserve"> </w:t>
      </w:r>
      <w:r>
        <w:t>share</w:t>
      </w:r>
      <w:r w:rsidR="00A03629">
        <w:t xml:space="preserve"> </w:t>
      </w:r>
      <w:r>
        <w:t>of</w:t>
      </w:r>
      <w:r w:rsidR="00A03629">
        <w:rPr>
          <w:rFonts w:ascii="Cambria" w:hAnsi="Cambria" w:cs="Cambria"/>
        </w:rPr>
        <w:t xml:space="preserve"> </w:t>
      </w:r>
      <w:r>
        <w:t>international</w:t>
      </w:r>
      <w:r w:rsidR="00A03629">
        <w:t xml:space="preserve"> </w:t>
      </w:r>
      <w:r>
        <w:t>student</w:t>
      </w:r>
      <w:r w:rsidR="00A03629">
        <w:t xml:space="preserve"> </w:t>
      </w:r>
      <w:r>
        <w:t>enrolments</w:t>
      </w:r>
      <w:r w:rsidR="00A03629">
        <w:t xml:space="preserve"> </w:t>
      </w:r>
      <w:r>
        <w:t>in</w:t>
      </w:r>
      <w:r w:rsidR="00A03629">
        <w:t xml:space="preserve"> </w:t>
      </w:r>
      <w:r>
        <w:t>Australia.</w:t>
      </w:r>
    </w:p>
    <w:p w14:paraId="307015A1" w14:textId="74CD4AE1" w:rsidR="000756EB" w:rsidRDefault="004A4D88" w:rsidP="00095903">
      <w:r>
        <w:t>The</w:t>
      </w:r>
      <w:r w:rsidR="00A03629">
        <w:t xml:space="preserve"> </w:t>
      </w:r>
      <w:r>
        <w:t>Trade</w:t>
      </w:r>
      <w:r w:rsidR="00A03629">
        <w:t xml:space="preserve"> </w:t>
      </w:r>
      <w:r>
        <w:t>and</w:t>
      </w:r>
      <w:r w:rsidR="00A03629">
        <w:t xml:space="preserve"> </w:t>
      </w:r>
      <w:r>
        <w:t>Investment</w:t>
      </w:r>
      <w:r w:rsidR="00A03629">
        <w:t xml:space="preserve"> </w:t>
      </w:r>
      <w:r>
        <w:t>output</w:t>
      </w:r>
      <w:r w:rsidR="00A03629">
        <w:t xml:space="preserve"> </w:t>
      </w:r>
      <w:r>
        <w:t>promotes</w:t>
      </w:r>
      <w:r w:rsidR="00A03629">
        <w:t xml:space="preserve"> </w:t>
      </w:r>
      <w:r>
        <w:t>Victoria’s</w:t>
      </w:r>
      <w:r w:rsidR="00A03629">
        <w:t xml:space="preserve"> </w:t>
      </w:r>
      <w:r>
        <w:t>global</w:t>
      </w:r>
      <w:r w:rsidR="00A03629">
        <w:t xml:space="preserve"> </w:t>
      </w:r>
      <w:r>
        <w:t>engagement</w:t>
      </w:r>
      <w:r w:rsidR="00A03629">
        <w:t xml:space="preserve"> </w:t>
      </w:r>
      <w:r>
        <w:t>activities</w:t>
      </w:r>
      <w:r w:rsidR="00A03629">
        <w:t xml:space="preserve"> </w:t>
      </w:r>
      <w:r>
        <w:t>which</w:t>
      </w:r>
      <w:r w:rsidR="00A03629">
        <w:t xml:space="preserve"> </w:t>
      </w:r>
      <w:r>
        <w:t>seeks</w:t>
      </w:r>
      <w:r w:rsidR="00A03629">
        <w:t xml:space="preserve"> </w:t>
      </w:r>
      <w:r>
        <w:t>to</w:t>
      </w:r>
      <w:r w:rsidR="00A03629">
        <w:t xml:space="preserve"> </w:t>
      </w:r>
      <w:r>
        <w:t>secure</w:t>
      </w:r>
      <w:r w:rsidR="00A03629">
        <w:t xml:space="preserve"> </w:t>
      </w:r>
      <w:r>
        <w:t>trade</w:t>
      </w:r>
      <w:r w:rsidR="00A03629">
        <w:t xml:space="preserve"> </w:t>
      </w:r>
      <w:r>
        <w:t>and</w:t>
      </w:r>
      <w:r w:rsidR="00A03629">
        <w:t xml:space="preserve"> </w:t>
      </w:r>
      <w:r>
        <w:t>international</w:t>
      </w:r>
      <w:r w:rsidR="00A03629">
        <w:t xml:space="preserve"> </w:t>
      </w:r>
      <w:r>
        <w:t>investment</w:t>
      </w:r>
      <w:r w:rsidR="00A03629">
        <w:t xml:space="preserve"> </w:t>
      </w:r>
      <w:r>
        <w:t>outcomes</w:t>
      </w:r>
      <w:r w:rsidR="00A03629">
        <w:t xml:space="preserve"> </w:t>
      </w:r>
      <w:r>
        <w:t>for</w:t>
      </w:r>
      <w:r w:rsidR="00A03629">
        <w:t xml:space="preserve"> </w:t>
      </w:r>
      <w:r>
        <w:t>the</w:t>
      </w:r>
      <w:r w:rsidR="00A03629">
        <w:t xml:space="preserve"> </w:t>
      </w:r>
      <w:r>
        <w:t>State</w:t>
      </w:r>
      <w:r w:rsidR="00A03629">
        <w:t xml:space="preserve"> </w:t>
      </w:r>
      <w:r>
        <w:t>through</w:t>
      </w:r>
      <w:r w:rsidR="00A03629">
        <w:t xml:space="preserve"> </w:t>
      </w:r>
      <w:r>
        <w:t>a</w:t>
      </w:r>
      <w:r w:rsidR="00A03629">
        <w:t xml:space="preserve"> </w:t>
      </w:r>
      <w:r>
        <w:t>range</w:t>
      </w:r>
      <w:r w:rsidR="00A03629">
        <w:t xml:space="preserve"> </w:t>
      </w:r>
      <w:r>
        <w:t>of</w:t>
      </w:r>
      <w:r w:rsidR="00A03629">
        <w:t xml:space="preserve"> </w:t>
      </w:r>
      <w:r>
        <w:t>promotion</w:t>
      </w:r>
      <w:r w:rsidR="00A03629">
        <w:t xml:space="preserve"> </w:t>
      </w:r>
      <w:r>
        <w:t>and</w:t>
      </w:r>
      <w:r w:rsidR="00A03629">
        <w:t xml:space="preserve"> </w:t>
      </w:r>
      <w:r>
        <w:t>facilitation</w:t>
      </w:r>
      <w:r w:rsidR="00A03629">
        <w:t xml:space="preserve"> </w:t>
      </w:r>
      <w:r>
        <w:t>activities</w:t>
      </w:r>
      <w:r w:rsidR="00A03629">
        <w:t xml:space="preserve"> </w:t>
      </w:r>
      <w:r>
        <w:t>in</w:t>
      </w:r>
      <w:r w:rsidR="00A03629">
        <w:rPr>
          <w:rFonts w:ascii="Cambria" w:hAnsi="Cambria" w:cs="Cambria"/>
        </w:rPr>
        <w:t xml:space="preserve"> </w:t>
      </w:r>
      <w:r>
        <w:t>addition</w:t>
      </w:r>
      <w:r w:rsidR="00A03629">
        <w:t xml:space="preserve"> </w:t>
      </w:r>
      <w:r>
        <w:t>to</w:t>
      </w:r>
      <w:r w:rsidR="00A03629">
        <w:t xml:space="preserve"> </w:t>
      </w:r>
      <w:r>
        <w:t>providing</w:t>
      </w:r>
      <w:r w:rsidR="00A03629">
        <w:t xml:space="preserve"> </w:t>
      </w:r>
      <w:r>
        <w:t>policy</w:t>
      </w:r>
      <w:r w:rsidR="00A03629">
        <w:t xml:space="preserve"> </w:t>
      </w:r>
      <w:r>
        <w:t>advice</w:t>
      </w:r>
      <w:r w:rsidR="00A03629">
        <w:t xml:space="preserve"> </w:t>
      </w:r>
      <w:r>
        <w:t>to</w:t>
      </w:r>
      <w:r w:rsidR="00A03629">
        <w:t xml:space="preserve"> </w:t>
      </w:r>
      <w:r>
        <w:t>improve</w:t>
      </w:r>
      <w:r w:rsidR="00A03629">
        <w:t xml:space="preserve"> </w:t>
      </w:r>
      <w:r>
        <w:t>the</w:t>
      </w:r>
      <w:r w:rsidR="00A03629">
        <w:t xml:space="preserve"> </w:t>
      </w:r>
      <w:r>
        <w:t>attractiveness</w:t>
      </w:r>
      <w:r w:rsidR="00A03629">
        <w:t xml:space="preserve"> </w:t>
      </w:r>
      <w:r>
        <w:t>of</w:t>
      </w:r>
      <w:r w:rsidR="00A03629">
        <w:t xml:space="preserve"> </w:t>
      </w:r>
      <w:r>
        <w:t>Victorian</w:t>
      </w:r>
      <w:r w:rsidR="00A03629">
        <w:t xml:space="preserve"> </w:t>
      </w:r>
      <w:r>
        <w:t>exports</w:t>
      </w:r>
      <w:r w:rsidR="00A03629">
        <w:t xml:space="preserve"> </w:t>
      </w:r>
      <w:r>
        <w:t>and</w:t>
      </w:r>
      <w:r w:rsidR="00A03629">
        <w:t xml:space="preserve"> </w:t>
      </w:r>
      <w:r>
        <w:t>as</w:t>
      </w:r>
      <w:r w:rsidR="00A03629">
        <w:t xml:space="preserve"> </w:t>
      </w:r>
      <w:r>
        <w:t>an</w:t>
      </w:r>
      <w:r w:rsidR="00A03629">
        <w:rPr>
          <w:rFonts w:ascii="Cambria" w:hAnsi="Cambria" w:cs="Cambria"/>
        </w:rPr>
        <w:t xml:space="preserve"> </w:t>
      </w:r>
      <w:r>
        <w:t>international</w:t>
      </w:r>
      <w:r w:rsidR="00A03629">
        <w:t xml:space="preserve"> </w:t>
      </w:r>
      <w:r>
        <w:t>investment</w:t>
      </w:r>
      <w:r w:rsidR="00A03629">
        <w:t xml:space="preserve"> </w:t>
      </w:r>
      <w:r>
        <w:t>destination.</w:t>
      </w:r>
    </w:p>
    <w:p w14:paraId="56FA8A18" w14:textId="593B0841" w:rsidR="000756EB" w:rsidRDefault="004A4D88" w:rsidP="00095903">
      <w:pPr>
        <w:pStyle w:val="Normalbeforebullets"/>
      </w:pPr>
      <w:r>
        <w:t>This</w:t>
      </w:r>
      <w:r w:rsidR="00A03629">
        <w:t xml:space="preserve"> </w:t>
      </w:r>
      <w:r>
        <w:t>output</w:t>
      </w:r>
      <w:r w:rsidR="00A03629">
        <w:t xml:space="preserve"> </w:t>
      </w:r>
      <w:r>
        <w:t>also</w:t>
      </w:r>
      <w:r w:rsidR="00A03629">
        <w:t xml:space="preserve"> </w:t>
      </w:r>
      <w:r>
        <w:t>provides</w:t>
      </w:r>
      <w:r w:rsidR="00A03629">
        <w:t xml:space="preserve"> </w:t>
      </w:r>
      <w:r>
        <w:t>support</w:t>
      </w:r>
      <w:r w:rsidR="00A03629">
        <w:t xml:space="preserve"> </w:t>
      </w:r>
      <w:r>
        <w:t>and</w:t>
      </w:r>
      <w:r w:rsidR="00A03629">
        <w:t xml:space="preserve"> </w:t>
      </w:r>
      <w:r>
        <w:t>advice</w:t>
      </w:r>
      <w:r w:rsidR="00A03629">
        <w:t xml:space="preserve"> </w:t>
      </w:r>
      <w:r>
        <w:t>to</w:t>
      </w:r>
      <w:r w:rsidR="00A03629">
        <w:t xml:space="preserve"> </w:t>
      </w:r>
      <w:r>
        <w:t>Government</w:t>
      </w:r>
      <w:r w:rsidR="00A03629">
        <w:t xml:space="preserve"> </w:t>
      </w:r>
      <w:r>
        <w:t>on</w:t>
      </w:r>
      <w:r w:rsidR="00A03629">
        <w:t xml:space="preserve"> </w:t>
      </w:r>
      <w:r>
        <w:t>strengthening</w:t>
      </w:r>
      <w:r w:rsidR="00A03629">
        <w:t xml:space="preserve"> </w:t>
      </w:r>
      <w:r>
        <w:t>Victoria’s</w:t>
      </w:r>
      <w:r w:rsidR="00A03629">
        <w:t xml:space="preserve"> </w:t>
      </w:r>
      <w:r>
        <w:t>economic</w:t>
      </w:r>
      <w:r w:rsidR="00A03629">
        <w:t xml:space="preserve"> </w:t>
      </w:r>
      <w:r>
        <w:t>performance,</w:t>
      </w:r>
      <w:r w:rsidR="00A03629">
        <w:t xml:space="preserve"> </w:t>
      </w:r>
      <w:r>
        <w:t>including</w:t>
      </w:r>
      <w:r w:rsidR="00A03629">
        <w:t xml:space="preserve"> </w:t>
      </w:r>
      <w:r>
        <w:t>in</w:t>
      </w:r>
      <w:r w:rsidR="00A03629">
        <w:t xml:space="preserve"> </w:t>
      </w:r>
      <w:r>
        <w:t>relation</w:t>
      </w:r>
      <w:r w:rsidR="00A03629">
        <w:t xml:space="preserve"> </w:t>
      </w:r>
      <w:r>
        <w:t>to:</w:t>
      </w:r>
    </w:p>
    <w:p w14:paraId="649094EE" w14:textId="6E77F82A" w:rsidR="000756EB" w:rsidRDefault="004A4D88" w:rsidP="00095903">
      <w:pPr>
        <w:pStyle w:val="Bullet"/>
      </w:pPr>
      <w:r>
        <w:t>ensuring</w:t>
      </w:r>
      <w:r w:rsidR="00A03629">
        <w:t xml:space="preserve"> </w:t>
      </w:r>
      <w:r>
        <w:t>Victoria</w:t>
      </w:r>
      <w:r w:rsidR="00A03629">
        <w:t xml:space="preserve"> </w:t>
      </w:r>
      <w:r>
        <w:t>is</w:t>
      </w:r>
      <w:r w:rsidR="00A03629">
        <w:t xml:space="preserve"> </w:t>
      </w:r>
      <w:r>
        <w:t>a</w:t>
      </w:r>
      <w:r w:rsidR="00A03629">
        <w:t xml:space="preserve"> </w:t>
      </w:r>
      <w:r>
        <w:t>leading</w:t>
      </w:r>
      <w:r w:rsidR="00A03629">
        <w:t xml:space="preserve"> </w:t>
      </w:r>
      <w:r>
        <w:t>destination</w:t>
      </w:r>
      <w:r w:rsidR="00A03629">
        <w:t xml:space="preserve"> </w:t>
      </w:r>
      <w:r>
        <w:t>for</w:t>
      </w:r>
      <w:r w:rsidR="00A03629">
        <w:rPr>
          <w:rFonts w:ascii="Cambria" w:hAnsi="Cambria" w:cs="Cambria"/>
        </w:rPr>
        <w:t xml:space="preserve"> </w:t>
      </w:r>
      <w:r>
        <w:t>business,</w:t>
      </w:r>
      <w:r w:rsidR="00A03629">
        <w:t xml:space="preserve"> </w:t>
      </w:r>
      <w:proofErr w:type="gramStart"/>
      <w:r>
        <w:t>innovation</w:t>
      </w:r>
      <w:proofErr w:type="gramEnd"/>
      <w:r w:rsidR="00A03629">
        <w:t xml:space="preserve"> </w:t>
      </w:r>
      <w:r>
        <w:t>and</w:t>
      </w:r>
      <w:r w:rsidR="00A03629">
        <w:t xml:space="preserve"> </w:t>
      </w:r>
      <w:r>
        <w:t>talent</w:t>
      </w:r>
    </w:p>
    <w:p w14:paraId="19AE62FA" w14:textId="22AC5262" w:rsidR="000756EB" w:rsidRDefault="004A4D88" w:rsidP="00095903">
      <w:pPr>
        <w:pStyle w:val="Bullet"/>
      </w:pPr>
      <w:r>
        <w:t>continuous</w:t>
      </w:r>
      <w:r w:rsidR="00A03629">
        <w:t xml:space="preserve"> </w:t>
      </w:r>
      <w:r>
        <w:t>enhancement</w:t>
      </w:r>
      <w:r w:rsidR="00A03629">
        <w:t xml:space="preserve"> </w:t>
      </w:r>
      <w:r>
        <w:t>of</w:t>
      </w:r>
      <w:r w:rsidR="00A03629">
        <w:t xml:space="preserve"> </w:t>
      </w:r>
      <w:r>
        <w:t>Victoria’s</w:t>
      </w:r>
      <w:r w:rsidR="00A03629">
        <w:t xml:space="preserve"> </w:t>
      </w:r>
      <w:r>
        <w:t>approach</w:t>
      </w:r>
      <w:r w:rsidR="00A03629">
        <w:rPr>
          <w:rFonts w:ascii="Cambria" w:hAnsi="Cambria" w:cs="Cambria"/>
        </w:rPr>
        <w:t xml:space="preserve"> </w:t>
      </w:r>
      <w:r>
        <w:t>to</w:t>
      </w:r>
      <w:r w:rsidR="00A03629">
        <w:t xml:space="preserve"> </w:t>
      </w:r>
      <w:r>
        <w:t>investment</w:t>
      </w:r>
      <w:r w:rsidR="00A03629">
        <w:t xml:space="preserve"> </w:t>
      </w:r>
      <w:r>
        <w:t>attraction</w:t>
      </w:r>
    </w:p>
    <w:p w14:paraId="5217D59B" w14:textId="4ACFD85C" w:rsidR="000756EB" w:rsidRDefault="004A4D88" w:rsidP="00095903">
      <w:pPr>
        <w:pStyle w:val="Bullet"/>
      </w:pPr>
      <w:r>
        <w:t>enhancing</w:t>
      </w:r>
      <w:r w:rsidR="00A03629">
        <w:t xml:space="preserve"> </w:t>
      </w:r>
      <w:r>
        <w:t>Victoria’s</w:t>
      </w:r>
      <w:r w:rsidR="00A03629">
        <w:t xml:space="preserve"> </w:t>
      </w:r>
      <w:r>
        <w:t>business</w:t>
      </w:r>
      <w:r w:rsidR="00A03629">
        <w:t xml:space="preserve"> </w:t>
      </w:r>
      <w:r>
        <w:t>investment</w:t>
      </w:r>
      <w:r w:rsidR="00A03629">
        <w:rPr>
          <w:rFonts w:ascii="Cambria" w:hAnsi="Cambria" w:cs="Cambria"/>
        </w:rPr>
        <w:t xml:space="preserve"> </w:t>
      </w:r>
      <w:r>
        <w:t>environment</w:t>
      </w:r>
    </w:p>
    <w:p w14:paraId="776A6B67" w14:textId="6D7ABB00" w:rsidR="000756EB" w:rsidRDefault="004A4D88" w:rsidP="00095903">
      <w:pPr>
        <w:pStyle w:val="Bullet"/>
      </w:pPr>
      <w:r>
        <w:t>helping</w:t>
      </w:r>
      <w:r w:rsidR="00A03629">
        <w:t xml:space="preserve"> </w:t>
      </w:r>
      <w:r>
        <w:t>Victorian</w:t>
      </w:r>
      <w:r w:rsidR="00A03629">
        <w:t xml:space="preserve"> </w:t>
      </w:r>
      <w:r>
        <w:t>businesses</w:t>
      </w:r>
      <w:r w:rsidR="00A03629">
        <w:t xml:space="preserve"> </w:t>
      </w:r>
      <w:r>
        <w:t>successfully</w:t>
      </w:r>
      <w:r w:rsidR="00A03629">
        <w:rPr>
          <w:rFonts w:ascii="Cambria" w:hAnsi="Cambria" w:cs="Cambria"/>
        </w:rPr>
        <w:t xml:space="preserve"> </w:t>
      </w:r>
      <w:r>
        <w:t>trade</w:t>
      </w:r>
      <w:r w:rsidR="00A03629">
        <w:rPr>
          <w:rFonts w:ascii="Cambria" w:hAnsi="Cambria" w:cs="Cambria"/>
        </w:rPr>
        <w:t xml:space="preserve"> </w:t>
      </w:r>
      <w:r>
        <w:t>into</w:t>
      </w:r>
      <w:r w:rsidR="00A03629">
        <w:t xml:space="preserve"> </w:t>
      </w:r>
      <w:r>
        <w:t>global</w:t>
      </w:r>
      <w:r w:rsidR="00A03629">
        <w:t xml:space="preserve"> </w:t>
      </w:r>
      <w:r>
        <w:t>markets</w:t>
      </w:r>
    </w:p>
    <w:p w14:paraId="48A7554A" w14:textId="70357057" w:rsidR="000756EB" w:rsidRDefault="004A4D88" w:rsidP="00095903">
      <w:pPr>
        <w:pStyle w:val="Bulletlast"/>
      </w:pPr>
      <w:r>
        <w:t>growing</w:t>
      </w:r>
      <w:r w:rsidR="00A03629">
        <w:t xml:space="preserve"> </w:t>
      </w:r>
      <w:r>
        <w:t>Victorian’s</w:t>
      </w:r>
      <w:r w:rsidR="00A03629">
        <w:t xml:space="preserve"> </w:t>
      </w:r>
      <w:r>
        <w:t>market</w:t>
      </w:r>
      <w:r w:rsidR="00A03629">
        <w:t xml:space="preserve"> </w:t>
      </w:r>
      <w:r>
        <w:t>share</w:t>
      </w:r>
      <w:r w:rsidR="00A03629">
        <w:t xml:space="preserve"> </w:t>
      </w:r>
      <w:r>
        <w:t>of</w:t>
      </w:r>
      <w:r w:rsidR="00A03629">
        <w:t xml:space="preserve"> </w:t>
      </w:r>
      <w:r>
        <w:t>international</w:t>
      </w:r>
      <w:r w:rsidR="00A03629">
        <w:rPr>
          <w:rFonts w:ascii="Cambria" w:hAnsi="Cambria" w:cs="Cambria"/>
        </w:rPr>
        <w:t xml:space="preserve"> </w:t>
      </w:r>
      <w:r>
        <w:t>student</w:t>
      </w:r>
      <w:r w:rsidR="00A03629">
        <w:t xml:space="preserve"> </w:t>
      </w:r>
      <w:r>
        <w:t>enrolments</w:t>
      </w:r>
      <w:r w:rsidR="00A03629">
        <w:t xml:space="preserve"> </w:t>
      </w:r>
      <w:r>
        <w:t>in</w:t>
      </w:r>
      <w:r w:rsidR="00A03629">
        <w:t xml:space="preserve"> </w:t>
      </w:r>
      <w:r>
        <w:t>Australia.</w:t>
      </w:r>
    </w:p>
    <w:p w14:paraId="00587AFD" w14:textId="58B22446" w:rsidR="000756EB" w:rsidRPr="00095903" w:rsidRDefault="004A4D88" w:rsidP="00095903">
      <w:pPr>
        <w:pStyle w:val="Normalbeforebullets"/>
        <w:rPr>
          <w:b/>
          <w:bCs/>
        </w:rPr>
      </w:pPr>
      <w:r w:rsidRPr="00095903">
        <w:rPr>
          <w:b/>
          <w:bCs/>
        </w:rPr>
        <w:lastRenderedPageBreak/>
        <w:t>Build</w:t>
      </w:r>
      <w:r w:rsidR="00A03629" w:rsidRPr="00095903">
        <w:rPr>
          <w:b/>
          <w:bCs/>
        </w:rPr>
        <w:t xml:space="preserve"> </w:t>
      </w:r>
      <w:r w:rsidRPr="00095903">
        <w:rPr>
          <w:b/>
          <w:bCs/>
        </w:rPr>
        <w:t>prosperous</w:t>
      </w:r>
      <w:r w:rsidR="00A03629" w:rsidRPr="00095903">
        <w:rPr>
          <w:b/>
          <w:bCs/>
        </w:rPr>
        <w:t xml:space="preserve"> </w:t>
      </w:r>
      <w:r w:rsidRPr="00095903">
        <w:rPr>
          <w:b/>
          <w:bCs/>
        </w:rPr>
        <w:t>and</w:t>
      </w:r>
      <w:r w:rsidR="00A03629" w:rsidRPr="00095903">
        <w:rPr>
          <w:b/>
          <w:bCs/>
        </w:rPr>
        <w:t xml:space="preserve"> </w:t>
      </w:r>
      <w:r w:rsidRPr="00095903">
        <w:rPr>
          <w:b/>
          <w:bCs/>
        </w:rPr>
        <w:t>liveable</w:t>
      </w:r>
      <w:r w:rsidR="00A03629" w:rsidRPr="00095903">
        <w:rPr>
          <w:b/>
          <w:bCs/>
        </w:rPr>
        <w:t xml:space="preserve"> </w:t>
      </w:r>
      <w:r w:rsidRPr="00095903">
        <w:rPr>
          <w:b/>
          <w:bCs/>
        </w:rPr>
        <w:t>suburbs</w:t>
      </w:r>
      <w:r w:rsidR="00A03629" w:rsidRPr="00095903">
        <w:rPr>
          <w:b/>
          <w:bCs/>
        </w:rPr>
        <w:t xml:space="preserve"> </w:t>
      </w:r>
      <w:r w:rsidRPr="00095903">
        <w:rPr>
          <w:b/>
          <w:bCs/>
        </w:rPr>
        <w:t>and</w:t>
      </w:r>
      <w:r w:rsidR="00A03629" w:rsidRPr="00095903">
        <w:rPr>
          <w:rFonts w:ascii="Cambria" w:hAnsi="Cambria" w:cs="Cambria"/>
          <w:b/>
          <w:bCs/>
        </w:rPr>
        <w:t xml:space="preserve"> </w:t>
      </w:r>
      <w:r w:rsidRPr="00095903">
        <w:rPr>
          <w:b/>
          <w:bCs/>
        </w:rPr>
        <w:t>regions,</w:t>
      </w:r>
      <w:r w:rsidR="00A03629" w:rsidRPr="00095903">
        <w:rPr>
          <w:b/>
          <w:bCs/>
        </w:rPr>
        <w:t xml:space="preserve"> </w:t>
      </w:r>
      <w:r w:rsidRPr="00095903">
        <w:rPr>
          <w:b/>
          <w:bCs/>
        </w:rPr>
        <w:t>and</w:t>
      </w:r>
      <w:r w:rsidR="00A03629" w:rsidRPr="00095903">
        <w:rPr>
          <w:b/>
          <w:bCs/>
        </w:rPr>
        <w:t xml:space="preserve"> </w:t>
      </w:r>
      <w:r w:rsidRPr="00095903">
        <w:rPr>
          <w:b/>
          <w:bCs/>
        </w:rPr>
        <w:t>manage</w:t>
      </w:r>
      <w:r w:rsidR="00A03629" w:rsidRPr="00095903">
        <w:rPr>
          <w:b/>
          <w:bCs/>
        </w:rPr>
        <w:t xml:space="preserve"> </w:t>
      </w:r>
      <w:r w:rsidRPr="00095903">
        <w:rPr>
          <w:b/>
          <w:bCs/>
        </w:rPr>
        <w:t>and</w:t>
      </w:r>
      <w:r w:rsidR="00A03629" w:rsidRPr="00095903">
        <w:rPr>
          <w:b/>
          <w:bCs/>
        </w:rPr>
        <w:t xml:space="preserve"> </w:t>
      </w:r>
      <w:r w:rsidRPr="00095903">
        <w:rPr>
          <w:b/>
          <w:bCs/>
        </w:rPr>
        <w:t>promote</w:t>
      </w:r>
      <w:r w:rsidR="00A03629" w:rsidRPr="00095903">
        <w:rPr>
          <w:b/>
          <w:bCs/>
        </w:rPr>
        <w:t xml:space="preserve"> </w:t>
      </w:r>
      <w:r w:rsidRPr="00095903">
        <w:rPr>
          <w:b/>
          <w:bCs/>
        </w:rPr>
        <w:t>outdoor</w:t>
      </w:r>
      <w:r w:rsidR="00A03629" w:rsidRPr="00095903">
        <w:rPr>
          <w:b/>
          <w:bCs/>
        </w:rPr>
        <w:t xml:space="preserve"> </w:t>
      </w:r>
      <w:r w:rsidRPr="00095903">
        <w:rPr>
          <w:b/>
          <w:bCs/>
        </w:rPr>
        <w:t>recreation</w:t>
      </w:r>
    </w:p>
    <w:p w14:paraId="5D72DEC0" w14:textId="05CF845B" w:rsidR="000756EB" w:rsidRDefault="004A4D88" w:rsidP="00095903">
      <w:r>
        <w:t>This</w:t>
      </w:r>
      <w:r w:rsidR="00A03629">
        <w:t xml:space="preserve"> </w:t>
      </w:r>
      <w:r>
        <w:t>objective</w:t>
      </w:r>
      <w:r w:rsidR="00A03629">
        <w:t xml:space="preserve"> </w:t>
      </w:r>
      <w:r>
        <w:t>seeks</w:t>
      </w:r>
      <w:r w:rsidR="00A03629">
        <w:t xml:space="preserve"> </w:t>
      </w:r>
      <w:r>
        <w:t>to</w:t>
      </w:r>
      <w:r w:rsidR="00A03629">
        <w:t xml:space="preserve"> </w:t>
      </w:r>
      <w:r>
        <w:t>ensure</w:t>
      </w:r>
      <w:r w:rsidR="00A03629">
        <w:t xml:space="preserve"> </w:t>
      </w:r>
      <w:r>
        <w:t>that</w:t>
      </w:r>
      <w:r w:rsidR="00A03629">
        <w:t xml:space="preserve"> </w:t>
      </w:r>
      <w:r>
        <w:t>Victoria’s</w:t>
      </w:r>
      <w:r w:rsidR="00A03629">
        <w:t xml:space="preserve"> </w:t>
      </w:r>
      <w:r>
        <w:t>suburbs</w:t>
      </w:r>
      <w:r w:rsidR="00A03629">
        <w:t xml:space="preserve"> </w:t>
      </w:r>
      <w:r>
        <w:t>and</w:t>
      </w:r>
      <w:r w:rsidR="00A03629">
        <w:t xml:space="preserve"> </w:t>
      </w:r>
      <w:r>
        <w:t>regions</w:t>
      </w:r>
      <w:r w:rsidR="00A03629">
        <w:t xml:space="preserve"> </w:t>
      </w:r>
      <w:r>
        <w:t>are</w:t>
      </w:r>
      <w:r w:rsidR="00A03629">
        <w:t xml:space="preserve"> </w:t>
      </w:r>
      <w:r>
        <w:t>developed</w:t>
      </w:r>
      <w:r w:rsidR="00A03629">
        <w:t xml:space="preserve"> </w:t>
      </w:r>
      <w:r>
        <w:t>to</w:t>
      </w:r>
      <w:r w:rsidR="00A03629">
        <w:t xml:space="preserve"> </w:t>
      </w:r>
      <w:r>
        <w:t>create</w:t>
      </w:r>
      <w:r w:rsidR="00A03629">
        <w:t xml:space="preserve"> </w:t>
      </w:r>
      <w:r>
        <w:t>places</w:t>
      </w:r>
      <w:r w:rsidR="00A03629">
        <w:t xml:space="preserve"> </w:t>
      </w:r>
      <w:r>
        <w:t>where</w:t>
      </w:r>
      <w:r w:rsidR="00A03629">
        <w:t xml:space="preserve"> </w:t>
      </w:r>
      <w:r>
        <w:t>all</w:t>
      </w:r>
      <w:r w:rsidR="00A03629">
        <w:t xml:space="preserve"> </w:t>
      </w:r>
      <w:r>
        <w:t>Victorians</w:t>
      </w:r>
      <w:r w:rsidR="00A03629">
        <w:t xml:space="preserve"> </w:t>
      </w:r>
      <w:r>
        <w:t>have</w:t>
      </w:r>
      <w:r w:rsidR="00A03629">
        <w:t xml:space="preserve"> </w:t>
      </w:r>
      <w:r>
        <w:t>an</w:t>
      </w:r>
      <w:r w:rsidR="00A03629">
        <w:t xml:space="preserve"> </w:t>
      </w:r>
      <w:r>
        <w:t>opportunity</w:t>
      </w:r>
      <w:r w:rsidR="00A03629">
        <w:t xml:space="preserve"> </w:t>
      </w:r>
      <w:r>
        <w:t>to</w:t>
      </w:r>
      <w:r w:rsidR="00A03629">
        <w:t xml:space="preserve"> </w:t>
      </w:r>
      <w:r>
        <w:t>participate</w:t>
      </w:r>
      <w:r w:rsidR="00A03629">
        <w:t xml:space="preserve"> </w:t>
      </w:r>
      <w:r>
        <w:t>in</w:t>
      </w:r>
      <w:r w:rsidR="00A03629">
        <w:t xml:space="preserve"> </w:t>
      </w:r>
      <w:r>
        <w:t>communities</w:t>
      </w:r>
      <w:r w:rsidR="00A03629">
        <w:t xml:space="preserve"> </w:t>
      </w:r>
      <w:r>
        <w:t>that</w:t>
      </w:r>
      <w:r w:rsidR="00A03629">
        <w:t xml:space="preserve"> </w:t>
      </w:r>
      <w:r>
        <w:t>are</w:t>
      </w:r>
      <w:r w:rsidR="00A03629">
        <w:t xml:space="preserve"> </w:t>
      </w:r>
      <w:r>
        <w:t>well-connected,</w:t>
      </w:r>
      <w:r w:rsidR="00A03629">
        <w:t xml:space="preserve"> </w:t>
      </w:r>
      <w:r>
        <w:t>prosperous,</w:t>
      </w:r>
      <w:r w:rsidR="00A03629">
        <w:t xml:space="preserve"> </w:t>
      </w:r>
      <w:proofErr w:type="gramStart"/>
      <w:r>
        <w:t>vibrant</w:t>
      </w:r>
      <w:proofErr w:type="gramEnd"/>
      <w:r w:rsidR="00A03629">
        <w:t xml:space="preserve"> </w:t>
      </w:r>
      <w:r>
        <w:t>and</w:t>
      </w:r>
      <w:r w:rsidR="00A03629">
        <w:t xml:space="preserve"> </w:t>
      </w:r>
      <w:r>
        <w:t>diverse.</w:t>
      </w:r>
      <w:r w:rsidR="00A03629">
        <w:t xml:space="preserve"> </w:t>
      </w:r>
      <w:r>
        <w:t>This</w:t>
      </w:r>
      <w:r w:rsidR="00A03629">
        <w:t xml:space="preserve"> </w:t>
      </w:r>
      <w:r>
        <w:t>objective</w:t>
      </w:r>
      <w:r w:rsidR="00A03629">
        <w:t xml:space="preserve"> </w:t>
      </w:r>
      <w:r>
        <w:t>also</w:t>
      </w:r>
      <w:r w:rsidR="00A03629">
        <w:t xml:space="preserve"> </w:t>
      </w:r>
      <w:r>
        <w:t>supports</w:t>
      </w:r>
      <w:r w:rsidR="00A03629">
        <w:t xml:space="preserve"> </w:t>
      </w:r>
      <w:r>
        <w:t>the</w:t>
      </w:r>
      <w:r w:rsidR="00A03629">
        <w:t xml:space="preserve"> </w:t>
      </w:r>
      <w:r>
        <w:t>development</w:t>
      </w:r>
      <w:r w:rsidR="00A03629">
        <w:t xml:space="preserve"> </w:t>
      </w:r>
      <w:r>
        <w:t>of</w:t>
      </w:r>
      <w:r w:rsidR="00A03629">
        <w:t xml:space="preserve"> </w:t>
      </w:r>
      <w:r>
        <w:t>sustainable</w:t>
      </w:r>
      <w:r w:rsidR="00A03629">
        <w:t xml:space="preserve"> </w:t>
      </w:r>
      <w:r>
        <w:t>game</w:t>
      </w:r>
      <w:r w:rsidR="00A03629">
        <w:t xml:space="preserve"> </w:t>
      </w:r>
      <w:r>
        <w:t>hunting,</w:t>
      </w:r>
      <w:r w:rsidR="00A03629">
        <w:t xml:space="preserve"> </w:t>
      </w:r>
      <w:r>
        <w:t>fishing</w:t>
      </w:r>
      <w:r w:rsidR="00A03629">
        <w:t xml:space="preserve"> </w:t>
      </w:r>
      <w:r>
        <w:t>and</w:t>
      </w:r>
      <w:r w:rsidR="00A03629">
        <w:t xml:space="preserve"> </w:t>
      </w:r>
      <w:r>
        <w:t>aquaculture</w:t>
      </w:r>
      <w:r w:rsidR="00A03629">
        <w:t xml:space="preserve"> </w:t>
      </w:r>
      <w:r>
        <w:t>activities</w:t>
      </w:r>
      <w:r w:rsidR="00A03629">
        <w:t xml:space="preserve"> </w:t>
      </w:r>
      <w:r>
        <w:t>in</w:t>
      </w:r>
      <w:r w:rsidR="00A03629">
        <w:t xml:space="preserve"> </w:t>
      </w:r>
      <w:r>
        <w:t>Victoria</w:t>
      </w:r>
      <w:r w:rsidR="00A03629">
        <w:t xml:space="preserve"> </w:t>
      </w:r>
      <w:r>
        <w:t>and</w:t>
      </w:r>
      <w:r w:rsidR="00A03629">
        <w:t xml:space="preserve"> </w:t>
      </w:r>
      <w:r>
        <w:t>the</w:t>
      </w:r>
      <w:r w:rsidR="00A03629">
        <w:t xml:space="preserve"> </w:t>
      </w:r>
      <w:r>
        <w:t>delivery</w:t>
      </w:r>
      <w:r w:rsidR="00A03629">
        <w:t xml:space="preserve"> </w:t>
      </w:r>
      <w:r>
        <w:t>of</w:t>
      </w:r>
      <w:r w:rsidR="00A03629">
        <w:t xml:space="preserve"> </w:t>
      </w:r>
      <w:r>
        <w:t>improved</w:t>
      </w:r>
      <w:r w:rsidR="00A03629">
        <w:t xml:space="preserve"> </w:t>
      </w:r>
      <w:r>
        <w:t>recreational</w:t>
      </w:r>
      <w:r w:rsidR="00A03629">
        <w:t xml:space="preserve"> </w:t>
      </w:r>
      <w:r>
        <w:t>fishing</w:t>
      </w:r>
      <w:r w:rsidR="00A03629">
        <w:t xml:space="preserve"> </w:t>
      </w:r>
      <w:r>
        <w:t>and</w:t>
      </w:r>
      <w:r w:rsidR="00A03629">
        <w:t xml:space="preserve"> </w:t>
      </w:r>
      <w:r>
        <w:t>boating</w:t>
      </w:r>
      <w:r w:rsidR="00A03629">
        <w:t xml:space="preserve"> </w:t>
      </w:r>
      <w:r>
        <w:t>services</w:t>
      </w:r>
      <w:r w:rsidR="00A03629">
        <w:t xml:space="preserve"> </w:t>
      </w:r>
      <w:r>
        <w:t>and</w:t>
      </w:r>
      <w:r w:rsidR="00A03629">
        <w:t xml:space="preserve"> </w:t>
      </w:r>
      <w:r>
        <w:t>facilities.</w:t>
      </w:r>
    </w:p>
    <w:p w14:paraId="1AD8575A" w14:textId="501F04D3" w:rsidR="000756EB" w:rsidRDefault="004A4D88" w:rsidP="00095903">
      <w:r>
        <w:t>The</w:t>
      </w:r>
      <w:r w:rsidR="00A03629">
        <w:t xml:space="preserve"> </w:t>
      </w:r>
      <w:r>
        <w:t>Fishing,</w:t>
      </w:r>
      <w:r w:rsidR="00A03629">
        <w:t xml:space="preserve"> </w:t>
      </w:r>
      <w:r>
        <w:t>Boating</w:t>
      </w:r>
      <w:r w:rsidR="00A03629">
        <w:t xml:space="preserve"> </w:t>
      </w:r>
      <w:r>
        <w:t>and</w:t>
      </w:r>
      <w:r w:rsidR="00A03629">
        <w:t xml:space="preserve"> </w:t>
      </w:r>
      <w:r>
        <w:t>Game</w:t>
      </w:r>
      <w:r w:rsidR="00A03629">
        <w:t xml:space="preserve"> </w:t>
      </w:r>
      <w:r>
        <w:t>Management</w:t>
      </w:r>
      <w:r w:rsidR="00A03629">
        <w:t xml:space="preserve"> </w:t>
      </w:r>
      <w:r>
        <w:t>output</w:t>
      </w:r>
      <w:r w:rsidR="00A03629">
        <w:t xml:space="preserve"> </w:t>
      </w:r>
      <w:r>
        <w:t>creates</w:t>
      </w:r>
      <w:r w:rsidR="00A03629">
        <w:t xml:space="preserve"> </w:t>
      </w:r>
      <w:r>
        <w:t>the</w:t>
      </w:r>
      <w:r w:rsidR="00A03629">
        <w:t xml:space="preserve"> </w:t>
      </w:r>
      <w:r>
        <w:t>conditions</w:t>
      </w:r>
      <w:r w:rsidR="00A03629">
        <w:t xml:space="preserve"> </w:t>
      </w:r>
      <w:r>
        <w:t>to</w:t>
      </w:r>
      <w:r w:rsidR="00A03629">
        <w:t xml:space="preserve"> </w:t>
      </w:r>
      <w:r>
        <w:t>ensure</w:t>
      </w:r>
      <w:r w:rsidR="00A03629">
        <w:t xml:space="preserve"> </w:t>
      </w:r>
      <w:r>
        <w:t>Victoria’s</w:t>
      </w:r>
      <w:r w:rsidR="00A03629">
        <w:t xml:space="preserve"> </w:t>
      </w:r>
      <w:r>
        <w:t>fisheries</w:t>
      </w:r>
      <w:r w:rsidR="00A03629">
        <w:t xml:space="preserve"> </w:t>
      </w:r>
      <w:r>
        <w:t>and</w:t>
      </w:r>
      <w:r w:rsidR="00A03629">
        <w:t xml:space="preserve"> </w:t>
      </w:r>
      <w:r>
        <w:t>game</w:t>
      </w:r>
      <w:r w:rsidR="00A03629">
        <w:t xml:space="preserve"> </w:t>
      </w:r>
      <w:r>
        <w:t>resources</w:t>
      </w:r>
      <w:r w:rsidR="00A03629">
        <w:t xml:space="preserve"> </w:t>
      </w:r>
      <w:r>
        <w:t>are</w:t>
      </w:r>
      <w:r w:rsidR="00A03629">
        <w:t xml:space="preserve"> </w:t>
      </w:r>
      <w:r>
        <w:t>sustainably</w:t>
      </w:r>
      <w:r w:rsidR="00A03629">
        <w:t xml:space="preserve"> </w:t>
      </w:r>
      <w:r>
        <w:t>used</w:t>
      </w:r>
      <w:r w:rsidR="00A03629">
        <w:t xml:space="preserve"> </w:t>
      </w:r>
      <w:r>
        <w:t>for</w:t>
      </w:r>
      <w:r w:rsidR="00A03629">
        <w:t xml:space="preserve"> </w:t>
      </w:r>
      <w:r>
        <w:t>both</w:t>
      </w:r>
      <w:r w:rsidR="00A03629">
        <w:t xml:space="preserve"> </w:t>
      </w:r>
      <w:r>
        <w:t>recreational</w:t>
      </w:r>
      <w:r w:rsidR="00A03629">
        <w:t xml:space="preserve"> </w:t>
      </w:r>
      <w:r>
        <w:t>and</w:t>
      </w:r>
      <w:r w:rsidR="00A03629">
        <w:t xml:space="preserve"> </w:t>
      </w:r>
      <w:r>
        <w:t>commercial</w:t>
      </w:r>
      <w:r w:rsidR="00A03629">
        <w:t xml:space="preserve"> </w:t>
      </w:r>
      <w:r>
        <w:t>purposes.</w:t>
      </w:r>
      <w:r w:rsidR="00A03629">
        <w:t xml:space="preserve"> </w:t>
      </w:r>
      <w:r>
        <w:t>This</w:t>
      </w:r>
      <w:r w:rsidR="00A03629">
        <w:t xml:space="preserve"> </w:t>
      </w:r>
      <w:r>
        <w:t>output</w:t>
      </w:r>
      <w:r w:rsidR="00A03629">
        <w:t xml:space="preserve"> </w:t>
      </w:r>
      <w:r>
        <w:t>delivers</w:t>
      </w:r>
      <w:r w:rsidR="00A03629">
        <w:t xml:space="preserve"> </w:t>
      </w:r>
      <w:r>
        <w:t>improved</w:t>
      </w:r>
      <w:r w:rsidR="00A03629">
        <w:t xml:space="preserve"> </w:t>
      </w:r>
      <w:r>
        <w:t>recreational</w:t>
      </w:r>
      <w:r w:rsidR="00A03629">
        <w:t xml:space="preserve"> </w:t>
      </w:r>
      <w:r>
        <w:t>boating</w:t>
      </w:r>
      <w:r w:rsidR="00A03629">
        <w:t xml:space="preserve"> </w:t>
      </w:r>
      <w:r>
        <w:t>and</w:t>
      </w:r>
      <w:r w:rsidR="00A03629">
        <w:t xml:space="preserve"> </w:t>
      </w:r>
      <w:r>
        <w:t>fishing</w:t>
      </w:r>
      <w:r w:rsidR="00A03629">
        <w:t xml:space="preserve"> </w:t>
      </w:r>
      <w:r>
        <w:t>services</w:t>
      </w:r>
      <w:r w:rsidR="00A03629">
        <w:t xml:space="preserve"> </w:t>
      </w:r>
      <w:r>
        <w:t>and</w:t>
      </w:r>
      <w:r w:rsidR="00A03629">
        <w:t xml:space="preserve"> </w:t>
      </w:r>
      <w:r>
        <w:t>facilities.</w:t>
      </w:r>
    </w:p>
    <w:p w14:paraId="789BD343" w14:textId="0A944111" w:rsidR="000756EB" w:rsidRDefault="004A4D88" w:rsidP="00095903">
      <w:r>
        <w:t>The</w:t>
      </w:r>
      <w:r w:rsidR="00A03629">
        <w:t xml:space="preserve"> </w:t>
      </w:r>
      <w:r>
        <w:t>Suburban</w:t>
      </w:r>
      <w:r w:rsidR="00A03629">
        <w:t xml:space="preserve"> </w:t>
      </w:r>
      <w:r>
        <w:t>Development</w:t>
      </w:r>
      <w:r w:rsidR="00A03629">
        <w:t xml:space="preserve"> </w:t>
      </w:r>
      <w:r>
        <w:t>output</w:t>
      </w:r>
      <w:r w:rsidR="00A03629">
        <w:t xml:space="preserve"> </w:t>
      </w:r>
      <w:r>
        <w:t>supports</w:t>
      </w:r>
      <w:r w:rsidR="00A03629">
        <w:t xml:space="preserve"> </w:t>
      </w:r>
      <w:r>
        <w:t>infrastructure</w:t>
      </w:r>
      <w:r w:rsidR="00A03629">
        <w:t xml:space="preserve"> </w:t>
      </w:r>
      <w:r>
        <w:t>and</w:t>
      </w:r>
      <w:r w:rsidR="00A03629">
        <w:t xml:space="preserve"> </w:t>
      </w:r>
      <w:r>
        <w:t>service</w:t>
      </w:r>
      <w:r w:rsidR="00A03629">
        <w:t xml:space="preserve"> </w:t>
      </w:r>
      <w:r>
        <w:t>provision</w:t>
      </w:r>
      <w:r w:rsidR="00A03629">
        <w:t xml:space="preserve"> </w:t>
      </w:r>
      <w:r>
        <w:t>to</w:t>
      </w:r>
      <w:r w:rsidR="00A03629">
        <w:t xml:space="preserve"> </w:t>
      </w:r>
      <w:r>
        <w:t>drive</w:t>
      </w:r>
      <w:r w:rsidR="00A03629">
        <w:t xml:space="preserve"> </w:t>
      </w:r>
      <w:r>
        <w:t>economic</w:t>
      </w:r>
      <w:r w:rsidR="00A03629">
        <w:t xml:space="preserve"> </w:t>
      </w:r>
      <w:r>
        <w:t>growth</w:t>
      </w:r>
      <w:r w:rsidR="00A03629">
        <w:t xml:space="preserve"> </w:t>
      </w:r>
      <w:r>
        <w:t>across</w:t>
      </w:r>
      <w:r w:rsidR="00A03629">
        <w:t xml:space="preserve"> </w:t>
      </w:r>
      <w:r>
        <w:t>metropolitan</w:t>
      </w:r>
      <w:r w:rsidR="00A03629">
        <w:t xml:space="preserve"> </w:t>
      </w:r>
      <w:r>
        <w:t>Melbourne,</w:t>
      </w:r>
      <w:r w:rsidR="00A03629">
        <w:t xml:space="preserve"> </w:t>
      </w:r>
      <w:r>
        <w:t>in</w:t>
      </w:r>
      <w:r w:rsidR="00A03629">
        <w:t xml:space="preserve"> </w:t>
      </w:r>
      <w:r>
        <w:t>partnership</w:t>
      </w:r>
      <w:r w:rsidR="00A03629">
        <w:t xml:space="preserve"> </w:t>
      </w:r>
      <w:r>
        <w:t>with</w:t>
      </w:r>
      <w:r w:rsidR="00A03629">
        <w:t xml:space="preserve"> </w:t>
      </w:r>
      <w:r>
        <w:t>local</w:t>
      </w:r>
      <w:r w:rsidR="00A03629">
        <w:t xml:space="preserve"> </w:t>
      </w:r>
      <w:r>
        <w:t>councils,</w:t>
      </w:r>
      <w:r w:rsidR="00A03629">
        <w:t xml:space="preserve"> </w:t>
      </w:r>
      <w:r>
        <w:t>business,</w:t>
      </w:r>
      <w:r w:rsidR="00A03629">
        <w:t xml:space="preserve"> </w:t>
      </w:r>
      <w:r>
        <w:t>community</w:t>
      </w:r>
      <w:r w:rsidR="00A03629">
        <w:t xml:space="preserve"> </w:t>
      </w:r>
      <w:r>
        <w:t>organisations</w:t>
      </w:r>
      <w:r w:rsidR="00A03629">
        <w:t xml:space="preserve"> </w:t>
      </w:r>
      <w:r>
        <w:t>and</w:t>
      </w:r>
      <w:r w:rsidR="00A03629">
        <w:t xml:space="preserve"> </w:t>
      </w:r>
      <w:r>
        <w:t>other</w:t>
      </w:r>
      <w:r w:rsidR="00A03629">
        <w:t xml:space="preserve"> </w:t>
      </w:r>
      <w:r>
        <w:t>government</w:t>
      </w:r>
      <w:r w:rsidR="00A03629">
        <w:t xml:space="preserve"> </w:t>
      </w:r>
      <w:r>
        <w:t>departments.</w:t>
      </w:r>
      <w:r w:rsidR="00A03629">
        <w:t xml:space="preserve"> </w:t>
      </w:r>
      <w:r>
        <w:t>DJSIR</w:t>
      </w:r>
      <w:r w:rsidR="00A03629">
        <w:t xml:space="preserve"> </w:t>
      </w:r>
      <w:r>
        <w:t>also</w:t>
      </w:r>
      <w:r w:rsidR="00A03629">
        <w:t xml:space="preserve"> </w:t>
      </w:r>
      <w:r>
        <w:t>delivers</w:t>
      </w:r>
      <w:r w:rsidR="00A03629">
        <w:t xml:space="preserve"> </w:t>
      </w:r>
      <w:r>
        <w:t>targeted</w:t>
      </w:r>
      <w:r w:rsidR="00A03629">
        <w:t xml:space="preserve"> </w:t>
      </w:r>
      <w:r>
        <w:t>local</w:t>
      </w:r>
      <w:r w:rsidR="00A03629">
        <w:t xml:space="preserve"> </w:t>
      </w:r>
      <w:r>
        <w:t>outcomes</w:t>
      </w:r>
      <w:r w:rsidR="00A03629">
        <w:t xml:space="preserve"> </w:t>
      </w:r>
      <w:r>
        <w:t>in</w:t>
      </w:r>
      <w:r w:rsidR="00A03629">
        <w:t xml:space="preserve"> </w:t>
      </w:r>
      <w:r>
        <w:t>consultation</w:t>
      </w:r>
      <w:r w:rsidR="00A03629">
        <w:t xml:space="preserve"> </w:t>
      </w:r>
      <w:r>
        <w:t>with</w:t>
      </w:r>
      <w:r w:rsidR="00A03629">
        <w:t xml:space="preserve"> </w:t>
      </w:r>
      <w:r>
        <w:t>local</w:t>
      </w:r>
      <w:r w:rsidR="00A03629">
        <w:t xml:space="preserve"> </w:t>
      </w:r>
      <w:r>
        <w:t>communities</w:t>
      </w:r>
      <w:r w:rsidR="00A03629">
        <w:t xml:space="preserve"> </w:t>
      </w:r>
      <w:r>
        <w:t>through</w:t>
      </w:r>
      <w:r w:rsidR="00A03629">
        <w:t xml:space="preserve"> </w:t>
      </w:r>
      <w:r>
        <w:t>the</w:t>
      </w:r>
      <w:r w:rsidR="00A03629">
        <w:t xml:space="preserve"> </w:t>
      </w:r>
      <w:r>
        <w:t>Suburban</w:t>
      </w:r>
      <w:r w:rsidR="00A03629">
        <w:t xml:space="preserve"> </w:t>
      </w:r>
      <w:r>
        <w:t>Revitalisation</w:t>
      </w:r>
      <w:r w:rsidR="00A03629">
        <w:t xml:space="preserve"> </w:t>
      </w:r>
      <w:r>
        <w:t>Boards.</w:t>
      </w:r>
    </w:p>
    <w:p w14:paraId="0D049AB1" w14:textId="05BC673E" w:rsidR="000756EB" w:rsidRDefault="004A4D88" w:rsidP="00095903">
      <w:r>
        <w:t>The</w:t>
      </w:r>
      <w:r w:rsidR="00A03629">
        <w:t xml:space="preserve"> </w:t>
      </w:r>
      <w:r>
        <w:t>Regional</w:t>
      </w:r>
      <w:r w:rsidR="00A03629">
        <w:t xml:space="preserve"> </w:t>
      </w:r>
      <w:r>
        <w:t>Development</w:t>
      </w:r>
      <w:r w:rsidR="00A03629">
        <w:t xml:space="preserve"> </w:t>
      </w:r>
      <w:r>
        <w:t>output</w:t>
      </w:r>
      <w:r w:rsidR="00A03629">
        <w:t xml:space="preserve"> </w:t>
      </w:r>
      <w:r>
        <w:t>guides</w:t>
      </w:r>
      <w:r w:rsidR="00A03629">
        <w:t xml:space="preserve"> </w:t>
      </w:r>
      <w:r>
        <w:t>targeted</w:t>
      </w:r>
      <w:r w:rsidR="00A03629">
        <w:t xml:space="preserve"> </w:t>
      </w:r>
      <w:r>
        <w:t>placed</w:t>
      </w:r>
      <w:r w:rsidR="00A03629">
        <w:t xml:space="preserve"> </w:t>
      </w:r>
      <w:r>
        <w:t>based</w:t>
      </w:r>
      <w:r w:rsidR="00A03629">
        <w:t xml:space="preserve"> </w:t>
      </w:r>
      <w:r>
        <w:t>services</w:t>
      </w:r>
      <w:r w:rsidR="00A03629">
        <w:t xml:space="preserve"> </w:t>
      </w:r>
      <w:r>
        <w:t>and</w:t>
      </w:r>
      <w:r w:rsidR="00A03629">
        <w:t xml:space="preserve"> </w:t>
      </w:r>
      <w:r>
        <w:t>engagement</w:t>
      </w:r>
      <w:r w:rsidR="00A03629">
        <w:t xml:space="preserve"> </w:t>
      </w:r>
      <w:r>
        <w:t>with</w:t>
      </w:r>
      <w:r w:rsidR="00A03629">
        <w:t xml:space="preserve"> </w:t>
      </w:r>
      <w:r>
        <w:t>industry,</w:t>
      </w:r>
      <w:r w:rsidR="00A03629">
        <w:t xml:space="preserve"> </w:t>
      </w:r>
      <w:r>
        <w:t>communities,</w:t>
      </w:r>
      <w:r w:rsidR="00A03629">
        <w:t xml:space="preserve"> </w:t>
      </w:r>
      <w:r>
        <w:t>local</w:t>
      </w:r>
      <w:r w:rsidR="00A03629">
        <w:t xml:space="preserve"> </w:t>
      </w:r>
      <w:proofErr w:type="gramStart"/>
      <w:r>
        <w:t>councils</w:t>
      </w:r>
      <w:proofErr w:type="gramEnd"/>
      <w:r w:rsidR="00A03629">
        <w:t xml:space="preserve"> </w:t>
      </w:r>
      <w:r>
        <w:t>and</w:t>
      </w:r>
      <w:r w:rsidR="00A03629">
        <w:t xml:space="preserve"> </w:t>
      </w:r>
      <w:r>
        <w:t>government</w:t>
      </w:r>
      <w:r w:rsidR="00A03629">
        <w:t xml:space="preserve"> </w:t>
      </w:r>
      <w:r>
        <w:t>departments,</w:t>
      </w:r>
      <w:r w:rsidR="00A03629">
        <w:t xml:space="preserve"> </w:t>
      </w:r>
      <w:r>
        <w:t>to</w:t>
      </w:r>
      <w:r w:rsidR="00A03629">
        <w:t xml:space="preserve"> </w:t>
      </w:r>
      <w:r>
        <w:t>enable</w:t>
      </w:r>
      <w:r w:rsidR="00A03629">
        <w:t xml:space="preserve"> </w:t>
      </w:r>
      <w:r>
        <w:t>and</w:t>
      </w:r>
      <w:r w:rsidR="00A03629">
        <w:t xml:space="preserve"> </w:t>
      </w:r>
      <w:r>
        <w:t>support</w:t>
      </w:r>
      <w:r w:rsidR="00A03629">
        <w:t xml:space="preserve"> </w:t>
      </w:r>
      <w:r>
        <w:t>economic</w:t>
      </w:r>
      <w:r w:rsidR="00A03629">
        <w:t xml:space="preserve"> </w:t>
      </w:r>
      <w:r>
        <w:t>growth.</w:t>
      </w:r>
      <w:r w:rsidR="00A03629">
        <w:t xml:space="preserve"> </w:t>
      </w:r>
      <w:r>
        <w:t>This</w:t>
      </w:r>
      <w:r w:rsidR="00A03629">
        <w:t xml:space="preserve"> </w:t>
      </w:r>
      <w:r>
        <w:t>includes</w:t>
      </w:r>
      <w:r w:rsidR="00A03629">
        <w:t xml:space="preserve"> </w:t>
      </w:r>
      <w:r>
        <w:t>facilitating</w:t>
      </w:r>
      <w:r w:rsidR="00A03629">
        <w:t xml:space="preserve"> </w:t>
      </w:r>
      <w:r>
        <w:t>job</w:t>
      </w:r>
      <w:r w:rsidR="00A03629">
        <w:t xml:space="preserve"> </w:t>
      </w:r>
      <w:r>
        <w:t>growth,</w:t>
      </w:r>
      <w:r w:rsidR="00A03629">
        <w:t xml:space="preserve"> </w:t>
      </w:r>
      <w:r>
        <w:t>infrastructure</w:t>
      </w:r>
      <w:r w:rsidR="00A03629">
        <w:t xml:space="preserve"> </w:t>
      </w:r>
      <w:r>
        <w:t>and</w:t>
      </w:r>
      <w:r w:rsidR="00A03629">
        <w:t xml:space="preserve"> </w:t>
      </w:r>
      <w:r>
        <w:t>new</w:t>
      </w:r>
      <w:r w:rsidR="00A03629">
        <w:t xml:space="preserve"> </w:t>
      </w:r>
      <w:r>
        <w:t>investment</w:t>
      </w:r>
      <w:r w:rsidR="00A03629">
        <w:t xml:space="preserve"> </w:t>
      </w:r>
      <w:r>
        <w:t>in</w:t>
      </w:r>
      <w:r w:rsidR="00A03629">
        <w:t xml:space="preserve"> </w:t>
      </w:r>
      <w:r>
        <w:t>regional</w:t>
      </w:r>
      <w:r w:rsidR="00A03629">
        <w:t xml:space="preserve"> </w:t>
      </w:r>
      <w:r>
        <w:t>Victoria</w:t>
      </w:r>
      <w:r w:rsidR="00A03629">
        <w:t xml:space="preserve"> </w:t>
      </w:r>
      <w:r>
        <w:t>and</w:t>
      </w:r>
      <w:r w:rsidR="00A03629">
        <w:t xml:space="preserve"> </w:t>
      </w:r>
      <w:r>
        <w:t>enhancing</w:t>
      </w:r>
      <w:r w:rsidR="00A03629">
        <w:t xml:space="preserve"> </w:t>
      </w:r>
      <w:r>
        <w:t>the</w:t>
      </w:r>
      <w:r w:rsidR="00A03629">
        <w:t xml:space="preserve"> </w:t>
      </w:r>
      <w:r>
        <w:t>liveability</w:t>
      </w:r>
      <w:r w:rsidR="00A03629">
        <w:t xml:space="preserve"> </w:t>
      </w:r>
      <w:r>
        <w:t>of</w:t>
      </w:r>
      <w:r w:rsidR="00A03629">
        <w:rPr>
          <w:rFonts w:ascii="Cambria" w:hAnsi="Cambria" w:cs="Cambria"/>
        </w:rPr>
        <w:t xml:space="preserve"> </w:t>
      </w:r>
      <w:r>
        <w:t>Victoria’s</w:t>
      </w:r>
      <w:r w:rsidR="00A03629">
        <w:t xml:space="preserve"> </w:t>
      </w:r>
      <w:r>
        <w:t>regional</w:t>
      </w:r>
      <w:r w:rsidR="00A03629">
        <w:t xml:space="preserve"> </w:t>
      </w:r>
      <w:r>
        <w:t>cities</w:t>
      </w:r>
      <w:r w:rsidR="00A03629">
        <w:t xml:space="preserve"> </w:t>
      </w:r>
      <w:r>
        <w:t>and</w:t>
      </w:r>
      <w:r w:rsidR="00A03629">
        <w:t xml:space="preserve"> </w:t>
      </w:r>
      <w:r>
        <w:t>towns.</w:t>
      </w:r>
    </w:p>
    <w:p w14:paraId="04AF3AC4" w14:textId="32125E72" w:rsidR="000756EB" w:rsidRPr="00095903" w:rsidRDefault="004A4D88" w:rsidP="00095903">
      <w:pPr>
        <w:pStyle w:val="Normalbeforebullets"/>
        <w:rPr>
          <w:b/>
          <w:bCs/>
        </w:rPr>
      </w:pPr>
      <w:r w:rsidRPr="00095903">
        <w:rPr>
          <w:b/>
          <w:bCs/>
        </w:rPr>
        <w:t>Grow</w:t>
      </w:r>
      <w:r w:rsidR="00A03629" w:rsidRPr="00095903">
        <w:rPr>
          <w:b/>
          <w:bCs/>
        </w:rPr>
        <w:t xml:space="preserve"> </w:t>
      </w:r>
      <w:r w:rsidRPr="00095903">
        <w:rPr>
          <w:b/>
          <w:bCs/>
        </w:rPr>
        <w:t>vibrant,</w:t>
      </w:r>
      <w:r w:rsidR="00A03629" w:rsidRPr="00095903">
        <w:rPr>
          <w:b/>
          <w:bCs/>
        </w:rPr>
        <w:t xml:space="preserve"> </w:t>
      </w:r>
      <w:proofErr w:type="gramStart"/>
      <w:r w:rsidRPr="00095903">
        <w:rPr>
          <w:b/>
          <w:bCs/>
        </w:rPr>
        <w:t>active</w:t>
      </w:r>
      <w:proofErr w:type="gramEnd"/>
      <w:r w:rsidR="00A03629" w:rsidRPr="00095903">
        <w:rPr>
          <w:b/>
          <w:bCs/>
        </w:rPr>
        <w:t xml:space="preserve"> </w:t>
      </w:r>
      <w:r w:rsidRPr="00095903">
        <w:rPr>
          <w:b/>
          <w:bCs/>
        </w:rPr>
        <w:t>and</w:t>
      </w:r>
      <w:r w:rsidR="00A03629" w:rsidRPr="00095903">
        <w:rPr>
          <w:b/>
          <w:bCs/>
        </w:rPr>
        <w:t xml:space="preserve"> </w:t>
      </w:r>
      <w:r w:rsidRPr="00095903">
        <w:rPr>
          <w:b/>
          <w:bCs/>
        </w:rPr>
        <w:t>creative</w:t>
      </w:r>
      <w:r w:rsidR="00A03629" w:rsidRPr="00095903">
        <w:rPr>
          <w:rFonts w:ascii="Cambria" w:hAnsi="Cambria" w:cs="Cambria"/>
          <w:b/>
          <w:bCs/>
        </w:rPr>
        <w:t xml:space="preserve"> </w:t>
      </w:r>
      <w:r w:rsidRPr="00095903">
        <w:rPr>
          <w:b/>
          <w:bCs/>
        </w:rPr>
        <w:t>communities</w:t>
      </w:r>
    </w:p>
    <w:p w14:paraId="516E2919" w14:textId="01A9E47A" w:rsidR="000756EB" w:rsidRDefault="004A4D88" w:rsidP="00095903">
      <w:r>
        <w:t>This</w:t>
      </w:r>
      <w:r w:rsidR="00A03629">
        <w:t xml:space="preserve"> </w:t>
      </w:r>
      <w:r>
        <w:t>objective</w:t>
      </w:r>
      <w:r w:rsidR="00A03629">
        <w:t xml:space="preserve"> </w:t>
      </w:r>
      <w:r>
        <w:t>seeks</w:t>
      </w:r>
      <w:r w:rsidR="00A03629">
        <w:t xml:space="preserve"> </w:t>
      </w:r>
      <w:r>
        <w:t>to</w:t>
      </w:r>
      <w:r w:rsidR="00A03629">
        <w:t xml:space="preserve"> </w:t>
      </w:r>
      <w:r>
        <w:t>increase</w:t>
      </w:r>
      <w:r w:rsidR="00A03629">
        <w:t xml:space="preserve"> </w:t>
      </w:r>
      <w:r>
        <w:t>the</w:t>
      </w:r>
      <w:r w:rsidR="00A03629">
        <w:t xml:space="preserve"> </w:t>
      </w:r>
      <w:r>
        <w:t>economic,</w:t>
      </w:r>
      <w:r w:rsidR="00A03629">
        <w:t xml:space="preserve"> </w:t>
      </w:r>
      <w:proofErr w:type="gramStart"/>
      <w:r>
        <w:t>social</w:t>
      </w:r>
      <w:proofErr w:type="gramEnd"/>
      <w:r w:rsidR="00A03629">
        <w:t xml:space="preserve"> </w:t>
      </w:r>
      <w:r>
        <w:t>and</w:t>
      </w:r>
      <w:r w:rsidR="00A03629">
        <w:t xml:space="preserve"> </w:t>
      </w:r>
      <w:r>
        <w:t>cultural</w:t>
      </w:r>
      <w:r w:rsidR="00A03629">
        <w:t xml:space="preserve"> </w:t>
      </w:r>
      <w:r>
        <w:t>value</w:t>
      </w:r>
      <w:r w:rsidR="00A03629">
        <w:t xml:space="preserve"> </w:t>
      </w:r>
      <w:r>
        <w:t>of</w:t>
      </w:r>
      <w:r w:rsidR="00A03629">
        <w:t xml:space="preserve"> </w:t>
      </w:r>
      <w:r>
        <w:t>the</w:t>
      </w:r>
      <w:r w:rsidR="00A03629">
        <w:t xml:space="preserve"> </w:t>
      </w:r>
      <w:r>
        <w:t>creative,</w:t>
      </w:r>
      <w:r w:rsidR="00A03629">
        <w:t xml:space="preserve"> </w:t>
      </w:r>
      <w:r>
        <w:t>sport</w:t>
      </w:r>
      <w:r w:rsidR="00A03629">
        <w:t xml:space="preserve"> </w:t>
      </w:r>
      <w:r>
        <w:t>and</w:t>
      </w:r>
      <w:r w:rsidR="00A03629">
        <w:t xml:space="preserve"> </w:t>
      </w:r>
      <w:r>
        <w:t>recreation</w:t>
      </w:r>
      <w:r w:rsidR="00A03629">
        <w:t xml:space="preserve"> </w:t>
      </w:r>
      <w:r>
        <w:t>industries</w:t>
      </w:r>
      <w:r w:rsidR="00A03629">
        <w:t xml:space="preserve"> </w:t>
      </w:r>
      <w:r>
        <w:t>to</w:t>
      </w:r>
      <w:r w:rsidR="00A03629">
        <w:t xml:space="preserve"> </w:t>
      </w:r>
      <w:r>
        <w:t>Victoria,</w:t>
      </w:r>
      <w:r w:rsidR="00A03629">
        <w:t xml:space="preserve"> </w:t>
      </w:r>
      <w:r>
        <w:t>grow</w:t>
      </w:r>
      <w:r w:rsidR="00A03629">
        <w:t xml:space="preserve"> </w:t>
      </w:r>
      <w:r>
        <w:t>the</w:t>
      </w:r>
      <w:r w:rsidR="00A03629">
        <w:t xml:space="preserve"> </w:t>
      </w:r>
      <w:r>
        <w:t>number</w:t>
      </w:r>
      <w:r w:rsidR="00A03629">
        <w:t xml:space="preserve"> </w:t>
      </w:r>
      <w:r>
        <w:t>and</w:t>
      </w:r>
      <w:r w:rsidR="00A03629">
        <w:t xml:space="preserve"> </w:t>
      </w:r>
      <w:r>
        <w:t>yield</w:t>
      </w:r>
      <w:r w:rsidR="00A03629">
        <w:t xml:space="preserve"> </w:t>
      </w:r>
      <w:r>
        <w:t>of</w:t>
      </w:r>
      <w:r w:rsidR="00A03629">
        <w:t xml:space="preserve"> </w:t>
      </w:r>
      <w:r>
        <w:t>visitors,</w:t>
      </w:r>
      <w:r w:rsidR="00A03629">
        <w:t xml:space="preserve"> </w:t>
      </w:r>
      <w:r>
        <w:t>position</w:t>
      </w:r>
      <w:r w:rsidR="00A03629">
        <w:t xml:space="preserve"> </w:t>
      </w:r>
      <w:r>
        <w:t>Victoria</w:t>
      </w:r>
      <w:r w:rsidR="00A03629">
        <w:t xml:space="preserve"> </w:t>
      </w:r>
      <w:r>
        <w:t>as</w:t>
      </w:r>
      <w:r w:rsidR="00A03629">
        <w:t xml:space="preserve"> </w:t>
      </w:r>
      <w:r>
        <w:t>a</w:t>
      </w:r>
      <w:r w:rsidR="00A03629">
        <w:t xml:space="preserve"> </w:t>
      </w:r>
      <w:r>
        <w:t>major</w:t>
      </w:r>
      <w:r w:rsidR="00A03629">
        <w:t xml:space="preserve"> </w:t>
      </w:r>
      <w:r>
        <w:t>events</w:t>
      </w:r>
      <w:r w:rsidR="00A03629">
        <w:t xml:space="preserve"> </w:t>
      </w:r>
      <w:r>
        <w:t>destination,</w:t>
      </w:r>
      <w:r w:rsidR="00A03629">
        <w:t xml:space="preserve"> </w:t>
      </w:r>
      <w:r>
        <w:t>and</w:t>
      </w:r>
      <w:r w:rsidR="00A03629">
        <w:t xml:space="preserve"> </w:t>
      </w:r>
      <w:r>
        <w:t>ensure</w:t>
      </w:r>
      <w:r w:rsidR="00A03629">
        <w:t xml:space="preserve"> </w:t>
      </w:r>
      <w:r>
        <w:t>the</w:t>
      </w:r>
      <w:r w:rsidR="00A03629">
        <w:t xml:space="preserve"> </w:t>
      </w:r>
      <w:r>
        <w:t>best</w:t>
      </w:r>
      <w:r w:rsidR="00A03629">
        <w:t xml:space="preserve"> </w:t>
      </w:r>
      <w:r>
        <w:t>cultural</w:t>
      </w:r>
      <w:r w:rsidR="00A03629">
        <w:t xml:space="preserve"> </w:t>
      </w:r>
      <w:r>
        <w:t>and</w:t>
      </w:r>
      <w:r w:rsidR="00A03629">
        <w:rPr>
          <w:rFonts w:ascii="Cambria" w:hAnsi="Cambria" w:cs="Cambria"/>
        </w:rPr>
        <w:t xml:space="preserve"> </w:t>
      </w:r>
      <w:r>
        <w:t>sporting</w:t>
      </w:r>
      <w:r w:rsidR="00A03629">
        <w:t xml:space="preserve"> </w:t>
      </w:r>
      <w:r>
        <w:t>experiences</w:t>
      </w:r>
      <w:r w:rsidR="00A03629">
        <w:t xml:space="preserve"> </w:t>
      </w:r>
      <w:r>
        <w:t>are</w:t>
      </w:r>
      <w:r w:rsidR="00A03629">
        <w:t xml:space="preserve"> </w:t>
      </w:r>
      <w:r>
        <w:t>accessible</w:t>
      </w:r>
      <w:r w:rsidR="00A03629">
        <w:t xml:space="preserve"> </w:t>
      </w:r>
      <w:r>
        <w:t>to</w:t>
      </w:r>
      <w:r w:rsidR="00A03629">
        <w:rPr>
          <w:rFonts w:ascii="Cambria" w:hAnsi="Cambria" w:cs="Cambria"/>
        </w:rPr>
        <w:t xml:space="preserve"> </w:t>
      </w:r>
      <w:r>
        <w:t>everyone.</w:t>
      </w:r>
    </w:p>
    <w:p w14:paraId="0A2B9142" w14:textId="6A0805BD" w:rsidR="000756EB" w:rsidRDefault="004A4D88" w:rsidP="00095903">
      <w:r>
        <w:t>The</w:t>
      </w:r>
      <w:r w:rsidR="00A03629">
        <w:t xml:space="preserve"> </w:t>
      </w:r>
      <w:r>
        <w:t>Creative</w:t>
      </w:r>
      <w:r w:rsidR="00A03629">
        <w:t xml:space="preserve"> </w:t>
      </w:r>
      <w:r>
        <w:t>Industries</w:t>
      </w:r>
      <w:r w:rsidR="00A03629">
        <w:t xml:space="preserve"> </w:t>
      </w:r>
      <w:r>
        <w:t>Access,</w:t>
      </w:r>
      <w:r w:rsidR="00A03629">
        <w:t xml:space="preserve"> </w:t>
      </w:r>
      <w:r>
        <w:t>Development</w:t>
      </w:r>
      <w:r w:rsidR="00A03629">
        <w:t xml:space="preserve"> </w:t>
      </w:r>
      <w:r>
        <w:t>and</w:t>
      </w:r>
      <w:r w:rsidR="00A03629">
        <w:t xml:space="preserve"> </w:t>
      </w:r>
      <w:r>
        <w:t>Innovation</w:t>
      </w:r>
      <w:r w:rsidR="00A03629">
        <w:t xml:space="preserve"> </w:t>
      </w:r>
      <w:r>
        <w:t>output</w:t>
      </w:r>
      <w:r w:rsidR="00A03629">
        <w:t xml:space="preserve"> </w:t>
      </w:r>
      <w:r>
        <w:t>supports</w:t>
      </w:r>
      <w:r w:rsidR="00A03629">
        <w:t xml:space="preserve"> </w:t>
      </w:r>
      <w:r>
        <w:t>the</w:t>
      </w:r>
      <w:r w:rsidR="00A03629">
        <w:t xml:space="preserve"> </w:t>
      </w:r>
      <w:r>
        <w:t>creative</w:t>
      </w:r>
      <w:r w:rsidR="00A03629">
        <w:t xml:space="preserve"> </w:t>
      </w:r>
      <w:r>
        <w:t>industries</w:t>
      </w:r>
      <w:r w:rsidR="00A03629">
        <w:t xml:space="preserve"> </w:t>
      </w:r>
      <w:r>
        <w:t>to</w:t>
      </w:r>
      <w:r w:rsidR="00A03629">
        <w:t xml:space="preserve"> </w:t>
      </w:r>
      <w:r>
        <w:t>deliver</w:t>
      </w:r>
      <w:r w:rsidR="00A03629">
        <w:t xml:space="preserve"> </w:t>
      </w:r>
      <w:r>
        <w:t>economic,</w:t>
      </w:r>
      <w:r w:rsidR="00A03629">
        <w:t xml:space="preserve"> </w:t>
      </w:r>
      <w:proofErr w:type="gramStart"/>
      <w:r>
        <w:t>social</w:t>
      </w:r>
      <w:proofErr w:type="gramEnd"/>
      <w:r w:rsidR="00A03629">
        <w:t xml:space="preserve"> </w:t>
      </w:r>
      <w:r>
        <w:t>and</w:t>
      </w:r>
      <w:r w:rsidR="00A03629">
        <w:t xml:space="preserve"> </w:t>
      </w:r>
      <w:r>
        <w:t>cultural</w:t>
      </w:r>
      <w:r w:rsidR="00A03629">
        <w:t xml:space="preserve"> </w:t>
      </w:r>
      <w:r>
        <w:t>benefit</w:t>
      </w:r>
      <w:r w:rsidR="00A03629">
        <w:t xml:space="preserve"> </w:t>
      </w:r>
      <w:r>
        <w:t>through</w:t>
      </w:r>
      <w:r w:rsidR="00A03629">
        <w:t xml:space="preserve"> </w:t>
      </w:r>
      <w:r>
        <w:t>talent</w:t>
      </w:r>
      <w:r w:rsidR="00A03629">
        <w:t xml:space="preserve"> </w:t>
      </w:r>
      <w:r>
        <w:t>and</w:t>
      </w:r>
      <w:r w:rsidR="00A03629">
        <w:t xml:space="preserve"> </w:t>
      </w:r>
      <w:r>
        <w:t>leadership;</w:t>
      </w:r>
      <w:r w:rsidR="00A03629">
        <w:t xml:space="preserve"> </w:t>
      </w:r>
      <w:r>
        <w:t>the</w:t>
      </w:r>
      <w:r w:rsidR="00A03629">
        <w:t xml:space="preserve"> </w:t>
      </w:r>
      <w:r>
        <w:t>creative</w:t>
      </w:r>
      <w:r w:rsidR="00A03629">
        <w:t xml:space="preserve"> </w:t>
      </w:r>
      <w:r>
        <w:t>and</w:t>
      </w:r>
      <w:r w:rsidR="00A03629">
        <w:t xml:space="preserve"> </w:t>
      </w:r>
      <w:r>
        <w:t>business</w:t>
      </w:r>
      <w:r w:rsidR="00A03629">
        <w:t xml:space="preserve"> </w:t>
      </w:r>
      <w:r>
        <w:t>ecology;</w:t>
      </w:r>
      <w:r w:rsidR="00A03629">
        <w:t xml:space="preserve"> </w:t>
      </w:r>
      <w:r>
        <w:t>innovation</w:t>
      </w:r>
      <w:r w:rsidR="00A03629">
        <w:t xml:space="preserve"> </w:t>
      </w:r>
      <w:r>
        <w:t>and</w:t>
      </w:r>
      <w:r w:rsidR="00A03629">
        <w:t xml:space="preserve"> </w:t>
      </w:r>
      <w:r>
        <w:t>social</w:t>
      </w:r>
      <w:r w:rsidR="00A03629">
        <w:t xml:space="preserve"> </w:t>
      </w:r>
      <w:r>
        <w:t>impact;</w:t>
      </w:r>
      <w:r w:rsidR="00A03629">
        <w:t xml:space="preserve"> </w:t>
      </w:r>
      <w:r>
        <w:t>participation</w:t>
      </w:r>
      <w:r w:rsidR="00A03629">
        <w:t xml:space="preserve"> </w:t>
      </w:r>
      <w:r>
        <w:t>and</w:t>
      </w:r>
      <w:r w:rsidR="00A03629">
        <w:t xml:space="preserve"> </w:t>
      </w:r>
      <w:r>
        <w:t>place</w:t>
      </w:r>
      <w:r w:rsidR="00A03629">
        <w:t xml:space="preserve"> </w:t>
      </w:r>
      <w:r>
        <w:t>making;</w:t>
      </w:r>
      <w:r w:rsidR="00A03629">
        <w:t xml:space="preserve"> </w:t>
      </w:r>
      <w:r>
        <w:t>and</w:t>
      </w:r>
      <w:r w:rsidR="00A03629">
        <w:t xml:space="preserve"> </w:t>
      </w:r>
      <w:r>
        <w:t>international</w:t>
      </w:r>
      <w:r w:rsidR="00A03629">
        <w:t xml:space="preserve"> </w:t>
      </w:r>
      <w:r>
        <w:t>engagement.</w:t>
      </w:r>
    </w:p>
    <w:p w14:paraId="4470370A" w14:textId="24863726" w:rsidR="000756EB" w:rsidRDefault="004A4D88" w:rsidP="00095903">
      <w:r>
        <w:t>The</w:t>
      </w:r>
      <w:r w:rsidR="00A03629">
        <w:t xml:space="preserve"> </w:t>
      </w:r>
      <w:r>
        <w:t>Creative</w:t>
      </w:r>
      <w:r w:rsidR="00A03629">
        <w:t xml:space="preserve"> </w:t>
      </w:r>
      <w:r>
        <w:t>Industries</w:t>
      </w:r>
      <w:r w:rsidR="00A03629">
        <w:t xml:space="preserve"> </w:t>
      </w:r>
      <w:r>
        <w:t>Portfolio</w:t>
      </w:r>
      <w:r w:rsidR="00A03629">
        <w:t xml:space="preserve"> </w:t>
      </w:r>
      <w:r>
        <w:t>Agencies</w:t>
      </w:r>
      <w:r w:rsidR="00A03629">
        <w:t xml:space="preserve"> </w:t>
      </w:r>
      <w:r>
        <w:t>output</w:t>
      </w:r>
      <w:r w:rsidR="00A03629">
        <w:t xml:space="preserve"> </w:t>
      </w:r>
      <w:r>
        <w:t>promotes,</w:t>
      </w:r>
      <w:r w:rsidR="00A03629">
        <w:t xml:space="preserve"> </w:t>
      </w:r>
      <w:proofErr w:type="gramStart"/>
      <w:r>
        <w:t>presents</w:t>
      </w:r>
      <w:proofErr w:type="gramEnd"/>
      <w:r w:rsidR="00A03629">
        <w:t xml:space="preserve"> </w:t>
      </w:r>
      <w:r>
        <w:t>and</w:t>
      </w:r>
      <w:r w:rsidR="00A03629">
        <w:t xml:space="preserve"> </w:t>
      </w:r>
      <w:r>
        <w:t>preserves</w:t>
      </w:r>
      <w:r w:rsidR="00A03629">
        <w:t xml:space="preserve"> </w:t>
      </w:r>
      <w:r>
        <w:t>our</w:t>
      </w:r>
      <w:r w:rsidR="00A03629">
        <w:t xml:space="preserve"> </w:t>
      </w:r>
      <w:r>
        <w:t>heritage</w:t>
      </w:r>
      <w:r w:rsidR="00A03629">
        <w:t xml:space="preserve"> </w:t>
      </w:r>
      <w:r>
        <w:t>and</w:t>
      </w:r>
      <w:r w:rsidR="00A03629">
        <w:t xml:space="preserve"> </w:t>
      </w:r>
      <w:r>
        <w:t>the</w:t>
      </w:r>
      <w:r w:rsidR="00A03629">
        <w:t xml:space="preserve"> </w:t>
      </w:r>
      <w:r>
        <w:t>creative</w:t>
      </w:r>
      <w:r w:rsidR="00A03629">
        <w:t xml:space="preserve"> </w:t>
      </w:r>
      <w:r>
        <w:t>industries</w:t>
      </w:r>
      <w:r w:rsidR="00A03629">
        <w:t xml:space="preserve"> </w:t>
      </w:r>
      <w:r>
        <w:t>through</w:t>
      </w:r>
      <w:r w:rsidR="00A03629">
        <w:t xml:space="preserve"> </w:t>
      </w:r>
      <w:r>
        <w:t>Victoria’s</w:t>
      </w:r>
      <w:r w:rsidR="00A03629">
        <w:t xml:space="preserve"> </w:t>
      </w:r>
      <w:r>
        <w:t>creative</w:t>
      </w:r>
      <w:r w:rsidR="00A03629">
        <w:t xml:space="preserve"> </w:t>
      </w:r>
      <w:r>
        <w:t>industries</w:t>
      </w:r>
      <w:r w:rsidR="00A03629">
        <w:t xml:space="preserve"> </w:t>
      </w:r>
      <w:r>
        <w:t>agencies:</w:t>
      </w:r>
      <w:r w:rsidR="00A03629">
        <w:t xml:space="preserve"> </w:t>
      </w:r>
      <w:r>
        <w:t>Arts</w:t>
      </w:r>
      <w:r w:rsidR="00A03629">
        <w:t xml:space="preserve"> </w:t>
      </w:r>
      <w:r>
        <w:t>Centre</w:t>
      </w:r>
      <w:r w:rsidR="00A03629">
        <w:t xml:space="preserve"> </w:t>
      </w:r>
      <w:r>
        <w:t>Melbourne,</w:t>
      </w:r>
      <w:r w:rsidR="00A03629">
        <w:t xml:space="preserve"> </w:t>
      </w:r>
      <w:r>
        <w:t>Australian</w:t>
      </w:r>
      <w:r w:rsidR="00A03629">
        <w:t xml:space="preserve"> </w:t>
      </w:r>
      <w:r>
        <w:t>Centre</w:t>
      </w:r>
      <w:r w:rsidR="00A03629">
        <w:t xml:space="preserve"> </w:t>
      </w:r>
      <w:r>
        <w:t>for</w:t>
      </w:r>
      <w:r w:rsidR="00A03629">
        <w:t xml:space="preserve"> </w:t>
      </w:r>
      <w:r>
        <w:t>the</w:t>
      </w:r>
      <w:r w:rsidR="00A03629">
        <w:t xml:space="preserve"> </w:t>
      </w:r>
      <w:r>
        <w:t>Moving</w:t>
      </w:r>
      <w:r w:rsidR="00A03629">
        <w:t xml:space="preserve"> </w:t>
      </w:r>
      <w:r>
        <w:t>Image,</w:t>
      </w:r>
      <w:r w:rsidR="00A03629">
        <w:t xml:space="preserve"> </w:t>
      </w:r>
      <w:r>
        <w:t>Docklands</w:t>
      </w:r>
      <w:r w:rsidR="00A03629">
        <w:t xml:space="preserve"> </w:t>
      </w:r>
      <w:r>
        <w:t>Studios</w:t>
      </w:r>
      <w:r w:rsidR="00A03629">
        <w:t xml:space="preserve"> </w:t>
      </w:r>
      <w:r>
        <w:t>Melbourne,</w:t>
      </w:r>
      <w:r w:rsidR="00A03629">
        <w:t xml:space="preserve"> </w:t>
      </w:r>
      <w:proofErr w:type="spellStart"/>
      <w:r>
        <w:t>VicScreen</w:t>
      </w:r>
      <w:proofErr w:type="spellEnd"/>
      <w:r>
        <w:t>,</w:t>
      </w:r>
      <w:r w:rsidR="00A03629">
        <w:t xml:space="preserve"> </w:t>
      </w:r>
      <w:r>
        <w:t>Geelong</w:t>
      </w:r>
      <w:r w:rsidR="00A03629">
        <w:t xml:space="preserve"> </w:t>
      </w:r>
      <w:r>
        <w:t>Arts</w:t>
      </w:r>
      <w:r w:rsidR="00A03629">
        <w:t xml:space="preserve"> </w:t>
      </w:r>
      <w:r>
        <w:t>Centre,</w:t>
      </w:r>
      <w:r w:rsidR="00A03629">
        <w:t xml:space="preserve"> </w:t>
      </w:r>
      <w:r>
        <w:t>Melbourne</w:t>
      </w:r>
      <w:r w:rsidR="00A03629">
        <w:t xml:space="preserve"> </w:t>
      </w:r>
      <w:r>
        <w:t>Recital</w:t>
      </w:r>
      <w:r w:rsidR="00A03629">
        <w:t xml:space="preserve"> </w:t>
      </w:r>
      <w:r>
        <w:t>Centre,</w:t>
      </w:r>
      <w:r w:rsidR="00A03629">
        <w:t xml:space="preserve"> </w:t>
      </w:r>
      <w:r>
        <w:t>Museums</w:t>
      </w:r>
      <w:r w:rsidR="00A03629">
        <w:t xml:space="preserve"> </w:t>
      </w:r>
      <w:r>
        <w:t>Victoria,</w:t>
      </w:r>
      <w:r w:rsidR="00A03629">
        <w:t xml:space="preserve"> </w:t>
      </w:r>
      <w:r>
        <w:t>National</w:t>
      </w:r>
      <w:r w:rsidR="00A03629">
        <w:t xml:space="preserve"> </w:t>
      </w:r>
      <w:r>
        <w:t>Gallery</w:t>
      </w:r>
      <w:r w:rsidR="00A03629">
        <w:t xml:space="preserve"> </w:t>
      </w:r>
      <w:r>
        <w:t>of</w:t>
      </w:r>
      <w:r w:rsidR="00A03629">
        <w:t xml:space="preserve"> </w:t>
      </w:r>
      <w:r>
        <w:t>Victoria,</w:t>
      </w:r>
      <w:r w:rsidR="00A03629">
        <w:t xml:space="preserve"> </w:t>
      </w:r>
      <w:r>
        <w:t>and</w:t>
      </w:r>
      <w:r w:rsidR="00A03629">
        <w:t xml:space="preserve"> </w:t>
      </w:r>
      <w:r>
        <w:t>the</w:t>
      </w:r>
      <w:r w:rsidR="00A03629">
        <w:t xml:space="preserve"> </w:t>
      </w:r>
      <w:r>
        <w:t>State</w:t>
      </w:r>
      <w:r w:rsidR="00A03629">
        <w:rPr>
          <w:rFonts w:ascii="Cambria" w:hAnsi="Cambria" w:cs="Cambria"/>
        </w:rPr>
        <w:t xml:space="preserve"> </w:t>
      </w:r>
      <w:r>
        <w:t>Library</w:t>
      </w:r>
      <w:r w:rsidR="00A03629">
        <w:rPr>
          <w:rFonts w:ascii="Cambria" w:hAnsi="Cambria" w:cs="Cambria"/>
        </w:rPr>
        <w:t xml:space="preserve"> </w:t>
      </w:r>
      <w:r>
        <w:t>Victoria.</w:t>
      </w:r>
    </w:p>
    <w:p w14:paraId="1FFC5EF7" w14:textId="04F09348" w:rsidR="000756EB" w:rsidRDefault="004A4D88" w:rsidP="00095903">
      <w:r>
        <w:t>The</w:t>
      </w:r>
      <w:r w:rsidR="00A03629">
        <w:t xml:space="preserve"> </w:t>
      </w:r>
      <w:r>
        <w:t>Cultural</w:t>
      </w:r>
      <w:r w:rsidR="00A03629">
        <w:t xml:space="preserve"> </w:t>
      </w:r>
      <w:r>
        <w:t>Infrastructure</w:t>
      </w:r>
      <w:r w:rsidR="00A03629">
        <w:t xml:space="preserve"> </w:t>
      </w:r>
      <w:r>
        <w:t>and</w:t>
      </w:r>
      <w:r w:rsidR="00A03629">
        <w:t xml:space="preserve"> </w:t>
      </w:r>
      <w:r>
        <w:t>Facilities</w:t>
      </w:r>
      <w:r w:rsidR="00A03629">
        <w:t xml:space="preserve"> </w:t>
      </w:r>
      <w:r>
        <w:t>output</w:t>
      </w:r>
      <w:r w:rsidR="00A03629">
        <w:t xml:space="preserve"> </w:t>
      </w:r>
      <w:r>
        <w:t>supports</w:t>
      </w:r>
      <w:r w:rsidR="00A03629">
        <w:t xml:space="preserve"> </w:t>
      </w:r>
      <w:r>
        <w:t>Victorian</w:t>
      </w:r>
      <w:r w:rsidR="00A03629">
        <w:t xml:space="preserve"> </w:t>
      </w:r>
      <w:r>
        <w:t>cultural</w:t>
      </w:r>
      <w:r w:rsidR="00A03629">
        <w:t xml:space="preserve"> </w:t>
      </w:r>
      <w:r>
        <w:t>venues</w:t>
      </w:r>
      <w:r w:rsidR="00A03629">
        <w:t xml:space="preserve"> </w:t>
      </w:r>
      <w:r>
        <w:t>and</w:t>
      </w:r>
      <w:r w:rsidR="00A03629">
        <w:t xml:space="preserve"> </w:t>
      </w:r>
      <w:r>
        <w:t>State-owned</w:t>
      </w:r>
      <w:r w:rsidR="00A03629">
        <w:t xml:space="preserve"> </w:t>
      </w:r>
      <w:r>
        <w:t>facilities</w:t>
      </w:r>
      <w:r w:rsidR="00A03629">
        <w:t xml:space="preserve"> </w:t>
      </w:r>
      <w:r>
        <w:t>through</w:t>
      </w:r>
      <w:r w:rsidR="00A03629">
        <w:t xml:space="preserve"> </w:t>
      </w:r>
      <w:r>
        <w:t>strategic</w:t>
      </w:r>
      <w:r w:rsidR="00A03629">
        <w:t xml:space="preserve"> </w:t>
      </w:r>
      <w:r>
        <w:t>assessment</w:t>
      </w:r>
      <w:r w:rsidR="00A03629">
        <w:t xml:space="preserve"> </w:t>
      </w:r>
      <w:r>
        <w:t>and</w:t>
      </w:r>
      <w:r w:rsidR="00A03629">
        <w:t xml:space="preserve"> </w:t>
      </w:r>
      <w:r>
        <w:t>provision</w:t>
      </w:r>
      <w:r w:rsidR="00A03629">
        <w:t xml:space="preserve"> </w:t>
      </w:r>
      <w:r>
        <w:t>of</w:t>
      </w:r>
      <w:r w:rsidR="00A03629">
        <w:t xml:space="preserve"> </w:t>
      </w:r>
      <w:r>
        <w:t>advice</w:t>
      </w:r>
      <w:r w:rsidR="00A03629">
        <w:t xml:space="preserve"> </w:t>
      </w:r>
      <w:r>
        <w:t>on</w:t>
      </w:r>
      <w:r w:rsidR="00A03629">
        <w:t xml:space="preserve"> </w:t>
      </w:r>
      <w:r>
        <w:t>portfolio</w:t>
      </w:r>
      <w:r w:rsidR="00A03629">
        <w:t xml:space="preserve"> </w:t>
      </w:r>
      <w:r>
        <w:t>infrastructure</w:t>
      </w:r>
      <w:r w:rsidR="00A03629">
        <w:t xml:space="preserve"> </w:t>
      </w:r>
      <w:r>
        <w:t>proposals</w:t>
      </w:r>
      <w:r w:rsidR="00A03629">
        <w:t xml:space="preserve"> </w:t>
      </w:r>
      <w:r>
        <w:t>and</w:t>
      </w:r>
      <w:r w:rsidR="00A03629">
        <w:t xml:space="preserve"> </w:t>
      </w:r>
      <w:r>
        <w:t>projects.</w:t>
      </w:r>
      <w:r w:rsidR="00A03629">
        <w:t xml:space="preserve"> </w:t>
      </w:r>
      <w:r>
        <w:t>The</w:t>
      </w:r>
      <w:r w:rsidR="00A03629">
        <w:t xml:space="preserve"> </w:t>
      </w:r>
      <w:r>
        <w:t>output</w:t>
      </w:r>
      <w:r w:rsidR="00A03629">
        <w:t xml:space="preserve"> </w:t>
      </w:r>
      <w:r>
        <w:t>includes</w:t>
      </w:r>
      <w:r w:rsidR="00A03629">
        <w:t xml:space="preserve"> </w:t>
      </w:r>
      <w:r>
        <w:t>consolidation</w:t>
      </w:r>
      <w:r w:rsidR="00A03629">
        <w:t xml:space="preserve"> </w:t>
      </w:r>
      <w:r>
        <w:t>of</w:t>
      </w:r>
      <w:r w:rsidR="00A03629">
        <w:t xml:space="preserve"> </w:t>
      </w:r>
      <w:r>
        <w:t>portfolio</w:t>
      </w:r>
      <w:r w:rsidR="00A03629">
        <w:t xml:space="preserve"> </w:t>
      </w:r>
      <w:r>
        <w:t>asset</w:t>
      </w:r>
      <w:r w:rsidR="00A03629">
        <w:t xml:space="preserve"> </w:t>
      </w:r>
      <w:r>
        <w:t>management</w:t>
      </w:r>
      <w:r w:rsidR="00A03629">
        <w:t xml:space="preserve"> </w:t>
      </w:r>
      <w:r>
        <w:t>plans</w:t>
      </w:r>
      <w:r w:rsidR="00A03629">
        <w:t xml:space="preserve"> </w:t>
      </w:r>
      <w:r>
        <w:t>and</w:t>
      </w:r>
      <w:r w:rsidR="00A03629">
        <w:t xml:space="preserve"> </w:t>
      </w:r>
      <w:r>
        <w:t>management</w:t>
      </w:r>
      <w:r w:rsidR="00A03629">
        <w:t xml:space="preserve"> </w:t>
      </w:r>
      <w:r>
        <w:t>of</w:t>
      </w:r>
      <w:r w:rsidR="00A03629">
        <w:t xml:space="preserve"> </w:t>
      </w:r>
      <w:r>
        <w:t>funding</w:t>
      </w:r>
      <w:r w:rsidR="00A03629">
        <w:t xml:space="preserve"> </w:t>
      </w:r>
      <w:r>
        <w:t>programs</w:t>
      </w:r>
      <w:r w:rsidR="00A03629">
        <w:t xml:space="preserve"> </w:t>
      </w:r>
      <w:r>
        <w:t>for</w:t>
      </w:r>
      <w:r w:rsidR="00A03629">
        <w:rPr>
          <w:rFonts w:ascii="Cambria" w:hAnsi="Cambria" w:cs="Cambria"/>
        </w:rPr>
        <w:t xml:space="preserve"> </w:t>
      </w:r>
      <w:r>
        <w:t>maintenance</w:t>
      </w:r>
      <w:r w:rsidR="00A03629">
        <w:rPr>
          <w:rFonts w:ascii="Cambria" w:hAnsi="Cambria" w:cs="Cambria"/>
        </w:rPr>
        <w:t xml:space="preserve"> </w:t>
      </w:r>
      <w:r>
        <w:t>and</w:t>
      </w:r>
      <w:r w:rsidR="00A03629">
        <w:t xml:space="preserve"> </w:t>
      </w:r>
      <w:r>
        <w:t>minor</w:t>
      </w:r>
      <w:r w:rsidR="00A03629">
        <w:t xml:space="preserve"> </w:t>
      </w:r>
      <w:r>
        <w:t>capital</w:t>
      </w:r>
      <w:r w:rsidR="00A03629">
        <w:t xml:space="preserve"> </w:t>
      </w:r>
      <w:r>
        <w:t>works.</w:t>
      </w:r>
    </w:p>
    <w:p w14:paraId="2FD3E586" w14:textId="0C3D5730" w:rsidR="000756EB" w:rsidRDefault="004A4D88" w:rsidP="00095903">
      <w:r>
        <w:lastRenderedPageBreak/>
        <w:t>Over</w:t>
      </w:r>
      <w:r w:rsidR="00A03629">
        <w:t xml:space="preserve"> </w:t>
      </w:r>
      <w:r>
        <w:t>the</w:t>
      </w:r>
      <w:r w:rsidR="00A03629">
        <w:t xml:space="preserve"> </w:t>
      </w:r>
      <w:r>
        <w:t>course</w:t>
      </w:r>
      <w:r w:rsidR="00A03629">
        <w:t xml:space="preserve"> </w:t>
      </w:r>
      <w:r>
        <w:t>of</w:t>
      </w:r>
      <w:r w:rsidR="00A03629">
        <w:t xml:space="preserve"> </w:t>
      </w:r>
      <w:r>
        <w:t>the</w:t>
      </w:r>
      <w:r w:rsidR="00A03629">
        <w:t xml:space="preserve"> </w:t>
      </w:r>
      <w:r>
        <w:t>financial</w:t>
      </w:r>
      <w:r w:rsidR="00A03629">
        <w:t xml:space="preserve"> </w:t>
      </w:r>
      <w:r>
        <w:t>year,</w:t>
      </w:r>
      <w:r w:rsidR="00A03629">
        <w:t xml:space="preserve"> </w:t>
      </w:r>
      <w:r>
        <w:t>the</w:t>
      </w:r>
      <w:r w:rsidR="00A03629">
        <w:t xml:space="preserve"> </w:t>
      </w:r>
      <w:r>
        <w:t>Sport</w:t>
      </w:r>
      <w:r w:rsidR="00A03629">
        <w:t xml:space="preserve"> </w:t>
      </w:r>
      <w:r>
        <w:t>and</w:t>
      </w:r>
      <w:r w:rsidR="00A03629">
        <w:rPr>
          <w:rFonts w:ascii="Cambria" w:hAnsi="Cambria" w:cs="Cambria"/>
        </w:rPr>
        <w:t xml:space="preserve"> </w:t>
      </w:r>
      <w:r>
        <w:t>Recreation</w:t>
      </w:r>
      <w:r w:rsidR="00A03629">
        <w:t xml:space="preserve"> </w:t>
      </w:r>
      <w:r>
        <w:t>output</w:t>
      </w:r>
      <w:r w:rsidR="00A03629">
        <w:t xml:space="preserve"> </w:t>
      </w:r>
      <w:r>
        <w:t>provides</w:t>
      </w:r>
      <w:r w:rsidR="00A03629">
        <w:t xml:space="preserve"> </w:t>
      </w:r>
      <w:r>
        <w:t>strategic</w:t>
      </w:r>
      <w:r w:rsidR="00A03629">
        <w:t xml:space="preserve"> </w:t>
      </w:r>
      <w:r>
        <w:t>leadership</w:t>
      </w:r>
      <w:r w:rsidR="00A03629">
        <w:t xml:space="preserve"> </w:t>
      </w:r>
      <w:r>
        <w:t>and</w:t>
      </w:r>
      <w:r w:rsidR="00A03629">
        <w:t xml:space="preserve"> </w:t>
      </w:r>
      <w:r>
        <w:t>investment</w:t>
      </w:r>
      <w:r w:rsidR="00A03629">
        <w:t xml:space="preserve"> </w:t>
      </w:r>
      <w:r>
        <w:t>in</w:t>
      </w:r>
      <w:r w:rsidR="00A03629">
        <w:t xml:space="preserve"> </w:t>
      </w:r>
      <w:r>
        <w:t>the</w:t>
      </w:r>
      <w:r w:rsidR="00A03629">
        <w:t xml:space="preserve"> </w:t>
      </w:r>
      <w:r>
        <w:t>sport</w:t>
      </w:r>
      <w:r w:rsidR="00A03629">
        <w:t xml:space="preserve"> </w:t>
      </w:r>
      <w:r>
        <w:t>and</w:t>
      </w:r>
      <w:r w:rsidR="00A03629">
        <w:t xml:space="preserve"> </w:t>
      </w:r>
      <w:r>
        <w:t>recreation</w:t>
      </w:r>
      <w:r w:rsidR="00A03629">
        <w:t xml:space="preserve"> </w:t>
      </w:r>
      <w:r>
        <w:t>industry</w:t>
      </w:r>
      <w:r w:rsidR="00A03629">
        <w:t xml:space="preserve"> </w:t>
      </w:r>
      <w:r>
        <w:t>through</w:t>
      </w:r>
      <w:r w:rsidR="00A03629">
        <w:t xml:space="preserve"> </w:t>
      </w:r>
      <w:r>
        <w:t>innovation,</w:t>
      </w:r>
      <w:r w:rsidR="00A03629">
        <w:t xml:space="preserve"> </w:t>
      </w:r>
      <w:r>
        <w:t>sector</w:t>
      </w:r>
      <w:r w:rsidR="00A03629">
        <w:t xml:space="preserve"> </w:t>
      </w:r>
      <w:r>
        <w:t>and</w:t>
      </w:r>
      <w:r w:rsidR="00A03629">
        <w:t xml:space="preserve"> </w:t>
      </w:r>
      <w:r>
        <w:t>industry</w:t>
      </w:r>
      <w:r w:rsidR="00A03629">
        <w:t xml:space="preserve"> </w:t>
      </w:r>
      <w:r>
        <w:t>development</w:t>
      </w:r>
      <w:r w:rsidR="00A03629">
        <w:t xml:space="preserve"> </w:t>
      </w:r>
      <w:r>
        <w:t>and</w:t>
      </w:r>
      <w:r w:rsidR="00A03629">
        <w:t xml:space="preserve"> </w:t>
      </w:r>
      <w:r>
        <w:t>funding</w:t>
      </w:r>
      <w:r w:rsidR="00A03629">
        <w:t xml:space="preserve"> </w:t>
      </w:r>
      <w:r>
        <w:t>support.</w:t>
      </w:r>
      <w:r w:rsidR="00A03629">
        <w:t xml:space="preserve"> </w:t>
      </w:r>
      <w:r>
        <w:t>It</w:t>
      </w:r>
      <w:r w:rsidR="00A03629">
        <w:rPr>
          <w:rFonts w:ascii="Cambria" w:hAnsi="Cambria" w:cs="Cambria"/>
        </w:rPr>
        <w:t xml:space="preserve"> </w:t>
      </w:r>
      <w:r>
        <w:t>supports</w:t>
      </w:r>
      <w:r w:rsidR="00A03629">
        <w:t xml:space="preserve"> </w:t>
      </w:r>
      <w:r>
        <w:t>community</w:t>
      </w:r>
      <w:r w:rsidR="00A03629">
        <w:t xml:space="preserve"> </w:t>
      </w:r>
      <w:r>
        <w:t>participation</w:t>
      </w:r>
      <w:r w:rsidR="00A03629">
        <w:t xml:space="preserve"> </w:t>
      </w:r>
      <w:r>
        <w:t>and</w:t>
      </w:r>
      <w:r w:rsidR="00A03629">
        <w:t xml:space="preserve"> </w:t>
      </w:r>
      <w:r>
        <w:t>inclusion</w:t>
      </w:r>
      <w:r w:rsidR="00A03629">
        <w:t xml:space="preserve"> </w:t>
      </w:r>
      <w:r>
        <w:t>in</w:t>
      </w:r>
      <w:r w:rsidR="00A03629">
        <w:t xml:space="preserve"> </w:t>
      </w:r>
      <w:r>
        <w:t>the</w:t>
      </w:r>
      <w:r w:rsidR="00A03629">
        <w:t xml:space="preserve"> </w:t>
      </w:r>
      <w:r>
        <w:t>sport</w:t>
      </w:r>
      <w:r w:rsidR="00A03629">
        <w:t xml:space="preserve"> </w:t>
      </w:r>
      <w:r>
        <w:t>and</w:t>
      </w:r>
      <w:r w:rsidR="00A03629">
        <w:t xml:space="preserve"> </w:t>
      </w:r>
      <w:r>
        <w:t>recreation</w:t>
      </w:r>
      <w:r w:rsidR="00A03629">
        <w:t xml:space="preserve"> </w:t>
      </w:r>
      <w:r>
        <w:t>sector</w:t>
      </w:r>
      <w:r w:rsidR="00A03629">
        <w:t xml:space="preserve"> </w:t>
      </w:r>
      <w:r>
        <w:t>by</w:t>
      </w:r>
      <w:r w:rsidR="00A03629">
        <w:t xml:space="preserve"> </w:t>
      </w:r>
      <w:r>
        <w:t>strengthening</w:t>
      </w:r>
      <w:r w:rsidR="00A03629">
        <w:t xml:space="preserve"> </w:t>
      </w:r>
      <w:r>
        <w:t>the</w:t>
      </w:r>
      <w:r w:rsidR="00A03629">
        <w:t xml:space="preserve"> </w:t>
      </w:r>
      <w:r>
        <w:t>capacity</w:t>
      </w:r>
      <w:r w:rsidR="00A03629">
        <w:t xml:space="preserve"> </w:t>
      </w:r>
      <w:r>
        <w:t>of</w:t>
      </w:r>
      <w:r w:rsidR="00A03629">
        <w:t xml:space="preserve"> </w:t>
      </w:r>
      <w:r>
        <w:t>sport</w:t>
      </w:r>
      <w:r w:rsidR="00A03629">
        <w:t xml:space="preserve"> </w:t>
      </w:r>
      <w:r>
        <w:t>and</w:t>
      </w:r>
      <w:r w:rsidR="00A03629">
        <w:t xml:space="preserve"> </w:t>
      </w:r>
      <w:r>
        <w:t>recreation</w:t>
      </w:r>
      <w:r w:rsidR="00A03629">
        <w:t xml:space="preserve"> </w:t>
      </w:r>
      <w:r>
        <w:t>organisations</w:t>
      </w:r>
      <w:r w:rsidR="00A03629">
        <w:t xml:space="preserve"> </w:t>
      </w:r>
      <w:r>
        <w:t>to</w:t>
      </w:r>
      <w:r w:rsidR="00A03629">
        <w:t xml:space="preserve"> </w:t>
      </w:r>
      <w:r>
        <w:t>deliver</w:t>
      </w:r>
      <w:r w:rsidR="00A03629">
        <w:t xml:space="preserve"> </w:t>
      </w:r>
      <w:r>
        <w:t>participation</w:t>
      </w:r>
      <w:r w:rsidR="00A03629">
        <w:t xml:space="preserve"> </w:t>
      </w:r>
      <w:r>
        <w:t>opportunities,</w:t>
      </w:r>
      <w:r w:rsidR="00A03629">
        <w:t xml:space="preserve"> </w:t>
      </w:r>
      <w:r>
        <w:t>improving</w:t>
      </w:r>
      <w:r w:rsidR="00A03629">
        <w:t xml:space="preserve"> </w:t>
      </w:r>
      <w:r>
        <w:t>community</w:t>
      </w:r>
      <w:r w:rsidR="00A03629">
        <w:t xml:space="preserve"> </w:t>
      </w:r>
      <w:r>
        <w:t>sport</w:t>
      </w:r>
      <w:r w:rsidR="00A03629">
        <w:t xml:space="preserve"> </w:t>
      </w:r>
      <w:r>
        <w:t>and</w:t>
      </w:r>
      <w:r w:rsidR="00A03629">
        <w:t xml:space="preserve"> </w:t>
      </w:r>
      <w:r>
        <w:t>recreation</w:t>
      </w:r>
      <w:r w:rsidR="00A03629">
        <w:t xml:space="preserve"> </w:t>
      </w:r>
      <w:r>
        <w:t>facilities</w:t>
      </w:r>
      <w:r w:rsidR="00A03629">
        <w:t xml:space="preserve"> </w:t>
      </w:r>
      <w:r>
        <w:t>across</w:t>
      </w:r>
      <w:r w:rsidR="00A03629">
        <w:t xml:space="preserve"> </w:t>
      </w:r>
      <w:r>
        <w:t>the</w:t>
      </w:r>
      <w:r w:rsidR="00A03629">
        <w:t xml:space="preserve"> </w:t>
      </w:r>
      <w:proofErr w:type="gramStart"/>
      <w:r>
        <w:t>state</w:t>
      </w:r>
      <w:proofErr w:type="gramEnd"/>
      <w:r w:rsidR="00A03629">
        <w:t xml:space="preserve"> </w:t>
      </w:r>
      <w:r>
        <w:t>and</w:t>
      </w:r>
      <w:r w:rsidR="00A03629">
        <w:t xml:space="preserve"> </w:t>
      </w:r>
      <w:r>
        <w:t>guiding</w:t>
      </w:r>
      <w:r w:rsidR="00A03629">
        <w:t xml:space="preserve"> </w:t>
      </w:r>
      <w:r>
        <w:t>the</w:t>
      </w:r>
      <w:r w:rsidR="00A03629">
        <w:t xml:space="preserve"> </w:t>
      </w:r>
      <w:r>
        <w:t>development</w:t>
      </w:r>
      <w:r w:rsidR="00A03629">
        <w:t xml:space="preserve"> </w:t>
      </w:r>
      <w:r>
        <w:t>and</w:t>
      </w:r>
      <w:r w:rsidR="00A03629">
        <w:t xml:space="preserve"> </w:t>
      </w:r>
      <w:r>
        <w:t>management</w:t>
      </w:r>
      <w:r w:rsidR="00A03629">
        <w:t xml:space="preserve"> </w:t>
      </w:r>
      <w:r>
        <w:t>of</w:t>
      </w:r>
      <w:r w:rsidR="00A03629">
        <w:t xml:space="preserve"> </w:t>
      </w:r>
      <w:r>
        <w:t>State-level</w:t>
      </w:r>
      <w:r w:rsidR="00A03629">
        <w:t xml:space="preserve"> </w:t>
      </w:r>
      <w:r>
        <w:t>sporting</w:t>
      </w:r>
      <w:r w:rsidR="00A03629">
        <w:t xml:space="preserve"> </w:t>
      </w:r>
      <w:r>
        <w:t>facilities</w:t>
      </w:r>
      <w:r w:rsidR="00A03629">
        <w:t xml:space="preserve"> </w:t>
      </w:r>
      <w:r>
        <w:t>and</w:t>
      </w:r>
      <w:r w:rsidR="00A03629">
        <w:t xml:space="preserve"> </w:t>
      </w:r>
      <w:r>
        <w:t>events,</w:t>
      </w:r>
      <w:r w:rsidR="00A03629">
        <w:t xml:space="preserve"> </w:t>
      </w:r>
      <w:r>
        <w:t>to</w:t>
      </w:r>
      <w:r w:rsidR="00A03629">
        <w:t xml:space="preserve"> </w:t>
      </w:r>
      <w:r>
        <w:t>encourage</w:t>
      </w:r>
      <w:r w:rsidR="00A03629">
        <w:t xml:space="preserve"> </w:t>
      </w:r>
      <w:r>
        <w:t>participation</w:t>
      </w:r>
      <w:r w:rsidR="00A03629">
        <w:t xml:space="preserve"> </w:t>
      </w:r>
      <w:r>
        <w:t>by</w:t>
      </w:r>
      <w:r w:rsidR="00A03629">
        <w:t xml:space="preserve"> </w:t>
      </w:r>
      <w:r>
        <w:t>all</w:t>
      </w:r>
      <w:r w:rsidR="00A03629">
        <w:t xml:space="preserve"> </w:t>
      </w:r>
      <w:r>
        <w:t>Victorians.</w:t>
      </w:r>
    </w:p>
    <w:p w14:paraId="6F191D91" w14:textId="5E20C1C4" w:rsidR="000756EB" w:rsidRDefault="004A4D88" w:rsidP="00095903">
      <w:r>
        <w:t>The</w:t>
      </w:r>
      <w:r w:rsidR="00A03629">
        <w:t xml:space="preserve"> </w:t>
      </w:r>
      <w:r>
        <w:t>Tourism</w:t>
      </w:r>
      <w:r w:rsidR="00A03629">
        <w:t xml:space="preserve"> </w:t>
      </w:r>
      <w:r>
        <w:t>and</w:t>
      </w:r>
      <w:r w:rsidR="00A03629">
        <w:t xml:space="preserve"> </w:t>
      </w:r>
      <w:r>
        <w:t>Major</w:t>
      </w:r>
      <w:r w:rsidR="00A03629">
        <w:t xml:space="preserve"> </w:t>
      </w:r>
      <w:r>
        <w:t>Events</w:t>
      </w:r>
      <w:r w:rsidR="00A03629">
        <w:t xml:space="preserve"> </w:t>
      </w:r>
      <w:r>
        <w:t>output</w:t>
      </w:r>
      <w:r w:rsidR="00A03629">
        <w:t xml:space="preserve"> </w:t>
      </w:r>
      <w:r>
        <w:t>maximises</w:t>
      </w:r>
      <w:r w:rsidR="00A03629">
        <w:t xml:space="preserve"> </w:t>
      </w:r>
      <w:r>
        <w:t>employment</w:t>
      </w:r>
      <w:r w:rsidR="00A03629">
        <w:t xml:space="preserve"> </w:t>
      </w:r>
      <w:r>
        <w:t>and</w:t>
      </w:r>
      <w:r w:rsidR="00A03629">
        <w:t xml:space="preserve"> </w:t>
      </w:r>
      <w:r>
        <w:t>the</w:t>
      </w:r>
      <w:r w:rsidR="00A03629">
        <w:t xml:space="preserve"> </w:t>
      </w:r>
      <w:r>
        <w:t>long-term</w:t>
      </w:r>
      <w:r w:rsidR="00A03629">
        <w:t xml:space="preserve"> </w:t>
      </w:r>
      <w:r>
        <w:t>economic</w:t>
      </w:r>
      <w:r w:rsidR="00A03629">
        <w:t xml:space="preserve"> </w:t>
      </w:r>
      <w:r>
        <w:t>benefits</w:t>
      </w:r>
      <w:r w:rsidR="00A03629">
        <w:t xml:space="preserve"> </w:t>
      </w:r>
      <w:r>
        <w:t>of</w:t>
      </w:r>
      <w:r w:rsidR="00A03629">
        <w:rPr>
          <w:rFonts w:ascii="Cambria" w:hAnsi="Cambria" w:cs="Cambria"/>
        </w:rPr>
        <w:t xml:space="preserve"> </w:t>
      </w:r>
      <w:r>
        <w:t>tourism</w:t>
      </w:r>
      <w:r w:rsidR="00A03629">
        <w:t xml:space="preserve"> </w:t>
      </w:r>
      <w:r>
        <w:t>and</w:t>
      </w:r>
      <w:r w:rsidR="00A03629">
        <w:t xml:space="preserve"> </w:t>
      </w:r>
      <w:r>
        <w:t>major</w:t>
      </w:r>
      <w:r w:rsidR="00A03629">
        <w:t xml:space="preserve"> </w:t>
      </w:r>
      <w:r>
        <w:t>events</w:t>
      </w:r>
      <w:r w:rsidR="00A03629">
        <w:t xml:space="preserve"> </w:t>
      </w:r>
      <w:r>
        <w:t>to</w:t>
      </w:r>
      <w:r w:rsidR="00A03629">
        <w:t xml:space="preserve"> </w:t>
      </w:r>
      <w:r>
        <w:t>Victoria</w:t>
      </w:r>
      <w:r w:rsidR="00A03629">
        <w:t xml:space="preserve"> </w:t>
      </w:r>
      <w:r>
        <w:t>by</w:t>
      </w:r>
      <w:r w:rsidR="00A03629">
        <w:t xml:space="preserve"> </w:t>
      </w:r>
      <w:r>
        <w:t>developing</w:t>
      </w:r>
      <w:r w:rsidR="00A03629">
        <w:t xml:space="preserve"> </w:t>
      </w:r>
      <w:r>
        <w:t>and</w:t>
      </w:r>
      <w:r w:rsidR="00A03629">
        <w:t xml:space="preserve"> </w:t>
      </w:r>
      <w:r>
        <w:t>marketing</w:t>
      </w:r>
      <w:r w:rsidR="00A03629">
        <w:t xml:space="preserve"> </w:t>
      </w:r>
      <w:r>
        <w:t>the</w:t>
      </w:r>
      <w:r w:rsidR="00A03629">
        <w:t xml:space="preserve"> </w:t>
      </w:r>
      <w:r>
        <w:t>State</w:t>
      </w:r>
      <w:r w:rsidR="00A03629">
        <w:t xml:space="preserve"> </w:t>
      </w:r>
      <w:r>
        <w:t>as</w:t>
      </w:r>
      <w:r w:rsidR="00A03629">
        <w:t xml:space="preserve"> </w:t>
      </w:r>
      <w:r>
        <w:t>a</w:t>
      </w:r>
      <w:r w:rsidR="00A03629">
        <w:t xml:space="preserve"> </w:t>
      </w:r>
      <w:r>
        <w:t>competitive</w:t>
      </w:r>
      <w:r w:rsidR="00A03629">
        <w:t xml:space="preserve"> </w:t>
      </w:r>
      <w:r>
        <w:t>destination.</w:t>
      </w:r>
    </w:p>
    <w:p w14:paraId="06E7BC25" w14:textId="1A38A15C" w:rsidR="000756EB" w:rsidRPr="00095903" w:rsidRDefault="004A4D88" w:rsidP="00095903">
      <w:pPr>
        <w:pStyle w:val="Normalbeforebullets"/>
        <w:rPr>
          <w:b/>
          <w:bCs/>
        </w:rPr>
      </w:pPr>
      <w:r w:rsidRPr="00095903">
        <w:rPr>
          <w:b/>
          <w:bCs/>
        </w:rPr>
        <w:t>Deliver</w:t>
      </w:r>
      <w:r w:rsidR="00A03629" w:rsidRPr="00095903">
        <w:rPr>
          <w:b/>
          <w:bCs/>
        </w:rPr>
        <w:t xml:space="preserve"> </w:t>
      </w:r>
      <w:r w:rsidRPr="00095903">
        <w:rPr>
          <w:b/>
          <w:bCs/>
        </w:rPr>
        <w:t>high-quality</w:t>
      </w:r>
      <w:r w:rsidR="00A03629" w:rsidRPr="00095903">
        <w:rPr>
          <w:b/>
          <w:bCs/>
        </w:rPr>
        <w:t xml:space="preserve"> </w:t>
      </w:r>
      <w:r w:rsidRPr="00095903">
        <w:rPr>
          <w:b/>
          <w:bCs/>
        </w:rPr>
        <w:t>training</w:t>
      </w:r>
      <w:r w:rsidR="00A03629" w:rsidRPr="00095903">
        <w:rPr>
          <w:b/>
          <w:bCs/>
        </w:rPr>
        <w:t xml:space="preserve"> </w:t>
      </w:r>
      <w:r w:rsidRPr="00095903">
        <w:rPr>
          <w:b/>
          <w:bCs/>
        </w:rPr>
        <w:t>and</w:t>
      </w:r>
      <w:r w:rsidR="00A03629" w:rsidRPr="00095903">
        <w:rPr>
          <w:b/>
          <w:bCs/>
        </w:rPr>
        <w:t xml:space="preserve"> </w:t>
      </w:r>
      <w:r w:rsidRPr="00095903">
        <w:rPr>
          <w:b/>
          <w:bCs/>
        </w:rPr>
        <w:t>skills</w:t>
      </w:r>
      <w:r w:rsidR="00A03629" w:rsidRPr="00095903">
        <w:rPr>
          <w:b/>
          <w:bCs/>
        </w:rPr>
        <w:t xml:space="preserve"> </w:t>
      </w:r>
      <w:r w:rsidRPr="00095903">
        <w:rPr>
          <w:b/>
          <w:bCs/>
        </w:rPr>
        <w:t>to</w:t>
      </w:r>
      <w:r w:rsidR="00A03629" w:rsidRPr="00095903">
        <w:rPr>
          <w:rFonts w:ascii="Cambria" w:hAnsi="Cambria" w:cs="Cambria"/>
          <w:b/>
          <w:bCs/>
        </w:rPr>
        <w:t xml:space="preserve"> </w:t>
      </w:r>
      <w:r w:rsidRPr="00095903">
        <w:rPr>
          <w:b/>
          <w:bCs/>
        </w:rPr>
        <w:t>meet</w:t>
      </w:r>
      <w:r w:rsidR="00A03629" w:rsidRPr="00095903">
        <w:rPr>
          <w:b/>
          <w:bCs/>
        </w:rPr>
        <w:t xml:space="preserve"> </w:t>
      </w:r>
      <w:r w:rsidRPr="00095903">
        <w:rPr>
          <w:b/>
          <w:bCs/>
        </w:rPr>
        <w:t>industry</w:t>
      </w:r>
      <w:r w:rsidR="00A03629" w:rsidRPr="00095903">
        <w:rPr>
          <w:b/>
          <w:bCs/>
        </w:rPr>
        <w:t xml:space="preserve"> </w:t>
      </w:r>
      <w:r w:rsidRPr="00095903">
        <w:rPr>
          <w:b/>
          <w:bCs/>
        </w:rPr>
        <w:t>needs</w:t>
      </w:r>
      <w:r w:rsidR="00A03629" w:rsidRPr="00095903">
        <w:rPr>
          <w:b/>
          <w:bCs/>
        </w:rPr>
        <w:t xml:space="preserve"> </w:t>
      </w:r>
      <w:r w:rsidRPr="00095903">
        <w:rPr>
          <w:b/>
          <w:bCs/>
        </w:rPr>
        <w:t>and</w:t>
      </w:r>
      <w:r w:rsidR="00A03629" w:rsidRPr="00095903">
        <w:rPr>
          <w:b/>
          <w:bCs/>
        </w:rPr>
        <w:t xml:space="preserve"> </w:t>
      </w:r>
      <w:r w:rsidRPr="00095903">
        <w:rPr>
          <w:b/>
          <w:bCs/>
        </w:rPr>
        <w:t>jobs</w:t>
      </w:r>
      <w:r w:rsidR="00A03629" w:rsidRPr="00095903">
        <w:rPr>
          <w:b/>
          <w:bCs/>
        </w:rPr>
        <w:t xml:space="preserve"> </w:t>
      </w:r>
      <w:r w:rsidRPr="00095903">
        <w:rPr>
          <w:b/>
          <w:bCs/>
        </w:rPr>
        <w:t>for</w:t>
      </w:r>
      <w:r w:rsidR="00A03629" w:rsidRPr="00095903">
        <w:rPr>
          <w:b/>
          <w:bCs/>
        </w:rPr>
        <w:t xml:space="preserve"> </w:t>
      </w:r>
      <w:r w:rsidRPr="00095903">
        <w:rPr>
          <w:b/>
          <w:bCs/>
        </w:rPr>
        <w:t>a</w:t>
      </w:r>
      <w:r w:rsidR="00A03629" w:rsidRPr="00095903">
        <w:rPr>
          <w:b/>
          <w:bCs/>
        </w:rPr>
        <w:t xml:space="preserve"> </w:t>
      </w:r>
      <w:r w:rsidRPr="00095903">
        <w:rPr>
          <w:b/>
          <w:bCs/>
        </w:rPr>
        <w:t>growing</w:t>
      </w:r>
      <w:r w:rsidR="00A03629" w:rsidRPr="00095903">
        <w:rPr>
          <w:b/>
          <w:bCs/>
        </w:rPr>
        <w:t xml:space="preserve"> </w:t>
      </w:r>
      <w:r w:rsidRPr="00095903">
        <w:rPr>
          <w:b/>
          <w:bCs/>
        </w:rPr>
        <w:t>economy</w:t>
      </w:r>
      <w:r w:rsidR="00A03629" w:rsidRPr="00095903">
        <w:rPr>
          <w:b/>
          <w:bCs/>
        </w:rPr>
        <w:t xml:space="preserve"> </w:t>
      </w:r>
    </w:p>
    <w:p w14:paraId="03299BEE" w14:textId="5007EBE6" w:rsidR="000756EB" w:rsidRDefault="004A4D88" w:rsidP="00095903">
      <w:r>
        <w:t>This</w:t>
      </w:r>
      <w:r w:rsidR="00A03629">
        <w:t xml:space="preserve"> </w:t>
      </w:r>
      <w:r>
        <w:t>objective</w:t>
      </w:r>
      <w:r w:rsidR="00A03629">
        <w:t xml:space="preserve"> </w:t>
      </w:r>
      <w:r>
        <w:t>seeks</w:t>
      </w:r>
      <w:r w:rsidR="00A03629">
        <w:t xml:space="preserve"> </w:t>
      </w:r>
      <w:r>
        <w:t>to</w:t>
      </w:r>
      <w:r w:rsidR="00A03629">
        <w:t xml:space="preserve"> </w:t>
      </w:r>
      <w:r>
        <w:t>develop</w:t>
      </w:r>
      <w:r w:rsidR="00A03629">
        <w:t xml:space="preserve"> </w:t>
      </w:r>
      <w:r>
        <w:t>the</w:t>
      </w:r>
      <w:r w:rsidR="00A03629">
        <w:t xml:space="preserve"> </w:t>
      </w:r>
      <w:r>
        <w:t>skills</w:t>
      </w:r>
      <w:r w:rsidR="00A03629">
        <w:t xml:space="preserve"> </w:t>
      </w:r>
      <w:r>
        <w:t>of</w:t>
      </w:r>
      <w:r w:rsidR="00A03629">
        <w:t xml:space="preserve"> </w:t>
      </w:r>
      <w:r>
        <w:t>Victorians</w:t>
      </w:r>
      <w:r w:rsidR="00A03629">
        <w:t xml:space="preserve"> </w:t>
      </w:r>
      <w:r>
        <w:t>to</w:t>
      </w:r>
      <w:r w:rsidR="00A03629">
        <w:t xml:space="preserve"> </w:t>
      </w:r>
      <w:r>
        <w:t>meet</w:t>
      </w:r>
      <w:r w:rsidR="00A03629">
        <w:t xml:space="preserve"> </w:t>
      </w:r>
      <w:r>
        <w:t>the</w:t>
      </w:r>
      <w:r w:rsidR="00A03629">
        <w:t xml:space="preserve"> </w:t>
      </w:r>
      <w:r>
        <w:t>current</w:t>
      </w:r>
      <w:r w:rsidR="00A03629">
        <w:t xml:space="preserve"> </w:t>
      </w:r>
      <w:r>
        <w:t>and</w:t>
      </w:r>
      <w:r w:rsidR="00A03629">
        <w:t xml:space="preserve"> </w:t>
      </w:r>
      <w:r>
        <w:t>future</w:t>
      </w:r>
      <w:r w:rsidR="00A03629">
        <w:t xml:space="preserve"> </w:t>
      </w:r>
      <w:r>
        <w:t>needs</w:t>
      </w:r>
      <w:r w:rsidR="00A03629">
        <w:t xml:space="preserve"> </w:t>
      </w:r>
      <w:r>
        <w:t>of</w:t>
      </w:r>
      <w:r w:rsidR="00A03629">
        <w:rPr>
          <w:rFonts w:ascii="Cambria" w:hAnsi="Cambria" w:cs="Cambria"/>
        </w:rPr>
        <w:t xml:space="preserve"> </w:t>
      </w:r>
      <w:r>
        <w:t>industry</w:t>
      </w:r>
      <w:r w:rsidR="00A03629">
        <w:t xml:space="preserve"> </w:t>
      </w:r>
      <w:r>
        <w:t>and</w:t>
      </w:r>
      <w:r w:rsidR="00A03629">
        <w:t xml:space="preserve"> </w:t>
      </w:r>
      <w:r>
        <w:t>business</w:t>
      </w:r>
      <w:r w:rsidR="00A03629">
        <w:t xml:space="preserve"> </w:t>
      </w:r>
      <w:r>
        <w:t>by</w:t>
      </w:r>
      <w:r w:rsidR="00A03629">
        <w:t xml:space="preserve"> </w:t>
      </w:r>
      <w:r>
        <w:t>ensuring</w:t>
      </w:r>
      <w:r w:rsidR="00A03629">
        <w:t xml:space="preserve"> </w:t>
      </w:r>
      <w:r>
        <w:t>that</w:t>
      </w:r>
      <w:r w:rsidR="00A03629">
        <w:t xml:space="preserve"> </w:t>
      </w:r>
      <w:r>
        <w:t>TAFEs</w:t>
      </w:r>
      <w:r w:rsidR="00A03629">
        <w:t xml:space="preserve"> </w:t>
      </w:r>
      <w:r>
        <w:t>and</w:t>
      </w:r>
      <w:r w:rsidR="00A03629">
        <w:t xml:space="preserve"> </w:t>
      </w:r>
      <w:r>
        <w:t>training</w:t>
      </w:r>
      <w:r w:rsidR="00A03629">
        <w:t xml:space="preserve"> </w:t>
      </w:r>
      <w:r>
        <w:t>providers</w:t>
      </w:r>
      <w:r w:rsidR="00A03629">
        <w:t xml:space="preserve"> </w:t>
      </w:r>
      <w:r>
        <w:t>deliver</w:t>
      </w:r>
      <w:r w:rsidR="00A03629">
        <w:t xml:space="preserve"> </w:t>
      </w:r>
      <w:r>
        <w:t>high</w:t>
      </w:r>
      <w:r w:rsidR="00A03629">
        <w:t xml:space="preserve"> </w:t>
      </w:r>
      <w:r>
        <w:t>quality</w:t>
      </w:r>
      <w:r w:rsidR="00A03629">
        <w:t xml:space="preserve"> </w:t>
      </w:r>
      <w:r>
        <w:t>and</w:t>
      </w:r>
      <w:r w:rsidR="00A03629">
        <w:t xml:space="preserve"> </w:t>
      </w:r>
      <w:r>
        <w:t>accessible</w:t>
      </w:r>
      <w:r w:rsidR="00A03629">
        <w:t xml:space="preserve"> </w:t>
      </w:r>
      <w:r>
        <w:t>training.</w:t>
      </w:r>
    </w:p>
    <w:p w14:paraId="6E4FADAF" w14:textId="7183B309" w:rsidR="000756EB" w:rsidRDefault="004A4D88" w:rsidP="00095903">
      <w:r>
        <w:t>The</w:t>
      </w:r>
      <w:r w:rsidR="00A03629">
        <w:t xml:space="preserve"> </w:t>
      </w:r>
      <w:r>
        <w:t>Training,</w:t>
      </w:r>
      <w:r w:rsidR="00A03629">
        <w:t xml:space="preserve"> </w:t>
      </w:r>
      <w:r>
        <w:t>Higher</w:t>
      </w:r>
      <w:r w:rsidR="00A03629">
        <w:t xml:space="preserve"> </w:t>
      </w:r>
      <w:r>
        <w:t>Education</w:t>
      </w:r>
      <w:r w:rsidR="00A03629">
        <w:t xml:space="preserve"> </w:t>
      </w:r>
      <w:r>
        <w:t>and</w:t>
      </w:r>
      <w:r w:rsidR="00A03629">
        <w:t xml:space="preserve"> </w:t>
      </w:r>
      <w:r>
        <w:t>Workforce</w:t>
      </w:r>
      <w:r w:rsidR="00A03629">
        <w:t xml:space="preserve"> </w:t>
      </w:r>
      <w:r>
        <w:t>Development</w:t>
      </w:r>
      <w:r w:rsidR="00A03629">
        <w:t xml:space="preserve"> </w:t>
      </w:r>
      <w:r>
        <w:t>output</w:t>
      </w:r>
      <w:r w:rsidR="00A03629">
        <w:t xml:space="preserve"> </w:t>
      </w:r>
      <w:r>
        <w:t>supports</w:t>
      </w:r>
      <w:r w:rsidR="00A03629">
        <w:t xml:space="preserve"> </w:t>
      </w:r>
      <w:r>
        <w:t>Victorians</w:t>
      </w:r>
      <w:r w:rsidR="00A03629">
        <w:t xml:space="preserve"> </w:t>
      </w:r>
      <w:r>
        <w:t>to</w:t>
      </w:r>
      <w:r w:rsidR="00A03629">
        <w:t xml:space="preserve"> </w:t>
      </w:r>
      <w:r>
        <w:t>gain</w:t>
      </w:r>
      <w:r w:rsidR="00A03629">
        <w:t xml:space="preserve"> </w:t>
      </w:r>
      <w:r>
        <w:t>the</w:t>
      </w:r>
      <w:r w:rsidR="00A03629">
        <w:t xml:space="preserve"> </w:t>
      </w:r>
      <w:r>
        <w:t>skills</w:t>
      </w:r>
      <w:r w:rsidR="00A03629">
        <w:t xml:space="preserve"> </w:t>
      </w:r>
      <w:r>
        <w:t>and</w:t>
      </w:r>
      <w:r w:rsidR="00A03629">
        <w:t xml:space="preserve"> </w:t>
      </w:r>
      <w:r>
        <w:t>capabilities</w:t>
      </w:r>
      <w:r w:rsidR="00A03629">
        <w:t xml:space="preserve"> </w:t>
      </w:r>
      <w:r>
        <w:t>essential</w:t>
      </w:r>
      <w:r w:rsidR="00A03629">
        <w:t xml:space="preserve"> </w:t>
      </w:r>
      <w:r>
        <w:t>for</w:t>
      </w:r>
      <w:r w:rsidR="00A03629">
        <w:t xml:space="preserve"> </w:t>
      </w:r>
      <w:r>
        <w:t>success</w:t>
      </w:r>
      <w:r w:rsidR="00A03629">
        <w:t xml:space="preserve"> </w:t>
      </w:r>
      <w:r>
        <w:t>in</w:t>
      </w:r>
      <w:r w:rsidR="00A03629">
        <w:t xml:space="preserve"> </w:t>
      </w:r>
      <w:r>
        <w:t>employment</w:t>
      </w:r>
      <w:r w:rsidR="00A03629">
        <w:t xml:space="preserve"> </w:t>
      </w:r>
      <w:r>
        <w:t>and</w:t>
      </w:r>
      <w:r w:rsidR="00A03629">
        <w:t xml:space="preserve"> </w:t>
      </w:r>
      <w:r>
        <w:t>further</w:t>
      </w:r>
      <w:r w:rsidR="00A03629">
        <w:t xml:space="preserve"> </w:t>
      </w:r>
      <w:r>
        <w:t>training</w:t>
      </w:r>
      <w:r w:rsidR="00A03629">
        <w:t xml:space="preserve"> </w:t>
      </w:r>
      <w:r>
        <w:t>or</w:t>
      </w:r>
      <w:r w:rsidR="00A03629">
        <w:t xml:space="preserve"> </w:t>
      </w:r>
      <w:r>
        <w:t>study.</w:t>
      </w:r>
      <w:r w:rsidR="00A03629">
        <w:t xml:space="preserve"> </w:t>
      </w:r>
      <w:r>
        <w:t>DJSIR</w:t>
      </w:r>
      <w:r w:rsidR="00A03629">
        <w:t xml:space="preserve"> </w:t>
      </w:r>
      <w:r>
        <w:t>works</w:t>
      </w:r>
      <w:r w:rsidR="00A03629">
        <w:t xml:space="preserve"> </w:t>
      </w:r>
      <w:r>
        <w:t>with</w:t>
      </w:r>
      <w:r w:rsidR="00A03629">
        <w:t xml:space="preserve"> </w:t>
      </w:r>
      <w:r>
        <w:t>the</w:t>
      </w:r>
      <w:r w:rsidR="00A03629">
        <w:t xml:space="preserve"> </w:t>
      </w:r>
      <w:r>
        <w:t>TAFE</w:t>
      </w:r>
      <w:r w:rsidR="00A03629">
        <w:t xml:space="preserve"> </w:t>
      </w:r>
      <w:r>
        <w:t>and</w:t>
      </w:r>
      <w:r w:rsidR="00A03629">
        <w:t xml:space="preserve"> </w:t>
      </w:r>
      <w:r>
        <w:t>training</w:t>
      </w:r>
      <w:r w:rsidR="00A03629">
        <w:t xml:space="preserve"> </w:t>
      </w:r>
      <w:r>
        <w:t>sector</w:t>
      </w:r>
      <w:r w:rsidR="00A03629">
        <w:t xml:space="preserve"> </w:t>
      </w:r>
      <w:r>
        <w:t>to</w:t>
      </w:r>
      <w:r w:rsidR="00A03629">
        <w:t xml:space="preserve"> </w:t>
      </w:r>
      <w:r>
        <w:t>deliver</w:t>
      </w:r>
      <w:r w:rsidR="00A03629">
        <w:t xml:space="preserve"> </w:t>
      </w:r>
      <w:r>
        <w:t>quality</w:t>
      </w:r>
      <w:r w:rsidR="00A03629">
        <w:t xml:space="preserve"> </w:t>
      </w:r>
      <w:r>
        <w:t>training</w:t>
      </w:r>
      <w:r w:rsidR="00A03629">
        <w:t xml:space="preserve"> </w:t>
      </w:r>
      <w:r>
        <w:t>that</w:t>
      </w:r>
      <w:r w:rsidR="00A03629">
        <w:t xml:space="preserve"> </w:t>
      </w:r>
      <w:r>
        <w:t>strongly</w:t>
      </w:r>
      <w:r w:rsidR="00A03629">
        <w:t xml:space="preserve"> </w:t>
      </w:r>
      <w:r>
        <w:t>supports</w:t>
      </w:r>
      <w:r w:rsidR="00A03629">
        <w:t xml:space="preserve"> </w:t>
      </w:r>
      <w:r>
        <w:t>industry</w:t>
      </w:r>
      <w:r w:rsidR="00A03629">
        <w:t xml:space="preserve"> </w:t>
      </w:r>
      <w:r>
        <w:t>to</w:t>
      </w:r>
      <w:r w:rsidR="00A03629">
        <w:t xml:space="preserve"> </w:t>
      </w:r>
      <w:r>
        <w:t>meet</w:t>
      </w:r>
      <w:r w:rsidR="00A03629">
        <w:t xml:space="preserve"> </w:t>
      </w:r>
      <w:r>
        <w:t>the</w:t>
      </w:r>
      <w:r w:rsidR="00A03629">
        <w:t xml:space="preserve"> </w:t>
      </w:r>
      <w:r>
        <w:t>evolving</w:t>
      </w:r>
      <w:r w:rsidR="00A03629">
        <w:t xml:space="preserve"> </w:t>
      </w:r>
      <w:r>
        <w:t>needs</w:t>
      </w:r>
      <w:r w:rsidR="00A03629">
        <w:t xml:space="preserve"> </w:t>
      </w:r>
      <w:r>
        <w:t>of</w:t>
      </w:r>
      <w:r w:rsidR="00A03629">
        <w:t xml:space="preserve"> </w:t>
      </w:r>
      <w:r>
        <w:t>the</w:t>
      </w:r>
      <w:r w:rsidR="00A03629">
        <w:t xml:space="preserve"> </w:t>
      </w:r>
      <w:r>
        <w:t>economy,</w:t>
      </w:r>
      <w:r w:rsidR="00A03629">
        <w:t xml:space="preserve"> </w:t>
      </w:r>
      <w:r>
        <w:t>promotes</w:t>
      </w:r>
      <w:r w:rsidR="00A03629">
        <w:t xml:space="preserve"> </w:t>
      </w:r>
      <w:r>
        <w:t>equity</w:t>
      </w:r>
      <w:r w:rsidR="00A03629">
        <w:t xml:space="preserve"> </w:t>
      </w:r>
      <w:r>
        <w:t>and</w:t>
      </w:r>
      <w:r w:rsidR="00A03629">
        <w:t xml:space="preserve"> </w:t>
      </w:r>
      <w:r>
        <w:t>addresses</w:t>
      </w:r>
      <w:r w:rsidR="00A03629">
        <w:t xml:space="preserve"> </w:t>
      </w:r>
      <w:r>
        <w:t>disadvantage,</w:t>
      </w:r>
      <w:r w:rsidR="00A03629">
        <w:t xml:space="preserve"> </w:t>
      </w:r>
      <w:r>
        <w:t>with</w:t>
      </w:r>
      <w:r w:rsidR="00A03629">
        <w:rPr>
          <w:rFonts w:ascii="Cambria" w:hAnsi="Cambria" w:cs="Cambria"/>
        </w:rPr>
        <w:t xml:space="preserve"> </w:t>
      </w:r>
      <w:r>
        <w:t>an</w:t>
      </w:r>
      <w:r w:rsidR="00A03629">
        <w:t xml:space="preserve"> </w:t>
      </w:r>
      <w:r>
        <w:t>emphasis</w:t>
      </w:r>
      <w:r w:rsidR="00A03629">
        <w:t xml:space="preserve"> </w:t>
      </w:r>
      <w:r>
        <w:t>on</w:t>
      </w:r>
      <w:r w:rsidR="00A03629">
        <w:t xml:space="preserve"> </w:t>
      </w:r>
      <w:r>
        <w:t>growth</w:t>
      </w:r>
      <w:r w:rsidR="00A03629">
        <w:t xml:space="preserve"> </w:t>
      </w:r>
      <w:r>
        <w:t>sectors</w:t>
      </w:r>
      <w:r w:rsidR="00A03629">
        <w:t xml:space="preserve"> </w:t>
      </w:r>
      <w:r>
        <w:t>of</w:t>
      </w:r>
      <w:r w:rsidR="00A03629">
        <w:t xml:space="preserve"> </w:t>
      </w:r>
      <w:r>
        <w:t>the</w:t>
      </w:r>
      <w:r w:rsidR="00A03629">
        <w:t xml:space="preserve"> </w:t>
      </w:r>
      <w:r>
        <w:t>economy.</w:t>
      </w:r>
      <w:r w:rsidR="00A03629">
        <w:t xml:space="preserve"> </w:t>
      </w:r>
      <w:r>
        <w:t>This</w:t>
      </w:r>
      <w:r w:rsidR="00A03629">
        <w:rPr>
          <w:rFonts w:ascii="Cambria" w:hAnsi="Cambria" w:cs="Cambria"/>
        </w:rPr>
        <w:t xml:space="preserve"> </w:t>
      </w:r>
      <w:r>
        <w:t>output</w:t>
      </w:r>
      <w:r w:rsidR="00A03629">
        <w:t xml:space="preserve"> </w:t>
      </w:r>
      <w:r>
        <w:t>includes</w:t>
      </w:r>
      <w:r w:rsidR="00A03629">
        <w:t xml:space="preserve"> </w:t>
      </w:r>
      <w:r>
        <w:t>the</w:t>
      </w:r>
      <w:r w:rsidR="00A03629">
        <w:t xml:space="preserve"> </w:t>
      </w:r>
      <w:r>
        <w:t>functions</w:t>
      </w:r>
      <w:r w:rsidR="00A03629">
        <w:t xml:space="preserve"> </w:t>
      </w:r>
      <w:r>
        <w:t>of</w:t>
      </w:r>
      <w:r w:rsidR="00A03629">
        <w:t xml:space="preserve"> </w:t>
      </w:r>
      <w:r>
        <w:t>training</w:t>
      </w:r>
      <w:r w:rsidR="00A03629">
        <w:t xml:space="preserve"> </w:t>
      </w:r>
      <w:r>
        <w:t>system</w:t>
      </w:r>
      <w:r w:rsidR="00A03629">
        <w:t xml:space="preserve"> </w:t>
      </w:r>
      <w:r>
        <w:t>design,</w:t>
      </w:r>
      <w:r w:rsidR="00A03629">
        <w:t xml:space="preserve"> </w:t>
      </w:r>
      <w:r>
        <w:t>industry</w:t>
      </w:r>
      <w:r w:rsidR="00A03629">
        <w:t xml:space="preserve"> </w:t>
      </w:r>
      <w:r>
        <w:t>engagement,</w:t>
      </w:r>
      <w:r w:rsidR="00A03629">
        <w:t xml:space="preserve"> </w:t>
      </w:r>
      <w:r>
        <w:t>contracting</w:t>
      </w:r>
      <w:r w:rsidR="00A03629">
        <w:t xml:space="preserve"> </w:t>
      </w:r>
      <w:r>
        <w:t>and</w:t>
      </w:r>
      <w:r w:rsidR="00A03629">
        <w:t xml:space="preserve"> </w:t>
      </w:r>
      <w:r>
        <w:t>monitoring</w:t>
      </w:r>
      <w:r w:rsidR="00A03629">
        <w:t xml:space="preserve"> </w:t>
      </w:r>
      <w:r>
        <w:t>of</w:t>
      </w:r>
      <w:r w:rsidR="00A03629">
        <w:t xml:space="preserve"> </w:t>
      </w:r>
      <w:r>
        <w:t>quality</w:t>
      </w:r>
      <w:r w:rsidR="00A03629">
        <w:t xml:space="preserve"> </w:t>
      </w:r>
      <w:r>
        <w:t>and</w:t>
      </w:r>
      <w:r w:rsidR="00A03629">
        <w:t xml:space="preserve"> </w:t>
      </w:r>
      <w:r>
        <w:t>training</w:t>
      </w:r>
      <w:r w:rsidR="00A03629">
        <w:t xml:space="preserve"> </w:t>
      </w:r>
      <w:r>
        <w:t>services</w:t>
      </w:r>
      <w:r w:rsidR="00A03629">
        <w:t xml:space="preserve"> </w:t>
      </w:r>
      <w:r>
        <w:t>including</w:t>
      </w:r>
      <w:r w:rsidR="00A03629">
        <w:t xml:space="preserve"> </w:t>
      </w:r>
      <w:r>
        <w:t>accredited</w:t>
      </w:r>
      <w:r w:rsidR="00A03629">
        <w:t xml:space="preserve"> </w:t>
      </w:r>
      <w:r>
        <w:t>and</w:t>
      </w:r>
      <w:r w:rsidR="00A03629">
        <w:t xml:space="preserve"> </w:t>
      </w:r>
      <w:r>
        <w:t>pre-accredited</w:t>
      </w:r>
      <w:r w:rsidR="00A03629">
        <w:t xml:space="preserve"> </w:t>
      </w:r>
      <w:r>
        <w:t>vocational</w:t>
      </w:r>
      <w:r w:rsidR="00A03629">
        <w:t xml:space="preserve"> </w:t>
      </w:r>
      <w:r>
        <w:t>education</w:t>
      </w:r>
      <w:r w:rsidR="00A03629">
        <w:t xml:space="preserve"> </w:t>
      </w:r>
      <w:r>
        <w:t>and</w:t>
      </w:r>
      <w:r w:rsidR="00A03629">
        <w:t xml:space="preserve"> </w:t>
      </w:r>
      <w:r>
        <w:t>training</w:t>
      </w:r>
      <w:r w:rsidR="00A03629">
        <w:t xml:space="preserve"> </w:t>
      </w:r>
      <w:r>
        <w:t>through</w:t>
      </w:r>
      <w:r w:rsidR="00A03629">
        <w:t xml:space="preserve"> </w:t>
      </w:r>
      <w:r>
        <w:t>to</w:t>
      </w:r>
      <w:r w:rsidR="00A03629">
        <w:t xml:space="preserve"> </w:t>
      </w:r>
      <w:r>
        <w:t>adult</w:t>
      </w:r>
      <w:r w:rsidR="00A03629">
        <w:t xml:space="preserve"> </w:t>
      </w:r>
      <w:r>
        <w:t>community</w:t>
      </w:r>
      <w:r w:rsidR="00A03629">
        <w:t xml:space="preserve"> </w:t>
      </w:r>
      <w:r>
        <w:t>education.</w:t>
      </w:r>
    </w:p>
    <w:p w14:paraId="01C70393" w14:textId="652E48E2" w:rsidR="000756EB" w:rsidRDefault="004A4D88" w:rsidP="00095903">
      <w:pPr>
        <w:pStyle w:val="Heading2"/>
      </w:pPr>
      <w:bookmarkStart w:id="160" w:name="_Toc149911851"/>
      <w:r>
        <w:t>9.14</w:t>
      </w:r>
      <w:r w:rsidR="00DE38B5">
        <w:t xml:space="preserve"> </w:t>
      </w:r>
      <w:r>
        <w:t>Glossary</w:t>
      </w:r>
      <w:r w:rsidR="00A03629">
        <w:t xml:space="preserve"> </w:t>
      </w:r>
      <w:r>
        <w:t>of</w:t>
      </w:r>
      <w:r w:rsidR="00A03629">
        <w:t xml:space="preserve"> </w:t>
      </w:r>
      <w:r>
        <w:t>technical</w:t>
      </w:r>
      <w:r w:rsidR="00A03629">
        <w:t xml:space="preserve"> </w:t>
      </w:r>
      <w:r>
        <w:t>terms</w:t>
      </w:r>
      <w:bookmarkEnd w:id="160"/>
    </w:p>
    <w:p w14:paraId="4AE0BF4C" w14:textId="4CFCEE5A" w:rsidR="000756EB" w:rsidRPr="00095903" w:rsidRDefault="004A4D88" w:rsidP="00095903">
      <w:pPr>
        <w:pStyle w:val="Normalbeforebullets"/>
        <w:rPr>
          <w:b/>
          <w:bCs/>
        </w:rPr>
      </w:pPr>
      <w:r w:rsidRPr="00095903">
        <w:rPr>
          <w:b/>
          <w:bCs/>
        </w:rPr>
        <w:t>Actuarial</w:t>
      </w:r>
      <w:r w:rsidR="00A03629" w:rsidRPr="00095903">
        <w:rPr>
          <w:b/>
          <w:bCs/>
        </w:rPr>
        <w:t xml:space="preserve"> </w:t>
      </w:r>
      <w:r w:rsidRPr="00095903">
        <w:rPr>
          <w:b/>
          <w:bCs/>
        </w:rPr>
        <w:t>gains</w:t>
      </w:r>
      <w:r w:rsidR="00A03629" w:rsidRPr="00095903">
        <w:rPr>
          <w:b/>
          <w:bCs/>
        </w:rPr>
        <w:t xml:space="preserve"> </w:t>
      </w:r>
      <w:r w:rsidRPr="00095903">
        <w:rPr>
          <w:b/>
          <w:bCs/>
        </w:rPr>
        <w:t>or</w:t>
      </w:r>
      <w:r w:rsidR="00A03629" w:rsidRPr="00095903">
        <w:rPr>
          <w:b/>
          <w:bCs/>
        </w:rPr>
        <w:t xml:space="preserve"> </w:t>
      </w:r>
      <w:r w:rsidRPr="00095903">
        <w:rPr>
          <w:b/>
          <w:bCs/>
        </w:rPr>
        <w:t>losses</w:t>
      </w:r>
      <w:r w:rsidR="00A03629" w:rsidRPr="00095903">
        <w:rPr>
          <w:b/>
          <w:bCs/>
        </w:rPr>
        <w:t xml:space="preserve"> </w:t>
      </w:r>
      <w:r w:rsidRPr="00095903">
        <w:rPr>
          <w:b/>
          <w:bCs/>
        </w:rPr>
        <w:t>on</w:t>
      </w:r>
      <w:r w:rsidR="00A03629" w:rsidRPr="00095903">
        <w:rPr>
          <w:b/>
          <w:bCs/>
        </w:rPr>
        <w:t xml:space="preserve"> </w:t>
      </w:r>
      <w:r w:rsidRPr="00095903">
        <w:rPr>
          <w:b/>
          <w:bCs/>
        </w:rPr>
        <w:t>superannuation</w:t>
      </w:r>
      <w:r w:rsidR="00A03629" w:rsidRPr="00095903">
        <w:rPr>
          <w:b/>
          <w:bCs/>
        </w:rPr>
        <w:t xml:space="preserve"> </w:t>
      </w:r>
      <w:r w:rsidRPr="00095903">
        <w:rPr>
          <w:b/>
          <w:bCs/>
        </w:rPr>
        <w:t>defined</w:t>
      </w:r>
      <w:r w:rsidR="00A03629" w:rsidRPr="00095903">
        <w:rPr>
          <w:rFonts w:ascii="Cambria" w:hAnsi="Cambria" w:cs="Cambria"/>
          <w:b/>
          <w:bCs/>
        </w:rPr>
        <w:t xml:space="preserve"> </w:t>
      </w:r>
      <w:r w:rsidRPr="00095903">
        <w:rPr>
          <w:b/>
          <w:bCs/>
        </w:rPr>
        <w:t>benefit</w:t>
      </w:r>
      <w:r w:rsidR="00A03629" w:rsidRPr="00095903">
        <w:rPr>
          <w:b/>
          <w:bCs/>
        </w:rPr>
        <w:t xml:space="preserve"> </w:t>
      </w:r>
      <w:r w:rsidRPr="00095903">
        <w:rPr>
          <w:b/>
          <w:bCs/>
        </w:rPr>
        <w:t>plans</w:t>
      </w:r>
    </w:p>
    <w:p w14:paraId="2B17967D" w14:textId="4CFEB1CA" w:rsidR="000756EB" w:rsidRDefault="004A4D88" w:rsidP="00095903">
      <w:r>
        <w:t>Actuarial</w:t>
      </w:r>
      <w:r w:rsidR="00A03629">
        <w:t xml:space="preserve"> </w:t>
      </w:r>
      <w:r>
        <w:t>gains</w:t>
      </w:r>
      <w:r w:rsidR="00A03629">
        <w:t xml:space="preserve"> </w:t>
      </w:r>
      <w:r>
        <w:t>or</w:t>
      </w:r>
      <w:r w:rsidR="00A03629">
        <w:t xml:space="preserve"> </w:t>
      </w:r>
      <w:r>
        <w:t>losses</w:t>
      </w:r>
      <w:r w:rsidR="00A03629">
        <w:t xml:space="preserve"> </w:t>
      </w:r>
      <w:r>
        <w:t>are</w:t>
      </w:r>
      <w:r w:rsidR="00A03629">
        <w:t xml:space="preserve"> </w:t>
      </w:r>
      <w:r>
        <w:t>changes</w:t>
      </w:r>
      <w:r w:rsidR="00A03629">
        <w:t xml:space="preserve"> </w:t>
      </w:r>
      <w:r>
        <w:t>in</w:t>
      </w:r>
      <w:r w:rsidR="00A03629">
        <w:t xml:space="preserve"> </w:t>
      </w:r>
      <w:r>
        <w:t>the</w:t>
      </w:r>
      <w:r w:rsidR="00A03629">
        <w:t xml:space="preserve"> </w:t>
      </w:r>
      <w:r>
        <w:t>present</w:t>
      </w:r>
      <w:r w:rsidR="00A03629">
        <w:t xml:space="preserve"> </w:t>
      </w:r>
      <w:r>
        <w:t>value</w:t>
      </w:r>
      <w:r w:rsidR="00A03629">
        <w:t xml:space="preserve"> </w:t>
      </w:r>
      <w:r>
        <w:t>of</w:t>
      </w:r>
      <w:r w:rsidR="00A03629">
        <w:t xml:space="preserve"> </w:t>
      </w:r>
      <w:r>
        <w:t>the</w:t>
      </w:r>
      <w:r w:rsidR="00A03629">
        <w:t xml:space="preserve"> </w:t>
      </w:r>
      <w:r>
        <w:t>superannuation</w:t>
      </w:r>
      <w:r w:rsidR="00A03629">
        <w:t xml:space="preserve"> </w:t>
      </w:r>
      <w:r>
        <w:t>defined</w:t>
      </w:r>
      <w:r w:rsidR="00A03629">
        <w:t xml:space="preserve"> </w:t>
      </w:r>
      <w:r>
        <w:t>benefit</w:t>
      </w:r>
      <w:r w:rsidR="00A03629">
        <w:t xml:space="preserve"> </w:t>
      </w:r>
      <w:r>
        <w:t>liability</w:t>
      </w:r>
      <w:r w:rsidR="00A03629">
        <w:t xml:space="preserve"> </w:t>
      </w:r>
      <w:r>
        <w:t>resulting</w:t>
      </w:r>
      <w:r w:rsidR="00A03629">
        <w:t xml:space="preserve"> </w:t>
      </w:r>
      <w:r>
        <w:t>from</w:t>
      </w:r>
      <w:r w:rsidR="00A03629">
        <w:t xml:space="preserve"> </w:t>
      </w:r>
      <w:r>
        <w:t>experience</w:t>
      </w:r>
      <w:r w:rsidR="00A03629">
        <w:t xml:space="preserve"> </w:t>
      </w:r>
      <w:r>
        <w:t>adjustments</w:t>
      </w:r>
      <w:r w:rsidR="00A03629">
        <w:t xml:space="preserve"> </w:t>
      </w:r>
      <w:r>
        <w:t>(the</w:t>
      </w:r>
      <w:r w:rsidR="00A03629">
        <w:t xml:space="preserve"> </w:t>
      </w:r>
      <w:r>
        <w:t>effects</w:t>
      </w:r>
      <w:r w:rsidR="00A03629">
        <w:t xml:space="preserve"> </w:t>
      </w:r>
      <w:r>
        <w:t>of</w:t>
      </w:r>
      <w:r w:rsidR="00A03629">
        <w:t xml:space="preserve"> </w:t>
      </w:r>
      <w:r>
        <w:t>differences</w:t>
      </w:r>
      <w:r w:rsidR="00A03629">
        <w:t xml:space="preserve"> </w:t>
      </w:r>
      <w:r>
        <w:t>between</w:t>
      </w:r>
      <w:r w:rsidR="00A03629">
        <w:t xml:space="preserve"> </w:t>
      </w:r>
      <w:r>
        <w:t>the</w:t>
      </w:r>
      <w:r w:rsidR="00A03629">
        <w:t xml:space="preserve"> </w:t>
      </w:r>
      <w:r>
        <w:t>previous</w:t>
      </w:r>
      <w:r w:rsidR="00A03629">
        <w:t xml:space="preserve"> </w:t>
      </w:r>
      <w:r>
        <w:t>actuarial</w:t>
      </w:r>
      <w:r w:rsidR="00A03629">
        <w:t xml:space="preserve"> </w:t>
      </w:r>
      <w:r>
        <w:t>assumptions</w:t>
      </w:r>
      <w:r w:rsidR="00A03629">
        <w:t xml:space="preserve"> </w:t>
      </w:r>
      <w:r>
        <w:t>and</w:t>
      </w:r>
      <w:r w:rsidR="00A03629">
        <w:t xml:space="preserve"> </w:t>
      </w:r>
      <w:r>
        <w:t>what</w:t>
      </w:r>
      <w:r w:rsidR="00A03629">
        <w:t xml:space="preserve"> </w:t>
      </w:r>
      <w:r>
        <w:t>has</w:t>
      </w:r>
      <w:r w:rsidR="00A03629">
        <w:t xml:space="preserve"> </w:t>
      </w:r>
      <w:proofErr w:type="gramStart"/>
      <w:r>
        <w:t>actually</w:t>
      </w:r>
      <w:r w:rsidR="00A03629">
        <w:t xml:space="preserve"> </w:t>
      </w:r>
      <w:r>
        <w:t>occurred</w:t>
      </w:r>
      <w:proofErr w:type="gramEnd"/>
      <w:r>
        <w:t>)</w:t>
      </w:r>
      <w:r w:rsidR="00A03629">
        <w:t xml:space="preserve"> </w:t>
      </w:r>
      <w:r>
        <w:t>and</w:t>
      </w:r>
      <w:r w:rsidR="00A03629">
        <w:t xml:space="preserve"> </w:t>
      </w:r>
      <w:r>
        <w:t>the</w:t>
      </w:r>
      <w:r w:rsidR="00A03629">
        <w:t xml:space="preserve"> </w:t>
      </w:r>
      <w:r>
        <w:t>effects</w:t>
      </w:r>
      <w:r w:rsidR="00A03629">
        <w:t xml:space="preserve"> </w:t>
      </w:r>
      <w:r>
        <w:t>of</w:t>
      </w:r>
      <w:r w:rsidR="00A03629">
        <w:t xml:space="preserve"> </w:t>
      </w:r>
      <w:r>
        <w:t>changes</w:t>
      </w:r>
      <w:r w:rsidR="00A03629">
        <w:t xml:space="preserve"> </w:t>
      </w:r>
      <w:r>
        <w:t>in</w:t>
      </w:r>
      <w:r w:rsidR="00A03629">
        <w:t xml:space="preserve"> </w:t>
      </w:r>
      <w:r>
        <w:t>actuarial</w:t>
      </w:r>
      <w:r w:rsidR="00A03629">
        <w:t xml:space="preserve"> </w:t>
      </w:r>
      <w:r>
        <w:t>assumptions.</w:t>
      </w:r>
    </w:p>
    <w:p w14:paraId="42F4F5A7" w14:textId="6B8C9D8D" w:rsidR="000756EB" w:rsidRPr="00095903" w:rsidRDefault="004A4D88" w:rsidP="00095903">
      <w:pPr>
        <w:pStyle w:val="Normalbeforebullets"/>
        <w:rPr>
          <w:b/>
          <w:bCs/>
        </w:rPr>
      </w:pPr>
      <w:r w:rsidRPr="00095903">
        <w:rPr>
          <w:b/>
          <w:bCs/>
        </w:rPr>
        <w:t>Administered</w:t>
      </w:r>
      <w:r w:rsidR="00A03629" w:rsidRPr="00095903">
        <w:rPr>
          <w:b/>
          <w:bCs/>
        </w:rPr>
        <w:t xml:space="preserve"> </w:t>
      </w:r>
      <w:r w:rsidRPr="00095903">
        <w:rPr>
          <w:b/>
          <w:bCs/>
        </w:rPr>
        <w:t>item</w:t>
      </w:r>
    </w:p>
    <w:p w14:paraId="4A80E301" w14:textId="371A99D6" w:rsidR="000756EB" w:rsidRDefault="004A4D88" w:rsidP="00095903">
      <w:r>
        <w:t>Administered</w:t>
      </w:r>
      <w:r w:rsidR="00A03629">
        <w:t xml:space="preserve"> </w:t>
      </w:r>
      <w:r>
        <w:t>item</w:t>
      </w:r>
      <w:r w:rsidR="00A03629">
        <w:t xml:space="preserve"> </w:t>
      </w:r>
      <w:r>
        <w:t>generally</w:t>
      </w:r>
      <w:r w:rsidR="00A03629">
        <w:t xml:space="preserve"> </w:t>
      </w:r>
      <w:r>
        <w:t>refers</w:t>
      </w:r>
      <w:r w:rsidR="00A03629">
        <w:t xml:space="preserve"> </w:t>
      </w:r>
      <w:r>
        <w:t>to</w:t>
      </w:r>
      <w:r w:rsidR="00A03629">
        <w:t xml:space="preserve"> </w:t>
      </w:r>
      <w:r>
        <w:t>a</w:t>
      </w:r>
      <w:r w:rsidR="00A03629">
        <w:t xml:space="preserve"> </w:t>
      </w:r>
      <w:r>
        <w:t>department</w:t>
      </w:r>
      <w:r w:rsidR="00A03629">
        <w:t xml:space="preserve"> </w:t>
      </w:r>
      <w:r>
        <w:t>lacking</w:t>
      </w:r>
      <w:r w:rsidR="00A03629">
        <w:t xml:space="preserve"> </w:t>
      </w:r>
      <w:r>
        <w:t>the</w:t>
      </w:r>
      <w:r w:rsidR="00A03629">
        <w:t xml:space="preserve"> </w:t>
      </w:r>
      <w:r>
        <w:t>capacity</w:t>
      </w:r>
      <w:r w:rsidR="00A03629">
        <w:t xml:space="preserve"> </w:t>
      </w:r>
      <w:r>
        <w:t>to</w:t>
      </w:r>
      <w:r w:rsidR="00A03629">
        <w:t xml:space="preserve"> </w:t>
      </w:r>
      <w:r>
        <w:t>benefit</w:t>
      </w:r>
      <w:r w:rsidR="00A03629">
        <w:t xml:space="preserve"> </w:t>
      </w:r>
      <w:r>
        <w:t>from</w:t>
      </w:r>
      <w:r w:rsidR="00A03629">
        <w:t xml:space="preserve"> </w:t>
      </w:r>
      <w:r>
        <w:t>that</w:t>
      </w:r>
      <w:r w:rsidR="00A03629">
        <w:t xml:space="preserve"> </w:t>
      </w:r>
      <w:r>
        <w:t>item</w:t>
      </w:r>
      <w:r w:rsidR="00A03629">
        <w:t xml:space="preserve"> </w:t>
      </w:r>
      <w:r>
        <w:t>in</w:t>
      </w:r>
      <w:r w:rsidR="00A03629">
        <w:t xml:space="preserve"> </w:t>
      </w:r>
      <w:r>
        <w:t>the</w:t>
      </w:r>
      <w:r w:rsidR="00A03629">
        <w:t xml:space="preserve"> </w:t>
      </w:r>
      <w:r>
        <w:t>pursuit</w:t>
      </w:r>
      <w:r w:rsidR="00A03629">
        <w:t xml:space="preserve"> </w:t>
      </w:r>
      <w:r>
        <w:t>of</w:t>
      </w:r>
      <w:r w:rsidR="00A03629">
        <w:t xml:space="preserve"> </w:t>
      </w:r>
      <w:r>
        <w:t>the</w:t>
      </w:r>
      <w:r w:rsidR="00A03629">
        <w:t xml:space="preserve"> </w:t>
      </w:r>
      <w:r>
        <w:t>entity’s</w:t>
      </w:r>
      <w:r w:rsidR="00A03629">
        <w:t xml:space="preserve"> </w:t>
      </w:r>
      <w:r>
        <w:t>objectives</w:t>
      </w:r>
      <w:r w:rsidR="00A03629">
        <w:t xml:space="preserve"> </w:t>
      </w:r>
      <w:r>
        <w:t>and</w:t>
      </w:r>
      <w:r w:rsidR="00A03629">
        <w:t xml:space="preserve"> </w:t>
      </w:r>
      <w:r>
        <w:t>to</w:t>
      </w:r>
      <w:r w:rsidR="00A03629">
        <w:t xml:space="preserve"> </w:t>
      </w:r>
      <w:r>
        <w:t>deny</w:t>
      </w:r>
      <w:r w:rsidR="00A03629">
        <w:t xml:space="preserve"> </w:t>
      </w:r>
      <w:r>
        <w:t>or</w:t>
      </w:r>
      <w:r w:rsidR="00A03629">
        <w:t xml:space="preserve"> </w:t>
      </w:r>
      <w:r>
        <w:t>regulate</w:t>
      </w:r>
      <w:r w:rsidR="00A03629">
        <w:t xml:space="preserve"> </w:t>
      </w:r>
      <w:r>
        <w:t>the</w:t>
      </w:r>
      <w:r w:rsidR="00A03629">
        <w:t xml:space="preserve"> </w:t>
      </w:r>
      <w:r>
        <w:t>access</w:t>
      </w:r>
      <w:r w:rsidR="00A03629">
        <w:t xml:space="preserve"> </w:t>
      </w:r>
      <w:r>
        <w:t>of</w:t>
      </w:r>
      <w:r w:rsidR="00A03629">
        <w:t xml:space="preserve"> </w:t>
      </w:r>
      <w:r>
        <w:t>others</w:t>
      </w:r>
      <w:r w:rsidR="00A03629">
        <w:t xml:space="preserve"> </w:t>
      </w:r>
      <w:r>
        <w:t>to</w:t>
      </w:r>
      <w:r w:rsidR="00A03629">
        <w:t xml:space="preserve"> </w:t>
      </w:r>
      <w:r>
        <w:t>that</w:t>
      </w:r>
      <w:r w:rsidR="00A03629">
        <w:t xml:space="preserve"> </w:t>
      </w:r>
      <w:r>
        <w:t>benefit.</w:t>
      </w:r>
      <w:r w:rsidR="00A03629">
        <w:t xml:space="preserve"> </w:t>
      </w:r>
    </w:p>
    <w:p w14:paraId="4D918750" w14:textId="77777777" w:rsidR="000756EB" w:rsidRPr="00095903" w:rsidRDefault="004A4D88" w:rsidP="00095903">
      <w:pPr>
        <w:pStyle w:val="Normalbeforebullets"/>
        <w:rPr>
          <w:b/>
          <w:bCs/>
        </w:rPr>
      </w:pPr>
      <w:r w:rsidRPr="00095903">
        <w:rPr>
          <w:b/>
          <w:bCs/>
        </w:rPr>
        <w:lastRenderedPageBreak/>
        <w:t>Amortisation</w:t>
      </w:r>
    </w:p>
    <w:p w14:paraId="6300DBC1" w14:textId="300DAB8E" w:rsidR="000756EB" w:rsidRDefault="004A4D88" w:rsidP="00095903">
      <w:r>
        <w:t>Amortisation</w:t>
      </w:r>
      <w:r w:rsidR="00A03629">
        <w:t xml:space="preserve"> </w:t>
      </w:r>
      <w:r>
        <w:t>is</w:t>
      </w:r>
      <w:r w:rsidR="00A03629">
        <w:t xml:space="preserve"> </w:t>
      </w:r>
      <w:r>
        <w:t>the</w:t>
      </w:r>
      <w:r w:rsidR="00A03629">
        <w:t xml:space="preserve"> </w:t>
      </w:r>
      <w:r>
        <w:t>expense</w:t>
      </w:r>
      <w:r w:rsidR="00A03629">
        <w:t xml:space="preserve"> </w:t>
      </w:r>
      <w:r>
        <w:t>which</w:t>
      </w:r>
      <w:r w:rsidR="00A03629">
        <w:t xml:space="preserve"> </w:t>
      </w:r>
      <w:r>
        <w:t>results</w:t>
      </w:r>
      <w:r w:rsidR="00A03629">
        <w:t xml:space="preserve"> </w:t>
      </w:r>
      <w:r>
        <w:t>from</w:t>
      </w:r>
      <w:r w:rsidR="00A03629">
        <w:t xml:space="preserve"> </w:t>
      </w:r>
      <w:r>
        <w:t>the</w:t>
      </w:r>
      <w:r w:rsidR="00A03629">
        <w:t xml:space="preserve"> </w:t>
      </w:r>
      <w:r>
        <w:t>consumption,</w:t>
      </w:r>
      <w:r w:rsidR="00A03629">
        <w:t xml:space="preserve"> </w:t>
      </w:r>
      <w:r>
        <w:t>extraction</w:t>
      </w:r>
      <w:r w:rsidR="00A03629">
        <w:t xml:space="preserve"> </w:t>
      </w:r>
      <w:r>
        <w:t>or</w:t>
      </w:r>
      <w:r w:rsidR="00A03629">
        <w:t xml:space="preserve"> </w:t>
      </w:r>
      <w:r>
        <w:t>use</w:t>
      </w:r>
      <w:r w:rsidR="00A03629">
        <w:t xml:space="preserve"> </w:t>
      </w:r>
      <w:r>
        <w:t>over</w:t>
      </w:r>
      <w:r w:rsidR="00A03629">
        <w:t xml:space="preserve"> </w:t>
      </w:r>
      <w:r>
        <w:t>time</w:t>
      </w:r>
      <w:r w:rsidR="00A03629">
        <w:t xml:space="preserve"> </w:t>
      </w:r>
      <w:r>
        <w:t>of</w:t>
      </w:r>
      <w:r w:rsidR="00A03629">
        <w:t xml:space="preserve"> </w:t>
      </w:r>
      <w:r>
        <w:t>a</w:t>
      </w:r>
      <w:r w:rsidR="00A03629">
        <w:t xml:space="preserve"> </w:t>
      </w:r>
      <w:r>
        <w:t>non-produced</w:t>
      </w:r>
      <w:r w:rsidR="00A03629">
        <w:t xml:space="preserve"> </w:t>
      </w:r>
      <w:r>
        <w:t>physical</w:t>
      </w:r>
      <w:r w:rsidR="00A03629">
        <w:t xml:space="preserve"> </w:t>
      </w:r>
      <w:r>
        <w:t>or</w:t>
      </w:r>
      <w:r w:rsidR="00A03629">
        <w:t xml:space="preserve"> </w:t>
      </w:r>
      <w:r>
        <w:t>intangible</w:t>
      </w:r>
      <w:r w:rsidR="00A03629">
        <w:t xml:space="preserve"> </w:t>
      </w:r>
      <w:r>
        <w:t>asset.</w:t>
      </w:r>
      <w:r w:rsidR="00A03629">
        <w:t xml:space="preserve"> </w:t>
      </w:r>
      <w:r>
        <w:t>This</w:t>
      </w:r>
      <w:r w:rsidR="00A03629">
        <w:t xml:space="preserve"> </w:t>
      </w:r>
      <w:r>
        <w:t>expense</w:t>
      </w:r>
      <w:r w:rsidR="00A03629">
        <w:t xml:space="preserve"> </w:t>
      </w:r>
      <w:r>
        <w:t>is</w:t>
      </w:r>
      <w:r w:rsidR="00A03629">
        <w:t xml:space="preserve"> </w:t>
      </w:r>
      <w:r>
        <w:t>classified</w:t>
      </w:r>
      <w:r w:rsidR="00A03629">
        <w:t xml:space="preserve"> </w:t>
      </w:r>
      <w:r>
        <w:t>as</w:t>
      </w:r>
      <w:r w:rsidR="00A03629">
        <w:t xml:space="preserve"> </w:t>
      </w:r>
      <w:r>
        <w:t>an</w:t>
      </w:r>
      <w:r w:rsidR="00A03629">
        <w:t xml:space="preserve"> </w:t>
      </w:r>
      <w:r>
        <w:t>‘other</w:t>
      </w:r>
      <w:r w:rsidR="00A03629">
        <w:t xml:space="preserve"> </w:t>
      </w:r>
      <w:r>
        <w:t>economic</w:t>
      </w:r>
      <w:r w:rsidR="00A03629">
        <w:t xml:space="preserve"> </w:t>
      </w:r>
      <w:r>
        <w:t>flow’.</w:t>
      </w:r>
    </w:p>
    <w:p w14:paraId="32FB7732" w14:textId="77777777" w:rsidR="000756EB" w:rsidRPr="00095903" w:rsidRDefault="004A4D88" w:rsidP="00095903">
      <w:pPr>
        <w:pStyle w:val="Normalbeforebullets"/>
        <w:rPr>
          <w:b/>
          <w:bCs/>
        </w:rPr>
      </w:pPr>
      <w:r w:rsidRPr="00095903">
        <w:rPr>
          <w:b/>
          <w:bCs/>
        </w:rPr>
        <w:t>Borrowings</w:t>
      </w:r>
    </w:p>
    <w:p w14:paraId="74188B35" w14:textId="141F12AB" w:rsidR="000756EB" w:rsidRDefault="004A4D88" w:rsidP="00095903">
      <w:r>
        <w:t>Borrowings</w:t>
      </w:r>
      <w:r w:rsidR="00A03629">
        <w:t xml:space="preserve"> </w:t>
      </w:r>
      <w:r>
        <w:t>refers</w:t>
      </w:r>
      <w:r w:rsidR="00A03629">
        <w:t xml:space="preserve"> </w:t>
      </w:r>
      <w:r>
        <w:t>to</w:t>
      </w:r>
      <w:r w:rsidR="00A03629">
        <w:t xml:space="preserve"> </w:t>
      </w:r>
      <w:r>
        <w:t>interest</w:t>
      </w:r>
      <w:r w:rsidR="00A03629">
        <w:t xml:space="preserve"> </w:t>
      </w:r>
      <w:r>
        <w:t>bearing</w:t>
      </w:r>
      <w:r w:rsidR="00A03629">
        <w:t xml:space="preserve"> </w:t>
      </w:r>
      <w:r>
        <w:t>liabilities</w:t>
      </w:r>
      <w:r w:rsidR="00A03629">
        <w:t xml:space="preserve"> </w:t>
      </w:r>
      <w:r>
        <w:t>mainly</w:t>
      </w:r>
      <w:r w:rsidR="00A03629">
        <w:t xml:space="preserve"> </w:t>
      </w:r>
      <w:r>
        <w:t>from</w:t>
      </w:r>
      <w:r w:rsidR="00A03629">
        <w:t xml:space="preserve"> </w:t>
      </w:r>
      <w:r>
        <w:t>public</w:t>
      </w:r>
      <w:r w:rsidR="00A03629">
        <w:t xml:space="preserve"> </w:t>
      </w:r>
      <w:r>
        <w:t>borrowings</w:t>
      </w:r>
      <w:r w:rsidR="00A03629">
        <w:t xml:space="preserve"> </w:t>
      </w:r>
      <w:r>
        <w:t>raised</w:t>
      </w:r>
      <w:r w:rsidR="00A03629">
        <w:t xml:space="preserve"> </w:t>
      </w:r>
      <w:r>
        <w:t>through</w:t>
      </w:r>
      <w:r w:rsidR="00A03629">
        <w:t xml:space="preserve"> </w:t>
      </w:r>
      <w:r>
        <w:t>the</w:t>
      </w:r>
      <w:r w:rsidR="00A03629">
        <w:t xml:space="preserve"> </w:t>
      </w:r>
      <w:r>
        <w:t>TCV,</w:t>
      </w:r>
      <w:r w:rsidR="00A03629">
        <w:t xml:space="preserve"> </w:t>
      </w:r>
      <w:r>
        <w:t>lease</w:t>
      </w:r>
      <w:r w:rsidR="00A03629">
        <w:t xml:space="preserve"> </w:t>
      </w:r>
      <w:r>
        <w:t>liabilities</w:t>
      </w:r>
      <w:r w:rsidR="00A03629">
        <w:t xml:space="preserve"> </w:t>
      </w:r>
      <w:r>
        <w:t>and</w:t>
      </w:r>
      <w:r w:rsidR="00A03629">
        <w:t xml:space="preserve"> </w:t>
      </w:r>
      <w:r>
        <w:t>other</w:t>
      </w:r>
      <w:r w:rsidR="00A03629">
        <w:t xml:space="preserve"> </w:t>
      </w:r>
      <w:proofErr w:type="gramStart"/>
      <w:r>
        <w:t>interest</w:t>
      </w:r>
      <w:r w:rsidR="00A03629">
        <w:t xml:space="preserve"> </w:t>
      </w:r>
      <w:r>
        <w:t>bearing</w:t>
      </w:r>
      <w:proofErr w:type="gramEnd"/>
      <w:r w:rsidR="00A03629">
        <w:t xml:space="preserve"> </w:t>
      </w:r>
      <w:r>
        <w:t>arrangements.</w:t>
      </w:r>
      <w:r w:rsidR="00A03629">
        <w:t xml:space="preserve"> </w:t>
      </w:r>
      <w:r>
        <w:t>Borrowings</w:t>
      </w:r>
      <w:r w:rsidR="00A03629">
        <w:t xml:space="preserve"> </w:t>
      </w:r>
      <w:r>
        <w:t>also</w:t>
      </w:r>
      <w:r w:rsidR="00A03629">
        <w:t xml:space="preserve"> </w:t>
      </w:r>
      <w:r>
        <w:t>include</w:t>
      </w:r>
      <w:r w:rsidR="00A03629">
        <w:t xml:space="preserve"> </w:t>
      </w:r>
      <w:r>
        <w:t>non-</w:t>
      </w:r>
      <w:proofErr w:type="gramStart"/>
      <w:r>
        <w:t>interest</w:t>
      </w:r>
      <w:r w:rsidR="00A03629">
        <w:t xml:space="preserve"> </w:t>
      </w:r>
      <w:r>
        <w:t>bearing</w:t>
      </w:r>
      <w:proofErr w:type="gramEnd"/>
      <w:r w:rsidR="00A03629">
        <w:t xml:space="preserve"> </w:t>
      </w:r>
      <w:r>
        <w:t>advances</w:t>
      </w:r>
      <w:r w:rsidR="00A03629">
        <w:t xml:space="preserve"> </w:t>
      </w:r>
      <w:r>
        <w:t>from</w:t>
      </w:r>
      <w:r w:rsidR="00A03629">
        <w:t xml:space="preserve"> </w:t>
      </w:r>
      <w:r>
        <w:t>government</w:t>
      </w:r>
      <w:r w:rsidR="00A03629">
        <w:t xml:space="preserve"> </w:t>
      </w:r>
      <w:r>
        <w:t>that</w:t>
      </w:r>
      <w:r w:rsidR="00A03629">
        <w:t xml:space="preserve"> </w:t>
      </w:r>
      <w:r>
        <w:t>are</w:t>
      </w:r>
      <w:r w:rsidR="00A03629">
        <w:t xml:space="preserve"> </w:t>
      </w:r>
      <w:r>
        <w:t>acquired</w:t>
      </w:r>
      <w:r w:rsidR="00A03629">
        <w:t xml:space="preserve"> </w:t>
      </w:r>
      <w:r>
        <w:t>for</w:t>
      </w:r>
      <w:r w:rsidR="00A03629">
        <w:t xml:space="preserve"> </w:t>
      </w:r>
      <w:r>
        <w:t>policy</w:t>
      </w:r>
      <w:r w:rsidR="00A03629">
        <w:t xml:space="preserve"> </w:t>
      </w:r>
      <w:r>
        <w:t>purposes.</w:t>
      </w:r>
    </w:p>
    <w:p w14:paraId="6CA16C7C" w14:textId="5322477A" w:rsidR="000756EB" w:rsidRPr="00095903" w:rsidRDefault="004A4D88" w:rsidP="00095903">
      <w:pPr>
        <w:pStyle w:val="Normalbeforebullets"/>
        <w:rPr>
          <w:b/>
          <w:bCs/>
        </w:rPr>
      </w:pPr>
      <w:r w:rsidRPr="00095903">
        <w:rPr>
          <w:b/>
          <w:bCs/>
        </w:rPr>
        <w:t>Comprehensive</w:t>
      </w:r>
      <w:r w:rsidR="00A03629" w:rsidRPr="00095903">
        <w:rPr>
          <w:b/>
          <w:bCs/>
        </w:rPr>
        <w:t xml:space="preserve"> </w:t>
      </w:r>
      <w:r w:rsidRPr="00095903">
        <w:rPr>
          <w:b/>
          <w:bCs/>
        </w:rPr>
        <w:t>result</w:t>
      </w:r>
    </w:p>
    <w:p w14:paraId="07CBB12F" w14:textId="650023BA" w:rsidR="000756EB" w:rsidRDefault="004A4D88" w:rsidP="00095903">
      <w:r>
        <w:t>The</w:t>
      </w:r>
      <w:r w:rsidR="00A03629">
        <w:t xml:space="preserve"> </w:t>
      </w:r>
      <w:r>
        <w:t>net</w:t>
      </w:r>
      <w:r w:rsidR="00A03629">
        <w:t xml:space="preserve"> </w:t>
      </w:r>
      <w:r>
        <w:t>result</w:t>
      </w:r>
      <w:r w:rsidR="00A03629">
        <w:t xml:space="preserve"> </w:t>
      </w:r>
      <w:r>
        <w:t>of</w:t>
      </w:r>
      <w:r w:rsidR="00A03629">
        <w:t xml:space="preserve"> </w:t>
      </w:r>
      <w:r>
        <w:t>all</w:t>
      </w:r>
      <w:r w:rsidR="00A03629">
        <w:t xml:space="preserve"> </w:t>
      </w:r>
      <w:r>
        <w:t>items</w:t>
      </w:r>
      <w:r w:rsidR="00A03629">
        <w:t xml:space="preserve"> </w:t>
      </w:r>
      <w:r>
        <w:t>of</w:t>
      </w:r>
      <w:r w:rsidR="00A03629">
        <w:t xml:space="preserve"> </w:t>
      </w:r>
      <w:r>
        <w:t>income</w:t>
      </w:r>
      <w:r w:rsidR="00A03629">
        <w:t xml:space="preserve"> </w:t>
      </w:r>
      <w:r>
        <w:t>and</w:t>
      </w:r>
      <w:r w:rsidR="00A03629">
        <w:t xml:space="preserve"> </w:t>
      </w:r>
      <w:r>
        <w:t>expense</w:t>
      </w:r>
      <w:r w:rsidR="00A03629">
        <w:t xml:space="preserve"> </w:t>
      </w:r>
      <w:r>
        <w:t>recognised</w:t>
      </w:r>
      <w:r w:rsidR="00A03629">
        <w:t xml:space="preserve"> </w:t>
      </w:r>
      <w:r>
        <w:t>for</w:t>
      </w:r>
      <w:r w:rsidR="00A03629">
        <w:t xml:space="preserve"> </w:t>
      </w:r>
      <w:r>
        <w:t>the</w:t>
      </w:r>
      <w:r w:rsidR="00A03629">
        <w:t xml:space="preserve"> </w:t>
      </w:r>
      <w:r>
        <w:t>period.</w:t>
      </w:r>
      <w:r w:rsidR="00A03629">
        <w:t xml:space="preserve"> </w:t>
      </w:r>
      <w:r>
        <w:t>It</w:t>
      </w:r>
      <w:r w:rsidR="00A03629">
        <w:t xml:space="preserve"> </w:t>
      </w:r>
      <w:r>
        <w:t>is</w:t>
      </w:r>
      <w:r w:rsidR="00A03629">
        <w:t xml:space="preserve"> </w:t>
      </w:r>
      <w:r>
        <w:t>the</w:t>
      </w:r>
      <w:r w:rsidR="00A03629">
        <w:t xml:space="preserve"> </w:t>
      </w:r>
      <w:r>
        <w:t>aggregate</w:t>
      </w:r>
      <w:r w:rsidR="00A03629">
        <w:t xml:space="preserve"> </w:t>
      </w:r>
      <w:r>
        <w:t>of</w:t>
      </w:r>
      <w:r w:rsidR="00A03629">
        <w:t xml:space="preserve"> </w:t>
      </w:r>
      <w:r>
        <w:t>the</w:t>
      </w:r>
      <w:r w:rsidR="00A03629">
        <w:t xml:space="preserve"> </w:t>
      </w:r>
      <w:r>
        <w:t>operating</w:t>
      </w:r>
      <w:r w:rsidR="00A03629">
        <w:t xml:space="preserve"> </w:t>
      </w:r>
      <w:r>
        <w:t>result</w:t>
      </w:r>
      <w:r w:rsidR="00A03629">
        <w:t xml:space="preserve"> </w:t>
      </w:r>
      <w:r>
        <w:t>and</w:t>
      </w:r>
      <w:r w:rsidR="00A03629">
        <w:t xml:space="preserve"> </w:t>
      </w:r>
      <w:r>
        <w:t>other</w:t>
      </w:r>
      <w:r w:rsidR="00A03629">
        <w:t xml:space="preserve"> </w:t>
      </w:r>
      <w:r>
        <w:t>comprehensive</w:t>
      </w:r>
      <w:r w:rsidR="00A03629">
        <w:t xml:space="preserve"> </w:t>
      </w:r>
      <w:r>
        <w:t>income.</w:t>
      </w:r>
    </w:p>
    <w:p w14:paraId="2C590D5A" w14:textId="77777777" w:rsidR="000756EB" w:rsidRPr="00095903" w:rsidRDefault="004A4D88" w:rsidP="00095903">
      <w:pPr>
        <w:pStyle w:val="Normalbeforebullets"/>
        <w:rPr>
          <w:b/>
          <w:bCs/>
        </w:rPr>
      </w:pPr>
      <w:r w:rsidRPr="00095903">
        <w:rPr>
          <w:b/>
          <w:bCs/>
        </w:rPr>
        <w:t>Commitments</w:t>
      </w:r>
    </w:p>
    <w:p w14:paraId="6F61EECA" w14:textId="5B63900C" w:rsidR="000756EB" w:rsidRDefault="004A4D88" w:rsidP="00095903">
      <w:r>
        <w:t>Commitments</w:t>
      </w:r>
      <w:r w:rsidR="00A03629">
        <w:t xml:space="preserve"> </w:t>
      </w:r>
      <w:r>
        <w:t>include</w:t>
      </w:r>
      <w:r w:rsidR="00A03629">
        <w:t xml:space="preserve"> </w:t>
      </w:r>
      <w:r>
        <w:t>those</w:t>
      </w:r>
      <w:r w:rsidR="00A03629">
        <w:t xml:space="preserve"> </w:t>
      </w:r>
      <w:r>
        <w:t>operating,</w:t>
      </w:r>
      <w:r w:rsidR="00A03629">
        <w:t xml:space="preserve"> </w:t>
      </w:r>
      <w:r>
        <w:t>capital</w:t>
      </w:r>
      <w:r w:rsidR="00A03629">
        <w:t xml:space="preserve"> </w:t>
      </w:r>
      <w:r>
        <w:t>and</w:t>
      </w:r>
      <w:r w:rsidR="00A03629">
        <w:rPr>
          <w:rFonts w:ascii="Cambria" w:hAnsi="Cambria" w:cs="Cambria"/>
        </w:rPr>
        <w:t xml:space="preserve"> </w:t>
      </w:r>
      <w:r>
        <w:t>other</w:t>
      </w:r>
      <w:r w:rsidR="00A03629">
        <w:t xml:space="preserve"> </w:t>
      </w:r>
      <w:r>
        <w:t>outsourcing</w:t>
      </w:r>
      <w:r w:rsidR="00A03629">
        <w:t xml:space="preserve"> </w:t>
      </w:r>
      <w:r>
        <w:t>commitments</w:t>
      </w:r>
      <w:r w:rsidR="00A03629">
        <w:t xml:space="preserve"> </w:t>
      </w:r>
      <w:r>
        <w:t>arising</w:t>
      </w:r>
      <w:r w:rsidR="00A03629">
        <w:t xml:space="preserve"> </w:t>
      </w:r>
      <w:r>
        <w:t>from</w:t>
      </w:r>
      <w:r w:rsidR="00A03629">
        <w:t xml:space="preserve"> </w:t>
      </w:r>
      <w:r>
        <w:t>non-cancellable</w:t>
      </w:r>
      <w:r w:rsidR="00A03629">
        <w:t xml:space="preserve"> </w:t>
      </w:r>
      <w:r>
        <w:t>contractual</w:t>
      </w:r>
      <w:r w:rsidR="00A03629">
        <w:t xml:space="preserve"> </w:t>
      </w:r>
      <w:r>
        <w:t>or</w:t>
      </w:r>
      <w:r w:rsidR="00A03629">
        <w:t xml:space="preserve"> </w:t>
      </w:r>
      <w:r>
        <w:t>statutory</w:t>
      </w:r>
      <w:r w:rsidR="00A03629">
        <w:t xml:space="preserve"> </w:t>
      </w:r>
      <w:r>
        <w:t>sources.</w:t>
      </w:r>
    </w:p>
    <w:p w14:paraId="1B12A4F6" w14:textId="51FF0C3D" w:rsidR="000756EB" w:rsidRPr="00095903" w:rsidRDefault="004A4D88" w:rsidP="00095903">
      <w:pPr>
        <w:pStyle w:val="Normalbeforebullets"/>
        <w:rPr>
          <w:b/>
          <w:bCs/>
        </w:rPr>
      </w:pPr>
      <w:r w:rsidRPr="00095903">
        <w:rPr>
          <w:b/>
          <w:bCs/>
        </w:rPr>
        <w:t>Controlled</w:t>
      </w:r>
      <w:r w:rsidR="00A03629" w:rsidRPr="00095903">
        <w:rPr>
          <w:b/>
          <w:bCs/>
        </w:rPr>
        <w:t xml:space="preserve"> </w:t>
      </w:r>
      <w:r w:rsidRPr="00095903">
        <w:rPr>
          <w:b/>
          <w:bCs/>
        </w:rPr>
        <w:t>item</w:t>
      </w:r>
    </w:p>
    <w:p w14:paraId="354F224C" w14:textId="7ACC0135" w:rsidR="000756EB" w:rsidRDefault="004A4D88" w:rsidP="00095903">
      <w:r>
        <w:t>Controlled</w:t>
      </w:r>
      <w:r w:rsidR="00A03629">
        <w:t xml:space="preserve"> </w:t>
      </w:r>
      <w:r>
        <w:t>item</w:t>
      </w:r>
      <w:r w:rsidR="00A03629">
        <w:t xml:space="preserve"> </w:t>
      </w:r>
      <w:r>
        <w:t>generally</w:t>
      </w:r>
      <w:r w:rsidR="00A03629">
        <w:t xml:space="preserve"> </w:t>
      </w:r>
      <w:r>
        <w:t>refers</w:t>
      </w:r>
      <w:r w:rsidR="00A03629">
        <w:t xml:space="preserve"> </w:t>
      </w:r>
      <w:r>
        <w:t>to</w:t>
      </w:r>
      <w:r w:rsidR="00A03629">
        <w:t xml:space="preserve"> </w:t>
      </w:r>
      <w:r>
        <w:t>the</w:t>
      </w:r>
      <w:r w:rsidR="00A03629">
        <w:t xml:space="preserve"> </w:t>
      </w:r>
      <w:r>
        <w:t>capacity</w:t>
      </w:r>
      <w:r w:rsidR="00A03629">
        <w:t xml:space="preserve"> </w:t>
      </w:r>
      <w:r>
        <w:t>of</w:t>
      </w:r>
      <w:r w:rsidR="00A03629">
        <w:t xml:space="preserve"> </w:t>
      </w:r>
      <w:r>
        <w:t>a</w:t>
      </w:r>
      <w:r w:rsidR="00A03629">
        <w:rPr>
          <w:rFonts w:ascii="Cambria" w:hAnsi="Cambria" w:cs="Cambria"/>
        </w:rPr>
        <w:t xml:space="preserve"> </w:t>
      </w:r>
      <w:r>
        <w:t>department</w:t>
      </w:r>
      <w:r w:rsidR="00A03629">
        <w:t xml:space="preserve"> </w:t>
      </w:r>
      <w:r>
        <w:t>to</w:t>
      </w:r>
      <w:r w:rsidR="00A03629">
        <w:t xml:space="preserve"> </w:t>
      </w:r>
      <w:r>
        <w:t>benefit</w:t>
      </w:r>
      <w:r w:rsidR="00A03629">
        <w:t xml:space="preserve"> </w:t>
      </w:r>
      <w:r>
        <w:t>from</w:t>
      </w:r>
      <w:r w:rsidR="00A03629">
        <w:t xml:space="preserve"> </w:t>
      </w:r>
      <w:r>
        <w:t>that</w:t>
      </w:r>
      <w:r w:rsidR="00A03629">
        <w:t xml:space="preserve"> </w:t>
      </w:r>
      <w:r>
        <w:t>item</w:t>
      </w:r>
      <w:r w:rsidR="00A03629">
        <w:t xml:space="preserve"> </w:t>
      </w:r>
      <w:r>
        <w:t>in</w:t>
      </w:r>
      <w:r w:rsidR="00A03629">
        <w:t xml:space="preserve"> </w:t>
      </w:r>
      <w:r>
        <w:t>the</w:t>
      </w:r>
      <w:r w:rsidR="00A03629">
        <w:t xml:space="preserve"> </w:t>
      </w:r>
      <w:r>
        <w:t>pursuit</w:t>
      </w:r>
      <w:r w:rsidR="00A03629">
        <w:t xml:space="preserve"> </w:t>
      </w:r>
      <w:r>
        <w:t>of</w:t>
      </w:r>
      <w:r w:rsidR="00A03629">
        <w:t xml:space="preserve"> </w:t>
      </w:r>
      <w:r>
        <w:t>the</w:t>
      </w:r>
      <w:r w:rsidR="00A03629">
        <w:t xml:space="preserve"> </w:t>
      </w:r>
      <w:r>
        <w:t>entity’s</w:t>
      </w:r>
      <w:r w:rsidR="00A03629">
        <w:t xml:space="preserve"> </w:t>
      </w:r>
      <w:r>
        <w:t>objectives</w:t>
      </w:r>
      <w:r w:rsidR="00A03629">
        <w:t xml:space="preserve"> </w:t>
      </w:r>
      <w:r>
        <w:t>and</w:t>
      </w:r>
      <w:r w:rsidR="00A03629">
        <w:t xml:space="preserve"> </w:t>
      </w:r>
      <w:r>
        <w:t>to</w:t>
      </w:r>
      <w:r w:rsidR="00A03629">
        <w:t xml:space="preserve"> </w:t>
      </w:r>
      <w:r>
        <w:t>deny</w:t>
      </w:r>
      <w:r w:rsidR="00A03629">
        <w:t xml:space="preserve"> </w:t>
      </w:r>
      <w:r>
        <w:t>or</w:t>
      </w:r>
      <w:r w:rsidR="00A03629">
        <w:t xml:space="preserve"> </w:t>
      </w:r>
      <w:r>
        <w:t>regulate</w:t>
      </w:r>
      <w:r w:rsidR="00A03629">
        <w:t xml:space="preserve"> </w:t>
      </w:r>
      <w:r>
        <w:t>the</w:t>
      </w:r>
      <w:r w:rsidR="00A03629">
        <w:t xml:space="preserve"> </w:t>
      </w:r>
      <w:r>
        <w:t>access</w:t>
      </w:r>
      <w:r w:rsidR="00A03629">
        <w:t xml:space="preserve"> </w:t>
      </w:r>
      <w:r>
        <w:t>of</w:t>
      </w:r>
      <w:r w:rsidR="00A03629">
        <w:t xml:space="preserve"> </w:t>
      </w:r>
      <w:r>
        <w:t>others</w:t>
      </w:r>
      <w:r w:rsidR="00A03629">
        <w:t xml:space="preserve"> </w:t>
      </w:r>
      <w:r>
        <w:t>to</w:t>
      </w:r>
      <w:r w:rsidR="00A03629">
        <w:t xml:space="preserve"> </w:t>
      </w:r>
      <w:r>
        <w:t>that</w:t>
      </w:r>
      <w:r w:rsidR="00A03629">
        <w:t xml:space="preserve"> </w:t>
      </w:r>
      <w:r>
        <w:t>benefit.</w:t>
      </w:r>
      <w:r w:rsidR="00A03629">
        <w:t xml:space="preserve"> </w:t>
      </w:r>
    </w:p>
    <w:p w14:paraId="37E3888A" w14:textId="50E8AD04" w:rsidR="000756EB" w:rsidRPr="00095903" w:rsidRDefault="004A4D88" w:rsidP="00095903">
      <w:pPr>
        <w:pStyle w:val="Normalbeforebullets"/>
        <w:rPr>
          <w:b/>
          <w:bCs/>
        </w:rPr>
      </w:pPr>
      <w:r w:rsidRPr="00095903">
        <w:rPr>
          <w:b/>
          <w:bCs/>
        </w:rPr>
        <w:t>Current</w:t>
      </w:r>
      <w:r w:rsidR="00A03629" w:rsidRPr="00095903">
        <w:rPr>
          <w:b/>
          <w:bCs/>
        </w:rPr>
        <w:t xml:space="preserve"> </w:t>
      </w:r>
      <w:r w:rsidRPr="00095903">
        <w:rPr>
          <w:b/>
          <w:bCs/>
        </w:rPr>
        <w:t>grants</w:t>
      </w:r>
    </w:p>
    <w:p w14:paraId="2EF9E230" w14:textId="035C889F" w:rsidR="000756EB" w:rsidRDefault="004A4D88" w:rsidP="00095903">
      <w:r>
        <w:t>Amounts</w:t>
      </w:r>
      <w:r w:rsidR="00A03629">
        <w:t xml:space="preserve"> </w:t>
      </w:r>
      <w:r>
        <w:t>payable</w:t>
      </w:r>
      <w:r w:rsidR="00A03629">
        <w:t xml:space="preserve"> </w:t>
      </w:r>
      <w:r>
        <w:t>or</w:t>
      </w:r>
      <w:r w:rsidR="00A03629">
        <w:t xml:space="preserve"> </w:t>
      </w:r>
      <w:r>
        <w:t>receivable</w:t>
      </w:r>
      <w:r w:rsidR="00A03629">
        <w:t xml:space="preserve"> </w:t>
      </w:r>
      <w:r>
        <w:t>for</w:t>
      </w:r>
      <w:r w:rsidR="00A03629">
        <w:t xml:space="preserve"> </w:t>
      </w:r>
      <w:r>
        <w:t>current</w:t>
      </w:r>
      <w:r w:rsidR="00A03629">
        <w:t xml:space="preserve"> </w:t>
      </w:r>
      <w:r>
        <w:t>purposes</w:t>
      </w:r>
      <w:r w:rsidR="00A03629">
        <w:t xml:space="preserve"> </w:t>
      </w:r>
      <w:r>
        <w:t>for</w:t>
      </w:r>
      <w:r w:rsidR="00A03629">
        <w:t xml:space="preserve"> </w:t>
      </w:r>
      <w:r>
        <w:t>which</w:t>
      </w:r>
      <w:r w:rsidR="00A03629">
        <w:t xml:space="preserve"> </w:t>
      </w:r>
      <w:r>
        <w:t>no</w:t>
      </w:r>
      <w:r w:rsidR="00A03629">
        <w:t xml:space="preserve"> </w:t>
      </w:r>
      <w:r>
        <w:t>economic</w:t>
      </w:r>
      <w:r w:rsidR="00A03629">
        <w:t xml:space="preserve"> </w:t>
      </w:r>
      <w:r>
        <w:t>benefits</w:t>
      </w:r>
      <w:r w:rsidR="00A03629">
        <w:t xml:space="preserve"> </w:t>
      </w:r>
      <w:r>
        <w:t>of</w:t>
      </w:r>
      <w:r w:rsidR="00A03629">
        <w:t xml:space="preserve"> </w:t>
      </w:r>
      <w:r>
        <w:t>equal</w:t>
      </w:r>
      <w:r w:rsidR="00A03629">
        <w:t xml:space="preserve"> </w:t>
      </w:r>
      <w:r>
        <w:t>value</w:t>
      </w:r>
      <w:r w:rsidR="00A03629">
        <w:t xml:space="preserve"> </w:t>
      </w:r>
      <w:r>
        <w:t>are</w:t>
      </w:r>
      <w:r w:rsidR="00A03629">
        <w:t xml:space="preserve"> </w:t>
      </w:r>
      <w:r>
        <w:t>receivable</w:t>
      </w:r>
      <w:r w:rsidR="00A03629">
        <w:t xml:space="preserve"> </w:t>
      </w:r>
      <w:r>
        <w:t>or</w:t>
      </w:r>
      <w:r w:rsidR="00A03629">
        <w:t xml:space="preserve"> </w:t>
      </w:r>
      <w:r>
        <w:t>payable</w:t>
      </w:r>
      <w:r w:rsidR="00A03629">
        <w:t xml:space="preserve"> </w:t>
      </w:r>
      <w:r>
        <w:t>in</w:t>
      </w:r>
      <w:r w:rsidR="00A03629">
        <w:t xml:space="preserve"> </w:t>
      </w:r>
      <w:r>
        <w:t>return.</w:t>
      </w:r>
    </w:p>
    <w:p w14:paraId="43670CED" w14:textId="77777777" w:rsidR="000756EB" w:rsidRPr="00095903" w:rsidRDefault="004A4D88" w:rsidP="00095903">
      <w:pPr>
        <w:pStyle w:val="Normalbeforebullets"/>
        <w:rPr>
          <w:b/>
          <w:bCs/>
        </w:rPr>
      </w:pPr>
      <w:r w:rsidRPr="00095903">
        <w:rPr>
          <w:b/>
          <w:bCs/>
        </w:rPr>
        <w:t>Depreciation</w:t>
      </w:r>
    </w:p>
    <w:p w14:paraId="6367B07E" w14:textId="12FEF1B1" w:rsidR="000756EB" w:rsidRDefault="004A4D88" w:rsidP="00095903">
      <w:r>
        <w:t>Depreciation</w:t>
      </w:r>
      <w:r w:rsidR="00A03629">
        <w:t xml:space="preserve"> </w:t>
      </w:r>
      <w:r>
        <w:t>is</w:t>
      </w:r>
      <w:r w:rsidR="00A03629">
        <w:t xml:space="preserve"> </w:t>
      </w:r>
      <w:r>
        <w:t>an</w:t>
      </w:r>
      <w:r w:rsidR="00A03629">
        <w:t xml:space="preserve"> </w:t>
      </w:r>
      <w:r>
        <w:t>expense</w:t>
      </w:r>
      <w:r w:rsidR="00A03629">
        <w:t xml:space="preserve"> </w:t>
      </w:r>
      <w:r>
        <w:t>that</w:t>
      </w:r>
      <w:r w:rsidR="00A03629">
        <w:t xml:space="preserve"> </w:t>
      </w:r>
      <w:r>
        <w:t>arises</w:t>
      </w:r>
      <w:r w:rsidR="00A03629">
        <w:t xml:space="preserve"> </w:t>
      </w:r>
      <w:r>
        <w:t>from</w:t>
      </w:r>
      <w:r w:rsidR="00A03629">
        <w:t xml:space="preserve"> </w:t>
      </w:r>
      <w:r>
        <w:t>the</w:t>
      </w:r>
      <w:r w:rsidR="00A03629">
        <w:t xml:space="preserve"> </w:t>
      </w:r>
      <w:r>
        <w:t>consumption</w:t>
      </w:r>
      <w:r w:rsidR="00A03629">
        <w:t xml:space="preserve"> </w:t>
      </w:r>
      <w:r>
        <w:t>through</w:t>
      </w:r>
      <w:r w:rsidR="00A03629">
        <w:t xml:space="preserve"> </w:t>
      </w:r>
      <w:r>
        <w:t>wear</w:t>
      </w:r>
      <w:r w:rsidR="00A03629">
        <w:t xml:space="preserve"> </w:t>
      </w:r>
      <w:r>
        <w:t>or</w:t>
      </w:r>
      <w:r w:rsidR="00A03629">
        <w:t xml:space="preserve"> </w:t>
      </w:r>
      <w:r>
        <w:t>time</w:t>
      </w:r>
      <w:r w:rsidR="00A03629">
        <w:t xml:space="preserve"> </w:t>
      </w:r>
      <w:r>
        <w:t>of</w:t>
      </w:r>
      <w:r w:rsidR="00A03629">
        <w:t xml:space="preserve"> </w:t>
      </w:r>
      <w:r>
        <w:t>a</w:t>
      </w:r>
      <w:r w:rsidR="00A03629">
        <w:t xml:space="preserve"> </w:t>
      </w:r>
      <w:r>
        <w:t>produced</w:t>
      </w:r>
      <w:r w:rsidR="00A03629">
        <w:t xml:space="preserve"> </w:t>
      </w:r>
      <w:r>
        <w:t>physical</w:t>
      </w:r>
      <w:r w:rsidR="00A03629">
        <w:t xml:space="preserve"> </w:t>
      </w:r>
      <w:r>
        <w:t>asset.</w:t>
      </w:r>
      <w:r w:rsidR="00A03629">
        <w:t xml:space="preserve"> </w:t>
      </w:r>
      <w:r>
        <w:t>This</w:t>
      </w:r>
      <w:r w:rsidR="00A03629">
        <w:t xml:space="preserve"> </w:t>
      </w:r>
      <w:r>
        <w:t>expense</w:t>
      </w:r>
      <w:r w:rsidR="00A03629">
        <w:t xml:space="preserve"> </w:t>
      </w:r>
      <w:r>
        <w:t>is</w:t>
      </w:r>
      <w:r w:rsidR="00A03629">
        <w:t xml:space="preserve"> </w:t>
      </w:r>
      <w:r>
        <w:t>classified</w:t>
      </w:r>
      <w:r w:rsidR="00A03629">
        <w:t xml:space="preserve"> </w:t>
      </w:r>
      <w:r>
        <w:t>as</w:t>
      </w:r>
      <w:r w:rsidR="00A03629">
        <w:t xml:space="preserve"> </w:t>
      </w:r>
      <w:r>
        <w:t>a</w:t>
      </w:r>
      <w:r w:rsidR="00A03629">
        <w:t xml:space="preserve"> </w:t>
      </w:r>
      <w:r>
        <w:t>‘transaction’</w:t>
      </w:r>
      <w:r w:rsidR="00A03629">
        <w:t xml:space="preserve"> </w:t>
      </w:r>
      <w:r>
        <w:t>and</w:t>
      </w:r>
      <w:r w:rsidR="00A03629">
        <w:t xml:space="preserve"> </w:t>
      </w:r>
      <w:r>
        <w:t>so</w:t>
      </w:r>
      <w:r w:rsidR="00A03629">
        <w:t xml:space="preserve"> </w:t>
      </w:r>
      <w:r>
        <w:t>reduces</w:t>
      </w:r>
      <w:r w:rsidR="00A03629">
        <w:t xml:space="preserve"> </w:t>
      </w:r>
      <w:r>
        <w:t>the</w:t>
      </w:r>
      <w:r w:rsidR="00A03629">
        <w:t xml:space="preserve"> </w:t>
      </w:r>
      <w:r>
        <w:t>‘net</w:t>
      </w:r>
      <w:r w:rsidR="00A03629">
        <w:t xml:space="preserve"> </w:t>
      </w:r>
      <w:r>
        <w:t>result</w:t>
      </w:r>
      <w:r w:rsidR="00A03629">
        <w:t xml:space="preserve"> </w:t>
      </w:r>
      <w:r>
        <w:t>from</w:t>
      </w:r>
      <w:r w:rsidR="00A03629">
        <w:rPr>
          <w:rFonts w:ascii="Cambria" w:hAnsi="Cambria" w:cs="Cambria"/>
        </w:rPr>
        <w:t xml:space="preserve"> </w:t>
      </w:r>
      <w:r>
        <w:t>transaction’.</w:t>
      </w:r>
    </w:p>
    <w:p w14:paraId="1BEACE28" w14:textId="61644135" w:rsidR="000756EB" w:rsidRPr="00095903" w:rsidRDefault="004A4D88" w:rsidP="00095903">
      <w:pPr>
        <w:pStyle w:val="Normalbeforebullets"/>
        <w:rPr>
          <w:b/>
          <w:bCs/>
        </w:rPr>
      </w:pPr>
      <w:r w:rsidRPr="00095903">
        <w:rPr>
          <w:b/>
          <w:bCs/>
        </w:rPr>
        <w:t>Effective</w:t>
      </w:r>
      <w:r w:rsidR="00A03629" w:rsidRPr="00095903">
        <w:rPr>
          <w:b/>
          <w:bCs/>
        </w:rPr>
        <w:t xml:space="preserve"> </w:t>
      </w:r>
      <w:r w:rsidRPr="00095903">
        <w:rPr>
          <w:b/>
          <w:bCs/>
        </w:rPr>
        <w:t>interest</w:t>
      </w:r>
      <w:r w:rsidR="00A03629" w:rsidRPr="00095903">
        <w:rPr>
          <w:b/>
          <w:bCs/>
        </w:rPr>
        <w:t xml:space="preserve"> </w:t>
      </w:r>
      <w:r w:rsidRPr="00095903">
        <w:rPr>
          <w:b/>
          <w:bCs/>
        </w:rPr>
        <w:t>method</w:t>
      </w:r>
    </w:p>
    <w:p w14:paraId="19F39C17" w14:textId="1E1B6667" w:rsidR="000756EB" w:rsidRDefault="004A4D88" w:rsidP="00095903">
      <w:r>
        <w:t>The</w:t>
      </w:r>
      <w:r w:rsidR="00A03629">
        <w:t xml:space="preserve"> </w:t>
      </w:r>
      <w:r>
        <w:t>effective</w:t>
      </w:r>
      <w:r w:rsidR="00A03629">
        <w:t xml:space="preserve"> </w:t>
      </w:r>
      <w:r>
        <w:t>interest</w:t>
      </w:r>
      <w:r w:rsidR="00A03629">
        <w:t xml:space="preserve"> </w:t>
      </w:r>
      <w:r>
        <w:t>method</w:t>
      </w:r>
      <w:r w:rsidR="00A03629">
        <w:t xml:space="preserve"> </w:t>
      </w:r>
      <w:r>
        <w:t>is</w:t>
      </w:r>
      <w:r w:rsidR="00A03629">
        <w:t xml:space="preserve"> </w:t>
      </w:r>
      <w:r>
        <w:t>used</w:t>
      </w:r>
      <w:r w:rsidR="00A03629">
        <w:t xml:space="preserve"> </w:t>
      </w:r>
      <w:r>
        <w:t>to</w:t>
      </w:r>
      <w:r w:rsidR="00A03629">
        <w:t xml:space="preserve"> </w:t>
      </w:r>
      <w:r>
        <w:t>calculate</w:t>
      </w:r>
      <w:r w:rsidR="00A03629">
        <w:t xml:space="preserve"> </w:t>
      </w:r>
      <w:r>
        <w:t>the</w:t>
      </w:r>
      <w:r w:rsidR="00A03629">
        <w:t xml:space="preserve"> </w:t>
      </w:r>
      <w:r>
        <w:t>amortised</w:t>
      </w:r>
      <w:r w:rsidR="00A03629">
        <w:t xml:space="preserve"> </w:t>
      </w:r>
      <w:r>
        <w:t>cost</w:t>
      </w:r>
      <w:r w:rsidR="00A03629">
        <w:t xml:space="preserve"> </w:t>
      </w:r>
      <w:r>
        <w:t>of</w:t>
      </w:r>
      <w:r w:rsidR="00A03629">
        <w:t xml:space="preserve"> </w:t>
      </w:r>
      <w:r>
        <w:t>a</w:t>
      </w:r>
      <w:r w:rsidR="00A03629">
        <w:t xml:space="preserve"> </w:t>
      </w:r>
      <w:r>
        <w:t>financial</w:t>
      </w:r>
      <w:r w:rsidR="00A03629">
        <w:t xml:space="preserve"> </w:t>
      </w:r>
      <w:r>
        <w:t>asset</w:t>
      </w:r>
      <w:r w:rsidR="00A03629">
        <w:t xml:space="preserve"> </w:t>
      </w:r>
      <w:r>
        <w:t>or</w:t>
      </w:r>
      <w:r w:rsidR="00A03629">
        <w:t xml:space="preserve"> </w:t>
      </w:r>
      <w:r>
        <w:t>liability</w:t>
      </w:r>
      <w:r w:rsidR="00A03629">
        <w:t xml:space="preserve"> </w:t>
      </w:r>
      <w:r>
        <w:t>and</w:t>
      </w:r>
      <w:r w:rsidR="00A03629">
        <w:t xml:space="preserve"> </w:t>
      </w:r>
      <w:r>
        <w:t>of</w:t>
      </w:r>
      <w:r w:rsidR="00A03629">
        <w:t xml:space="preserve"> </w:t>
      </w:r>
      <w:r>
        <w:t>allocating</w:t>
      </w:r>
      <w:r w:rsidR="00A03629">
        <w:t xml:space="preserve"> </w:t>
      </w:r>
      <w:r>
        <w:t>interest</w:t>
      </w:r>
      <w:r w:rsidR="00A03629">
        <w:t xml:space="preserve"> </w:t>
      </w:r>
      <w:r>
        <w:t>income</w:t>
      </w:r>
      <w:r w:rsidR="00A03629">
        <w:t xml:space="preserve"> </w:t>
      </w:r>
      <w:r>
        <w:t>over</w:t>
      </w:r>
      <w:r w:rsidR="00A03629">
        <w:t xml:space="preserve"> </w:t>
      </w:r>
      <w:r>
        <w:t>the</w:t>
      </w:r>
      <w:r w:rsidR="00A03629">
        <w:t xml:space="preserve"> </w:t>
      </w:r>
      <w:r>
        <w:t>relevant</w:t>
      </w:r>
      <w:r w:rsidR="00A03629">
        <w:t xml:space="preserve"> </w:t>
      </w:r>
      <w:r>
        <w:t>period.</w:t>
      </w:r>
      <w:r w:rsidR="00A03629">
        <w:t xml:space="preserve"> </w:t>
      </w:r>
      <w:r>
        <w:t>The</w:t>
      </w:r>
      <w:r w:rsidR="00A03629">
        <w:t xml:space="preserve"> </w:t>
      </w:r>
      <w:r>
        <w:t>effective</w:t>
      </w:r>
      <w:r w:rsidR="00A03629">
        <w:t xml:space="preserve"> </w:t>
      </w:r>
      <w:r>
        <w:t>interest</w:t>
      </w:r>
      <w:r w:rsidR="00A03629">
        <w:t xml:space="preserve"> </w:t>
      </w:r>
      <w:r>
        <w:t>rate</w:t>
      </w:r>
      <w:r w:rsidR="00A03629">
        <w:t xml:space="preserve"> </w:t>
      </w:r>
      <w:r>
        <w:t>is</w:t>
      </w:r>
      <w:r w:rsidR="00A03629">
        <w:t xml:space="preserve"> </w:t>
      </w:r>
      <w:r>
        <w:t>the</w:t>
      </w:r>
      <w:r w:rsidR="00A03629">
        <w:t xml:space="preserve"> </w:t>
      </w:r>
      <w:r>
        <w:t>rate</w:t>
      </w:r>
      <w:r w:rsidR="00A03629">
        <w:t xml:space="preserve"> </w:t>
      </w:r>
      <w:r>
        <w:t>that</w:t>
      </w:r>
      <w:r w:rsidR="00A03629">
        <w:t xml:space="preserve"> </w:t>
      </w:r>
      <w:r>
        <w:t>exactly</w:t>
      </w:r>
      <w:r w:rsidR="00A03629">
        <w:t xml:space="preserve"> </w:t>
      </w:r>
      <w:r>
        <w:t>discounts</w:t>
      </w:r>
      <w:r w:rsidR="00A03629">
        <w:t xml:space="preserve"> </w:t>
      </w:r>
      <w:r>
        <w:t>estimated</w:t>
      </w:r>
      <w:r w:rsidR="00A03629">
        <w:t xml:space="preserve"> </w:t>
      </w:r>
      <w:r>
        <w:t>future</w:t>
      </w:r>
      <w:r w:rsidR="00A03629">
        <w:t xml:space="preserve"> </w:t>
      </w:r>
      <w:r>
        <w:t>cash</w:t>
      </w:r>
      <w:r w:rsidR="00A03629">
        <w:t xml:space="preserve"> </w:t>
      </w:r>
      <w:r>
        <w:t>receipts</w:t>
      </w:r>
      <w:r w:rsidR="00A03629">
        <w:t xml:space="preserve"> </w:t>
      </w:r>
      <w:r>
        <w:t>through</w:t>
      </w:r>
      <w:r w:rsidR="00A03629">
        <w:t xml:space="preserve"> </w:t>
      </w:r>
      <w:r>
        <w:t>the</w:t>
      </w:r>
      <w:r w:rsidR="00A03629">
        <w:t xml:space="preserve"> </w:t>
      </w:r>
      <w:r>
        <w:t>expected</w:t>
      </w:r>
      <w:r w:rsidR="00A03629">
        <w:t xml:space="preserve"> </w:t>
      </w:r>
      <w:r>
        <w:t>life</w:t>
      </w:r>
      <w:r w:rsidR="00A03629">
        <w:t xml:space="preserve"> </w:t>
      </w:r>
      <w:r>
        <w:t>of</w:t>
      </w:r>
      <w:r w:rsidR="00A03629">
        <w:t xml:space="preserve"> </w:t>
      </w:r>
      <w:r>
        <w:t>the</w:t>
      </w:r>
      <w:r w:rsidR="00A03629">
        <w:t xml:space="preserve"> </w:t>
      </w:r>
      <w:r>
        <w:t>financial</w:t>
      </w:r>
      <w:r w:rsidR="00A03629">
        <w:t xml:space="preserve"> </w:t>
      </w:r>
      <w:r>
        <w:t>instrument,</w:t>
      </w:r>
      <w:r w:rsidR="00A03629">
        <w:t xml:space="preserve"> </w:t>
      </w:r>
      <w:r>
        <w:t>or,</w:t>
      </w:r>
      <w:r w:rsidR="00A03629">
        <w:t xml:space="preserve"> </w:t>
      </w:r>
      <w:r>
        <w:t>where</w:t>
      </w:r>
      <w:r w:rsidR="00A03629">
        <w:t xml:space="preserve"> </w:t>
      </w:r>
      <w:r>
        <w:t>appropriate,</w:t>
      </w:r>
      <w:r w:rsidR="00A03629">
        <w:t xml:space="preserve"> </w:t>
      </w:r>
      <w:r>
        <w:t>a</w:t>
      </w:r>
      <w:r w:rsidR="00A03629">
        <w:t xml:space="preserve"> </w:t>
      </w:r>
      <w:r>
        <w:t>shorter</w:t>
      </w:r>
      <w:r w:rsidR="00A03629">
        <w:t xml:space="preserve"> </w:t>
      </w:r>
      <w:r>
        <w:t>period.</w:t>
      </w:r>
    </w:p>
    <w:p w14:paraId="76A8AB24" w14:textId="1C8BED1A" w:rsidR="000756EB" w:rsidRPr="00095903" w:rsidRDefault="004A4D88" w:rsidP="00095903">
      <w:pPr>
        <w:pStyle w:val="Normalbeforebullets"/>
        <w:rPr>
          <w:b/>
          <w:bCs/>
        </w:rPr>
      </w:pPr>
      <w:r w:rsidRPr="00095903">
        <w:rPr>
          <w:b/>
          <w:bCs/>
        </w:rPr>
        <w:t>Financial</w:t>
      </w:r>
      <w:r w:rsidR="00A03629" w:rsidRPr="00095903">
        <w:rPr>
          <w:b/>
          <w:bCs/>
        </w:rPr>
        <w:t xml:space="preserve"> </w:t>
      </w:r>
      <w:r w:rsidRPr="00095903">
        <w:rPr>
          <w:b/>
          <w:bCs/>
        </w:rPr>
        <w:t>asset</w:t>
      </w:r>
    </w:p>
    <w:p w14:paraId="3FBA69FB" w14:textId="682ECC4A" w:rsidR="000756EB" w:rsidRDefault="004A4D88" w:rsidP="00095903">
      <w:pPr>
        <w:pStyle w:val="Normalbeforebullets"/>
      </w:pPr>
      <w:r>
        <w:t>A</w:t>
      </w:r>
      <w:r w:rsidR="00A03629">
        <w:t xml:space="preserve"> </w:t>
      </w:r>
      <w:r>
        <w:t>financial</w:t>
      </w:r>
      <w:r w:rsidR="00A03629">
        <w:t xml:space="preserve"> </w:t>
      </w:r>
      <w:r>
        <w:t>asset</w:t>
      </w:r>
      <w:r w:rsidR="00A03629">
        <w:t xml:space="preserve"> </w:t>
      </w:r>
      <w:r>
        <w:t>is</w:t>
      </w:r>
      <w:r w:rsidR="00A03629">
        <w:t xml:space="preserve"> </w:t>
      </w:r>
      <w:r>
        <w:t>any</w:t>
      </w:r>
      <w:r w:rsidR="00A03629">
        <w:t xml:space="preserve"> </w:t>
      </w:r>
      <w:r>
        <w:t>asset</w:t>
      </w:r>
      <w:r w:rsidR="00A03629">
        <w:t xml:space="preserve"> </w:t>
      </w:r>
      <w:r>
        <w:t>that</w:t>
      </w:r>
      <w:r w:rsidR="00A03629">
        <w:t xml:space="preserve"> </w:t>
      </w:r>
      <w:r>
        <w:t>is:</w:t>
      </w:r>
    </w:p>
    <w:p w14:paraId="6D809D38" w14:textId="77777777" w:rsidR="000756EB" w:rsidRDefault="004A4D88" w:rsidP="00095903">
      <w:pPr>
        <w:pStyle w:val="ListParagraph-a"/>
        <w:numPr>
          <w:ilvl w:val="0"/>
          <w:numId w:val="10"/>
        </w:numPr>
        <w:ind w:left="369"/>
      </w:pPr>
      <w:r>
        <w:t>cash</w:t>
      </w:r>
    </w:p>
    <w:p w14:paraId="7A1C61C7" w14:textId="5F3DFC5A" w:rsidR="000756EB" w:rsidRDefault="004A4D88" w:rsidP="00095903">
      <w:pPr>
        <w:pStyle w:val="ListParagraph-a"/>
        <w:ind w:left="369"/>
      </w:pPr>
      <w:r>
        <w:t>an</w:t>
      </w:r>
      <w:r w:rsidR="00A03629">
        <w:t xml:space="preserve"> </w:t>
      </w:r>
      <w:r>
        <w:t>equity</w:t>
      </w:r>
      <w:r w:rsidR="00A03629">
        <w:t xml:space="preserve"> </w:t>
      </w:r>
      <w:r>
        <w:t>instrument</w:t>
      </w:r>
      <w:r w:rsidR="00A03629">
        <w:t xml:space="preserve"> </w:t>
      </w:r>
      <w:r>
        <w:t>of</w:t>
      </w:r>
      <w:r w:rsidR="00A03629">
        <w:t xml:space="preserve"> </w:t>
      </w:r>
      <w:r>
        <w:t>another</w:t>
      </w:r>
      <w:r w:rsidR="00A03629">
        <w:t xml:space="preserve"> </w:t>
      </w:r>
      <w:r>
        <w:t>entity</w:t>
      </w:r>
    </w:p>
    <w:p w14:paraId="2DE019FD" w14:textId="2BFB20DA" w:rsidR="000756EB" w:rsidRDefault="004A4D88" w:rsidP="00095903">
      <w:pPr>
        <w:pStyle w:val="ListParagraph-a"/>
        <w:ind w:left="369"/>
      </w:pPr>
      <w:r>
        <w:lastRenderedPageBreak/>
        <w:t>a</w:t>
      </w:r>
      <w:r w:rsidR="00A03629">
        <w:t xml:space="preserve"> </w:t>
      </w:r>
      <w:r>
        <w:t>contractual</w:t>
      </w:r>
      <w:r w:rsidR="00A03629">
        <w:t xml:space="preserve"> </w:t>
      </w:r>
      <w:r>
        <w:t>right</w:t>
      </w:r>
      <w:r w:rsidR="00A03629">
        <w:t xml:space="preserve"> </w:t>
      </w:r>
      <w:r>
        <w:t>or</w:t>
      </w:r>
      <w:r w:rsidR="00A03629">
        <w:t xml:space="preserve"> </w:t>
      </w:r>
      <w:r>
        <w:t>statutory</w:t>
      </w:r>
      <w:r w:rsidR="00A03629">
        <w:t xml:space="preserve"> </w:t>
      </w:r>
      <w:r>
        <w:t>right:</w:t>
      </w:r>
    </w:p>
    <w:p w14:paraId="0951BAC8" w14:textId="64CCFCAB" w:rsidR="000756EB" w:rsidRDefault="004A4D88" w:rsidP="00095903">
      <w:pPr>
        <w:pStyle w:val="Bullet2"/>
      </w:pPr>
      <w:r>
        <w:t>to</w:t>
      </w:r>
      <w:r w:rsidR="00A03629">
        <w:t xml:space="preserve"> </w:t>
      </w:r>
      <w:r>
        <w:t>receive</w:t>
      </w:r>
      <w:r w:rsidR="00A03629">
        <w:t xml:space="preserve"> </w:t>
      </w:r>
      <w:r>
        <w:t>cash</w:t>
      </w:r>
      <w:r w:rsidR="00A03629">
        <w:t xml:space="preserve"> </w:t>
      </w:r>
      <w:r>
        <w:t>or</w:t>
      </w:r>
      <w:r w:rsidR="00A03629">
        <w:t xml:space="preserve"> </w:t>
      </w:r>
      <w:r>
        <w:t>another</w:t>
      </w:r>
      <w:r w:rsidR="00A03629">
        <w:t xml:space="preserve"> </w:t>
      </w:r>
      <w:r>
        <w:t>financial</w:t>
      </w:r>
      <w:r w:rsidR="00A03629">
        <w:t xml:space="preserve"> </w:t>
      </w:r>
      <w:r>
        <w:t>asset</w:t>
      </w:r>
      <w:r w:rsidR="00A03629">
        <w:t xml:space="preserve"> </w:t>
      </w:r>
      <w:r>
        <w:t>from</w:t>
      </w:r>
      <w:r w:rsidR="00A03629">
        <w:rPr>
          <w:rFonts w:ascii="Cambria" w:hAnsi="Cambria" w:cs="Cambria"/>
        </w:rPr>
        <w:t xml:space="preserve"> </w:t>
      </w:r>
      <w:r>
        <w:t>another</w:t>
      </w:r>
      <w:r w:rsidR="00A03629">
        <w:t xml:space="preserve"> </w:t>
      </w:r>
      <w:r>
        <w:t>entity;</w:t>
      </w:r>
      <w:r w:rsidR="00A03629">
        <w:t xml:space="preserve"> </w:t>
      </w:r>
      <w:r>
        <w:t>or</w:t>
      </w:r>
    </w:p>
    <w:p w14:paraId="1F774328" w14:textId="57D711B4" w:rsidR="000756EB" w:rsidRDefault="004A4D88" w:rsidP="00095903">
      <w:pPr>
        <w:pStyle w:val="Bullet2"/>
      </w:pPr>
      <w:r>
        <w:t>to</w:t>
      </w:r>
      <w:r w:rsidR="00A03629">
        <w:t xml:space="preserve"> </w:t>
      </w:r>
      <w:r>
        <w:t>exchange</w:t>
      </w:r>
      <w:r w:rsidR="00A03629">
        <w:t xml:space="preserve"> </w:t>
      </w:r>
      <w:r>
        <w:t>financial</w:t>
      </w:r>
      <w:r w:rsidR="00A03629">
        <w:t xml:space="preserve"> </w:t>
      </w:r>
      <w:r>
        <w:t>assets</w:t>
      </w:r>
      <w:r w:rsidR="00A03629">
        <w:t xml:space="preserve"> </w:t>
      </w:r>
      <w:r>
        <w:t>or</w:t>
      </w:r>
      <w:r w:rsidR="00A03629">
        <w:t xml:space="preserve"> </w:t>
      </w:r>
      <w:r>
        <w:t>financial</w:t>
      </w:r>
      <w:r w:rsidR="00A03629">
        <w:t xml:space="preserve"> </w:t>
      </w:r>
      <w:r>
        <w:t>liabilities</w:t>
      </w:r>
      <w:r w:rsidR="00A03629">
        <w:t xml:space="preserve"> </w:t>
      </w:r>
      <w:r>
        <w:t>with</w:t>
      </w:r>
      <w:r w:rsidR="00A03629">
        <w:t xml:space="preserve"> </w:t>
      </w:r>
      <w:r>
        <w:t>another</w:t>
      </w:r>
      <w:r w:rsidR="00A03629">
        <w:t xml:space="preserve"> </w:t>
      </w:r>
      <w:r>
        <w:t>entity</w:t>
      </w:r>
      <w:r w:rsidR="00A03629">
        <w:t xml:space="preserve"> </w:t>
      </w:r>
      <w:r>
        <w:t>under</w:t>
      </w:r>
      <w:r w:rsidR="00A03629">
        <w:t xml:space="preserve"> </w:t>
      </w:r>
      <w:r>
        <w:t>conditions</w:t>
      </w:r>
      <w:r w:rsidR="00A03629">
        <w:t xml:space="preserve"> </w:t>
      </w:r>
      <w:r>
        <w:t>that</w:t>
      </w:r>
      <w:r w:rsidR="00A03629">
        <w:t xml:space="preserve"> </w:t>
      </w:r>
      <w:r>
        <w:t>are</w:t>
      </w:r>
      <w:r w:rsidR="00A03629">
        <w:t xml:space="preserve"> </w:t>
      </w:r>
      <w:r>
        <w:t>potentially</w:t>
      </w:r>
      <w:r w:rsidR="00A03629">
        <w:t xml:space="preserve"> </w:t>
      </w:r>
      <w:r>
        <w:t>favourable</w:t>
      </w:r>
      <w:r w:rsidR="00A03629">
        <w:t xml:space="preserve"> </w:t>
      </w:r>
      <w:r>
        <w:t>to</w:t>
      </w:r>
      <w:r w:rsidR="00A03629">
        <w:t xml:space="preserve"> </w:t>
      </w:r>
      <w:r>
        <w:t>the</w:t>
      </w:r>
      <w:r w:rsidR="00A03629">
        <w:t xml:space="preserve"> </w:t>
      </w:r>
      <w:r>
        <w:t>entity;</w:t>
      </w:r>
      <w:r w:rsidR="00A03629">
        <w:t xml:space="preserve"> </w:t>
      </w:r>
      <w:r>
        <w:t>or</w:t>
      </w:r>
    </w:p>
    <w:p w14:paraId="3D58075C" w14:textId="02C3347A" w:rsidR="000756EB" w:rsidRDefault="004A4D88" w:rsidP="00095903">
      <w:pPr>
        <w:pStyle w:val="ListParagraph-a"/>
        <w:ind w:left="369"/>
      </w:pPr>
      <w:r>
        <w:t>a</w:t>
      </w:r>
      <w:r w:rsidR="00A03629">
        <w:t xml:space="preserve"> </w:t>
      </w:r>
      <w:r>
        <w:t>contract</w:t>
      </w:r>
      <w:r w:rsidR="00A03629">
        <w:t xml:space="preserve"> </w:t>
      </w:r>
      <w:r>
        <w:t>that</w:t>
      </w:r>
      <w:r w:rsidR="00A03629">
        <w:t xml:space="preserve"> </w:t>
      </w:r>
      <w:r>
        <w:t>will</w:t>
      </w:r>
      <w:r w:rsidR="00A03629">
        <w:t xml:space="preserve"> </w:t>
      </w:r>
      <w:r>
        <w:t>or</w:t>
      </w:r>
      <w:r w:rsidR="00A03629">
        <w:t xml:space="preserve"> </w:t>
      </w:r>
      <w:r>
        <w:t>may</w:t>
      </w:r>
      <w:r w:rsidR="00A03629">
        <w:t xml:space="preserve"> </w:t>
      </w:r>
      <w:r>
        <w:t>be</w:t>
      </w:r>
      <w:r w:rsidR="00A03629">
        <w:t xml:space="preserve"> </w:t>
      </w:r>
      <w:r>
        <w:t>settled</w:t>
      </w:r>
      <w:r w:rsidR="00A03629">
        <w:t xml:space="preserve"> </w:t>
      </w:r>
      <w:r>
        <w:t>in</w:t>
      </w:r>
      <w:r w:rsidR="00A03629">
        <w:t xml:space="preserve"> </w:t>
      </w:r>
      <w:r>
        <w:t>the</w:t>
      </w:r>
      <w:r w:rsidR="00A03629">
        <w:t xml:space="preserve"> </w:t>
      </w:r>
      <w:r>
        <w:t>entity’s</w:t>
      </w:r>
      <w:r w:rsidR="00A03629">
        <w:t xml:space="preserve"> </w:t>
      </w:r>
      <w:r>
        <w:t>own</w:t>
      </w:r>
      <w:r w:rsidR="00A03629">
        <w:t xml:space="preserve"> </w:t>
      </w:r>
      <w:r>
        <w:t>equity</w:t>
      </w:r>
      <w:r w:rsidR="00A03629">
        <w:t xml:space="preserve"> </w:t>
      </w:r>
      <w:r>
        <w:t>instruments</w:t>
      </w:r>
      <w:r w:rsidR="00A03629">
        <w:t xml:space="preserve"> </w:t>
      </w:r>
      <w:r>
        <w:t>and</w:t>
      </w:r>
      <w:r w:rsidR="00A03629">
        <w:t xml:space="preserve"> </w:t>
      </w:r>
      <w:r>
        <w:t>is:</w:t>
      </w:r>
    </w:p>
    <w:p w14:paraId="751F263E" w14:textId="37DD36BC" w:rsidR="000756EB" w:rsidRDefault="004A4D88" w:rsidP="00095903">
      <w:pPr>
        <w:pStyle w:val="Bullet2"/>
      </w:pPr>
      <w:r>
        <w:t>a</w:t>
      </w:r>
      <w:r w:rsidR="00A03629">
        <w:t xml:space="preserve"> </w:t>
      </w:r>
      <w:r>
        <w:t>non-derivative</w:t>
      </w:r>
      <w:r w:rsidR="00A03629">
        <w:t xml:space="preserve"> </w:t>
      </w:r>
      <w:r>
        <w:t>for</w:t>
      </w:r>
      <w:r w:rsidR="00A03629">
        <w:t xml:space="preserve"> </w:t>
      </w:r>
      <w:r>
        <w:t>which</w:t>
      </w:r>
      <w:r w:rsidR="00A03629">
        <w:t xml:space="preserve"> </w:t>
      </w:r>
      <w:r>
        <w:t>the</w:t>
      </w:r>
      <w:r w:rsidR="00A03629">
        <w:t xml:space="preserve"> </w:t>
      </w:r>
      <w:r>
        <w:t>entity</w:t>
      </w:r>
      <w:r w:rsidR="00A03629">
        <w:t xml:space="preserve"> </w:t>
      </w:r>
      <w:r>
        <w:t>is</w:t>
      </w:r>
      <w:r w:rsidR="00A03629">
        <w:t xml:space="preserve"> </w:t>
      </w:r>
      <w:r>
        <w:t>or</w:t>
      </w:r>
      <w:r w:rsidR="00A03629">
        <w:t xml:space="preserve"> </w:t>
      </w:r>
      <w:r>
        <w:t>may</w:t>
      </w:r>
      <w:r w:rsidR="00A03629">
        <w:rPr>
          <w:rFonts w:ascii="Cambria" w:hAnsi="Cambria" w:cs="Cambria"/>
        </w:rPr>
        <w:t xml:space="preserve"> </w:t>
      </w:r>
      <w:r>
        <w:t>be</w:t>
      </w:r>
      <w:r w:rsidR="00A03629">
        <w:t xml:space="preserve"> </w:t>
      </w:r>
      <w:r>
        <w:t>obliged</w:t>
      </w:r>
      <w:r w:rsidR="00A03629">
        <w:t xml:space="preserve"> </w:t>
      </w:r>
      <w:r>
        <w:t>to</w:t>
      </w:r>
      <w:r w:rsidR="00A03629">
        <w:t xml:space="preserve"> </w:t>
      </w:r>
      <w:r>
        <w:t>receive</w:t>
      </w:r>
      <w:r w:rsidR="00A03629">
        <w:t xml:space="preserve"> </w:t>
      </w:r>
      <w:r>
        <w:t>a</w:t>
      </w:r>
      <w:r w:rsidR="00A03629">
        <w:t xml:space="preserve"> </w:t>
      </w:r>
      <w:r>
        <w:t>variable</w:t>
      </w:r>
      <w:r w:rsidR="00A03629">
        <w:t xml:space="preserve"> </w:t>
      </w:r>
      <w:r>
        <w:t>number</w:t>
      </w:r>
      <w:r w:rsidR="00A03629">
        <w:t xml:space="preserve"> </w:t>
      </w:r>
      <w:r>
        <w:t>of</w:t>
      </w:r>
      <w:r w:rsidR="00A03629">
        <w:rPr>
          <w:rFonts w:ascii="Cambria" w:hAnsi="Cambria" w:cs="Cambria"/>
        </w:rPr>
        <w:t xml:space="preserve"> </w:t>
      </w:r>
      <w:r>
        <w:t>the</w:t>
      </w:r>
      <w:r w:rsidR="00A03629">
        <w:t xml:space="preserve"> </w:t>
      </w:r>
      <w:r>
        <w:t>entity’s</w:t>
      </w:r>
      <w:r w:rsidR="00A03629">
        <w:t xml:space="preserve"> </w:t>
      </w:r>
      <w:r>
        <w:t>own</w:t>
      </w:r>
      <w:r w:rsidR="00A03629">
        <w:t xml:space="preserve"> </w:t>
      </w:r>
      <w:r>
        <w:t>equity</w:t>
      </w:r>
      <w:r w:rsidR="00A03629">
        <w:t xml:space="preserve"> </w:t>
      </w:r>
      <w:r>
        <w:t>instruments;</w:t>
      </w:r>
      <w:r w:rsidR="00A03629">
        <w:t xml:space="preserve"> </w:t>
      </w:r>
      <w:r>
        <w:t>or</w:t>
      </w:r>
    </w:p>
    <w:p w14:paraId="470AFFD9" w14:textId="11139612" w:rsidR="000756EB" w:rsidRDefault="004A4D88" w:rsidP="00095903">
      <w:pPr>
        <w:pStyle w:val="Bullet2"/>
        <w:spacing w:after="280"/>
        <w:ind w:left="568" w:hanging="284"/>
      </w:pPr>
      <w:r>
        <w:t>a</w:t>
      </w:r>
      <w:r w:rsidR="00A03629">
        <w:t xml:space="preserve"> </w:t>
      </w:r>
      <w:r>
        <w:t>derivative</w:t>
      </w:r>
      <w:r w:rsidR="00A03629">
        <w:t xml:space="preserve"> </w:t>
      </w:r>
      <w:r>
        <w:t>that</w:t>
      </w:r>
      <w:r w:rsidR="00A03629">
        <w:t xml:space="preserve"> </w:t>
      </w:r>
      <w:r>
        <w:t>will</w:t>
      </w:r>
      <w:r w:rsidR="00A03629">
        <w:t xml:space="preserve"> </w:t>
      </w:r>
      <w:r>
        <w:t>or</w:t>
      </w:r>
      <w:r w:rsidR="00A03629">
        <w:t xml:space="preserve"> </w:t>
      </w:r>
      <w:r>
        <w:t>may</w:t>
      </w:r>
      <w:r w:rsidR="00A03629">
        <w:t xml:space="preserve"> </w:t>
      </w:r>
      <w:r>
        <w:t>be</w:t>
      </w:r>
      <w:r w:rsidR="00A03629">
        <w:t xml:space="preserve"> </w:t>
      </w:r>
      <w:r>
        <w:t>settled</w:t>
      </w:r>
      <w:r w:rsidR="00A03629">
        <w:t xml:space="preserve"> </w:t>
      </w:r>
      <w:r>
        <w:t>other</w:t>
      </w:r>
      <w:r w:rsidR="00A03629">
        <w:t xml:space="preserve"> </w:t>
      </w:r>
      <w:r>
        <w:t>than</w:t>
      </w:r>
      <w:r w:rsidR="00A03629">
        <w:t xml:space="preserve"> </w:t>
      </w:r>
      <w:r>
        <w:t>by</w:t>
      </w:r>
      <w:r w:rsidR="00A03629">
        <w:t xml:space="preserve"> </w:t>
      </w:r>
      <w:r>
        <w:t>the</w:t>
      </w:r>
      <w:r w:rsidR="00A03629">
        <w:t xml:space="preserve"> </w:t>
      </w:r>
      <w:r>
        <w:t>exchange</w:t>
      </w:r>
      <w:r w:rsidR="00A03629">
        <w:t xml:space="preserve"> </w:t>
      </w:r>
      <w:r>
        <w:t>of</w:t>
      </w:r>
      <w:r w:rsidR="00A03629">
        <w:t xml:space="preserve"> </w:t>
      </w:r>
      <w:r>
        <w:t>a</w:t>
      </w:r>
      <w:r w:rsidR="00A03629">
        <w:t xml:space="preserve"> </w:t>
      </w:r>
      <w:r>
        <w:t>fixed</w:t>
      </w:r>
      <w:r w:rsidR="00A03629">
        <w:t xml:space="preserve"> </w:t>
      </w:r>
      <w:r>
        <w:t>amount</w:t>
      </w:r>
      <w:r w:rsidR="00A03629">
        <w:t xml:space="preserve"> </w:t>
      </w:r>
      <w:r>
        <w:t>of</w:t>
      </w:r>
      <w:r w:rsidR="00A03629">
        <w:t xml:space="preserve"> </w:t>
      </w:r>
      <w:r>
        <w:t>cash</w:t>
      </w:r>
      <w:r w:rsidR="00A03629">
        <w:t xml:space="preserve"> </w:t>
      </w:r>
      <w:r>
        <w:t>or</w:t>
      </w:r>
      <w:r w:rsidR="00A03629">
        <w:t xml:space="preserve"> </w:t>
      </w:r>
      <w:r>
        <w:t>another</w:t>
      </w:r>
      <w:r w:rsidR="00A03629">
        <w:t xml:space="preserve"> </w:t>
      </w:r>
      <w:r>
        <w:t>financial</w:t>
      </w:r>
      <w:r w:rsidR="00A03629">
        <w:t xml:space="preserve"> </w:t>
      </w:r>
      <w:r>
        <w:t>asset</w:t>
      </w:r>
      <w:r w:rsidR="00A03629">
        <w:t xml:space="preserve"> </w:t>
      </w:r>
      <w:r>
        <w:t>for</w:t>
      </w:r>
      <w:r w:rsidR="00A03629">
        <w:t xml:space="preserve"> </w:t>
      </w:r>
      <w:r>
        <w:t>a</w:t>
      </w:r>
      <w:r w:rsidR="00A03629">
        <w:t xml:space="preserve"> </w:t>
      </w:r>
      <w:r>
        <w:t>fixed</w:t>
      </w:r>
      <w:r w:rsidR="00A03629">
        <w:t xml:space="preserve"> </w:t>
      </w:r>
      <w:r>
        <w:t>number</w:t>
      </w:r>
      <w:r w:rsidR="00A03629">
        <w:t xml:space="preserve"> </w:t>
      </w:r>
      <w:r>
        <w:t>of</w:t>
      </w:r>
      <w:r w:rsidR="00A03629">
        <w:t xml:space="preserve"> </w:t>
      </w:r>
      <w:r>
        <w:t>the</w:t>
      </w:r>
      <w:r w:rsidR="00A03629">
        <w:t xml:space="preserve"> </w:t>
      </w:r>
      <w:r>
        <w:t>entity’s</w:t>
      </w:r>
      <w:r w:rsidR="00A03629">
        <w:t xml:space="preserve"> </w:t>
      </w:r>
      <w:r>
        <w:t>own</w:t>
      </w:r>
      <w:r w:rsidR="00A03629">
        <w:t xml:space="preserve"> </w:t>
      </w:r>
      <w:r>
        <w:t>equity</w:t>
      </w:r>
      <w:r w:rsidR="00A03629">
        <w:t xml:space="preserve"> </w:t>
      </w:r>
      <w:r>
        <w:t>instruments.</w:t>
      </w:r>
    </w:p>
    <w:p w14:paraId="0C061442" w14:textId="04777622" w:rsidR="000756EB" w:rsidRPr="00095903" w:rsidRDefault="004A4D88" w:rsidP="00095903">
      <w:pPr>
        <w:pStyle w:val="Normalbeforebullets"/>
        <w:rPr>
          <w:b/>
          <w:bCs/>
        </w:rPr>
      </w:pPr>
      <w:r w:rsidRPr="00095903">
        <w:rPr>
          <w:b/>
          <w:bCs/>
        </w:rPr>
        <w:t>Financial</w:t>
      </w:r>
      <w:r w:rsidR="00A03629" w:rsidRPr="00095903">
        <w:rPr>
          <w:b/>
          <w:bCs/>
        </w:rPr>
        <w:t xml:space="preserve"> </w:t>
      </w:r>
      <w:r w:rsidRPr="00095903">
        <w:rPr>
          <w:b/>
          <w:bCs/>
        </w:rPr>
        <w:t>instrument</w:t>
      </w:r>
    </w:p>
    <w:p w14:paraId="6043D515" w14:textId="57337277" w:rsidR="000756EB" w:rsidRDefault="004A4D88" w:rsidP="00095903">
      <w:r>
        <w:t>A</w:t>
      </w:r>
      <w:r w:rsidR="00A03629">
        <w:t xml:space="preserve"> </w:t>
      </w:r>
      <w:r>
        <w:t>financial</w:t>
      </w:r>
      <w:r w:rsidR="00A03629">
        <w:t xml:space="preserve"> </w:t>
      </w:r>
      <w:r>
        <w:t>instrument</w:t>
      </w:r>
      <w:r w:rsidR="00A03629">
        <w:t xml:space="preserve"> </w:t>
      </w:r>
      <w:r>
        <w:t>is</w:t>
      </w:r>
      <w:r w:rsidR="00A03629">
        <w:t xml:space="preserve"> </w:t>
      </w:r>
      <w:r>
        <w:t>any</w:t>
      </w:r>
      <w:r w:rsidR="00A03629">
        <w:t xml:space="preserve"> </w:t>
      </w:r>
      <w:r>
        <w:t>contract</w:t>
      </w:r>
      <w:r w:rsidR="00A03629">
        <w:t xml:space="preserve"> </w:t>
      </w:r>
      <w:r>
        <w:t>that</w:t>
      </w:r>
      <w:r w:rsidR="00A03629">
        <w:t xml:space="preserve"> </w:t>
      </w:r>
      <w:r>
        <w:t>gives</w:t>
      </w:r>
      <w:r w:rsidR="00A03629">
        <w:t xml:space="preserve"> </w:t>
      </w:r>
      <w:r>
        <w:t>rise</w:t>
      </w:r>
      <w:r w:rsidR="00A03629">
        <w:t xml:space="preserve"> </w:t>
      </w:r>
      <w:r>
        <w:t>to</w:t>
      </w:r>
      <w:r w:rsidR="00A03629">
        <w:t xml:space="preserve"> </w:t>
      </w:r>
      <w:r>
        <w:t>a</w:t>
      </w:r>
      <w:r w:rsidR="00A03629">
        <w:t xml:space="preserve"> </w:t>
      </w:r>
      <w:r>
        <w:t>financial</w:t>
      </w:r>
      <w:r w:rsidR="00A03629">
        <w:t xml:space="preserve"> </w:t>
      </w:r>
      <w:r>
        <w:t>asset</w:t>
      </w:r>
      <w:r w:rsidR="00A03629">
        <w:t xml:space="preserve"> </w:t>
      </w:r>
      <w:r>
        <w:t>of</w:t>
      </w:r>
      <w:r w:rsidR="00A03629">
        <w:t xml:space="preserve"> </w:t>
      </w:r>
      <w:r>
        <w:t>one</w:t>
      </w:r>
      <w:r w:rsidR="00A03629">
        <w:t xml:space="preserve"> </w:t>
      </w:r>
      <w:r>
        <w:t>entity</w:t>
      </w:r>
      <w:r w:rsidR="00A03629">
        <w:t xml:space="preserve"> </w:t>
      </w:r>
      <w:r>
        <w:t>and</w:t>
      </w:r>
      <w:r w:rsidR="00A03629">
        <w:t xml:space="preserve"> </w:t>
      </w:r>
      <w:r>
        <w:t>a</w:t>
      </w:r>
      <w:r w:rsidR="00A03629">
        <w:t xml:space="preserve"> </w:t>
      </w:r>
      <w:r>
        <w:t>financial</w:t>
      </w:r>
      <w:r w:rsidR="00A03629">
        <w:t xml:space="preserve"> </w:t>
      </w:r>
      <w:r>
        <w:t>liability</w:t>
      </w:r>
      <w:r w:rsidR="00A03629">
        <w:t xml:space="preserve"> </w:t>
      </w:r>
      <w:r>
        <w:t>or</w:t>
      </w:r>
      <w:r w:rsidR="00A03629">
        <w:t xml:space="preserve"> </w:t>
      </w:r>
      <w:r>
        <w:t>equity</w:t>
      </w:r>
      <w:r w:rsidR="00A03629">
        <w:t xml:space="preserve"> </w:t>
      </w:r>
      <w:r>
        <w:t>instrument</w:t>
      </w:r>
      <w:r w:rsidR="00A03629">
        <w:t xml:space="preserve"> </w:t>
      </w:r>
      <w:r>
        <w:t>of</w:t>
      </w:r>
      <w:r w:rsidR="00A03629">
        <w:t xml:space="preserve"> </w:t>
      </w:r>
      <w:r>
        <w:t>another</w:t>
      </w:r>
      <w:r w:rsidR="00A03629">
        <w:t xml:space="preserve"> </w:t>
      </w:r>
      <w:r>
        <w:t>entity.</w:t>
      </w:r>
      <w:r w:rsidR="00A03629">
        <w:t xml:space="preserve"> </w:t>
      </w:r>
      <w:r>
        <w:t>Financial</w:t>
      </w:r>
      <w:r w:rsidR="00A03629">
        <w:t xml:space="preserve"> </w:t>
      </w:r>
      <w:r>
        <w:t>assets</w:t>
      </w:r>
      <w:r w:rsidR="00A03629">
        <w:t xml:space="preserve"> </w:t>
      </w:r>
      <w:r>
        <w:t>or</w:t>
      </w:r>
      <w:r w:rsidR="00A03629">
        <w:t xml:space="preserve"> </w:t>
      </w:r>
      <w:r>
        <w:t>liabilities</w:t>
      </w:r>
      <w:r w:rsidR="00A03629">
        <w:t xml:space="preserve"> </w:t>
      </w:r>
      <w:r>
        <w:t>that</w:t>
      </w:r>
      <w:r w:rsidR="00A03629">
        <w:t xml:space="preserve"> </w:t>
      </w:r>
      <w:r>
        <w:t>are</w:t>
      </w:r>
      <w:r w:rsidR="00A03629">
        <w:t xml:space="preserve"> </w:t>
      </w:r>
      <w:r>
        <w:t>not</w:t>
      </w:r>
      <w:r w:rsidR="00A03629">
        <w:t xml:space="preserve"> </w:t>
      </w:r>
      <w:r>
        <w:t>contractual</w:t>
      </w:r>
      <w:r w:rsidR="00A03629">
        <w:t xml:space="preserve"> </w:t>
      </w:r>
      <w:r>
        <w:t>(such</w:t>
      </w:r>
      <w:r w:rsidR="00A03629">
        <w:t xml:space="preserve"> </w:t>
      </w:r>
      <w:r>
        <w:t>as</w:t>
      </w:r>
      <w:r w:rsidR="00A03629">
        <w:t xml:space="preserve"> </w:t>
      </w:r>
      <w:r>
        <w:t>statutory</w:t>
      </w:r>
      <w:r w:rsidR="00A03629">
        <w:t xml:space="preserve"> </w:t>
      </w:r>
      <w:r>
        <w:t>receivables</w:t>
      </w:r>
      <w:r w:rsidR="00A03629">
        <w:t xml:space="preserve"> </w:t>
      </w:r>
      <w:r>
        <w:t>or</w:t>
      </w:r>
      <w:r w:rsidR="00A03629">
        <w:t xml:space="preserve"> </w:t>
      </w:r>
      <w:r>
        <w:t>payables</w:t>
      </w:r>
      <w:r w:rsidR="00A03629">
        <w:t xml:space="preserve"> </w:t>
      </w:r>
      <w:r>
        <w:t>that</w:t>
      </w:r>
      <w:r w:rsidR="00A03629">
        <w:t xml:space="preserve"> </w:t>
      </w:r>
      <w:r>
        <w:t>arise</w:t>
      </w:r>
      <w:r w:rsidR="00A03629">
        <w:t xml:space="preserve"> </w:t>
      </w:r>
      <w:proofErr w:type="gramStart"/>
      <w:r>
        <w:t>as</w:t>
      </w:r>
      <w:r w:rsidR="00A03629">
        <w:t xml:space="preserve"> </w:t>
      </w:r>
      <w:r>
        <w:t>a</w:t>
      </w:r>
      <w:r w:rsidR="00A03629">
        <w:t xml:space="preserve"> </w:t>
      </w:r>
      <w:r>
        <w:t>result</w:t>
      </w:r>
      <w:r w:rsidR="00A03629">
        <w:t xml:space="preserve"> </w:t>
      </w:r>
      <w:r>
        <w:t>of</w:t>
      </w:r>
      <w:proofErr w:type="gramEnd"/>
      <w:r w:rsidR="00A03629">
        <w:t xml:space="preserve"> </w:t>
      </w:r>
      <w:r>
        <w:t>statutory</w:t>
      </w:r>
      <w:r w:rsidR="00A03629">
        <w:t xml:space="preserve"> </w:t>
      </w:r>
      <w:r>
        <w:t>requirements</w:t>
      </w:r>
      <w:r w:rsidR="00A03629">
        <w:t xml:space="preserve"> </w:t>
      </w:r>
      <w:r>
        <w:t>imposed</w:t>
      </w:r>
      <w:r w:rsidR="00A03629">
        <w:t xml:space="preserve"> </w:t>
      </w:r>
      <w:r>
        <w:t>by</w:t>
      </w:r>
      <w:r w:rsidR="00A03629">
        <w:t xml:space="preserve"> </w:t>
      </w:r>
      <w:r>
        <w:t>governments)</w:t>
      </w:r>
      <w:r w:rsidR="00A03629">
        <w:t xml:space="preserve"> </w:t>
      </w:r>
      <w:r>
        <w:t>are</w:t>
      </w:r>
      <w:r w:rsidR="00A03629">
        <w:t xml:space="preserve"> </w:t>
      </w:r>
      <w:r>
        <w:t>not</w:t>
      </w:r>
      <w:r w:rsidR="00A03629">
        <w:t xml:space="preserve"> </w:t>
      </w:r>
      <w:r>
        <w:t>financial</w:t>
      </w:r>
      <w:r w:rsidR="00A03629">
        <w:t xml:space="preserve"> </w:t>
      </w:r>
      <w:r>
        <w:t>instruments.</w:t>
      </w:r>
      <w:r w:rsidR="00A03629">
        <w:t xml:space="preserve"> </w:t>
      </w:r>
    </w:p>
    <w:p w14:paraId="25526DCF" w14:textId="082D0622" w:rsidR="000756EB" w:rsidRPr="00095903" w:rsidRDefault="004A4D88" w:rsidP="00095903">
      <w:pPr>
        <w:pStyle w:val="Normalbeforebullets"/>
        <w:rPr>
          <w:b/>
          <w:bCs/>
        </w:rPr>
      </w:pPr>
      <w:r w:rsidRPr="00095903">
        <w:rPr>
          <w:b/>
          <w:bCs/>
        </w:rPr>
        <w:t>Financial</w:t>
      </w:r>
      <w:r w:rsidR="00A03629" w:rsidRPr="00095903">
        <w:rPr>
          <w:b/>
          <w:bCs/>
        </w:rPr>
        <w:t xml:space="preserve"> </w:t>
      </w:r>
      <w:r w:rsidRPr="00095903">
        <w:rPr>
          <w:b/>
          <w:bCs/>
        </w:rPr>
        <w:t>liability</w:t>
      </w:r>
    </w:p>
    <w:p w14:paraId="664B563E" w14:textId="70717B38" w:rsidR="000756EB" w:rsidRDefault="004A4D88" w:rsidP="00095903">
      <w:pPr>
        <w:pStyle w:val="Normalbeforebullets"/>
      </w:pPr>
      <w:r>
        <w:t>A</w:t>
      </w:r>
      <w:r w:rsidR="00A03629">
        <w:t xml:space="preserve"> </w:t>
      </w:r>
      <w:r>
        <w:t>financial</w:t>
      </w:r>
      <w:r w:rsidR="00A03629">
        <w:t xml:space="preserve"> </w:t>
      </w:r>
      <w:r>
        <w:t>liability</w:t>
      </w:r>
      <w:r w:rsidR="00A03629">
        <w:t xml:space="preserve"> </w:t>
      </w:r>
      <w:r>
        <w:t>is</w:t>
      </w:r>
      <w:r w:rsidR="00A03629">
        <w:t xml:space="preserve"> </w:t>
      </w:r>
      <w:r>
        <w:t>any</w:t>
      </w:r>
      <w:r w:rsidR="00A03629">
        <w:t xml:space="preserve"> </w:t>
      </w:r>
      <w:r>
        <w:t>liability</w:t>
      </w:r>
      <w:r w:rsidR="00A03629">
        <w:t xml:space="preserve"> </w:t>
      </w:r>
      <w:r>
        <w:t>that</w:t>
      </w:r>
      <w:r w:rsidR="00A03629">
        <w:t xml:space="preserve"> </w:t>
      </w:r>
      <w:r>
        <w:t>is:</w:t>
      </w:r>
    </w:p>
    <w:p w14:paraId="733883A1" w14:textId="3A124C09" w:rsidR="000756EB" w:rsidRDefault="004A4D88" w:rsidP="00095903">
      <w:pPr>
        <w:pStyle w:val="ListParagraph-a"/>
        <w:numPr>
          <w:ilvl w:val="0"/>
          <w:numId w:val="11"/>
        </w:numPr>
        <w:ind w:left="369"/>
      </w:pPr>
      <w:r>
        <w:t>a</w:t>
      </w:r>
      <w:r w:rsidR="00A03629">
        <w:t xml:space="preserve"> </w:t>
      </w:r>
      <w:r>
        <w:t>contractual</w:t>
      </w:r>
      <w:r w:rsidR="00A03629">
        <w:t xml:space="preserve"> </w:t>
      </w:r>
      <w:r>
        <w:t>or</w:t>
      </w:r>
      <w:r w:rsidR="00A03629">
        <w:t xml:space="preserve"> </w:t>
      </w:r>
      <w:r>
        <w:t>statutory</w:t>
      </w:r>
      <w:r w:rsidR="00A03629">
        <w:t xml:space="preserve"> </w:t>
      </w:r>
      <w:r>
        <w:t>obligation:</w:t>
      </w:r>
    </w:p>
    <w:p w14:paraId="5A1EA209" w14:textId="797EF4C6" w:rsidR="000756EB" w:rsidRPr="00B4004A" w:rsidRDefault="004A4D88" w:rsidP="00B4004A">
      <w:pPr>
        <w:pStyle w:val="Bullet2"/>
      </w:pPr>
      <w:r w:rsidRPr="00B4004A">
        <w:t>to</w:t>
      </w:r>
      <w:r w:rsidR="00A03629" w:rsidRPr="00B4004A">
        <w:t xml:space="preserve"> </w:t>
      </w:r>
      <w:r w:rsidRPr="00B4004A">
        <w:t>deliver</w:t>
      </w:r>
      <w:r w:rsidR="00A03629" w:rsidRPr="00B4004A">
        <w:t xml:space="preserve"> </w:t>
      </w:r>
      <w:r w:rsidRPr="00B4004A">
        <w:t>cash</w:t>
      </w:r>
      <w:r w:rsidR="00A03629" w:rsidRPr="00B4004A">
        <w:t xml:space="preserve"> </w:t>
      </w:r>
      <w:r w:rsidRPr="00B4004A">
        <w:t>or</w:t>
      </w:r>
      <w:r w:rsidR="00A03629" w:rsidRPr="00B4004A">
        <w:t xml:space="preserve"> </w:t>
      </w:r>
      <w:r w:rsidRPr="00B4004A">
        <w:t>another</w:t>
      </w:r>
      <w:r w:rsidR="00A03629" w:rsidRPr="00B4004A">
        <w:t xml:space="preserve"> </w:t>
      </w:r>
      <w:r w:rsidRPr="00B4004A">
        <w:t>financial</w:t>
      </w:r>
      <w:r w:rsidR="00A03629" w:rsidRPr="00B4004A">
        <w:t xml:space="preserve"> </w:t>
      </w:r>
      <w:r w:rsidRPr="00B4004A">
        <w:t>asset</w:t>
      </w:r>
      <w:r w:rsidR="00A03629" w:rsidRPr="00B4004A">
        <w:t xml:space="preserve"> </w:t>
      </w:r>
      <w:r w:rsidRPr="00B4004A">
        <w:t>to</w:t>
      </w:r>
      <w:r w:rsidR="00A03629" w:rsidRPr="00B4004A">
        <w:t xml:space="preserve"> </w:t>
      </w:r>
      <w:r w:rsidRPr="00B4004A">
        <w:t>another</w:t>
      </w:r>
      <w:r w:rsidR="00A03629" w:rsidRPr="00B4004A">
        <w:t xml:space="preserve"> </w:t>
      </w:r>
      <w:r w:rsidRPr="00B4004A">
        <w:t>entity;</w:t>
      </w:r>
      <w:r w:rsidR="00A03629" w:rsidRPr="00B4004A">
        <w:t xml:space="preserve"> </w:t>
      </w:r>
      <w:r w:rsidRPr="00B4004A">
        <w:t>or</w:t>
      </w:r>
    </w:p>
    <w:p w14:paraId="643B187F" w14:textId="0B132C65" w:rsidR="000756EB" w:rsidRPr="00B4004A" w:rsidRDefault="004A4D88" w:rsidP="00B4004A">
      <w:pPr>
        <w:pStyle w:val="Bullet2"/>
      </w:pPr>
      <w:r w:rsidRPr="00B4004A">
        <w:t>to</w:t>
      </w:r>
      <w:r w:rsidR="00A03629" w:rsidRPr="00B4004A">
        <w:t xml:space="preserve"> </w:t>
      </w:r>
      <w:r w:rsidRPr="00B4004A">
        <w:t>exchange</w:t>
      </w:r>
      <w:r w:rsidR="00A03629" w:rsidRPr="00B4004A">
        <w:t xml:space="preserve"> </w:t>
      </w:r>
      <w:r w:rsidRPr="00B4004A">
        <w:t>financial</w:t>
      </w:r>
      <w:r w:rsidR="00A03629" w:rsidRPr="00B4004A">
        <w:t xml:space="preserve"> </w:t>
      </w:r>
      <w:r w:rsidRPr="00B4004A">
        <w:t>assets</w:t>
      </w:r>
      <w:r w:rsidR="00A03629" w:rsidRPr="00B4004A">
        <w:t xml:space="preserve"> </w:t>
      </w:r>
      <w:r w:rsidRPr="00B4004A">
        <w:t>or</w:t>
      </w:r>
      <w:r w:rsidR="00A03629" w:rsidRPr="00B4004A">
        <w:t xml:space="preserve"> </w:t>
      </w:r>
      <w:r w:rsidRPr="00B4004A">
        <w:t>financial</w:t>
      </w:r>
      <w:r w:rsidR="00A03629" w:rsidRPr="00B4004A">
        <w:t xml:space="preserve"> </w:t>
      </w:r>
      <w:r w:rsidRPr="00B4004A">
        <w:t>liabilities</w:t>
      </w:r>
      <w:r w:rsidR="00A03629" w:rsidRPr="00B4004A">
        <w:t xml:space="preserve"> </w:t>
      </w:r>
      <w:r w:rsidRPr="00B4004A">
        <w:t>with</w:t>
      </w:r>
      <w:r w:rsidR="00A03629" w:rsidRPr="00B4004A">
        <w:t xml:space="preserve"> </w:t>
      </w:r>
      <w:r w:rsidRPr="00B4004A">
        <w:t>another</w:t>
      </w:r>
      <w:r w:rsidR="00A03629" w:rsidRPr="00B4004A">
        <w:t xml:space="preserve"> </w:t>
      </w:r>
      <w:r w:rsidRPr="00B4004A">
        <w:t>entity</w:t>
      </w:r>
      <w:r w:rsidR="00A03629" w:rsidRPr="00B4004A">
        <w:t xml:space="preserve"> </w:t>
      </w:r>
      <w:r w:rsidRPr="00B4004A">
        <w:t>under</w:t>
      </w:r>
      <w:r w:rsidR="00A03629" w:rsidRPr="00B4004A">
        <w:t xml:space="preserve"> </w:t>
      </w:r>
      <w:r w:rsidRPr="00B4004A">
        <w:t>conditions</w:t>
      </w:r>
      <w:r w:rsidR="00A03629" w:rsidRPr="00B4004A">
        <w:t xml:space="preserve"> </w:t>
      </w:r>
      <w:r w:rsidRPr="00B4004A">
        <w:t>that</w:t>
      </w:r>
      <w:r w:rsidR="00A03629" w:rsidRPr="00B4004A">
        <w:t xml:space="preserve"> </w:t>
      </w:r>
      <w:r w:rsidRPr="00B4004A">
        <w:t>are</w:t>
      </w:r>
      <w:r w:rsidR="00A03629" w:rsidRPr="00B4004A">
        <w:t xml:space="preserve"> </w:t>
      </w:r>
      <w:r w:rsidRPr="00B4004A">
        <w:t>potentially</w:t>
      </w:r>
      <w:r w:rsidR="00A03629" w:rsidRPr="00B4004A">
        <w:t xml:space="preserve"> </w:t>
      </w:r>
      <w:r w:rsidRPr="00B4004A">
        <w:t>unfavourable</w:t>
      </w:r>
      <w:r w:rsidR="00A03629" w:rsidRPr="00B4004A">
        <w:t xml:space="preserve"> </w:t>
      </w:r>
      <w:r w:rsidRPr="00B4004A">
        <w:t>to</w:t>
      </w:r>
      <w:r w:rsidR="00A03629" w:rsidRPr="00B4004A">
        <w:t xml:space="preserve"> </w:t>
      </w:r>
      <w:r w:rsidRPr="00B4004A">
        <w:t>the</w:t>
      </w:r>
      <w:r w:rsidR="00A03629" w:rsidRPr="00B4004A">
        <w:t xml:space="preserve"> </w:t>
      </w:r>
      <w:r w:rsidRPr="00B4004A">
        <w:t>entity;</w:t>
      </w:r>
      <w:r w:rsidR="00A03629" w:rsidRPr="00B4004A">
        <w:t xml:space="preserve"> </w:t>
      </w:r>
      <w:r w:rsidRPr="00B4004A">
        <w:t>or</w:t>
      </w:r>
    </w:p>
    <w:p w14:paraId="4A27A930" w14:textId="1AEA3704" w:rsidR="000756EB" w:rsidRDefault="004A4D88" w:rsidP="00B4004A">
      <w:pPr>
        <w:pStyle w:val="ListParagraph-a"/>
        <w:ind w:left="369"/>
      </w:pPr>
      <w:r>
        <w:t>a</w:t>
      </w:r>
      <w:r w:rsidR="00A03629">
        <w:t xml:space="preserve"> </w:t>
      </w:r>
      <w:r>
        <w:t>contract</w:t>
      </w:r>
      <w:r w:rsidR="00A03629">
        <w:t xml:space="preserve"> </w:t>
      </w:r>
      <w:r>
        <w:t>that</w:t>
      </w:r>
      <w:r w:rsidR="00A03629">
        <w:t xml:space="preserve"> </w:t>
      </w:r>
      <w:r>
        <w:t>will</w:t>
      </w:r>
      <w:r w:rsidR="00A03629">
        <w:t xml:space="preserve"> </w:t>
      </w:r>
      <w:r>
        <w:t>or</w:t>
      </w:r>
      <w:r w:rsidR="00A03629">
        <w:t xml:space="preserve"> </w:t>
      </w:r>
      <w:r>
        <w:t>may</w:t>
      </w:r>
      <w:r w:rsidR="00A03629">
        <w:t xml:space="preserve"> </w:t>
      </w:r>
      <w:r>
        <w:t>be</w:t>
      </w:r>
      <w:r w:rsidR="00A03629">
        <w:t xml:space="preserve"> </w:t>
      </w:r>
      <w:r>
        <w:t>settled</w:t>
      </w:r>
      <w:r w:rsidR="00A03629">
        <w:t xml:space="preserve"> </w:t>
      </w:r>
      <w:r>
        <w:t>in</w:t>
      </w:r>
      <w:r w:rsidR="00A03629">
        <w:t xml:space="preserve"> </w:t>
      </w:r>
      <w:r>
        <w:t>the</w:t>
      </w:r>
      <w:r w:rsidR="00A03629">
        <w:t xml:space="preserve"> </w:t>
      </w:r>
      <w:r>
        <w:t>entity’s</w:t>
      </w:r>
      <w:r w:rsidR="00A03629">
        <w:t xml:space="preserve"> </w:t>
      </w:r>
      <w:r>
        <w:t>own</w:t>
      </w:r>
      <w:r w:rsidR="00A03629">
        <w:t xml:space="preserve"> </w:t>
      </w:r>
      <w:r>
        <w:t>equity</w:t>
      </w:r>
      <w:r w:rsidR="00A03629">
        <w:t xml:space="preserve"> </w:t>
      </w:r>
      <w:r>
        <w:t>instruments</w:t>
      </w:r>
      <w:r w:rsidR="00A03629">
        <w:t xml:space="preserve"> </w:t>
      </w:r>
      <w:r>
        <w:t>and</w:t>
      </w:r>
      <w:r w:rsidR="00A03629">
        <w:t xml:space="preserve"> </w:t>
      </w:r>
      <w:r>
        <w:t>is:</w:t>
      </w:r>
    </w:p>
    <w:p w14:paraId="6E92633D" w14:textId="49F4DA8C" w:rsidR="000756EB" w:rsidRDefault="004A4D88" w:rsidP="00B4004A">
      <w:pPr>
        <w:pStyle w:val="Bullet2"/>
      </w:pPr>
      <w:r>
        <w:t>a</w:t>
      </w:r>
      <w:r w:rsidR="00A03629">
        <w:t xml:space="preserve"> </w:t>
      </w:r>
      <w:r>
        <w:t>non-derivative</w:t>
      </w:r>
      <w:r w:rsidR="00A03629">
        <w:t xml:space="preserve"> </w:t>
      </w:r>
      <w:r>
        <w:t>for</w:t>
      </w:r>
      <w:r w:rsidR="00A03629">
        <w:t xml:space="preserve"> </w:t>
      </w:r>
      <w:r>
        <w:t>which</w:t>
      </w:r>
      <w:r w:rsidR="00A03629">
        <w:t xml:space="preserve"> </w:t>
      </w:r>
      <w:r>
        <w:t>the</w:t>
      </w:r>
      <w:r w:rsidR="00A03629">
        <w:t xml:space="preserve"> </w:t>
      </w:r>
      <w:r>
        <w:t>entity</w:t>
      </w:r>
      <w:r w:rsidR="00A03629">
        <w:t xml:space="preserve"> </w:t>
      </w:r>
      <w:r>
        <w:t>is</w:t>
      </w:r>
      <w:r w:rsidR="00A03629">
        <w:t xml:space="preserve"> </w:t>
      </w:r>
      <w:r>
        <w:t>or</w:t>
      </w:r>
      <w:r w:rsidR="00A03629">
        <w:t xml:space="preserve"> </w:t>
      </w:r>
      <w:r>
        <w:t>may</w:t>
      </w:r>
      <w:r w:rsidR="00A03629">
        <w:t xml:space="preserve"> </w:t>
      </w:r>
      <w:r>
        <w:t>be</w:t>
      </w:r>
      <w:r w:rsidR="00A03629">
        <w:t xml:space="preserve"> </w:t>
      </w:r>
      <w:r>
        <w:t>obliged</w:t>
      </w:r>
      <w:r w:rsidR="00A03629">
        <w:t xml:space="preserve"> </w:t>
      </w:r>
      <w:r>
        <w:t>to</w:t>
      </w:r>
      <w:r w:rsidR="00A03629">
        <w:t xml:space="preserve"> </w:t>
      </w:r>
      <w:r>
        <w:t>deliver</w:t>
      </w:r>
      <w:r w:rsidR="00A03629">
        <w:t xml:space="preserve"> </w:t>
      </w:r>
      <w:r>
        <w:t>a</w:t>
      </w:r>
      <w:r w:rsidR="00A03629">
        <w:t xml:space="preserve"> </w:t>
      </w:r>
      <w:r>
        <w:t>variable</w:t>
      </w:r>
      <w:r w:rsidR="00A03629">
        <w:t xml:space="preserve"> </w:t>
      </w:r>
      <w:r>
        <w:t>number</w:t>
      </w:r>
      <w:r w:rsidR="00A03629">
        <w:t xml:space="preserve"> </w:t>
      </w:r>
      <w:r>
        <w:t>of</w:t>
      </w:r>
      <w:r w:rsidR="00A03629">
        <w:t xml:space="preserve"> </w:t>
      </w:r>
      <w:r>
        <w:t>the</w:t>
      </w:r>
      <w:r w:rsidR="00A03629">
        <w:t xml:space="preserve"> </w:t>
      </w:r>
      <w:r>
        <w:t>entity’s</w:t>
      </w:r>
      <w:r w:rsidR="00A03629">
        <w:t xml:space="preserve"> </w:t>
      </w:r>
      <w:r>
        <w:t>own</w:t>
      </w:r>
      <w:r w:rsidR="00A03629">
        <w:t xml:space="preserve"> </w:t>
      </w:r>
      <w:r>
        <w:t>equity</w:t>
      </w:r>
      <w:r w:rsidR="00A03629">
        <w:t xml:space="preserve"> </w:t>
      </w:r>
      <w:r>
        <w:t>instruments;</w:t>
      </w:r>
      <w:r w:rsidR="00A03629">
        <w:t xml:space="preserve"> </w:t>
      </w:r>
      <w:r>
        <w:t>or</w:t>
      </w:r>
    </w:p>
    <w:p w14:paraId="00F5FBF9" w14:textId="56DD27F5" w:rsidR="000756EB" w:rsidRDefault="004A4D88" w:rsidP="00B4004A">
      <w:pPr>
        <w:pStyle w:val="Bullet2"/>
        <w:spacing w:after="280"/>
        <w:ind w:left="568" w:hanging="284"/>
        <w:rPr>
          <w:spacing w:val="-8"/>
        </w:rPr>
      </w:pPr>
      <w:r>
        <w:rPr>
          <w:spacing w:val="-8"/>
        </w:rPr>
        <w:t>a</w:t>
      </w:r>
      <w:r w:rsidR="00A03629">
        <w:rPr>
          <w:spacing w:val="-8"/>
        </w:rPr>
        <w:t xml:space="preserve"> </w:t>
      </w:r>
      <w:r>
        <w:rPr>
          <w:spacing w:val="-8"/>
        </w:rPr>
        <w:t>derivative</w:t>
      </w:r>
      <w:r w:rsidR="00A03629">
        <w:rPr>
          <w:spacing w:val="-8"/>
        </w:rPr>
        <w:t xml:space="preserve"> </w:t>
      </w:r>
      <w:r>
        <w:rPr>
          <w:spacing w:val="-8"/>
        </w:rPr>
        <w:t>that</w:t>
      </w:r>
      <w:r w:rsidR="00A03629">
        <w:rPr>
          <w:spacing w:val="-8"/>
        </w:rPr>
        <w:t xml:space="preserve"> </w:t>
      </w:r>
      <w:r>
        <w:rPr>
          <w:spacing w:val="-8"/>
        </w:rPr>
        <w:t>will</w:t>
      </w:r>
      <w:r w:rsidR="00A03629">
        <w:rPr>
          <w:spacing w:val="-8"/>
        </w:rPr>
        <w:t xml:space="preserve"> </w:t>
      </w:r>
      <w:r>
        <w:rPr>
          <w:spacing w:val="-8"/>
        </w:rPr>
        <w:t>or</w:t>
      </w:r>
      <w:r w:rsidR="00A03629">
        <w:rPr>
          <w:spacing w:val="-8"/>
        </w:rPr>
        <w:t xml:space="preserve"> </w:t>
      </w:r>
      <w:r>
        <w:rPr>
          <w:spacing w:val="-8"/>
        </w:rPr>
        <w:t>may</w:t>
      </w:r>
      <w:r w:rsidR="00A03629">
        <w:rPr>
          <w:spacing w:val="-8"/>
        </w:rPr>
        <w:t xml:space="preserve"> </w:t>
      </w:r>
      <w:r>
        <w:rPr>
          <w:spacing w:val="-8"/>
        </w:rPr>
        <w:t>be</w:t>
      </w:r>
      <w:r w:rsidR="00A03629">
        <w:rPr>
          <w:spacing w:val="-8"/>
        </w:rPr>
        <w:t xml:space="preserve"> </w:t>
      </w:r>
      <w:r>
        <w:rPr>
          <w:spacing w:val="-8"/>
        </w:rPr>
        <w:t>settled</w:t>
      </w:r>
      <w:r w:rsidR="00A03629">
        <w:rPr>
          <w:spacing w:val="-8"/>
        </w:rPr>
        <w:t xml:space="preserve"> </w:t>
      </w:r>
      <w:r>
        <w:rPr>
          <w:spacing w:val="-8"/>
        </w:rPr>
        <w:t>other</w:t>
      </w:r>
      <w:r w:rsidR="00A03629">
        <w:rPr>
          <w:spacing w:val="-8"/>
        </w:rPr>
        <w:t xml:space="preserve"> </w:t>
      </w:r>
      <w:r>
        <w:rPr>
          <w:spacing w:val="-8"/>
        </w:rPr>
        <w:t>than</w:t>
      </w:r>
      <w:r w:rsidR="00A03629">
        <w:rPr>
          <w:spacing w:val="-8"/>
        </w:rPr>
        <w:t xml:space="preserve"> </w:t>
      </w:r>
      <w:r>
        <w:rPr>
          <w:spacing w:val="-8"/>
        </w:rPr>
        <w:t>by</w:t>
      </w:r>
      <w:r w:rsidR="00A03629">
        <w:rPr>
          <w:spacing w:val="-8"/>
        </w:rPr>
        <w:t xml:space="preserve"> </w:t>
      </w:r>
      <w:r>
        <w:rPr>
          <w:spacing w:val="-8"/>
        </w:rPr>
        <w:t>the</w:t>
      </w:r>
      <w:r w:rsidR="00A03629">
        <w:rPr>
          <w:spacing w:val="-8"/>
        </w:rPr>
        <w:t xml:space="preserve"> </w:t>
      </w:r>
      <w:r>
        <w:rPr>
          <w:spacing w:val="-8"/>
        </w:rPr>
        <w:t>exchange</w:t>
      </w:r>
      <w:r w:rsidR="00A03629">
        <w:rPr>
          <w:spacing w:val="-8"/>
        </w:rPr>
        <w:t xml:space="preserve"> </w:t>
      </w:r>
      <w:r>
        <w:rPr>
          <w:spacing w:val="-8"/>
        </w:rPr>
        <w:t>of</w:t>
      </w:r>
      <w:r w:rsidR="00A03629">
        <w:rPr>
          <w:spacing w:val="-8"/>
        </w:rPr>
        <w:t xml:space="preserve"> </w:t>
      </w:r>
      <w:r>
        <w:rPr>
          <w:spacing w:val="-8"/>
        </w:rPr>
        <w:t>a</w:t>
      </w:r>
      <w:r w:rsidR="00A03629">
        <w:rPr>
          <w:spacing w:val="-8"/>
        </w:rPr>
        <w:t xml:space="preserve"> </w:t>
      </w:r>
      <w:r>
        <w:rPr>
          <w:spacing w:val="-8"/>
        </w:rPr>
        <w:t>fixed</w:t>
      </w:r>
      <w:r w:rsidR="00A03629">
        <w:rPr>
          <w:spacing w:val="-8"/>
        </w:rPr>
        <w:t xml:space="preserve"> </w:t>
      </w:r>
      <w:r>
        <w:rPr>
          <w:spacing w:val="-8"/>
        </w:rPr>
        <w:t>amount</w:t>
      </w:r>
      <w:r w:rsidR="00A03629">
        <w:rPr>
          <w:spacing w:val="-8"/>
        </w:rPr>
        <w:t xml:space="preserve"> </w:t>
      </w:r>
      <w:r>
        <w:rPr>
          <w:spacing w:val="-8"/>
        </w:rPr>
        <w:t>of</w:t>
      </w:r>
      <w:r w:rsidR="00A03629">
        <w:rPr>
          <w:spacing w:val="-8"/>
        </w:rPr>
        <w:t xml:space="preserve"> </w:t>
      </w:r>
      <w:r>
        <w:rPr>
          <w:spacing w:val="-8"/>
        </w:rPr>
        <w:t>cash</w:t>
      </w:r>
      <w:r w:rsidR="00A03629">
        <w:rPr>
          <w:spacing w:val="-8"/>
        </w:rPr>
        <w:t xml:space="preserve"> </w:t>
      </w:r>
      <w:r>
        <w:rPr>
          <w:spacing w:val="-8"/>
        </w:rPr>
        <w:t>or</w:t>
      </w:r>
      <w:r w:rsidR="00A03629">
        <w:rPr>
          <w:spacing w:val="-8"/>
        </w:rPr>
        <w:t xml:space="preserve"> </w:t>
      </w:r>
      <w:r>
        <w:rPr>
          <w:spacing w:val="-8"/>
        </w:rPr>
        <w:t>another</w:t>
      </w:r>
      <w:r w:rsidR="00A03629">
        <w:rPr>
          <w:spacing w:val="-8"/>
        </w:rPr>
        <w:t xml:space="preserve"> </w:t>
      </w:r>
      <w:r>
        <w:rPr>
          <w:spacing w:val="-8"/>
        </w:rPr>
        <w:t>financial</w:t>
      </w:r>
      <w:r w:rsidR="00A03629">
        <w:rPr>
          <w:spacing w:val="-8"/>
        </w:rPr>
        <w:t xml:space="preserve"> </w:t>
      </w:r>
      <w:r>
        <w:rPr>
          <w:spacing w:val="-8"/>
        </w:rPr>
        <w:t>asset</w:t>
      </w:r>
      <w:r w:rsidR="00A03629">
        <w:rPr>
          <w:spacing w:val="-8"/>
        </w:rPr>
        <w:t xml:space="preserve"> </w:t>
      </w:r>
      <w:r>
        <w:rPr>
          <w:spacing w:val="-8"/>
        </w:rPr>
        <w:t>for</w:t>
      </w:r>
      <w:r w:rsidR="00A03629">
        <w:rPr>
          <w:spacing w:val="-8"/>
        </w:rPr>
        <w:t xml:space="preserve"> </w:t>
      </w:r>
      <w:r>
        <w:rPr>
          <w:spacing w:val="-8"/>
        </w:rPr>
        <w:t>a</w:t>
      </w:r>
      <w:r w:rsidR="00A03629">
        <w:rPr>
          <w:spacing w:val="-8"/>
        </w:rPr>
        <w:t xml:space="preserve"> </w:t>
      </w:r>
      <w:r>
        <w:rPr>
          <w:spacing w:val="-8"/>
        </w:rPr>
        <w:t>fixed</w:t>
      </w:r>
      <w:r w:rsidR="00A03629">
        <w:rPr>
          <w:spacing w:val="-8"/>
        </w:rPr>
        <w:t xml:space="preserve"> </w:t>
      </w:r>
      <w:r>
        <w:rPr>
          <w:spacing w:val="-8"/>
        </w:rPr>
        <w:t>number</w:t>
      </w:r>
      <w:r w:rsidR="00A03629">
        <w:rPr>
          <w:spacing w:val="-8"/>
        </w:rPr>
        <w:t xml:space="preserve"> </w:t>
      </w:r>
      <w:r>
        <w:rPr>
          <w:spacing w:val="-8"/>
        </w:rPr>
        <w:t>of</w:t>
      </w:r>
      <w:r w:rsidR="00A03629">
        <w:rPr>
          <w:spacing w:val="-8"/>
        </w:rPr>
        <w:t xml:space="preserve"> </w:t>
      </w:r>
      <w:r>
        <w:rPr>
          <w:spacing w:val="-8"/>
        </w:rPr>
        <w:t>the</w:t>
      </w:r>
      <w:r w:rsidR="00A03629">
        <w:rPr>
          <w:spacing w:val="-8"/>
        </w:rPr>
        <w:t xml:space="preserve"> </w:t>
      </w:r>
      <w:r>
        <w:rPr>
          <w:spacing w:val="-8"/>
        </w:rPr>
        <w:t>entity’s</w:t>
      </w:r>
      <w:r w:rsidR="00A03629">
        <w:rPr>
          <w:spacing w:val="-8"/>
        </w:rPr>
        <w:t xml:space="preserve"> </w:t>
      </w:r>
      <w:r>
        <w:rPr>
          <w:spacing w:val="-8"/>
        </w:rPr>
        <w:t>own</w:t>
      </w:r>
      <w:r w:rsidR="00A03629">
        <w:rPr>
          <w:spacing w:val="-8"/>
        </w:rPr>
        <w:t xml:space="preserve"> </w:t>
      </w:r>
      <w:r>
        <w:rPr>
          <w:spacing w:val="-8"/>
        </w:rPr>
        <w:t>equity</w:t>
      </w:r>
      <w:r w:rsidR="00A03629">
        <w:rPr>
          <w:spacing w:val="-8"/>
        </w:rPr>
        <w:t xml:space="preserve"> </w:t>
      </w:r>
      <w:r>
        <w:rPr>
          <w:spacing w:val="-8"/>
        </w:rPr>
        <w:t>instruments.</w:t>
      </w:r>
      <w:r w:rsidR="00A03629">
        <w:rPr>
          <w:spacing w:val="-8"/>
        </w:rPr>
        <w:t xml:space="preserve"> </w:t>
      </w:r>
      <w:r>
        <w:rPr>
          <w:spacing w:val="-8"/>
        </w:rPr>
        <w:t>For</w:t>
      </w:r>
      <w:r w:rsidR="00A03629">
        <w:rPr>
          <w:spacing w:val="-8"/>
        </w:rPr>
        <w:t xml:space="preserve"> </w:t>
      </w:r>
      <w:r>
        <w:rPr>
          <w:spacing w:val="-8"/>
        </w:rPr>
        <w:t>this</w:t>
      </w:r>
      <w:r w:rsidR="00A03629">
        <w:rPr>
          <w:spacing w:val="-8"/>
        </w:rPr>
        <w:t xml:space="preserve"> </w:t>
      </w:r>
      <w:proofErr w:type="gramStart"/>
      <w:r>
        <w:rPr>
          <w:spacing w:val="-8"/>
        </w:rPr>
        <w:t>purpose</w:t>
      </w:r>
      <w:proofErr w:type="gramEnd"/>
      <w:r w:rsidR="00A03629">
        <w:rPr>
          <w:spacing w:val="-8"/>
        </w:rPr>
        <w:t xml:space="preserve"> </w:t>
      </w:r>
      <w:r>
        <w:rPr>
          <w:spacing w:val="-8"/>
        </w:rPr>
        <w:t>the</w:t>
      </w:r>
      <w:r w:rsidR="00A03629">
        <w:rPr>
          <w:spacing w:val="-8"/>
        </w:rPr>
        <w:t xml:space="preserve"> </w:t>
      </w:r>
      <w:r>
        <w:rPr>
          <w:spacing w:val="-8"/>
        </w:rPr>
        <w:t>entity’s</w:t>
      </w:r>
      <w:r w:rsidR="00A03629">
        <w:rPr>
          <w:spacing w:val="-8"/>
        </w:rPr>
        <w:t xml:space="preserve"> </w:t>
      </w:r>
      <w:r>
        <w:rPr>
          <w:spacing w:val="-8"/>
        </w:rPr>
        <w:t>own</w:t>
      </w:r>
      <w:r w:rsidR="00A03629">
        <w:rPr>
          <w:spacing w:val="-8"/>
        </w:rPr>
        <w:t xml:space="preserve"> </w:t>
      </w:r>
      <w:r>
        <w:rPr>
          <w:spacing w:val="-8"/>
        </w:rPr>
        <w:t>equity</w:t>
      </w:r>
      <w:r w:rsidR="00A03629">
        <w:rPr>
          <w:spacing w:val="-8"/>
        </w:rPr>
        <w:t xml:space="preserve"> </w:t>
      </w:r>
      <w:r>
        <w:rPr>
          <w:spacing w:val="-8"/>
        </w:rPr>
        <w:t>instruments</w:t>
      </w:r>
      <w:r w:rsidR="00A03629">
        <w:rPr>
          <w:spacing w:val="-8"/>
        </w:rPr>
        <w:t xml:space="preserve"> </w:t>
      </w:r>
      <w:r>
        <w:rPr>
          <w:spacing w:val="-8"/>
        </w:rPr>
        <w:t>do</w:t>
      </w:r>
      <w:r w:rsidR="00A03629">
        <w:rPr>
          <w:spacing w:val="-8"/>
        </w:rPr>
        <w:t xml:space="preserve"> </w:t>
      </w:r>
      <w:r>
        <w:rPr>
          <w:spacing w:val="-8"/>
        </w:rPr>
        <w:t>not</w:t>
      </w:r>
      <w:r w:rsidR="00A03629">
        <w:rPr>
          <w:spacing w:val="-8"/>
        </w:rPr>
        <w:t xml:space="preserve"> </w:t>
      </w:r>
      <w:r>
        <w:rPr>
          <w:spacing w:val="-8"/>
        </w:rPr>
        <w:t>include</w:t>
      </w:r>
      <w:r w:rsidR="00A03629">
        <w:rPr>
          <w:spacing w:val="-8"/>
        </w:rPr>
        <w:t xml:space="preserve"> </w:t>
      </w:r>
      <w:r>
        <w:rPr>
          <w:spacing w:val="-8"/>
        </w:rPr>
        <w:t>instruments</w:t>
      </w:r>
      <w:r w:rsidR="00A03629">
        <w:rPr>
          <w:spacing w:val="-8"/>
        </w:rPr>
        <w:t xml:space="preserve"> </w:t>
      </w:r>
      <w:r>
        <w:rPr>
          <w:spacing w:val="-8"/>
        </w:rPr>
        <w:t>that</w:t>
      </w:r>
      <w:r w:rsidR="00A03629">
        <w:rPr>
          <w:spacing w:val="-8"/>
        </w:rPr>
        <w:t xml:space="preserve"> </w:t>
      </w:r>
      <w:r>
        <w:rPr>
          <w:spacing w:val="-8"/>
        </w:rPr>
        <w:t>are</w:t>
      </w:r>
      <w:r w:rsidR="00A03629">
        <w:rPr>
          <w:spacing w:val="-8"/>
        </w:rPr>
        <w:t xml:space="preserve"> </w:t>
      </w:r>
      <w:r>
        <w:rPr>
          <w:spacing w:val="-8"/>
        </w:rPr>
        <w:t>themselves</w:t>
      </w:r>
      <w:r w:rsidR="00A03629">
        <w:rPr>
          <w:spacing w:val="-8"/>
        </w:rPr>
        <w:t xml:space="preserve"> </w:t>
      </w:r>
      <w:r>
        <w:rPr>
          <w:spacing w:val="-8"/>
        </w:rPr>
        <w:t>contracts</w:t>
      </w:r>
      <w:r w:rsidR="00A03629">
        <w:rPr>
          <w:spacing w:val="-8"/>
        </w:rPr>
        <w:t xml:space="preserve"> </w:t>
      </w:r>
      <w:r>
        <w:rPr>
          <w:spacing w:val="-8"/>
        </w:rPr>
        <w:t>for</w:t>
      </w:r>
      <w:r w:rsidR="00A03629">
        <w:rPr>
          <w:spacing w:val="-8"/>
        </w:rPr>
        <w:t xml:space="preserve"> </w:t>
      </w:r>
      <w:r>
        <w:rPr>
          <w:spacing w:val="-8"/>
        </w:rPr>
        <w:t>the</w:t>
      </w:r>
      <w:r w:rsidR="00A03629">
        <w:rPr>
          <w:spacing w:val="-8"/>
        </w:rPr>
        <w:t xml:space="preserve"> </w:t>
      </w:r>
      <w:r>
        <w:rPr>
          <w:spacing w:val="-8"/>
        </w:rPr>
        <w:t>future</w:t>
      </w:r>
      <w:r w:rsidR="00A03629">
        <w:rPr>
          <w:spacing w:val="-8"/>
        </w:rPr>
        <w:t xml:space="preserve"> </w:t>
      </w:r>
      <w:r>
        <w:rPr>
          <w:spacing w:val="-8"/>
        </w:rPr>
        <w:t>receipt</w:t>
      </w:r>
      <w:r w:rsidR="00A03629">
        <w:rPr>
          <w:spacing w:val="-8"/>
        </w:rPr>
        <w:t xml:space="preserve"> </w:t>
      </w:r>
      <w:r>
        <w:rPr>
          <w:spacing w:val="-8"/>
        </w:rPr>
        <w:t>or</w:t>
      </w:r>
      <w:r w:rsidR="00A03629">
        <w:rPr>
          <w:spacing w:val="-8"/>
        </w:rPr>
        <w:t xml:space="preserve"> </w:t>
      </w:r>
      <w:r>
        <w:rPr>
          <w:spacing w:val="-8"/>
        </w:rPr>
        <w:t>delivery</w:t>
      </w:r>
      <w:r w:rsidR="00A03629">
        <w:rPr>
          <w:spacing w:val="-8"/>
        </w:rPr>
        <w:t xml:space="preserve"> </w:t>
      </w:r>
      <w:r>
        <w:rPr>
          <w:spacing w:val="-8"/>
        </w:rPr>
        <w:t>of</w:t>
      </w:r>
      <w:r w:rsidR="00A03629">
        <w:rPr>
          <w:spacing w:val="-8"/>
        </w:rPr>
        <w:t xml:space="preserve"> </w:t>
      </w:r>
      <w:r>
        <w:rPr>
          <w:spacing w:val="-8"/>
        </w:rPr>
        <w:t>the</w:t>
      </w:r>
      <w:r w:rsidR="00A03629">
        <w:rPr>
          <w:spacing w:val="-8"/>
        </w:rPr>
        <w:t xml:space="preserve"> </w:t>
      </w:r>
      <w:r>
        <w:rPr>
          <w:spacing w:val="-8"/>
        </w:rPr>
        <w:t>entity’s</w:t>
      </w:r>
      <w:r w:rsidR="00A03629">
        <w:rPr>
          <w:spacing w:val="-8"/>
        </w:rPr>
        <w:t xml:space="preserve"> </w:t>
      </w:r>
      <w:r>
        <w:rPr>
          <w:spacing w:val="-8"/>
        </w:rPr>
        <w:t>own</w:t>
      </w:r>
      <w:r w:rsidR="00A03629">
        <w:rPr>
          <w:spacing w:val="-8"/>
        </w:rPr>
        <w:t xml:space="preserve"> </w:t>
      </w:r>
      <w:r>
        <w:rPr>
          <w:spacing w:val="-8"/>
        </w:rPr>
        <w:t>equity</w:t>
      </w:r>
      <w:r w:rsidR="00A03629">
        <w:rPr>
          <w:spacing w:val="-8"/>
        </w:rPr>
        <w:t xml:space="preserve"> </w:t>
      </w:r>
      <w:r>
        <w:rPr>
          <w:spacing w:val="-8"/>
        </w:rPr>
        <w:t>instruments.</w:t>
      </w:r>
    </w:p>
    <w:p w14:paraId="77D026A4" w14:textId="389B2669" w:rsidR="000756EB" w:rsidRPr="00B4004A" w:rsidRDefault="004A4D88" w:rsidP="00B4004A">
      <w:pPr>
        <w:pStyle w:val="Normalbeforebullets"/>
        <w:rPr>
          <w:b/>
          <w:bCs/>
        </w:rPr>
      </w:pPr>
      <w:r w:rsidRPr="00B4004A">
        <w:rPr>
          <w:b/>
          <w:bCs/>
        </w:rPr>
        <w:t>Grants</w:t>
      </w:r>
      <w:r w:rsidR="00A03629" w:rsidRPr="00B4004A">
        <w:rPr>
          <w:b/>
          <w:bCs/>
        </w:rPr>
        <w:t xml:space="preserve"> </w:t>
      </w:r>
      <w:r w:rsidRPr="00B4004A">
        <w:rPr>
          <w:b/>
          <w:bCs/>
        </w:rPr>
        <w:t>and</w:t>
      </w:r>
      <w:r w:rsidR="00A03629" w:rsidRPr="00B4004A">
        <w:rPr>
          <w:b/>
          <w:bCs/>
        </w:rPr>
        <w:t xml:space="preserve"> </w:t>
      </w:r>
      <w:r w:rsidRPr="00B4004A">
        <w:rPr>
          <w:b/>
          <w:bCs/>
        </w:rPr>
        <w:t>other</w:t>
      </w:r>
      <w:r w:rsidR="00A03629" w:rsidRPr="00B4004A">
        <w:rPr>
          <w:b/>
          <w:bCs/>
        </w:rPr>
        <w:t xml:space="preserve"> </w:t>
      </w:r>
      <w:r w:rsidRPr="00B4004A">
        <w:rPr>
          <w:b/>
          <w:bCs/>
        </w:rPr>
        <w:t>transfers</w:t>
      </w:r>
    </w:p>
    <w:p w14:paraId="076761B6" w14:textId="62AFC964" w:rsidR="000756EB" w:rsidRDefault="004A4D88" w:rsidP="00B4004A">
      <w:r>
        <w:t>Transactions</w:t>
      </w:r>
      <w:r w:rsidR="00A03629">
        <w:t xml:space="preserve"> </w:t>
      </w:r>
      <w:r>
        <w:t>in</w:t>
      </w:r>
      <w:r w:rsidR="00A03629">
        <w:t xml:space="preserve"> </w:t>
      </w:r>
      <w:r>
        <w:t>which</w:t>
      </w:r>
      <w:r w:rsidR="00A03629">
        <w:t xml:space="preserve"> </w:t>
      </w:r>
      <w:r>
        <w:t>one</w:t>
      </w:r>
      <w:r w:rsidR="00A03629">
        <w:t xml:space="preserve"> </w:t>
      </w:r>
      <w:r>
        <w:t>unit</w:t>
      </w:r>
      <w:r w:rsidR="00A03629">
        <w:t xml:space="preserve"> </w:t>
      </w:r>
      <w:r>
        <w:t>provides</w:t>
      </w:r>
      <w:r w:rsidR="00A03629">
        <w:t xml:space="preserve"> </w:t>
      </w:r>
      <w:r>
        <w:t>goods,</w:t>
      </w:r>
      <w:r w:rsidR="00A03629">
        <w:t xml:space="preserve"> </w:t>
      </w:r>
      <w:r>
        <w:t>services,</w:t>
      </w:r>
      <w:r w:rsidR="00A03629">
        <w:t xml:space="preserve"> </w:t>
      </w:r>
      <w:r>
        <w:t>assets</w:t>
      </w:r>
      <w:r w:rsidR="00A03629">
        <w:t xml:space="preserve"> </w:t>
      </w:r>
      <w:r>
        <w:t>(or</w:t>
      </w:r>
      <w:r w:rsidR="00A03629">
        <w:t xml:space="preserve"> </w:t>
      </w:r>
      <w:r>
        <w:t>extinguishes</w:t>
      </w:r>
      <w:r w:rsidR="00A03629">
        <w:t xml:space="preserve"> </w:t>
      </w:r>
      <w:r>
        <w:t>a</w:t>
      </w:r>
      <w:r w:rsidR="00A03629">
        <w:t xml:space="preserve"> </w:t>
      </w:r>
      <w:r>
        <w:t>liability)</w:t>
      </w:r>
      <w:r w:rsidR="00A03629">
        <w:t xml:space="preserve"> </w:t>
      </w:r>
      <w:r>
        <w:t>or</w:t>
      </w:r>
      <w:r w:rsidR="00A03629">
        <w:t xml:space="preserve"> </w:t>
      </w:r>
      <w:r>
        <w:t>labour</w:t>
      </w:r>
      <w:r w:rsidR="00A03629">
        <w:t xml:space="preserve"> </w:t>
      </w:r>
      <w:r>
        <w:t>to</w:t>
      </w:r>
      <w:r w:rsidR="00A03629">
        <w:t xml:space="preserve"> </w:t>
      </w:r>
      <w:r>
        <w:t>another</w:t>
      </w:r>
      <w:r w:rsidR="00A03629">
        <w:t xml:space="preserve"> </w:t>
      </w:r>
      <w:r>
        <w:t>unit</w:t>
      </w:r>
      <w:r w:rsidR="00A03629">
        <w:t xml:space="preserve"> </w:t>
      </w:r>
      <w:r>
        <w:t>without</w:t>
      </w:r>
      <w:r w:rsidR="00A03629">
        <w:t xml:space="preserve"> </w:t>
      </w:r>
      <w:r>
        <w:t>receiving</w:t>
      </w:r>
      <w:r w:rsidR="00A03629">
        <w:t xml:space="preserve"> </w:t>
      </w:r>
      <w:r>
        <w:t>approximately</w:t>
      </w:r>
      <w:r w:rsidR="00A03629">
        <w:t xml:space="preserve"> </w:t>
      </w:r>
      <w:r>
        <w:t>equal</w:t>
      </w:r>
      <w:r w:rsidR="00A03629">
        <w:t xml:space="preserve"> </w:t>
      </w:r>
      <w:r>
        <w:t>value</w:t>
      </w:r>
      <w:r w:rsidR="00A03629">
        <w:t xml:space="preserve"> </w:t>
      </w:r>
      <w:r>
        <w:t>in</w:t>
      </w:r>
      <w:r w:rsidR="00A03629">
        <w:t xml:space="preserve"> </w:t>
      </w:r>
      <w:r>
        <w:t>return.</w:t>
      </w:r>
      <w:r w:rsidR="00A03629">
        <w:t xml:space="preserve"> </w:t>
      </w:r>
      <w:r>
        <w:t>Grants</w:t>
      </w:r>
      <w:r w:rsidR="00A03629">
        <w:t xml:space="preserve"> </w:t>
      </w:r>
      <w:r>
        <w:t>can</w:t>
      </w:r>
      <w:r w:rsidR="00A03629">
        <w:t xml:space="preserve"> </w:t>
      </w:r>
      <w:r>
        <w:t>either</w:t>
      </w:r>
      <w:r w:rsidR="00A03629">
        <w:t xml:space="preserve"> </w:t>
      </w:r>
      <w:r>
        <w:t>be</w:t>
      </w:r>
      <w:r w:rsidR="00A03629">
        <w:t xml:space="preserve"> </w:t>
      </w:r>
      <w:r>
        <w:t>operating</w:t>
      </w:r>
      <w:r w:rsidR="00A03629">
        <w:t xml:space="preserve"> </w:t>
      </w:r>
      <w:r>
        <w:t>or</w:t>
      </w:r>
      <w:r w:rsidR="00A03629">
        <w:t xml:space="preserve"> </w:t>
      </w:r>
      <w:r>
        <w:t>capital</w:t>
      </w:r>
      <w:r w:rsidR="00A03629">
        <w:t xml:space="preserve"> </w:t>
      </w:r>
      <w:r>
        <w:t>in</w:t>
      </w:r>
      <w:r w:rsidR="00A03629">
        <w:t xml:space="preserve"> </w:t>
      </w:r>
      <w:r>
        <w:t>nature.</w:t>
      </w:r>
    </w:p>
    <w:p w14:paraId="241C3300" w14:textId="1CF5AC50" w:rsidR="000756EB" w:rsidRDefault="004A4D88" w:rsidP="00B4004A">
      <w:r>
        <w:t>While</w:t>
      </w:r>
      <w:r w:rsidR="00A03629">
        <w:t xml:space="preserve"> </w:t>
      </w:r>
      <w:r>
        <w:t>grants</w:t>
      </w:r>
      <w:r w:rsidR="00A03629">
        <w:t xml:space="preserve"> </w:t>
      </w:r>
      <w:r>
        <w:t>to</w:t>
      </w:r>
      <w:r w:rsidR="00A03629">
        <w:t xml:space="preserve"> </w:t>
      </w:r>
      <w:r>
        <w:t>governments</w:t>
      </w:r>
      <w:r w:rsidR="00A03629">
        <w:t xml:space="preserve"> </w:t>
      </w:r>
      <w:r>
        <w:t>may</w:t>
      </w:r>
      <w:r w:rsidR="00A03629">
        <w:t xml:space="preserve"> </w:t>
      </w:r>
      <w:r>
        <w:t>result</w:t>
      </w:r>
      <w:r w:rsidR="00A03629">
        <w:t xml:space="preserve"> </w:t>
      </w:r>
      <w:r>
        <w:t>in</w:t>
      </w:r>
      <w:r w:rsidR="00A03629">
        <w:t xml:space="preserve"> </w:t>
      </w:r>
      <w:r>
        <w:t>the</w:t>
      </w:r>
      <w:r w:rsidR="00A03629">
        <w:t xml:space="preserve"> </w:t>
      </w:r>
      <w:r>
        <w:t>provision</w:t>
      </w:r>
      <w:r w:rsidR="00A03629">
        <w:t xml:space="preserve"> </w:t>
      </w:r>
      <w:r>
        <w:t>of</w:t>
      </w:r>
      <w:r w:rsidR="00A03629">
        <w:t xml:space="preserve"> </w:t>
      </w:r>
      <w:r>
        <w:t>some</w:t>
      </w:r>
      <w:r w:rsidR="00A03629">
        <w:t xml:space="preserve"> </w:t>
      </w:r>
      <w:r>
        <w:t>goods</w:t>
      </w:r>
      <w:r w:rsidR="00A03629">
        <w:t xml:space="preserve"> </w:t>
      </w:r>
      <w:r>
        <w:t>or</w:t>
      </w:r>
      <w:r w:rsidR="00A03629">
        <w:t xml:space="preserve"> </w:t>
      </w:r>
      <w:r>
        <w:t>services</w:t>
      </w:r>
      <w:r w:rsidR="00A03629">
        <w:t xml:space="preserve"> </w:t>
      </w:r>
      <w:r>
        <w:t>to</w:t>
      </w:r>
      <w:r w:rsidR="00A03629">
        <w:t xml:space="preserve"> </w:t>
      </w:r>
      <w:r>
        <w:t>the</w:t>
      </w:r>
      <w:r w:rsidR="00A03629">
        <w:t xml:space="preserve"> </w:t>
      </w:r>
      <w:r>
        <w:t>transferor,</w:t>
      </w:r>
      <w:r w:rsidR="00A03629">
        <w:t xml:space="preserve"> </w:t>
      </w:r>
      <w:r>
        <w:t>they</w:t>
      </w:r>
      <w:r w:rsidR="00A03629">
        <w:t xml:space="preserve"> </w:t>
      </w:r>
      <w:r>
        <w:t>do</w:t>
      </w:r>
      <w:r w:rsidR="00A03629">
        <w:t xml:space="preserve"> </w:t>
      </w:r>
      <w:r>
        <w:t>not</w:t>
      </w:r>
      <w:r w:rsidR="00A03629">
        <w:t xml:space="preserve"> </w:t>
      </w:r>
      <w:r>
        <w:t>give</w:t>
      </w:r>
      <w:r w:rsidR="00A03629">
        <w:t xml:space="preserve"> </w:t>
      </w:r>
      <w:r>
        <w:t>the</w:t>
      </w:r>
      <w:r w:rsidR="00A03629">
        <w:t xml:space="preserve"> </w:t>
      </w:r>
      <w:r>
        <w:t>transferor</w:t>
      </w:r>
      <w:r w:rsidR="00A03629">
        <w:t xml:space="preserve"> </w:t>
      </w:r>
      <w:r>
        <w:t>a</w:t>
      </w:r>
      <w:r w:rsidR="00A03629">
        <w:t xml:space="preserve"> </w:t>
      </w:r>
      <w:r>
        <w:t>claim</w:t>
      </w:r>
      <w:r w:rsidR="00A03629">
        <w:t xml:space="preserve"> </w:t>
      </w:r>
      <w:r>
        <w:t>to</w:t>
      </w:r>
      <w:r w:rsidR="00A03629">
        <w:t xml:space="preserve"> </w:t>
      </w:r>
      <w:r>
        <w:t>receive</w:t>
      </w:r>
      <w:r w:rsidR="00A03629">
        <w:t xml:space="preserve"> </w:t>
      </w:r>
      <w:r>
        <w:t>directly</w:t>
      </w:r>
      <w:r w:rsidR="00A03629">
        <w:t xml:space="preserve"> </w:t>
      </w:r>
      <w:r>
        <w:t>benefits</w:t>
      </w:r>
      <w:r w:rsidR="00A03629">
        <w:t xml:space="preserve"> </w:t>
      </w:r>
      <w:r>
        <w:t>of</w:t>
      </w:r>
      <w:r w:rsidR="00A03629">
        <w:t xml:space="preserve"> </w:t>
      </w:r>
      <w:r>
        <w:t>approximately</w:t>
      </w:r>
      <w:r w:rsidR="00A03629">
        <w:t xml:space="preserve"> </w:t>
      </w:r>
      <w:r>
        <w:t>equal</w:t>
      </w:r>
      <w:r w:rsidR="00A03629">
        <w:t xml:space="preserve"> </w:t>
      </w:r>
      <w:r>
        <w:t>value.</w:t>
      </w:r>
      <w:r w:rsidR="00A03629">
        <w:t xml:space="preserve"> </w:t>
      </w:r>
      <w:r>
        <w:t>For</w:t>
      </w:r>
      <w:r w:rsidR="00A03629">
        <w:t xml:space="preserve"> </w:t>
      </w:r>
      <w:r>
        <w:t>this</w:t>
      </w:r>
      <w:r w:rsidR="00A03629">
        <w:t xml:space="preserve"> </w:t>
      </w:r>
      <w:r>
        <w:t>reason,</w:t>
      </w:r>
      <w:r w:rsidR="00A03629">
        <w:t xml:space="preserve"> </w:t>
      </w:r>
      <w:r>
        <w:t>grants</w:t>
      </w:r>
      <w:r w:rsidR="00A03629">
        <w:t xml:space="preserve"> </w:t>
      </w:r>
      <w:r>
        <w:t>are</w:t>
      </w:r>
      <w:r w:rsidR="00A03629">
        <w:t xml:space="preserve"> </w:t>
      </w:r>
      <w:r>
        <w:t>referred</w:t>
      </w:r>
      <w:r w:rsidR="00A03629">
        <w:t xml:space="preserve"> </w:t>
      </w:r>
      <w:r>
        <w:t>to</w:t>
      </w:r>
      <w:r w:rsidR="00A03629">
        <w:t xml:space="preserve"> </w:t>
      </w:r>
      <w:r>
        <w:t>by</w:t>
      </w:r>
      <w:r w:rsidR="00A03629">
        <w:t xml:space="preserve"> </w:t>
      </w:r>
      <w:r>
        <w:t>the</w:t>
      </w:r>
      <w:r w:rsidR="00A03629">
        <w:t xml:space="preserve"> </w:t>
      </w:r>
      <w:r>
        <w:t>AASB</w:t>
      </w:r>
      <w:r w:rsidR="00A03629">
        <w:t xml:space="preserve"> </w:t>
      </w:r>
      <w:r>
        <w:t>as</w:t>
      </w:r>
      <w:r w:rsidR="00A03629">
        <w:t xml:space="preserve"> </w:t>
      </w:r>
      <w:r>
        <w:t>involuntary</w:t>
      </w:r>
      <w:r w:rsidR="00A03629">
        <w:t xml:space="preserve"> </w:t>
      </w:r>
      <w:r>
        <w:t>transfers</w:t>
      </w:r>
      <w:r w:rsidR="00A03629">
        <w:t xml:space="preserve"> </w:t>
      </w:r>
      <w:r>
        <w:t>and</w:t>
      </w:r>
      <w:r w:rsidR="00A03629">
        <w:t xml:space="preserve"> </w:t>
      </w:r>
      <w:r>
        <w:t>are</w:t>
      </w:r>
      <w:r w:rsidR="00A03629">
        <w:t xml:space="preserve"> </w:t>
      </w:r>
      <w:r>
        <w:t>termed</w:t>
      </w:r>
      <w:r w:rsidR="00A03629">
        <w:t xml:space="preserve"> </w:t>
      </w:r>
      <w:proofErr w:type="gramStart"/>
      <w:r>
        <w:t>non</w:t>
      </w:r>
      <w:r w:rsidR="00A03629">
        <w:t xml:space="preserve"> </w:t>
      </w:r>
      <w:r>
        <w:t>reciprocal</w:t>
      </w:r>
      <w:proofErr w:type="gramEnd"/>
      <w:r w:rsidR="00A03629">
        <w:t xml:space="preserve"> </w:t>
      </w:r>
      <w:r>
        <w:t>transfers.</w:t>
      </w:r>
      <w:r w:rsidR="00A03629">
        <w:t xml:space="preserve"> </w:t>
      </w:r>
      <w:r>
        <w:t>Receipt</w:t>
      </w:r>
      <w:r w:rsidR="00A03629">
        <w:t xml:space="preserve"> </w:t>
      </w:r>
      <w:r>
        <w:t>and</w:t>
      </w:r>
      <w:r w:rsidR="00A03629">
        <w:t xml:space="preserve"> </w:t>
      </w:r>
      <w:r>
        <w:t>sacrifice</w:t>
      </w:r>
      <w:r w:rsidR="00A03629">
        <w:t xml:space="preserve"> </w:t>
      </w:r>
      <w:r>
        <w:t>of</w:t>
      </w:r>
      <w:r w:rsidR="00A03629">
        <w:t xml:space="preserve"> </w:t>
      </w:r>
      <w:r>
        <w:t>approximately</w:t>
      </w:r>
      <w:r w:rsidR="00A03629">
        <w:t xml:space="preserve"> </w:t>
      </w:r>
      <w:r>
        <w:t>equal</w:t>
      </w:r>
      <w:r w:rsidR="00A03629">
        <w:t xml:space="preserve"> </w:t>
      </w:r>
      <w:r>
        <w:t>value</w:t>
      </w:r>
      <w:r w:rsidR="00A03629">
        <w:t xml:space="preserve"> </w:t>
      </w:r>
      <w:r>
        <w:t>may</w:t>
      </w:r>
      <w:r w:rsidR="00A03629">
        <w:t xml:space="preserve"> </w:t>
      </w:r>
      <w:r>
        <w:lastRenderedPageBreak/>
        <w:t>occur,</w:t>
      </w:r>
      <w:r w:rsidR="00A03629">
        <w:t xml:space="preserve"> </w:t>
      </w:r>
      <w:r>
        <w:t>but</w:t>
      </w:r>
      <w:r w:rsidR="00A03629">
        <w:t xml:space="preserve"> </w:t>
      </w:r>
      <w:r>
        <w:t>only</w:t>
      </w:r>
      <w:r w:rsidR="00A03629">
        <w:t xml:space="preserve"> </w:t>
      </w:r>
      <w:r>
        <w:t>by</w:t>
      </w:r>
      <w:r w:rsidR="00A03629">
        <w:t xml:space="preserve"> </w:t>
      </w:r>
      <w:r>
        <w:t>coincidence.</w:t>
      </w:r>
      <w:r w:rsidR="00A03629">
        <w:t xml:space="preserve"> </w:t>
      </w:r>
      <w:r>
        <w:t>For</w:t>
      </w:r>
      <w:r w:rsidR="00A03629">
        <w:rPr>
          <w:rFonts w:ascii="Cambria" w:hAnsi="Cambria" w:cs="Cambria"/>
        </w:rPr>
        <w:t xml:space="preserve"> </w:t>
      </w:r>
      <w:r>
        <w:t>example,</w:t>
      </w:r>
      <w:r w:rsidR="00A03629">
        <w:t xml:space="preserve"> </w:t>
      </w:r>
      <w:r>
        <w:t>governments</w:t>
      </w:r>
      <w:r w:rsidR="00A03629">
        <w:t xml:space="preserve"> </w:t>
      </w:r>
      <w:r>
        <w:t>are</w:t>
      </w:r>
      <w:r w:rsidR="00A03629">
        <w:t xml:space="preserve"> </w:t>
      </w:r>
      <w:r>
        <w:t>not</w:t>
      </w:r>
      <w:r w:rsidR="00A03629">
        <w:t xml:space="preserve"> </w:t>
      </w:r>
      <w:r>
        <w:t>obliged</w:t>
      </w:r>
      <w:r w:rsidR="00A03629">
        <w:t xml:space="preserve"> </w:t>
      </w:r>
      <w:r>
        <w:t>to</w:t>
      </w:r>
      <w:r w:rsidR="00A03629">
        <w:t xml:space="preserve"> </w:t>
      </w:r>
      <w:r>
        <w:t>provide</w:t>
      </w:r>
      <w:r w:rsidR="00A03629">
        <w:rPr>
          <w:rFonts w:ascii="Cambria" w:hAnsi="Cambria" w:cs="Cambria"/>
        </w:rPr>
        <w:t xml:space="preserve"> </w:t>
      </w:r>
      <w:r>
        <w:t>commensurate</w:t>
      </w:r>
      <w:r w:rsidR="00A03629">
        <w:t xml:space="preserve"> </w:t>
      </w:r>
      <w:r>
        <w:t>benefits</w:t>
      </w:r>
      <w:r w:rsidR="00A03629">
        <w:t xml:space="preserve"> </w:t>
      </w:r>
      <w:r>
        <w:t>in</w:t>
      </w:r>
      <w:r w:rsidR="00A03629">
        <w:t xml:space="preserve"> </w:t>
      </w:r>
      <w:r>
        <w:t>the</w:t>
      </w:r>
      <w:r w:rsidR="00A03629">
        <w:t xml:space="preserve"> </w:t>
      </w:r>
      <w:r>
        <w:t>form</w:t>
      </w:r>
      <w:r w:rsidR="00A03629">
        <w:t xml:space="preserve"> </w:t>
      </w:r>
      <w:r>
        <w:t>of</w:t>
      </w:r>
      <w:r w:rsidR="00A03629">
        <w:t xml:space="preserve"> </w:t>
      </w:r>
      <w:r>
        <w:t>goods</w:t>
      </w:r>
      <w:r w:rsidR="00A03629">
        <w:rPr>
          <w:rFonts w:ascii="Cambria" w:hAnsi="Cambria" w:cs="Cambria"/>
        </w:rPr>
        <w:t xml:space="preserve"> </w:t>
      </w:r>
      <w:r>
        <w:t>or</w:t>
      </w:r>
      <w:r w:rsidR="00A03629">
        <w:t xml:space="preserve"> </w:t>
      </w:r>
      <w:r>
        <w:t>services</w:t>
      </w:r>
      <w:r w:rsidR="00A03629">
        <w:t xml:space="preserve"> </w:t>
      </w:r>
      <w:r>
        <w:t>to</w:t>
      </w:r>
      <w:r w:rsidR="00A03629">
        <w:t xml:space="preserve"> </w:t>
      </w:r>
      <w:proofErr w:type="gramStart"/>
      <w:r>
        <w:t>particular</w:t>
      </w:r>
      <w:r w:rsidR="00A03629">
        <w:t xml:space="preserve"> </w:t>
      </w:r>
      <w:r>
        <w:t>taxpayers</w:t>
      </w:r>
      <w:proofErr w:type="gramEnd"/>
      <w:r w:rsidR="00A03629">
        <w:t xml:space="preserve"> </w:t>
      </w:r>
      <w:r>
        <w:t>in</w:t>
      </w:r>
      <w:r w:rsidR="00A03629">
        <w:rPr>
          <w:rFonts w:ascii="Cambria" w:hAnsi="Cambria" w:cs="Cambria"/>
        </w:rPr>
        <w:t xml:space="preserve"> </w:t>
      </w:r>
      <w:r>
        <w:t>return</w:t>
      </w:r>
      <w:r w:rsidR="00A03629">
        <w:rPr>
          <w:rFonts w:ascii="Cambria" w:hAnsi="Cambria" w:cs="Cambria"/>
        </w:rPr>
        <w:t xml:space="preserve"> </w:t>
      </w:r>
      <w:r>
        <w:t>for</w:t>
      </w:r>
      <w:r w:rsidR="00A03629">
        <w:t xml:space="preserve"> </w:t>
      </w:r>
      <w:r>
        <w:t>their</w:t>
      </w:r>
      <w:r w:rsidR="00A03629">
        <w:t xml:space="preserve"> </w:t>
      </w:r>
      <w:r>
        <w:t>taxes.</w:t>
      </w:r>
    </w:p>
    <w:p w14:paraId="68DD3D19" w14:textId="631761AB" w:rsidR="000756EB" w:rsidRDefault="004A4D88" w:rsidP="00B4004A">
      <w:r>
        <w:t>Grants</w:t>
      </w:r>
      <w:r w:rsidR="00A03629">
        <w:t xml:space="preserve"> </w:t>
      </w:r>
      <w:r>
        <w:t>can</w:t>
      </w:r>
      <w:r w:rsidR="00A03629">
        <w:t xml:space="preserve"> </w:t>
      </w:r>
      <w:r>
        <w:t>be</w:t>
      </w:r>
      <w:r w:rsidR="00A03629">
        <w:t xml:space="preserve"> </w:t>
      </w:r>
      <w:r>
        <w:t>paid</w:t>
      </w:r>
      <w:r w:rsidR="00A03629">
        <w:t xml:space="preserve"> </w:t>
      </w:r>
      <w:r>
        <w:t>as</w:t>
      </w:r>
      <w:r w:rsidR="00A03629">
        <w:t xml:space="preserve"> </w:t>
      </w:r>
      <w:proofErr w:type="gramStart"/>
      <w:r>
        <w:t>general</w:t>
      </w:r>
      <w:r w:rsidR="00A03629">
        <w:t xml:space="preserve"> </w:t>
      </w:r>
      <w:r>
        <w:t>purpose</w:t>
      </w:r>
      <w:proofErr w:type="gramEnd"/>
      <w:r w:rsidR="00A03629">
        <w:t xml:space="preserve"> </w:t>
      </w:r>
      <w:r>
        <w:t>grants</w:t>
      </w:r>
      <w:r w:rsidR="00A03629">
        <w:t xml:space="preserve"> </w:t>
      </w:r>
      <w:r>
        <w:t>which</w:t>
      </w:r>
      <w:r w:rsidR="00A03629">
        <w:t xml:space="preserve"> </w:t>
      </w:r>
      <w:r>
        <w:t>refer</w:t>
      </w:r>
      <w:r w:rsidR="00A03629">
        <w:t xml:space="preserve"> </w:t>
      </w:r>
      <w:r>
        <w:t>to</w:t>
      </w:r>
      <w:r w:rsidR="00A03629">
        <w:t xml:space="preserve"> </w:t>
      </w:r>
      <w:r>
        <w:t>grants</w:t>
      </w:r>
      <w:r w:rsidR="00A03629">
        <w:t xml:space="preserve"> </w:t>
      </w:r>
      <w:r>
        <w:t>that</w:t>
      </w:r>
      <w:r w:rsidR="00A03629">
        <w:t xml:space="preserve"> </w:t>
      </w:r>
      <w:r>
        <w:t>are</w:t>
      </w:r>
      <w:r w:rsidR="00A03629">
        <w:t xml:space="preserve"> </w:t>
      </w:r>
      <w:r>
        <w:t>not</w:t>
      </w:r>
      <w:r w:rsidR="00A03629">
        <w:t xml:space="preserve"> </w:t>
      </w:r>
      <w:r>
        <w:t>subject</w:t>
      </w:r>
      <w:r w:rsidR="00A03629">
        <w:t xml:space="preserve"> </w:t>
      </w:r>
      <w:r>
        <w:t>to</w:t>
      </w:r>
      <w:r w:rsidR="00A03629">
        <w:t xml:space="preserve"> </w:t>
      </w:r>
      <w:r>
        <w:t>conditions</w:t>
      </w:r>
      <w:r w:rsidR="00A03629">
        <w:t xml:space="preserve"> </w:t>
      </w:r>
      <w:r>
        <w:t>regarding</w:t>
      </w:r>
      <w:r w:rsidR="00A03629">
        <w:t xml:space="preserve"> </w:t>
      </w:r>
      <w:r>
        <w:t>their</w:t>
      </w:r>
      <w:r w:rsidR="00A03629">
        <w:t xml:space="preserve"> </w:t>
      </w:r>
      <w:r>
        <w:t>use.</w:t>
      </w:r>
      <w:r w:rsidR="00A03629">
        <w:t xml:space="preserve"> </w:t>
      </w:r>
      <w:r>
        <w:t>Alternatively,</w:t>
      </w:r>
      <w:r w:rsidR="00A03629">
        <w:t xml:space="preserve"> </w:t>
      </w:r>
      <w:r>
        <w:t>they</w:t>
      </w:r>
      <w:r w:rsidR="00A03629">
        <w:t xml:space="preserve"> </w:t>
      </w:r>
      <w:r>
        <w:t>may</w:t>
      </w:r>
      <w:r w:rsidR="00A03629">
        <w:t xml:space="preserve"> </w:t>
      </w:r>
      <w:r>
        <w:t>be</w:t>
      </w:r>
      <w:r w:rsidR="00A03629">
        <w:t xml:space="preserve"> </w:t>
      </w:r>
      <w:r>
        <w:t>paid</w:t>
      </w:r>
      <w:r w:rsidR="00A03629">
        <w:t xml:space="preserve"> </w:t>
      </w:r>
      <w:r>
        <w:t>as</w:t>
      </w:r>
      <w:r w:rsidR="00A03629">
        <w:t xml:space="preserve"> </w:t>
      </w:r>
      <w:r>
        <w:t>specific</w:t>
      </w:r>
      <w:r w:rsidR="00A03629">
        <w:t xml:space="preserve"> </w:t>
      </w:r>
      <w:r>
        <w:t>purpose</w:t>
      </w:r>
      <w:r w:rsidR="00A03629">
        <w:t xml:space="preserve"> </w:t>
      </w:r>
      <w:r>
        <w:t>grants</w:t>
      </w:r>
      <w:r w:rsidR="00A03629">
        <w:t xml:space="preserve"> </w:t>
      </w:r>
      <w:r>
        <w:t>which</w:t>
      </w:r>
      <w:r w:rsidR="00A03629">
        <w:t xml:space="preserve"> </w:t>
      </w:r>
      <w:r>
        <w:t>are</w:t>
      </w:r>
      <w:r w:rsidR="00A03629">
        <w:t xml:space="preserve"> </w:t>
      </w:r>
      <w:r>
        <w:t>paid</w:t>
      </w:r>
      <w:r w:rsidR="00A03629">
        <w:t xml:space="preserve"> </w:t>
      </w:r>
      <w:r>
        <w:t>for</w:t>
      </w:r>
      <w:r w:rsidR="00A03629">
        <w:t xml:space="preserve"> </w:t>
      </w:r>
      <w:r>
        <w:t>a</w:t>
      </w:r>
      <w:r w:rsidR="00A03629">
        <w:t xml:space="preserve"> </w:t>
      </w:r>
      <w:r>
        <w:t>particular</w:t>
      </w:r>
      <w:r w:rsidR="00A03629">
        <w:t xml:space="preserve"> </w:t>
      </w:r>
      <w:r>
        <w:t>purpose</w:t>
      </w:r>
      <w:r w:rsidR="00A03629">
        <w:t xml:space="preserve"> </w:t>
      </w:r>
      <w:r>
        <w:t>and/or</w:t>
      </w:r>
      <w:r w:rsidR="00A03629">
        <w:t xml:space="preserve"> </w:t>
      </w:r>
      <w:r>
        <w:t>have</w:t>
      </w:r>
      <w:r w:rsidR="00A03629">
        <w:t xml:space="preserve"> </w:t>
      </w:r>
      <w:r>
        <w:t>conditions</w:t>
      </w:r>
      <w:r w:rsidR="00A03629">
        <w:t xml:space="preserve"> </w:t>
      </w:r>
      <w:r>
        <w:t>attached</w:t>
      </w:r>
      <w:r w:rsidR="00A03629">
        <w:rPr>
          <w:rFonts w:ascii="Cambria" w:hAnsi="Cambria" w:cs="Cambria"/>
        </w:rPr>
        <w:t xml:space="preserve"> </w:t>
      </w:r>
      <w:r>
        <w:t>regarding</w:t>
      </w:r>
      <w:r w:rsidR="00A03629">
        <w:t xml:space="preserve"> </w:t>
      </w:r>
      <w:r>
        <w:t>their</w:t>
      </w:r>
      <w:r w:rsidR="00A03629">
        <w:t xml:space="preserve"> </w:t>
      </w:r>
      <w:r>
        <w:t>use.</w:t>
      </w:r>
    </w:p>
    <w:p w14:paraId="0A7DC778" w14:textId="412ACAA5" w:rsidR="000756EB" w:rsidRPr="00B4004A" w:rsidRDefault="004A4D88" w:rsidP="00B4004A">
      <w:pPr>
        <w:pStyle w:val="Normalbeforebullets"/>
        <w:rPr>
          <w:b/>
          <w:bCs/>
        </w:rPr>
      </w:pPr>
      <w:r w:rsidRPr="00B4004A">
        <w:rPr>
          <w:b/>
          <w:bCs/>
        </w:rPr>
        <w:t>General</w:t>
      </w:r>
      <w:r w:rsidR="00A03629" w:rsidRPr="00B4004A">
        <w:rPr>
          <w:b/>
          <w:bCs/>
        </w:rPr>
        <w:t xml:space="preserve"> </w:t>
      </w:r>
      <w:r w:rsidRPr="00B4004A">
        <w:rPr>
          <w:b/>
          <w:bCs/>
        </w:rPr>
        <w:t>government</w:t>
      </w:r>
      <w:r w:rsidR="00A03629" w:rsidRPr="00B4004A">
        <w:rPr>
          <w:b/>
          <w:bCs/>
        </w:rPr>
        <w:t xml:space="preserve"> </w:t>
      </w:r>
      <w:r w:rsidRPr="00B4004A">
        <w:rPr>
          <w:b/>
          <w:bCs/>
        </w:rPr>
        <w:t>sector</w:t>
      </w:r>
    </w:p>
    <w:p w14:paraId="165A02D7" w14:textId="17AA8AF2" w:rsidR="000756EB" w:rsidRDefault="004A4D88" w:rsidP="00B4004A">
      <w:r>
        <w:t>The</w:t>
      </w:r>
      <w:r w:rsidR="00A03629">
        <w:t xml:space="preserve"> </w:t>
      </w:r>
      <w:r>
        <w:t>general</w:t>
      </w:r>
      <w:r w:rsidR="00A03629">
        <w:t xml:space="preserve"> </w:t>
      </w:r>
      <w:r>
        <w:t>government</w:t>
      </w:r>
      <w:r w:rsidR="00A03629">
        <w:t xml:space="preserve"> </w:t>
      </w:r>
      <w:r>
        <w:t>sector</w:t>
      </w:r>
      <w:r w:rsidR="00A03629">
        <w:t xml:space="preserve"> </w:t>
      </w:r>
      <w:r>
        <w:t>comprises</w:t>
      </w:r>
      <w:r w:rsidR="00A03629">
        <w:t xml:space="preserve"> </w:t>
      </w:r>
      <w:r>
        <w:t>all</w:t>
      </w:r>
      <w:r w:rsidR="00A03629">
        <w:t xml:space="preserve"> </w:t>
      </w:r>
      <w:r>
        <w:t>government</w:t>
      </w:r>
      <w:r w:rsidR="00A03629">
        <w:t xml:space="preserve"> </w:t>
      </w:r>
      <w:r>
        <w:t>departments,</w:t>
      </w:r>
      <w:r w:rsidR="00A03629">
        <w:t xml:space="preserve"> </w:t>
      </w:r>
      <w:r>
        <w:t>offices</w:t>
      </w:r>
      <w:r w:rsidR="00A03629">
        <w:t xml:space="preserve"> </w:t>
      </w:r>
      <w:r>
        <w:t>and</w:t>
      </w:r>
      <w:r w:rsidR="00A03629">
        <w:t xml:space="preserve"> </w:t>
      </w:r>
      <w:r>
        <w:t>other</w:t>
      </w:r>
      <w:r w:rsidR="00A03629">
        <w:t xml:space="preserve"> </w:t>
      </w:r>
      <w:r>
        <w:t>bodies</w:t>
      </w:r>
      <w:r w:rsidR="00A03629">
        <w:t xml:space="preserve"> </w:t>
      </w:r>
      <w:r>
        <w:t>engaged</w:t>
      </w:r>
      <w:r w:rsidR="00A03629">
        <w:t xml:space="preserve"> </w:t>
      </w:r>
      <w:r>
        <w:t>in</w:t>
      </w:r>
      <w:r w:rsidR="00A03629">
        <w:t xml:space="preserve"> </w:t>
      </w:r>
      <w:r>
        <w:t>providing</w:t>
      </w:r>
      <w:r w:rsidR="00A03629">
        <w:t xml:space="preserve"> </w:t>
      </w:r>
      <w:r>
        <w:t>services</w:t>
      </w:r>
      <w:r w:rsidR="00A03629">
        <w:t xml:space="preserve"> </w:t>
      </w:r>
      <w:r>
        <w:t>free</w:t>
      </w:r>
      <w:r w:rsidR="00A03629">
        <w:t xml:space="preserve"> </w:t>
      </w:r>
      <w:r>
        <w:t>of</w:t>
      </w:r>
      <w:r w:rsidR="00A03629">
        <w:t xml:space="preserve"> </w:t>
      </w:r>
      <w:r>
        <w:t>charge</w:t>
      </w:r>
      <w:r w:rsidR="00A03629">
        <w:t xml:space="preserve"> </w:t>
      </w:r>
      <w:r>
        <w:t>or</w:t>
      </w:r>
      <w:r w:rsidR="00A03629">
        <w:t xml:space="preserve"> </w:t>
      </w:r>
      <w:r>
        <w:t>at</w:t>
      </w:r>
      <w:r w:rsidR="00A03629">
        <w:t xml:space="preserve"> </w:t>
      </w:r>
      <w:r>
        <w:t>a</w:t>
      </w:r>
      <w:r w:rsidR="00A03629">
        <w:t xml:space="preserve"> </w:t>
      </w:r>
      <w:r>
        <w:t>price</w:t>
      </w:r>
      <w:r w:rsidR="00A03629">
        <w:t xml:space="preserve"> </w:t>
      </w:r>
      <w:r>
        <w:t>significantly</w:t>
      </w:r>
      <w:r w:rsidR="00A03629">
        <w:t xml:space="preserve"> </w:t>
      </w:r>
      <w:r>
        <w:t>below</w:t>
      </w:r>
      <w:r w:rsidR="00A03629">
        <w:t xml:space="preserve"> </w:t>
      </w:r>
      <w:r>
        <w:t>their</w:t>
      </w:r>
      <w:r w:rsidR="00A03629">
        <w:t xml:space="preserve"> </w:t>
      </w:r>
      <w:r>
        <w:t>cost</w:t>
      </w:r>
      <w:r w:rsidR="00A03629">
        <w:t xml:space="preserve"> </w:t>
      </w:r>
      <w:r>
        <w:t>of</w:t>
      </w:r>
      <w:r w:rsidR="00A03629">
        <w:t xml:space="preserve"> </w:t>
      </w:r>
      <w:r>
        <w:t>production.</w:t>
      </w:r>
      <w:r w:rsidR="00A03629">
        <w:t xml:space="preserve"> </w:t>
      </w:r>
      <w:r>
        <w:t>General</w:t>
      </w:r>
      <w:r w:rsidR="00A03629">
        <w:t xml:space="preserve"> </w:t>
      </w:r>
      <w:r>
        <w:t>government</w:t>
      </w:r>
      <w:r w:rsidR="00A03629">
        <w:t xml:space="preserve"> </w:t>
      </w:r>
      <w:r>
        <w:t>services</w:t>
      </w:r>
      <w:r w:rsidR="00A03629">
        <w:t xml:space="preserve"> </w:t>
      </w:r>
      <w:r>
        <w:t>include</w:t>
      </w:r>
      <w:r w:rsidR="00A03629">
        <w:t xml:space="preserve"> </w:t>
      </w:r>
      <w:r>
        <w:t>those</w:t>
      </w:r>
      <w:r w:rsidR="00A03629">
        <w:t xml:space="preserve"> </w:t>
      </w:r>
      <w:r>
        <w:t>which</w:t>
      </w:r>
      <w:r w:rsidR="00A03629">
        <w:t xml:space="preserve"> </w:t>
      </w:r>
      <w:r>
        <w:t>are</w:t>
      </w:r>
      <w:r w:rsidR="00A03629">
        <w:t xml:space="preserve"> </w:t>
      </w:r>
      <w:r>
        <w:t>mainly</w:t>
      </w:r>
      <w:r w:rsidR="00A03629">
        <w:t xml:space="preserve"> </w:t>
      </w:r>
      <w:r>
        <w:t>non-market</w:t>
      </w:r>
      <w:r w:rsidR="00A03629">
        <w:t xml:space="preserve"> </w:t>
      </w:r>
      <w:r>
        <w:t>in</w:t>
      </w:r>
      <w:r w:rsidR="00A03629">
        <w:t xml:space="preserve"> </w:t>
      </w:r>
      <w:r>
        <w:t>nature,</w:t>
      </w:r>
      <w:r w:rsidR="00A03629">
        <w:t xml:space="preserve"> </w:t>
      </w:r>
      <w:r>
        <w:t>those</w:t>
      </w:r>
      <w:r w:rsidR="00A03629">
        <w:t xml:space="preserve"> </w:t>
      </w:r>
      <w:r>
        <w:t>which</w:t>
      </w:r>
      <w:r w:rsidR="00A03629">
        <w:t xml:space="preserve"> </w:t>
      </w:r>
      <w:r>
        <w:t>are</w:t>
      </w:r>
      <w:r w:rsidR="00A03629">
        <w:t xml:space="preserve"> </w:t>
      </w:r>
      <w:r>
        <w:t>largely</w:t>
      </w:r>
      <w:r w:rsidR="00A03629">
        <w:t xml:space="preserve"> </w:t>
      </w:r>
      <w:r>
        <w:t>for</w:t>
      </w:r>
      <w:r w:rsidR="00A03629">
        <w:t xml:space="preserve"> </w:t>
      </w:r>
      <w:r>
        <w:t>collective</w:t>
      </w:r>
      <w:r w:rsidR="00A03629">
        <w:t xml:space="preserve"> </w:t>
      </w:r>
      <w:r>
        <w:t>consumption</w:t>
      </w:r>
      <w:r w:rsidR="00A03629">
        <w:t xml:space="preserve"> </w:t>
      </w:r>
      <w:r>
        <w:t>by</w:t>
      </w:r>
      <w:r w:rsidR="00A03629">
        <w:t xml:space="preserve"> </w:t>
      </w:r>
      <w:r>
        <w:t>the</w:t>
      </w:r>
      <w:r w:rsidR="00A03629">
        <w:t xml:space="preserve"> </w:t>
      </w:r>
      <w:r>
        <w:t>community</w:t>
      </w:r>
      <w:r w:rsidR="00A03629">
        <w:t xml:space="preserve"> </w:t>
      </w:r>
      <w:r>
        <w:t>and</w:t>
      </w:r>
      <w:r w:rsidR="00A03629">
        <w:t xml:space="preserve"> </w:t>
      </w:r>
      <w:r>
        <w:t>those</w:t>
      </w:r>
      <w:r w:rsidR="00A03629">
        <w:t xml:space="preserve"> </w:t>
      </w:r>
      <w:r>
        <w:t>which</w:t>
      </w:r>
      <w:r w:rsidR="00A03629">
        <w:t xml:space="preserve"> </w:t>
      </w:r>
      <w:r>
        <w:t>involve</w:t>
      </w:r>
      <w:r w:rsidR="00A03629">
        <w:t xml:space="preserve"> </w:t>
      </w:r>
      <w:r>
        <w:t>the</w:t>
      </w:r>
      <w:r w:rsidR="00A03629">
        <w:t xml:space="preserve"> </w:t>
      </w:r>
      <w:r>
        <w:t>transfer</w:t>
      </w:r>
      <w:r w:rsidR="00A03629">
        <w:t xml:space="preserve"> </w:t>
      </w:r>
      <w:r>
        <w:t>or</w:t>
      </w:r>
      <w:r w:rsidR="00A03629">
        <w:t xml:space="preserve"> </w:t>
      </w:r>
      <w:r>
        <w:t>redistribution</w:t>
      </w:r>
      <w:r w:rsidR="00A03629">
        <w:t xml:space="preserve"> </w:t>
      </w:r>
      <w:r>
        <w:t>of</w:t>
      </w:r>
      <w:r w:rsidR="00A03629">
        <w:t xml:space="preserve"> </w:t>
      </w:r>
      <w:r>
        <w:t>income.</w:t>
      </w:r>
      <w:r w:rsidR="00A03629">
        <w:t xml:space="preserve"> </w:t>
      </w:r>
      <w:r>
        <w:t>These</w:t>
      </w:r>
      <w:r w:rsidR="00A03629">
        <w:t xml:space="preserve"> </w:t>
      </w:r>
      <w:r>
        <w:t>services</w:t>
      </w:r>
      <w:r w:rsidR="00A03629">
        <w:t xml:space="preserve"> </w:t>
      </w:r>
      <w:r>
        <w:t>are</w:t>
      </w:r>
      <w:r w:rsidR="00A03629">
        <w:t xml:space="preserve"> </w:t>
      </w:r>
      <w:r>
        <w:t>financed</w:t>
      </w:r>
      <w:r w:rsidR="00A03629">
        <w:t xml:space="preserve"> </w:t>
      </w:r>
      <w:r>
        <w:t>mainly</w:t>
      </w:r>
      <w:r w:rsidR="00A03629">
        <w:t xml:space="preserve"> </w:t>
      </w:r>
      <w:r>
        <w:t>through</w:t>
      </w:r>
      <w:r w:rsidR="00A03629">
        <w:t xml:space="preserve"> </w:t>
      </w:r>
      <w:r>
        <w:t>taxes,</w:t>
      </w:r>
      <w:r w:rsidR="00A03629">
        <w:t xml:space="preserve"> </w:t>
      </w:r>
      <w:r>
        <w:t>or</w:t>
      </w:r>
      <w:r w:rsidR="00A03629">
        <w:t xml:space="preserve"> </w:t>
      </w:r>
      <w:r>
        <w:t>other</w:t>
      </w:r>
      <w:r w:rsidR="00A03629">
        <w:t xml:space="preserve"> </w:t>
      </w:r>
      <w:r>
        <w:t>compulsory</w:t>
      </w:r>
      <w:r w:rsidR="00A03629">
        <w:t xml:space="preserve"> </w:t>
      </w:r>
      <w:r>
        <w:t>levies</w:t>
      </w:r>
      <w:r w:rsidR="00A03629">
        <w:t xml:space="preserve"> </w:t>
      </w:r>
      <w:r>
        <w:t>and</w:t>
      </w:r>
      <w:r w:rsidR="00A03629">
        <w:t xml:space="preserve"> </w:t>
      </w:r>
      <w:r>
        <w:t>user</w:t>
      </w:r>
      <w:r w:rsidR="00A03629">
        <w:rPr>
          <w:rFonts w:ascii="Cambria" w:hAnsi="Cambria" w:cs="Cambria"/>
        </w:rPr>
        <w:t xml:space="preserve"> </w:t>
      </w:r>
      <w:r>
        <w:t>charges.</w:t>
      </w:r>
    </w:p>
    <w:p w14:paraId="162BA715" w14:textId="7325E374" w:rsidR="000756EB" w:rsidRPr="00B4004A" w:rsidRDefault="004A4D88" w:rsidP="00B4004A">
      <w:pPr>
        <w:pStyle w:val="Normalbeforebullets"/>
        <w:rPr>
          <w:b/>
          <w:bCs/>
        </w:rPr>
      </w:pPr>
      <w:r w:rsidRPr="00B4004A">
        <w:rPr>
          <w:b/>
          <w:bCs/>
        </w:rPr>
        <w:t>Grants</w:t>
      </w:r>
      <w:r w:rsidR="00A03629" w:rsidRPr="00B4004A">
        <w:rPr>
          <w:b/>
          <w:bCs/>
        </w:rPr>
        <w:t xml:space="preserve"> </w:t>
      </w:r>
      <w:r w:rsidRPr="00B4004A">
        <w:rPr>
          <w:b/>
          <w:bCs/>
        </w:rPr>
        <w:t>for</w:t>
      </w:r>
      <w:r w:rsidR="00A03629" w:rsidRPr="00B4004A">
        <w:rPr>
          <w:b/>
          <w:bCs/>
        </w:rPr>
        <w:t xml:space="preserve"> </w:t>
      </w:r>
      <w:proofErr w:type="gramStart"/>
      <w:r w:rsidRPr="00B4004A">
        <w:rPr>
          <w:b/>
          <w:bCs/>
        </w:rPr>
        <w:t>on-passing</w:t>
      </w:r>
      <w:proofErr w:type="gramEnd"/>
    </w:p>
    <w:p w14:paraId="23B59437" w14:textId="0E8B05BE" w:rsidR="000756EB" w:rsidRDefault="004A4D88" w:rsidP="00B4004A">
      <w:pPr>
        <w:rPr>
          <w:rFonts w:ascii="VIC Light" w:hAnsi="VIC Light" w:cs="VIC Light"/>
        </w:rPr>
      </w:pPr>
      <w:r>
        <w:t>All</w:t>
      </w:r>
      <w:r w:rsidR="00A03629">
        <w:t xml:space="preserve"> </w:t>
      </w:r>
      <w:r>
        <w:t>grants</w:t>
      </w:r>
      <w:r w:rsidR="00A03629">
        <w:t xml:space="preserve"> </w:t>
      </w:r>
      <w:r>
        <w:t>paid</w:t>
      </w:r>
      <w:r w:rsidR="00A03629">
        <w:t xml:space="preserve"> </w:t>
      </w:r>
      <w:r>
        <w:t>to</w:t>
      </w:r>
      <w:r w:rsidR="00A03629">
        <w:t xml:space="preserve"> </w:t>
      </w:r>
      <w:r>
        <w:t>one</w:t>
      </w:r>
      <w:r w:rsidR="00A03629">
        <w:t xml:space="preserve"> </w:t>
      </w:r>
      <w:r>
        <w:t>institutional</w:t>
      </w:r>
      <w:r w:rsidR="00A03629">
        <w:t xml:space="preserve"> </w:t>
      </w:r>
      <w:r>
        <w:t>sector</w:t>
      </w:r>
      <w:r w:rsidR="00A03629">
        <w:t xml:space="preserve"> </w:t>
      </w:r>
      <w:r>
        <w:t>(e.g.</w:t>
      </w:r>
      <w:r w:rsidR="00A03629">
        <w:t xml:space="preserve"> </w:t>
      </w:r>
      <w:r>
        <w:t>a</w:t>
      </w:r>
      <w:r w:rsidR="00A03629">
        <w:t xml:space="preserve"> </w:t>
      </w:r>
      <w:r>
        <w:t>state</w:t>
      </w:r>
      <w:r w:rsidR="00A03629">
        <w:t xml:space="preserve"> </w:t>
      </w:r>
      <w:r>
        <w:t>general</w:t>
      </w:r>
      <w:r w:rsidR="00A03629">
        <w:t xml:space="preserve"> </w:t>
      </w:r>
      <w:r>
        <w:t>government)</w:t>
      </w:r>
      <w:r w:rsidR="00A03629">
        <w:t xml:space="preserve"> </w:t>
      </w:r>
      <w:r>
        <w:t>to</w:t>
      </w:r>
      <w:r w:rsidR="00A03629">
        <w:t xml:space="preserve"> </w:t>
      </w:r>
      <w:r>
        <w:t>be</w:t>
      </w:r>
      <w:r w:rsidR="00A03629">
        <w:t xml:space="preserve"> </w:t>
      </w:r>
      <w:r>
        <w:t>passed</w:t>
      </w:r>
      <w:r w:rsidR="00A03629">
        <w:t xml:space="preserve"> </w:t>
      </w:r>
      <w:r>
        <w:t>on</w:t>
      </w:r>
      <w:r w:rsidR="00A03629">
        <w:t xml:space="preserve"> </w:t>
      </w:r>
      <w:r>
        <w:t>to</w:t>
      </w:r>
      <w:r w:rsidR="00A03629">
        <w:t xml:space="preserve"> </w:t>
      </w:r>
      <w:r>
        <w:t>another</w:t>
      </w:r>
      <w:r w:rsidR="00A03629">
        <w:t xml:space="preserve"> </w:t>
      </w:r>
      <w:r>
        <w:t>institutional</w:t>
      </w:r>
      <w:r w:rsidR="00A03629">
        <w:t xml:space="preserve"> </w:t>
      </w:r>
      <w:r>
        <w:t>sector</w:t>
      </w:r>
      <w:r w:rsidR="00A03629">
        <w:t xml:space="preserve"> </w:t>
      </w:r>
      <w:r>
        <w:t>(e.g.</w:t>
      </w:r>
      <w:r w:rsidR="00A03629">
        <w:t xml:space="preserve"> </w:t>
      </w:r>
      <w:r>
        <w:t>local</w:t>
      </w:r>
      <w:r w:rsidR="00A03629">
        <w:t xml:space="preserve"> </w:t>
      </w:r>
      <w:r>
        <w:t>government</w:t>
      </w:r>
      <w:r w:rsidR="00A03629">
        <w:t xml:space="preserve"> </w:t>
      </w:r>
      <w:r>
        <w:t>or</w:t>
      </w:r>
      <w:r w:rsidR="00A03629">
        <w:t xml:space="preserve"> </w:t>
      </w:r>
      <w:r>
        <w:t>a</w:t>
      </w:r>
      <w:r w:rsidR="00A03629">
        <w:t xml:space="preserve"> </w:t>
      </w:r>
      <w:r>
        <w:t>private</w:t>
      </w:r>
      <w:r w:rsidR="00A03629">
        <w:t xml:space="preserve"> </w:t>
      </w:r>
      <w:r>
        <w:t>non-profit</w:t>
      </w:r>
      <w:r w:rsidR="00A03629">
        <w:t xml:space="preserve"> </w:t>
      </w:r>
      <w:r>
        <w:t>institution).</w:t>
      </w:r>
    </w:p>
    <w:p w14:paraId="0803D5AE" w14:textId="6035607F" w:rsidR="000756EB" w:rsidRPr="00B4004A" w:rsidRDefault="004A4D88" w:rsidP="00B4004A">
      <w:pPr>
        <w:pStyle w:val="Normalbeforebullets"/>
        <w:rPr>
          <w:b/>
          <w:bCs/>
        </w:rPr>
      </w:pPr>
      <w:r w:rsidRPr="00B4004A">
        <w:rPr>
          <w:b/>
          <w:bCs/>
        </w:rPr>
        <w:t>Infrastructure</w:t>
      </w:r>
      <w:r w:rsidR="00A03629" w:rsidRPr="00B4004A">
        <w:rPr>
          <w:b/>
          <w:bCs/>
        </w:rPr>
        <w:t xml:space="preserve"> </w:t>
      </w:r>
      <w:r w:rsidRPr="00B4004A">
        <w:rPr>
          <w:b/>
          <w:bCs/>
        </w:rPr>
        <w:t>systems</w:t>
      </w:r>
    </w:p>
    <w:p w14:paraId="16292392" w14:textId="08E5A42F" w:rsidR="000756EB" w:rsidRDefault="004A4D88" w:rsidP="00B4004A">
      <w:r>
        <w:t>Infrastructure</w:t>
      </w:r>
      <w:r w:rsidR="00A03629">
        <w:t xml:space="preserve"> </w:t>
      </w:r>
      <w:r>
        <w:t>systems</w:t>
      </w:r>
      <w:r w:rsidR="00A03629">
        <w:t xml:space="preserve"> </w:t>
      </w:r>
      <w:r>
        <w:t>provide</w:t>
      </w:r>
      <w:r w:rsidR="00A03629">
        <w:t xml:space="preserve"> </w:t>
      </w:r>
      <w:r>
        <w:t>essential</w:t>
      </w:r>
      <w:r w:rsidR="00A03629">
        <w:t xml:space="preserve"> </w:t>
      </w:r>
      <w:r>
        <w:t>services</w:t>
      </w:r>
      <w:r w:rsidR="00A03629">
        <w:t xml:space="preserve"> </w:t>
      </w:r>
      <w:r>
        <w:t>used</w:t>
      </w:r>
      <w:r w:rsidR="00A03629">
        <w:t xml:space="preserve"> </w:t>
      </w:r>
      <w:r>
        <w:t>in</w:t>
      </w:r>
      <w:r w:rsidR="00A03629">
        <w:t xml:space="preserve"> </w:t>
      </w:r>
      <w:r>
        <w:t>the</w:t>
      </w:r>
      <w:r w:rsidR="00A03629">
        <w:t xml:space="preserve"> </w:t>
      </w:r>
      <w:r>
        <w:t>delivery</w:t>
      </w:r>
      <w:r w:rsidR="00A03629">
        <w:t xml:space="preserve"> </w:t>
      </w:r>
      <w:r>
        <w:t>of</w:t>
      </w:r>
      <w:r w:rsidR="00A03629">
        <w:t xml:space="preserve"> </w:t>
      </w:r>
      <w:r>
        <w:t>final</w:t>
      </w:r>
      <w:r w:rsidR="00A03629">
        <w:t xml:space="preserve"> </w:t>
      </w:r>
      <w:r>
        <w:t>services</w:t>
      </w:r>
      <w:r w:rsidR="00A03629">
        <w:t xml:space="preserve"> </w:t>
      </w:r>
      <w:r>
        <w:t>or</w:t>
      </w:r>
      <w:r w:rsidR="00A03629">
        <w:t xml:space="preserve"> </w:t>
      </w:r>
      <w:r>
        <w:t>products.</w:t>
      </w:r>
      <w:r w:rsidR="00A03629">
        <w:t xml:space="preserve"> </w:t>
      </w:r>
      <w:r>
        <w:t>They</w:t>
      </w:r>
      <w:r w:rsidR="00A03629">
        <w:t xml:space="preserve"> </w:t>
      </w:r>
      <w:r>
        <w:t>are</w:t>
      </w:r>
      <w:r w:rsidR="00A03629">
        <w:t xml:space="preserve"> </w:t>
      </w:r>
      <w:r>
        <w:t>generally</w:t>
      </w:r>
      <w:r w:rsidR="00A03629">
        <w:t xml:space="preserve"> </w:t>
      </w:r>
      <w:r>
        <w:t>a</w:t>
      </w:r>
      <w:r w:rsidR="00A03629">
        <w:t xml:space="preserve"> </w:t>
      </w:r>
      <w:r>
        <w:t>complex</w:t>
      </w:r>
      <w:r w:rsidR="00A03629">
        <w:t xml:space="preserve"> </w:t>
      </w:r>
      <w:r>
        <w:t>interconnected</w:t>
      </w:r>
      <w:r w:rsidR="00A03629">
        <w:t xml:space="preserve"> </w:t>
      </w:r>
      <w:r>
        <w:t>network</w:t>
      </w:r>
      <w:r w:rsidR="00A03629">
        <w:t xml:space="preserve"> </w:t>
      </w:r>
      <w:r>
        <w:t>of</w:t>
      </w:r>
      <w:r w:rsidR="00A03629">
        <w:t xml:space="preserve"> </w:t>
      </w:r>
      <w:r>
        <w:t>individual</w:t>
      </w:r>
      <w:r w:rsidR="00A03629">
        <w:t xml:space="preserve"> </w:t>
      </w:r>
      <w:r>
        <w:t>assets</w:t>
      </w:r>
      <w:r w:rsidR="00A03629">
        <w:t xml:space="preserve"> </w:t>
      </w:r>
      <w:r>
        <w:t>and</w:t>
      </w:r>
      <w:r w:rsidR="00A03629">
        <w:t xml:space="preserve"> </w:t>
      </w:r>
      <w:r>
        <w:t>mainly</w:t>
      </w:r>
      <w:r w:rsidR="00A03629">
        <w:t xml:space="preserve"> </w:t>
      </w:r>
      <w:r>
        <w:t>include</w:t>
      </w:r>
      <w:r w:rsidR="00A03629">
        <w:t xml:space="preserve"> </w:t>
      </w:r>
      <w:r>
        <w:t>sewerage</w:t>
      </w:r>
      <w:r w:rsidR="00A03629">
        <w:t xml:space="preserve"> </w:t>
      </w:r>
      <w:r>
        <w:t>systems,</w:t>
      </w:r>
      <w:r w:rsidR="00A03629">
        <w:t xml:space="preserve"> </w:t>
      </w:r>
      <w:r>
        <w:t>water</w:t>
      </w:r>
      <w:r w:rsidR="00A03629">
        <w:t xml:space="preserve"> </w:t>
      </w:r>
      <w:r>
        <w:t>storage</w:t>
      </w:r>
      <w:r w:rsidR="00A03629">
        <w:t xml:space="preserve"> </w:t>
      </w:r>
      <w:r>
        <w:t>and</w:t>
      </w:r>
      <w:r w:rsidR="00A03629">
        <w:t xml:space="preserve"> </w:t>
      </w:r>
      <w:r>
        <w:t>supply</w:t>
      </w:r>
      <w:r w:rsidR="00A03629">
        <w:t xml:space="preserve"> </w:t>
      </w:r>
      <w:r>
        <w:t>systems,</w:t>
      </w:r>
      <w:r w:rsidR="00A03629">
        <w:t xml:space="preserve"> </w:t>
      </w:r>
      <w:r>
        <w:t>ports,</w:t>
      </w:r>
      <w:r w:rsidR="00A03629">
        <w:t xml:space="preserve"> </w:t>
      </w:r>
      <w:proofErr w:type="gramStart"/>
      <w:r>
        <w:t>utilities</w:t>
      </w:r>
      <w:proofErr w:type="gramEnd"/>
      <w:r w:rsidR="00A03629">
        <w:t xml:space="preserve"> </w:t>
      </w:r>
      <w:r>
        <w:t>and</w:t>
      </w:r>
      <w:r w:rsidR="00A03629">
        <w:t xml:space="preserve"> </w:t>
      </w:r>
      <w:r>
        <w:t>public</w:t>
      </w:r>
      <w:r w:rsidR="00A03629">
        <w:t xml:space="preserve"> </w:t>
      </w:r>
      <w:r>
        <w:t>transport</w:t>
      </w:r>
      <w:r w:rsidR="00A03629">
        <w:t xml:space="preserve"> </w:t>
      </w:r>
      <w:r>
        <w:t>assets</w:t>
      </w:r>
      <w:r w:rsidR="00A03629">
        <w:rPr>
          <w:rFonts w:ascii="Cambria" w:hAnsi="Cambria" w:cs="Cambria"/>
        </w:rPr>
        <w:t xml:space="preserve"> </w:t>
      </w:r>
      <w:r>
        <w:t>owned</w:t>
      </w:r>
      <w:r w:rsidR="00A03629">
        <w:t xml:space="preserve"> </w:t>
      </w:r>
      <w:r>
        <w:t>by</w:t>
      </w:r>
      <w:r w:rsidR="00A03629">
        <w:t xml:space="preserve"> </w:t>
      </w:r>
      <w:r>
        <w:t>DJSIR.</w:t>
      </w:r>
    </w:p>
    <w:p w14:paraId="434643B9" w14:textId="38BEF1CB" w:rsidR="000756EB" w:rsidRPr="00B4004A" w:rsidRDefault="004A4D88" w:rsidP="00B4004A">
      <w:pPr>
        <w:pStyle w:val="Normalbeforebullets"/>
        <w:rPr>
          <w:b/>
          <w:bCs/>
        </w:rPr>
      </w:pPr>
      <w:r w:rsidRPr="00B4004A">
        <w:rPr>
          <w:b/>
          <w:bCs/>
        </w:rPr>
        <w:t>Intangible</w:t>
      </w:r>
      <w:r w:rsidR="00A03629" w:rsidRPr="00B4004A">
        <w:rPr>
          <w:b/>
          <w:bCs/>
        </w:rPr>
        <w:t xml:space="preserve"> </w:t>
      </w:r>
      <w:r w:rsidRPr="00B4004A">
        <w:rPr>
          <w:b/>
          <w:bCs/>
        </w:rPr>
        <w:t>produced</w:t>
      </w:r>
      <w:r w:rsidR="00A03629" w:rsidRPr="00B4004A">
        <w:rPr>
          <w:b/>
          <w:bCs/>
        </w:rPr>
        <w:t xml:space="preserve"> </w:t>
      </w:r>
      <w:r w:rsidRPr="00B4004A">
        <w:rPr>
          <w:b/>
          <w:bCs/>
        </w:rPr>
        <w:t>assets</w:t>
      </w:r>
    </w:p>
    <w:p w14:paraId="79A0E612" w14:textId="5BA8F484" w:rsidR="000756EB" w:rsidRDefault="004A4D88" w:rsidP="00B4004A">
      <w:r>
        <w:t>Refer</w:t>
      </w:r>
      <w:r w:rsidR="00A03629">
        <w:t xml:space="preserve"> </w:t>
      </w:r>
      <w:r>
        <w:t>to</w:t>
      </w:r>
      <w:r w:rsidR="00A03629">
        <w:t xml:space="preserve"> </w:t>
      </w:r>
      <w:r>
        <w:t>produced</w:t>
      </w:r>
      <w:r w:rsidR="00A03629">
        <w:t xml:space="preserve"> </w:t>
      </w:r>
      <w:r>
        <w:t>assets</w:t>
      </w:r>
      <w:r w:rsidR="00A03629">
        <w:t xml:space="preserve"> </w:t>
      </w:r>
      <w:r>
        <w:t>in</w:t>
      </w:r>
      <w:r w:rsidR="00A03629">
        <w:t xml:space="preserve"> </w:t>
      </w:r>
      <w:r>
        <w:t>this</w:t>
      </w:r>
      <w:r w:rsidR="00A03629">
        <w:t xml:space="preserve"> </w:t>
      </w:r>
      <w:r>
        <w:t>glossary.</w:t>
      </w:r>
    </w:p>
    <w:p w14:paraId="2CA746E3" w14:textId="5A0B253F" w:rsidR="000756EB" w:rsidRPr="00B4004A" w:rsidRDefault="004A4D88" w:rsidP="00B4004A">
      <w:pPr>
        <w:pStyle w:val="Normalbeforebullets"/>
        <w:rPr>
          <w:b/>
          <w:bCs/>
        </w:rPr>
      </w:pPr>
      <w:r w:rsidRPr="00B4004A">
        <w:rPr>
          <w:b/>
          <w:bCs/>
        </w:rPr>
        <w:t>Intangible</w:t>
      </w:r>
      <w:r w:rsidR="00A03629" w:rsidRPr="00B4004A">
        <w:rPr>
          <w:b/>
          <w:bCs/>
        </w:rPr>
        <w:t xml:space="preserve"> </w:t>
      </w:r>
      <w:r w:rsidRPr="00B4004A">
        <w:rPr>
          <w:b/>
          <w:bCs/>
        </w:rPr>
        <w:t>non</w:t>
      </w:r>
      <w:r w:rsidRPr="00B4004A">
        <w:rPr>
          <w:b/>
          <w:bCs/>
        </w:rPr>
        <w:noBreakHyphen/>
        <w:t>produced</w:t>
      </w:r>
      <w:r w:rsidR="00A03629" w:rsidRPr="00B4004A">
        <w:rPr>
          <w:b/>
          <w:bCs/>
        </w:rPr>
        <w:t xml:space="preserve"> </w:t>
      </w:r>
      <w:r w:rsidRPr="00B4004A">
        <w:rPr>
          <w:b/>
          <w:bCs/>
        </w:rPr>
        <w:t>assets</w:t>
      </w:r>
    </w:p>
    <w:p w14:paraId="2857402B" w14:textId="7EC2392B" w:rsidR="000756EB" w:rsidRDefault="004A4D88" w:rsidP="00B4004A">
      <w:r>
        <w:t>Refer</w:t>
      </w:r>
      <w:r w:rsidR="00A03629">
        <w:t xml:space="preserve"> </w:t>
      </w:r>
      <w:r>
        <w:t>to</w:t>
      </w:r>
      <w:r w:rsidR="00A03629">
        <w:t xml:space="preserve"> </w:t>
      </w:r>
      <w:r>
        <w:t>non</w:t>
      </w:r>
      <w:r>
        <w:noBreakHyphen/>
        <w:t>produced</w:t>
      </w:r>
      <w:r w:rsidR="00A03629">
        <w:t xml:space="preserve"> </w:t>
      </w:r>
      <w:r>
        <w:t>asset</w:t>
      </w:r>
      <w:r w:rsidR="00A03629">
        <w:t xml:space="preserve"> </w:t>
      </w:r>
      <w:r>
        <w:t>in</w:t>
      </w:r>
      <w:r w:rsidR="00A03629">
        <w:t xml:space="preserve"> </w:t>
      </w:r>
      <w:r>
        <w:t>this</w:t>
      </w:r>
      <w:r w:rsidR="00A03629">
        <w:t xml:space="preserve"> </w:t>
      </w:r>
      <w:r>
        <w:t>glossary.</w:t>
      </w:r>
    </w:p>
    <w:p w14:paraId="364572F6" w14:textId="4FC2D495" w:rsidR="000756EB" w:rsidRPr="00B4004A" w:rsidRDefault="004A4D88" w:rsidP="00B4004A">
      <w:pPr>
        <w:pStyle w:val="Normalbeforebullets"/>
        <w:rPr>
          <w:b/>
          <w:bCs/>
        </w:rPr>
      </w:pPr>
      <w:r w:rsidRPr="00B4004A">
        <w:rPr>
          <w:b/>
          <w:bCs/>
        </w:rPr>
        <w:t>Net</w:t>
      </w:r>
      <w:r w:rsidR="00A03629" w:rsidRPr="00B4004A">
        <w:rPr>
          <w:b/>
          <w:bCs/>
        </w:rPr>
        <w:t xml:space="preserve"> </w:t>
      </w:r>
      <w:r w:rsidRPr="00B4004A">
        <w:rPr>
          <w:b/>
          <w:bCs/>
        </w:rPr>
        <w:t>acquisition</w:t>
      </w:r>
      <w:r w:rsidR="00A03629" w:rsidRPr="00B4004A">
        <w:rPr>
          <w:b/>
          <w:bCs/>
        </w:rPr>
        <w:t xml:space="preserve"> </w:t>
      </w:r>
      <w:r w:rsidRPr="00B4004A">
        <w:rPr>
          <w:b/>
          <w:bCs/>
        </w:rPr>
        <w:t>of</w:t>
      </w:r>
      <w:r w:rsidR="00A03629" w:rsidRPr="00B4004A">
        <w:rPr>
          <w:b/>
          <w:bCs/>
        </w:rPr>
        <w:t xml:space="preserve"> </w:t>
      </w:r>
      <w:r w:rsidRPr="00B4004A">
        <w:rPr>
          <w:b/>
          <w:bCs/>
        </w:rPr>
        <w:t>non-financial</w:t>
      </w:r>
      <w:r w:rsidR="00A03629" w:rsidRPr="00B4004A">
        <w:rPr>
          <w:b/>
          <w:bCs/>
        </w:rPr>
        <w:t xml:space="preserve"> </w:t>
      </w:r>
      <w:r w:rsidRPr="00B4004A">
        <w:rPr>
          <w:b/>
          <w:bCs/>
        </w:rPr>
        <w:t>assets</w:t>
      </w:r>
      <w:r w:rsidR="00A03629" w:rsidRPr="00B4004A">
        <w:rPr>
          <w:b/>
          <w:bCs/>
        </w:rPr>
        <w:t xml:space="preserve"> </w:t>
      </w:r>
      <w:r w:rsidRPr="00B4004A">
        <w:rPr>
          <w:b/>
          <w:bCs/>
        </w:rPr>
        <w:t>(from</w:t>
      </w:r>
      <w:r w:rsidR="00A03629" w:rsidRPr="00B4004A">
        <w:rPr>
          <w:rFonts w:ascii="Cambria" w:hAnsi="Cambria" w:cs="Cambria"/>
          <w:b/>
          <w:bCs/>
        </w:rPr>
        <w:t xml:space="preserve"> </w:t>
      </w:r>
      <w:r w:rsidRPr="00B4004A">
        <w:rPr>
          <w:b/>
          <w:bCs/>
        </w:rPr>
        <w:t>transactions)</w:t>
      </w:r>
    </w:p>
    <w:p w14:paraId="215809D5" w14:textId="51BCED40" w:rsidR="000756EB" w:rsidRDefault="004A4D88" w:rsidP="00B4004A">
      <w:r>
        <w:t>Purchases</w:t>
      </w:r>
      <w:r w:rsidR="00A03629">
        <w:t xml:space="preserve"> </w:t>
      </w:r>
      <w:r>
        <w:t>(and</w:t>
      </w:r>
      <w:r w:rsidR="00A03629">
        <w:t xml:space="preserve"> </w:t>
      </w:r>
      <w:r>
        <w:t>other</w:t>
      </w:r>
      <w:r w:rsidR="00A03629">
        <w:t xml:space="preserve"> </w:t>
      </w:r>
      <w:r>
        <w:t>acquisitions)</w:t>
      </w:r>
      <w:r w:rsidR="00A03629">
        <w:t xml:space="preserve"> </w:t>
      </w:r>
      <w:r>
        <w:t>of</w:t>
      </w:r>
      <w:r w:rsidR="00A03629">
        <w:t xml:space="preserve"> </w:t>
      </w:r>
      <w:r>
        <w:t>non-financial</w:t>
      </w:r>
      <w:r w:rsidR="00A03629">
        <w:t xml:space="preserve"> </w:t>
      </w:r>
      <w:r>
        <w:t>assets</w:t>
      </w:r>
      <w:r w:rsidR="00A03629">
        <w:t xml:space="preserve"> </w:t>
      </w:r>
      <w:r>
        <w:t>less</w:t>
      </w:r>
      <w:r w:rsidR="00A03629">
        <w:t xml:space="preserve"> </w:t>
      </w:r>
      <w:r>
        <w:t>sales</w:t>
      </w:r>
      <w:r w:rsidR="00A03629">
        <w:t xml:space="preserve"> </w:t>
      </w:r>
      <w:r>
        <w:t>(or</w:t>
      </w:r>
      <w:r w:rsidR="00A03629">
        <w:t xml:space="preserve"> </w:t>
      </w:r>
      <w:r>
        <w:t>disposals)</w:t>
      </w:r>
      <w:r w:rsidR="00A03629">
        <w:t xml:space="preserve"> </w:t>
      </w:r>
      <w:r>
        <w:t>of</w:t>
      </w:r>
      <w:r w:rsidR="00A03629">
        <w:t xml:space="preserve"> </w:t>
      </w:r>
      <w:r>
        <w:t>non-financial</w:t>
      </w:r>
      <w:r w:rsidR="00A03629">
        <w:t xml:space="preserve"> </w:t>
      </w:r>
      <w:r>
        <w:t>assets</w:t>
      </w:r>
      <w:r w:rsidR="00A03629">
        <w:t xml:space="preserve"> </w:t>
      </w:r>
      <w:r>
        <w:t>less</w:t>
      </w:r>
      <w:r w:rsidR="00A03629">
        <w:t xml:space="preserve"> </w:t>
      </w:r>
      <w:r>
        <w:t>depreciation</w:t>
      </w:r>
      <w:r w:rsidR="00A03629">
        <w:t xml:space="preserve"> </w:t>
      </w:r>
      <w:r>
        <w:t>plus</w:t>
      </w:r>
      <w:r w:rsidR="00A03629">
        <w:t xml:space="preserve"> </w:t>
      </w:r>
      <w:r>
        <w:t>changes</w:t>
      </w:r>
      <w:r w:rsidR="00A03629">
        <w:t xml:space="preserve"> </w:t>
      </w:r>
      <w:r>
        <w:t>in</w:t>
      </w:r>
      <w:r w:rsidR="00A03629">
        <w:t xml:space="preserve"> </w:t>
      </w:r>
      <w:r>
        <w:t>inventories</w:t>
      </w:r>
      <w:r w:rsidR="00A03629">
        <w:t xml:space="preserve"> </w:t>
      </w:r>
      <w:r>
        <w:t>and</w:t>
      </w:r>
      <w:r w:rsidR="00A03629">
        <w:t xml:space="preserve"> </w:t>
      </w:r>
      <w:r>
        <w:t>other</w:t>
      </w:r>
      <w:r w:rsidR="00A03629">
        <w:t xml:space="preserve"> </w:t>
      </w:r>
      <w:r>
        <w:t>movements</w:t>
      </w:r>
      <w:r w:rsidR="00A03629">
        <w:t xml:space="preserve"> </w:t>
      </w:r>
      <w:r>
        <w:t>in</w:t>
      </w:r>
      <w:r w:rsidR="00A03629">
        <w:t xml:space="preserve"> </w:t>
      </w:r>
      <w:r>
        <w:t>non-financial</w:t>
      </w:r>
      <w:r w:rsidR="00A03629">
        <w:t xml:space="preserve"> </w:t>
      </w:r>
      <w:r>
        <w:t>assets.</w:t>
      </w:r>
      <w:r w:rsidR="00A03629">
        <w:t xml:space="preserve"> </w:t>
      </w:r>
      <w:r>
        <w:t>Includes</w:t>
      </w:r>
      <w:r w:rsidR="00A03629">
        <w:t xml:space="preserve"> </w:t>
      </w:r>
      <w:r>
        <w:t>only</w:t>
      </w:r>
      <w:r w:rsidR="00A03629">
        <w:t xml:space="preserve"> </w:t>
      </w:r>
      <w:r>
        <w:t>those</w:t>
      </w:r>
      <w:r w:rsidR="00A03629">
        <w:t xml:space="preserve"> </w:t>
      </w:r>
      <w:r>
        <w:t>increases</w:t>
      </w:r>
      <w:r w:rsidR="00A03629">
        <w:t xml:space="preserve"> </w:t>
      </w:r>
      <w:r>
        <w:t>or</w:t>
      </w:r>
      <w:r w:rsidR="00A03629">
        <w:t xml:space="preserve"> </w:t>
      </w:r>
      <w:r>
        <w:t>decreases</w:t>
      </w:r>
      <w:r w:rsidR="00A03629">
        <w:t xml:space="preserve"> </w:t>
      </w:r>
      <w:r>
        <w:t>in</w:t>
      </w:r>
      <w:r w:rsidR="00A03629">
        <w:t xml:space="preserve"> </w:t>
      </w:r>
      <w:proofErr w:type="spellStart"/>
      <w:proofErr w:type="gramStart"/>
      <w:r>
        <w:t>non</w:t>
      </w:r>
      <w:r w:rsidR="00A03629">
        <w:t xml:space="preserve"> </w:t>
      </w:r>
      <w:r>
        <w:t>financial</w:t>
      </w:r>
      <w:proofErr w:type="spellEnd"/>
      <w:proofErr w:type="gramEnd"/>
      <w:r w:rsidR="00A03629">
        <w:t xml:space="preserve"> </w:t>
      </w:r>
      <w:r>
        <w:t>assets</w:t>
      </w:r>
      <w:r w:rsidR="00A03629">
        <w:t xml:space="preserve"> </w:t>
      </w:r>
      <w:r>
        <w:t>resulting</w:t>
      </w:r>
      <w:r w:rsidR="00A03629">
        <w:t xml:space="preserve"> </w:t>
      </w:r>
      <w:r>
        <w:t>from</w:t>
      </w:r>
      <w:r w:rsidR="00A03629">
        <w:t xml:space="preserve"> </w:t>
      </w:r>
      <w:r>
        <w:t>transactions</w:t>
      </w:r>
      <w:r w:rsidR="00A03629">
        <w:t xml:space="preserve"> </w:t>
      </w:r>
      <w:r>
        <w:t>and</w:t>
      </w:r>
      <w:r w:rsidR="00A03629">
        <w:t xml:space="preserve"> </w:t>
      </w:r>
      <w:r>
        <w:t>therefore</w:t>
      </w:r>
      <w:r w:rsidR="00A03629">
        <w:t xml:space="preserve"> </w:t>
      </w:r>
      <w:r>
        <w:t>excludes</w:t>
      </w:r>
      <w:r w:rsidR="00A03629">
        <w:t xml:space="preserve"> </w:t>
      </w:r>
      <w:r>
        <w:t>write</w:t>
      </w:r>
      <w:r w:rsidR="00A03629">
        <w:t xml:space="preserve"> </w:t>
      </w:r>
      <w:r>
        <w:t>offs,</w:t>
      </w:r>
      <w:r w:rsidR="00A03629">
        <w:t xml:space="preserve"> </w:t>
      </w:r>
      <w:r>
        <w:t>impairment</w:t>
      </w:r>
      <w:r w:rsidR="00A03629">
        <w:t xml:space="preserve"> </w:t>
      </w:r>
      <w:r>
        <w:t>write</w:t>
      </w:r>
      <w:r>
        <w:noBreakHyphen/>
        <w:t>downs</w:t>
      </w:r>
      <w:r w:rsidR="00A03629">
        <w:t xml:space="preserve"> </w:t>
      </w:r>
      <w:r>
        <w:t>and</w:t>
      </w:r>
      <w:r w:rsidR="00A03629">
        <w:t xml:space="preserve"> </w:t>
      </w:r>
      <w:r>
        <w:t>revaluations.</w:t>
      </w:r>
    </w:p>
    <w:p w14:paraId="497DE846" w14:textId="427A63F5" w:rsidR="000756EB" w:rsidRPr="00B4004A" w:rsidRDefault="004A4D88" w:rsidP="00B4004A">
      <w:pPr>
        <w:pStyle w:val="Normalbeforebullets"/>
        <w:rPr>
          <w:b/>
          <w:bCs/>
        </w:rPr>
      </w:pPr>
      <w:r w:rsidRPr="00B4004A">
        <w:rPr>
          <w:b/>
          <w:bCs/>
        </w:rPr>
        <w:t>Net</w:t>
      </w:r>
      <w:r w:rsidR="00A03629" w:rsidRPr="00B4004A">
        <w:rPr>
          <w:b/>
          <w:bCs/>
        </w:rPr>
        <w:t xml:space="preserve"> </w:t>
      </w:r>
      <w:r w:rsidRPr="00B4004A">
        <w:rPr>
          <w:b/>
          <w:bCs/>
        </w:rPr>
        <w:t>result</w:t>
      </w:r>
    </w:p>
    <w:p w14:paraId="7E44B299" w14:textId="686D2934" w:rsidR="000756EB" w:rsidRDefault="004A4D88" w:rsidP="00B4004A">
      <w:r>
        <w:t>Net</w:t>
      </w:r>
      <w:r w:rsidR="00A03629">
        <w:t xml:space="preserve"> </w:t>
      </w:r>
      <w:r>
        <w:t>result</w:t>
      </w:r>
      <w:r w:rsidR="00A03629">
        <w:t xml:space="preserve"> </w:t>
      </w:r>
      <w:r>
        <w:t>is</w:t>
      </w:r>
      <w:r w:rsidR="00A03629">
        <w:t xml:space="preserve"> </w:t>
      </w:r>
      <w:r>
        <w:t>a</w:t>
      </w:r>
      <w:r w:rsidR="00A03629">
        <w:t xml:space="preserve"> </w:t>
      </w:r>
      <w:r>
        <w:t>measure</w:t>
      </w:r>
      <w:r w:rsidR="00A03629">
        <w:t xml:space="preserve"> </w:t>
      </w:r>
      <w:r>
        <w:t>of</w:t>
      </w:r>
      <w:r w:rsidR="00A03629">
        <w:t xml:space="preserve"> </w:t>
      </w:r>
      <w:r>
        <w:t>financial</w:t>
      </w:r>
      <w:r w:rsidR="00A03629">
        <w:t xml:space="preserve"> </w:t>
      </w:r>
      <w:r>
        <w:t>performance</w:t>
      </w:r>
      <w:r w:rsidR="00A03629">
        <w:t xml:space="preserve"> </w:t>
      </w:r>
      <w:r>
        <w:t>of</w:t>
      </w:r>
      <w:r w:rsidR="00A03629">
        <w:t xml:space="preserve"> </w:t>
      </w:r>
      <w:r>
        <w:t>the</w:t>
      </w:r>
      <w:r w:rsidR="00A03629">
        <w:t xml:space="preserve"> </w:t>
      </w:r>
      <w:r>
        <w:t>operations</w:t>
      </w:r>
      <w:r w:rsidR="00A03629">
        <w:t xml:space="preserve"> </w:t>
      </w:r>
      <w:r>
        <w:t>for</w:t>
      </w:r>
      <w:r w:rsidR="00A03629">
        <w:t xml:space="preserve"> </w:t>
      </w:r>
      <w:r>
        <w:t>the</w:t>
      </w:r>
      <w:r w:rsidR="00A03629">
        <w:t xml:space="preserve"> </w:t>
      </w:r>
      <w:r>
        <w:t>period.</w:t>
      </w:r>
      <w:r w:rsidR="00A03629">
        <w:t xml:space="preserve"> </w:t>
      </w:r>
      <w:r>
        <w:t>It</w:t>
      </w:r>
      <w:r w:rsidR="00A03629">
        <w:t xml:space="preserve"> </w:t>
      </w:r>
      <w:r>
        <w:t>is</w:t>
      </w:r>
      <w:r w:rsidR="00A03629">
        <w:t xml:space="preserve"> </w:t>
      </w:r>
      <w:r>
        <w:t>the</w:t>
      </w:r>
      <w:r w:rsidR="00A03629">
        <w:t xml:space="preserve"> </w:t>
      </w:r>
      <w:r>
        <w:t>net</w:t>
      </w:r>
      <w:r w:rsidR="00A03629">
        <w:t xml:space="preserve"> </w:t>
      </w:r>
      <w:r>
        <w:t>result</w:t>
      </w:r>
      <w:r w:rsidR="00A03629">
        <w:t xml:space="preserve"> </w:t>
      </w:r>
      <w:r>
        <w:t>of</w:t>
      </w:r>
      <w:r w:rsidR="00A03629">
        <w:t xml:space="preserve"> </w:t>
      </w:r>
      <w:r>
        <w:t>items</w:t>
      </w:r>
      <w:r w:rsidR="00A03629">
        <w:t xml:space="preserve"> </w:t>
      </w:r>
      <w:r>
        <w:t>of</w:t>
      </w:r>
      <w:r w:rsidR="00A03629">
        <w:t xml:space="preserve"> </w:t>
      </w:r>
      <w:r>
        <w:t>income,</w:t>
      </w:r>
      <w:r w:rsidR="00A03629">
        <w:t xml:space="preserve"> </w:t>
      </w:r>
      <w:r>
        <w:t>gains</w:t>
      </w:r>
      <w:r w:rsidR="00A03629">
        <w:t xml:space="preserve"> </w:t>
      </w:r>
      <w:r>
        <w:t>and</w:t>
      </w:r>
      <w:r w:rsidR="00A03629">
        <w:t xml:space="preserve"> </w:t>
      </w:r>
      <w:r>
        <w:t>expenses</w:t>
      </w:r>
      <w:r w:rsidR="00A03629">
        <w:t xml:space="preserve"> </w:t>
      </w:r>
      <w:r>
        <w:t>(including</w:t>
      </w:r>
      <w:r w:rsidR="00A03629">
        <w:t xml:space="preserve"> </w:t>
      </w:r>
      <w:r>
        <w:t>losses)</w:t>
      </w:r>
      <w:r w:rsidR="00A03629">
        <w:t xml:space="preserve"> </w:t>
      </w:r>
      <w:r>
        <w:t>recognised</w:t>
      </w:r>
      <w:r w:rsidR="00A03629">
        <w:t xml:space="preserve"> </w:t>
      </w:r>
      <w:r>
        <w:t>for</w:t>
      </w:r>
      <w:r w:rsidR="00A03629">
        <w:t xml:space="preserve"> </w:t>
      </w:r>
      <w:r>
        <w:t>the</w:t>
      </w:r>
      <w:r w:rsidR="00A03629">
        <w:t xml:space="preserve"> </w:t>
      </w:r>
      <w:r>
        <w:t>period,</w:t>
      </w:r>
      <w:r w:rsidR="00A03629">
        <w:t xml:space="preserve"> </w:t>
      </w:r>
      <w:r>
        <w:t>excluding</w:t>
      </w:r>
      <w:r w:rsidR="00A03629">
        <w:t xml:space="preserve"> </w:t>
      </w:r>
      <w:r>
        <w:t>those</w:t>
      </w:r>
      <w:r w:rsidR="00A03629">
        <w:t xml:space="preserve"> </w:t>
      </w:r>
      <w:r>
        <w:t>that</w:t>
      </w:r>
      <w:r w:rsidR="00A03629">
        <w:t xml:space="preserve"> </w:t>
      </w:r>
      <w:r>
        <w:t>are</w:t>
      </w:r>
      <w:r w:rsidR="00A03629">
        <w:t xml:space="preserve"> </w:t>
      </w:r>
      <w:r>
        <w:t>classified</w:t>
      </w:r>
      <w:r w:rsidR="00A03629">
        <w:t xml:space="preserve"> </w:t>
      </w:r>
      <w:r>
        <w:t>as</w:t>
      </w:r>
      <w:r w:rsidR="00A03629">
        <w:t xml:space="preserve"> </w:t>
      </w:r>
      <w:r>
        <w:t>’other</w:t>
      </w:r>
      <w:r w:rsidR="00A03629">
        <w:t xml:space="preserve"> </w:t>
      </w:r>
      <w:r>
        <w:t>economic</w:t>
      </w:r>
      <w:r w:rsidR="00A03629">
        <w:t xml:space="preserve"> </w:t>
      </w:r>
      <w:r>
        <w:t>flows</w:t>
      </w:r>
      <w:r w:rsidR="00A03629">
        <w:t xml:space="preserve"> </w:t>
      </w:r>
      <w:r>
        <w:t>–</w:t>
      </w:r>
      <w:r w:rsidR="00A03629">
        <w:t xml:space="preserve"> </w:t>
      </w:r>
      <w:r>
        <w:t>other</w:t>
      </w:r>
      <w:r w:rsidR="00A03629">
        <w:t xml:space="preserve"> </w:t>
      </w:r>
      <w:r>
        <w:t>comprehensive</w:t>
      </w:r>
      <w:r w:rsidR="00A03629">
        <w:t xml:space="preserve"> </w:t>
      </w:r>
      <w:r>
        <w:t>income’.</w:t>
      </w:r>
    </w:p>
    <w:p w14:paraId="2C848A60" w14:textId="40A727BA" w:rsidR="000756EB" w:rsidRPr="00B4004A" w:rsidRDefault="004A4D88" w:rsidP="00B4004A">
      <w:pPr>
        <w:pStyle w:val="Normalbeforebullets"/>
        <w:rPr>
          <w:b/>
          <w:bCs/>
        </w:rPr>
      </w:pPr>
      <w:r w:rsidRPr="00B4004A">
        <w:rPr>
          <w:b/>
          <w:bCs/>
        </w:rPr>
        <w:lastRenderedPageBreak/>
        <w:t>Net</w:t>
      </w:r>
      <w:r w:rsidR="00A03629" w:rsidRPr="00B4004A">
        <w:rPr>
          <w:b/>
          <w:bCs/>
        </w:rPr>
        <w:t xml:space="preserve"> </w:t>
      </w:r>
      <w:r w:rsidRPr="00B4004A">
        <w:rPr>
          <w:b/>
          <w:bCs/>
        </w:rPr>
        <w:t>result</w:t>
      </w:r>
      <w:r w:rsidR="00A03629" w:rsidRPr="00B4004A">
        <w:rPr>
          <w:b/>
          <w:bCs/>
        </w:rPr>
        <w:t xml:space="preserve"> </w:t>
      </w:r>
      <w:r w:rsidRPr="00B4004A">
        <w:rPr>
          <w:b/>
          <w:bCs/>
        </w:rPr>
        <w:t>from</w:t>
      </w:r>
      <w:r w:rsidR="00A03629" w:rsidRPr="00B4004A">
        <w:rPr>
          <w:b/>
          <w:bCs/>
        </w:rPr>
        <w:t xml:space="preserve"> </w:t>
      </w:r>
      <w:r w:rsidRPr="00B4004A">
        <w:rPr>
          <w:b/>
          <w:bCs/>
        </w:rPr>
        <w:t>transactions/net</w:t>
      </w:r>
      <w:r w:rsidR="00A03629" w:rsidRPr="00B4004A">
        <w:rPr>
          <w:b/>
          <w:bCs/>
        </w:rPr>
        <w:t xml:space="preserve"> </w:t>
      </w:r>
      <w:r w:rsidRPr="00B4004A">
        <w:rPr>
          <w:b/>
          <w:bCs/>
        </w:rPr>
        <w:t>operating</w:t>
      </w:r>
      <w:r w:rsidR="00A03629" w:rsidRPr="00B4004A">
        <w:rPr>
          <w:b/>
          <w:bCs/>
        </w:rPr>
        <w:t xml:space="preserve"> </w:t>
      </w:r>
      <w:r w:rsidRPr="00B4004A">
        <w:rPr>
          <w:b/>
          <w:bCs/>
        </w:rPr>
        <w:t>balance</w:t>
      </w:r>
    </w:p>
    <w:p w14:paraId="73BD42D6" w14:textId="418D9AA7" w:rsidR="000756EB" w:rsidRDefault="004A4D88" w:rsidP="00B4004A">
      <w:pPr>
        <w:rPr>
          <w:rFonts w:ascii="VIC Light" w:hAnsi="VIC Light" w:cs="VIC Light"/>
        </w:rPr>
      </w:pPr>
      <w:r>
        <w:t>Net</w:t>
      </w:r>
      <w:r w:rsidR="00A03629">
        <w:t xml:space="preserve"> </w:t>
      </w:r>
      <w:r>
        <w:t>result</w:t>
      </w:r>
      <w:r w:rsidR="00A03629">
        <w:t xml:space="preserve"> </w:t>
      </w:r>
      <w:r>
        <w:t>from</w:t>
      </w:r>
      <w:r w:rsidR="00A03629">
        <w:t xml:space="preserve"> </w:t>
      </w:r>
      <w:r>
        <w:t>transactions</w:t>
      </w:r>
      <w:r w:rsidR="00A03629">
        <w:t xml:space="preserve"> </w:t>
      </w:r>
      <w:r>
        <w:t>or</w:t>
      </w:r>
      <w:r w:rsidR="00A03629">
        <w:t xml:space="preserve"> </w:t>
      </w:r>
      <w:r>
        <w:t>net</w:t>
      </w:r>
      <w:r w:rsidR="00A03629">
        <w:t xml:space="preserve"> </w:t>
      </w:r>
      <w:r>
        <w:t>operating</w:t>
      </w:r>
      <w:r w:rsidR="00A03629">
        <w:t xml:space="preserve"> </w:t>
      </w:r>
      <w:r>
        <w:t>balance</w:t>
      </w:r>
      <w:r w:rsidR="00A03629">
        <w:t xml:space="preserve"> </w:t>
      </w:r>
      <w:r>
        <w:t>is</w:t>
      </w:r>
      <w:r w:rsidR="00A03629">
        <w:t xml:space="preserve"> </w:t>
      </w:r>
      <w:r>
        <w:t>a</w:t>
      </w:r>
      <w:r w:rsidR="00A03629">
        <w:t xml:space="preserve"> </w:t>
      </w:r>
      <w:r>
        <w:t>key</w:t>
      </w:r>
      <w:r w:rsidR="00A03629">
        <w:t xml:space="preserve"> </w:t>
      </w:r>
      <w:r>
        <w:t>fiscal</w:t>
      </w:r>
      <w:r w:rsidR="00A03629">
        <w:t xml:space="preserve"> </w:t>
      </w:r>
      <w:r>
        <w:t>aggregate</w:t>
      </w:r>
      <w:r w:rsidR="00A03629">
        <w:t xml:space="preserve"> </w:t>
      </w:r>
      <w:r>
        <w:t>and</w:t>
      </w:r>
      <w:r w:rsidR="00A03629">
        <w:t xml:space="preserve"> </w:t>
      </w:r>
      <w:r>
        <w:t>is</w:t>
      </w:r>
      <w:r w:rsidR="00A03629">
        <w:t xml:space="preserve"> </w:t>
      </w:r>
      <w:r>
        <w:t>revenue</w:t>
      </w:r>
      <w:r w:rsidR="00A03629">
        <w:t xml:space="preserve"> </w:t>
      </w:r>
      <w:r>
        <w:t>and</w:t>
      </w:r>
      <w:r w:rsidR="00A03629">
        <w:t xml:space="preserve"> </w:t>
      </w:r>
      <w:r>
        <w:t>income</w:t>
      </w:r>
      <w:r w:rsidR="00A03629">
        <w:t xml:space="preserve"> </w:t>
      </w:r>
      <w:r>
        <w:t>from</w:t>
      </w:r>
      <w:r w:rsidR="00A03629">
        <w:t xml:space="preserve"> </w:t>
      </w:r>
      <w:r>
        <w:t>transactions</w:t>
      </w:r>
      <w:r w:rsidR="00A03629">
        <w:t xml:space="preserve"> </w:t>
      </w:r>
      <w:r>
        <w:t>minus</w:t>
      </w:r>
      <w:r w:rsidR="00A03629">
        <w:t xml:space="preserve"> </w:t>
      </w:r>
      <w:r>
        <w:t>expenses</w:t>
      </w:r>
      <w:r w:rsidR="00A03629">
        <w:t xml:space="preserve"> </w:t>
      </w:r>
      <w:r>
        <w:t>from</w:t>
      </w:r>
      <w:r w:rsidR="00A03629">
        <w:t xml:space="preserve"> </w:t>
      </w:r>
      <w:r>
        <w:t>transactions.</w:t>
      </w:r>
      <w:r w:rsidR="00A03629">
        <w:t xml:space="preserve"> </w:t>
      </w:r>
      <w:r>
        <w:t>It</w:t>
      </w:r>
      <w:r w:rsidR="00A03629">
        <w:t xml:space="preserve"> </w:t>
      </w:r>
      <w:r>
        <w:t>is</w:t>
      </w:r>
      <w:r w:rsidR="00A03629">
        <w:t xml:space="preserve"> </w:t>
      </w:r>
      <w:r>
        <w:t>a</w:t>
      </w:r>
      <w:r w:rsidR="00A03629">
        <w:t xml:space="preserve"> </w:t>
      </w:r>
      <w:r>
        <w:t>summary</w:t>
      </w:r>
      <w:r w:rsidR="00A03629">
        <w:t xml:space="preserve"> </w:t>
      </w:r>
      <w:r>
        <w:t>measure</w:t>
      </w:r>
      <w:r w:rsidR="00A03629">
        <w:t xml:space="preserve"> </w:t>
      </w:r>
      <w:r>
        <w:t>of</w:t>
      </w:r>
      <w:r w:rsidR="00A03629">
        <w:t xml:space="preserve"> </w:t>
      </w:r>
      <w:r>
        <w:t>the</w:t>
      </w:r>
      <w:r w:rsidR="00A03629">
        <w:t xml:space="preserve"> </w:t>
      </w:r>
      <w:r>
        <w:t>ongoing</w:t>
      </w:r>
      <w:r w:rsidR="00A03629">
        <w:t xml:space="preserve"> </w:t>
      </w:r>
      <w:r>
        <w:t>sustainability</w:t>
      </w:r>
      <w:r w:rsidR="00A03629">
        <w:t xml:space="preserve"> </w:t>
      </w:r>
      <w:r>
        <w:t>of</w:t>
      </w:r>
      <w:r w:rsidR="00A03629">
        <w:t xml:space="preserve"> </w:t>
      </w:r>
      <w:r>
        <w:t>operations.</w:t>
      </w:r>
      <w:r w:rsidR="00A03629">
        <w:t xml:space="preserve"> </w:t>
      </w:r>
      <w:r>
        <w:t>It</w:t>
      </w:r>
      <w:r w:rsidR="00A03629">
        <w:t xml:space="preserve"> </w:t>
      </w:r>
      <w:r>
        <w:t>excludes</w:t>
      </w:r>
      <w:r w:rsidR="00A03629">
        <w:t xml:space="preserve"> </w:t>
      </w:r>
      <w:r>
        <w:t>gains</w:t>
      </w:r>
      <w:r w:rsidR="00A03629">
        <w:t xml:space="preserve"> </w:t>
      </w:r>
      <w:r>
        <w:t>and</w:t>
      </w:r>
      <w:r w:rsidR="00A03629">
        <w:t xml:space="preserve"> </w:t>
      </w:r>
      <w:r>
        <w:t>losses</w:t>
      </w:r>
      <w:r w:rsidR="00A03629">
        <w:t xml:space="preserve"> </w:t>
      </w:r>
      <w:r>
        <w:t>resulting</w:t>
      </w:r>
      <w:r w:rsidR="00A03629">
        <w:t xml:space="preserve"> </w:t>
      </w:r>
      <w:r>
        <w:t>from</w:t>
      </w:r>
      <w:r w:rsidR="00A03629">
        <w:t xml:space="preserve"> </w:t>
      </w:r>
      <w:r>
        <w:t>changes</w:t>
      </w:r>
      <w:r w:rsidR="00A03629">
        <w:t xml:space="preserve"> </w:t>
      </w:r>
      <w:r>
        <w:t>in</w:t>
      </w:r>
      <w:r w:rsidR="00A03629">
        <w:t xml:space="preserve"> </w:t>
      </w:r>
      <w:r>
        <w:t>price</w:t>
      </w:r>
      <w:r w:rsidR="00A03629">
        <w:t xml:space="preserve"> </w:t>
      </w:r>
      <w:r>
        <w:t>levels</w:t>
      </w:r>
      <w:r w:rsidR="00A03629">
        <w:t xml:space="preserve"> </w:t>
      </w:r>
      <w:r>
        <w:t>and</w:t>
      </w:r>
      <w:r w:rsidR="00A03629">
        <w:t xml:space="preserve"> </w:t>
      </w:r>
      <w:r>
        <w:t>other</w:t>
      </w:r>
      <w:r w:rsidR="00A03629">
        <w:t xml:space="preserve"> </w:t>
      </w:r>
      <w:r>
        <w:t>changes</w:t>
      </w:r>
      <w:r w:rsidR="00A03629">
        <w:t xml:space="preserve"> </w:t>
      </w:r>
      <w:r>
        <w:t>in</w:t>
      </w:r>
      <w:r w:rsidR="00A03629">
        <w:t xml:space="preserve"> </w:t>
      </w:r>
      <w:r>
        <w:t>the</w:t>
      </w:r>
      <w:r w:rsidR="00A03629">
        <w:t xml:space="preserve"> </w:t>
      </w:r>
      <w:r>
        <w:t>volume</w:t>
      </w:r>
      <w:r w:rsidR="00A03629">
        <w:t xml:space="preserve"> </w:t>
      </w:r>
      <w:r>
        <w:t>of</w:t>
      </w:r>
      <w:r w:rsidR="00A03629">
        <w:t xml:space="preserve"> </w:t>
      </w:r>
      <w:r>
        <w:t>assets.</w:t>
      </w:r>
      <w:r w:rsidR="00A03629">
        <w:t xml:space="preserve"> </w:t>
      </w:r>
      <w:r>
        <w:t>It</w:t>
      </w:r>
      <w:r w:rsidR="00A03629">
        <w:rPr>
          <w:rFonts w:ascii="Cambria" w:hAnsi="Cambria" w:cs="Cambria"/>
        </w:rPr>
        <w:t xml:space="preserve"> </w:t>
      </w:r>
      <w:r>
        <w:t>is</w:t>
      </w:r>
      <w:r w:rsidR="00A03629">
        <w:rPr>
          <w:rFonts w:ascii="Cambria" w:hAnsi="Cambria" w:cs="Cambria"/>
        </w:rPr>
        <w:t xml:space="preserve"> </w:t>
      </w:r>
      <w:r>
        <w:t>the</w:t>
      </w:r>
      <w:r w:rsidR="00A03629">
        <w:t xml:space="preserve"> </w:t>
      </w:r>
      <w:r>
        <w:t>component</w:t>
      </w:r>
      <w:r w:rsidR="00A03629">
        <w:t xml:space="preserve"> </w:t>
      </w:r>
      <w:r>
        <w:t>of</w:t>
      </w:r>
      <w:r w:rsidR="00A03629">
        <w:t xml:space="preserve"> </w:t>
      </w:r>
      <w:r>
        <w:t>the</w:t>
      </w:r>
      <w:r w:rsidR="00A03629">
        <w:t xml:space="preserve"> </w:t>
      </w:r>
      <w:r>
        <w:t>change</w:t>
      </w:r>
      <w:r w:rsidR="00A03629">
        <w:t xml:space="preserve"> </w:t>
      </w:r>
      <w:r>
        <w:t>in</w:t>
      </w:r>
      <w:r w:rsidR="00A03629">
        <w:t xml:space="preserve"> </w:t>
      </w:r>
      <w:r>
        <w:t>net</w:t>
      </w:r>
      <w:r w:rsidR="00A03629">
        <w:t xml:space="preserve"> </w:t>
      </w:r>
      <w:r>
        <w:t>worth</w:t>
      </w:r>
      <w:r w:rsidR="00A03629">
        <w:t xml:space="preserve"> </w:t>
      </w:r>
      <w:r>
        <w:t>that</w:t>
      </w:r>
      <w:r w:rsidR="00A03629">
        <w:t xml:space="preserve"> </w:t>
      </w:r>
      <w:r>
        <w:t>is</w:t>
      </w:r>
      <w:r w:rsidR="00A03629">
        <w:t xml:space="preserve"> </w:t>
      </w:r>
      <w:r>
        <w:t>due</w:t>
      </w:r>
      <w:r w:rsidR="00A03629">
        <w:t xml:space="preserve"> </w:t>
      </w:r>
      <w:r>
        <w:t>to</w:t>
      </w:r>
      <w:r w:rsidR="00A03629">
        <w:t xml:space="preserve"> </w:t>
      </w:r>
      <w:r>
        <w:t>transactions</w:t>
      </w:r>
      <w:r w:rsidR="00A03629">
        <w:t xml:space="preserve"> </w:t>
      </w:r>
      <w:r>
        <w:t>and</w:t>
      </w:r>
      <w:r w:rsidR="00A03629">
        <w:t xml:space="preserve"> </w:t>
      </w:r>
      <w:r>
        <w:t>can</w:t>
      </w:r>
      <w:r w:rsidR="00A03629">
        <w:t xml:space="preserve"> </w:t>
      </w:r>
      <w:r>
        <w:t>be</w:t>
      </w:r>
      <w:r w:rsidR="00A03629">
        <w:t xml:space="preserve"> </w:t>
      </w:r>
      <w:r>
        <w:t>attributed</w:t>
      </w:r>
      <w:r w:rsidR="00A03629">
        <w:t xml:space="preserve"> </w:t>
      </w:r>
      <w:r>
        <w:t>directly</w:t>
      </w:r>
      <w:r w:rsidR="00A03629">
        <w:t xml:space="preserve"> </w:t>
      </w:r>
      <w:r>
        <w:t>to</w:t>
      </w:r>
      <w:r w:rsidR="00A03629">
        <w:t xml:space="preserve"> </w:t>
      </w:r>
      <w:r>
        <w:t>government</w:t>
      </w:r>
      <w:r w:rsidR="00A03629">
        <w:t xml:space="preserve"> </w:t>
      </w:r>
      <w:r>
        <w:t>policies.</w:t>
      </w:r>
    </w:p>
    <w:p w14:paraId="3EBA1443" w14:textId="7D00398E" w:rsidR="000756EB" w:rsidRPr="00B4004A" w:rsidRDefault="004A4D88" w:rsidP="00B4004A">
      <w:pPr>
        <w:pStyle w:val="Normalbeforebullets"/>
        <w:rPr>
          <w:b/>
          <w:bCs/>
        </w:rPr>
      </w:pPr>
      <w:r w:rsidRPr="00B4004A">
        <w:rPr>
          <w:b/>
          <w:bCs/>
        </w:rPr>
        <w:t>Net</w:t>
      </w:r>
      <w:r w:rsidR="00A03629" w:rsidRPr="00B4004A">
        <w:rPr>
          <w:b/>
          <w:bCs/>
        </w:rPr>
        <w:t xml:space="preserve"> </w:t>
      </w:r>
      <w:r w:rsidRPr="00B4004A">
        <w:rPr>
          <w:b/>
          <w:bCs/>
        </w:rPr>
        <w:t>worth</w:t>
      </w:r>
    </w:p>
    <w:p w14:paraId="03A82662" w14:textId="3099E779" w:rsidR="000756EB" w:rsidRDefault="004A4D88" w:rsidP="00B4004A">
      <w:r>
        <w:t>Assets</w:t>
      </w:r>
      <w:r w:rsidR="00A03629">
        <w:t xml:space="preserve"> </w:t>
      </w:r>
      <w:r>
        <w:t>less</w:t>
      </w:r>
      <w:r w:rsidR="00A03629">
        <w:t xml:space="preserve"> </w:t>
      </w:r>
      <w:r>
        <w:t>liabilities,</w:t>
      </w:r>
      <w:r w:rsidR="00A03629">
        <w:t xml:space="preserve"> </w:t>
      </w:r>
      <w:r>
        <w:t>which</w:t>
      </w:r>
      <w:r w:rsidR="00A03629">
        <w:t xml:space="preserve"> </w:t>
      </w:r>
      <w:r>
        <w:t>is</w:t>
      </w:r>
      <w:r w:rsidR="00A03629">
        <w:t xml:space="preserve"> </w:t>
      </w:r>
      <w:r>
        <w:t>an</w:t>
      </w:r>
      <w:r w:rsidR="00A03629">
        <w:t xml:space="preserve"> </w:t>
      </w:r>
      <w:r>
        <w:t>economic</w:t>
      </w:r>
      <w:r w:rsidR="00A03629">
        <w:t xml:space="preserve"> </w:t>
      </w:r>
      <w:r>
        <w:t>measure</w:t>
      </w:r>
      <w:r w:rsidR="00A03629">
        <w:rPr>
          <w:rFonts w:ascii="Cambria" w:hAnsi="Cambria" w:cs="Cambria"/>
        </w:rPr>
        <w:t xml:space="preserve"> </w:t>
      </w:r>
      <w:r>
        <w:t>of</w:t>
      </w:r>
      <w:r w:rsidR="00A03629">
        <w:t xml:space="preserve"> </w:t>
      </w:r>
      <w:r>
        <w:t>wealth.</w:t>
      </w:r>
    </w:p>
    <w:p w14:paraId="64D5417C" w14:textId="2C279ECA" w:rsidR="000756EB" w:rsidRPr="00B4004A" w:rsidRDefault="004A4D88" w:rsidP="00B4004A">
      <w:pPr>
        <w:pStyle w:val="Normalbeforebullets"/>
        <w:rPr>
          <w:b/>
          <w:bCs/>
        </w:rPr>
      </w:pPr>
      <w:r w:rsidRPr="00B4004A">
        <w:rPr>
          <w:b/>
          <w:bCs/>
        </w:rPr>
        <w:t>Non-financial</w:t>
      </w:r>
      <w:r w:rsidR="00A03629" w:rsidRPr="00B4004A">
        <w:rPr>
          <w:b/>
          <w:bCs/>
        </w:rPr>
        <w:t xml:space="preserve"> </w:t>
      </w:r>
      <w:r w:rsidRPr="00B4004A">
        <w:rPr>
          <w:b/>
          <w:bCs/>
        </w:rPr>
        <w:t>assets</w:t>
      </w:r>
    </w:p>
    <w:p w14:paraId="643E219D" w14:textId="3B723EDE" w:rsidR="000756EB" w:rsidRDefault="004A4D88" w:rsidP="00B4004A">
      <w:r>
        <w:t>Non-financial</w:t>
      </w:r>
      <w:r w:rsidR="00A03629">
        <w:t xml:space="preserve"> </w:t>
      </w:r>
      <w:r>
        <w:t>assets</w:t>
      </w:r>
      <w:r w:rsidR="00A03629">
        <w:t xml:space="preserve"> </w:t>
      </w:r>
      <w:r>
        <w:t>are</w:t>
      </w:r>
      <w:r w:rsidR="00A03629">
        <w:t xml:space="preserve"> </w:t>
      </w:r>
      <w:r>
        <w:t>all</w:t>
      </w:r>
      <w:r w:rsidR="00A03629">
        <w:t xml:space="preserve"> </w:t>
      </w:r>
      <w:r>
        <w:t>assets</w:t>
      </w:r>
      <w:r w:rsidR="00A03629">
        <w:t xml:space="preserve"> </w:t>
      </w:r>
      <w:r>
        <w:t>that</w:t>
      </w:r>
      <w:r w:rsidR="00A03629">
        <w:t xml:space="preserve"> </w:t>
      </w:r>
      <w:r>
        <w:t>are</w:t>
      </w:r>
      <w:r w:rsidR="00A03629">
        <w:t xml:space="preserve"> </w:t>
      </w:r>
      <w:r>
        <w:t>not</w:t>
      </w:r>
      <w:r w:rsidR="00A03629">
        <w:t xml:space="preserve"> </w:t>
      </w:r>
      <w:r>
        <w:t>‘financial</w:t>
      </w:r>
      <w:r w:rsidR="00A03629">
        <w:t xml:space="preserve"> </w:t>
      </w:r>
      <w:proofErr w:type="gramStart"/>
      <w:r>
        <w:t>assets’</w:t>
      </w:r>
      <w:proofErr w:type="gramEnd"/>
      <w:r>
        <w:t>.</w:t>
      </w:r>
      <w:r w:rsidR="00A03629">
        <w:t xml:space="preserve"> </w:t>
      </w:r>
      <w:r>
        <w:t>It</w:t>
      </w:r>
      <w:r w:rsidR="00A03629">
        <w:t xml:space="preserve"> </w:t>
      </w:r>
      <w:r>
        <w:t>includes</w:t>
      </w:r>
      <w:r w:rsidR="00A03629">
        <w:t xml:space="preserve"> </w:t>
      </w:r>
      <w:r>
        <w:t>inventories,</w:t>
      </w:r>
      <w:r w:rsidR="00A03629">
        <w:t xml:space="preserve"> </w:t>
      </w:r>
      <w:r>
        <w:t>land,</w:t>
      </w:r>
      <w:r w:rsidR="00A03629">
        <w:t xml:space="preserve"> </w:t>
      </w:r>
      <w:r>
        <w:t>buildings,</w:t>
      </w:r>
      <w:r w:rsidR="00A03629">
        <w:t xml:space="preserve"> </w:t>
      </w:r>
      <w:r>
        <w:t>infrastructure,</w:t>
      </w:r>
      <w:r w:rsidR="00A03629">
        <w:t xml:space="preserve"> </w:t>
      </w:r>
      <w:r>
        <w:t>road</w:t>
      </w:r>
      <w:r w:rsidR="00A03629">
        <w:t xml:space="preserve"> </w:t>
      </w:r>
      <w:r>
        <w:t>networks,</w:t>
      </w:r>
      <w:r w:rsidR="00A03629">
        <w:t xml:space="preserve"> </w:t>
      </w:r>
      <w:r>
        <w:t>land</w:t>
      </w:r>
      <w:r w:rsidR="00A03629">
        <w:t xml:space="preserve"> </w:t>
      </w:r>
      <w:r>
        <w:t>under</w:t>
      </w:r>
      <w:r w:rsidR="00A03629">
        <w:t xml:space="preserve"> </w:t>
      </w:r>
      <w:r>
        <w:t>roads,</w:t>
      </w:r>
      <w:r w:rsidR="00A03629">
        <w:t xml:space="preserve"> </w:t>
      </w:r>
      <w:r>
        <w:t>plant</w:t>
      </w:r>
      <w:r w:rsidR="00A03629">
        <w:t xml:space="preserve"> </w:t>
      </w:r>
      <w:r>
        <w:t>and</w:t>
      </w:r>
      <w:r w:rsidR="00A03629">
        <w:t xml:space="preserve"> </w:t>
      </w:r>
      <w:r>
        <w:t>equipment,</w:t>
      </w:r>
      <w:r w:rsidR="00A03629">
        <w:t xml:space="preserve"> </w:t>
      </w:r>
      <w:r>
        <w:t>investment</w:t>
      </w:r>
      <w:r w:rsidR="00A03629">
        <w:t xml:space="preserve"> </w:t>
      </w:r>
      <w:r>
        <w:t>properties,</w:t>
      </w:r>
      <w:r w:rsidR="00A03629">
        <w:t xml:space="preserve"> </w:t>
      </w:r>
      <w:r>
        <w:t>cultural</w:t>
      </w:r>
      <w:r w:rsidR="00A03629">
        <w:t xml:space="preserve"> </w:t>
      </w:r>
      <w:r>
        <w:t>and</w:t>
      </w:r>
      <w:r w:rsidR="00A03629">
        <w:t xml:space="preserve"> </w:t>
      </w:r>
      <w:r>
        <w:t>heritage</w:t>
      </w:r>
      <w:r w:rsidR="00A03629">
        <w:t xml:space="preserve"> </w:t>
      </w:r>
      <w:r>
        <w:t>assets,</w:t>
      </w:r>
      <w:r w:rsidR="00A03629">
        <w:t xml:space="preserve"> </w:t>
      </w:r>
      <w:r>
        <w:t>intangible</w:t>
      </w:r>
      <w:r w:rsidR="00A03629">
        <w:t xml:space="preserve"> </w:t>
      </w:r>
      <w:r>
        <w:t>and</w:t>
      </w:r>
      <w:r w:rsidR="00A03629">
        <w:t xml:space="preserve"> </w:t>
      </w:r>
      <w:r>
        <w:t>biological</w:t>
      </w:r>
      <w:r w:rsidR="00A03629">
        <w:t xml:space="preserve"> </w:t>
      </w:r>
      <w:r>
        <w:t>assets.</w:t>
      </w:r>
    </w:p>
    <w:p w14:paraId="3E9C6FA2" w14:textId="1629CAFD" w:rsidR="000756EB" w:rsidRPr="00B4004A" w:rsidRDefault="004A4D88" w:rsidP="00B4004A">
      <w:pPr>
        <w:pStyle w:val="Normalbeforebullets"/>
        <w:rPr>
          <w:b/>
          <w:bCs/>
        </w:rPr>
      </w:pPr>
      <w:r w:rsidRPr="00B4004A">
        <w:rPr>
          <w:b/>
          <w:bCs/>
        </w:rPr>
        <w:t>Non-produced</w:t>
      </w:r>
      <w:r w:rsidR="00A03629" w:rsidRPr="00B4004A">
        <w:rPr>
          <w:b/>
          <w:bCs/>
        </w:rPr>
        <w:t xml:space="preserve"> </w:t>
      </w:r>
      <w:r w:rsidRPr="00B4004A">
        <w:rPr>
          <w:b/>
          <w:bCs/>
        </w:rPr>
        <w:t>assets</w:t>
      </w:r>
    </w:p>
    <w:p w14:paraId="12736D66" w14:textId="57CA4A44" w:rsidR="000756EB" w:rsidRDefault="004A4D88" w:rsidP="00B4004A">
      <w:r>
        <w:t>Non-produced</w:t>
      </w:r>
      <w:r w:rsidR="00A03629">
        <w:t xml:space="preserve"> </w:t>
      </w:r>
      <w:r>
        <w:t>assets</w:t>
      </w:r>
      <w:r w:rsidR="00A03629">
        <w:t xml:space="preserve"> </w:t>
      </w:r>
      <w:r>
        <w:t>are</w:t>
      </w:r>
      <w:r w:rsidR="00A03629">
        <w:t xml:space="preserve"> </w:t>
      </w:r>
      <w:r>
        <w:t>assets</w:t>
      </w:r>
      <w:r w:rsidR="00A03629">
        <w:t xml:space="preserve"> </w:t>
      </w:r>
      <w:r>
        <w:t>needed</w:t>
      </w:r>
      <w:r w:rsidR="00A03629">
        <w:t xml:space="preserve"> </w:t>
      </w:r>
      <w:r>
        <w:t>for</w:t>
      </w:r>
      <w:r w:rsidR="00A03629">
        <w:t xml:space="preserve"> </w:t>
      </w:r>
      <w:r>
        <w:t>production</w:t>
      </w:r>
      <w:r w:rsidR="00A03629">
        <w:t xml:space="preserve"> </w:t>
      </w:r>
      <w:r>
        <w:t>that</w:t>
      </w:r>
      <w:r w:rsidR="00A03629">
        <w:t xml:space="preserve"> </w:t>
      </w:r>
      <w:r>
        <w:t>have</w:t>
      </w:r>
      <w:r w:rsidR="00A03629">
        <w:t xml:space="preserve"> </w:t>
      </w:r>
      <w:r>
        <w:t>not</w:t>
      </w:r>
      <w:r w:rsidR="00A03629">
        <w:t xml:space="preserve"> </w:t>
      </w:r>
      <w:r>
        <w:t>themselves</w:t>
      </w:r>
      <w:r w:rsidR="00A03629">
        <w:t xml:space="preserve"> </w:t>
      </w:r>
      <w:r>
        <w:t>been</w:t>
      </w:r>
      <w:r w:rsidR="00A03629">
        <w:t xml:space="preserve"> </w:t>
      </w:r>
      <w:r>
        <w:t>produced.</w:t>
      </w:r>
      <w:r w:rsidR="00A03629">
        <w:t xml:space="preserve"> </w:t>
      </w:r>
      <w:r>
        <w:t>They</w:t>
      </w:r>
      <w:r w:rsidR="00A03629">
        <w:t xml:space="preserve"> </w:t>
      </w:r>
      <w:r>
        <w:t>include</w:t>
      </w:r>
      <w:r w:rsidR="00A03629">
        <w:t xml:space="preserve"> </w:t>
      </w:r>
      <w:r>
        <w:t>land,</w:t>
      </w:r>
      <w:r w:rsidR="00A03629">
        <w:t xml:space="preserve"> </w:t>
      </w:r>
      <w:r>
        <w:t>subsoil</w:t>
      </w:r>
      <w:r w:rsidR="00A03629">
        <w:t xml:space="preserve"> </w:t>
      </w:r>
      <w:r>
        <w:t>assets,</w:t>
      </w:r>
      <w:r w:rsidR="00A03629">
        <w:t xml:space="preserve"> </w:t>
      </w:r>
      <w:r>
        <w:t>and</w:t>
      </w:r>
      <w:r w:rsidR="00A03629">
        <w:t xml:space="preserve"> </w:t>
      </w:r>
      <w:r>
        <w:t>certain</w:t>
      </w:r>
      <w:r w:rsidR="00A03629">
        <w:t xml:space="preserve"> </w:t>
      </w:r>
      <w:r>
        <w:t>intangible</w:t>
      </w:r>
      <w:r w:rsidR="00A03629">
        <w:t xml:space="preserve"> </w:t>
      </w:r>
      <w:r>
        <w:t>assets.</w:t>
      </w:r>
      <w:r w:rsidR="00A03629">
        <w:t xml:space="preserve"> </w:t>
      </w:r>
      <w:r>
        <w:t>Non</w:t>
      </w:r>
      <w:r>
        <w:noBreakHyphen/>
        <w:t>produced</w:t>
      </w:r>
      <w:r w:rsidR="00A03629">
        <w:t xml:space="preserve"> </w:t>
      </w:r>
      <w:r>
        <w:t>intangibles</w:t>
      </w:r>
      <w:r w:rsidR="00A03629">
        <w:t xml:space="preserve"> </w:t>
      </w:r>
      <w:r>
        <w:t>are</w:t>
      </w:r>
      <w:r w:rsidR="00A03629">
        <w:t xml:space="preserve"> </w:t>
      </w:r>
      <w:r>
        <w:t>intangible</w:t>
      </w:r>
      <w:r w:rsidR="00A03629">
        <w:t xml:space="preserve"> </w:t>
      </w:r>
      <w:r>
        <w:t>assets</w:t>
      </w:r>
      <w:r w:rsidR="00A03629">
        <w:t xml:space="preserve"> </w:t>
      </w:r>
      <w:r>
        <w:t>needed</w:t>
      </w:r>
      <w:r w:rsidR="00A03629">
        <w:t xml:space="preserve"> </w:t>
      </w:r>
      <w:r>
        <w:t>for</w:t>
      </w:r>
      <w:r w:rsidR="00A03629">
        <w:t xml:space="preserve"> </w:t>
      </w:r>
      <w:r>
        <w:t>production</w:t>
      </w:r>
      <w:r w:rsidR="00A03629">
        <w:t xml:space="preserve"> </w:t>
      </w:r>
      <w:r>
        <w:t>that</w:t>
      </w:r>
      <w:r w:rsidR="00A03629">
        <w:t xml:space="preserve"> </w:t>
      </w:r>
      <w:r>
        <w:t>have</w:t>
      </w:r>
      <w:r w:rsidR="00A03629">
        <w:t xml:space="preserve"> </w:t>
      </w:r>
      <w:r>
        <w:t>not</w:t>
      </w:r>
      <w:r w:rsidR="00A03629">
        <w:t xml:space="preserve"> </w:t>
      </w:r>
      <w:r>
        <w:t>themselves</w:t>
      </w:r>
      <w:r w:rsidR="00A03629">
        <w:t xml:space="preserve"> </w:t>
      </w:r>
      <w:r>
        <w:t>been</w:t>
      </w:r>
      <w:r w:rsidR="00A03629">
        <w:t xml:space="preserve"> </w:t>
      </w:r>
      <w:r>
        <w:t>produced.</w:t>
      </w:r>
      <w:r w:rsidR="00A03629">
        <w:t xml:space="preserve"> </w:t>
      </w:r>
      <w:r>
        <w:t>They</w:t>
      </w:r>
      <w:r w:rsidR="00A03629">
        <w:t xml:space="preserve"> </w:t>
      </w:r>
      <w:r>
        <w:t>include</w:t>
      </w:r>
      <w:r w:rsidR="00A03629">
        <w:t xml:space="preserve"> </w:t>
      </w:r>
      <w:r>
        <w:t>constructs</w:t>
      </w:r>
      <w:r w:rsidR="00A03629">
        <w:t xml:space="preserve"> </w:t>
      </w:r>
      <w:r>
        <w:t>of</w:t>
      </w:r>
      <w:r w:rsidR="00A03629">
        <w:t xml:space="preserve"> </w:t>
      </w:r>
      <w:r>
        <w:t>society</w:t>
      </w:r>
      <w:r w:rsidR="00A03629">
        <w:t xml:space="preserve"> </w:t>
      </w:r>
      <w:r>
        <w:t>such</w:t>
      </w:r>
      <w:r w:rsidR="00A03629">
        <w:t xml:space="preserve"> </w:t>
      </w:r>
      <w:r>
        <w:t>as</w:t>
      </w:r>
      <w:r w:rsidR="00A03629">
        <w:t xml:space="preserve"> </w:t>
      </w:r>
      <w:r>
        <w:t>patents.</w:t>
      </w:r>
    </w:p>
    <w:p w14:paraId="7138A9D5" w14:textId="09A938B8" w:rsidR="000756EB" w:rsidRPr="00B4004A" w:rsidRDefault="004A4D88" w:rsidP="00B4004A">
      <w:pPr>
        <w:pStyle w:val="Normalbeforebullets"/>
        <w:rPr>
          <w:b/>
          <w:bCs/>
        </w:rPr>
      </w:pPr>
      <w:r w:rsidRPr="00B4004A">
        <w:rPr>
          <w:b/>
          <w:bCs/>
        </w:rPr>
        <w:t>Other</w:t>
      </w:r>
      <w:r w:rsidR="00A03629" w:rsidRPr="00B4004A">
        <w:rPr>
          <w:b/>
          <w:bCs/>
        </w:rPr>
        <w:t xml:space="preserve"> </w:t>
      </w:r>
      <w:r w:rsidRPr="00B4004A">
        <w:rPr>
          <w:b/>
          <w:bCs/>
        </w:rPr>
        <w:t>economic</w:t>
      </w:r>
      <w:r w:rsidR="00A03629" w:rsidRPr="00B4004A">
        <w:rPr>
          <w:b/>
          <w:bCs/>
        </w:rPr>
        <w:t xml:space="preserve"> </w:t>
      </w:r>
      <w:r w:rsidRPr="00B4004A">
        <w:rPr>
          <w:b/>
          <w:bCs/>
        </w:rPr>
        <w:t>flows</w:t>
      </w:r>
      <w:r w:rsidR="00A03629" w:rsidRPr="00B4004A">
        <w:rPr>
          <w:b/>
          <w:bCs/>
        </w:rPr>
        <w:t xml:space="preserve"> </w:t>
      </w:r>
      <w:r w:rsidRPr="00B4004A">
        <w:rPr>
          <w:b/>
          <w:bCs/>
        </w:rPr>
        <w:t>–</w:t>
      </w:r>
      <w:r w:rsidR="00A03629" w:rsidRPr="00B4004A">
        <w:rPr>
          <w:b/>
          <w:bCs/>
        </w:rPr>
        <w:t xml:space="preserve"> </w:t>
      </w:r>
      <w:r w:rsidRPr="00B4004A">
        <w:rPr>
          <w:b/>
          <w:bCs/>
        </w:rPr>
        <w:t>other</w:t>
      </w:r>
      <w:r w:rsidR="00A03629" w:rsidRPr="00B4004A">
        <w:rPr>
          <w:b/>
          <w:bCs/>
        </w:rPr>
        <w:t xml:space="preserve"> </w:t>
      </w:r>
      <w:r w:rsidRPr="00B4004A">
        <w:rPr>
          <w:b/>
          <w:bCs/>
        </w:rPr>
        <w:t>comprehensive</w:t>
      </w:r>
      <w:r w:rsidR="00A03629" w:rsidRPr="00B4004A">
        <w:rPr>
          <w:b/>
          <w:bCs/>
        </w:rPr>
        <w:t xml:space="preserve"> </w:t>
      </w:r>
      <w:r w:rsidRPr="00B4004A">
        <w:rPr>
          <w:b/>
          <w:bCs/>
        </w:rPr>
        <w:t>income</w:t>
      </w:r>
    </w:p>
    <w:p w14:paraId="25D85108" w14:textId="14539670" w:rsidR="000756EB" w:rsidRDefault="004A4D88" w:rsidP="00B4004A">
      <w:r>
        <w:t>Other</w:t>
      </w:r>
      <w:r w:rsidR="00A03629">
        <w:t xml:space="preserve"> </w:t>
      </w:r>
      <w:r>
        <w:t>economic</w:t>
      </w:r>
      <w:r w:rsidR="00A03629">
        <w:t xml:space="preserve"> </w:t>
      </w:r>
      <w:r>
        <w:t>flows</w:t>
      </w:r>
      <w:r w:rsidR="00A03629">
        <w:t xml:space="preserve"> </w:t>
      </w:r>
      <w:r>
        <w:t>–</w:t>
      </w:r>
      <w:r w:rsidR="00A03629">
        <w:t xml:space="preserve"> </w:t>
      </w:r>
      <w:r>
        <w:t>other</w:t>
      </w:r>
      <w:r w:rsidR="00A03629">
        <w:t xml:space="preserve"> </w:t>
      </w:r>
      <w:r>
        <w:t>comprehensive</w:t>
      </w:r>
      <w:r w:rsidR="00A03629">
        <w:t xml:space="preserve"> </w:t>
      </w:r>
      <w:r>
        <w:t>income</w:t>
      </w:r>
      <w:r w:rsidR="00A03629">
        <w:t xml:space="preserve"> </w:t>
      </w:r>
      <w:r>
        <w:t>comprises</w:t>
      </w:r>
      <w:r w:rsidR="00A03629">
        <w:t xml:space="preserve"> </w:t>
      </w:r>
      <w:r>
        <w:t>items</w:t>
      </w:r>
      <w:r w:rsidR="00A03629">
        <w:t xml:space="preserve"> </w:t>
      </w:r>
      <w:r>
        <w:t>(including</w:t>
      </w:r>
      <w:r w:rsidR="00A03629">
        <w:t xml:space="preserve"> </w:t>
      </w:r>
      <w:r>
        <w:t>reclassification</w:t>
      </w:r>
      <w:r w:rsidR="00A03629">
        <w:t xml:space="preserve"> </w:t>
      </w:r>
      <w:r>
        <w:t>adjustments)</w:t>
      </w:r>
      <w:r w:rsidR="00A03629">
        <w:t xml:space="preserve"> </w:t>
      </w:r>
      <w:r>
        <w:t>that</w:t>
      </w:r>
      <w:r w:rsidR="00A03629">
        <w:t xml:space="preserve"> </w:t>
      </w:r>
      <w:r>
        <w:t>are</w:t>
      </w:r>
      <w:r w:rsidR="00A03629">
        <w:t xml:space="preserve"> </w:t>
      </w:r>
      <w:r>
        <w:t>not</w:t>
      </w:r>
      <w:r w:rsidR="00A03629">
        <w:t xml:space="preserve"> </w:t>
      </w:r>
      <w:r>
        <w:t>recognised</w:t>
      </w:r>
      <w:r w:rsidR="00A03629">
        <w:t xml:space="preserve"> </w:t>
      </w:r>
      <w:r>
        <w:t>in</w:t>
      </w:r>
      <w:r w:rsidR="00A03629">
        <w:t xml:space="preserve"> </w:t>
      </w:r>
      <w:r>
        <w:t>net</w:t>
      </w:r>
      <w:r w:rsidR="00A03629">
        <w:t xml:space="preserve"> </w:t>
      </w:r>
      <w:r>
        <w:t>result</w:t>
      </w:r>
      <w:r w:rsidR="00A03629">
        <w:t xml:space="preserve"> </w:t>
      </w:r>
      <w:r>
        <w:t>as</w:t>
      </w:r>
      <w:r w:rsidR="00A03629">
        <w:t xml:space="preserve"> </w:t>
      </w:r>
      <w:r>
        <w:t>required</w:t>
      </w:r>
      <w:r w:rsidR="00A03629">
        <w:t xml:space="preserve"> </w:t>
      </w:r>
      <w:r>
        <w:t>or</w:t>
      </w:r>
      <w:r w:rsidR="00A03629">
        <w:t xml:space="preserve"> </w:t>
      </w:r>
      <w:r>
        <w:t>permitted</w:t>
      </w:r>
      <w:r w:rsidR="00A03629">
        <w:t xml:space="preserve"> </w:t>
      </w:r>
      <w:r>
        <w:t>by</w:t>
      </w:r>
      <w:r w:rsidR="00A03629">
        <w:t xml:space="preserve"> </w:t>
      </w:r>
      <w:r>
        <w:t>other</w:t>
      </w:r>
      <w:r w:rsidR="00A03629">
        <w:t xml:space="preserve"> </w:t>
      </w:r>
      <w:r>
        <w:t>Australian</w:t>
      </w:r>
      <w:r w:rsidR="00A03629">
        <w:t xml:space="preserve"> </w:t>
      </w:r>
      <w:r>
        <w:t>Accounting</w:t>
      </w:r>
      <w:r w:rsidR="00A03629">
        <w:t xml:space="preserve"> </w:t>
      </w:r>
      <w:r>
        <w:t>Standards.</w:t>
      </w:r>
    </w:p>
    <w:p w14:paraId="76A97519" w14:textId="7A3704DD" w:rsidR="000756EB" w:rsidRDefault="004A4D88" w:rsidP="00B4004A">
      <w:pPr>
        <w:pStyle w:val="Normalbeforebullets"/>
      </w:pPr>
      <w:r>
        <w:t>The</w:t>
      </w:r>
      <w:r w:rsidR="00A03629">
        <w:t xml:space="preserve"> </w:t>
      </w:r>
      <w:r>
        <w:t>components</w:t>
      </w:r>
      <w:r w:rsidR="00A03629">
        <w:t xml:space="preserve"> </w:t>
      </w:r>
      <w:r>
        <w:t>of</w:t>
      </w:r>
      <w:r w:rsidR="00A03629">
        <w:t xml:space="preserve"> </w:t>
      </w:r>
      <w:r>
        <w:t>other</w:t>
      </w:r>
      <w:r w:rsidR="00A03629">
        <w:t xml:space="preserve"> </w:t>
      </w:r>
      <w:r>
        <w:t>economic</w:t>
      </w:r>
      <w:r w:rsidR="00A03629">
        <w:t xml:space="preserve"> </w:t>
      </w:r>
      <w:r>
        <w:t>flows</w:t>
      </w:r>
      <w:r w:rsidR="00A03629">
        <w:t xml:space="preserve"> </w:t>
      </w:r>
      <w:r>
        <w:t>–</w:t>
      </w:r>
      <w:r w:rsidR="00A03629">
        <w:t xml:space="preserve"> </w:t>
      </w:r>
      <w:r>
        <w:t>other</w:t>
      </w:r>
      <w:r w:rsidR="00A03629">
        <w:rPr>
          <w:rFonts w:ascii="Cambria" w:hAnsi="Cambria" w:cs="Cambria"/>
        </w:rPr>
        <w:t xml:space="preserve"> </w:t>
      </w:r>
      <w:r>
        <w:t>comprehensive</w:t>
      </w:r>
      <w:r w:rsidR="00A03629">
        <w:t xml:space="preserve"> </w:t>
      </w:r>
      <w:r>
        <w:t>income</w:t>
      </w:r>
      <w:r w:rsidR="00A03629">
        <w:t xml:space="preserve"> </w:t>
      </w:r>
      <w:r>
        <w:t>include:</w:t>
      </w:r>
    </w:p>
    <w:p w14:paraId="5DFE2E13" w14:textId="4ED6ADA4" w:rsidR="000756EB" w:rsidRDefault="004A4D88" w:rsidP="00B4004A">
      <w:pPr>
        <w:pStyle w:val="Bullet"/>
      </w:pPr>
      <w:r>
        <w:t>changes</w:t>
      </w:r>
      <w:r w:rsidR="00A03629">
        <w:t xml:space="preserve"> </w:t>
      </w:r>
      <w:r>
        <w:t>in</w:t>
      </w:r>
      <w:r w:rsidR="00A03629">
        <w:t xml:space="preserve"> </w:t>
      </w:r>
      <w:r>
        <w:t>physical</w:t>
      </w:r>
      <w:r w:rsidR="00A03629">
        <w:t xml:space="preserve"> </w:t>
      </w:r>
      <w:r>
        <w:t>asset</w:t>
      </w:r>
      <w:r w:rsidR="00A03629">
        <w:t xml:space="preserve"> </w:t>
      </w:r>
      <w:r>
        <w:t>revaluation</w:t>
      </w:r>
      <w:r w:rsidR="00A03629">
        <w:t xml:space="preserve"> </w:t>
      </w:r>
      <w:r>
        <w:t>surplus,</w:t>
      </w:r>
    </w:p>
    <w:p w14:paraId="7B3A819D" w14:textId="78B2073E" w:rsidR="000756EB" w:rsidRDefault="004A4D88" w:rsidP="00B4004A">
      <w:pPr>
        <w:pStyle w:val="Bullet"/>
      </w:pPr>
      <w:r>
        <w:t>share</w:t>
      </w:r>
      <w:r w:rsidR="00A03629">
        <w:t xml:space="preserve"> </w:t>
      </w:r>
      <w:r>
        <w:t>of</w:t>
      </w:r>
      <w:r w:rsidR="00A03629">
        <w:t xml:space="preserve"> </w:t>
      </w:r>
      <w:r>
        <w:t>net</w:t>
      </w:r>
      <w:r w:rsidR="00A03629">
        <w:t xml:space="preserve"> </w:t>
      </w:r>
      <w:r>
        <w:t>movement</w:t>
      </w:r>
      <w:r w:rsidR="00A03629">
        <w:t xml:space="preserve"> </w:t>
      </w:r>
      <w:r>
        <w:t>in</w:t>
      </w:r>
      <w:r w:rsidR="00A03629">
        <w:t xml:space="preserve"> </w:t>
      </w:r>
      <w:r>
        <w:t>revaluation</w:t>
      </w:r>
      <w:r w:rsidR="00A03629">
        <w:t xml:space="preserve"> </w:t>
      </w:r>
      <w:r>
        <w:t>surplus</w:t>
      </w:r>
      <w:r w:rsidR="00A03629">
        <w:t xml:space="preserve"> </w:t>
      </w:r>
      <w:r>
        <w:t>of</w:t>
      </w:r>
      <w:r w:rsidR="00A03629">
        <w:rPr>
          <w:rFonts w:ascii="Cambria" w:hAnsi="Cambria" w:cs="Cambria"/>
        </w:rPr>
        <w:t xml:space="preserve"> </w:t>
      </w:r>
      <w:r>
        <w:t>associates</w:t>
      </w:r>
      <w:r w:rsidR="00A03629">
        <w:t xml:space="preserve"> </w:t>
      </w:r>
      <w:r>
        <w:t>and</w:t>
      </w:r>
      <w:r w:rsidR="00A03629">
        <w:t xml:space="preserve"> </w:t>
      </w:r>
      <w:r>
        <w:t>joint</w:t>
      </w:r>
      <w:r w:rsidR="00A03629">
        <w:t xml:space="preserve"> </w:t>
      </w:r>
      <w:r>
        <w:t>ventures,</w:t>
      </w:r>
      <w:r w:rsidR="00A03629">
        <w:t xml:space="preserve"> </w:t>
      </w:r>
      <w:r>
        <w:t>and</w:t>
      </w:r>
    </w:p>
    <w:p w14:paraId="0E8B67C3" w14:textId="1FF7E7D9" w:rsidR="000756EB" w:rsidRDefault="004A4D88" w:rsidP="00B4004A">
      <w:pPr>
        <w:pStyle w:val="Bulletlast"/>
      </w:pPr>
      <w:r>
        <w:t>gains</w:t>
      </w:r>
      <w:r w:rsidR="00A03629">
        <w:t xml:space="preserve"> </w:t>
      </w:r>
      <w:r>
        <w:t>and</w:t>
      </w:r>
      <w:r w:rsidR="00A03629">
        <w:t xml:space="preserve"> </w:t>
      </w:r>
      <w:r>
        <w:t>losses</w:t>
      </w:r>
      <w:r w:rsidR="00A03629">
        <w:t xml:space="preserve"> </w:t>
      </w:r>
      <w:r>
        <w:t>on</w:t>
      </w:r>
      <w:r w:rsidR="00A03629">
        <w:t xml:space="preserve"> </w:t>
      </w:r>
      <w:r>
        <w:t>remeasuring</w:t>
      </w:r>
      <w:r w:rsidR="00A03629">
        <w:t xml:space="preserve"> </w:t>
      </w:r>
      <w:r>
        <w:t>available</w:t>
      </w:r>
      <w:r>
        <w:noBreakHyphen/>
        <w:t>for</w:t>
      </w:r>
      <w:r>
        <w:noBreakHyphen/>
        <w:t>sale</w:t>
      </w:r>
      <w:r w:rsidR="00A03629">
        <w:t xml:space="preserve"> </w:t>
      </w:r>
      <w:r>
        <w:t>financial</w:t>
      </w:r>
      <w:r w:rsidR="00A03629">
        <w:t xml:space="preserve"> </w:t>
      </w:r>
      <w:r>
        <w:t>assets.</w:t>
      </w:r>
    </w:p>
    <w:p w14:paraId="151863E8" w14:textId="2DC548AB" w:rsidR="000756EB" w:rsidRPr="00B4004A" w:rsidRDefault="004A4D88" w:rsidP="00B4004A">
      <w:pPr>
        <w:pStyle w:val="Normalbeforebullets"/>
        <w:rPr>
          <w:b/>
          <w:bCs/>
        </w:rPr>
      </w:pPr>
      <w:r w:rsidRPr="00B4004A">
        <w:rPr>
          <w:b/>
          <w:bCs/>
        </w:rPr>
        <w:t>Produced</w:t>
      </w:r>
      <w:r w:rsidR="00A03629" w:rsidRPr="00B4004A">
        <w:rPr>
          <w:b/>
          <w:bCs/>
        </w:rPr>
        <w:t xml:space="preserve"> </w:t>
      </w:r>
      <w:r w:rsidRPr="00B4004A">
        <w:rPr>
          <w:b/>
          <w:bCs/>
        </w:rPr>
        <w:t>assets</w:t>
      </w:r>
    </w:p>
    <w:p w14:paraId="63BD7A5E" w14:textId="3C1E6BC0" w:rsidR="000756EB" w:rsidRDefault="004A4D88" w:rsidP="00B4004A">
      <w:r>
        <w:t>Produced</w:t>
      </w:r>
      <w:r w:rsidR="00A03629">
        <w:t xml:space="preserve"> </w:t>
      </w:r>
      <w:r>
        <w:t>assets</w:t>
      </w:r>
      <w:r w:rsidR="00A03629">
        <w:t xml:space="preserve"> </w:t>
      </w:r>
      <w:r>
        <w:t>include</w:t>
      </w:r>
      <w:r w:rsidR="00A03629">
        <w:t xml:space="preserve"> </w:t>
      </w:r>
      <w:r>
        <w:t>buildings,</w:t>
      </w:r>
      <w:r w:rsidR="00A03629">
        <w:t xml:space="preserve"> </w:t>
      </w:r>
      <w:r>
        <w:t>plant</w:t>
      </w:r>
      <w:r w:rsidR="00A03629">
        <w:t xml:space="preserve"> </w:t>
      </w:r>
      <w:r>
        <w:t>and</w:t>
      </w:r>
      <w:r w:rsidR="00A03629">
        <w:t xml:space="preserve"> </w:t>
      </w:r>
      <w:r>
        <w:t>equipment,</w:t>
      </w:r>
      <w:r w:rsidR="00A03629">
        <w:t xml:space="preserve"> </w:t>
      </w:r>
      <w:r>
        <w:t>inventories,</w:t>
      </w:r>
      <w:r w:rsidR="00A03629">
        <w:t xml:space="preserve"> </w:t>
      </w:r>
      <w:r>
        <w:t>cultivated</w:t>
      </w:r>
      <w:r w:rsidR="00A03629">
        <w:t xml:space="preserve"> </w:t>
      </w:r>
      <w:r>
        <w:t>assets</w:t>
      </w:r>
      <w:r w:rsidR="00A03629">
        <w:t xml:space="preserve"> </w:t>
      </w:r>
      <w:r>
        <w:t>and</w:t>
      </w:r>
      <w:r w:rsidR="00A03629">
        <w:t xml:space="preserve"> </w:t>
      </w:r>
      <w:r>
        <w:t>certain</w:t>
      </w:r>
      <w:r w:rsidR="00A03629">
        <w:rPr>
          <w:rFonts w:ascii="Cambria" w:hAnsi="Cambria" w:cs="Cambria"/>
        </w:rPr>
        <w:t xml:space="preserve"> </w:t>
      </w:r>
      <w:r>
        <w:t>intangible</w:t>
      </w:r>
      <w:r w:rsidR="00A03629">
        <w:t xml:space="preserve"> </w:t>
      </w:r>
      <w:r>
        <w:t>assets.</w:t>
      </w:r>
      <w:r w:rsidR="00A03629">
        <w:t xml:space="preserve"> </w:t>
      </w:r>
      <w:r>
        <w:t>Intangible</w:t>
      </w:r>
      <w:r w:rsidR="00A03629">
        <w:t xml:space="preserve"> </w:t>
      </w:r>
      <w:r>
        <w:t>produced</w:t>
      </w:r>
      <w:r w:rsidR="00A03629">
        <w:t xml:space="preserve"> </w:t>
      </w:r>
      <w:r>
        <w:t>assets</w:t>
      </w:r>
      <w:r w:rsidR="00A03629">
        <w:rPr>
          <w:rFonts w:ascii="Cambria" w:hAnsi="Cambria" w:cs="Cambria"/>
        </w:rPr>
        <w:t xml:space="preserve"> </w:t>
      </w:r>
      <w:r>
        <w:t>may</w:t>
      </w:r>
      <w:r w:rsidR="00A03629">
        <w:t xml:space="preserve"> </w:t>
      </w:r>
      <w:r>
        <w:t>include</w:t>
      </w:r>
      <w:r w:rsidR="00A03629">
        <w:t xml:space="preserve"> </w:t>
      </w:r>
      <w:r>
        <w:t>computer</w:t>
      </w:r>
      <w:r w:rsidR="00A03629">
        <w:t xml:space="preserve"> </w:t>
      </w:r>
      <w:r>
        <w:t>software,</w:t>
      </w:r>
      <w:r w:rsidR="00A03629">
        <w:t xml:space="preserve"> </w:t>
      </w:r>
      <w:r>
        <w:t>motion</w:t>
      </w:r>
      <w:r w:rsidR="00A03629">
        <w:t xml:space="preserve"> </w:t>
      </w:r>
      <w:r>
        <w:t>picture</w:t>
      </w:r>
      <w:r w:rsidR="00A03629">
        <w:t xml:space="preserve"> </w:t>
      </w:r>
      <w:r>
        <w:t>films,</w:t>
      </w:r>
      <w:r w:rsidR="00A03629">
        <w:t xml:space="preserve"> </w:t>
      </w:r>
      <w:r>
        <w:t>and</w:t>
      </w:r>
      <w:r w:rsidR="00A03629">
        <w:t xml:space="preserve"> </w:t>
      </w:r>
      <w:r>
        <w:t>research</w:t>
      </w:r>
      <w:r w:rsidR="00A03629">
        <w:t xml:space="preserve"> </w:t>
      </w:r>
      <w:r>
        <w:t>and</w:t>
      </w:r>
      <w:r w:rsidR="00A03629">
        <w:t xml:space="preserve"> </w:t>
      </w:r>
      <w:r>
        <w:t>development</w:t>
      </w:r>
      <w:r w:rsidR="00A03629">
        <w:t xml:space="preserve"> </w:t>
      </w:r>
      <w:r>
        <w:t>costs</w:t>
      </w:r>
      <w:r w:rsidR="00A03629">
        <w:t xml:space="preserve"> </w:t>
      </w:r>
      <w:r>
        <w:t>(which</w:t>
      </w:r>
      <w:r w:rsidR="00A03629">
        <w:t xml:space="preserve"> </w:t>
      </w:r>
      <w:r>
        <w:t>does</w:t>
      </w:r>
      <w:r w:rsidR="00A03629">
        <w:t xml:space="preserve"> </w:t>
      </w:r>
      <w:r>
        <w:t>not</w:t>
      </w:r>
      <w:r w:rsidR="00A03629">
        <w:t xml:space="preserve"> </w:t>
      </w:r>
      <w:r>
        <w:t>include</w:t>
      </w:r>
      <w:r w:rsidR="00A03629">
        <w:t xml:space="preserve"> </w:t>
      </w:r>
      <w:r>
        <w:t>the</w:t>
      </w:r>
      <w:r w:rsidR="00A03629">
        <w:t xml:space="preserve"> </w:t>
      </w:r>
      <w:r>
        <w:t>start-up</w:t>
      </w:r>
      <w:r w:rsidR="00A03629">
        <w:t xml:space="preserve"> </w:t>
      </w:r>
      <w:r>
        <w:t>costs</w:t>
      </w:r>
      <w:r w:rsidR="00A03629">
        <w:t xml:space="preserve"> </w:t>
      </w:r>
      <w:r>
        <w:t>associated</w:t>
      </w:r>
      <w:r w:rsidR="00A03629">
        <w:t xml:space="preserve"> </w:t>
      </w:r>
      <w:r>
        <w:t>with</w:t>
      </w:r>
      <w:r w:rsidR="00A03629">
        <w:t xml:space="preserve"> </w:t>
      </w:r>
      <w:r>
        <w:t>capital</w:t>
      </w:r>
      <w:r w:rsidR="00A03629">
        <w:t xml:space="preserve"> </w:t>
      </w:r>
      <w:r>
        <w:t>projects).</w:t>
      </w:r>
    </w:p>
    <w:p w14:paraId="770C661A" w14:textId="567B4C4F" w:rsidR="000756EB" w:rsidRPr="00B4004A" w:rsidRDefault="004A4D88" w:rsidP="00B4004A">
      <w:pPr>
        <w:pStyle w:val="Normalbeforebullets"/>
        <w:rPr>
          <w:b/>
          <w:bCs/>
        </w:rPr>
      </w:pPr>
      <w:r w:rsidRPr="00B4004A">
        <w:rPr>
          <w:b/>
          <w:bCs/>
        </w:rPr>
        <w:t>Sale</w:t>
      </w:r>
      <w:r w:rsidR="00A03629" w:rsidRPr="00B4004A">
        <w:rPr>
          <w:b/>
          <w:bCs/>
        </w:rPr>
        <w:t xml:space="preserve"> </w:t>
      </w:r>
      <w:r w:rsidRPr="00B4004A">
        <w:rPr>
          <w:b/>
          <w:bCs/>
        </w:rPr>
        <w:t>of</w:t>
      </w:r>
      <w:r w:rsidR="00A03629" w:rsidRPr="00B4004A">
        <w:rPr>
          <w:b/>
          <w:bCs/>
        </w:rPr>
        <w:t xml:space="preserve"> </w:t>
      </w:r>
      <w:r w:rsidRPr="00B4004A">
        <w:rPr>
          <w:b/>
          <w:bCs/>
        </w:rPr>
        <w:t>goods</w:t>
      </w:r>
      <w:r w:rsidR="00A03629" w:rsidRPr="00B4004A">
        <w:rPr>
          <w:b/>
          <w:bCs/>
        </w:rPr>
        <w:t xml:space="preserve"> </w:t>
      </w:r>
      <w:r w:rsidRPr="00B4004A">
        <w:rPr>
          <w:b/>
          <w:bCs/>
        </w:rPr>
        <w:t>and</w:t>
      </w:r>
      <w:r w:rsidR="00A03629" w:rsidRPr="00B4004A">
        <w:rPr>
          <w:b/>
          <w:bCs/>
        </w:rPr>
        <w:t xml:space="preserve"> </w:t>
      </w:r>
      <w:r w:rsidRPr="00B4004A">
        <w:rPr>
          <w:b/>
          <w:bCs/>
        </w:rPr>
        <w:t>services</w:t>
      </w:r>
    </w:p>
    <w:p w14:paraId="31B5DA40" w14:textId="2E890617" w:rsidR="000756EB" w:rsidRDefault="004A4D88" w:rsidP="00B4004A">
      <w:r>
        <w:t>Refers</w:t>
      </w:r>
      <w:r w:rsidR="00A03629">
        <w:t xml:space="preserve"> </w:t>
      </w:r>
      <w:r>
        <w:t>to</w:t>
      </w:r>
      <w:r w:rsidR="00A03629">
        <w:t xml:space="preserve"> </w:t>
      </w:r>
      <w:r>
        <w:t>income</w:t>
      </w:r>
      <w:r w:rsidR="00A03629">
        <w:t xml:space="preserve"> </w:t>
      </w:r>
      <w:r>
        <w:t>from</w:t>
      </w:r>
      <w:r w:rsidR="00A03629">
        <w:t xml:space="preserve"> </w:t>
      </w:r>
      <w:r>
        <w:t>the</w:t>
      </w:r>
      <w:r w:rsidR="00A03629">
        <w:t xml:space="preserve"> </w:t>
      </w:r>
      <w:r>
        <w:t>direct</w:t>
      </w:r>
      <w:r w:rsidR="00A03629">
        <w:t xml:space="preserve"> </w:t>
      </w:r>
      <w:r>
        <w:t>provision</w:t>
      </w:r>
      <w:r w:rsidR="00A03629">
        <w:t xml:space="preserve"> </w:t>
      </w:r>
      <w:r>
        <w:t>of</w:t>
      </w:r>
      <w:r w:rsidR="00A03629">
        <w:t xml:space="preserve"> </w:t>
      </w:r>
      <w:r>
        <w:t>goods</w:t>
      </w:r>
      <w:r w:rsidR="00A03629">
        <w:t xml:space="preserve"> </w:t>
      </w:r>
      <w:r>
        <w:t>and</w:t>
      </w:r>
      <w:r w:rsidR="00A03629">
        <w:t xml:space="preserve"> </w:t>
      </w:r>
      <w:r>
        <w:t>services</w:t>
      </w:r>
      <w:r w:rsidR="00A03629">
        <w:t xml:space="preserve"> </w:t>
      </w:r>
      <w:r>
        <w:t>and</w:t>
      </w:r>
      <w:r w:rsidR="00A03629">
        <w:t xml:space="preserve"> </w:t>
      </w:r>
      <w:r>
        <w:t>includes</w:t>
      </w:r>
      <w:r w:rsidR="00A03629">
        <w:t xml:space="preserve"> </w:t>
      </w:r>
      <w:r>
        <w:t>fees</w:t>
      </w:r>
      <w:r w:rsidR="00A03629">
        <w:t xml:space="preserve"> </w:t>
      </w:r>
      <w:r>
        <w:t>and</w:t>
      </w:r>
      <w:r w:rsidR="00A03629">
        <w:t xml:space="preserve"> </w:t>
      </w:r>
      <w:r>
        <w:t>charges</w:t>
      </w:r>
      <w:r w:rsidR="00A03629">
        <w:t xml:space="preserve"> </w:t>
      </w:r>
      <w:r>
        <w:t>for</w:t>
      </w:r>
      <w:r w:rsidR="00A03629">
        <w:t xml:space="preserve"> </w:t>
      </w:r>
      <w:r>
        <w:t>services</w:t>
      </w:r>
      <w:r w:rsidR="00A03629">
        <w:t xml:space="preserve"> </w:t>
      </w:r>
      <w:r>
        <w:t>rendered,</w:t>
      </w:r>
      <w:r w:rsidR="00A03629">
        <w:t xml:space="preserve"> </w:t>
      </w:r>
      <w:r>
        <w:t>sales</w:t>
      </w:r>
      <w:r w:rsidR="00A03629">
        <w:t xml:space="preserve"> </w:t>
      </w:r>
      <w:r>
        <w:t>of</w:t>
      </w:r>
      <w:r w:rsidR="00A03629">
        <w:t xml:space="preserve"> </w:t>
      </w:r>
      <w:r>
        <w:t>goods</w:t>
      </w:r>
      <w:r w:rsidR="00A03629">
        <w:t xml:space="preserve"> </w:t>
      </w:r>
      <w:r>
        <w:t>and</w:t>
      </w:r>
      <w:r w:rsidR="00A03629">
        <w:t xml:space="preserve"> </w:t>
      </w:r>
      <w:r>
        <w:t>services,</w:t>
      </w:r>
      <w:r w:rsidR="00A03629">
        <w:t xml:space="preserve"> </w:t>
      </w:r>
      <w:r>
        <w:t>fees</w:t>
      </w:r>
      <w:r w:rsidR="00A03629">
        <w:t xml:space="preserve"> </w:t>
      </w:r>
      <w:r>
        <w:t>from</w:t>
      </w:r>
      <w:r w:rsidR="00A03629">
        <w:t xml:space="preserve"> </w:t>
      </w:r>
      <w:r>
        <w:t>regulatory</w:t>
      </w:r>
      <w:r w:rsidR="00A03629">
        <w:t xml:space="preserve"> </w:t>
      </w:r>
      <w:r>
        <w:t>services,</w:t>
      </w:r>
      <w:r w:rsidR="00A03629">
        <w:t xml:space="preserve"> </w:t>
      </w:r>
      <w:r>
        <w:t>work</w:t>
      </w:r>
      <w:r w:rsidR="00A03629">
        <w:t xml:space="preserve"> </w:t>
      </w:r>
      <w:r>
        <w:t>done</w:t>
      </w:r>
      <w:r w:rsidR="00A03629">
        <w:t xml:space="preserve"> </w:t>
      </w:r>
      <w:r>
        <w:t>as</w:t>
      </w:r>
      <w:r w:rsidR="00A03629">
        <w:t xml:space="preserve"> </w:t>
      </w:r>
      <w:r>
        <w:t>an</w:t>
      </w:r>
      <w:r w:rsidR="00A03629">
        <w:t xml:space="preserve"> </w:t>
      </w:r>
      <w:r>
        <w:t>agent</w:t>
      </w:r>
      <w:r w:rsidR="00A03629">
        <w:t xml:space="preserve"> </w:t>
      </w:r>
      <w:r>
        <w:t>for</w:t>
      </w:r>
      <w:r w:rsidR="00A03629">
        <w:t xml:space="preserve"> </w:t>
      </w:r>
      <w:r>
        <w:t>private</w:t>
      </w:r>
      <w:r w:rsidR="00A03629">
        <w:t xml:space="preserve"> </w:t>
      </w:r>
      <w:r>
        <w:t>enterprises.</w:t>
      </w:r>
      <w:r w:rsidR="00A03629">
        <w:t xml:space="preserve"> </w:t>
      </w:r>
      <w:r>
        <w:t>It</w:t>
      </w:r>
      <w:r w:rsidR="00A03629">
        <w:t xml:space="preserve"> </w:t>
      </w:r>
      <w:r>
        <w:t>also</w:t>
      </w:r>
      <w:r w:rsidR="00A03629">
        <w:t xml:space="preserve"> </w:t>
      </w:r>
      <w:r>
        <w:t>includes</w:t>
      </w:r>
      <w:r w:rsidR="00A03629">
        <w:t xml:space="preserve"> </w:t>
      </w:r>
      <w:r>
        <w:t>rental</w:t>
      </w:r>
      <w:r w:rsidR="00A03629">
        <w:t xml:space="preserve"> </w:t>
      </w:r>
      <w:r>
        <w:t>income</w:t>
      </w:r>
      <w:r w:rsidR="00A03629">
        <w:t xml:space="preserve"> </w:t>
      </w:r>
      <w:r>
        <w:t>under</w:t>
      </w:r>
      <w:r w:rsidR="00A03629">
        <w:t xml:space="preserve"> </w:t>
      </w:r>
      <w:r>
        <w:t>operating</w:t>
      </w:r>
      <w:r w:rsidR="00A03629">
        <w:t xml:space="preserve"> </w:t>
      </w:r>
      <w:r>
        <w:t>leases</w:t>
      </w:r>
      <w:r w:rsidR="00A03629">
        <w:t xml:space="preserve"> </w:t>
      </w:r>
      <w:r>
        <w:t>and</w:t>
      </w:r>
      <w:r w:rsidR="00A03629">
        <w:t xml:space="preserve"> </w:t>
      </w:r>
      <w:r>
        <w:t>on</w:t>
      </w:r>
      <w:r w:rsidR="00A03629">
        <w:t xml:space="preserve"> </w:t>
      </w:r>
      <w:r>
        <w:lastRenderedPageBreak/>
        <w:t>produced</w:t>
      </w:r>
      <w:r w:rsidR="00A03629">
        <w:t xml:space="preserve"> </w:t>
      </w:r>
      <w:r>
        <w:t>assets</w:t>
      </w:r>
      <w:r w:rsidR="00A03629">
        <w:t xml:space="preserve"> </w:t>
      </w:r>
      <w:r>
        <w:t>such</w:t>
      </w:r>
      <w:r w:rsidR="00A03629">
        <w:t xml:space="preserve"> </w:t>
      </w:r>
      <w:r>
        <w:t>as</w:t>
      </w:r>
      <w:r w:rsidR="00A03629">
        <w:t xml:space="preserve"> </w:t>
      </w:r>
      <w:r>
        <w:t>buildings</w:t>
      </w:r>
      <w:r w:rsidR="00A03629">
        <w:t xml:space="preserve"> </w:t>
      </w:r>
      <w:r>
        <w:t>and</w:t>
      </w:r>
      <w:r w:rsidR="00A03629">
        <w:t xml:space="preserve"> </w:t>
      </w:r>
      <w:proofErr w:type="gramStart"/>
      <w:r>
        <w:t>entertainment,</w:t>
      </w:r>
      <w:r w:rsidR="00A03629">
        <w:t xml:space="preserve"> </w:t>
      </w:r>
      <w:r>
        <w:t>but</w:t>
      </w:r>
      <w:proofErr w:type="gramEnd"/>
      <w:r w:rsidR="00A03629">
        <w:t xml:space="preserve"> </w:t>
      </w:r>
      <w:r>
        <w:t>excludes</w:t>
      </w:r>
      <w:r w:rsidR="00A03629">
        <w:t xml:space="preserve"> </w:t>
      </w:r>
      <w:r>
        <w:t>rent</w:t>
      </w:r>
      <w:r w:rsidR="00A03629">
        <w:t xml:space="preserve"> </w:t>
      </w:r>
      <w:r>
        <w:t>income</w:t>
      </w:r>
      <w:r w:rsidR="00A03629">
        <w:t xml:space="preserve"> </w:t>
      </w:r>
      <w:r>
        <w:t>from</w:t>
      </w:r>
      <w:r w:rsidR="00A03629">
        <w:t xml:space="preserve"> </w:t>
      </w:r>
      <w:r>
        <w:t>the</w:t>
      </w:r>
      <w:r w:rsidR="00A03629">
        <w:t xml:space="preserve"> </w:t>
      </w:r>
      <w:r>
        <w:t>use</w:t>
      </w:r>
      <w:r w:rsidR="00A03629">
        <w:t xml:space="preserve"> </w:t>
      </w:r>
      <w:r>
        <w:t>of</w:t>
      </w:r>
      <w:r w:rsidR="00A03629">
        <w:t xml:space="preserve"> </w:t>
      </w:r>
      <w:r>
        <w:t>non-produced</w:t>
      </w:r>
      <w:r w:rsidR="00A03629">
        <w:t xml:space="preserve"> </w:t>
      </w:r>
      <w:r>
        <w:t>assets</w:t>
      </w:r>
      <w:r w:rsidR="00A03629">
        <w:t xml:space="preserve"> </w:t>
      </w:r>
      <w:r>
        <w:t>such</w:t>
      </w:r>
      <w:r w:rsidR="00A03629">
        <w:t xml:space="preserve"> </w:t>
      </w:r>
      <w:r>
        <w:t>as</w:t>
      </w:r>
      <w:r w:rsidR="00A03629">
        <w:t xml:space="preserve"> </w:t>
      </w:r>
      <w:r>
        <w:t>land.</w:t>
      </w:r>
      <w:r w:rsidR="00A03629">
        <w:t xml:space="preserve"> </w:t>
      </w:r>
      <w:r>
        <w:t>User</w:t>
      </w:r>
      <w:r w:rsidR="00A03629">
        <w:t xml:space="preserve"> </w:t>
      </w:r>
      <w:r>
        <w:t>charges</w:t>
      </w:r>
      <w:r w:rsidR="00A03629">
        <w:t xml:space="preserve"> </w:t>
      </w:r>
      <w:r>
        <w:t>include</w:t>
      </w:r>
      <w:r w:rsidR="00A03629">
        <w:t xml:space="preserve"> </w:t>
      </w:r>
      <w:r>
        <w:t>sale</w:t>
      </w:r>
      <w:r w:rsidR="00A03629">
        <w:t xml:space="preserve"> </w:t>
      </w:r>
      <w:r>
        <w:t>of</w:t>
      </w:r>
      <w:r w:rsidR="00A03629">
        <w:t xml:space="preserve"> </w:t>
      </w:r>
      <w:r>
        <w:t>goods</w:t>
      </w:r>
      <w:r w:rsidR="00A03629">
        <w:t xml:space="preserve"> </w:t>
      </w:r>
      <w:r>
        <w:t>and</w:t>
      </w:r>
      <w:r w:rsidR="00A03629">
        <w:t xml:space="preserve"> </w:t>
      </w:r>
      <w:r>
        <w:t>services</w:t>
      </w:r>
      <w:r w:rsidR="00A03629">
        <w:t xml:space="preserve"> </w:t>
      </w:r>
      <w:r>
        <w:t>income.</w:t>
      </w:r>
    </w:p>
    <w:p w14:paraId="288284D2" w14:textId="7786CD48" w:rsidR="000756EB" w:rsidRPr="00B4004A" w:rsidRDefault="004A4D88" w:rsidP="00B4004A">
      <w:pPr>
        <w:pStyle w:val="Normalbeforebullets"/>
        <w:rPr>
          <w:b/>
          <w:bCs/>
        </w:rPr>
      </w:pPr>
      <w:r w:rsidRPr="00B4004A">
        <w:rPr>
          <w:b/>
          <w:bCs/>
        </w:rPr>
        <w:t>Supplies</w:t>
      </w:r>
      <w:r w:rsidR="00A03629" w:rsidRPr="00B4004A">
        <w:rPr>
          <w:b/>
          <w:bCs/>
        </w:rPr>
        <w:t xml:space="preserve"> </w:t>
      </w:r>
      <w:r w:rsidRPr="00B4004A">
        <w:rPr>
          <w:b/>
          <w:bCs/>
        </w:rPr>
        <w:t>and</w:t>
      </w:r>
      <w:r w:rsidR="00A03629" w:rsidRPr="00B4004A">
        <w:rPr>
          <w:b/>
          <w:bCs/>
        </w:rPr>
        <w:t xml:space="preserve"> </w:t>
      </w:r>
      <w:r w:rsidRPr="00B4004A">
        <w:rPr>
          <w:b/>
          <w:bCs/>
        </w:rPr>
        <w:t>services</w:t>
      </w:r>
    </w:p>
    <w:p w14:paraId="322E2F47" w14:textId="2B0AA8A0" w:rsidR="000756EB" w:rsidRDefault="004A4D88" w:rsidP="00B4004A">
      <w:r>
        <w:t>Supplies</w:t>
      </w:r>
      <w:r w:rsidR="00A03629">
        <w:t xml:space="preserve"> </w:t>
      </w:r>
      <w:r>
        <w:t>and</w:t>
      </w:r>
      <w:r w:rsidR="00A03629">
        <w:t xml:space="preserve"> </w:t>
      </w:r>
      <w:r>
        <w:t>services</w:t>
      </w:r>
      <w:r w:rsidR="00A03629">
        <w:t xml:space="preserve"> </w:t>
      </w:r>
      <w:r>
        <w:t>generally</w:t>
      </w:r>
      <w:r w:rsidR="00A03629">
        <w:t xml:space="preserve"> </w:t>
      </w:r>
      <w:r>
        <w:t>represent</w:t>
      </w:r>
      <w:r w:rsidR="00A03629">
        <w:t xml:space="preserve"> </w:t>
      </w:r>
      <w:r>
        <w:t>cost</w:t>
      </w:r>
      <w:r w:rsidR="00A03629">
        <w:t xml:space="preserve"> </w:t>
      </w:r>
      <w:r>
        <w:t>of</w:t>
      </w:r>
      <w:r w:rsidR="00A03629">
        <w:t xml:space="preserve"> </w:t>
      </w:r>
      <w:r>
        <w:t>goods</w:t>
      </w:r>
      <w:r w:rsidR="00A03629">
        <w:t xml:space="preserve"> </w:t>
      </w:r>
      <w:r>
        <w:t>sold</w:t>
      </w:r>
      <w:r w:rsidR="00A03629">
        <w:t xml:space="preserve"> </w:t>
      </w:r>
      <w:r>
        <w:t>and</w:t>
      </w:r>
      <w:r w:rsidR="00A03629">
        <w:t xml:space="preserve"> </w:t>
      </w:r>
      <w:r>
        <w:t>the</w:t>
      </w:r>
      <w:r w:rsidR="00A03629">
        <w:t xml:space="preserve"> </w:t>
      </w:r>
      <w:r>
        <w:t>day-to-day</w:t>
      </w:r>
      <w:r w:rsidR="00A03629">
        <w:t xml:space="preserve"> </w:t>
      </w:r>
      <w:r>
        <w:t>running</w:t>
      </w:r>
      <w:r w:rsidR="00A03629">
        <w:t xml:space="preserve"> </w:t>
      </w:r>
      <w:r>
        <w:t>costs,</w:t>
      </w:r>
      <w:r w:rsidR="00A03629">
        <w:t xml:space="preserve"> </w:t>
      </w:r>
      <w:r>
        <w:t>including</w:t>
      </w:r>
      <w:r w:rsidR="00A03629">
        <w:t xml:space="preserve"> </w:t>
      </w:r>
      <w:r>
        <w:t>maintenance</w:t>
      </w:r>
      <w:r w:rsidR="00A03629">
        <w:t xml:space="preserve"> </w:t>
      </w:r>
      <w:r>
        <w:t>costs</w:t>
      </w:r>
      <w:r w:rsidR="00A03629">
        <w:t xml:space="preserve"> </w:t>
      </w:r>
      <w:r>
        <w:t>incurred</w:t>
      </w:r>
      <w:r w:rsidR="00A03629">
        <w:t xml:space="preserve"> </w:t>
      </w:r>
      <w:r>
        <w:t>in</w:t>
      </w:r>
      <w:r w:rsidR="00A03629">
        <w:t xml:space="preserve"> </w:t>
      </w:r>
      <w:r>
        <w:t>the</w:t>
      </w:r>
      <w:r w:rsidR="00A03629">
        <w:t xml:space="preserve"> </w:t>
      </w:r>
      <w:r>
        <w:t>normal</w:t>
      </w:r>
      <w:r w:rsidR="00A03629">
        <w:t xml:space="preserve"> </w:t>
      </w:r>
      <w:r>
        <w:t>operations</w:t>
      </w:r>
      <w:r w:rsidR="00A03629">
        <w:t xml:space="preserve"> </w:t>
      </w:r>
      <w:r>
        <w:t>of</w:t>
      </w:r>
      <w:r w:rsidR="00A03629">
        <w:t xml:space="preserve"> </w:t>
      </w:r>
      <w:r>
        <w:t>DJSIR.</w:t>
      </w:r>
      <w:r w:rsidR="00A03629">
        <w:t xml:space="preserve"> </w:t>
      </w:r>
    </w:p>
    <w:p w14:paraId="30D8791B" w14:textId="77777777" w:rsidR="000756EB" w:rsidRPr="00B4004A" w:rsidRDefault="004A4D88" w:rsidP="00B4004A">
      <w:pPr>
        <w:pStyle w:val="Normalbeforebullets"/>
        <w:rPr>
          <w:b/>
          <w:bCs/>
        </w:rPr>
      </w:pPr>
      <w:r w:rsidRPr="00B4004A">
        <w:rPr>
          <w:b/>
          <w:bCs/>
        </w:rPr>
        <w:t>Transactions</w:t>
      </w:r>
    </w:p>
    <w:p w14:paraId="7BAAD121" w14:textId="117CFBB7" w:rsidR="000756EB" w:rsidRDefault="004A4D88" w:rsidP="00B4004A">
      <w:r>
        <w:t>Transactions</w:t>
      </w:r>
      <w:r w:rsidR="00A03629">
        <w:t xml:space="preserve"> </w:t>
      </w:r>
      <w:r>
        <w:t>are</w:t>
      </w:r>
      <w:r w:rsidR="00A03629">
        <w:t xml:space="preserve"> </w:t>
      </w:r>
      <w:r>
        <w:t>those</w:t>
      </w:r>
      <w:r w:rsidR="00A03629">
        <w:t xml:space="preserve"> </w:t>
      </w:r>
      <w:r>
        <w:t>economic</w:t>
      </w:r>
      <w:r w:rsidR="00A03629">
        <w:t xml:space="preserve"> </w:t>
      </w:r>
      <w:r>
        <w:t>flows</w:t>
      </w:r>
      <w:r w:rsidR="00A03629">
        <w:t xml:space="preserve"> </w:t>
      </w:r>
      <w:r>
        <w:t>that</w:t>
      </w:r>
      <w:r w:rsidR="00A03629">
        <w:t xml:space="preserve"> </w:t>
      </w:r>
      <w:r>
        <w:t>are</w:t>
      </w:r>
      <w:r w:rsidR="00A03629">
        <w:t xml:space="preserve"> </w:t>
      </w:r>
      <w:r>
        <w:t>considered</w:t>
      </w:r>
      <w:r w:rsidR="00A03629">
        <w:t xml:space="preserve"> </w:t>
      </w:r>
      <w:r>
        <w:t>to</w:t>
      </w:r>
      <w:r w:rsidR="00A03629">
        <w:t xml:space="preserve"> </w:t>
      </w:r>
      <w:r>
        <w:t>arise</w:t>
      </w:r>
      <w:r w:rsidR="00A03629">
        <w:t xml:space="preserve"> </w:t>
      </w:r>
      <w:proofErr w:type="gramStart"/>
      <w:r>
        <w:t>as</w:t>
      </w:r>
      <w:r w:rsidR="00A03629">
        <w:t xml:space="preserve"> </w:t>
      </w:r>
      <w:r>
        <w:t>a</w:t>
      </w:r>
      <w:r w:rsidR="00A03629">
        <w:t xml:space="preserve"> </w:t>
      </w:r>
      <w:r>
        <w:t>result</w:t>
      </w:r>
      <w:r w:rsidR="00A03629">
        <w:t xml:space="preserve"> </w:t>
      </w:r>
      <w:r>
        <w:t>of</w:t>
      </w:r>
      <w:proofErr w:type="gramEnd"/>
      <w:r w:rsidR="00A03629">
        <w:t xml:space="preserve"> </w:t>
      </w:r>
      <w:r>
        <w:t>policy</w:t>
      </w:r>
      <w:r w:rsidR="00A03629">
        <w:t xml:space="preserve"> </w:t>
      </w:r>
      <w:r>
        <w:t>decisions,</w:t>
      </w:r>
      <w:r w:rsidR="00A03629">
        <w:t xml:space="preserve"> </w:t>
      </w:r>
      <w:r>
        <w:t>usually</w:t>
      </w:r>
      <w:r w:rsidR="00A03629">
        <w:t xml:space="preserve"> </w:t>
      </w:r>
      <w:r>
        <w:t>an</w:t>
      </w:r>
      <w:r w:rsidR="00A03629">
        <w:t xml:space="preserve"> </w:t>
      </w:r>
      <w:r>
        <w:t>interaction</w:t>
      </w:r>
      <w:r w:rsidR="00A03629">
        <w:t xml:space="preserve"> </w:t>
      </w:r>
      <w:r>
        <w:t>between</w:t>
      </w:r>
      <w:r w:rsidR="00A03629">
        <w:t xml:space="preserve"> </w:t>
      </w:r>
      <w:r>
        <w:t>two</w:t>
      </w:r>
      <w:r w:rsidR="00A03629">
        <w:t xml:space="preserve"> </w:t>
      </w:r>
      <w:r>
        <w:t>entities</w:t>
      </w:r>
      <w:r w:rsidR="00A03629">
        <w:t xml:space="preserve"> </w:t>
      </w:r>
      <w:r>
        <w:t>by</w:t>
      </w:r>
      <w:r w:rsidR="00A03629">
        <w:t xml:space="preserve"> </w:t>
      </w:r>
      <w:r>
        <w:t>mutual</w:t>
      </w:r>
      <w:r w:rsidR="00A03629">
        <w:t xml:space="preserve"> </w:t>
      </w:r>
      <w:r>
        <w:t>agreement.</w:t>
      </w:r>
      <w:r w:rsidR="00A03629">
        <w:t xml:space="preserve"> </w:t>
      </w:r>
      <w:r>
        <w:t>They</w:t>
      </w:r>
      <w:r w:rsidR="00A03629">
        <w:t xml:space="preserve"> </w:t>
      </w:r>
      <w:r>
        <w:t>also</w:t>
      </w:r>
      <w:r w:rsidR="00A03629">
        <w:t xml:space="preserve"> </w:t>
      </w:r>
      <w:r>
        <w:t>include</w:t>
      </w:r>
      <w:r w:rsidR="00A03629">
        <w:t xml:space="preserve"> </w:t>
      </w:r>
      <w:r>
        <w:t>flows</w:t>
      </w:r>
      <w:r w:rsidR="00A03629">
        <w:t xml:space="preserve"> </w:t>
      </w:r>
      <w:r>
        <w:t>within</w:t>
      </w:r>
      <w:r w:rsidR="00A03629">
        <w:t xml:space="preserve"> </w:t>
      </w:r>
      <w:r>
        <w:t>an</w:t>
      </w:r>
      <w:r w:rsidR="00A03629">
        <w:t xml:space="preserve"> </w:t>
      </w:r>
      <w:r>
        <w:t>entity</w:t>
      </w:r>
      <w:r w:rsidR="00A03629">
        <w:t xml:space="preserve"> </w:t>
      </w:r>
      <w:r>
        <w:t>such</w:t>
      </w:r>
      <w:r w:rsidR="00A03629">
        <w:t xml:space="preserve"> </w:t>
      </w:r>
      <w:r>
        <w:t>as</w:t>
      </w:r>
      <w:r w:rsidR="00A03629">
        <w:t xml:space="preserve"> </w:t>
      </w:r>
      <w:r>
        <w:t>depreciation</w:t>
      </w:r>
      <w:r w:rsidR="00A03629">
        <w:t xml:space="preserve"> </w:t>
      </w:r>
      <w:r>
        <w:t>where</w:t>
      </w:r>
      <w:r w:rsidR="00A03629">
        <w:t xml:space="preserve"> </w:t>
      </w:r>
      <w:r>
        <w:t>the</w:t>
      </w:r>
      <w:r w:rsidR="00A03629">
        <w:t xml:space="preserve"> </w:t>
      </w:r>
      <w:r>
        <w:t>owner</w:t>
      </w:r>
      <w:r w:rsidR="00A03629">
        <w:t xml:space="preserve"> </w:t>
      </w:r>
      <w:r>
        <w:t>is</w:t>
      </w:r>
      <w:r w:rsidR="00A03629">
        <w:t xml:space="preserve"> </w:t>
      </w:r>
      <w:r>
        <w:t>simultaneously</w:t>
      </w:r>
      <w:r w:rsidR="00A03629">
        <w:t xml:space="preserve"> </w:t>
      </w:r>
      <w:r>
        <w:t>acting</w:t>
      </w:r>
      <w:r w:rsidR="00A03629">
        <w:t xml:space="preserve"> </w:t>
      </w:r>
      <w:r>
        <w:t>as</w:t>
      </w:r>
      <w:r w:rsidR="00A03629">
        <w:t xml:space="preserve"> </w:t>
      </w:r>
      <w:r>
        <w:t>the</w:t>
      </w:r>
      <w:r w:rsidR="00A03629">
        <w:t xml:space="preserve"> </w:t>
      </w:r>
      <w:r>
        <w:t>owner</w:t>
      </w:r>
      <w:r w:rsidR="00A03629">
        <w:t xml:space="preserve"> </w:t>
      </w:r>
      <w:r>
        <w:t>of</w:t>
      </w:r>
      <w:r w:rsidR="00A03629">
        <w:t xml:space="preserve"> </w:t>
      </w:r>
      <w:r>
        <w:t>the</w:t>
      </w:r>
      <w:r w:rsidR="00A03629">
        <w:t xml:space="preserve"> </w:t>
      </w:r>
      <w:r>
        <w:t>depreciating</w:t>
      </w:r>
      <w:r w:rsidR="00A03629">
        <w:t xml:space="preserve"> </w:t>
      </w:r>
      <w:r>
        <w:t>asset</w:t>
      </w:r>
      <w:r w:rsidR="00A03629">
        <w:t xml:space="preserve"> </w:t>
      </w:r>
      <w:r>
        <w:t>and</w:t>
      </w:r>
      <w:r w:rsidR="00A03629">
        <w:t xml:space="preserve"> </w:t>
      </w:r>
      <w:r>
        <w:t>as</w:t>
      </w:r>
      <w:r w:rsidR="00A03629">
        <w:t xml:space="preserve"> </w:t>
      </w:r>
      <w:r>
        <w:t>the</w:t>
      </w:r>
      <w:r w:rsidR="00A03629">
        <w:t xml:space="preserve"> </w:t>
      </w:r>
      <w:r>
        <w:t>consumer</w:t>
      </w:r>
      <w:r w:rsidR="00A03629">
        <w:t xml:space="preserve"> </w:t>
      </w:r>
      <w:r>
        <w:t>of</w:t>
      </w:r>
      <w:r w:rsidR="00A03629">
        <w:t xml:space="preserve"> </w:t>
      </w:r>
      <w:r>
        <w:t>the</w:t>
      </w:r>
      <w:r w:rsidR="00A03629">
        <w:t xml:space="preserve"> </w:t>
      </w:r>
      <w:r>
        <w:t>service</w:t>
      </w:r>
      <w:r w:rsidR="00A03629">
        <w:t xml:space="preserve"> </w:t>
      </w:r>
      <w:r>
        <w:t>provided</w:t>
      </w:r>
      <w:r w:rsidR="00A03629">
        <w:t xml:space="preserve"> </w:t>
      </w:r>
      <w:r>
        <w:t>by</w:t>
      </w:r>
      <w:r w:rsidR="00A03629">
        <w:t xml:space="preserve"> </w:t>
      </w:r>
      <w:r>
        <w:t>the</w:t>
      </w:r>
      <w:r w:rsidR="00A03629">
        <w:t xml:space="preserve"> </w:t>
      </w:r>
      <w:r>
        <w:t>asset.</w:t>
      </w:r>
      <w:r w:rsidR="00A03629">
        <w:t xml:space="preserve"> </w:t>
      </w:r>
      <w:r>
        <w:t>Taxation</w:t>
      </w:r>
      <w:r w:rsidR="00A03629">
        <w:t xml:space="preserve"> </w:t>
      </w:r>
      <w:r>
        <w:t>is</w:t>
      </w:r>
      <w:r w:rsidR="00A03629">
        <w:t xml:space="preserve"> </w:t>
      </w:r>
      <w:r>
        <w:t>regarded</w:t>
      </w:r>
      <w:r w:rsidR="00A03629">
        <w:t xml:space="preserve"> </w:t>
      </w:r>
      <w:r>
        <w:t>as</w:t>
      </w:r>
      <w:r w:rsidR="00A03629">
        <w:t xml:space="preserve"> </w:t>
      </w:r>
      <w:r>
        <w:t>mutually</w:t>
      </w:r>
      <w:r w:rsidR="00A03629">
        <w:t xml:space="preserve"> </w:t>
      </w:r>
      <w:r>
        <w:t>agreed</w:t>
      </w:r>
      <w:r w:rsidR="00A03629">
        <w:t xml:space="preserve"> </w:t>
      </w:r>
      <w:r>
        <w:t>interactions</w:t>
      </w:r>
      <w:r w:rsidR="00A03629">
        <w:t xml:space="preserve"> </w:t>
      </w:r>
      <w:r>
        <w:t>between</w:t>
      </w:r>
      <w:r w:rsidR="00A03629">
        <w:t xml:space="preserve"> </w:t>
      </w:r>
      <w:r>
        <w:t>the</w:t>
      </w:r>
      <w:r w:rsidR="00A03629">
        <w:t xml:space="preserve"> </w:t>
      </w:r>
      <w:r>
        <w:t>government</w:t>
      </w:r>
      <w:r w:rsidR="00A03629">
        <w:t xml:space="preserve"> </w:t>
      </w:r>
      <w:r>
        <w:t>and</w:t>
      </w:r>
      <w:r w:rsidR="00A03629">
        <w:t xml:space="preserve"> </w:t>
      </w:r>
      <w:r>
        <w:t>taxpayers.</w:t>
      </w:r>
      <w:r w:rsidR="00A03629">
        <w:t xml:space="preserve"> </w:t>
      </w:r>
      <w:r>
        <w:t>Transactions</w:t>
      </w:r>
      <w:r w:rsidR="00A03629">
        <w:t xml:space="preserve"> </w:t>
      </w:r>
      <w:r>
        <w:t>can</w:t>
      </w:r>
      <w:r w:rsidR="00A03629">
        <w:t xml:space="preserve"> </w:t>
      </w:r>
      <w:r>
        <w:t>be</w:t>
      </w:r>
      <w:r w:rsidR="00A03629">
        <w:t xml:space="preserve"> </w:t>
      </w:r>
      <w:r>
        <w:t>in</w:t>
      </w:r>
      <w:r w:rsidR="00A03629">
        <w:t xml:space="preserve"> </w:t>
      </w:r>
      <w:r>
        <w:t>kind</w:t>
      </w:r>
      <w:r w:rsidR="00A03629">
        <w:t xml:space="preserve"> </w:t>
      </w:r>
      <w:r>
        <w:t>(e.g.</w:t>
      </w:r>
      <w:r w:rsidR="00A03629">
        <w:t xml:space="preserve"> </w:t>
      </w:r>
      <w:r>
        <w:t>assets</w:t>
      </w:r>
      <w:r w:rsidR="00A03629">
        <w:t xml:space="preserve"> </w:t>
      </w:r>
      <w:r>
        <w:t>provided/given</w:t>
      </w:r>
      <w:r w:rsidR="00A03629">
        <w:t xml:space="preserve"> </w:t>
      </w:r>
      <w:r>
        <w:t>free</w:t>
      </w:r>
      <w:r w:rsidR="00A03629">
        <w:t xml:space="preserve"> </w:t>
      </w:r>
      <w:r>
        <w:t>of</w:t>
      </w:r>
      <w:r w:rsidR="00A03629">
        <w:t xml:space="preserve"> </w:t>
      </w:r>
      <w:r>
        <w:t>charge</w:t>
      </w:r>
      <w:r w:rsidR="00A03629">
        <w:t xml:space="preserve"> </w:t>
      </w:r>
      <w:r>
        <w:t>or</w:t>
      </w:r>
      <w:r w:rsidR="00A03629">
        <w:t xml:space="preserve"> </w:t>
      </w:r>
      <w:r>
        <w:t>for</w:t>
      </w:r>
      <w:r w:rsidR="00A03629">
        <w:t xml:space="preserve"> </w:t>
      </w:r>
      <w:r>
        <w:t>nominal</w:t>
      </w:r>
      <w:r w:rsidR="00A03629">
        <w:t xml:space="preserve"> </w:t>
      </w:r>
      <w:r>
        <w:t>consideration)</w:t>
      </w:r>
      <w:r w:rsidR="00A03629">
        <w:t xml:space="preserve"> </w:t>
      </w:r>
      <w:r>
        <w:t>or</w:t>
      </w:r>
      <w:r w:rsidR="00A03629">
        <w:t xml:space="preserve"> </w:t>
      </w:r>
      <w:r>
        <w:t>where</w:t>
      </w:r>
      <w:r w:rsidR="00A03629">
        <w:t xml:space="preserve"> </w:t>
      </w:r>
      <w:r>
        <w:t>the</w:t>
      </w:r>
      <w:r w:rsidR="00A03629">
        <w:t xml:space="preserve"> </w:t>
      </w:r>
      <w:r>
        <w:t>final</w:t>
      </w:r>
      <w:r w:rsidR="00A03629">
        <w:t xml:space="preserve"> </w:t>
      </w:r>
      <w:r>
        <w:t>consideration</w:t>
      </w:r>
      <w:r w:rsidR="00A03629">
        <w:t xml:space="preserve"> </w:t>
      </w:r>
      <w:r>
        <w:t>is</w:t>
      </w:r>
      <w:r w:rsidR="00A03629">
        <w:t xml:space="preserve"> </w:t>
      </w:r>
      <w:r>
        <w:t>cash.</w:t>
      </w:r>
      <w:r w:rsidR="00A03629">
        <w:t xml:space="preserve"> </w:t>
      </w:r>
      <w:r>
        <w:t>In</w:t>
      </w:r>
      <w:r w:rsidR="00A03629">
        <w:t xml:space="preserve"> </w:t>
      </w:r>
      <w:r>
        <w:t>simple</w:t>
      </w:r>
      <w:r w:rsidR="00A03629">
        <w:t xml:space="preserve"> </w:t>
      </w:r>
      <w:r>
        <w:t>terms,</w:t>
      </w:r>
      <w:r w:rsidR="00A03629">
        <w:t xml:space="preserve"> </w:t>
      </w:r>
      <w:r>
        <w:t>transactions</w:t>
      </w:r>
      <w:r w:rsidR="00A03629">
        <w:t xml:space="preserve"> </w:t>
      </w:r>
      <w:r>
        <w:t>arise</w:t>
      </w:r>
      <w:r w:rsidR="00A03629">
        <w:t xml:space="preserve"> </w:t>
      </w:r>
      <w:r>
        <w:t>from</w:t>
      </w:r>
      <w:r w:rsidR="00A03629">
        <w:t xml:space="preserve"> </w:t>
      </w:r>
      <w:r>
        <w:t>the</w:t>
      </w:r>
      <w:r w:rsidR="00A03629">
        <w:t xml:space="preserve"> </w:t>
      </w:r>
      <w:r>
        <w:t>policy</w:t>
      </w:r>
      <w:r w:rsidR="00A03629">
        <w:t xml:space="preserve"> </w:t>
      </w:r>
      <w:r>
        <w:t>decisions</w:t>
      </w:r>
      <w:r w:rsidR="00A03629">
        <w:t xml:space="preserve"> </w:t>
      </w:r>
      <w:r>
        <w:t>of</w:t>
      </w:r>
      <w:r w:rsidR="00A03629">
        <w:t xml:space="preserve"> </w:t>
      </w:r>
      <w:r>
        <w:t>the</w:t>
      </w:r>
      <w:r w:rsidR="00A03629">
        <w:t xml:space="preserve"> </w:t>
      </w:r>
      <w:r>
        <w:t>government.</w:t>
      </w:r>
    </w:p>
    <w:p w14:paraId="6325D466" w14:textId="4DC1C2F0" w:rsidR="000756EB" w:rsidRDefault="004A4D88" w:rsidP="00B4004A">
      <w:pPr>
        <w:pStyle w:val="Heading2"/>
      </w:pPr>
      <w:bookmarkStart w:id="161" w:name="_Toc149911852"/>
      <w:r>
        <w:t>9.15</w:t>
      </w:r>
      <w:r w:rsidR="00A03629">
        <w:t xml:space="preserve"> </w:t>
      </w:r>
      <w:r>
        <w:t>Style</w:t>
      </w:r>
      <w:r w:rsidR="00A03629">
        <w:t xml:space="preserve"> </w:t>
      </w:r>
      <w:r>
        <w:t>conventions</w:t>
      </w:r>
      <w:bookmarkEnd w:id="161"/>
    </w:p>
    <w:p w14:paraId="3D523F2C" w14:textId="6E19C460" w:rsidR="000756EB" w:rsidRDefault="004A4D88" w:rsidP="00B4004A">
      <w:r>
        <w:t>Figures</w:t>
      </w:r>
      <w:r w:rsidR="00A03629">
        <w:t xml:space="preserve"> </w:t>
      </w:r>
      <w:r>
        <w:t>in</w:t>
      </w:r>
      <w:r w:rsidR="00A03629">
        <w:t xml:space="preserve"> </w:t>
      </w:r>
      <w:r>
        <w:t>the</w:t>
      </w:r>
      <w:r w:rsidR="00A03629">
        <w:t xml:space="preserve"> </w:t>
      </w:r>
      <w:r>
        <w:t>tables</w:t>
      </w:r>
      <w:r w:rsidR="00A03629">
        <w:t xml:space="preserve"> </w:t>
      </w:r>
      <w:r>
        <w:t>and</w:t>
      </w:r>
      <w:r w:rsidR="00A03629">
        <w:t xml:space="preserve"> </w:t>
      </w:r>
      <w:r>
        <w:t>in</w:t>
      </w:r>
      <w:r w:rsidR="00A03629">
        <w:t xml:space="preserve"> </w:t>
      </w:r>
      <w:r>
        <w:t>the</w:t>
      </w:r>
      <w:r w:rsidR="00A03629">
        <w:t xml:space="preserve"> </w:t>
      </w:r>
      <w:r>
        <w:t>text</w:t>
      </w:r>
      <w:r w:rsidR="00A03629">
        <w:t xml:space="preserve"> </w:t>
      </w:r>
      <w:r>
        <w:t>have</w:t>
      </w:r>
      <w:r w:rsidR="00A03629">
        <w:t xml:space="preserve"> </w:t>
      </w:r>
      <w:r>
        <w:t>been</w:t>
      </w:r>
      <w:r w:rsidR="00A03629">
        <w:t xml:space="preserve"> </w:t>
      </w:r>
      <w:r>
        <w:t>rounded.</w:t>
      </w:r>
      <w:r w:rsidR="00A03629">
        <w:t xml:space="preserve"> </w:t>
      </w:r>
      <w:r>
        <w:t>Discrepancies</w:t>
      </w:r>
      <w:r w:rsidR="00A03629">
        <w:t xml:space="preserve"> </w:t>
      </w:r>
      <w:r>
        <w:t>in</w:t>
      </w:r>
      <w:r w:rsidR="00A03629">
        <w:t xml:space="preserve"> </w:t>
      </w:r>
      <w:r>
        <w:t>tables</w:t>
      </w:r>
      <w:r w:rsidR="00A03629">
        <w:t xml:space="preserve"> </w:t>
      </w:r>
      <w:r>
        <w:t>between</w:t>
      </w:r>
      <w:r w:rsidR="00A03629">
        <w:t xml:space="preserve"> </w:t>
      </w:r>
      <w:r>
        <w:t>totals</w:t>
      </w:r>
      <w:r w:rsidR="00A03629">
        <w:t xml:space="preserve"> </w:t>
      </w:r>
      <w:r>
        <w:t>and</w:t>
      </w:r>
      <w:r w:rsidR="00A03629">
        <w:t xml:space="preserve"> </w:t>
      </w:r>
      <w:r>
        <w:t>sums</w:t>
      </w:r>
      <w:r w:rsidR="00A03629">
        <w:t xml:space="preserve"> </w:t>
      </w:r>
      <w:r>
        <w:t>of</w:t>
      </w:r>
      <w:r w:rsidR="00A03629">
        <w:t xml:space="preserve"> </w:t>
      </w:r>
      <w:r>
        <w:t>components</w:t>
      </w:r>
      <w:r w:rsidR="00A03629">
        <w:t xml:space="preserve"> </w:t>
      </w:r>
      <w:r>
        <w:t>reflect</w:t>
      </w:r>
      <w:r w:rsidR="00A03629">
        <w:t xml:space="preserve"> </w:t>
      </w:r>
      <w:r>
        <w:t>rounding.</w:t>
      </w:r>
      <w:r w:rsidR="00A03629">
        <w:t xml:space="preserve"> </w:t>
      </w:r>
      <w:r>
        <w:t>Percentage</w:t>
      </w:r>
      <w:r w:rsidR="00A03629">
        <w:t xml:space="preserve"> </w:t>
      </w:r>
      <w:r>
        <w:t>variations</w:t>
      </w:r>
      <w:r w:rsidR="00A03629">
        <w:t xml:space="preserve"> </w:t>
      </w:r>
      <w:r>
        <w:t>in</w:t>
      </w:r>
      <w:r w:rsidR="00A03629">
        <w:t xml:space="preserve"> </w:t>
      </w:r>
      <w:r>
        <w:t>all</w:t>
      </w:r>
      <w:r w:rsidR="00A03629">
        <w:t xml:space="preserve"> </w:t>
      </w:r>
      <w:r>
        <w:t>tables</w:t>
      </w:r>
      <w:r w:rsidR="00A03629">
        <w:t xml:space="preserve"> </w:t>
      </w:r>
      <w:r>
        <w:t>are</w:t>
      </w:r>
      <w:r w:rsidR="00A03629">
        <w:t xml:space="preserve"> </w:t>
      </w:r>
      <w:r>
        <w:t>based</w:t>
      </w:r>
      <w:r w:rsidR="00A03629">
        <w:t xml:space="preserve"> </w:t>
      </w:r>
      <w:r>
        <w:t>on</w:t>
      </w:r>
      <w:r w:rsidR="00A03629">
        <w:t xml:space="preserve"> </w:t>
      </w:r>
      <w:r>
        <w:t>the</w:t>
      </w:r>
      <w:r w:rsidR="00A03629">
        <w:t xml:space="preserve"> </w:t>
      </w:r>
      <w:r>
        <w:t>underlying</w:t>
      </w:r>
      <w:r w:rsidR="00A03629">
        <w:t xml:space="preserve"> </w:t>
      </w:r>
      <w:r>
        <w:t>unrounded</w:t>
      </w:r>
      <w:r w:rsidR="00A03629">
        <w:t xml:space="preserve"> </w:t>
      </w:r>
      <w:r>
        <w:t>amounts.</w:t>
      </w:r>
    </w:p>
    <w:p w14:paraId="174E46F7" w14:textId="7B1A615E" w:rsidR="000756EB" w:rsidRPr="00B4004A" w:rsidRDefault="004A4D88" w:rsidP="00B4004A">
      <w:pPr>
        <w:pStyle w:val="Normalbeforebullets"/>
        <w:rPr>
          <w:b/>
          <w:bCs/>
        </w:rPr>
      </w:pPr>
      <w:r w:rsidRPr="00B4004A">
        <w:rPr>
          <w:b/>
          <w:bCs/>
        </w:rPr>
        <w:t>The</w:t>
      </w:r>
      <w:r w:rsidR="00A03629" w:rsidRPr="00B4004A">
        <w:rPr>
          <w:b/>
          <w:bCs/>
        </w:rPr>
        <w:t xml:space="preserve"> </w:t>
      </w:r>
      <w:r w:rsidRPr="00B4004A">
        <w:rPr>
          <w:b/>
          <w:bCs/>
        </w:rPr>
        <w:t>notation</w:t>
      </w:r>
      <w:r w:rsidR="00A03629" w:rsidRPr="00B4004A">
        <w:rPr>
          <w:b/>
          <w:bCs/>
        </w:rPr>
        <w:t xml:space="preserve"> </w:t>
      </w:r>
      <w:r w:rsidRPr="00B4004A">
        <w:rPr>
          <w:b/>
          <w:bCs/>
        </w:rPr>
        <w:t>used</w:t>
      </w:r>
      <w:r w:rsidR="00A03629" w:rsidRPr="00B4004A">
        <w:rPr>
          <w:b/>
          <w:bCs/>
        </w:rPr>
        <w:t xml:space="preserve"> </w:t>
      </w:r>
      <w:r w:rsidRPr="00B4004A">
        <w:rPr>
          <w:b/>
          <w:bCs/>
        </w:rPr>
        <w:t>in</w:t>
      </w:r>
      <w:r w:rsidR="00A03629" w:rsidRPr="00B4004A">
        <w:rPr>
          <w:b/>
          <w:bCs/>
        </w:rPr>
        <w:t xml:space="preserve"> </w:t>
      </w:r>
      <w:r w:rsidRPr="00B4004A">
        <w:rPr>
          <w:b/>
          <w:bCs/>
        </w:rPr>
        <w:t>the</w:t>
      </w:r>
      <w:r w:rsidR="00A03629" w:rsidRPr="00B4004A">
        <w:rPr>
          <w:b/>
          <w:bCs/>
        </w:rPr>
        <w:t xml:space="preserve"> </w:t>
      </w:r>
      <w:r w:rsidRPr="00B4004A">
        <w:rPr>
          <w:b/>
          <w:bCs/>
        </w:rPr>
        <w:t>tables</w:t>
      </w:r>
      <w:r w:rsidR="00A03629" w:rsidRPr="00B4004A">
        <w:rPr>
          <w:b/>
          <w:bCs/>
        </w:rPr>
        <w:t xml:space="preserve"> </w:t>
      </w:r>
      <w:r w:rsidRPr="00B4004A">
        <w:rPr>
          <w:b/>
          <w:bCs/>
        </w:rPr>
        <w:t>is</w:t>
      </w:r>
      <w:r w:rsidR="00A03629" w:rsidRPr="00B4004A">
        <w:rPr>
          <w:rFonts w:ascii="Cambria" w:hAnsi="Cambria" w:cs="Cambria"/>
          <w:b/>
          <w:bCs/>
        </w:rPr>
        <w:t xml:space="preserve"> </w:t>
      </w:r>
      <w:r w:rsidRPr="00B4004A">
        <w:rPr>
          <w:b/>
          <w:bCs/>
        </w:rPr>
        <w:t>as</w:t>
      </w:r>
      <w:r w:rsidR="00A03629" w:rsidRPr="00B4004A">
        <w:rPr>
          <w:rFonts w:ascii="Cambria" w:hAnsi="Cambria" w:cs="Cambria"/>
          <w:b/>
          <w:bCs/>
        </w:rPr>
        <w:t xml:space="preserve"> </w:t>
      </w:r>
      <w:r w:rsidRPr="00B4004A">
        <w:rPr>
          <w:b/>
          <w:bCs/>
        </w:rPr>
        <w:t>follows:</w:t>
      </w:r>
    </w:p>
    <w:tbl>
      <w:tblPr>
        <w:tblStyle w:val="TableGrid"/>
        <w:tblW w:w="0" w:type="auto"/>
        <w:tblLayout w:type="fixed"/>
        <w:tblLook w:val="04A0" w:firstRow="1" w:lastRow="0" w:firstColumn="1" w:lastColumn="0" w:noHBand="0" w:noVBand="1"/>
      </w:tblPr>
      <w:tblGrid>
        <w:gridCol w:w="1984"/>
        <w:gridCol w:w="3398"/>
      </w:tblGrid>
      <w:tr w:rsidR="000756EB" w14:paraId="68BCC635" w14:textId="77777777" w:rsidTr="00DE38B5">
        <w:trPr>
          <w:trHeight w:val="60"/>
        </w:trPr>
        <w:tc>
          <w:tcPr>
            <w:tcW w:w="1984" w:type="dxa"/>
          </w:tcPr>
          <w:p w14:paraId="31052C40" w14:textId="77777777" w:rsidR="000756EB" w:rsidRDefault="004A4D88" w:rsidP="00B4004A">
            <w:pPr>
              <w:pStyle w:val="TableCopy"/>
            </w:pPr>
            <w:r>
              <w:t>–</w:t>
            </w:r>
          </w:p>
        </w:tc>
        <w:tc>
          <w:tcPr>
            <w:tcW w:w="3398" w:type="dxa"/>
          </w:tcPr>
          <w:p w14:paraId="2E7F67C5" w14:textId="56587016" w:rsidR="000756EB" w:rsidRDefault="004A4D88" w:rsidP="00B4004A">
            <w:pPr>
              <w:pStyle w:val="TableCopy"/>
            </w:pPr>
            <w:r>
              <w:t>zero,</w:t>
            </w:r>
            <w:r w:rsidR="00A03629">
              <w:t xml:space="preserve"> </w:t>
            </w:r>
            <w:r>
              <w:t>or</w:t>
            </w:r>
            <w:r w:rsidR="00A03629">
              <w:t xml:space="preserve"> </w:t>
            </w:r>
            <w:r>
              <w:t>rounded</w:t>
            </w:r>
            <w:r w:rsidR="00A03629">
              <w:t xml:space="preserve"> </w:t>
            </w:r>
            <w:r>
              <w:t>to</w:t>
            </w:r>
            <w:r w:rsidR="00A03629">
              <w:t xml:space="preserve"> </w:t>
            </w:r>
            <w:r>
              <w:t>zero</w:t>
            </w:r>
          </w:p>
        </w:tc>
      </w:tr>
      <w:tr w:rsidR="000756EB" w14:paraId="5B04E446" w14:textId="77777777" w:rsidTr="00DE38B5">
        <w:trPr>
          <w:trHeight w:val="60"/>
        </w:trPr>
        <w:tc>
          <w:tcPr>
            <w:tcW w:w="1984" w:type="dxa"/>
          </w:tcPr>
          <w:p w14:paraId="2D0CD0B2" w14:textId="77777777" w:rsidR="000756EB" w:rsidRDefault="004A4D88" w:rsidP="00B4004A">
            <w:pPr>
              <w:pStyle w:val="TableCopy"/>
            </w:pPr>
            <w:r>
              <w:t>(</w:t>
            </w:r>
            <w:proofErr w:type="spellStart"/>
            <w:r>
              <w:t>xxx.x</w:t>
            </w:r>
            <w:proofErr w:type="spellEnd"/>
            <w:r>
              <w:t>)</w:t>
            </w:r>
          </w:p>
        </w:tc>
        <w:tc>
          <w:tcPr>
            <w:tcW w:w="3398" w:type="dxa"/>
          </w:tcPr>
          <w:p w14:paraId="5FAF16A7" w14:textId="7FA49023" w:rsidR="000756EB" w:rsidRDefault="004A4D88" w:rsidP="00B4004A">
            <w:pPr>
              <w:pStyle w:val="TableCopy"/>
            </w:pPr>
            <w:r>
              <w:t>negative</w:t>
            </w:r>
            <w:r w:rsidR="00A03629">
              <w:t xml:space="preserve"> </w:t>
            </w:r>
            <w:r>
              <w:t>numbers</w:t>
            </w:r>
          </w:p>
        </w:tc>
      </w:tr>
      <w:tr w:rsidR="000756EB" w14:paraId="663543C0" w14:textId="77777777" w:rsidTr="00DE38B5">
        <w:trPr>
          <w:trHeight w:val="60"/>
        </w:trPr>
        <w:tc>
          <w:tcPr>
            <w:tcW w:w="1984" w:type="dxa"/>
          </w:tcPr>
          <w:p w14:paraId="65B648F0" w14:textId="77777777" w:rsidR="000756EB" w:rsidRDefault="004A4D88" w:rsidP="00B4004A">
            <w:pPr>
              <w:pStyle w:val="TableCopy"/>
            </w:pPr>
            <w:r>
              <w:t>201x</w:t>
            </w:r>
          </w:p>
        </w:tc>
        <w:tc>
          <w:tcPr>
            <w:tcW w:w="3398" w:type="dxa"/>
          </w:tcPr>
          <w:p w14:paraId="1D191487" w14:textId="4BB208BE" w:rsidR="000756EB" w:rsidRDefault="004A4D88" w:rsidP="00B4004A">
            <w:pPr>
              <w:pStyle w:val="TableCopy"/>
            </w:pPr>
            <w:r>
              <w:t>year</w:t>
            </w:r>
            <w:r w:rsidR="00A03629">
              <w:t xml:space="preserve"> </w:t>
            </w:r>
            <w:r>
              <w:t>period</w:t>
            </w:r>
          </w:p>
        </w:tc>
      </w:tr>
      <w:tr w:rsidR="000756EB" w14:paraId="3ADE2ED6" w14:textId="77777777" w:rsidTr="00DE38B5">
        <w:trPr>
          <w:trHeight w:val="60"/>
        </w:trPr>
        <w:tc>
          <w:tcPr>
            <w:tcW w:w="1984" w:type="dxa"/>
          </w:tcPr>
          <w:p w14:paraId="24750C3F" w14:textId="77777777" w:rsidR="000756EB" w:rsidRDefault="004A4D88" w:rsidP="00B4004A">
            <w:pPr>
              <w:pStyle w:val="TableCopy"/>
            </w:pPr>
            <w:r>
              <w:t>201x–1x</w:t>
            </w:r>
          </w:p>
        </w:tc>
        <w:tc>
          <w:tcPr>
            <w:tcW w:w="3398" w:type="dxa"/>
          </w:tcPr>
          <w:p w14:paraId="39638B27" w14:textId="724F1EFB" w:rsidR="000756EB" w:rsidRDefault="004A4D88" w:rsidP="00B4004A">
            <w:pPr>
              <w:pStyle w:val="TableCopy"/>
            </w:pPr>
            <w:r>
              <w:t>year</w:t>
            </w:r>
            <w:r w:rsidR="00A03629">
              <w:t xml:space="preserve"> </w:t>
            </w:r>
            <w:r>
              <w:t>period</w:t>
            </w:r>
          </w:p>
        </w:tc>
      </w:tr>
    </w:tbl>
    <w:p w14:paraId="78B78F25" w14:textId="77777777" w:rsidR="000756EB" w:rsidRDefault="000756EB" w:rsidP="00B4004A"/>
    <w:p w14:paraId="34FB829E" w14:textId="5FC3911E" w:rsidR="000756EB" w:rsidRDefault="004A4D88" w:rsidP="00B4004A">
      <w:r>
        <w:t>The</w:t>
      </w:r>
      <w:r w:rsidR="00A03629">
        <w:t xml:space="preserve"> </w:t>
      </w:r>
      <w:r>
        <w:t>financial</w:t>
      </w:r>
      <w:r w:rsidR="00A03629">
        <w:t xml:space="preserve"> </w:t>
      </w:r>
      <w:r>
        <w:t>statements</w:t>
      </w:r>
      <w:r w:rsidR="00A03629">
        <w:t xml:space="preserve"> </w:t>
      </w:r>
      <w:r>
        <w:t>and</w:t>
      </w:r>
      <w:r w:rsidR="00A03629">
        <w:t xml:space="preserve"> </w:t>
      </w:r>
      <w:r>
        <w:t>notes</w:t>
      </w:r>
      <w:r w:rsidR="00A03629">
        <w:t xml:space="preserve"> </w:t>
      </w:r>
      <w:r>
        <w:t>are</w:t>
      </w:r>
      <w:r w:rsidR="00A03629">
        <w:t xml:space="preserve"> </w:t>
      </w:r>
      <w:r>
        <w:t>presented</w:t>
      </w:r>
      <w:r w:rsidR="00A03629">
        <w:t xml:space="preserve"> </w:t>
      </w:r>
      <w:r>
        <w:t>based</w:t>
      </w:r>
      <w:r w:rsidR="00A03629">
        <w:t xml:space="preserve"> </w:t>
      </w:r>
      <w:r>
        <w:t>on</w:t>
      </w:r>
      <w:r w:rsidR="00A03629">
        <w:t xml:space="preserve"> </w:t>
      </w:r>
      <w:r>
        <w:t>the</w:t>
      </w:r>
      <w:r w:rsidR="00A03629">
        <w:t xml:space="preserve"> </w:t>
      </w:r>
      <w:r>
        <w:t>illustration</w:t>
      </w:r>
      <w:r w:rsidR="00A03629">
        <w:t xml:space="preserve"> </w:t>
      </w:r>
      <w:r>
        <w:t>for</w:t>
      </w:r>
      <w:r w:rsidR="00A03629">
        <w:t xml:space="preserve"> </w:t>
      </w:r>
      <w:r>
        <w:t>a</w:t>
      </w:r>
      <w:r w:rsidR="00A03629">
        <w:t xml:space="preserve"> </w:t>
      </w:r>
      <w:r>
        <w:t>government</w:t>
      </w:r>
      <w:r w:rsidR="00A03629">
        <w:t xml:space="preserve"> </w:t>
      </w:r>
      <w:r>
        <w:t>department</w:t>
      </w:r>
      <w:r w:rsidR="00A03629">
        <w:t xml:space="preserve"> </w:t>
      </w:r>
      <w:r>
        <w:t>in</w:t>
      </w:r>
      <w:r w:rsidR="00A03629">
        <w:t xml:space="preserve"> </w:t>
      </w:r>
      <w:r>
        <w:t>the</w:t>
      </w:r>
      <w:r w:rsidR="00A03629">
        <w:t xml:space="preserve"> </w:t>
      </w:r>
      <w:r>
        <w:t>2022–23</w:t>
      </w:r>
      <w:r w:rsidR="00A03629">
        <w:t xml:space="preserve"> </w:t>
      </w:r>
      <w:r>
        <w:t>Model</w:t>
      </w:r>
      <w:r w:rsidR="00A03629">
        <w:t xml:space="preserve"> </w:t>
      </w:r>
      <w:r>
        <w:t>Report</w:t>
      </w:r>
      <w:r w:rsidR="00A03629">
        <w:t xml:space="preserve"> </w:t>
      </w:r>
      <w:r>
        <w:t>for</w:t>
      </w:r>
      <w:r w:rsidR="00A03629">
        <w:t xml:space="preserve"> </w:t>
      </w:r>
      <w:r>
        <w:t>Victorian</w:t>
      </w:r>
      <w:r w:rsidR="00A03629">
        <w:t xml:space="preserve"> </w:t>
      </w:r>
      <w:r>
        <w:t>Government</w:t>
      </w:r>
      <w:r w:rsidR="00A03629">
        <w:t xml:space="preserve"> </w:t>
      </w:r>
      <w:r>
        <w:t>Departments.</w:t>
      </w:r>
      <w:r w:rsidR="00A03629">
        <w:t xml:space="preserve"> </w:t>
      </w:r>
      <w:r>
        <w:t>The</w:t>
      </w:r>
      <w:r w:rsidR="00A03629">
        <w:rPr>
          <w:rFonts w:ascii="Cambria" w:hAnsi="Cambria" w:cs="Cambria"/>
        </w:rPr>
        <w:t xml:space="preserve"> </w:t>
      </w:r>
      <w:r>
        <w:t>presentation</w:t>
      </w:r>
      <w:r w:rsidR="00A03629">
        <w:t xml:space="preserve"> </w:t>
      </w:r>
      <w:r>
        <w:t>of</w:t>
      </w:r>
      <w:r w:rsidR="00A03629">
        <w:t xml:space="preserve"> </w:t>
      </w:r>
      <w:r>
        <w:t>other</w:t>
      </w:r>
      <w:r w:rsidR="00A03629">
        <w:t xml:space="preserve"> </w:t>
      </w:r>
      <w:r>
        <w:t>disclosures</w:t>
      </w:r>
      <w:r w:rsidR="00A03629">
        <w:t xml:space="preserve"> </w:t>
      </w:r>
      <w:r>
        <w:t>is</w:t>
      </w:r>
      <w:r w:rsidR="00A03629">
        <w:t xml:space="preserve"> </w:t>
      </w:r>
      <w:r>
        <w:t>generally</w:t>
      </w:r>
      <w:r w:rsidR="00A03629">
        <w:t xml:space="preserve"> </w:t>
      </w:r>
      <w:r>
        <w:t>consistent</w:t>
      </w:r>
      <w:r w:rsidR="00A03629">
        <w:t xml:space="preserve"> </w:t>
      </w:r>
      <w:r>
        <w:t>with</w:t>
      </w:r>
      <w:r w:rsidR="00A03629">
        <w:t xml:space="preserve"> </w:t>
      </w:r>
      <w:r>
        <w:t>the</w:t>
      </w:r>
      <w:r w:rsidR="00A03629">
        <w:t xml:space="preserve"> </w:t>
      </w:r>
      <w:r>
        <w:t>other</w:t>
      </w:r>
      <w:r w:rsidR="00A03629">
        <w:t xml:space="preserve"> </w:t>
      </w:r>
      <w:r>
        <w:t>disclosures</w:t>
      </w:r>
      <w:r w:rsidR="00A03629">
        <w:t xml:space="preserve"> </w:t>
      </w:r>
      <w:r>
        <w:t>made</w:t>
      </w:r>
      <w:r w:rsidR="00A03629">
        <w:t xml:space="preserve"> </w:t>
      </w:r>
      <w:r>
        <w:t>in</w:t>
      </w:r>
      <w:r w:rsidR="00A03629">
        <w:t xml:space="preserve"> </w:t>
      </w:r>
      <w:r>
        <w:t>earlier</w:t>
      </w:r>
      <w:r w:rsidR="00A03629">
        <w:rPr>
          <w:rFonts w:ascii="Cambria" w:hAnsi="Cambria" w:cs="Cambria"/>
        </w:rPr>
        <w:t xml:space="preserve"> </w:t>
      </w:r>
      <w:r>
        <w:t>publications</w:t>
      </w:r>
      <w:r w:rsidR="00A03629">
        <w:t xml:space="preserve"> </w:t>
      </w:r>
      <w:r>
        <w:t>of</w:t>
      </w:r>
      <w:r w:rsidR="00A03629">
        <w:t xml:space="preserve"> </w:t>
      </w:r>
      <w:r>
        <w:t>DJSIR’s</w:t>
      </w:r>
      <w:r w:rsidR="00A03629">
        <w:t xml:space="preserve"> </w:t>
      </w:r>
      <w:r>
        <w:t>annual</w:t>
      </w:r>
      <w:r w:rsidR="00A03629">
        <w:t xml:space="preserve"> </w:t>
      </w:r>
      <w:r>
        <w:t>reports.</w:t>
      </w:r>
    </w:p>
    <w:sectPr w:rsidR="000756EB" w:rsidSect="00D76126">
      <w:pgSz w:w="11906" w:h="16838" w:code="9"/>
      <w:pgMar w:top="1134" w:right="851" w:bottom="1134" w:left="851" w:header="397" w:footer="39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E543B" w14:textId="77777777" w:rsidR="0067627B" w:rsidRDefault="0067627B" w:rsidP="00145AF3">
      <w:pPr>
        <w:spacing w:after="0" w:line="240" w:lineRule="auto"/>
      </w:pPr>
      <w:r>
        <w:separator/>
      </w:r>
    </w:p>
  </w:endnote>
  <w:endnote w:type="continuationSeparator" w:id="0">
    <w:p w14:paraId="1EF4B788" w14:textId="77777777" w:rsidR="0067627B" w:rsidRDefault="0067627B" w:rsidP="00145AF3">
      <w:pPr>
        <w:spacing w:after="0" w:line="240" w:lineRule="auto"/>
      </w:pPr>
      <w:r>
        <w:continuationSeparator/>
      </w:r>
    </w:p>
  </w:endnote>
  <w:endnote w:type="continuationNotice" w:id="1">
    <w:p w14:paraId="64BC7C7E" w14:textId="77777777" w:rsidR="0067627B" w:rsidRDefault="006762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Regular">
    <w:altName w:val="Times New Roman"/>
    <w:panose1 w:val="00000000000000000000"/>
    <w:charset w:val="00"/>
    <w:family w:val="auto"/>
    <w:notTrueType/>
    <w:pitch w:val="variable"/>
    <w:sig w:usb0="E00002FF" w:usb1="5000205A" w:usb2="00000000" w:usb3="00000000" w:csb0="0000019F" w:csb1="00000000"/>
  </w:font>
  <w:font w:name="VIC (OTF) Light">
    <w:altName w:val="VIC"/>
    <w:panose1 w:val="00000000000000000000"/>
    <w:charset w:val="4D"/>
    <w:family w:val="auto"/>
    <w:notTrueType/>
    <w:pitch w:val="variable"/>
    <w:sig w:usb0="00000007" w:usb1="00000000" w:usb2="00000000" w:usb3="00000000" w:csb0="00000093" w:csb1="00000000"/>
  </w:font>
  <w:font w:name="VIC (OTF) Medium">
    <w:altName w:val="VIC"/>
    <w:panose1 w:val="00000000000000000000"/>
    <w:charset w:val="4D"/>
    <w:family w:val="auto"/>
    <w:notTrueType/>
    <w:pitch w:val="variable"/>
    <w:sig w:usb0="00000007" w:usb1="00000000" w:usb2="00000000" w:usb3="00000000" w:csb0="00000093" w:csb1="00000000"/>
  </w:font>
  <w:font w:name="VIC (OTF)">
    <w:altName w:val="VIC"/>
    <w:panose1 w:val="00000000000000000000"/>
    <w:charset w:val="4D"/>
    <w:family w:val="auto"/>
    <w:notTrueType/>
    <w:pitch w:val="variable"/>
    <w:sig w:usb0="00000007" w:usb1="00000000" w:usb2="00000000" w:usb3="00000000" w:csb0="00000093" w:csb1="00000000"/>
  </w:font>
  <w:font w:name="VIC (OTF) SemiBold">
    <w:altName w:val="VIC"/>
    <w:panose1 w:val="00000000000000000000"/>
    <w:charset w:val="4D"/>
    <w:family w:val="auto"/>
    <w:notTrueType/>
    <w:pitch w:val="variable"/>
    <w:sig w:usb0="00000007" w:usb1="00000000" w:usb2="00000000" w:usb3="00000000" w:csb0="00000093" w:csb1="00000000"/>
  </w:font>
  <w:font w:name="VIC (OTF) Light Italic">
    <w:altName w:val="VIC"/>
    <w:panose1 w:val="00000000000000000000"/>
    <w:charset w:val="4D"/>
    <w:family w:val="auto"/>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VIC Light">
    <w:panose1 w:val="000004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VIC">
    <w:panose1 w:val="00000500000000000000"/>
    <w:charset w:val="00"/>
    <w:family w:val="modern"/>
    <w:notTrueType/>
    <w:pitch w:val="variable"/>
    <w:sig w:usb0="00000007" w:usb1="00000000" w:usb2="00000000" w:usb3="00000000" w:csb0="00000093" w:csb1="00000000"/>
  </w:font>
  <w:font w:name="VIC SemiBold">
    <w:panose1 w:val="00000700000000000000"/>
    <w:charset w:val="00"/>
    <w:family w:val="modern"/>
    <w:notTrueType/>
    <w:pitch w:val="variable"/>
    <w:sig w:usb0="00000007" w:usb1="00000000" w:usb2="00000000" w:usb3="00000000" w:csb0="00000093" w:csb1="00000000"/>
  </w:font>
  <w:font w:name="Arial Bold">
    <w:altName w:val="Arial"/>
    <w:panose1 w:val="020B0704020202020204"/>
    <w:charset w:val="00"/>
    <w:family w:val="roman"/>
    <w:notTrueType/>
    <w:pitch w:val="default"/>
  </w:font>
  <w:font w:name="VIC Medium">
    <w:panose1 w:val="000006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1DB14" w14:textId="1A4BCE29" w:rsidR="00145AF3" w:rsidRDefault="00145AF3">
    <w:pPr>
      <w:pStyle w:val="Footer"/>
    </w:pPr>
    <w:r>
      <w:rPr>
        <w:noProof/>
      </w:rPr>
      <mc:AlternateContent>
        <mc:Choice Requires="wps">
          <w:drawing>
            <wp:anchor distT="0" distB="0" distL="0" distR="0" simplePos="0" relativeHeight="251658243" behindDoc="0" locked="0" layoutInCell="1" allowOverlap="1" wp14:anchorId="6930A9B9" wp14:editId="664D7C75">
              <wp:simplePos x="635" y="635"/>
              <wp:positionH relativeFrom="column">
                <wp:align>center</wp:align>
              </wp:positionH>
              <wp:positionV relativeFrom="paragraph">
                <wp:posOffset>635</wp:posOffset>
              </wp:positionV>
              <wp:extent cx="443865" cy="443865"/>
              <wp:effectExtent l="0" t="0" r="18415" b="1905"/>
              <wp:wrapSquare wrapText="bothSides"/>
              <wp:docPr id="7" name="Text Box 7">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2C6EE2" w14:textId="5FA6BA61" w:rsidR="00145AF3" w:rsidRPr="00145AF3" w:rsidRDefault="00145AF3">
                          <w:pPr>
                            <w:rPr>
                              <w:rFonts w:eastAsia="Arial"/>
                              <w:color w:val="000000"/>
                              <w:szCs w:val="24"/>
                            </w:rPr>
                          </w:pPr>
                          <w:r w:rsidRPr="00145AF3">
                            <w:rPr>
                              <w:rFonts w:eastAsia="Arial"/>
                              <w:color w:val="000000"/>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930A9B9" id="_x0000_t202" coordsize="21600,21600" o:spt="202" path="m,l,21600r21600,l21600,xe">
              <v:stroke joinstyle="miter"/>
              <v:path gradientshapeok="t" o:connecttype="rect"/>
            </v:shapetype>
            <v:shape id="Text Box 7" o:spid="_x0000_s1027" type="#_x0000_t202" alt="&quot;&quot;" style="position:absolute;margin-left:0;margin-top:.05pt;width:34.95pt;height:34.95pt;z-index:25165824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" filled="f" stroked="f">
              <v:textbox style="mso-fit-shape-to-text:t" inset="0,0,0,0">
                <w:txbxContent>
                  <w:p w14:paraId="4C2C6EE2" w14:textId="5FA6BA61" w:rsidR="00145AF3" w:rsidRPr="00145AF3" w:rsidRDefault="00145AF3">
                    <w:pPr>
                      <w:rPr>
                        <w:rFonts w:eastAsia="Arial"/>
                        <w:color w:val="000000"/>
                        <w:szCs w:val="24"/>
                      </w:rPr>
                    </w:pPr>
                    <w:r w:rsidRPr="00145AF3">
                      <w:rPr>
                        <w:rFonts w:eastAsia="Arial"/>
                        <w:color w:val="000000"/>
                        <w:szCs w:val="24"/>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F7889" w14:textId="4D8970C7" w:rsidR="00145AF3" w:rsidRDefault="00145AF3">
    <w:pPr>
      <w:pStyle w:val="Footer"/>
    </w:pPr>
    <w:r>
      <w:rPr>
        <w:noProof/>
      </w:rPr>
      <mc:AlternateContent>
        <mc:Choice Requires="wps">
          <w:drawing>
            <wp:anchor distT="0" distB="0" distL="0" distR="0" simplePos="0" relativeHeight="251658242" behindDoc="0" locked="0" layoutInCell="1" allowOverlap="1" wp14:anchorId="2CB854F1" wp14:editId="078CE40B">
              <wp:simplePos x="635" y="635"/>
              <wp:positionH relativeFrom="column">
                <wp:align>center</wp:align>
              </wp:positionH>
              <wp:positionV relativeFrom="paragraph">
                <wp:posOffset>635</wp:posOffset>
              </wp:positionV>
              <wp:extent cx="443865" cy="443865"/>
              <wp:effectExtent l="0" t="0" r="18415" b="1905"/>
              <wp:wrapSquare wrapText="bothSides"/>
              <wp:docPr id="6"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2984CD" w14:textId="18D87109" w:rsidR="00145AF3" w:rsidRPr="00145AF3" w:rsidRDefault="00145AF3">
                          <w:pPr>
                            <w:rPr>
                              <w:rFonts w:eastAsia="Arial"/>
                              <w:color w:val="000000"/>
                              <w:szCs w:val="24"/>
                            </w:rPr>
                          </w:pPr>
                          <w:r w:rsidRPr="00145AF3">
                            <w:rPr>
                              <w:rFonts w:eastAsia="Arial"/>
                              <w:color w:val="000000"/>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CB854F1" id="_x0000_t202" coordsize="21600,21600" o:spt="202" path="m,l,21600r21600,l21600,xe">
              <v:stroke joinstyle="miter"/>
              <v:path gradientshapeok="t" o:connecttype="rect"/>
            </v:shapetype>
            <v:shape id="Text Box 6" o:spid="_x0000_s1029" type="#_x0000_t202" alt="&quot;&quot;" style="position:absolute;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" filled="f" stroked="f">
              <v:textbox style="mso-fit-shape-to-text:t" inset="0,0,0,0">
                <w:txbxContent>
                  <w:p w14:paraId="092984CD" w14:textId="18D87109" w:rsidR="00145AF3" w:rsidRPr="00145AF3" w:rsidRDefault="00145AF3">
                    <w:pPr>
                      <w:rPr>
                        <w:rFonts w:eastAsia="Arial"/>
                        <w:color w:val="000000"/>
                        <w:szCs w:val="24"/>
                      </w:rPr>
                    </w:pPr>
                    <w:r w:rsidRPr="00145AF3">
                      <w:rPr>
                        <w:rFonts w:eastAsia="Arial"/>
                        <w:color w:val="000000"/>
                        <w:szCs w:val="24"/>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D3B26" w14:textId="77777777" w:rsidR="0067627B" w:rsidRDefault="0067627B" w:rsidP="00145AF3">
      <w:pPr>
        <w:spacing w:after="0" w:line="240" w:lineRule="auto"/>
      </w:pPr>
      <w:r>
        <w:separator/>
      </w:r>
    </w:p>
  </w:footnote>
  <w:footnote w:type="continuationSeparator" w:id="0">
    <w:p w14:paraId="2A9D7789" w14:textId="77777777" w:rsidR="0067627B" w:rsidRDefault="0067627B" w:rsidP="00145AF3">
      <w:pPr>
        <w:spacing w:after="0" w:line="240" w:lineRule="auto"/>
      </w:pPr>
      <w:r>
        <w:continuationSeparator/>
      </w:r>
    </w:p>
  </w:footnote>
  <w:footnote w:type="continuationNotice" w:id="1">
    <w:p w14:paraId="69CEC25A" w14:textId="77777777" w:rsidR="0067627B" w:rsidRDefault="006762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5CAB1" w14:textId="7ED3E608" w:rsidR="00145AF3" w:rsidRDefault="00145AF3">
    <w:pPr>
      <w:pStyle w:val="Header"/>
    </w:pPr>
    <w:r>
      <w:rPr>
        <w:noProof/>
      </w:rPr>
      <mc:AlternateContent>
        <mc:Choice Requires="wps">
          <w:drawing>
            <wp:anchor distT="0" distB="0" distL="0" distR="0" simplePos="0" relativeHeight="251658241" behindDoc="0" locked="0" layoutInCell="1" allowOverlap="1" wp14:anchorId="222CC754" wp14:editId="3F56216F">
              <wp:simplePos x="635" y="635"/>
              <wp:positionH relativeFrom="column">
                <wp:align>center</wp:align>
              </wp:positionH>
              <wp:positionV relativeFrom="paragraph">
                <wp:posOffset>635</wp:posOffset>
              </wp:positionV>
              <wp:extent cx="443865" cy="443865"/>
              <wp:effectExtent l="0" t="0" r="18415" b="1905"/>
              <wp:wrapSquare wrapText="bothSides"/>
              <wp:docPr id="4"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49B5C2" w14:textId="06CEAE98" w:rsidR="00145AF3" w:rsidRPr="00145AF3" w:rsidRDefault="00145AF3">
                          <w:pPr>
                            <w:rPr>
                              <w:rFonts w:eastAsia="Arial"/>
                              <w:color w:val="000000"/>
                              <w:szCs w:val="24"/>
                            </w:rPr>
                          </w:pPr>
                          <w:r w:rsidRPr="00145AF3">
                            <w:rPr>
                              <w:rFonts w:eastAsia="Arial"/>
                              <w:color w:val="000000"/>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22CC754" id="_x0000_t202" coordsize="21600,21600" o:spt="202" path="m,l,21600r21600,l21600,xe">
              <v:stroke joinstyle="miter"/>
              <v:path gradientshapeok="t" o:connecttype="rect"/>
            </v:shapetype>
            <v:shape id="Text Box 4" o:spid="_x0000_s1026" type="#_x0000_t202" alt="&quot;&quot;"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" filled="f" stroked="f">
              <v:textbox style="mso-fit-shape-to-text:t" inset="0,0,0,0">
                <w:txbxContent>
                  <w:p w14:paraId="6049B5C2" w14:textId="06CEAE98" w:rsidR="00145AF3" w:rsidRPr="00145AF3" w:rsidRDefault="00145AF3">
                    <w:pPr>
                      <w:rPr>
                        <w:rFonts w:eastAsia="Arial"/>
                        <w:color w:val="000000"/>
                        <w:szCs w:val="24"/>
                      </w:rPr>
                    </w:pPr>
                    <w:r w:rsidRPr="00145AF3">
                      <w:rPr>
                        <w:rFonts w:eastAsia="Arial"/>
                        <w:color w:val="000000"/>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8ED25" w14:textId="604AEC48" w:rsidR="00145AF3" w:rsidRDefault="00145AF3">
    <w:pPr>
      <w:pStyle w:val="Header"/>
    </w:pPr>
    <w:r>
      <w:rPr>
        <w:noProof/>
      </w:rPr>
      <mc:AlternateContent>
        <mc:Choice Requires="wps">
          <w:drawing>
            <wp:anchor distT="0" distB="0" distL="0" distR="0" simplePos="0" relativeHeight="251658240" behindDoc="0" locked="0" layoutInCell="1" allowOverlap="1" wp14:anchorId="35578071" wp14:editId="45AC8C3D">
              <wp:simplePos x="635" y="635"/>
              <wp:positionH relativeFrom="column">
                <wp:align>center</wp:align>
              </wp:positionH>
              <wp:positionV relativeFrom="paragraph">
                <wp:posOffset>635</wp:posOffset>
              </wp:positionV>
              <wp:extent cx="443865" cy="443865"/>
              <wp:effectExtent l="0" t="0" r="18415" b="1905"/>
              <wp:wrapSquare wrapText="bothSides"/>
              <wp:docPr id="3"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21FB87" w14:textId="71BB4D65" w:rsidR="00145AF3" w:rsidRPr="00145AF3" w:rsidRDefault="00145AF3">
                          <w:pPr>
                            <w:rPr>
                              <w:rFonts w:eastAsia="Arial"/>
                              <w:color w:val="000000"/>
                              <w:szCs w:val="24"/>
                            </w:rPr>
                          </w:pPr>
                          <w:r w:rsidRPr="00145AF3">
                            <w:rPr>
                              <w:rFonts w:eastAsia="Arial"/>
                              <w:color w:val="000000"/>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5578071" id="_x0000_t202" coordsize="21600,21600" o:spt="202" path="m,l,21600r21600,l21600,xe">
              <v:stroke joinstyle="miter"/>
              <v:path gradientshapeok="t" o:connecttype="rect"/>
            </v:shapetype>
            <v:shape id="Text Box 3" o:spid="_x0000_s1028" type="#_x0000_t202" alt="&quot;&quot;"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" filled="f" stroked="f">
              <v:textbox style="mso-fit-shape-to-text:t" inset="0,0,0,0">
                <w:txbxContent>
                  <w:p w14:paraId="4B21FB87" w14:textId="71BB4D65" w:rsidR="00145AF3" w:rsidRPr="00145AF3" w:rsidRDefault="00145AF3">
                    <w:pPr>
                      <w:rPr>
                        <w:rFonts w:eastAsia="Arial"/>
                        <w:color w:val="000000"/>
                        <w:szCs w:val="24"/>
                      </w:rPr>
                    </w:pPr>
                    <w:r w:rsidRPr="00145AF3">
                      <w:rPr>
                        <w:rFonts w:eastAsia="Arial"/>
                        <w:color w:val="000000"/>
                        <w:szCs w:val="24"/>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C349471"/>
    <w:multiLevelType w:val="hybridMultilevel"/>
    <w:tmpl w:val="D2DA20A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72108D"/>
    <w:multiLevelType w:val="hybridMultilevel"/>
    <w:tmpl w:val="1A86E9BA"/>
    <w:lvl w:ilvl="0" w:tplc="9314F44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5D71EC"/>
    <w:multiLevelType w:val="hybridMultilevel"/>
    <w:tmpl w:val="9C3633AE"/>
    <w:lvl w:ilvl="0" w:tplc="58DC5624">
      <w:start w:val="1"/>
      <w:numFmt w:val="decimal"/>
      <w:pStyle w:val="Heading2numbered"/>
      <w:lvlText w:val="%1."/>
      <w:lvlJc w:val="left"/>
      <w:pPr>
        <w:ind w:left="454" w:hanging="454"/>
      </w:pPr>
      <w:rPr>
        <w:rFonts w:ascii="Arial" w:eastAsia="Arial" w:hAnsi="Arial" w:cs="Arial" w:hint="default"/>
        <w:color w:val="383834"/>
        <w:spacing w:val="-2"/>
        <w:w w:val="103"/>
        <w:sz w:val="32"/>
        <w:szCs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BE277B"/>
    <w:multiLevelType w:val="hybridMultilevel"/>
    <w:tmpl w:val="7D2A40B6"/>
    <w:lvl w:ilvl="0" w:tplc="F66AFD0A">
      <w:start w:val="1"/>
      <w:numFmt w:val="bullet"/>
      <w:pStyle w:val="Table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CF6C8A"/>
    <w:multiLevelType w:val="hybridMultilevel"/>
    <w:tmpl w:val="06F8BC4C"/>
    <w:lvl w:ilvl="0" w:tplc="68A05D72">
      <w:start w:val="1"/>
      <w:numFmt w:val="decimal"/>
      <w:pStyle w:val="Heading5"/>
      <w:lvlText w:val="%1."/>
      <w:lvlJc w:val="left"/>
      <w:pPr>
        <w:ind w:left="284" w:hanging="284"/>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DC42A07"/>
    <w:multiLevelType w:val="hybridMultilevel"/>
    <w:tmpl w:val="A8C2C1A2"/>
    <w:lvl w:ilvl="0" w:tplc="5EF43A4A">
      <w:start w:val="1"/>
      <w:numFmt w:val="bullet"/>
      <w:pStyle w:val="Bullet2"/>
      <w:lvlText w:val=""/>
      <w:lvlJc w:val="left"/>
      <w:pPr>
        <w:ind w:left="567" w:hanging="283"/>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727018"/>
    <w:multiLevelType w:val="hybridMultilevel"/>
    <w:tmpl w:val="D7B26DC8"/>
    <w:lvl w:ilvl="0" w:tplc="23607E76">
      <w:start w:val="1"/>
      <w:numFmt w:val="bullet"/>
      <w:pStyle w:val="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8D2287"/>
    <w:multiLevelType w:val="hybridMultilevel"/>
    <w:tmpl w:val="377CE0C8"/>
    <w:lvl w:ilvl="0" w:tplc="FC18AFFC">
      <w:start w:val="1"/>
      <w:numFmt w:val="lowerLetter"/>
      <w:pStyle w:val="ListParagraph-a"/>
      <w:lvlText w:val="%1)"/>
      <w:lvlJc w:val="left"/>
      <w:pPr>
        <w:ind w:left="653" w:hanging="369"/>
      </w:pPr>
      <w:rPr>
        <w:rFonts w:hint="default"/>
        <w:color w:val="383834"/>
        <w:spacing w:val="-2"/>
        <w:w w:val="103"/>
        <w:sz w:val="24"/>
        <w:szCs w:val="24"/>
        <w:lang w:val="en-AU" w:eastAsia="en-US" w:bidi="ar-SA"/>
      </w:rPr>
    </w:lvl>
    <w:lvl w:ilvl="1" w:tplc="FFFFFFFF">
      <w:numFmt w:val="bullet"/>
      <w:lvlText w:val="•"/>
      <w:lvlJc w:val="left"/>
      <w:pPr>
        <w:ind w:left="3362" w:hanging="369"/>
      </w:pPr>
      <w:rPr>
        <w:rFonts w:hint="default"/>
        <w:lang w:val="en-AU" w:eastAsia="en-US" w:bidi="ar-SA"/>
      </w:rPr>
    </w:lvl>
    <w:lvl w:ilvl="2" w:tplc="FFFFFFFF">
      <w:numFmt w:val="bullet"/>
      <w:lvlText w:val="•"/>
      <w:lvlJc w:val="left"/>
      <w:pPr>
        <w:ind w:left="4260" w:hanging="369"/>
      </w:pPr>
      <w:rPr>
        <w:rFonts w:hint="default"/>
        <w:lang w:val="en-AU" w:eastAsia="en-US" w:bidi="ar-SA"/>
      </w:rPr>
    </w:lvl>
    <w:lvl w:ilvl="3" w:tplc="FFFFFFFF">
      <w:numFmt w:val="bullet"/>
      <w:lvlText w:val="•"/>
      <w:lvlJc w:val="left"/>
      <w:pPr>
        <w:ind w:left="5159" w:hanging="369"/>
      </w:pPr>
      <w:rPr>
        <w:rFonts w:hint="default"/>
        <w:lang w:val="en-AU" w:eastAsia="en-US" w:bidi="ar-SA"/>
      </w:rPr>
    </w:lvl>
    <w:lvl w:ilvl="4" w:tplc="FFFFFFFF">
      <w:numFmt w:val="bullet"/>
      <w:lvlText w:val="•"/>
      <w:lvlJc w:val="left"/>
      <w:pPr>
        <w:ind w:left="6057" w:hanging="369"/>
      </w:pPr>
      <w:rPr>
        <w:rFonts w:hint="default"/>
        <w:lang w:val="en-AU" w:eastAsia="en-US" w:bidi="ar-SA"/>
      </w:rPr>
    </w:lvl>
    <w:lvl w:ilvl="5" w:tplc="FFFFFFFF">
      <w:numFmt w:val="bullet"/>
      <w:lvlText w:val="•"/>
      <w:lvlJc w:val="left"/>
      <w:pPr>
        <w:ind w:left="6956" w:hanging="369"/>
      </w:pPr>
      <w:rPr>
        <w:rFonts w:hint="default"/>
        <w:lang w:val="en-AU" w:eastAsia="en-US" w:bidi="ar-SA"/>
      </w:rPr>
    </w:lvl>
    <w:lvl w:ilvl="6" w:tplc="FFFFFFFF">
      <w:numFmt w:val="bullet"/>
      <w:lvlText w:val="•"/>
      <w:lvlJc w:val="left"/>
      <w:pPr>
        <w:ind w:left="7854" w:hanging="369"/>
      </w:pPr>
      <w:rPr>
        <w:rFonts w:hint="default"/>
        <w:lang w:val="en-AU" w:eastAsia="en-US" w:bidi="ar-SA"/>
      </w:rPr>
    </w:lvl>
    <w:lvl w:ilvl="7" w:tplc="FFFFFFFF">
      <w:numFmt w:val="bullet"/>
      <w:lvlText w:val="•"/>
      <w:lvlJc w:val="left"/>
      <w:pPr>
        <w:ind w:left="8752" w:hanging="369"/>
      </w:pPr>
      <w:rPr>
        <w:rFonts w:hint="default"/>
        <w:lang w:val="en-AU" w:eastAsia="en-US" w:bidi="ar-SA"/>
      </w:rPr>
    </w:lvl>
    <w:lvl w:ilvl="8" w:tplc="FFFFFFFF">
      <w:numFmt w:val="bullet"/>
      <w:lvlText w:val="•"/>
      <w:lvlJc w:val="left"/>
      <w:pPr>
        <w:ind w:left="9651" w:hanging="369"/>
      </w:pPr>
      <w:rPr>
        <w:rFonts w:hint="default"/>
        <w:lang w:val="en-AU" w:eastAsia="en-US" w:bidi="ar-SA"/>
      </w:rPr>
    </w:lvl>
  </w:abstractNum>
  <w:abstractNum w:abstractNumId="8" w15:restartNumberingAfterBreak="0">
    <w:nsid w:val="5EAFEFF4"/>
    <w:multiLevelType w:val="hybridMultilevel"/>
    <w:tmpl w:val="351F03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1546C2F"/>
    <w:multiLevelType w:val="hybridMultilevel"/>
    <w:tmpl w:val="1898F8C0"/>
    <w:lvl w:ilvl="0" w:tplc="6BA8646C">
      <w:start w:val="1"/>
      <w:numFmt w:val="decimal"/>
      <w:pStyle w:val="ListParagraph"/>
      <w:lvlText w:val="%1."/>
      <w:lvlJc w:val="left"/>
      <w:pPr>
        <w:ind w:left="653" w:hanging="369"/>
      </w:pPr>
      <w:rPr>
        <w:rFonts w:ascii="Arial" w:eastAsia="Arial" w:hAnsi="Arial" w:cs="Arial" w:hint="default"/>
        <w:color w:val="383834"/>
        <w:spacing w:val="-2"/>
        <w:w w:val="103"/>
        <w:sz w:val="20"/>
        <w:szCs w:val="20"/>
        <w:lang w:val="en-AU" w:eastAsia="en-US" w:bidi="ar-SA"/>
      </w:rPr>
    </w:lvl>
    <w:lvl w:ilvl="1" w:tplc="93AEFE8E">
      <w:numFmt w:val="bullet"/>
      <w:lvlText w:val="•"/>
      <w:lvlJc w:val="left"/>
      <w:pPr>
        <w:ind w:left="3362" w:hanging="369"/>
      </w:pPr>
      <w:rPr>
        <w:rFonts w:hint="default"/>
        <w:lang w:val="en-AU" w:eastAsia="en-US" w:bidi="ar-SA"/>
      </w:rPr>
    </w:lvl>
    <w:lvl w:ilvl="2" w:tplc="12D4977C">
      <w:numFmt w:val="bullet"/>
      <w:lvlText w:val="•"/>
      <w:lvlJc w:val="left"/>
      <w:pPr>
        <w:ind w:left="4260" w:hanging="369"/>
      </w:pPr>
      <w:rPr>
        <w:rFonts w:hint="default"/>
        <w:lang w:val="en-AU" w:eastAsia="en-US" w:bidi="ar-SA"/>
      </w:rPr>
    </w:lvl>
    <w:lvl w:ilvl="3" w:tplc="DF12600A">
      <w:numFmt w:val="bullet"/>
      <w:lvlText w:val="•"/>
      <w:lvlJc w:val="left"/>
      <w:pPr>
        <w:ind w:left="5159" w:hanging="369"/>
      </w:pPr>
      <w:rPr>
        <w:rFonts w:hint="default"/>
        <w:lang w:val="en-AU" w:eastAsia="en-US" w:bidi="ar-SA"/>
      </w:rPr>
    </w:lvl>
    <w:lvl w:ilvl="4" w:tplc="E3CA3F6E">
      <w:numFmt w:val="bullet"/>
      <w:lvlText w:val="•"/>
      <w:lvlJc w:val="left"/>
      <w:pPr>
        <w:ind w:left="6057" w:hanging="369"/>
      </w:pPr>
      <w:rPr>
        <w:rFonts w:hint="default"/>
        <w:lang w:val="en-AU" w:eastAsia="en-US" w:bidi="ar-SA"/>
      </w:rPr>
    </w:lvl>
    <w:lvl w:ilvl="5" w:tplc="CBBC68C0">
      <w:numFmt w:val="bullet"/>
      <w:lvlText w:val="•"/>
      <w:lvlJc w:val="left"/>
      <w:pPr>
        <w:ind w:left="6956" w:hanging="369"/>
      </w:pPr>
      <w:rPr>
        <w:rFonts w:hint="default"/>
        <w:lang w:val="en-AU" w:eastAsia="en-US" w:bidi="ar-SA"/>
      </w:rPr>
    </w:lvl>
    <w:lvl w:ilvl="6" w:tplc="E9A064E6">
      <w:numFmt w:val="bullet"/>
      <w:lvlText w:val="•"/>
      <w:lvlJc w:val="left"/>
      <w:pPr>
        <w:ind w:left="7854" w:hanging="369"/>
      </w:pPr>
      <w:rPr>
        <w:rFonts w:hint="default"/>
        <w:lang w:val="en-AU" w:eastAsia="en-US" w:bidi="ar-SA"/>
      </w:rPr>
    </w:lvl>
    <w:lvl w:ilvl="7" w:tplc="4A0AAF2E">
      <w:numFmt w:val="bullet"/>
      <w:lvlText w:val="•"/>
      <w:lvlJc w:val="left"/>
      <w:pPr>
        <w:ind w:left="8752" w:hanging="369"/>
      </w:pPr>
      <w:rPr>
        <w:rFonts w:hint="default"/>
        <w:lang w:val="en-AU" w:eastAsia="en-US" w:bidi="ar-SA"/>
      </w:rPr>
    </w:lvl>
    <w:lvl w:ilvl="8" w:tplc="0CD834B4">
      <w:numFmt w:val="bullet"/>
      <w:lvlText w:val="•"/>
      <w:lvlJc w:val="left"/>
      <w:pPr>
        <w:ind w:left="9651" w:hanging="369"/>
      </w:pPr>
      <w:rPr>
        <w:rFonts w:hint="default"/>
        <w:lang w:val="en-AU" w:eastAsia="en-US" w:bidi="ar-SA"/>
      </w:rPr>
    </w:lvl>
  </w:abstractNum>
  <w:num w:numId="1">
    <w:abstractNumId w:val="6"/>
  </w:num>
  <w:num w:numId="2">
    <w:abstractNumId w:val="5"/>
  </w:num>
  <w:num w:numId="3">
    <w:abstractNumId w:val="6"/>
  </w:num>
  <w:num w:numId="4">
    <w:abstractNumId w:val="2"/>
  </w:num>
  <w:num w:numId="5">
    <w:abstractNumId w:val="4"/>
  </w:num>
  <w:num w:numId="6">
    <w:abstractNumId w:val="9"/>
  </w:num>
  <w:num w:numId="7">
    <w:abstractNumId w:val="3"/>
  </w:num>
  <w:num w:numId="8">
    <w:abstractNumId w:val="1"/>
  </w:num>
  <w:num w:numId="9">
    <w:abstractNumId w:val="7"/>
  </w:num>
  <w:num w:numId="10">
    <w:abstractNumId w:val="7"/>
    <w:lvlOverride w:ilvl="0">
      <w:startOverride w:val="1"/>
    </w:lvlOverride>
  </w:num>
  <w:num w:numId="11">
    <w:abstractNumId w:val="7"/>
    <w:lvlOverride w:ilvl="0">
      <w:startOverride w:val="1"/>
    </w:lvlOverride>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
  <w:noLineBreaksBefore w:lang="ja-JP" w:val="!),.:;?]}¢—’”‰"/>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28F"/>
    <w:rsid w:val="00015F07"/>
    <w:rsid w:val="000354B6"/>
    <w:rsid w:val="000607CB"/>
    <w:rsid w:val="00063023"/>
    <w:rsid w:val="00071A02"/>
    <w:rsid w:val="00074E4C"/>
    <w:rsid w:val="000756EB"/>
    <w:rsid w:val="00085345"/>
    <w:rsid w:val="00085D09"/>
    <w:rsid w:val="000877E3"/>
    <w:rsid w:val="00095903"/>
    <w:rsid w:val="000A0312"/>
    <w:rsid w:val="000A356D"/>
    <w:rsid w:val="000B6926"/>
    <w:rsid w:val="000D37C4"/>
    <w:rsid w:val="000D3EFD"/>
    <w:rsid w:val="000F0AA2"/>
    <w:rsid w:val="00104948"/>
    <w:rsid w:val="00105BB0"/>
    <w:rsid w:val="0010725B"/>
    <w:rsid w:val="00110644"/>
    <w:rsid w:val="001248FD"/>
    <w:rsid w:val="00145AF3"/>
    <w:rsid w:val="0016174E"/>
    <w:rsid w:val="001A0FDA"/>
    <w:rsid w:val="001B1598"/>
    <w:rsid w:val="001C07E9"/>
    <w:rsid w:val="001C5D4D"/>
    <w:rsid w:val="001D52B1"/>
    <w:rsid w:val="001D55D6"/>
    <w:rsid w:val="001E29DD"/>
    <w:rsid w:val="00247F5B"/>
    <w:rsid w:val="00253A0C"/>
    <w:rsid w:val="0028590B"/>
    <w:rsid w:val="00291473"/>
    <w:rsid w:val="00297B9D"/>
    <w:rsid w:val="002A7C48"/>
    <w:rsid w:val="002B0815"/>
    <w:rsid w:val="002B209A"/>
    <w:rsid w:val="002C5BB5"/>
    <w:rsid w:val="002D15C0"/>
    <w:rsid w:val="002F48E0"/>
    <w:rsid w:val="002F6415"/>
    <w:rsid w:val="003008C1"/>
    <w:rsid w:val="00313B2D"/>
    <w:rsid w:val="0035114A"/>
    <w:rsid w:val="00351571"/>
    <w:rsid w:val="00381751"/>
    <w:rsid w:val="003A0D85"/>
    <w:rsid w:val="003D1E3F"/>
    <w:rsid w:val="003E1312"/>
    <w:rsid w:val="003F50E8"/>
    <w:rsid w:val="003F5CC4"/>
    <w:rsid w:val="00401134"/>
    <w:rsid w:val="0040115F"/>
    <w:rsid w:val="00420825"/>
    <w:rsid w:val="004255E9"/>
    <w:rsid w:val="004329E4"/>
    <w:rsid w:val="0044296A"/>
    <w:rsid w:val="00444259"/>
    <w:rsid w:val="00452B64"/>
    <w:rsid w:val="00454018"/>
    <w:rsid w:val="00455E52"/>
    <w:rsid w:val="004616AC"/>
    <w:rsid w:val="00461BCF"/>
    <w:rsid w:val="00476B80"/>
    <w:rsid w:val="004829DE"/>
    <w:rsid w:val="0048728F"/>
    <w:rsid w:val="004A4D88"/>
    <w:rsid w:val="004A7D55"/>
    <w:rsid w:val="004C00FA"/>
    <w:rsid w:val="004C6B09"/>
    <w:rsid w:val="004D2B80"/>
    <w:rsid w:val="004D732B"/>
    <w:rsid w:val="004D7585"/>
    <w:rsid w:val="004F2E45"/>
    <w:rsid w:val="005369D2"/>
    <w:rsid w:val="00542862"/>
    <w:rsid w:val="00560218"/>
    <w:rsid w:val="00560A4F"/>
    <w:rsid w:val="005653DB"/>
    <w:rsid w:val="005656B6"/>
    <w:rsid w:val="00573670"/>
    <w:rsid w:val="005811E7"/>
    <w:rsid w:val="00582D2F"/>
    <w:rsid w:val="005A7F30"/>
    <w:rsid w:val="005C22C3"/>
    <w:rsid w:val="005E3952"/>
    <w:rsid w:val="005E4CC3"/>
    <w:rsid w:val="00614829"/>
    <w:rsid w:val="00622A65"/>
    <w:rsid w:val="00627ECB"/>
    <w:rsid w:val="00635ADF"/>
    <w:rsid w:val="00637D5A"/>
    <w:rsid w:val="00642BD0"/>
    <w:rsid w:val="00647873"/>
    <w:rsid w:val="00651E07"/>
    <w:rsid w:val="00652DE3"/>
    <w:rsid w:val="00655639"/>
    <w:rsid w:val="00670204"/>
    <w:rsid w:val="00670B83"/>
    <w:rsid w:val="0067627B"/>
    <w:rsid w:val="00681449"/>
    <w:rsid w:val="006A59E8"/>
    <w:rsid w:val="006B1F74"/>
    <w:rsid w:val="006B557E"/>
    <w:rsid w:val="006C0CF0"/>
    <w:rsid w:val="006C4507"/>
    <w:rsid w:val="006D7B49"/>
    <w:rsid w:val="00740C7F"/>
    <w:rsid w:val="0075291A"/>
    <w:rsid w:val="00765585"/>
    <w:rsid w:val="0078224E"/>
    <w:rsid w:val="007848B1"/>
    <w:rsid w:val="00785106"/>
    <w:rsid w:val="007A26B9"/>
    <w:rsid w:val="007B6393"/>
    <w:rsid w:val="007D544B"/>
    <w:rsid w:val="007E1392"/>
    <w:rsid w:val="007F7F10"/>
    <w:rsid w:val="00855022"/>
    <w:rsid w:val="00855C5C"/>
    <w:rsid w:val="00855DFD"/>
    <w:rsid w:val="00872462"/>
    <w:rsid w:val="00881D6C"/>
    <w:rsid w:val="0088604A"/>
    <w:rsid w:val="00893DE5"/>
    <w:rsid w:val="008A0977"/>
    <w:rsid w:val="008A66EE"/>
    <w:rsid w:val="008C43E5"/>
    <w:rsid w:val="008F4E24"/>
    <w:rsid w:val="00903C7A"/>
    <w:rsid w:val="0090560D"/>
    <w:rsid w:val="0091371D"/>
    <w:rsid w:val="00935C0B"/>
    <w:rsid w:val="00940527"/>
    <w:rsid w:val="00951528"/>
    <w:rsid w:val="00962002"/>
    <w:rsid w:val="00965778"/>
    <w:rsid w:val="00984138"/>
    <w:rsid w:val="009919DC"/>
    <w:rsid w:val="0099644C"/>
    <w:rsid w:val="009A027D"/>
    <w:rsid w:val="009D0506"/>
    <w:rsid w:val="009D3D7A"/>
    <w:rsid w:val="00A03629"/>
    <w:rsid w:val="00A10646"/>
    <w:rsid w:val="00A312F7"/>
    <w:rsid w:val="00A35B04"/>
    <w:rsid w:val="00A702C8"/>
    <w:rsid w:val="00A85239"/>
    <w:rsid w:val="00AB06AB"/>
    <w:rsid w:val="00AC65A6"/>
    <w:rsid w:val="00AC723B"/>
    <w:rsid w:val="00AD114E"/>
    <w:rsid w:val="00AE5532"/>
    <w:rsid w:val="00AE677B"/>
    <w:rsid w:val="00AF744A"/>
    <w:rsid w:val="00B01FC2"/>
    <w:rsid w:val="00B03469"/>
    <w:rsid w:val="00B03D10"/>
    <w:rsid w:val="00B10169"/>
    <w:rsid w:val="00B123EF"/>
    <w:rsid w:val="00B23E3B"/>
    <w:rsid w:val="00B265FD"/>
    <w:rsid w:val="00B4004A"/>
    <w:rsid w:val="00B404D7"/>
    <w:rsid w:val="00B5500D"/>
    <w:rsid w:val="00B633B6"/>
    <w:rsid w:val="00B67A88"/>
    <w:rsid w:val="00B919A5"/>
    <w:rsid w:val="00BA3576"/>
    <w:rsid w:val="00BB0239"/>
    <w:rsid w:val="00BF20DE"/>
    <w:rsid w:val="00BF5A69"/>
    <w:rsid w:val="00BF636F"/>
    <w:rsid w:val="00C13A0E"/>
    <w:rsid w:val="00C170EE"/>
    <w:rsid w:val="00C34E55"/>
    <w:rsid w:val="00C41F1F"/>
    <w:rsid w:val="00C47647"/>
    <w:rsid w:val="00C603E4"/>
    <w:rsid w:val="00C8092D"/>
    <w:rsid w:val="00C92D5E"/>
    <w:rsid w:val="00CA6FDA"/>
    <w:rsid w:val="00CB0ABC"/>
    <w:rsid w:val="00CD60DF"/>
    <w:rsid w:val="00CE347F"/>
    <w:rsid w:val="00CF4123"/>
    <w:rsid w:val="00D02605"/>
    <w:rsid w:val="00D041F8"/>
    <w:rsid w:val="00D05F44"/>
    <w:rsid w:val="00D40F1B"/>
    <w:rsid w:val="00D52A5F"/>
    <w:rsid w:val="00D56B3C"/>
    <w:rsid w:val="00D76126"/>
    <w:rsid w:val="00D769EA"/>
    <w:rsid w:val="00D83289"/>
    <w:rsid w:val="00D96C02"/>
    <w:rsid w:val="00DB0639"/>
    <w:rsid w:val="00DB4E71"/>
    <w:rsid w:val="00DD063E"/>
    <w:rsid w:val="00DD5A54"/>
    <w:rsid w:val="00DE38B5"/>
    <w:rsid w:val="00DE6598"/>
    <w:rsid w:val="00E054C1"/>
    <w:rsid w:val="00E202C5"/>
    <w:rsid w:val="00E23024"/>
    <w:rsid w:val="00E44211"/>
    <w:rsid w:val="00E645A4"/>
    <w:rsid w:val="00E71789"/>
    <w:rsid w:val="00E72E03"/>
    <w:rsid w:val="00E86EBC"/>
    <w:rsid w:val="00E94AA1"/>
    <w:rsid w:val="00EE0122"/>
    <w:rsid w:val="00EF650A"/>
    <w:rsid w:val="00EF6DEC"/>
    <w:rsid w:val="00F02E7D"/>
    <w:rsid w:val="00F16EF6"/>
    <w:rsid w:val="00F419B5"/>
    <w:rsid w:val="00F510D8"/>
    <w:rsid w:val="00F56D2C"/>
    <w:rsid w:val="00F63FC0"/>
    <w:rsid w:val="00F64AF4"/>
    <w:rsid w:val="00F70498"/>
    <w:rsid w:val="00F70D58"/>
    <w:rsid w:val="00F93A58"/>
    <w:rsid w:val="00FB7B82"/>
    <w:rsid w:val="00FC3AFB"/>
    <w:rsid w:val="00FE7999"/>
    <w:rsid w:val="00FF5A0A"/>
    <w:rsid w:val="00FF61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679B9A2"/>
  <w14:defaultImageDpi w14:val="0"/>
  <w15:docId w15:val="{E304E863-364E-4A9A-8FB8-0AB8383D1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00D"/>
    <w:pPr>
      <w:suppressAutoHyphens/>
      <w:spacing w:after="280" w:line="276" w:lineRule="auto"/>
    </w:pPr>
    <w:rPr>
      <w:rFonts w:ascii="Arial" w:eastAsia="MS Mincho" w:hAnsi="Arial" w:cs="Arial"/>
      <w:sz w:val="24"/>
      <w:szCs w:val="32"/>
      <w:lang w:eastAsia="en-US"/>
    </w:rPr>
  </w:style>
  <w:style w:type="paragraph" w:styleId="Heading1">
    <w:name w:val="heading 1"/>
    <w:basedOn w:val="Normal"/>
    <w:next w:val="Normal"/>
    <w:link w:val="Heading1Char"/>
    <w:uiPriority w:val="9"/>
    <w:qFormat/>
    <w:rsid w:val="00BF20DE"/>
    <w:pPr>
      <w:keepNext/>
      <w:keepLines/>
      <w:pageBreakBefore/>
      <w:spacing w:before="480"/>
      <w:outlineLvl w:val="0"/>
    </w:pPr>
    <w:rPr>
      <w:rFonts w:eastAsia="MS Gothic" w:cs="Times New Roman"/>
      <w:b/>
      <w:bCs/>
      <w:sz w:val="36"/>
    </w:rPr>
  </w:style>
  <w:style w:type="paragraph" w:styleId="Heading2">
    <w:name w:val="heading 2"/>
    <w:basedOn w:val="Normal"/>
    <w:next w:val="Normal"/>
    <w:link w:val="Heading2Char"/>
    <w:uiPriority w:val="9"/>
    <w:unhideWhenUsed/>
    <w:qFormat/>
    <w:rsid w:val="00BF20DE"/>
    <w:pPr>
      <w:keepNext/>
      <w:keepLines/>
      <w:spacing w:before="360"/>
      <w:outlineLvl w:val="1"/>
    </w:pPr>
    <w:rPr>
      <w:rFonts w:eastAsia="MS Gothic" w:cs="Times New Roman"/>
      <w:b/>
      <w:bCs/>
      <w:sz w:val="32"/>
      <w:szCs w:val="26"/>
    </w:rPr>
  </w:style>
  <w:style w:type="paragraph" w:styleId="Heading3">
    <w:name w:val="heading 3"/>
    <w:basedOn w:val="Normal"/>
    <w:next w:val="Normal"/>
    <w:link w:val="Heading3Char"/>
    <w:uiPriority w:val="9"/>
    <w:unhideWhenUsed/>
    <w:qFormat/>
    <w:rsid w:val="00BF20DE"/>
    <w:pPr>
      <w:keepNext/>
      <w:keepLines/>
      <w:spacing w:before="200"/>
      <w:outlineLvl w:val="2"/>
    </w:pPr>
    <w:rPr>
      <w:rFonts w:eastAsia="MS Gothic"/>
      <w:b/>
      <w:bCs/>
      <w:sz w:val="28"/>
    </w:rPr>
  </w:style>
  <w:style w:type="paragraph" w:styleId="Heading4">
    <w:name w:val="heading 4"/>
    <w:basedOn w:val="Normal"/>
    <w:next w:val="Normal"/>
    <w:link w:val="Heading4Char"/>
    <w:uiPriority w:val="9"/>
    <w:unhideWhenUsed/>
    <w:qFormat/>
    <w:rsid w:val="00BF20DE"/>
    <w:pPr>
      <w:keepNext/>
      <w:keepLines/>
      <w:spacing w:before="200"/>
      <w:outlineLvl w:val="3"/>
    </w:pPr>
    <w:rPr>
      <w:rFonts w:eastAsia="MS Gothic"/>
      <w:b/>
      <w:bCs/>
      <w:iCs/>
    </w:rPr>
  </w:style>
  <w:style w:type="paragraph" w:styleId="Heading5">
    <w:name w:val="heading 5"/>
    <w:basedOn w:val="Normal"/>
    <w:next w:val="Normal"/>
    <w:link w:val="Heading5Char"/>
    <w:uiPriority w:val="9"/>
    <w:unhideWhenUsed/>
    <w:qFormat/>
    <w:rsid w:val="00BF20DE"/>
    <w:pPr>
      <w:numPr>
        <w:numId w:val="5"/>
      </w:numPr>
      <w:spacing w:before="240" w:after="60"/>
      <w:outlineLvl w:val="4"/>
    </w:pPr>
    <w:rPr>
      <w:rFonts w:cs="Times New Roman"/>
      <w:b/>
      <w:bCs/>
      <w:iCs/>
      <w:szCs w:val="26"/>
    </w:rPr>
  </w:style>
  <w:style w:type="paragraph" w:styleId="Heading6">
    <w:name w:val="heading 6"/>
    <w:basedOn w:val="Normal"/>
    <w:next w:val="Normal"/>
    <w:link w:val="Heading6Char"/>
    <w:uiPriority w:val="9"/>
    <w:unhideWhenUsed/>
    <w:qFormat/>
    <w:rsid w:val="00BF20DE"/>
    <w:pPr>
      <w:spacing w:before="240" w:after="60"/>
      <w:outlineLvl w:val="5"/>
    </w:pPr>
    <w:rPr>
      <w:rFonts w:eastAsia="Times New Roman" w:cs="Times New Roman"/>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Times Regular" w:hAnsi="Times Regular" w:cs="Times Regular"/>
      <w:color w:val="000000"/>
      <w:sz w:val="24"/>
      <w:szCs w:val="24"/>
      <w:lang w:val="en-GB"/>
    </w:rPr>
  </w:style>
  <w:style w:type="paragraph" w:customStyle="1" w:styleId="HHeader2-1820ptVicLight02Headers">
    <w:name w:val="H: Header 2 - 18/20pt Vic Light (02. Headers)"/>
    <w:basedOn w:val="NoParagraphStyle"/>
    <w:uiPriority w:val="99"/>
    <w:pPr>
      <w:suppressAutoHyphens/>
      <w:spacing w:before="170" w:after="170" w:line="400" w:lineRule="atLeast"/>
    </w:pPr>
    <w:rPr>
      <w:rFonts w:ascii="VIC (OTF) Light" w:hAnsi="VIC (OTF) Light" w:cs="VIC (OTF) Light"/>
      <w:color w:val="333740"/>
      <w:sz w:val="36"/>
      <w:szCs w:val="36"/>
    </w:rPr>
  </w:style>
  <w:style w:type="paragraph" w:customStyle="1" w:styleId="BBody-912ptVICLight03Body">
    <w:name w:val="B: Body - 9/12pt VIC Light (03. Body)"/>
    <w:basedOn w:val="NoParagraphStyle"/>
    <w:uiPriority w:val="99"/>
    <w:pPr>
      <w:keepLines/>
      <w:suppressAutoHyphens/>
      <w:spacing w:after="170" w:line="240" w:lineRule="atLeast"/>
    </w:pPr>
    <w:rPr>
      <w:rFonts w:ascii="VIC (OTF) Light" w:hAnsi="VIC (OTF) Light" w:cs="VIC (OTF) Light"/>
      <w:sz w:val="18"/>
      <w:szCs w:val="18"/>
    </w:rPr>
  </w:style>
  <w:style w:type="paragraph" w:customStyle="1" w:styleId="Tspace43Light91204Table">
    <w:name w:val="T: space 4/3 (Light 9/12)  (04. Table)"/>
    <w:basedOn w:val="NoParagraphStyle"/>
    <w:uiPriority w:val="99"/>
    <w:pPr>
      <w:suppressAutoHyphens/>
      <w:spacing w:before="227" w:after="170" w:line="240" w:lineRule="atLeast"/>
    </w:pPr>
    <w:rPr>
      <w:rFonts w:ascii="VIC (OTF) Light" w:hAnsi="VIC (OTF) Light" w:cs="VIC (OTF) Light"/>
      <w:color w:val="333740"/>
      <w:sz w:val="18"/>
      <w:szCs w:val="18"/>
    </w:rPr>
  </w:style>
  <w:style w:type="paragraph" w:customStyle="1" w:styleId="HHeader1-2224VicMedium02Headers">
    <w:name w:val="H: Header 1 - 22/24 Vic Medium (02. Headers)"/>
    <w:basedOn w:val="NoParagraphStyle"/>
    <w:uiPriority w:val="99"/>
    <w:pPr>
      <w:tabs>
        <w:tab w:val="left" w:pos="1240"/>
        <w:tab w:val="left" w:pos="2100"/>
        <w:tab w:val="right" w:pos="7580"/>
      </w:tabs>
      <w:suppressAutoHyphens/>
      <w:spacing w:after="510" w:line="480" w:lineRule="atLeast"/>
    </w:pPr>
    <w:rPr>
      <w:rFonts w:ascii="VIC (OTF) Medium" w:hAnsi="VIC (OTF) Medium" w:cs="VIC (OTF) Medium"/>
      <w:color w:val="333740"/>
      <w:sz w:val="44"/>
      <w:szCs w:val="44"/>
    </w:rPr>
  </w:style>
  <w:style w:type="paragraph" w:customStyle="1" w:styleId="BIntroPara-1214VICLight03Body">
    <w:name w:val="B: Intro Para - 12/14 VIC Light (03. Body)"/>
    <w:basedOn w:val="NoParagraphStyle"/>
    <w:uiPriority w:val="99"/>
    <w:pPr>
      <w:suppressAutoHyphens/>
      <w:spacing w:after="170" w:line="280" w:lineRule="atLeast"/>
    </w:pPr>
    <w:rPr>
      <w:rFonts w:ascii="VIC (OTF) Light" w:hAnsi="VIC (OTF) Light" w:cs="VIC (OTF) Light"/>
      <w:spacing w:val="-2"/>
    </w:rPr>
  </w:style>
  <w:style w:type="paragraph" w:customStyle="1" w:styleId="HHeader3-1416ptVICReg02Headers">
    <w:name w:val="H: Header 3 - 14/16pt VIC Reg (02. Headers)"/>
    <w:basedOn w:val="NoParagraphStyle"/>
    <w:uiPriority w:val="99"/>
    <w:pPr>
      <w:suppressAutoHyphens/>
      <w:spacing w:before="170" w:after="57" w:line="320" w:lineRule="atLeast"/>
    </w:pPr>
    <w:rPr>
      <w:rFonts w:ascii="VIC (OTF)" w:hAnsi="VIC (OTF)" w:cs="VIC (OTF)"/>
      <w:color w:val="333740"/>
      <w:sz w:val="28"/>
      <w:szCs w:val="28"/>
    </w:rPr>
  </w:style>
  <w:style w:type="paragraph" w:customStyle="1" w:styleId="BBodyColonbeforeBullets03Body">
    <w:name w:val="B: Body (Colon before Bullets) (03. Body)"/>
    <w:basedOn w:val="NoParagraphStyle"/>
    <w:uiPriority w:val="99"/>
    <w:pPr>
      <w:suppressAutoHyphens/>
      <w:spacing w:after="57" w:line="240" w:lineRule="atLeast"/>
    </w:pPr>
    <w:rPr>
      <w:rFonts w:ascii="VIC (OTF) Light" w:hAnsi="VIC (OTF) Light" w:cs="VIC (OTF) Light"/>
      <w:sz w:val="18"/>
      <w:szCs w:val="18"/>
    </w:rPr>
  </w:style>
  <w:style w:type="paragraph" w:customStyle="1" w:styleId="BL1Bullets-912VICLight03Body">
    <w:name w:val="B: L1 Bullets - 9/12 VIC Light (03. Body)"/>
    <w:basedOn w:val="NoParagraphStyle"/>
    <w:uiPriority w:val="99"/>
    <w:pPr>
      <w:suppressAutoHyphens/>
      <w:spacing w:after="57" w:line="240" w:lineRule="atLeast"/>
      <w:ind w:left="227" w:hanging="227"/>
    </w:pPr>
    <w:rPr>
      <w:rFonts w:ascii="VIC (OTF) Light" w:hAnsi="VIC (OTF) Light" w:cs="VIC (OTF) Light"/>
      <w:sz w:val="18"/>
      <w:szCs w:val="18"/>
    </w:rPr>
  </w:style>
  <w:style w:type="paragraph" w:customStyle="1" w:styleId="BL1BulletsLast-912VICLight03Body">
    <w:name w:val="B: L1 Bullets Last - 9/12 VIC Light (03. Body)"/>
    <w:basedOn w:val="BL1Bullets-912VICLight03Body"/>
    <w:uiPriority w:val="99"/>
    <w:pPr>
      <w:spacing w:after="170"/>
    </w:pPr>
  </w:style>
  <w:style w:type="paragraph" w:customStyle="1" w:styleId="Sec2NotesBoldSectionSpecificSec2">
    <w:name w:val="Sec 2: Notes Bold (Section Specific:Sec 2)"/>
    <w:basedOn w:val="NoParagraphStyle"/>
    <w:uiPriority w:val="99"/>
    <w:pPr>
      <w:tabs>
        <w:tab w:val="right" w:pos="4620"/>
      </w:tabs>
      <w:suppressAutoHyphens/>
      <w:spacing w:after="85" w:line="240" w:lineRule="atLeast"/>
      <w:ind w:left="380" w:hanging="380"/>
    </w:pPr>
    <w:rPr>
      <w:rFonts w:ascii="VIC (OTF) Medium" w:hAnsi="VIC (OTF) Medium" w:cs="VIC (OTF) Medium"/>
      <w:sz w:val="18"/>
      <w:szCs w:val="18"/>
    </w:rPr>
  </w:style>
  <w:style w:type="paragraph" w:customStyle="1" w:styleId="HHeader4-1113VICSemiBold02Headers">
    <w:name w:val="H: Header 4 - 11/13 VIC SemiBold (02. Headers)"/>
    <w:basedOn w:val="NoParagraphStyle"/>
    <w:next w:val="NoParagraphStyle"/>
    <w:uiPriority w:val="99"/>
    <w:pPr>
      <w:suppressAutoHyphens/>
      <w:spacing w:before="170" w:after="57" w:line="260" w:lineRule="atLeast"/>
    </w:pPr>
    <w:rPr>
      <w:rFonts w:ascii="VIC (OTF) SemiBold" w:hAnsi="VIC (OTF) SemiBold" w:cs="VIC (OTF) SemiBold"/>
      <w:b/>
      <w:bCs/>
      <w:color w:val="333740"/>
      <w:sz w:val="22"/>
      <w:szCs w:val="22"/>
    </w:rPr>
  </w:style>
  <w:style w:type="paragraph" w:customStyle="1" w:styleId="BL1Alphabullets03Body">
    <w:name w:val="B: L1 Alpha bullets  (03. Body)"/>
    <w:basedOn w:val="NoParagraphStyle"/>
    <w:uiPriority w:val="99"/>
    <w:pPr>
      <w:suppressAutoHyphens/>
      <w:spacing w:after="57" w:line="240" w:lineRule="atLeast"/>
      <w:ind w:left="227" w:hanging="227"/>
    </w:pPr>
    <w:rPr>
      <w:rFonts w:ascii="VIC (OTF) Light" w:hAnsi="VIC (OTF) Light" w:cs="VIC (OTF) Light"/>
      <w:sz w:val="18"/>
      <w:szCs w:val="18"/>
    </w:rPr>
  </w:style>
  <w:style w:type="paragraph" w:customStyle="1" w:styleId="BL1Alphabulletslast03Body">
    <w:name w:val="B: L1 Alpha bullets last (03. Body)"/>
    <w:basedOn w:val="NoParagraphStyle"/>
    <w:uiPriority w:val="99"/>
    <w:pPr>
      <w:suppressAutoHyphens/>
      <w:spacing w:after="113" w:line="240" w:lineRule="atLeast"/>
      <w:ind w:left="227" w:hanging="227"/>
    </w:pPr>
    <w:rPr>
      <w:rFonts w:ascii="VIC (OTF) Light" w:hAnsi="VIC (OTF) Light" w:cs="VIC (OTF) Light"/>
      <w:sz w:val="18"/>
      <w:szCs w:val="18"/>
    </w:rPr>
  </w:style>
  <w:style w:type="paragraph" w:customStyle="1" w:styleId="HHeader6912ptVICMed02Headers">
    <w:name w:val="H: Header 6 – 9/12pt VIC Med (02. Headers)"/>
    <w:basedOn w:val="BBody-912ptVICLight03Body"/>
    <w:uiPriority w:val="99"/>
    <w:pPr>
      <w:keepNext/>
      <w:spacing w:after="57"/>
    </w:pPr>
    <w:rPr>
      <w:rFonts w:ascii="VIC (OTF) Medium" w:hAnsi="VIC (OTF) Medium" w:cs="VIC (OTF) Medium"/>
    </w:rPr>
  </w:style>
  <w:style w:type="paragraph" w:customStyle="1" w:styleId="HHeader5-1012VICReg02Headers">
    <w:name w:val="H: Header 5 - 10/12 VIC Reg (02. Headers)"/>
    <w:basedOn w:val="NoParagraphStyle"/>
    <w:next w:val="NoParagraphStyle"/>
    <w:uiPriority w:val="99"/>
    <w:pPr>
      <w:keepLines/>
      <w:suppressAutoHyphens/>
      <w:spacing w:before="170" w:after="57" w:line="240" w:lineRule="atLeast"/>
    </w:pPr>
    <w:rPr>
      <w:rFonts w:ascii="VIC (OTF)" w:hAnsi="VIC (OTF)" w:cs="VIC (OTF)"/>
      <w:caps/>
      <w:color w:val="4D4E5C"/>
      <w:sz w:val="20"/>
      <w:szCs w:val="20"/>
    </w:rPr>
  </w:style>
  <w:style w:type="paragraph" w:customStyle="1" w:styleId="Tspace23Light91204Table">
    <w:name w:val="T: space 2/3 (Light 9/12) (04. Table)"/>
    <w:basedOn w:val="NoParagraphStyle"/>
    <w:uiPriority w:val="99"/>
    <w:pPr>
      <w:suppressAutoHyphens/>
      <w:spacing w:before="113" w:after="170" w:line="240" w:lineRule="atLeast"/>
    </w:pPr>
    <w:rPr>
      <w:rFonts w:ascii="VIC (OTF) Light" w:hAnsi="VIC (OTF) Light" w:cs="VIC (OTF) Light"/>
      <w:sz w:val="18"/>
      <w:szCs w:val="18"/>
    </w:rPr>
  </w:style>
  <w:style w:type="paragraph" w:customStyle="1" w:styleId="TNotesIndent04Table">
    <w:name w:val="T: Notes – Indent  (04. Table)"/>
    <w:basedOn w:val="NoParagraphStyle"/>
    <w:uiPriority w:val="99"/>
    <w:pPr>
      <w:tabs>
        <w:tab w:val="left" w:pos="227"/>
        <w:tab w:val="left" w:pos="283"/>
        <w:tab w:val="left" w:pos="567"/>
        <w:tab w:val="left" w:pos="850"/>
        <w:tab w:val="left" w:pos="1134"/>
        <w:tab w:val="left" w:pos="1417"/>
        <w:tab w:val="left" w:pos="1701"/>
        <w:tab w:val="left" w:pos="1984"/>
        <w:tab w:val="left" w:pos="2268"/>
        <w:tab w:val="left" w:pos="2551"/>
        <w:tab w:val="left" w:pos="2835"/>
        <w:tab w:val="left" w:pos="3118"/>
      </w:tabs>
      <w:suppressAutoHyphens/>
      <w:spacing w:line="160" w:lineRule="atLeast"/>
      <w:ind w:left="227" w:hanging="227"/>
    </w:pPr>
    <w:rPr>
      <w:rFonts w:ascii="VIC (OTF) Light Italic" w:hAnsi="VIC (OTF) Light Italic" w:cs="VIC (OTF) Light Italic"/>
      <w:i/>
      <w:iCs/>
      <w:sz w:val="14"/>
      <w:szCs w:val="14"/>
    </w:rPr>
  </w:style>
  <w:style w:type="paragraph" w:customStyle="1" w:styleId="TNotesIndentSpaceAfter204Table">
    <w:name w:val="T: Notes – Indent – Space After 2  (04. Table)"/>
    <w:basedOn w:val="TNotesIndent04Table"/>
    <w:uiPriority w:val="99"/>
    <w:pPr>
      <w:spacing w:after="113"/>
    </w:pPr>
  </w:style>
  <w:style w:type="paragraph" w:customStyle="1" w:styleId="HHeader3-numberedforTOC02Headers">
    <w:name w:val="H: Header 3 - numbered for TOC (02. Headers)"/>
    <w:basedOn w:val="NoParagraphStyle"/>
    <w:uiPriority w:val="99"/>
    <w:pPr>
      <w:suppressAutoHyphens/>
      <w:spacing w:before="170" w:after="57" w:line="320" w:lineRule="atLeast"/>
    </w:pPr>
    <w:rPr>
      <w:rFonts w:ascii="VIC (OTF)" w:hAnsi="VIC (OTF)" w:cs="VIC (OTF)"/>
      <w:color w:val="333740"/>
      <w:sz w:val="28"/>
      <w:szCs w:val="28"/>
    </w:rPr>
  </w:style>
  <w:style w:type="paragraph" w:customStyle="1" w:styleId="TBodycopy04Table">
    <w:name w:val="T: Body copy (04. Table)"/>
    <w:basedOn w:val="NoParagraphStyle"/>
    <w:uiPriority w:val="99"/>
    <w:pPr>
      <w:suppressAutoHyphens/>
      <w:spacing w:after="113" w:line="220" w:lineRule="atLeast"/>
    </w:pPr>
    <w:rPr>
      <w:rFonts w:ascii="VIC (OTF) Light" w:hAnsi="VIC (OTF) Light" w:cs="VIC (OTF) Light"/>
      <w:sz w:val="16"/>
      <w:szCs w:val="16"/>
    </w:rPr>
  </w:style>
  <w:style w:type="paragraph" w:customStyle="1" w:styleId="BL2Bullets-912VICLight03Body">
    <w:name w:val="B: L2 Bullets - 9/12 VIC Light (03. Body)"/>
    <w:basedOn w:val="BL1Bullets-912VICLight03Body"/>
    <w:uiPriority w:val="99"/>
    <w:pPr>
      <w:ind w:left="454"/>
    </w:pPr>
  </w:style>
  <w:style w:type="paragraph" w:customStyle="1" w:styleId="BL2BulletsLast-912VICLight03Body">
    <w:name w:val="B: L2 Bullets Last - 9/12 VIC Light (03. Body)"/>
    <w:basedOn w:val="BL2Bullets-912VICLight03Body"/>
    <w:uiPriority w:val="99"/>
    <w:pPr>
      <w:spacing w:after="170"/>
    </w:pPr>
  </w:style>
  <w:style w:type="paragraph" w:customStyle="1" w:styleId="BFootnote03Body">
    <w:name w:val="B: Footnote (03. Body)"/>
    <w:basedOn w:val="NoParagraphStyle"/>
    <w:next w:val="NoParagraphStyle"/>
    <w:uiPriority w:val="99"/>
    <w:pPr>
      <w:tabs>
        <w:tab w:val="left" w:pos="200"/>
        <w:tab w:val="left" w:pos="567"/>
        <w:tab w:val="left" w:pos="850"/>
        <w:tab w:val="left" w:pos="1134"/>
        <w:tab w:val="left" w:pos="1417"/>
        <w:tab w:val="left" w:pos="1701"/>
        <w:tab w:val="left" w:pos="1984"/>
        <w:tab w:val="left" w:pos="2268"/>
        <w:tab w:val="left" w:pos="2551"/>
        <w:tab w:val="left" w:pos="2835"/>
        <w:tab w:val="left" w:pos="3118"/>
      </w:tabs>
      <w:suppressAutoHyphens/>
      <w:spacing w:line="150" w:lineRule="atLeast"/>
      <w:ind w:left="198" w:hanging="198"/>
    </w:pPr>
    <w:rPr>
      <w:rFonts w:ascii="VIC (OTF) Light" w:hAnsi="VIC (OTF) Light" w:cs="VIC (OTF) Light"/>
      <w:sz w:val="14"/>
      <w:szCs w:val="14"/>
    </w:rPr>
  </w:style>
  <w:style w:type="paragraph" w:customStyle="1" w:styleId="TColumnHeaderMedium04Table">
    <w:name w:val="T: Column Header Medium (04. Table)"/>
    <w:basedOn w:val="TBodycopy04Table"/>
    <w:uiPriority w:val="99"/>
    <w:pPr>
      <w:jc w:val="right"/>
    </w:pPr>
    <w:rPr>
      <w:rFonts w:ascii="VIC (OTF) Medium" w:hAnsi="VIC (OTF) Medium" w:cs="VIC (OTF) Medium"/>
    </w:rPr>
  </w:style>
  <w:style w:type="paragraph" w:customStyle="1" w:styleId="TcrossheadGreen04Table">
    <w:name w:val="T: crosshead (Green) (04. Table)"/>
    <w:basedOn w:val="NoParagraphStyle"/>
    <w:uiPriority w:val="99"/>
    <w:pPr>
      <w:suppressAutoHyphens/>
      <w:spacing w:line="220" w:lineRule="atLeast"/>
    </w:pPr>
    <w:rPr>
      <w:rFonts w:ascii="VIC (OTF) Medium" w:hAnsi="VIC (OTF) Medium" w:cs="VIC (OTF) Medium"/>
      <w:color w:val="61BB46"/>
      <w:sz w:val="16"/>
      <w:szCs w:val="16"/>
    </w:rPr>
  </w:style>
  <w:style w:type="paragraph" w:customStyle="1" w:styleId="TbodyboldtotalGrey04Table">
    <w:name w:val="T: body bold (total) Grey (04. Table)"/>
    <w:basedOn w:val="TBodycopy04Table"/>
    <w:uiPriority w:val="99"/>
    <w:rPr>
      <w:rFonts w:ascii="VIC (OTF) Medium" w:hAnsi="VIC (OTF) Medium" w:cs="VIC (OTF) Medium"/>
    </w:rPr>
  </w:style>
  <w:style w:type="paragraph" w:customStyle="1" w:styleId="TcolumnHeadertopcentred04Table">
    <w:name w:val="T: column Header top centred (04. Table)"/>
    <w:basedOn w:val="TColumnHeaderMedium04Table"/>
    <w:uiPriority w:val="99"/>
    <w:pPr>
      <w:jc w:val="center"/>
    </w:pPr>
  </w:style>
  <w:style w:type="paragraph" w:customStyle="1" w:styleId="TSec2BodyLeft04Table">
    <w:name w:val="T: Sec 2 Body Left (04. Table)"/>
    <w:basedOn w:val="NoParagraphStyle"/>
    <w:uiPriority w:val="99"/>
    <w:pPr>
      <w:suppressAutoHyphens/>
      <w:spacing w:after="113" w:line="220" w:lineRule="atLeast"/>
    </w:pPr>
    <w:rPr>
      <w:rFonts w:ascii="VIC (OTF) Light" w:hAnsi="VIC (OTF) Light" w:cs="VIC (OTF) Light"/>
      <w:sz w:val="16"/>
      <w:szCs w:val="16"/>
    </w:rPr>
  </w:style>
  <w:style w:type="paragraph" w:customStyle="1" w:styleId="TSec2BodyRight04Table">
    <w:name w:val="T: Sec 2 Body Right (04. Table)"/>
    <w:basedOn w:val="TSec2BodyLeft04Table"/>
    <w:uiPriority w:val="99"/>
    <w:pPr>
      <w:jc w:val="right"/>
    </w:pPr>
  </w:style>
  <w:style w:type="paragraph" w:customStyle="1" w:styleId="TNotesNormal04Table">
    <w:name w:val="T: Notes – Normal (04. Table)"/>
    <w:basedOn w:val="NoParagraphStyle"/>
    <w:uiPriority w:val="99"/>
    <w:pPr>
      <w:tabs>
        <w:tab w:val="left" w:pos="283"/>
        <w:tab w:val="left" w:pos="567"/>
        <w:tab w:val="left" w:pos="850"/>
        <w:tab w:val="left" w:pos="1134"/>
        <w:tab w:val="left" w:pos="1417"/>
        <w:tab w:val="left" w:pos="1701"/>
        <w:tab w:val="left" w:pos="1984"/>
        <w:tab w:val="left" w:pos="2268"/>
        <w:tab w:val="left" w:pos="2551"/>
        <w:tab w:val="left" w:pos="2835"/>
        <w:tab w:val="left" w:pos="3118"/>
      </w:tabs>
      <w:suppressAutoHyphens/>
      <w:spacing w:line="160" w:lineRule="atLeast"/>
    </w:pPr>
    <w:rPr>
      <w:rFonts w:ascii="VIC (OTF) Light Italic" w:hAnsi="VIC (OTF) Light Italic" w:cs="VIC (OTF) Light Italic"/>
      <w:i/>
      <w:iCs/>
      <w:sz w:val="14"/>
      <w:szCs w:val="14"/>
    </w:rPr>
  </w:style>
  <w:style w:type="character" w:customStyle="1" w:styleId="FootnotereferencessuperscriptMisc">
    <w:name w:val="Footnote references (superscript) (Misc)"/>
    <w:uiPriority w:val="99"/>
    <w:rPr>
      <w:vertAlign w:val="superscript"/>
    </w:rPr>
  </w:style>
  <w:style w:type="character" w:customStyle="1" w:styleId="TBCMediumTable">
    <w:name w:val="T: BC Medium (Table)"/>
    <w:uiPriority w:val="99"/>
    <w:rPr>
      <w:rFonts w:ascii="VIC (OTF) Medium" w:hAnsi="VIC (OTF) Medium" w:cs="VIC (OTF) Medium"/>
      <w:color w:val="000000"/>
    </w:rPr>
  </w:style>
  <w:style w:type="character" w:customStyle="1" w:styleId="BMediumBody">
    <w:name w:val="B: Medium (Body)"/>
    <w:basedOn w:val="TBCMediumTable"/>
    <w:uiPriority w:val="99"/>
    <w:rPr>
      <w:rFonts w:ascii="VIC (OTF) Medium" w:hAnsi="VIC (OTF) Medium" w:cs="VIC (OTF) Medium"/>
      <w:color w:val="000000"/>
    </w:rPr>
  </w:style>
  <w:style w:type="character" w:customStyle="1" w:styleId="BItalicsBody">
    <w:name w:val="B: Italics (Body)"/>
    <w:uiPriority w:val="99"/>
    <w:rPr>
      <w:rFonts w:ascii="VIC (OTF) Light Italic" w:hAnsi="VIC (OTF) Light Italic" w:cs="VIC (OTF) Light Italic"/>
      <w:i/>
      <w:iCs/>
    </w:rPr>
  </w:style>
  <w:style w:type="character" w:customStyle="1" w:styleId="BboldBody">
    <w:name w:val="B: bold (Body)"/>
    <w:uiPriority w:val="99"/>
    <w:rPr>
      <w:rFonts w:ascii="VIC (OTF) SemiBold" w:hAnsi="VIC (OTF) SemiBold" w:cs="VIC (OTF) SemiBold"/>
      <w:b/>
      <w:bCs/>
    </w:rPr>
  </w:style>
  <w:style w:type="paragraph" w:customStyle="1" w:styleId="MSectionStartTitle00MasterPages">
    <w:name w:val="M: Section Start Title (00. Master Pages)"/>
    <w:basedOn w:val="NoParagraphStyle"/>
    <w:uiPriority w:val="99"/>
    <w:rsid w:val="0048728F"/>
    <w:pPr>
      <w:widowControl/>
      <w:suppressAutoHyphens/>
      <w:spacing w:line="720" w:lineRule="atLeast"/>
      <w:ind w:left="51"/>
    </w:pPr>
    <w:rPr>
      <w:rFonts w:ascii="VIC (OTF) SemiBold" w:hAnsi="VIC (OTF) SemiBold" w:cs="VIC (OTF) SemiBold"/>
      <w:b/>
      <w:bCs/>
      <w:color w:val="333740"/>
      <w:spacing w:val="-3"/>
      <w:sz w:val="74"/>
      <w:szCs w:val="74"/>
    </w:rPr>
  </w:style>
  <w:style w:type="paragraph" w:customStyle="1" w:styleId="Bullet">
    <w:name w:val="Bullet"/>
    <w:basedOn w:val="Normal"/>
    <w:qFormat/>
    <w:rsid w:val="00BF20DE"/>
    <w:pPr>
      <w:numPr>
        <w:numId w:val="3"/>
      </w:numPr>
      <w:spacing w:after="140"/>
    </w:pPr>
  </w:style>
  <w:style w:type="paragraph" w:customStyle="1" w:styleId="Bullet2">
    <w:name w:val="Bullet 2"/>
    <w:basedOn w:val="Bullet"/>
    <w:qFormat/>
    <w:rsid w:val="00BF20DE"/>
    <w:pPr>
      <w:numPr>
        <w:numId w:val="2"/>
      </w:numPr>
    </w:pPr>
  </w:style>
  <w:style w:type="paragraph" w:customStyle="1" w:styleId="Bulletlast">
    <w:name w:val="Bullet last"/>
    <w:basedOn w:val="Bullet"/>
    <w:qFormat/>
    <w:rsid w:val="00BF20DE"/>
    <w:pPr>
      <w:spacing w:after="280"/>
    </w:pPr>
  </w:style>
  <w:style w:type="paragraph" w:customStyle="1" w:styleId="Default">
    <w:name w:val="Default"/>
    <w:rsid w:val="00BF20DE"/>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FollowedHyperlink">
    <w:name w:val="FollowedHyperlink"/>
    <w:uiPriority w:val="99"/>
    <w:semiHidden/>
    <w:unhideWhenUsed/>
    <w:rsid w:val="00BF20DE"/>
    <w:rPr>
      <w:color w:val="800080"/>
      <w:u w:val="single"/>
    </w:rPr>
  </w:style>
  <w:style w:type="paragraph" w:styleId="Footer">
    <w:name w:val="footer"/>
    <w:basedOn w:val="Normal"/>
    <w:link w:val="FooterChar"/>
    <w:uiPriority w:val="99"/>
    <w:unhideWhenUsed/>
    <w:rsid w:val="00BF20DE"/>
    <w:pPr>
      <w:tabs>
        <w:tab w:val="center" w:pos="4320"/>
        <w:tab w:val="right" w:pos="9639"/>
      </w:tabs>
      <w:spacing w:after="0" w:line="200" w:lineRule="atLeast"/>
    </w:pPr>
    <w:rPr>
      <w:sz w:val="16"/>
    </w:rPr>
  </w:style>
  <w:style w:type="character" w:customStyle="1" w:styleId="FooterChar">
    <w:name w:val="Footer Char"/>
    <w:link w:val="Footer"/>
    <w:uiPriority w:val="99"/>
    <w:rsid w:val="00BF20DE"/>
    <w:rPr>
      <w:rFonts w:ascii="Arial" w:eastAsia="MS Mincho" w:hAnsi="Arial" w:cs="Arial"/>
      <w:sz w:val="16"/>
      <w:szCs w:val="32"/>
      <w:lang w:eastAsia="en-US"/>
    </w:rPr>
  </w:style>
  <w:style w:type="character" w:styleId="FootnoteReference">
    <w:name w:val="footnote reference"/>
    <w:uiPriority w:val="99"/>
    <w:unhideWhenUsed/>
    <w:rsid w:val="00BF20DE"/>
    <w:rPr>
      <w:rFonts w:ascii="Arial" w:hAnsi="Arial"/>
      <w:vertAlign w:val="superscript"/>
    </w:rPr>
  </w:style>
  <w:style w:type="paragraph" w:styleId="FootnoteText">
    <w:name w:val="footnote text"/>
    <w:basedOn w:val="Normal"/>
    <w:link w:val="FootnoteTextChar"/>
    <w:uiPriority w:val="99"/>
    <w:unhideWhenUsed/>
    <w:rsid w:val="00BF20DE"/>
    <w:pPr>
      <w:spacing w:after="60"/>
    </w:pPr>
    <w:rPr>
      <w:sz w:val="20"/>
    </w:rPr>
  </w:style>
  <w:style w:type="character" w:customStyle="1" w:styleId="FootnoteTextChar">
    <w:name w:val="Footnote Text Char"/>
    <w:link w:val="FootnoteText"/>
    <w:uiPriority w:val="99"/>
    <w:rsid w:val="00BF20DE"/>
    <w:rPr>
      <w:rFonts w:ascii="Arial" w:eastAsia="MS Mincho" w:hAnsi="Arial" w:cs="Arial"/>
      <w:sz w:val="20"/>
      <w:szCs w:val="32"/>
      <w:lang w:eastAsia="en-US"/>
    </w:rPr>
  </w:style>
  <w:style w:type="paragraph" w:styleId="Header">
    <w:name w:val="header"/>
    <w:basedOn w:val="Normal"/>
    <w:link w:val="HeaderChar"/>
    <w:uiPriority w:val="99"/>
    <w:unhideWhenUsed/>
    <w:rsid w:val="00BF20DE"/>
    <w:pPr>
      <w:tabs>
        <w:tab w:val="center" w:pos="4320"/>
        <w:tab w:val="right" w:pos="8640"/>
      </w:tabs>
    </w:pPr>
  </w:style>
  <w:style w:type="character" w:customStyle="1" w:styleId="HeaderChar">
    <w:name w:val="Header Char"/>
    <w:link w:val="Header"/>
    <w:uiPriority w:val="99"/>
    <w:rsid w:val="00BF20DE"/>
    <w:rPr>
      <w:rFonts w:ascii="Arial" w:eastAsia="MS Mincho" w:hAnsi="Arial" w:cs="Arial"/>
      <w:sz w:val="24"/>
      <w:szCs w:val="32"/>
      <w:lang w:eastAsia="en-US"/>
    </w:rPr>
  </w:style>
  <w:style w:type="character" w:customStyle="1" w:styleId="Heading1Char">
    <w:name w:val="Heading 1 Char"/>
    <w:link w:val="Heading1"/>
    <w:uiPriority w:val="9"/>
    <w:rsid w:val="00BF20DE"/>
    <w:rPr>
      <w:rFonts w:ascii="Arial" w:eastAsia="MS Gothic" w:hAnsi="Arial" w:cs="Times New Roman"/>
      <w:b/>
      <w:bCs/>
      <w:sz w:val="36"/>
      <w:szCs w:val="32"/>
      <w:lang w:eastAsia="en-US"/>
    </w:rPr>
  </w:style>
  <w:style w:type="character" w:customStyle="1" w:styleId="Heading2Char">
    <w:name w:val="Heading 2 Char"/>
    <w:link w:val="Heading2"/>
    <w:uiPriority w:val="9"/>
    <w:rsid w:val="00BF20DE"/>
    <w:rPr>
      <w:rFonts w:ascii="Arial" w:eastAsia="MS Gothic" w:hAnsi="Arial" w:cs="Times New Roman"/>
      <w:b/>
      <w:bCs/>
      <w:sz w:val="32"/>
      <w:szCs w:val="26"/>
      <w:lang w:eastAsia="en-US"/>
    </w:rPr>
  </w:style>
  <w:style w:type="paragraph" w:customStyle="1" w:styleId="Heading2numbered">
    <w:name w:val="Heading 2 numbered"/>
    <w:basedOn w:val="Heading2"/>
    <w:qFormat/>
    <w:rsid w:val="00BF20DE"/>
    <w:pPr>
      <w:numPr>
        <w:numId w:val="4"/>
      </w:numPr>
    </w:pPr>
  </w:style>
  <w:style w:type="character" w:customStyle="1" w:styleId="Heading3Char">
    <w:name w:val="Heading 3 Char"/>
    <w:link w:val="Heading3"/>
    <w:uiPriority w:val="9"/>
    <w:rsid w:val="00BF20DE"/>
    <w:rPr>
      <w:rFonts w:ascii="Arial" w:eastAsia="MS Gothic" w:hAnsi="Arial" w:cs="Arial"/>
      <w:b/>
      <w:bCs/>
      <w:sz w:val="28"/>
      <w:szCs w:val="32"/>
      <w:lang w:eastAsia="en-US"/>
    </w:rPr>
  </w:style>
  <w:style w:type="character" w:customStyle="1" w:styleId="Heading4Char">
    <w:name w:val="Heading 4 Char"/>
    <w:link w:val="Heading4"/>
    <w:uiPriority w:val="9"/>
    <w:rsid w:val="00BF20DE"/>
    <w:rPr>
      <w:rFonts w:ascii="Arial" w:eastAsia="MS Gothic" w:hAnsi="Arial" w:cs="Arial"/>
      <w:b/>
      <w:bCs/>
      <w:iCs/>
      <w:sz w:val="24"/>
      <w:szCs w:val="32"/>
      <w:lang w:eastAsia="en-US"/>
    </w:rPr>
  </w:style>
  <w:style w:type="character" w:customStyle="1" w:styleId="Heading5Char">
    <w:name w:val="Heading 5 Char"/>
    <w:link w:val="Heading5"/>
    <w:uiPriority w:val="9"/>
    <w:rsid w:val="00BF20DE"/>
    <w:rPr>
      <w:rFonts w:ascii="Arial" w:eastAsia="MS Mincho" w:hAnsi="Arial" w:cs="Times New Roman"/>
      <w:b/>
      <w:bCs/>
      <w:iCs/>
      <w:sz w:val="24"/>
      <w:szCs w:val="26"/>
      <w:lang w:eastAsia="en-US"/>
    </w:rPr>
  </w:style>
  <w:style w:type="character" w:customStyle="1" w:styleId="Heading6Char">
    <w:name w:val="Heading 6 Char"/>
    <w:link w:val="Heading6"/>
    <w:uiPriority w:val="9"/>
    <w:rsid w:val="00BF20DE"/>
    <w:rPr>
      <w:rFonts w:ascii="Arial" w:eastAsia="Times New Roman" w:hAnsi="Arial" w:cs="Times New Roman"/>
      <w:b/>
      <w:bCs/>
      <w:sz w:val="18"/>
      <w:lang w:eastAsia="en-US"/>
    </w:rPr>
  </w:style>
  <w:style w:type="character" w:styleId="Hyperlink">
    <w:name w:val="Hyperlink"/>
    <w:uiPriority w:val="99"/>
    <w:unhideWhenUsed/>
    <w:rsid w:val="00BF20DE"/>
    <w:rPr>
      <w:rFonts w:ascii="Arial" w:hAnsi="Arial"/>
      <w:color w:val="0000FF"/>
      <w:u w:val="single"/>
    </w:rPr>
  </w:style>
  <w:style w:type="character" w:styleId="IntenseEmphasis">
    <w:name w:val="Intense Emphasis"/>
    <w:uiPriority w:val="21"/>
    <w:qFormat/>
    <w:rsid w:val="00BF20DE"/>
    <w:rPr>
      <w:rFonts w:ascii="Arial" w:hAnsi="Arial"/>
      <w:i/>
      <w:iCs/>
      <w:color w:val="5B9BD5"/>
    </w:rPr>
  </w:style>
  <w:style w:type="character" w:styleId="IntenseReference">
    <w:name w:val="Intense Reference"/>
    <w:uiPriority w:val="32"/>
    <w:qFormat/>
    <w:rsid w:val="00BF20DE"/>
    <w:rPr>
      <w:rFonts w:ascii="Arial" w:hAnsi="Arial"/>
      <w:b/>
      <w:bCs/>
      <w:smallCaps/>
      <w:color w:val="5B9BD5"/>
      <w:spacing w:val="5"/>
    </w:rPr>
  </w:style>
  <w:style w:type="paragraph" w:styleId="ListParagraph">
    <w:name w:val="List Paragraph"/>
    <w:basedOn w:val="Normal"/>
    <w:uiPriority w:val="34"/>
    <w:qFormat/>
    <w:rsid w:val="00BF20DE"/>
    <w:pPr>
      <w:numPr>
        <w:numId w:val="6"/>
      </w:numPr>
      <w:tabs>
        <w:tab w:val="left" w:pos="2180"/>
        <w:tab w:val="left" w:pos="2181"/>
      </w:tabs>
      <w:spacing w:after="140"/>
    </w:pPr>
    <w:rPr>
      <w:rFonts w:eastAsia="Times New Roman"/>
      <w:lang w:eastAsia="en-GB"/>
    </w:rPr>
  </w:style>
  <w:style w:type="paragraph" w:styleId="NormalWeb">
    <w:name w:val="Normal (Web)"/>
    <w:basedOn w:val="Normal"/>
    <w:uiPriority w:val="99"/>
    <w:semiHidden/>
    <w:unhideWhenUsed/>
    <w:rsid w:val="00BF20DE"/>
    <w:pPr>
      <w:spacing w:before="100" w:beforeAutospacing="1" w:after="100" w:afterAutospacing="1"/>
    </w:pPr>
    <w:rPr>
      <w:rFonts w:ascii="Times New Roman" w:eastAsia="Times New Roman" w:hAnsi="Times New Roman" w:cs="Times New Roman"/>
      <w:lang w:eastAsia="en-GB"/>
    </w:rPr>
  </w:style>
  <w:style w:type="paragraph" w:customStyle="1" w:styleId="Normalbeforebullets">
    <w:name w:val="Normal before bullets"/>
    <w:basedOn w:val="Normal"/>
    <w:qFormat/>
    <w:rsid w:val="00BF20DE"/>
    <w:pPr>
      <w:keepNext/>
      <w:spacing w:after="140"/>
    </w:pPr>
  </w:style>
  <w:style w:type="character" w:styleId="PageNumber">
    <w:name w:val="page number"/>
    <w:uiPriority w:val="99"/>
    <w:semiHidden/>
    <w:unhideWhenUsed/>
    <w:rsid w:val="00BF20DE"/>
  </w:style>
  <w:style w:type="paragraph" w:styleId="Subtitle">
    <w:name w:val="Subtitle"/>
    <w:basedOn w:val="Normal"/>
    <w:next w:val="Normal"/>
    <w:link w:val="SubtitleChar"/>
    <w:uiPriority w:val="11"/>
    <w:qFormat/>
    <w:rsid w:val="00BF20DE"/>
    <w:pPr>
      <w:spacing w:after="240"/>
      <w:outlineLvl w:val="1"/>
    </w:pPr>
    <w:rPr>
      <w:rFonts w:eastAsia="Times New Roman" w:cs="Times New Roman"/>
      <w:sz w:val="28"/>
      <w:szCs w:val="36"/>
    </w:rPr>
  </w:style>
  <w:style w:type="character" w:customStyle="1" w:styleId="SubtitleChar">
    <w:name w:val="Subtitle Char"/>
    <w:link w:val="Subtitle"/>
    <w:uiPriority w:val="11"/>
    <w:rsid w:val="00BF20DE"/>
    <w:rPr>
      <w:rFonts w:ascii="Arial" w:eastAsia="Times New Roman" w:hAnsi="Arial" w:cs="Times New Roman"/>
      <w:sz w:val="28"/>
      <w:szCs w:val="36"/>
      <w:lang w:eastAsia="en-US"/>
    </w:rPr>
  </w:style>
  <w:style w:type="paragraph" w:customStyle="1" w:styleId="TableCopy">
    <w:name w:val="Table Copy"/>
    <w:basedOn w:val="Normal"/>
    <w:qFormat/>
    <w:rsid w:val="00BF20DE"/>
    <w:pPr>
      <w:spacing w:after="140"/>
    </w:pPr>
  </w:style>
  <w:style w:type="paragraph" w:customStyle="1" w:styleId="TableBullet">
    <w:name w:val="Table Bullet"/>
    <w:basedOn w:val="TableCopy"/>
    <w:qFormat/>
    <w:rsid w:val="00BF20DE"/>
    <w:pPr>
      <w:numPr>
        <w:numId w:val="7"/>
      </w:numPr>
      <w:spacing w:before="60" w:after="60"/>
    </w:pPr>
    <w:rPr>
      <w:szCs w:val="22"/>
    </w:rPr>
  </w:style>
  <w:style w:type="paragraph" w:customStyle="1" w:styleId="TableHeading">
    <w:name w:val="Table Heading"/>
    <w:basedOn w:val="Normal"/>
    <w:qFormat/>
    <w:rsid w:val="00A10646"/>
    <w:pPr>
      <w:keepNext/>
      <w:spacing w:after="60"/>
    </w:pPr>
    <w:rPr>
      <w:b/>
      <w:lang w:val="en-GB" w:eastAsia="en-GB"/>
    </w:rPr>
  </w:style>
  <w:style w:type="paragraph" w:customStyle="1" w:styleId="TableColumnHeading">
    <w:name w:val="Table Column Heading"/>
    <w:basedOn w:val="TableHeading"/>
    <w:qFormat/>
    <w:rsid w:val="0044296A"/>
    <w:pPr>
      <w:spacing w:before="60"/>
    </w:pPr>
    <w:rPr>
      <w:szCs w:val="36"/>
    </w:rPr>
  </w:style>
  <w:style w:type="table" w:styleId="TableGrid">
    <w:name w:val="Table Grid"/>
    <w:basedOn w:val="TableNormal"/>
    <w:uiPriority w:val="59"/>
    <w:rsid w:val="00BF20DE"/>
    <w:pPr>
      <w:spacing w:after="0" w:line="240" w:lineRule="auto"/>
    </w:pPr>
    <w:rPr>
      <w:rFonts w:ascii="Cambria" w:eastAsia="MS Mincho" w:hAnsi="Cambria"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table" w:styleId="TableGridLight">
    <w:name w:val="Grid Table Light"/>
    <w:basedOn w:val="TableNormal"/>
    <w:uiPriority w:val="40"/>
    <w:rsid w:val="00BF20DE"/>
    <w:pPr>
      <w:widowControl w:val="0"/>
      <w:autoSpaceDE w:val="0"/>
      <w:autoSpaceDN w:val="0"/>
      <w:spacing w:after="0" w:line="240" w:lineRule="auto"/>
    </w:pPr>
    <w:rPr>
      <w:rFonts w:eastAsiaTheme="minorHAnsi"/>
      <w:lang w:val="en-US" w:eastAsia="en-US"/>
    </w:rPr>
    <w:tblPr>
      <w:tblBorders>
        <w:top w:val="single" w:sz="4" w:space="0" w:color="auto"/>
        <w:bottom w:val="single" w:sz="4" w:space="0" w:color="auto"/>
        <w:insideH w:val="single" w:sz="4" w:space="0" w:color="auto"/>
      </w:tblBorders>
      <w:tblCellMar>
        <w:top w:w="57" w:type="dxa"/>
        <w:left w:w="57" w:type="dxa"/>
        <w:bottom w:w="57" w:type="dxa"/>
        <w:right w:w="57" w:type="dxa"/>
      </w:tblCellMar>
    </w:tblPr>
    <w:trPr>
      <w:cantSplit/>
    </w:trPr>
  </w:style>
  <w:style w:type="paragraph" w:customStyle="1" w:styleId="TableParagraph">
    <w:name w:val="Table Paragraph"/>
    <w:basedOn w:val="Normal"/>
    <w:uiPriority w:val="1"/>
    <w:qFormat/>
    <w:rsid w:val="00BF20DE"/>
    <w:pPr>
      <w:spacing w:after="140"/>
    </w:pPr>
    <w:rPr>
      <w:rFonts w:eastAsia="Arial"/>
      <w:szCs w:val="22"/>
      <w:lang w:eastAsia="en-GB"/>
    </w:rPr>
  </w:style>
  <w:style w:type="paragraph" w:styleId="Title">
    <w:name w:val="Title"/>
    <w:basedOn w:val="Normal"/>
    <w:next w:val="Normal"/>
    <w:link w:val="TitleChar"/>
    <w:uiPriority w:val="10"/>
    <w:qFormat/>
    <w:rsid w:val="00BF20DE"/>
    <w:pPr>
      <w:spacing w:after="240" w:line="240" w:lineRule="auto"/>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BF20DE"/>
    <w:rPr>
      <w:rFonts w:asciiTheme="majorHAnsi" w:eastAsiaTheme="majorEastAsia" w:hAnsiTheme="majorHAnsi" w:cstheme="majorBidi"/>
      <w:spacing w:val="-10"/>
      <w:kern w:val="28"/>
      <w:sz w:val="56"/>
      <w:szCs w:val="56"/>
      <w:lang w:val="en-US" w:eastAsia="en-US"/>
    </w:rPr>
  </w:style>
  <w:style w:type="paragraph" w:styleId="TOC1">
    <w:name w:val="toc 1"/>
    <w:basedOn w:val="Normal"/>
    <w:next w:val="Normal"/>
    <w:autoRedefine/>
    <w:uiPriority w:val="39"/>
    <w:unhideWhenUsed/>
    <w:rsid w:val="00BF20DE"/>
    <w:pPr>
      <w:spacing w:before="120" w:after="0"/>
    </w:pPr>
    <w:rPr>
      <w:b/>
    </w:rPr>
  </w:style>
  <w:style w:type="paragraph" w:styleId="TOC2">
    <w:name w:val="toc 2"/>
    <w:basedOn w:val="Normal"/>
    <w:next w:val="Normal"/>
    <w:autoRedefine/>
    <w:uiPriority w:val="39"/>
    <w:unhideWhenUsed/>
    <w:rsid w:val="00BF20DE"/>
    <w:pPr>
      <w:spacing w:after="0"/>
      <w:ind w:left="200"/>
    </w:pPr>
    <w:rPr>
      <w:szCs w:val="22"/>
    </w:rPr>
  </w:style>
  <w:style w:type="paragraph" w:styleId="TOC4">
    <w:name w:val="toc 4"/>
    <w:basedOn w:val="Normal"/>
    <w:next w:val="Normal"/>
    <w:autoRedefine/>
    <w:uiPriority w:val="39"/>
    <w:semiHidden/>
    <w:unhideWhenUsed/>
    <w:rsid w:val="00BF20DE"/>
    <w:pPr>
      <w:spacing w:after="0"/>
      <w:ind w:left="600"/>
    </w:pPr>
    <w:rPr>
      <w:rFonts w:ascii="Cambria" w:hAnsi="Cambria"/>
      <w:szCs w:val="20"/>
    </w:rPr>
  </w:style>
  <w:style w:type="paragraph" w:styleId="TOC5">
    <w:name w:val="toc 5"/>
    <w:basedOn w:val="Normal"/>
    <w:next w:val="Normal"/>
    <w:autoRedefine/>
    <w:uiPriority w:val="39"/>
    <w:semiHidden/>
    <w:unhideWhenUsed/>
    <w:rsid w:val="00BF20DE"/>
    <w:pPr>
      <w:spacing w:after="0"/>
      <w:ind w:left="800"/>
    </w:pPr>
    <w:rPr>
      <w:rFonts w:ascii="Cambria" w:hAnsi="Cambria"/>
      <w:szCs w:val="20"/>
    </w:rPr>
  </w:style>
  <w:style w:type="paragraph" w:styleId="TOC6">
    <w:name w:val="toc 6"/>
    <w:basedOn w:val="Normal"/>
    <w:next w:val="Normal"/>
    <w:autoRedefine/>
    <w:uiPriority w:val="39"/>
    <w:semiHidden/>
    <w:unhideWhenUsed/>
    <w:rsid w:val="00BF20DE"/>
    <w:pPr>
      <w:spacing w:after="0"/>
      <w:ind w:left="1000"/>
    </w:pPr>
    <w:rPr>
      <w:rFonts w:ascii="Cambria" w:hAnsi="Cambria"/>
      <w:szCs w:val="20"/>
    </w:rPr>
  </w:style>
  <w:style w:type="paragraph" w:styleId="TOC7">
    <w:name w:val="toc 7"/>
    <w:basedOn w:val="Normal"/>
    <w:next w:val="Normal"/>
    <w:autoRedefine/>
    <w:uiPriority w:val="39"/>
    <w:semiHidden/>
    <w:unhideWhenUsed/>
    <w:rsid w:val="00BF20DE"/>
    <w:pPr>
      <w:spacing w:after="0"/>
      <w:ind w:left="1200"/>
    </w:pPr>
    <w:rPr>
      <w:rFonts w:ascii="Cambria" w:hAnsi="Cambria"/>
      <w:szCs w:val="20"/>
    </w:rPr>
  </w:style>
  <w:style w:type="paragraph" w:styleId="TOC8">
    <w:name w:val="toc 8"/>
    <w:basedOn w:val="Normal"/>
    <w:next w:val="Normal"/>
    <w:autoRedefine/>
    <w:uiPriority w:val="39"/>
    <w:semiHidden/>
    <w:unhideWhenUsed/>
    <w:rsid w:val="00BF20DE"/>
    <w:pPr>
      <w:spacing w:after="0"/>
      <w:ind w:left="1400"/>
    </w:pPr>
    <w:rPr>
      <w:rFonts w:ascii="Cambria" w:hAnsi="Cambria"/>
      <w:szCs w:val="20"/>
    </w:rPr>
  </w:style>
  <w:style w:type="paragraph" w:styleId="TOC9">
    <w:name w:val="toc 9"/>
    <w:basedOn w:val="Normal"/>
    <w:next w:val="Normal"/>
    <w:autoRedefine/>
    <w:uiPriority w:val="39"/>
    <w:semiHidden/>
    <w:unhideWhenUsed/>
    <w:rsid w:val="00BF20DE"/>
    <w:pPr>
      <w:spacing w:after="0"/>
      <w:ind w:left="1600"/>
    </w:pPr>
    <w:rPr>
      <w:rFonts w:ascii="Cambria" w:hAnsi="Cambria"/>
      <w:szCs w:val="20"/>
    </w:rPr>
  </w:style>
  <w:style w:type="paragraph" w:styleId="TOCHeading">
    <w:name w:val="TOC Heading"/>
    <w:basedOn w:val="Heading1"/>
    <w:next w:val="Normal"/>
    <w:uiPriority w:val="39"/>
    <w:unhideWhenUsed/>
    <w:qFormat/>
    <w:rsid w:val="00BF20DE"/>
    <w:pPr>
      <w:pageBreakBefore w:val="0"/>
      <w:spacing w:line="360" w:lineRule="auto"/>
      <w:outlineLvl w:val="9"/>
    </w:pPr>
    <w:rPr>
      <w:sz w:val="32"/>
      <w:szCs w:val="28"/>
    </w:rPr>
  </w:style>
  <w:style w:type="paragraph" w:customStyle="1" w:styleId="Sec2NotesdescriptorSectionSpecificSec2">
    <w:name w:val="Sec 2: Notes descriptor (Section Specific:Sec 2)"/>
    <w:basedOn w:val="BBody-912ptVICLight03Body"/>
    <w:uiPriority w:val="99"/>
    <w:rsid w:val="00D52A5F"/>
    <w:pPr>
      <w:widowControl/>
      <w:ind w:left="380"/>
    </w:pPr>
  </w:style>
  <w:style w:type="paragraph" w:customStyle="1" w:styleId="Sec2NoteslightSectionSpecificSec2">
    <w:name w:val="Sec 2: Notes light (Section Specific:Sec 2)"/>
    <w:basedOn w:val="BBody-912ptVICLight03Body"/>
    <w:uiPriority w:val="99"/>
    <w:rsid w:val="00D52A5F"/>
    <w:pPr>
      <w:widowControl/>
      <w:tabs>
        <w:tab w:val="right" w:pos="860"/>
        <w:tab w:val="right" w:pos="4620"/>
      </w:tabs>
      <w:ind w:left="780" w:hanging="380"/>
    </w:pPr>
  </w:style>
  <w:style w:type="paragraph" w:customStyle="1" w:styleId="ListParagraph-a">
    <w:name w:val="List Paragraph - a)"/>
    <w:basedOn w:val="ListParagraph"/>
    <w:qFormat/>
    <w:rsid w:val="00476B80"/>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B24395FE84AB9F4BA3F2DB8C0682F15A" ma:contentTypeVersion="29" ma:contentTypeDescription="DEDJTR Document" ma:contentTypeScope="" ma:versionID="93d766dc5c5a5d9110173654ddf0454d">
  <xsd:schema xmlns:xsd="http://www.w3.org/2001/XMLSchema" xmlns:xs="http://www.w3.org/2001/XMLSchema" xmlns:p="http://schemas.microsoft.com/office/2006/metadata/properties" xmlns:ns2="1970f3ff-c7c3-4b73-8f0c-0bc260d159f3" xmlns:ns3="3b4993c4-1e12-480f-8829-7529dfd7c42d" xmlns:ns4="4ae6eb50-8777-409e-ac69-0f23188bec30" targetNamespace="http://schemas.microsoft.com/office/2006/metadata/properties" ma:root="true" ma:fieldsID="940ab30f2cade75218006b5f21935d77" ns2:_="" ns3:_="" ns4:_="">
    <xsd:import namespace="1970f3ff-c7c3-4b73-8f0c-0bc260d159f3"/>
    <xsd:import namespace="3b4993c4-1e12-480f-8829-7529dfd7c42d"/>
    <xsd:import namespace="4ae6eb50-8777-409e-ac69-0f23188bec30"/>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3:SharedWithUsers" minOccurs="0"/>
                <xsd:element ref="ns3:SharedWithDetails" minOccurs="0"/>
                <xsd:element ref="ns4:MediaServiceAutoKeyPoints" minOccurs="0"/>
                <xsd:element ref="ns4:MediaServiceKeyPoints" minOccurs="0"/>
                <xsd:element ref="ns4:MediaServiceLocation"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4993c4-1e12-480f-8829-7529dfd7c42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bd90f15-730d-4257-a8c4-3195608d5de6}" ma:internalName="TaxCatchAll" ma:showField="CatchAllData" ma:web="3b4993c4-1e12-480f-8829-7529dfd7c42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bd90f15-730d-4257-a8c4-3195608d5de6}" ma:internalName="TaxCatchAllLabel" ma:readOnly="true" ma:showField="CatchAllDataLabel" ma:web="3b4993c4-1e12-480f-8829-7529dfd7c42d">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6eb50-8777-409e-ac69-0f23188bec30"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MediaLengthInSeconds" ma:index="32" nillable="true" ma:displayName="Length (seconds)"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TaxCatchAll xmlns="3b4993c4-1e12-480f-8829-7529dfd7c42d" xsi:nil="true"/>
    <p31afe295eb448f092f13ab8c2af2c33 xmlns="1970f3ff-c7c3-4b73-8f0c-0bc260d159f3">
      <Terms xmlns="http://schemas.microsoft.com/office/infopath/2007/PartnerControls"/>
    </p31afe295eb448f092f13ab8c2af2c33>
    <lcf76f155ced4ddcb4097134ff3c332f xmlns="4ae6eb50-8777-409e-ac69-0f23188bec30">
      <Terms xmlns="http://schemas.microsoft.com/office/infopath/2007/PartnerControls"/>
    </lcf76f155ced4ddcb4097134ff3c332f>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68E2CF-A668-4A1D-86EF-CB6095ADE20E}">
  <ds:schemaRefs>
    <ds:schemaRef ds:uri="http://schemas.openxmlformats.org/officeDocument/2006/bibliography"/>
  </ds:schemaRefs>
</ds:datastoreItem>
</file>

<file path=customXml/itemProps2.xml><?xml version="1.0" encoding="utf-8"?>
<ds:datastoreItem xmlns:ds="http://schemas.openxmlformats.org/officeDocument/2006/customXml" ds:itemID="{53F234E3-6E4D-463C-A409-210E77A4E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3b4993c4-1e12-480f-8829-7529dfd7c42d"/>
    <ds:schemaRef ds:uri="4ae6eb50-8777-409e-ac69-0f23188be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AC5B58-00EF-4C96-B5AA-DED2E21CF8D2}">
  <ds:schemaRefs>
    <ds:schemaRef ds:uri="http://schemas.microsoft.com/office/2006/metadata/properties"/>
    <ds:schemaRef ds:uri="http://schemas.microsoft.com/office/infopath/2007/PartnerControls"/>
    <ds:schemaRef ds:uri="1970f3ff-c7c3-4b73-8f0c-0bc260d159f3"/>
    <ds:schemaRef ds:uri="3b4993c4-1e12-480f-8829-7529dfd7c42d"/>
    <ds:schemaRef ds:uri="4ae6eb50-8777-409e-ac69-0f23188bec30"/>
  </ds:schemaRefs>
</ds:datastoreItem>
</file>

<file path=customXml/itemProps4.xml><?xml version="1.0" encoding="utf-8"?>
<ds:datastoreItem xmlns:ds="http://schemas.openxmlformats.org/officeDocument/2006/customXml" ds:itemID="{C23994F3-7BE6-4BA1-8BEC-FEBA8B2988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3547</TotalTime>
  <Pages>175</Pages>
  <Words>35638</Words>
  <Characters>217465</Characters>
  <Application>Microsoft Office Word</Application>
  <DocSecurity>0</DocSecurity>
  <Lines>1812</Lines>
  <Paragraphs>505</Paragraphs>
  <ScaleCrop>false</ScaleCrop>
  <HeadingPairs>
    <vt:vector size="2" baseType="variant">
      <vt:variant>
        <vt:lpstr>Title</vt:lpstr>
      </vt:variant>
      <vt:variant>
        <vt:i4>1</vt:i4>
      </vt:variant>
    </vt:vector>
  </HeadingPairs>
  <TitlesOfParts>
    <vt:vector size="1" baseType="lpstr">
      <vt:lpstr>DJSIR Annual Report</vt:lpstr>
    </vt:vector>
  </TitlesOfParts>
  <Company/>
  <LinksUpToDate>false</LinksUpToDate>
  <CharactersWithSpaces>252598</CharactersWithSpaces>
  <SharedDoc>false</SharedDoc>
  <HLinks>
    <vt:vector size="396" baseType="variant">
      <vt:variant>
        <vt:i4>1966129</vt:i4>
      </vt:variant>
      <vt:variant>
        <vt:i4>392</vt:i4>
      </vt:variant>
      <vt:variant>
        <vt:i4>0</vt:i4>
      </vt:variant>
      <vt:variant>
        <vt:i4>5</vt:i4>
      </vt:variant>
      <vt:variant>
        <vt:lpwstr/>
      </vt:variant>
      <vt:variant>
        <vt:lpwstr>_Toc149911852</vt:lpwstr>
      </vt:variant>
      <vt:variant>
        <vt:i4>1966129</vt:i4>
      </vt:variant>
      <vt:variant>
        <vt:i4>386</vt:i4>
      </vt:variant>
      <vt:variant>
        <vt:i4>0</vt:i4>
      </vt:variant>
      <vt:variant>
        <vt:i4>5</vt:i4>
      </vt:variant>
      <vt:variant>
        <vt:lpwstr/>
      </vt:variant>
      <vt:variant>
        <vt:lpwstr>_Toc149911851</vt:lpwstr>
      </vt:variant>
      <vt:variant>
        <vt:i4>1966129</vt:i4>
      </vt:variant>
      <vt:variant>
        <vt:i4>380</vt:i4>
      </vt:variant>
      <vt:variant>
        <vt:i4>0</vt:i4>
      </vt:variant>
      <vt:variant>
        <vt:i4>5</vt:i4>
      </vt:variant>
      <vt:variant>
        <vt:lpwstr/>
      </vt:variant>
      <vt:variant>
        <vt:lpwstr>_Toc149911850</vt:lpwstr>
      </vt:variant>
      <vt:variant>
        <vt:i4>2031665</vt:i4>
      </vt:variant>
      <vt:variant>
        <vt:i4>374</vt:i4>
      </vt:variant>
      <vt:variant>
        <vt:i4>0</vt:i4>
      </vt:variant>
      <vt:variant>
        <vt:i4>5</vt:i4>
      </vt:variant>
      <vt:variant>
        <vt:lpwstr/>
      </vt:variant>
      <vt:variant>
        <vt:lpwstr>_Toc149911849</vt:lpwstr>
      </vt:variant>
      <vt:variant>
        <vt:i4>2031665</vt:i4>
      </vt:variant>
      <vt:variant>
        <vt:i4>368</vt:i4>
      </vt:variant>
      <vt:variant>
        <vt:i4>0</vt:i4>
      </vt:variant>
      <vt:variant>
        <vt:i4>5</vt:i4>
      </vt:variant>
      <vt:variant>
        <vt:lpwstr/>
      </vt:variant>
      <vt:variant>
        <vt:lpwstr>_Toc149911848</vt:lpwstr>
      </vt:variant>
      <vt:variant>
        <vt:i4>2031665</vt:i4>
      </vt:variant>
      <vt:variant>
        <vt:i4>362</vt:i4>
      </vt:variant>
      <vt:variant>
        <vt:i4>0</vt:i4>
      </vt:variant>
      <vt:variant>
        <vt:i4>5</vt:i4>
      </vt:variant>
      <vt:variant>
        <vt:lpwstr/>
      </vt:variant>
      <vt:variant>
        <vt:lpwstr>_Toc149911847</vt:lpwstr>
      </vt:variant>
      <vt:variant>
        <vt:i4>2031665</vt:i4>
      </vt:variant>
      <vt:variant>
        <vt:i4>356</vt:i4>
      </vt:variant>
      <vt:variant>
        <vt:i4>0</vt:i4>
      </vt:variant>
      <vt:variant>
        <vt:i4>5</vt:i4>
      </vt:variant>
      <vt:variant>
        <vt:lpwstr/>
      </vt:variant>
      <vt:variant>
        <vt:lpwstr>_Toc149911846</vt:lpwstr>
      </vt:variant>
      <vt:variant>
        <vt:i4>2031665</vt:i4>
      </vt:variant>
      <vt:variant>
        <vt:i4>350</vt:i4>
      </vt:variant>
      <vt:variant>
        <vt:i4>0</vt:i4>
      </vt:variant>
      <vt:variant>
        <vt:i4>5</vt:i4>
      </vt:variant>
      <vt:variant>
        <vt:lpwstr/>
      </vt:variant>
      <vt:variant>
        <vt:lpwstr>_Toc149911845</vt:lpwstr>
      </vt:variant>
      <vt:variant>
        <vt:i4>2031665</vt:i4>
      </vt:variant>
      <vt:variant>
        <vt:i4>344</vt:i4>
      </vt:variant>
      <vt:variant>
        <vt:i4>0</vt:i4>
      </vt:variant>
      <vt:variant>
        <vt:i4>5</vt:i4>
      </vt:variant>
      <vt:variant>
        <vt:lpwstr/>
      </vt:variant>
      <vt:variant>
        <vt:lpwstr>_Toc149911844</vt:lpwstr>
      </vt:variant>
      <vt:variant>
        <vt:i4>2031665</vt:i4>
      </vt:variant>
      <vt:variant>
        <vt:i4>338</vt:i4>
      </vt:variant>
      <vt:variant>
        <vt:i4>0</vt:i4>
      </vt:variant>
      <vt:variant>
        <vt:i4>5</vt:i4>
      </vt:variant>
      <vt:variant>
        <vt:lpwstr/>
      </vt:variant>
      <vt:variant>
        <vt:lpwstr>_Toc149911843</vt:lpwstr>
      </vt:variant>
      <vt:variant>
        <vt:i4>2031665</vt:i4>
      </vt:variant>
      <vt:variant>
        <vt:i4>332</vt:i4>
      </vt:variant>
      <vt:variant>
        <vt:i4>0</vt:i4>
      </vt:variant>
      <vt:variant>
        <vt:i4>5</vt:i4>
      </vt:variant>
      <vt:variant>
        <vt:lpwstr/>
      </vt:variant>
      <vt:variant>
        <vt:lpwstr>_Toc149911842</vt:lpwstr>
      </vt:variant>
      <vt:variant>
        <vt:i4>2031665</vt:i4>
      </vt:variant>
      <vt:variant>
        <vt:i4>326</vt:i4>
      </vt:variant>
      <vt:variant>
        <vt:i4>0</vt:i4>
      </vt:variant>
      <vt:variant>
        <vt:i4>5</vt:i4>
      </vt:variant>
      <vt:variant>
        <vt:lpwstr/>
      </vt:variant>
      <vt:variant>
        <vt:lpwstr>_Toc149911841</vt:lpwstr>
      </vt:variant>
      <vt:variant>
        <vt:i4>2031665</vt:i4>
      </vt:variant>
      <vt:variant>
        <vt:i4>320</vt:i4>
      </vt:variant>
      <vt:variant>
        <vt:i4>0</vt:i4>
      </vt:variant>
      <vt:variant>
        <vt:i4>5</vt:i4>
      </vt:variant>
      <vt:variant>
        <vt:lpwstr/>
      </vt:variant>
      <vt:variant>
        <vt:lpwstr>_Toc149911840</vt:lpwstr>
      </vt:variant>
      <vt:variant>
        <vt:i4>1572913</vt:i4>
      </vt:variant>
      <vt:variant>
        <vt:i4>314</vt:i4>
      </vt:variant>
      <vt:variant>
        <vt:i4>0</vt:i4>
      </vt:variant>
      <vt:variant>
        <vt:i4>5</vt:i4>
      </vt:variant>
      <vt:variant>
        <vt:lpwstr/>
      </vt:variant>
      <vt:variant>
        <vt:lpwstr>_Toc149911839</vt:lpwstr>
      </vt:variant>
      <vt:variant>
        <vt:i4>1572913</vt:i4>
      </vt:variant>
      <vt:variant>
        <vt:i4>308</vt:i4>
      </vt:variant>
      <vt:variant>
        <vt:i4>0</vt:i4>
      </vt:variant>
      <vt:variant>
        <vt:i4>5</vt:i4>
      </vt:variant>
      <vt:variant>
        <vt:lpwstr/>
      </vt:variant>
      <vt:variant>
        <vt:lpwstr>_Toc149911838</vt:lpwstr>
      </vt:variant>
      <vt:variant>
        <vt:i4>1572913</vt:i4>
      </vt:variant>
      <vt:variant>
        <vt:i4>302</vt:i4>
      </vt:variant>
      <vt:variant>
        <vt:i4>0</vt:i4>
      </vt:variant>
      <vt:variant>
        <vt:i4>5</vt:i4>
      </vt:variant>
      <vt:variant>
        <vt:lpwstr/>
      </vt:variant>
      <vt:variant>
        <vt:lpwstr>_Toc149911837</vt:lpwstr>
      </vt:variant>
      <vt:variant>
        <vt:i4>1572913</vt:i4>
      </vt:variant>
      <vt:variant>
        <vt:i4>296</vt:i4>
      </vt:variant>
      <vt:variant>
        <vt:i4>0</vt:i4>
      </vt:variant>
      <vt:variant>
        <vt:i4>5</vt:i4>
      </vt:variant>
      <vt:variant>
        <vt:lpwstr/>
      </vt:variant>
      <vt:variant>
        <vt:lpwstr>_Toc149911836</vt:lpwstr>
      </vt:variant>
      <vt:variant>
        <vt:i4>1572913</vt:i4>
      </vt:variant>
      <vt:variant>
        <vt:i4>290</vt:i4>
      </vt:variant>
      <vt:variant>
        <vt:i4>0</vt:i4>
      </vt:variant>
      <vt:variant>
        <vt:i4>5</vt:i4>
      </vt:variant>
      <vt:variant>
        <vt:lpwstr/>
      </vt:variant>
      <vt:variant>
        <vt:lpwstr>_Toc149911835</vt:lpwstr>
      </vt:variant>
      <vt:variant>
        <vt:i4>1572913</vt:i4>
      </vt:variant>
      <vt:variant>
        <vt:i4>284</vt:i4>
      </vt:variant>
      <vt:variant>
        <vt:i4>0</vt:i4>
      </vt:variant>
      <vt:variant>
        <vt:i4>5</vt:i4>
      </vt:variant>
      <vt:variant>
        <vt:lpwstr/>
      </vt:variant>
      <vt:variant>
        <vt:lpwstr>_Toc149911834</vt:lpwstr>
      </vt:variant>
      <vt:variant>
        <vt:i4>1572913</vt:i4>
      </vt:variant>
      <vt:variant>
        <vt:i4>278</vt:i4>
      </vt:variant>
      <vt:variant>
        <vt:i4>0</vt:i4>
      </vt:variant>
      <vt:variant>
        <vt:i4>5</vt:i4>
      </vt:variant>
      <vt:variant>
        <vt:lpwstr/>
      </vt:variant>
      <vt:variant>
        <vt:lpwstr>_Toc149911833</vt:lpwstr>
      </vt:variant>
      <vt:variant>
        <vt:i4>1572913</vt:i4>
      </vt:variant>
      <vt:variant>
        <vt:i4>272</vt:i4>
      </vt:variant>
      <vt:variant>
        <vt:i4>0</vt:i4>
      </vt:variant>
      <vt:variant>
        <vt:i4>5</vt:i4>
      </vt:variant>
      <vt:variant>
        <vt:lpwstr/>
      </vt:variant>
      <vt:variant>
        <vt:lpwstr>_Toc149911832</vt:lpwstr>
      </vt:variant>
      <vt:variant>
        <vt:i4>1572913</vt:i4>
      </vt:variant>
      <vt:variant>
        <vt:i4>266</vt:i4>
      </vt:variant>
      <vt:variant>
        <vt:i4>0</vt:i4>
      </vt:variant>
      <vt:variant>
        <vt:i4>5</vt:i4>
      </vt:variant>
      <vt:variant>
        <vt:lpwstr/>
      </vt:variant>
      <vt:variant>
        <vt:lpwstr>_Toc149911831</vt:lpwstr>
      </vt:variant>
      <vt:variant>
        <vt:i4>1572913</vt:i4>
      </vt:variant>
      <vt:variant>
        <vt:i4>260</vt:i4>
      </vt:variant>
      <vt:variant>
        <vt:i4>0</vt:i4>
      </vt:variant>
      <vt:variant>
        <vt:i4>5</vt:i4>
      </vt:variant>
      <vt:variant>
        <vt:lpwstr/>
      </vt:variant>
      <vt:variant>
        <vt:lpwstr>_Toc149911830</vt:lpwstr>
      </vt:variant>
      <vt:variant>
        <vt:i4>1638449</vt:i4>
      </vt:variant>
      <vt:variant>
        <vt:i4>254</vt:i4>
      </vt:variant>
      <vt:variant>
        <vt:i4>0</vt:i4>
      </vt:variant>
      <vt:variant>
        <vt:i4>5</vt:i4>
      </vt:variant>
      <vt:variant>
        <vt:lpwstr/>
      </vt:variant>
      <vt:variant>
        <vt:lpwstr>_Toc149911829</vt:lpwstr>
      </vt:variant>
      <vt:variant>
        <vt:i4>1638449</vt:i4>
      </vt:variant>
      <vt:variant>
        <vt:i4>248</vt:i4>
      </vt:variant>
      <vt:variant>
        <vt:i4>0</vt:i4>
      </vt:variant>
      <vt:variant>
        <vt:i4>5</vt:i4>
      </vt:variant>
      <vt:variant>
        <vt:lpwstr/>
      </vt:variant>
      <vt:variant>
        <vt:lpwstr>_Toc149911828</vt:lpwstr>
      </vt:variant>
      <vt:variant>
        <vt:i4>1638449</vt:i4>
      </vt:variant>
      <vt:variant>
        <vt:i4>242</vt:i4>
      </vt:variant>
      <vt:variant>
        <vt:i4>0</vt:i4>
      </vt:variant>
      <vt:variant>
        <vt:i4>5</vt:i4>
      </vt:variant>
      <vt:variant>
        <vt:lpwstr/>
      </vt:variant>
      <vt:variant>
        <vt:lpwstr>_Toc149911827</vt:lpwstr>
      </vt:variant>
      <vt:variant>
        <vt:i4>1638449</vt:i4>
      </vt:variant>
      <vt:variant>
        <vt:i4>236</vt:i4>
      </vt:variant>
      <vt:variant>
        <vt:i4>0</vt:i4>
      </vt:variant>
      <vt:variant>
        <vt:i4>5</vt:i4>
      </vt:variant>
      <vt:variant>
        <vt:lpwstr/>
      </vt:variant>
      <vt:variant>
        <vt:lpwstr>_Toc149911826</vt:lpwstr>
      </vt:variant>
      <vt:variant>
        <vt:i4>1638449</vt:i4>
      </vt:variant>
      <vt:variant>
        <vt:i4>230</vt:i4>
      </vt:variant>
      <vt:variant>
        <vt:i4>0</vt:i4>
      </vt:variant>
      <vt:variant>
        <vt:i4>5</vt:i4>
      </vt:variant>
      <vt:variant>
        <vt:lpwstr/>
      </vt:variant>
      <vt:variant>
        <vt:lpwstr>_Toc149911825</vt:lpwstr>
      </vt:variant>
      <vt:variant>
        <vt:i4>1638449</vt:i4>
      </vt:variant>
      <vt:variant>
        <vt:i4>224</vt:i4>
      </vt:variant>
      <vt:variant>
        <vt:i4>0</vt:i4>
      </vt:variant>
      <vt:variant>
        <vt:i4>5</vt:i4>
      </vt:variant>
      <vt:variant>
        <vt:lpwstr/>
      </vt:variant>
      <vt:variant>
        <vt:lpwstr>_Toc149911824</vt:lpwstr>
      </vt:variant>
      <vt:variant>
        <vt:i4>1638449</vt:i4>
      </vt:variant>
      <vt:variant>
        <vt:i4>218</vt:i4>
      </vt:variant>
      <vt:variant>
        <vt:i4>0</vt:i4>
      </vt:variant>
      <vt:variant>
        <vt:i4>5</vt:i4>
      </vt:variant>
      <vt:variant>
        <vt:lpwstr/>
      </vt:variant>
      <vt:variant>
        <vt:lpwstr>_Toc149911823</vt:lpwstr>
      </vt:variant>
      <vt:variant>
        <vt:i4>1638449</vt:i4>
      </vt:variant>
      <vt:variant>
        <vt:i4>212</vt:i4>
      </vt:variant>
      <vt:variant>
        <vt:i4>0</vt:i4>
      </vt:variant>
      <vt:variant>
        <vt:i4>5</vt:i4>
      </vt:variant>
      <vt:variant>
        <vt:lpwstr/>
      </vt:variant>
      <vt:variant>
        <vt:lpwstr>_Toc149911822</vt:lpwstr>
      </vt:variant>
      <vt:variant>
        <vt:i4>1638449</vt:i4>
      </vt:variant>
      <vt:variant>
        <vt:i4>206</vt:i4>
      </vt:variant>
      <vt:variant>
        <vt:i4>0</vt:i4>
      </vt:variant>
      <vt:variant>
        <vt:i4>5</vt:i4>
      </vt:variant>
      <vt:variant>
        <vt:lpwstr/>
      </vt:variant>
      <vt:variant>
        <vt:lpwstr>_Toc149911821</vt:lpwstr>
      </vt:variant>
      <vt:variant>
        <vt:i4>1638449</vt:i4>
      </vt:variant>
      <vt:variant>
        <vt:i4>200</vt:i4>
      </vt:variant>
      <vt:variant>
        <vt:i4>0</vt:i4>
      </vt:variant>
      <vt:variant>
        <vt:i4>5</vt:i4>
      </vt:variant>
      <vt:variant>
        <vt:lpwstr/>
      </vt:variant>
      <vt:variant>
        <vt:lpwstr>_Toc149911820</vt:lpwstr>
      </vt:variant>
      <vt:variant>
        <vt:i4>1703985</vt:i4>
      </vt:variant>
      <vt:variant>
        <vt:i4>194</vt:i4>
      </vt:variant>
      <vt:variant>
        <vt:i4>0</vt:i4>
      </vt:variant>
      <vt:variant>
        <vt:i4>5</vt:i4>
      </vt:variant>
      <vt:variant>
        <vt:lpwstr/>
      </vt:variant>
      <vt:variant>
        <vt:lpwstr>_Toc149911819</vt:lpwstr>
      </vt:variant>
      <vt:variant>
        <vt:i4>1703985</vt:i4>
      </vt:variant>
      <vt:variant>
        <vt:i4>188</vt:i4>
      </vt:variant>
      <vt:variant>
        <vt:i4>0</vt:i4>
      </vt:variant>
      <vt:variant>
        <vt:i4>5</vt:i4>
      </vt:variant>
      <vt:variant>
        <vt:lpwstr/>
      </vt:variant>
      <vt:variant>
        <vt:lpwstr>_Toc149911818</vt:lpwstr>
      </vt:variant>
      <vt:variant>
        <vt:i4>1703985</vt:i4>
      </vt:variant>
      <vt:variant>
        <vt:i4>182</vt:i4>
      </vt:variant>
      <vt:variant>
        <vt:i4>0</vt:i4>
      </vt:variant>
      <vt:variant>
        <vt:i4>5</vt:i4>
      </vt:variant>
      <vt:variant>
        <vt:lpwstr/>
      </vt:variant>
      <vt:variant>
        <vt:lpwstr>_Toc149911817</vt:lpwstr>
      </vt:variant>
      <vt:variant>
        <vt:i4>1703985</vt:i4>
      </vt:variant>
      <vt:variant>
        <vt:i4>176</vt:i4>
      </vt:variant>
      <vt:variant>
        <vt:i4>0</vt:i4>
      </vt:variant>
      <vt:variant>
        <vt:i4>5</vt:i4>
      </vt:variant>
      <vt:variant>
        <vt:lpwstr/>
      </vt:variant>
      <vt:variant>
        <vt:lpwstr>_Toc149911816</vt:lpwstr>
      </vt:variant>
      <vt:variant>
        <vt:i4>1703985</vt:i4>
      </vt:variant>
      <vt:variant>
        <vt:i4>170</vt:i4>
      </vt:variant>
      <vt:variant>
        <vt:i4>0</vt:i4>
      </vt:variant>
      <vt:variant>
        <vt:i4>5</vt:i4>
      </vt:variant>
      <vt:variant>
        <vt:lpwstr/>
      </vt:variant>
      <vt:variant>
        <vt:lpwstr>_Toc149911815</vt:lpwstr>
      </vt:variant>
      <vt:variant>
        <vt:i4>1703985</vt:i4>
      </vt:variant>
      <vt:variant>
        <vt:i4>164</vt:i4>
      </vt:variant>
      <vt:variant>
        <vt:i4>0</vt:i4>
      </vt:variant>
      <vt:variant>
        <vt:i4>5</vt:i4>
      </vt:variant>
      <vt:variant>
        <vt:lpwstr/>
      </vt:variant>
      <vt:variant>
        <vt:lpwstr>_Toc149911814</vt:lpwstr>
      </vt:variant>
      <vt:variant>
        <vt:i4>1703985</vt:i4>
      </vt:variant>
      <vt:variant>
        <vt:i4>158</vt:i4>
      </vt:variant>
      <vt:variant>
        <vt:i4>0</vt:i4>
      </vt:variant>
      <vt:variant>
        <vt:i4>5</vt:i4>
      </vt:variant>
      <vt:variant>
        <vt:lpwstr/>
      </vt:variant>
      <vt:variant>
        <vt:lpwstr>_Toc149911813</vt:lpwstr>
      </vt:variant>
      <vt:variant>
        <vt:i4>1703985</vt:i4>
      </vt:variant>
      <vt:variant>
        <vt:i4>152</vt:i4>
      </vt:variant>
      <vt:variant>
        <vt:i4>0</vt:i4>
      </vt:variant>
      <vt:variant>
        <vt:i4>5</vt:i4>
      </vt:variant>
      <vt:variant>
        <vt:lpwstr/>
      </vt:variant>
      <vt:variant>
        <vt:lpwstr>_Toc149911812</vt:lpwstr>
      </vt:variant>
      <vt:variant>
        <vt:i4>1703985</vt:i4>
      </vt:variant>
      <vt:variant>
        <vt:i4>146</vt:i4>
      </vt:variant>
      <vt:variant>
        <vt:i4>0</vt:i4>
      </vt:variant>
      <vt:variant>
        <vt:i4>5</vt:i4>
      </vt:variant>
      <vt:variant>
        <vt:lpwstr/>
      </vt:variant>
      <vt:variant>
        <vt:lpwstr>_Toc149911811</vt:lpwstr>
      </vt:variant>
      <vt:variant>
        <vt:i4>1703985</vt:i4>
      </vt:variant>
      <vt:variant>
        <vt:i4>140</vt:i4>
      </vt:variant>
      <vt:variant>
        <vt:i4>0</vt:i4>
      </vt:variant>
      <vt:variant>
        <vt:i4>5</vt:i4>
      </vt:variant>
      <vt:variant>
        <vt:lpwstr/>
      </vt:variant>
      <vt:variant>
        <vt:lpwstr>_Toc149911810</vt:lpwstr>
      </vt:variant>
      <vt:variant>
        <vt:i4>1769521</vt:i4>
      </vt:variant>
      <vt:variant>
        <vt:i4>134</vt:i4>
      </vt:variant>
      <vt:variant>
        <vt:i4>0</vt:i4>
      </vt:variant>
      <vt:variant>
        <vt:i4>5</vt:i4>
      </vt:variant>
      <vt:variant>
        <vt:lpwstr/>
      </vt:variant>
      <vt:variant>
        <vt:lpwstr>_Toc149911809</vt:lpwstr>
      </vt:variant>
      <vt:variant>
        <vt:i4>1769521</vt:i4>
      </vt:variant>
      <vt:variant>
        <vt:i4>128</vt:i4>
      </vt:variant>
      <vt:variant>
        <vt:i4>0</vt:i4>
      </vt:variant>
      <vt:variant>
        <vt:i4>5</vt:i4>
      </vt:variant>
      <vt:variant>
        <vt:lpwstr/>
      </vt:variant>
      <vt:variant>
        <vt:lpwstr>_Toc149911808</vt:lpwstr>
      </vt:variant>
      <vt:variant>
        <vt:i4>1769521</vt:i4>
      </vt:variant>
      <vt:variant>
        <vt:i4>122</vt:i4>
      </vt:variant>
      <vt:variant>
        <vt:i4>0</vt:i4>
      </vt:variant>
      <vt:variant>
        <vt:i4>5</vt:i4>
      </vt:variant>
      <vt:variant>
        <vt:lpwstr/>
      </vt:variant>
      <vt:variant>
        <vt:lpwstr>_Toc149911807</vt:lpwstr>
      </vt:variant>
      <vt:variant>
        <vt:i4>1769521</vt:i4>
      </vt:variant>
      <vt:variant>
        <vt:i4>116</vt:i4>
      </vt:variant>
      <vt:variant>
        <vt:i4>0</vt:i4>
      </vt:variant>
      <vt:variant>
        <vt:i4>5</vt:i4>
      </vt:variant>
      <vt:variant>
        <vt:lpwstr/>
      </vt:variant>
      <vt:variant>
        <vt:lpwstr>_Toc149911806</vt:lpwstr>
      </vt:variant>
      <vt:variant>
        <vt:i4>1769521</vt:i4>
      </vt:variant>
      <vt:variant>
        <vt:i4>110</vt:i4>
      </vt:variant>
      <vt:variant>
        <vt:i4>0</vt:i4>
      </vt:variant>
      <vt:variant>
        <vt:i4>5</vt:i4>
      </vt:variant>
      <vt:variant>
        <vt:lpwstr/>
      </vt:variant>
      <vt:variant>
        <vt:lpwstr>_Toc149911805</vt:lpwstr>
      </vt:variant>
      <vt:variant>
        <vt:i4>1769521</vt:i4>
      </vt:variant>
      <vt:variant>
        <vt:i4>104</vt:i4>
      </vt:variant>
      <vt:variant>
        <vt:i4>0</vt:i4>
      </vt:variant>
      <vt:variant>
        <vt:i4>5</vt:i4>
      </vt:variant>
      <vt:variant>
        <vt:lpwstr/>
      </vt:variant>
      <vt:variant>
        <vt:lpwstr>_Toc149911804</vt:lpwstr>
      </vt:variant>
      <vt:variant>
        <vt:i4>1769521</vt:i4>
      </vt:variant>
      <vt:variant>
        <vt:i4>98</vt:i4>
      </vt:variant>
      <vt:variant>
        <vt:i4>0</vt:i4>
      </vt:variant>
      <vt:variant>
        <vt:i4>5</vt:i4>
      </vt:variant>
      <vt:variant>
        <vt:lpwstr/>
      </vt:variant>
      <vt:variant>
        <vt:lpwstr>_Toc149911803</vt:lpwstr>
      </vt:variant>
      <vt:variant>
        <vt:i4>1769521</vt:i4>
      </vt:variant>
      <vt:variant>
        <vt:i4>92</vt:i4>
      </vt:variant>
      <vt:variant>
        <vt:i4>0</vt:i4>
      </vt:variant>
      <vt:variant>
        <vt:i4>5</vt:i4>
      </vt:variant>
      <vt:variant>
        <vt:lpwstr/>
      </vt:variant>
      <vt:variant>
        <vt:lpwstr>_Toc149911802</vt:lpwstr>
      </vt:variant>
      <vt:variant>
        <vt:i4>1769521</vt:i4>
      </vt:variant>
      <vt:variant>
        <vt:i4>86</vt:i4>
      </vt:variant>
      <vt:variant>
        <vt:i4>0</vt:i4>
      </vt:variant>
      <vt:variant>
        <vt:i4>5</vt:i4>
      </vt:variant>
      <vt:variant>
        <vt:lpwstr/>
      </vt:variant>
      <vt:variant>
        <vt:lpwstr>_Toc149911801</vt:lpwstr>
      </vt:variant>
      <vt:variant>
        <vt:i4>1769521</vt:i4>
      </vt:variant>
      <vt:variant>
        <vt:i4>80</vt:i4>
      </vt:variant>
      <vt:variant>
        <vt:i4>0</vt:i4>
      </vt:variant>
      <vt:variant>
        <vt:i4>5</vt:i4>
      </vt:variant>
      <vt:variant>
        <vt:lpwstr/>
      </vt:variant>
      <vt:variant>
        <vt:lpwstr>_Toc149911800</vt:lpwstr>
      </vt:variant>
      <vt:variant>
        <vt:i4>1179710</vt:i4>
      </vt:variant>
      <vt:variant>
        <vt:i4>74</vt:i4>
      </vt:variant>
      <vt:variant>
        <vt:i4>0</vt:i4>
      </vt:variant>
      <vt:variant>
        <vt:i4>5</vt:i4>
      </vt:variant>
      <vt:variant>
        <vt:lpwstr/>
      </vt:variant>
      <vt:variant>
        <vt:lpwstr>_Toc149911799</vt:lpwstr>
      </vt:variant>
      <vt:variant>
        <vt:i4>1179710</vt:i4>
      </vt:variant>
      <vt:variant>
        <vt:i4>68</vt:i4>
      </vt:variant>
      <vt:variant>
        <vt:i4>0</vt:i4>
      </vt:variant>
      <vt:variant>
        <vt:i4>5</vt:i4>
      </vt:variant>
      <vt:variant>
        <vt:lpwstr/>
      </vt:variant>
      <vt:variant>
        <vt:lpwstr>_Toc149911798</vt:lpwstr>
      </vt:variant>
      <vt:variant>
        <vt:i4>1179710</vt:i4>
      </vt:variant>
      <vt:variant>
        <vt:i4>62</vt:i4>
      </vt:variant>
      <vt:variant>
        <vt:i4>0</vt:i4>
      </vt:variant>
      <vt:variant>
        <vt:i4>5</vt:i4>
      </vt:variant>
      <vt:variant>
        <vt:lpwstr/>
      </vt:variant>
      <vt:variant>
        <vt:lpwstr>_Toc149911797</vt:lpwstr>
      </vt:variant>
      <vt:variant>
        <vt:i4>1179710</vt:i4>
      </vt:variant>
      <vt:variant>
        <vt:i4>56</vt:i4>
      </vt:variant>
      <vt:variant>
        <vt:i4>0</vt:i4>
      </vt:variant>
      <vt:variant>
        <vt:i4>5</vt:i4>
      </vt:variant>
      <vt:variant>
        <vt:lpwstr/>
      </vt:variant>
      <vt:variant>
        <vt:lpwstr>_Toc149911796</vt:lpwstr>
      </vt:variant>
      <vt:variant>
        <vt:i4>1179710</vt:i4>
      </vt:variant>
      <vt:variant>
        <vt:i4>50</vt:i4>
      </vt:variant>
      <vt:variant>
        <vt:i4>0</vt:i4>
      </vt:variant>
      <vt:variant>
        <vt:i4>5</vt:i4>
      </vt:variant>
      <vt:variant>
        <vt:lpwstr/>
      </vt:variant>
      <vt:variant>
        <vt:lpwstr>_Toc149911795</vt:lpwstr>
      </vt:variant>
      <vt:variant>
        <vt:i4>1179710</vt:i4>
      </vt:variant>
      <vt:variant>
        <vt:i4>44</vt:i4>
      </vt:variant>
      <vt:variant>
        <vt:i4>0</vt:i4>
      </vt:variant>
      <vt:variant>
        <vt:i4>5</vt:i4>
      </vt:variant>
      <vt:variant>
        <vt:lpwstr/>
      </vt:variant>
      <vt:variant>
        <vt:lpwstr>_Toc149911794</vt:lpwstr>
      </vt:variant>
      <vt:variant>
        <vt:i4>1179710</vt:i4>
      </vt:variant>
      <vt:variant>
        <vt:i4>38</vt:i4>
      </vt:variant>
      <vt:variant>
        <vt:i4>0</vt:i4>
      </vt:variant>
      <vt:variant>
        <vt:i4>5</vt:i4>
      </vt:variant>
      <vt:variant>
        <vt:lpwstr/>
      </vt:variant>
      <vt:variant>
        <vt:lpwstr>_Toc149911793</vt:lpwstr>
      </vt:variant>
      <vt:variant>
        <vt:i4>1179710</vt:i4>
      </vt:variant>
      <vt:variant>
        <vt:i4>32</vt:i4>
      </vt:variant>
      <vt:variant>
        <vt:i4>0</vt:i4>
      </vt:variant>
      <vt:variant>
        <vt:i4>5</vt:i4>
      </vt:variant>
      <vt:variant>
        <vt:lpwstr/>
      </vt:variant>
      <vt:variant>
        <vt:lpwstr>_Toc149911792</vt:lpwstr>
      </vt:variant>
      <vt:variant>
        <vt:i4>1179710</vt:i4>
      </vt:variant>
      <vt:variant>
        <vt:i4>26</vt:i4>
      </vt:variant>
      <vt:variant>
        <vt:i4>0</vt:i4>
      </vt:variant>
      <vt:variant>
        <vt:i4>5</vt:i4>
      </vt:variant>
      <vt:variant>
        <vt:lpwstr/>
      </vt:variant>
      <vt:variant>
        <vt:lpwstr>_Toc149911791</vt:lpwstr>
      </vt:variant>
      <vt:variant>
        <vt:i4>1179710</vt:i4>
      </vt:variant>
      <vt:variant>
        <vt:i4>20</vt:i4>
      </vt:variant>
      <vt:variant>
        <vt:i4>0</vt:i4>
      </vt:variant>
      <vt:variant>
        <vt:i4>5</vt:i4>
      </vt:variant>
      <vt:variant>
        <vt:lpwstr/>
      </vt:variant>
      <vt:variant>
        <vt:lpwstr>_Toc149911790</vt:lpwstr>
      </vt:variant>
      <vt:variant>
        <vt:i4>1245246</vt:i4>
      </vt:variant>
      <vt:variant>
        <vt:i4>14</vt:i4>
      </vt:variant>
      <vt:variant>
        <vt:i4>0</vt:i4>
      </vt:variant>
      <vt:variant>
        <vt:i4>5</vt:i4>
      </vt:variant>
      <vt:variant>
        <vt:lpwstr/>
      </vt:variant>
      <vt:variant>
        <vt:lpwstr>_Toc149911789</vt:lpwstr>
      </vt:variant>
      <vt:variant>
        <vt:i4>1245246</vt:i4>
      </vt:variant>
      <vt:variant>
        <vt:i4>8</vt:i4>
      </vt:variant>
      <vt:variant>
        <vt:i4>0</vt:i4>
      </vt:variant>
      <vt:variant>
        <vt:i4>5</vt:i4>
      </vt:variant>
      <vt:variant>
        <vt:lpwstr/>
      </vt:variant>
      <vt:variant>
        <vt:lpwstr>_Toc149911788</vt:lpwstr>
      </vt:variant>
      <vt:variant>
        <vt:i4>1245246</vt:i4>
      </vt:variant>
      <vt:variant>
        <vt:i4>2</vt:i4>
      </vt:variant>
      <vt:variant>
        <vt:i4>0</vt:i4>
      </vt:variant>
      <vt:variant>
        <vt:i4>5</vt:i4>
      </vt:variant>
      <vt:variant>
        <vt:lpwstr/>
      </vt:variant>
      <vt:variant>
        <vt:lpwstr>_Toc149911787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DJSIR Annual Report</dc:title>
  <dc:subject/>
  <dc:creator>Samaa Kirby</dc:creator>
  <cp:keywords/>
  <dc:description>Section 2 - Financial performance</dc:description>
  <cp:lastModifiedBy>Samaa Kirby</cp:lastModifiedBy>
  <cp:revision>76</cp:revision>
  <dcterms:created xsi:type="dcterms:W3CDTF">2023-10-30T23:34:00Z</dcterms:created>
  <dcterms:modified xsi:type="dcterms:W3CDTF">2023-11-28T04:18:00Z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3,4,5</vt:lpwstr>
  </property>
  <property fmtid="{D5CDD505-2E9C-101B-9397-08002B2CF9AE}" pid="3" name="ClassificationContentMarkingHeaderFontProps">
    <vt:lpwstr>#000000,12,Arial</vt:lpwstr>
  </property>
  <property fmtid="{D5CDD505-2E9C-101B-9397-08002B2CF9AE}" pid="4" name="ClassificationContentMarkingHeaderText">
    <vt:lpwstr>OFFICIAL</vt:lpwstr>
  </property>
  <property fmtid="{D5CDD505-2E9C-101B-9397-08002B2CF9AE}" pid="5" name="ClassificationContentMarkingFooterShapeIds">
    <vt:lpwstr>6,7,8</vt:lpwstr>
  </property>
  <property fmtid="{D5CDD505-2E9C-101B-9397-08002B2CF9AE}" pid="6" name="ClassificationContentMarkingFooterFontProps">
    <vt:lpwstr>#000000,12,Arial</vt:lpwstr>
  </property>
  <property fmtid="{D5CDD505-2E9C-101B-9397-08002B2CF9AE}" pid="7" name="ClassificationContentMarkingFooterText">
    <vt:lpwstr>OFFICIAL</vt:lpwstr>
  </property>
  <property fmtid="{D5CDD505-2E9C-101B-9397-08002B2CF9AE}" pid="8" name="MSIP_Label_d00a4df9-c942-4b09-b23a-6c1023f6de27_Enabled">
    <vt:lpwstr>true</vt:lpwstr>
  </property>
  <property fmtid="{D5CDD505-2E9C-101B-9397-08002B2CF9AE}" pid="9" name="MSIP_Label_d00a4df9-c942-4b09-b23a-6c1023f6de27_SetDate">
    <vt:lpwstr>2023-11-01T02:34:56Z</vt:lpwstr>
  </property>
  <property fmtid="{D5CDD505-2E9C-101B-9397-08002B2CF9AE}" pid="10" name="MSIP_Label_d00a4df9-c942-4b09-b23a-6c1023f6de27_Method">
    <vt:lpwstr>Privileged</vt:lpwstr>
  </property>
  <property fmtid="{D5CDD505-2E9C-101B-9397-08002B2CF9AE}" pid="11" name="MSIP_Label_d00a4df9-c942-4b09-b23a-6c1023f6de27_Name">
    <vt:lpwstr>Official (DJPR)</vt:lpwstr>
  </property>
  <property fmtid="{D5CDD505-2E9C-101B-9397-08002B2CF9AE}" pid="12" name="MSIP_Label_d00a4df9-c942-4b09-b23a-6c1023f6de27_SiteId">
    <vt:lpwstr>722ea0be-3e1c-4b11-ad6f-9401d6856e24</vt:lpwstr>
  </property>
  <property fmtid="{D5CDD505-2E9C-101B-9397-08002B2CF9AE}" pid="13" name="MSIP_Label_d00a4df9-c942-4b09-b23a-6c1023f6de27_ActionId">
    <vt:lpwstr>9710fa1b-cc2a-4292-80a4-ff3f726a2453</vt:lpwstr>
  </property>
  <property fmtid="{D5CDD505-2E9C-101B-9397-08002B2CF9AE}" pid="14" name="MSIP_Label_d00a4df9-c942-4b09-b23a-6c1023f6de27_ContentBits">
    <vt:lpwstr>3</vt:lpwstr>
  </property>
  <property fmtid="{D5CDD505-2E9C-101B-9397-08002B2CF9AE}" pid="15" name="ContentTypeId">
    <vt:lpwstr>0x010100611F6414DFB111E7BA88F9DF1743E31700B24395FE84AB9F4BA3F2DB8C0682F15A</vt:lpwstr>
  </property>
  <property fmtid="{D5CDD505-2E9C-101B-9397-08002B2CF9AE}" pid="16" name="MediaServiceImageTags">
    <vt:lpwstr/>
  </property>
  <property fmtid="{D5CDD505-2E9C-101B-9397-08002B2CF9AE}" pid="17" name="DEDJTRSection">
    <vt:lpwstr/>
  </property>
  <property fmtid="{D5CDD505-2E9C-101B-9397-08002B2CF9AE}" pid="18" name="DEDJTRGroup">
    <vt:lpwstr/>
  </property>
  <property fmtid="{D5CDD505-2E9C-101B-9397-08002B2CF9AE}" pid="19" name="DEDJTRSecurityClassification">
    <vt:lpwstr/>
  </property>
  <property fmtid="{D5CDD505-2E9C-101B-9397-08002B2CF9AE}" pid="20" name="DEDJTRDivision">
    <vt:lpwstr/>
  </property>
  <property fmtid="{D5CDD505-2E9C-101B-9397-08002B2CF9AE}" pid="21" name="DEDJTRBranch">
    <vt:lpwstr/>
  </property>
</Properties>
</file>